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870FE" w14:textId="0B420C13" w:rsidR="00D70F60" w:rsidRPr="00D52EFE" w:rsidRDefault="00C86397" w:rsidP="00C86397">
      <w:pPr>
        <w:pStyle w:val="Title"/>
        <w:rPr>
          <w:color w:val="auto"/>
          <w:sz w:val="22"/>
          <w:szCs w:val="22"/>
        </w:rPr>
      </w:pPr>
      <w:r w:rsidRPr="00D52EFE">
        <w:rPr>
          <w:caps w:val="0"/>
          <w:color w:val="auto"/>
          <w:sz w:val="22"/>
          <w:szCs w:val="22"/>
        </w:rPr>
        <w:t>The GDPR, A game changer for electronic identification schemes? The case study of Gov.Verify UK</w:t>
      </w:r>
    </w:p>
    <w:p w14:paraId="0ED36F08" w14:textId="77777777" w:rsidR="00D70F60" w:rsidRPr="00D52EFE" w:rsidRDefault="00D70F60" w:rsidP="00C86397">
      <w:pPr>
        <w:rPr>
          <w:rFonts w:ascii="Times New Roman" w:eastAsia="Times New Roman" w:hAnsi="Times New Roman" w:cs="Times New Roman"/>
          <w:b/>
          <w:color w:val="auto"/>
        </w:rPr>
      </w:pPr>
    </w:p>
    <w:p w14:paraId="0F3B1F84" w14:textId="60D3E835" w:rsidR="00D70F60" w:rsidRPr="00D52EFE" w:rsidRDefault="0021149E" w:rsidP="00C86397">
      <w:pPr>
        <w:ind w:left="567"/>
        <w:rPr>
          <w:rFonts w:ascii="Times New Roman" w:eastAsia="Times New Roman" w:hAnsi="Times New Roman" w:cs="Times New Roman"/>
          <w:b/>
          <w:i/>
          <w:color w:val="auto"/>
        </w:rPr>
      </w:pPr>
      <w:r w:rsidRPr="00D52EFE">
        <w:rPr>
          <w:rFonts w:ascii="Times New Roman" w:eastAsia="Times New Roman" w:hAnsi="Times New Roman" w:cs="Times New Roman"/>
          <w:b/>
          <w:i/>
          <w:color w:val="auto"/>
        </w:rPr>
        <w:t>Sophie Stalla-Bourdillon</w:t>
      </w:r>
      <w:r w:rsidR="00C86397" w:rsidRPr="00D52EFE">
        <w:rPr>
          <w:rStyle w:val="FootnoteReference"/>
          <w:rFonts w:ascii="Times New Roman" w:eastAsia="Times New Roman" w:hAnsi="Times New Roman" w:cs="Times New Roman"/>
          <w:b/>
          <w:i/>
          <w:color w:val="auto"/>
        </w:rPr>
        <w:footnoteReference w:customMarkFollows="1" w:id="2"/>
        <w:sym w:font="Symbol" w:char="F02A"/>
      </w:r>
      <w:r w:rsidR="00C86397" w:rsidRPr="00D52EFE">
        <w:rPr>
          <w:rFonts w:ascii="Times New Roman" w:eastAsia="Times New Roman" w:hAnsi="Times New Roman" w:cs="Times New Roman"/>
          <w:b/>
          <w:i/>
          <w:color w:val="auto"/>
        </w:rPr>
        <w:t>*</w:t>
      </w:r>
      <w:r w:rsidRPr="00D52EFE">
        <w:rPr>
          <w:rFonts w:ascii="Times New Roman" w:eastAsia="Times New Roman" w:hAnsi="Times New Roman" w:cs="Times New Roman"/>
          <w:b/>
          <w:i/>
          <w:color w:val="auto"/>
        </w:rPr>
        <w:t>, Henry Pearce</w:t>
      </w:r>
      <w:r w:rsidR="00C86397" w:rsidRPr="00D52EFE">
        <w:rPr>
          <w:rFonts w:ascii="Times New Roman" w:eastAsia="Times New Roman" w:hAnsi="Times New Roman" w:cs="Times New Roman"/>
          <w:b/>
          <w:i/>
          <w:color w:val="auto"/>
        </w:rPr>
        <w:t>**</w:t>
      </w:r>
      <w:r w:rsidRPr="00D52EFE">
        <w:rPr>
          <w:rFonts w:ascii="Times New Roman" w:eastAsia="Times New Roman" w:hAnsi="Times New Roman" w:cs="Times New Roman"/>
          <w:b/>
          <w:i/>
          <w:color w:val="auto"/>
        </w:rPr>
        <w:t>, Niko Tsakalakis</w:t>
      </w:r>
      <w:r w:rsidR="00C86397" w:rsidRPr="00D52EFE">
        <w:rPr>
          <w:rFonts w:ascii="Times New Roman" w:eastAsia="Times New Roman" w:hAnsi="Times New Roman" w:cs="Times New Roman"/>
          <w:b/>
          <w:i/>
          <w:color w:val="auto"/>
        </w:rPr>
        <w:t>***</w:t>
      </w:r>
    </w:p>
    <w:p w14:paraId="3C802F0B" w14:textId="77777777" w:rsidR="00C86397" w:rsidRPr="00D52EFE" w:rsidRDefault="00C86397" w:rsidP="00C86397">
      <w:pPr>
        <w:ind w:left="567"/>
        <w:rPr>
          <w:rFonts w:ascii="Times New Roman" w:eastAsia="Times New Roman" w:hAnsi="Times New Roman" w:cs="Times New Roman"/>
          <w:b/>
          <w:i/>
          <w:color w:val="auto"/>
        </w:rPr>
      </w:pPr>
    </w:p>
    <w:p w14:paraId="3A16BED1" w14:textId="4A8534A4" w:rsidR="00C86397" w:rsidRPr="00D52EFE" w:rsidRDefault="00C86397" w:rsidP="00C86397">
      <w:pPr>
        <w:ind w:left="567"/>
        <w:rPr>
          <w:rFonts w:ascii="Times New Roman" w:eastAsia="Times New Roman" w:hAnsi="Times New Roman" w:cs="Times New Roman"/>
          <w:i/>
          <w:color w:val="auto"/>
        </w:rPr>
      </w:pPr>
      <w:r w:rsidRPr="00D52EFE">
        <w:rPr>
          <w:rFonts w:ascii="Times New Roman" w:eastAsia="Times New Roman" w:hAnsi="Times New Roman" w:cs="Times New Roman"/>
          <w:i/>
          <w:color w:val="auto"/>
        </w:rPr>
        <w:t>* Institute for Law and the Web (ILAWS), University of Southampton, UK</w:t>
      </w:r>
    </w:p>
    <w:p w14:paraId="734156CF" w14:textId="77777777" w:rsidR="00C86397" w:rsidRPr="00D52EFE" w:rsidRDefault="00C86397" w:rsidP="00C86397">
      <w:pPr>
        <w:ind w:left="567"/>
        <w:rPr>
          <w:rFonts w:ascii="Times New Roman" w:eastAsia="Times New Roman" w:hAnsi="Times New Roman" w:cs="Times New Roman"/>
          <w:i/>
          <w:color w:val="auto"/>
        </w:rPr>
      </w:pPr>
    </w:p>
    <w:p w14:paraId="3228ED53" w14:textId="38AA1BBB" w:rsidR="00C86397" w:rsidRPr="00D52EFE" w:rsidRDefault="00B80CA7" w:rsidP="00C86397">
      <w:pPr>
        <w:ind w:left="567"/>
        <w:rPr>
          <w:rFonts w:ascii="Times New Roman" w:eastAsia="Times New Roman" w:hAnsi="Times New Roman" w:cs="Times New Roman"/>
          <w:b/>
          <w:color w:val="auto"/>
        </w:rPr>
      </w:pPr>
      <w:r w:rsidRPr="00D52EFE">
        <w:rPr>
          <w:rFonts w:ascii="Times New Roman" w:eastAsia="Times New Roman" w:hAnsi="Times New Roman" w:cs="Times New Roman"/>
          <w:color w:val="auto"/>
        </w:rPr>
        <w:t xml:space="preserve">** </w:t>
      </w:r>
      <w:r w:rsidR="00D41AAB" w:rsidRPr="00D52EFE">
        <w:rPr>
          <w:rFonts w:ascii="Times New Roman" w:eastAsia="Times New Roman" w:hAnsi="Times New Roman" w:cs="Times New Roman"/>
          <w:i/>
          <w:color w:val="auto"/>
        </w:rPr>
        <w:t xml:space="preserve">Institute for Law and the Web (ILAWS), University of Southampton, UK &amp; </w:t>
      </w:r>
      <w:r w:rsidRPr="00D52EFE">
        <w:rPr>
          <w:rFonts w:ascii="Times New Roman" w:eastAsia="Times New Roman" w:hAnsi="Times New Roman" w:cs="Times New Roman"/>
          <w:i/>
          <w:color w:val="auto"/>
        </w:rPr>
        <w:t>University of Hertfordshire, UK</w:t>
      </w:r>
    </w:p>
    <w:p w14:paraId="6DB45ABB" w14:textId="77777777" w:rsidR="00C86397" w:rsidRPr="00D52EFE" w:rsidRDefault="00C86397" w:rsidP="00C86397">
      <w:pPr>
        <w:ind w:left="567"/>
        <w:rPr>
          <w:rFonts w:ascii="Times New Roman" w:eastAsia="Times New Roman" w:hAnsi="Times New Roman" w:cs="Times New Roman"/>
          <w:color w:val="auto"/>
        </w:rPr>
      </w:pPr>
    </w:p>
    <w:p w14:paraId="1BF26E63" w14:textId="17614C8C" w:rsidR="00C86397" w:rsidRPr="00D52EFE" w:rsidRDefault="00C86397" w:rsidP="00B80CA7">
      <w:pPr>
        <w:ind w:left="567"/>
        <w:rPr>
          <w:rFonts w:ascii="Times New Roman" w:eastAsia="Times New Roman" w:hAnsi="Times New Roman" w:cs="Times New Roman"/>
          <w:i/>
          <w:color w:val="auto"/>
        </w:rPr>
      </w:pPr>
      <w:r w:rsidRPr="00D52EFE">
        <w:rPr>
          <w:rFonts w:ascii="Times New Roman" w:eastAsia="Times New Roman" w:hAnsi="Times New Roman" w:cs="Times New Roman"/>
          <w:i/>
          <w:color w:val="auto"/>
        </w:rPr>
        <w:t xml:space="preserve">*** </w:t>
      </w:r>
      <w:r w:rsidR="00B80CA7" w:rsidRPr="00D52EFE">
        <w:rPr>
          <w:rFonts w:ascii="Times New Roman" w:eastAsia="Times New Roman" w:hAnsi="Times New Roman" w:cs="Times New Roman"/>
          <w:i/>
          <w:color w:val="auto"/>
        </w:rPr>
        <w:t>Institute for Law and the Web (ILAWS), &amp; Web Science Centre for Doctoral Training, University of Southampton, UK</w:t>
      </w:r>
    </w:p>
    <w:p w14:paraId="2CAC3E3C" w14:textId="77777777" w:rsidR="00C86397" w:rsidRPr="00D52EFE" w:rsidRDefault="00C86397" w:rsidP="00C86397">
      <w:pPr>
        <w:ind w:left="567"/>
        <w:rPr>
          <w:rFonts w:ascii="Times New Roman" w:eastAsia="Times New Roman" w:hAnsi="Times New Roman" w:cs="Times New Roman"/>
          <w:b/>
          <w:color w:val="auto"/>
        </w:rPr>
      </w:pPr>
    </w:p>
    <w:p w14:paraId="22C796ED" w14:textId="77777777" w:rsidR="00593342" w:rsidRPr="00D52EFE" w:rsidRDefault="00593342" w:rsidP="00C86397">
      <w:pPr>
        <w:ind w:left="567"/>
        <w:rPr>
          <w:rFonts w:ascii="Times New Roman" w:eastAsia="Times New Roman" w:hAnsi="Times New Roman" w:cs="Times New Roman"/>
          <w:color w:val="auto"/>
        </w:rPr>
      </w:pPr>
    </w:p>
    <w:p w14:paraId="20F23E0C" w14:textId="6FF060AA" w:rsidR="0039025D" w:rsidRPr="00D52EFE" w:rsidRDefault="00C86397" w:rsidP="00C86397">
      <w:pPr>
        <w:ind w:left="567"/>
        <w:rPr>
          <w:rFonts w:ascii="Times New Roman" w:eastAsia="Times New Roman" w:hAnsi="Times New Roman" w:cs="Times New Roman"/>
          <w:b/>
          <w:color w:val="auto"/>
        </w:rPr>
      </w:pPr>
      <w:r w:rsidRPr="00D52EFE">
        <w:rPr>
          <w:rFonts w:ascii="Times New Roman" w:eastAsia="Times New Roman" w:hAnsi="Times New Roman" w:cs="Times New Roman"/>
          <w:b/>
          <w:color w:val="auto"/>
        </w:rPr>
        <w:t>ABSTRACT</w:t>
      </w:r>
    </w:p>
    <w:p w14:paraId="15A1C09A" w14:textId="52BC8A9F" w:rsidR="00B876EC" w:rsidRPr="00D52EFE" w:rsidRDefault="00B876EC" w:rsidP="00C86397">
      <w:pPr>
        <w:ind w:left="567"/>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article offers an interdisciplinary analysis of the General Data Protection Regulation (GDPR) in the context of electronic identification schemes. </w:t>
      </w:r>
      <w:r w:rsidR="002F38CC" w:rsidRPr="00D52EFE">
        <w:rPr>
          <w:rFonts w:ascii="Times New Roman" w:eastAsia="Times New Roman" w:hAnsi="Times New Roman" w:cs="Times New Roman"/>
          <w:color w:val="auto"/>
        </w:rPr>
        <w:t xml:space="preserve">Gov.UK Verify, </w:t>
      </w:r>
      <w:r w:rsidRPr="00D52EFE">
        <w:rPr>
          <w:rFonts w:ascii="Times New Roman" w:eastAsia="Times New Roman" w:hAnsi="Times New Roman" w:cs="Times New Roman"/>
          <w:color w:val="auto"/>
        </w:rPr>
        <w:t>the UK Government’s electronic identification scheme, and its compatibility with some important aspects of EU data protection law</w:t>
      </w:r>
      <w:r w:rsidR="002F38CC" w:rsidRPr="00D52EFE">
        <w:rPr>
          <w:rFonts w:ascii="Times New Roman" w:eastAsia="Times New Roman" w:hAnsi="Times New Roman" w:cs="Times New Roman"/>
          <w:color w:val="auto"/>
        </w:rPr>
        <w:t xml:space="preserve"> are reviewed</w:t>
      </w:r>
      <w:r w:rsidRPr="00D52EFE">
        <w:rPr>
          <w:rFonts w:ascii="Times New Roman" w:eastAsia="Times New Roman" w:hAnsi="Times New Roman" w:cs="Times New Roman"/>
          <w:color w:val="auto"/>
        </w:rPr>
        <w:t xml:space="preserve">. </w:t>
      </w:r>
      <w:r w:rsidR="002F38CC" w:rsidRPr="00D52EFE">
        <w:rPr>
          <w:rFonts w:ascii="Times New Roman" w:eastAsia="Times New Roman" w:hAnsi="Times New Roman" w:cs="Times New Roman"/>
          <w:color w:val="auto"/>
        </w:rPr>
        <w:t>An in-depth examination of Gov.UK Verify’s architecture and the most significant constituent elements of both the Data Protection Directive and the imminent GDPR – notably the legitimising grounds for the processing of personal data and the doctrine of joint controllership,</w:t>
      </w:r>
      <w:r w:rsidRPr="00D52EFE">
        <w:rPr>
          <w:rFonts w:ascii="Times New Roman" w:eastAsia="Times New Roman" w:hAnsi="Times New Roman" w:cs="Times New Roman"/>
          <w:color w:val="auto"/>
        </w:rPr>
        <w:t xml:space="preserve"> highlight several flaws inherent in the Gov.UK Verify’s development and mode of operation.</w:t>
      </w:r>
      <w:r w:rsidR="0080110E" w:rsidRPr="00D52EFE">
        <w:rPr>
          <w:rFonts w:ascii="Times New Roman" w:eastAsia="Times New Roman" w:hAnsi="Times New Roman" w:cs="Times New Roman"/>
          <w:color w:val="auto"/>
        </w:rPr>
        <w:t xml:space="preserve"> </w:t>
      </w:r>
      <w:r w:rsidR="002F38CC" w:rsidRPr="00D52EFE">
        <w:rPr>
          <w:rFonts w:ascii="Times New Roman" w:eastAsia="Times New Roman" w:hAnsi="Times New Roman" w:cs="Times New Roman"/>
          <w:color w:val="auto"/>
        </w:rPr>
        <w:t>The article</w:t>
      </w:r>
      <w:r w:rsidRPr="00D52EFE">
        <w:rPr>
          <w:rFonts w:ascii="Times New Roman" w:eastAsia="Times New Roman" w:hAnsi="Times New Roman" w:cs="Times New Roman"/>
          <w:color w:val="auto"/>
        </w:rPr>
        <w:t xml:space="preserve"> advances the argument that Gov.UK Verify is incompatible with some major substantive provisions of the EU Data Protection Framework. It also provides some general insight as to how to interpret the requirement of a legitimate legal basis </w:t>
      </w:r>
      <w:r w:rsidR="005C4869">
        <w:rPr>
          <w:rFonts w:ascii="Times New Roman" w:eastAsia="Times New Roman" w:hAnsi="Times New Roman" w:cs="Times New Roman"/>
          <w:color w:val="auto"/>
        </w:rPr>
        <w:t xml:space="preserve">and the doctrine of joint controllership </w:t>
      </w:r>
      <w:r w:rsidRPr="00D52EFE">
        <w:rPr>
          <w:rFonts w:ascii="Times New Roman" w:eastAsia="Times New Roman" w:hAnsi="Times New Roman" w:cs="Times New Roman"/>
          <w:color w:val="auto"/>
        </w:rPr>
        <w:t xml:space="preserve">and </w:t>
      </w:r>
      <w:r w:rsidR="005C4869">
        <w:rPr>
          <w:rFonts w:ascii="Times New Roman" w:eastAsia="Times New Roman" w:hAnsi="Times New Roman" w:cs="Times New Roman"/>
          <w:color w:val="auto"/>
        </w:rPr>
        <w:t xml:space="preserve">ultimately </w:t>
      </w:r>
      <w:r w:rsidR="009E5152" w:rsidRPr="00D52EFE">
        <w:rPr>
          <w:rFonts w:ascii="Times New Roman" w:eastAsia="Times New Roman" w:hAnsi="Times New Roman" w:cs="Times New Roman"/>
          <w:color w:val="auto"/>
        </w:rPr>
        <w:t>suggests that the choice of the</w:t>
      </w:r>
      <w:r w:rsidR="004A01B1">
        <w:rPr>
          <w:rFonts w:ascii="Times New Roman" w:eastAsia="Times New Roman" w:hAnsi="Times New Roman" w:cs="Times New Roman"/>
          <w:color w:val="auto"/>
        </w:rPr>
        <w:t xml:space="preserve"> appropriate</w:t>
      </w:r>
      <w:r w:rsidR="009E5152" w:rsidRPr="00D52EFE">
        <w:rPr>
          <w:rFonts w:ascii="Times New Roman" w:eastAsia="Times New Roman" w:hAnsi="Times New Roman" w:cs="Times New Roman"/>
          <w:color w:val="auto"/>
        </w:rPr>
        <w:t xml:space="preserve"> legal basis</w:t>
      </w:r>
      <w:r w:rsidR="004A01B1">
        <w:rPr>
          <w:rFonts w:ascii="Times New Roman" w:eastAsia="Times New Roman" w:hAnsi="Times New Roman" w:cs="Times New Roman"/>
          <w:color w:val="auto"/>
        </w:rPr>
        <w:t xml:space="preserve"> should depend upon a holistic approach to the relationship between the actors involved in the processing activities</w:t>
      </w:r>
      <w:r w:rsidR="009E5152" w:rsidRPr="00D52EFE">
        <w:rPr>
          <w:rFonts w:ascii="Times New Roman" w:eastAsia="Times New Roman" w:hAnsi="Times New Roman" w:cs="Times New Roman"/>
          <w:color w:val="auto"/>
        </w:rPr>
        <w:t xml:space="preserve">. </w:t>
      </w:r>
    </w:p>
    <w:p w14:paraId="4E9ACF19" w14:textId="77777777" w:rsidR="007C694F" w:rsidRPr="00D52EFE" w:rsidRDefault="007C694F" w:rsidP="00C86397">
      <w:pPr>
        <w:ind w:left="567"/>
        <w:rPr>
          <w:rFonts w:ascii="Times New Roman" w:eastAsia="Times New Roman" w:hAnsi="Times New Roman" w:cs="Times New Roman"/>
          <w:color w:val="auto"/>
        </w:rPr>
      </w:pPr>
    </w:p>
    <w:p w14:paraId="25BB2E4A" w14:textId="77777777" w:rsidR="007C694F" w:rsidRPr="00D52EFE" w:rsidRDefault="007C694F" w:rsidP="00C86397">
      <w:pPr>
        <w:ind w:left="567"/>
        <w:rPr>
          <w:rFonts w:ascii="Times New Roman" w:eastAsia="Times New Roman" w:hAnsi="Times New Roman" w:cs="Times New Roman"/>
          <w:color w:val="auto"/>
        </w:rPr>
      </w:pPr>
      <w:bookmarkStart w:id="0" w:name="_GoBack"/>
      <w:bookmarkEnd w:id="0"/>
    </w:p>
    <w:p w14:paraId="4536A756" w14:textId="1069E641" w:rsidR="00DF7412" w:rsidRPr="00D52EFE" w:rsidRDefault="00DF7412" w:rsidP="00C86397">
      <w:pPr>
        <w:ind w:left="567"/>
        <w:rPr>
          <w:rFonts w:ascii="Times New Roman" w:eastAsia="Times New Roman" w:hAnsi="Times New Roman" w:cs="Times New Roman"/>
          <w:color w:val="auto"/>
        </w:rPr>
      </w:pPr>
      <w:r w:rsidRPr="00D52EFE">
        <w:rPr>
          <w:rFonts w:ascii="Times New Roman" w:eastAsia="Times New Roman" w:hAnsi="Times New Roman" w:cs="Times New Roman"/>
          <w:i/>
          <w:color w:val="auto"/>
        </w:rPr>
        <w:t>Keywords:</w:t>
      </w:r>
      <w:r w:rsidRPr="00D52EFE">
        <w:rPr>
          <w:rFonts w:ascii="Times New Roman" w:eastAsia="Times New Roman" w:hAnsi="Times New Roman" w:cs="Times New Roman"/>
          <w:color w:val="auto"/>
        </w:rPr>
        <w:t xml:space="preserve"> data protection, electronic identification, GDPR, Gov.UK Verify, </w:t>
      </w:r>
      <w:r w:rsidR="0036739B" w:rsidRPr="00D52EFE">
        <w:rPr>
          <w:rFonts w:ascii="Times New Roman" w:eastAsia="Times New Roman" w:hAnsi="Times New Roman" w:cs="Times New Roman"/>
          <w:color w:val="auto"/>
        </w:rPr>
        <w:t>joint controllership, legal bases</w:t>
      </w:r>
    </w:p>
    <w:p w14:paraId="7C039544" w14:textId="77777777" w:rsidR="00365C3A" w:rsidRPr="00D52EFE" w:rsidRDefault="00365C3A" w:rsidP="00C86397">
      <w:pPr>
        <w:ind w:left="567"/>
        <w:rPr>
          <w:rFonts w:ascii="Times New Roman" w:eastAsia="Times New Roman" w:hAnsi="Times New Roman" w:cs="Times New Roman"/>
          <w:color w:val="auto"/>
        </w:rPr>
      </w:pPr>
    </w:p>
    <w:p w14:paraId="105595FD" w14:textId="49B2F2BA" w:rsidR="009D39EB" w:rsidRPr="00D52EFE" w:rsidRDefault="009D39EB" w:rsidP="00C86397">
      <w:pPr>
        <w:rPr>
          <w:rFonts w:ascii="Times New Roman" w:eastAsia="Times New Roman" w:hAnsi="Times New Roman" w:cs="Times New Roman"/>
          <w:b/>
          <w:color w:val="auto"/>
        </w:rPr>
      </w:pPr>
    </w:p>
    <w:p w14:paraId="354E1458" w14:textId="77777777" w:rsidR="00AD6231" w:rsidRPr="00D52EFE" w:rsidRDefault="00AD6231" w:rsidP="00C86397">
      <w:pPr>
        <w:rPr>
          <w:rFonts w:ascii="Times New Roman" w:eastAsia="Times New Roman" w:hAnsi="Times New Roman" w:cs="Times New Roman"/>
          <w:b/>
          <w:color w:val="auto"/>
        </w:rPr>
      </w:pPr>
    </w:p>
    <w:p w14:paraId="09FE6B8C" w14:textId="09D5ECA3" w:rsidR="00365C3A" w:rsidRPr="00D52EFE" w:rsidRDefault="007C694F" w:rsidP="00036ABA">
      <w:pPr>
        <w:pStyle w:val="Heading1"/>
      </w:pPr>
      <w:bookmarkStart w:id="1" w:name="_z47j0lwwu4c" w:colFirst="0" w:colLast="0"/>
      <w:bookmarkEnd w:id="1"/>
      <w:r w:rsidRPr="00D52EFE">
        <w:t xml:space="preserve">1. </w:t>
      </w:r>
      <w:r w:rsidR="00365C3A" w:rsidRPr="00D52EFE">
        <w:t>Introduction</w:t>
      </w:r>
    </w:p>
    <w:p w14:paraId="7B74A6A5" w14:textId="690385AA"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General Data Protection Regulation (GDPR)</w:t>
      </w:r>
      <w:r w:rsidRPr="00D52EFE">
        <w:rPr>
          <w:rFonts w:ascii="Times New Roman" w:eastAsia="Times New Roman" w:hAnsi="Times New Roman" w:cs="Times New Roman"/>
          <w:color w:val="auto"/>
          <w:vertAlign w:val="superscript"/>
        </w:rPr>
        <w:footnoteReference w:id="3"/>
      </w:r>
      <w:r w:rsidRPr="00D52EFE">
        <w:rPr>
          <w:rFonts w:ascii="Times New Roman" w:eastAsia="Times New Roman" w:hAnsi="Times New Roman" w:cs="Times New Roman"/>
          <w:color w:val="auto"/>
        </w:rPr>
        <w:t xml:space="preserve"> adopted by the European Un</w:t>
      </w:r>
      <w:r w:rsidR="00B806E1" w:rsidRPr="00D52EFE">
        <w:rPr>
          <w:rFonts w:ascii="Times New Roman" w:eastAsia="Times New Roman" w:hAnsi="Times New Roman" w:cs="Times New Roman"/>
          <w:color w:val="auto"/>
        </w:rPr>
        <w:t xml:space="preserve">ion (EU) on 24 May 2016 </w:t>
      </w:r>
      <w:r w:rsidRPr="00D52EFE">
        <w:rPr>
          <w:rFonts w:ascii="Times New Roman" w:eastAsia="Times New Roman" w:hAnsi="Times New Roman" w:cs="Times New Roman"/>
          <w:color w:val="auto"/>
        </w:rPr>
        <w:t xml:space="preserve">will become </w:t>
      </w:r>
      <w:r w:rsidR="00B806E1" w:rsidRPr="00D52EFE">
        <w:rPr>
          <w:rFonts w:ascii="Times New Roman" w:eastAsia="Times New Roman" w:hAnsi="Times New Roman" w:cs="Times New Roman"/>
          <w:color w:val="auto"/>
        </w:rPr>
        <w:t>applicable from 25 May 2018. It</w:t>
      </w:r>
      <w:r w:rsidRPr="00D52EFE">
        <w:rPr>
          <w:rFonts w:ascii="Times New Roman" w:eastAsia="Times New Roman" w:hAnsi="Times New Roman" w:cs="Times New Roman"/>
          <w:color w:val="auto"/>
        </w:rPr>
        <w:t xml:space="preserve"> is intended to be a game changer for businesses operating within, or simply targeting, the EU Digital Single Market. Pursuant of this, we are now seeing the emergence of start</w:t>
      </w:r>
      <w:r w:rsidR="00983EB4"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ups all over Europe promising to help businesses adapt to the evolving legal framework. Bigger companies have also been particularly eager to invest in staff training and compliance assurance mechanisms and processes. The strengthening of the arsenal of punitive </w:t>
      </w:r>
      <w:r w:rsidRPr="00D52EFE">
        <w:rPr>
          <w:rFonts w:ascii="Times New Roman" w:eastAsia="Times New Roman" w:hAnsi="Times New Roman" w:cs="Times New Roman"/>
          <w:color w:val="auto"/>
        </w:rPr>
        <w:lastRenderedPageBreak/>
        <w:t xml:space="preserve">sanctions for breach of its terms largely explains why the GDPR has been under the spotlight since its adoption.  </w:t>
      </w:r>
    </w:p>
    <w:p w14:paraId="452A0C44" w14:textId="77777777" w:rsidR="00D70F60" w:rsidRPr="00D52EFE" w:rsidRDefault="00D70F60" w:rsidP="00C86397">
      <w:pPr>
        <w:rPr>
          <w:rFonts w:ascii="Times New Roman" w:eastAsia="Times New Roman" w:hAnsi="Times New Roman" w:cs="Times New Roman"/>
          <w:color w:val="auto"/>
        </w:rPr>
      </w:pPr>
    </w:p>
    <w:p w14:paraId="79255E26" w14:textId="6DF6D55C"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Whether the GDPR should be seen as a regulatory revolution</w:t>
      </w:r>
      <w:r w:rsidR="00637087"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has been heavily debated by legal practitioners and scholars since the beginning of its legislative process in 2012. It is certainly true to say, for instance, that the roots of many of the GDPR’s substant</w:t>
      </w:r>
      <w:r w:rsidR="00B806E1" w:rsidRPr="00D52EFE">
        <w:rPr>
          <w:rFonts w:ascii="Times New Roman" w:eastAsia="Times New Roman" w:hAnsi="Times New Roman" w:cs="Times New Roman"/>
          <w:color w:val="auto"/>
        </w:rPr>
        <w:t>ive provisions can be traced to</w:t>
      </w:r>
      <w:r w:rsidRPr="00D52EFE">
        <w:rPr>
          <w:rFonts w:ascii="Times New Roman" w:eastAsia="Times New Roman" w:hAnsi="Times New Roman" w:cs="Times New Roman"/>
          <w:color w:val="auto"/>
        </w:rPr>
        <w:t xml:space="preserve"> prior legislative instruments, notably the Data Protection Directive (DPD)</w:t>
      </w:r>
      <w:r w:rsidR="00B806E1"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which was adopted in 1995.</w:t>
      </w:r>
      <w:r w:rsidRPr="00D52EFE">
        <w:rPr>
          <w:rFonts w:ascii="Times New Roman" w:eastAsia="Times New Roman" w:hAnsi="Times New Roman" w:cs="Times New Roman"/>
          <w:color w:val="auto"/>
          <w:vertAlign w:val="superscript"/>
        </w:rPr>
        <w:footnoteReference w:id="4"/>
      </w:r>
      <w:r w:rsidRPr="00D52EFE">
        <w:rPr>
          <w:rFonts w:ascii="Times New Roman" w:eastAsia="Times New Roman" w:hAnsi="Times New Roman" w:cs="Times New Roman"/>
          <w:color w:val="auto"/>
        </w:rPr>
        <w:t xml:space="preserve"> That said, the GDPR coming into force </w:t>
      </w:r>
      <w:r w:rsidR="000800BB" w:rsidRPr="00D52EFE">
        <w:rPr>
          <w:rFonts w:ascii="Times New Roman" w:eastAsia="Times New Roman" w:hAnsi="Times New Roman" w:cs="Times New Roman"/>
          <w:color w:val="auto"/>
        </w:rPr>
        <w:t>would</w:t>
      </w:r>
      <w:r w:rsidRPr="00D52EFE">
        <w:rPr>
          <w:rFonts w:ascii="Times New Roman" w:eastAsia="Times New Roman" w:hAnsi="Times New Roman" w:cs="Times New Roman"/>
          <w:color w:val="auto"/>
        </w:rPr>
        <w:t xml:space="preserve"> mean that those already complying with the terms of the DPD </w:t>
      </w:r>
      <w:r w:rsidR="000800BB" w:rsidRPr="00D52EFE">
        <w:rPr>
          <w:rFonts w:ascii="Times New Roman" w:eastAsia="Times New Roman" w:hAnsi="Times New Roman" w:cs="Times New Roman"/>
          <w:color w:val="auto"/>
        </w:rPr>
        <w:t>would</w:t>
      </w:r>
      <w:r w:rsidRPr="00D52EFE">
        <w:rPr>
          <w:rFonts w:ascii="Times New Roman" w:eastAsia="Times New Roman" w:hAnsi="Times New Roman" w:cs="Times New Roman"/>
          <w:color w:val="auto"/>
        </w:rPr>
        <w:t xml:space="preserve"> still necessarily have to modify some of their practices in order to continue to be compliant with some o</w:t>
      </w:r>
      <w:r w:rsidR="00B806E1" w:rsidRPr="00D52EFE">
        <w:rPr>
          <w:rFonts w:ascii="Times New Roman" w:eastAsia="Times New Roman" w:hAnsi="Times New Roman" w:cs="Times New Roman"/>
          <w:color w:val="auto"/>
        </w:rPr>
        <w:t>f the substantive tenets of the</w:t>
      </w:r>
      <w:r w:rsidR="00FD666F" w:rsidRPr="00D52EFE">
        <w:rPr>
          <w:rFonts w:ascii="Times New Roman" w:eastAsia="Times New Roman" w:hAnsi="Times New Roman" w:cs="Times New Roman"/>
          <w:color w:val="auto"/>
        </w:rPr>
        <w:t xml:space="preserve"> EU</w:t>
      </w:r>
      <w:r w:rsidRPr="00D52EFE">
        <w:rPr>
          <w:rFonts w:ascii="Times New Roman" w:eastAsia="Times New Roman" w:hAnsi="Times New Roman" w:cs="Times New Roman"/>
          <w:color w:val="auto"/>
        </w:rPr>
        <w:t xml:space="preserve"> data protection framework. This is p</w:t>
      </w:r>
      <w:r w:rsidR="00B806E1" w:rsidRPr="00D52EFE">
        <w:rPr>
          <w:rFonts w:ascii="Times New Roman" w:eastAsia="Times New Roman" w:hAnsi="Times New Roman" w:cs="Times New Roman"/>
          <w:color w:val="auto"/>
        </w:rPr>
        <w:t xml:space="preserve">articularly true in respect of </w:t>
      </w:r>
      <w:r w:rsidRPr="00D52EFE">
        <w:rPr>
          <w:rFonts w:ascii="Times New Roman" w:eastAsia="Times New Roman" w:hAnsi="Times New Roman" w:cs="Times New Roman"/>
          <w:color w:val="auto"/>
        </w:rPr>
        <w:t xml:space="preserve">mechanisms and procedures relating to data subject rights, as the list of rights contained in the GDPR is more expansive than its DPD equivalent. </w:t>
      </w:r>
      <w:r w:rsidR="000800BB" w:rsidRPr="00D52EFE">
        <w:rPr>
          <w:rFonts w:ascii="Times New Roman" w:eastAsia="Times New Roman" w:hAnsi="Times New Roman" w:cs="Times New Roman"/>
          <w:color w:val="auto"/>
        </w:rPr>
        <w:t>However,</w:t>
      </w:r>
      <w:r w:rsidRPr="00D52EFE">
        <w:rPr>
          <w:rFonts w:ascii="Times New Roman" w:eastAsia="Times New Roman" w:hAnsi="Times New Roman" w:cs="Times New Roman"/>
          <w:color w:val="auto"/>
        </w:rPr>
        <w:t xml:space="preserve"> what about the GDPR’s other provisions? Have the rules relating to security measures that must be implemented by data controllers evolved as well? What about the restrictions concerning the choice of appropriate legal bases?  </w:t>
      </w:r>
    </w:p>
    <w:p w14:paraId="2999C2A7" w14:textId="77777777" w:rsidR="00D70F60" w:rsidRPr="00D52EFE" w:rsidRDefault="00D70F60" w:rsidP="00C86397">
      <w:pPr>
        <w:rPr>
          <w:rFonts w:ascii="Times New Roman" w:eastAsia="Times New Roman" w:hAnsi="Times New Roman" w:cs="Times New Roman"/>
          <w:color w:val="auto"/>
        </w:rPr>
      </w:pPr>
    </w:p>
    <w:p w14:paraId="6363D4CF" w14:textId="59FBD460" w:rsidR="0080110E"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Just like the outgoing DPD, the GDPR applies to public authorities. As hinted above, most of the scholarly attention has focused on the implications of private actors having to comply with GDPR standards. Much less, however, has been written about the regulatory burden the GDPR imposes upon public authorities. Just like private sector institutions, public authorities can also be faced with data protection compliance issues. To pick just one example on 12 June 2017, the Information Commissioner’s Office (ICO), the U</w:t>
      </w:r>
      <w:r w:rsidR="00B806E1" w:rsidRPr="00D52EFE">
        <w:rPr>
          <w:rFonts w:ascii="Times New Roman" w:eastAsia="Times New Roman" w:hAnsi="Times New Roman" w:cs="Times New Roman"/>
          <w:color w:val="auto"/>
        </w:rPr>
        <w:t>nited Kingdom (U</w:t>
      </w:r>
      <w:r w:rsidRPr="00D52EFE">
        <w:rPr>
          <w:rFonts w:ascii="Times New Roman" w:eastAsia="Times New Roman" w:hAnsi="Times New Roman" w:cs="Times New Roman"/>
          <w:color w:val="auto"/>
        </w:rPr>
        <w:t>K</w:t>
      </w:r>
      <w:r w:rsidR="00B806E1"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Data Protection Agency, fined Gloucester City Council £100,000 after a cyber attacker was able to gain access to council employees’ sensitive personal information. Another legal saga has, however, arguably been more significant, despite not leading to any monetary penalty. </w:t>
      </w:r>
      <w:r w:rsidR="0080110E" w:rsidRPr="00D52EFE">
        <w:rPr>
          <w:rFonts w:ascii="Times New Roman" w:eastAsia="Times New Roman" w:hAnsi="Times New Roman" w:cs="Times New Roman"/>
          <w:color w:val="auto"/>
        </w:rPr>
        <w:t>On 3 July 2017, the ICO ruled the Royal Free NHS Foundation Trust</w:t>
      </w:r>
      <w:r w:rsidR="00BA6A85" w:rsidRPr="00D52EFE">
        <w:rPr>
          <w:rStyle w:val="FootnoteReference"/>
          <w:rFonts w:ascii="Times New Roman" w:eastAsia="Times New Roman" w:hAnsi="Times New Roman" w:cs="Times New Roman"/>
          <w:color w:val="auto"/>
        </w:rPr>
        <w:footnoteReference w:id="5"/>
      </w:r>
      <w:r w:rsidR="0080110E" w:rsidRPr="00D52EFE">
        <w:rPr>
          <w:rFonts w:ascii="Times New Roman" w:eastAsia="Times New Roman" w:hAnsi="Times New Roman" w:cs="Times New Roman"/>
          <w:color w:val="auto"/>
        </w:rPr>
        <w:t xml:space="preserve"> had not complied with the UK Data Protection Act when it provided patient data to Google DeepMind for the purpose of the clinical safety testing of the Streams application.</w:t>
      </w:r>
      <w:r w:rsidR="0080110E" w:rsidRPr="00D52EFE">
        <w:rPr>
          <w:rFonts w:ascii="Times New Roman" w:eastAsia="Times New Roman" w:hAnsi="Times New Roman" w:cs="Times New Roman"/>
          <w:color w:val="auto"/>
          <w:vertAlign w:val="superscript"/>
        </w:rPr>
        <w:t xml:space="preserve"> </w:t>
      </w:r>
      <w:r w:rsidR="0080110E" w:rsidRPr="00D52EFE">
        <w:rPr>
          <w:rFonts w:ascii="Times New Roman" w:eastAsia="Times New Roman" w:hAnsi="Times New Roman" w:cs="Times New Roman"/>
          <w:color w:val="auto"/>
          <w:vertAlign w:val="superscript"/>
        </w:rPr>
        <w:footnoteReference w:id="6"/>
      </w:r>
      <w:r w:rsidR="0080110E" w:rsidRPr="00D52EFE">
        <w:rPr>
          <w:rFonts w:ascii="Times New Roman" w:eastAsia="Times New Roman" w:hAnsi="Times New Roman" w:cs="Times New Roman"/>
          <w:color w:val="auto"/>
        </w:rPr>
        <w:t xml:space="preserve"> The</w:t>
      </w:r>
      <w:r w:rsidR="00BA6A85" w:rsidRPr="00D52EFE">
        <w:rPr>
          <w:rFonts w:ascii="Times New Roman" w:eastAsia="Times New Roman" w:hAnsi="Times New Roman" w:cs="Times New Roman"/>
          <w:color w:val="auto"/>
        </w:rPr>
        <w:t xml:space="preserve"> ICO held the legal basis referred to by the Royal Free NHS Foundation to justify the repurposing of sensitive personal data </w:t>
      </w:r>
      <w:r w:rsidR="001912EA" w:rsidRPr="00D52EFE">
        <w:rPr>
          <w:rFonts w:ascii="Times New Roman" w:eastAsia="Times New Roman" w:hAnsi="Times New Roman" w:cs="Times New Roman"/>
          <w:color w:val="auto"/>
        </w:rPr>
        <w:t>was not appropriate</w:t>
      </w:r>
      <w:r w:rsidR="00BA6A85" w:rsidRPr="00D52EFE">
        <w:rPr>
          <w:rFonts w:ascii="Times New Roman" w:eastAsia="Times New Roman" w:hAnsi="Times New Roman" w:cs="Times New Roman"/>
          <w:color w:val="auto"/>
        </w:rPr>
        <w:t xml:space="preserve">. </w:t>
      </w:r>
      <w:r w:rsidR="0080110E" w:rsidRPr="00D52EFE">
        <w:rPr>
          <w:rFonts w:ascii="Times New Roman" w:eastAsia="Times New Roman" w:hAnsi="Times New Roman" w:cs="Times New Roman"/>
          <w:color w:val="auto"/>
        </w:rPr>
        <w:t xml:space="preserve"> </w:t>
      </w:r>
    </w:p>
    <w:p w14:paraId="539F5293" w14:textId="77777777" w:rsidR="00D70F60" w:rsidRPr="00D52EFE" w:rsidRDefault="00D70F60" w:rsidP="00C86397">
      <w:pPr>
        <w:rPr>
          <w:rFonts w:ascii="Times New Roman" w:eastAsia="Times New Roman" w:hAnsi="Times New Roman" w:cs="Times New Roman"/>
          <w:color w:val="auto"/>
        </w:rPr>
      </w:pPr>
    </w:p>
    <w:p w14:paraId="222FB044"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An observable trend in eGovernment initiatives throughout Europe in recent years has been the emergence and rollout of electronic identity schemes that allow individuals to manage and authenticate their identities in conjunction with the use of online public services. Against this bac</w:t>
      </w:r>
      <w:r w:rsidR="00B806E1" w:rsidRPr="00D52EFE">
        <w:rPr>
          <w:rFonts w:ascii="Times New Roman" w:eastAsia="Times New Roman" w:hAnsi="Times New Roman" w:cs="Times New Roman"/>
          <w:color w:val="auto"/>
        </w:rPr>
        <w:t>kground, the UK</w:t>
      </w:r>
      <w:r w:rsidRPr="00D52EFE">
        <w:rPr>
          <w:rFonts w:ascii="Times New Roman" w:eastAsia="Times New Roman" w:hAnsi="Times New Roman" w:cs="Times New Roman"/>
          <w:color w:val="auto"/>
        </w:rPr>
        <w:t xml:space="preserve"> Government has recently been developing its own electronic identification (eID) scheme, Gov.UK Verify. This service, which delegates the verification of users’ identities to a range of certified private companies, claims to provide a safer, simpler, and faster way of accessing government services.</w:t>
      </w:r>
    </w:p>
    <w:p w14:paraId="1A89D288" w14:textId="77777777" w:rsidR="00D70F60" w:rsidRPr="00D52EFE" w:rsidRDefault="00D70F60" w:rsidP="00C86397">
      <w:pPr>
        <w:rPr>
          <w:rFonts w:ascii="Times New Roman" w:eastAsia="Times New Roman" w:hAnsi="Times New Roman" w:cs="Times New Roman"/>
          <w:color w:val="auto"/>
        </w:rPr>
      </w:pPr>
    </w:p>
    <w:p w14:paraId="345E7D3B" w14:textId="28975884"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lastRenderedPageBreak/>
        <w:t xml:space="preserve">The development of GOV.UK Verify can also be situated in the context of the encouragement of the deployment of </w:t>
      </w:r>
      <w:r w:rsidR="00377A4F" w:rsidRPr="00D52EFE">
        <w:rPr>
          <w:rFonts w:ascii="Times New Roman" w:eastAsia="Times New Roman" w:hAnsi="Times New Roman" w:cs="Times New Roman"/>
          <w:color w:val="auto"/>
        </w:rPr>
        <w:t xml:space="preserve">eID </w:t>
      </w:r>
      <w:r w:rsidRPr="00D52EFE">
        <w:rPr>
          <w:rFonts w:ascii="Times New Roman" w:eastAsia="Times New Roman" w:hAnsi="Times New Roman" w:cs="Times New Roman"/>
          <w:color w:val="auto"/>
        </w:rPr>
        <w:t>schemes at the European Union level with the adoption two years before the GDPR of the Regulation on electronic identification and trust services for electronic transactions in the internal market (eIDAS)</w:t>
      </w:r>
      <w:bookmarkStart w:id="2" w:name="_Ref494995563"/>
      <w:r w:rsidRPr="00D52EFE">
        <w:rPr>
          <w:rFonts w:ascii="Times New Roman" w:eastAsia="Times New Roman" w:hAnsi="Times New Roman" w:cs="Times New Roman"/>
          <w:color w:val="auto"/>
          <w:vertAlign w:val="superscript"/>
        </w:rPr>
        <w:footnoteReference w:id="7"/>
      </w:r>
      <w:bookmarkEnd w:id="2"/>
      <w:r w:rsidRPr="00D52EFE">
        <w:rPr>
          <w:rFonts w:ascii="Times New Roman" w:eastAsia="Times New Roman" w:hAnsi="Times New Roman" w:cs="Times New Roman"/>
          <w:color w:val="auto"/>
        </w:rPr>
        <w:t xml:space="preserve"> in 2014. To be clear, eIDAS does not impose the creation of national eID schemes as such but aims to ensure their interoperability through the application of the principle of mutual recognition once Member States decide to notify them to the European Commission.</w:t>
      </w:r>
      <w:r w:rsidR="004B5B89" w:rsidRPr="00D52EFE">
        <w:rPr>
          <w:rFonts w:ascii="Times New Roman" w:eastAsia="Times New Roman" w:hAnsi="Times New Roman" w:cs="Times New Roman"/>
          <w:color w:val="auto"/>
        </w:rPr>
        <w:t xml:space="preserve"> The scope of eIDAS Article 6 is the mutual recognition of EU eID schemes; as such, eIDAS does not provide for recognition of eID schemes that belong to ‘third-countries’ (countries outside of the EU).</w:t>
      </w:r>
      <w:r w:rsidR="004B5B89" w:rsidRPr="00D52EFE">
        <w:rPr>
          <w:rStyle w:val="FootnoteReference"/>
          <w:rFonts w:ascii="Times New Roman" w:eastAsia="Times New Roman" w:hAnsi="Times New Roman" w:cs="Times New Roman"/>
          <w:color w:val="auto"/>
        </w:rPr>
        <w:footnoteReference w:id="8"/>
      </w:r>
      <w:r w:rsidR="004B5B89" w:rsidRPr="00D52EFE">
        <w:rPr>
          <w:rFonts w:ascii="Times New Roman" w:eastAsia="Times New Roman" w:hAnsi="Times New Roman" w:cs="Times New Roman"/>
          <w:color w:val="auto"/>
        </w:rPr>
        <w:t xml:space="preserve"> The UK </w:t>
      </w:r>
      <w:r w:rsidR="009B0E2C" w:rsidRPr="00D52EFE">
        <w:rPr>
          <w:rFonts w:ascii="Times New Roman" w:eastAsia="Times New Roman" w:hAnsi="Times New Roman" w:cs="Times New Roman"/>
          <w:color w:val="auto"/>
        </w:rPr>
        <w:t>invoked</w:t>
      </w:r>
      <w:r w:rsidR="004B5B89" w:rsidRPr="00D52EFE">
        <w:rPr>
          <w:rFonts w:ascii="Times New Roman" w:eastAsia="Times New Roman" w:hAnsi="Times New Roman" w:cs="Times New Roman"/>
          <w:color w:val="auto"/>
        </w:rPr>
        <w:t xml:space="preserve"> the exit process of Article 50 of the Treaty of the European Union </w:t>
      </w:r>
      <w:r w:rsidR="009B0E2C" w:rsidRPr="00D52EFE">
        <w:rPr>
          <w:rFonts w:ascii="Times New Roman" w:eastAsia="Times New Roman" w:hAnsi="Times New Roman" w:cs="Times New Roman"/>
          <w:color w:val="auto"/>
        </w:rPr>
        <w:t>on the 28</w:t>
      </w:r>
      <w:r w:rsidR="009B0E2C" w:rsidRPr="00D52EFE">
        <w:rPr>
          <w:rFonts w:ascii="Times New Roman" w:eastAsia="Times New Roman" w:hAnsi="Times New Roman" w:cs="Times New Roman"/>
          <w:color w:val="auto"/>
          <w:vertAlign w:val="superscript"/>
        </w:rPr>
        <w:t xml:space="preserve"> </w:t>
      </w:r>
      <w:r w:rsidR="009B0E2C" w:rsidRPr="00D52EFE">
        <w:rPr>
          <w:rFonts w:ascii="Times New Roman" w:eastAsia="Times New Roman" w:hAnsi="Times New Roman" w:cs="Times New Roman"/>
          <w:color w:val="auto"/>
        </w:rPr>
        <w:t xml:space="preserve">March 2017, </w:t>
      </w:r>
      <w:r w:rsidR="004B5B89" w:rsidRPr="00D52EFE">
        <w:rPr>
          <w:rFonts w:ascii="Times New Roman" w:eastAsia="Times New Roman" w:hAnsi="Times New Roman" w:cs="Times New Roman"/>
          <w:color w:val="auto"/>
        </w:rPr>
        <w:t xml:space="preserve">after the result of a referendum </w:t>
      </w:r>
      <w:r w:rsidR="009B0E2C" w:rsidRPr="00D52EFE">
        <w:rPr>
          <w:rFonts w:ascii="Times New Roman" w:eastAsia="Times New Roman" w:hAnsi="Times New Roman" w:cs="Times New Roman"/>
          <w:color w:val="auto"/>
        </w:rPr>
        <w:t>on 24 June 2016. The ‘Brexit’, as the prospective withdrawal was named, is currently at the negotiating phase, with an expected ‘exit day’ o</w:t>
      </w:r>
      <w:r w:rsidR="009E5152" w:rsidRPr="00D52EFE">
        <w:rPr>
          <w:rFonts w:ascii="Times New Roman" w:eastAsia="Times New Roman" w:hAnsi="Times New Roman" w:cs="Times New Roman"/>
          <w:color w:val="auto"/>
        </w:rPr>
        <w:t xml:space="preserve">n </w:t>
      </w:r>
      <w:r w:rsidR="009B0E2C" w:rsidRPr="00D52EFE">
        <w:rPr>
          <w:rFonts w:ascii="Times New Roman" w:eastAsia="Times New Roman" w:hAnsi="Times New Roman" w:cs="Times New Roman"/>
          <w:color w:val="auto"/>
        </w:rPr>
        <w:t>29 March 2019.</w:t>
      </w:r>
      <w:r w:rsidR="009B0E2C" w:rsidRPr="00D52EFE">
        <w:rPr>
          <w:rStyle w:val="FootnoteReference"/>
          <w:rFonts w:ascii="Times New Roman" w:eastAsia="Times New Roman" w:hAnsi="Times New Roman" w:cs="Times New Roman"/>
          <w:color w:val="auto"/>
        </w:rPr>
        <w:footnoteReference w:id="9"/>
      </w:r>
      <w:r w:rsidRPr="00D52EFE">
        <w:rPr>
          <w:rFonts w:ascii="Times New Roman" w:eastAsia="Times New Roman" w:hAnsi="Times New Roman" w:cs="Times New Roman"/>
          <w:color w:val="auto"/>
        </w:rPr>
        <w:t xml:space="preserve"> </w:t>
      </w:r>
      <w:r w:rsidR="002C0172" w:rsidRPr="00D52EFE">
        <w:rPr>
          <w:rFonts w:ascii="Times New Roman" w:eastAsia="Times New Roman" w:hAnsi="Times New Roman" w:cs="Times New Roman"/>
          <w:color w:val="auto"/>
        </w:rPr>
        <w:t xml:space="preserve">Consequently, application of eIDAS after a potential withdrawal of the UK from the EU will </w:t>
      </w:r>
      <w:r w:rsidR="00377A4F" w:rsidRPr="00D52EFE">
        <w:rPr>
          <w:rFonts w:ascii="Times New Roman" w:eastAsia="Times New Roman" w:hAnsi="Times New Roman" w:cs="Times New Roman"/>
          <w:color w:val="auto"/>
        </w:rPr>
        <w:t>largely</w:t>
      </w:r>
      <w:r w:rsidR="002C0172" w:rsidRPr="00D52EFE">
        <w:rPr>
          <w:rFonts w:ascii="Times New Roman" w:eastAsia="Times New Roman" w:hAnsi="Times New Roman" w:cs="Times New Roman"/>
          <w:color w:val="auto"/>
        </w:rPr>
        <w:t xml:space="preserve"> depend on the outcome of the ongoing negotiations.</w:t>
      </w:r>
      <w:r w:rsidR="002C0172" w:rsidRPr="00D52EFE">
        <w:rPr>
          <w:rStyle w:val="FootnoteReference"/>
          <w:rFonts w:ascii="Times New Roman" w:eastAsia="Times New Roman" w:hAnsi="Times New Roman" w:cs="Times New Roman"/>
          <w:color w:val="auto"/>
        </w:rPr>
        <w:footnoteReference w:id="10"/>
      </w:r>
    </w:p>
    <w:p w14:paraId="27F70166" w14:textId="77777777" w:rsidR="00D70F60" w:rsidRPr="00D52EFE" w:rsidRDefault="00D70F60" w:rsidP="00C86397">
      <w:pPr>
        <w:rPr>
          <w:rFonts w:ascii="Times New Roman" w:eastAsia="Times New Roman" w:hAnsi="Times New Roman" w:cs="Times New Roman"/>
          <w:color w:val="auto"/>
        </w:rPr>
      </w:pPr>
    </w:p>
    <w:p w14:paraId="49FD6C0A" w14:textId="59546FFE"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eIDAS makes it clear that processing of personal data shall be undertaken in compliance with </w:t>
      </w:r>
      <w:r w:rsidR="000800BB" w:rsidRPr="00D52EFE">
        <w:rPr>
          <w:rFonts w:ascii="Times New Roman" w:eastAsia="Times New Roman" w:hAnsi="Times New Roman" w:cs="Times New Roman"/>
          <w:color w:val="auto"/>
        </w:rPr>
        <w:t>EU data</w:t>
      </w:r>
      <w:r w:rsidRPr="00D52EFE">
        <w:rPr>
          <w:rFonts w:ascii="Times New Roman" w:eastAsia="Times New Roman" w:hAnsi="Times New Roman" w:cs="Times New Roman"/>
          <w:color w:val="auto"/>
        </w:rPr>
        <w:t xml:space="preserve"> protection law.</w:t>
      </w:r>
      <w:r w:rsidRPr="00D52EFE">
        <w:rPr>
          <w:rFonts w:ascii="Times New Roman" w:eastAsia="Times New Roman" w:hAnsi="Times New Roman" w:cs="Times New Roman"/>
          <w:color w:val="auto"/>
          <w:vertAlign w:val="superscript"/>
        </w:rPr>
        <w:footnoteReference w:id="11"/>
      </w:r>
      <w:r w:rsidRPr="00D52EFE">
        <w:rPr>
          <w:rFonts w:ascii="Times New Roman" w:eastAsia="Times New Roman" w:hAnsi="Times New Roman" w:cs="Times New Roman"/>
          <w:color w:val="auto"/>
        </w:rPr>
        <w:t xml:space="preserve"> </w:t>
      </w:r>
      <w:r w:rsidR="000800BB" w:rsidRPr="00D52EFE">
        <w:rPr>
          <w:rFonts w:ascii="Times New Roman" w:eastAsia="Times New Roman" w:hAnsi="Times New Roman" w:cs="Times New Roman"/>
          <w:color w:val="auto"/>
        </w:rPr>
        <w:t>Obviously,</w:t>
      </w:r>
      <w:r w:rsidRPr="00D52EFE">
        <w:rPr>
          <w:rFonts w:ascii="Times New Roman" w:eastAsia="Times New Roman" w:hAnsi="Times New Roman" w:cs="Times New Roman"/>
          <w:color w:val="auto"/>
        </w:rPr>
        <w:t xml:space="preserve"> data protection law me</w:t>
      </w:r>
      <w:r w:rsidR="00FD666F" w:rsidRPr="00D52EFE">
        <w:rPr>
          <w:rFonts w:ascii="Times New Roman" w:eastAsia="Times New Roman" w:hAnsi="Times New Roman" w:cs="Times New Roman"/>
          <w:color w:val="auto"/>
        </w:rPr>
        <w:t>ant in 2014 the DPD but eIDAS in</w:t>
      </w:r>
      <w:r w:rsidRPr="00D52EFE">
        <w:rPr>
          <w:rFonts w:ascii="Times New Roman" w:eastAsia="Times New Roman" w:hAnsi="Times New Roman" w:cs="Times New Roman"/>
          <w:color w:val="auto"/>
        </w:rPr>
        <w:t xml:space="preserve"> some ways could be seen as anticipating the GDPR as one finds express references to key data protection concepts such as privacy by design.</w:t>
      </w:r>
      <w:r w:rsidRPr="00D52EFE">
        <w:rPr>
          <w:rFonts w:ascii="Times New Roman" w:eastAsia="Times New Roman" w:hAnsi="Times New Roman" w:cs="Times New Roman"/>
          <w:color w:val="auto"/>
          <w:vertAlign w:val="superscript"/>
        </w:rPr>
        <w:footnoteReference w:id="12"/>
      </w:r>
      <w:r w:rsidRPr="00D52EFE">
        <w:rPr>
          <w:rFonts w:ascii="Times New Roman" w:eastAsia="Times New Roman" w:hAnsi="Times New Roman" w:cs="Times New Roman"/>
          <w:color w:val="auto"/>
        </w:rPr>
        <w:t xml:space="preserve"> Compliance with data protection law is a crucial requirement as the use of eID schemes as a means of managing identities necessarily involves the processing of individuals’ personal data and, consequently, means that all such services, including Gov.UK Verify, must comply with EU data protection law. Importantly,</w:t>
      </w:r>
      <w:r w:rsidR="006B0A80" w:rsidRPr="00D52EFE">
        <w:rPr>
          <w:rFonts w:ascii="Times New Roman" w:eastAsia="Times New Roman" w:hAnsi="Times New Roman" w:cs="Times New Roman"/>
          <w:color w:val="auto"/>
        </w:rPr>
        <w:t xml:space="preserve"> Brexit, </w:t>
      </w:r>
      <w:r w:rsidR="00A338CE" w:rsidRPr="00D52EFE">
        <w:rPr>
          <w:rFonts w:ascii="Times New Roman" w:eastAsia="Times New Roman" w:hAnsi="Times New Roman" w:cs="Times New Roman"/>
          <w:i/>
          <w:color w:val="auto"/>
        </w:rPr>
        <w:t>i.e.</w:t>
      </w:r>
      <w:r w:rsidR="006B0A80" w:rsidRPr="00D52EFE">
        <w:rPr>
          <w:rFonts w:ascii="Times New Roman" w:eastAsia="Times New Roman" w:hAnsi="Times New Roman" w:cs="Times New Roman"/>
          <w:color w:val="auto"/>
        </w:rPr>
        <w:t xml:space="preserve"> the UK</w:t>
      </w:r>
      <w:r w:rsidRPr="00D52EFE">
        <w:rPr>
          <w:rFonts w:ascii="Times New Roman" w:eastAsia="Times New Roman" w:hAnsi="Times New Roman" w:cs="Times New Roman"/>
          <w:color w:val="auto"/>
        </w:rPr>
        <w:t xml:space="preserve"> leaving the European Union, should not affect this requirement. The message from the UK government and the ICO has always been </w:t>
      </w:r>
      <w:r w:rsidR="002D5B6C" w:rsidRPr="00D52EFE">
        <w:rPr>
          <w:rFonts w:ascii="Times New Roman" w:eastAsia="Times New Roman" w:hAnsi="Times New Roman" w:cs="Times New Roman"/>
          <w:color w:val="auto"/>
        </w:rPr>
        <w:t xml:space="preserve">that the substance of the GDPR </w:t>
      </w:r>
      <w:r w:rsidRPr="00D52EFE">
        <w:rPr>
          <w:rFonts w:ascii="Times New Roman" w:eastAsia="Times New Roman" w:hAnsi="Times New Roman" w:cs="Times New Roman"/>
          <w:color w:val="auto"/>
        </w:rPr>
        <w:t>will be part of UK law.</w:t>
      </w:r>
      <w:bookmarkStart w:id="3" w:name="_Ref495059200"/>
      <w:r w:rsidRPr="00D52EFE">
        <w:rPr>
          <w:rFonts w:ascii="Times New Roman" w:eastAsia="Times New Roman" w:hAnsi="Times New Roman" w:cs="Times New Roman"/>
          <w:color w:val="auto"/>
          <w:vertAlign w:val="superscript"/>
        </w:rPr>
        <w:footnoteReference w:id="13"/>
      </w:r>
      <w:bookmarkEnd w:id="3"/>
      <w:r w:rsidRPr="00D52EFE">
        <w:rPr>
          <w:rFonts w:ascii="Times New Roman" w:eastAsia="Times New Roman" w:hAnsi="Times New Roman" w:cs="Times New Roman"/>
          <w:color w:val="auto"/>
        </w:rPr>
        <w:t xml:space="preserve"> The strongest commitment to this ideal to date being the recent announcement of a new Data Protection Bill designed to transpose the terms of the GDPR into UK law.</w:t>
      </w:r>
      <w:r w:rsidRPr="00D52EFE">
        <w:rPr>
          <w:rFonts w:ascii="Times New Roman" w:eastAsia="Times New Roman" w:hAnsi="Times New Roman" w:cs="Times New Roman"/>
          <w:color w:val="auto"/>
          <w:vertAlign w:val="superscript"/>
        </w:rPr>
        <w:footnoteReference w:id="14"/>
      </w:r>
      <w:r w:rsidRPr="00D52EFE">
        <w:rPr>
          <w:rFonts w:ascii="Times New Roman" w:eastAsia="Times New Roman" w:hAnsi="Times New Roman" w:cs="Times New Roman"/>
          <w:color w:val="auto"/>
        </w:rPr>
        <w:t xml:space="preserve"> </w:t>
      </w:r>
    </w:p>
    <w:p w14:paraId="1A268823" w14:textId="77777777" w:rsidR="00D70F60" w:rsidRPr="00D52EFE" w:rsidRDefault="00D70F60" w:rsidP="00C86397">
      <w:pPr>
        <w:rPr>
          <w:rFonts w:ascii="Times New Roman" w:eastAsia="Times New Roman" w:hAnsi="Times New Roman" w:cs="Times New Roman"/>
          <w:color w:val="auto"/>
        </w:rPr>
      </w:pPr>
    </w:p>
    <w:p w14:paraId="53416BA6"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This article focuses on the issue of data protection law compliance in the context of eID schemes and examines Gov.UK Verify’s compliance with some substantive provisions of the EU data protection framework. It identifies some inadequacies inherent in Gov.UK Verify’s general setup in the light of </w:t>
      </w:r>
      <w:r w:rsidR="006B0A80" w:rsidRPr="00D52EFE">
        <w:rPr>
          <w:rFonts w:ascii="Times New Roman" w:eastAsia="Times New Roman" w:hAnsi="Times New Roman" w:cs="Times New Roman"/>
          <w:color w:val="auto"/>
        </w:rPr>
        <w:t xml:space="preserve">the GDPR </w:t>
      </w:r>
      <w:r w:rsidRPr="00D52EFE">
        <w:rPr>
          <w:rFonts w:ascii="Times New Roman" w:eastAsia="Times New Roman" w:hAnsi="Times New Roman" w:cs="Times New Roman"/>
          <w:color w:val="auto"/>
        </w:rPr>
        <w:t xml:space="preserve">and ultimately argues that its operation lacks an adequate legal basis for the reason that </w:t>
      </w:r>
      <w:r w:rsidRPr="00D52EFE">
        <w:rPr>
          <w:rFonts w:ascii="Times New Roman" w:eastAsia="Times New Roman" w:hAnsi="Times New Roman" w:cs="Times New Roman"/>
          <w:color w:val="auto"/>
        </w:rPr>
        <w:lastRenderedPageBreak/>
        <w:t xml:space="preserve">despite the detailed allocation of roles between the different actors, the process of electronic identification by identity providers lead to a situation of joint controllership. </w:t>
      </w:r>
    </w:p>
    <w:p w14:paraId="0FCB9D58" w14:textId="77777777" w:rsidR="00D70F60" w:rsidRPr="00D52EFE" w:rsidRDefault="00D70F60" w:rsidP="00C86397">
      <w:pPr>
        <w:rPr>
          <w:rFonts w:ascii="Times New Roman" w:eastAsia="Times New Roman" w:hAnsi="Times New Roman" w:cs="Times New Roman"/>
          <w:color w:val="auto"/>
        </w:rPr>
      </w:pPr>
    </w:p>
    <w:p w14:paraId="314DA270" w14:textId="5DD1FA71" w:rsidR="009B3AF1"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Gov.UK Verify is therefore used as a case study to illustrate one key compliance challenge brought about by the GDPR: the establishment of a proper legal basis for the processing of personal data, which is relevant for both private and public entities. </w:t>
      </w:r>
      <w:r w:rsidR="00C10449" w:rsidRPr="00D52EFE">
        <w:rPr>
          <w:rFonts w:ascii="Times New Roman" w:eastAsia="Times New Roman" w:hAnsi="Times New Roman" w:cs="Times New Roman"/>
          <w:color w:val="auto"/>
        </w:rPr>
        <w:t xml:space="preserve">The choosing of an appropriate legal basis among the list of legal bases offered by GDPR Article 6 appears to be a crucial exercise for legal compliance purposes. </w:t>
      </w:r>
      <w:r w:rsidRPr="00D52EFE">
        <w:rPr>
          <w:rFonts w:ascii="Times New Roman" w:eastAsia="Times New Roman" w:hAnsi="Times New Roman" w:cs="Times New Roman"/>
          <w:color w:val="auto"/>
        </w:rPr>
        <w:t xml:space="preserve">Notably, the GDPR provides that </w:t>
      </w:r>
    </w:p>
    <w:p w14:paraId="5F33BBFF" w14:textId="77777777" w:rsidR="009B3AF1" w:rsidRPr="00D52EFE" w:rsidRDefault="009B3AF1" w:rsidP="00C86397">
      <w:pPr>
        <w:rPr>
          <w:rFonts w:ascii="Times New Roman" w:eastAsia="Times New Roman" w:hAnsi="Times New Roman" w:cs="Times New Roman"/>
          <w:color w:val="auto"/>
        </w:rPr>
      </w:pPr>
    </w:p>
    <w:p w14:paraId="3B9C8576" w14:textId="2DECB419" w:rsidR="009B3AF1" w:rsidRPr="00D52EFE" w:rsidRDefault="000B5581" w:rsidP="00C86397">
      <w:pPr>
        <w:ind w:left="1134"/>
        <w:rPr>
          <w:rFonts w:ascii="Times New Roman" w:eastAsia="Times New Roman" w:hAnsi="Times New Roman" w:cs="Times New Roman"/>
          <w:color w:val="auto"/>
        </w:rPr>
      </w:pPr>
      <w:r w:rsidRPr="00D52EFE">
        <w:rPr>
          <w:rFonts w:ascii="Times New Roman" w:eastAsia="Times New Roman" w:hAnsi="Times New Roman" w:cs="Times New Roman"/>
          <w:i/>
          <w:color w:val="auto"/>
        </w:rPr>
        <w:t>infringements of [the basic principles for processing, including conditions for consent, pursuant to Articles 5, 6, 7 and 9] shall …be subject to administrative fines up to 20 000 000 EUR, or in the case of an undertaking, up to 4 % of the total worldwide annual turnover of the preceding finan</w:t>
      </w:r>
      <w:r w:rsidR="009B3AF1" w:rsidRPr="00D52EFE">
        <w:rPr>
          <w:rFonts w:ascii="Times New Roman" w:eastAsia="Times New Roman" w:hAnsi="Times New Roman" w:cs="Times New Roman"/>
          <w:i/>
          <w:color w:val="auto"/>
        </w:rPr>
        <w:t>cial year, whichever is higher.</w:t>
      </w:r>
      <w:r w:rsidRPr="00D52EFE">
        <w:rPr>
          <w:rFonts w:ascii="Times New Roman" w:eastAsia="Times New Roman" w:hAnsi="Times New Roman" w:cs="Times New Roman"/>
          <w:color w:val="auto"/>
          <w:vertAlign w:val="superscript"/>
        </w:rPr>
        <w:footnoteReference w:id="15"/>
      </w:r>
      <w:r w:rsidRPr="00D52EFE">
        <w:rPr>
          <w:rFonts w:ascii="Times New Roman" w:eastAsia="Times New Roman" w:hAnsi="Times New Roman" w:cs="Times New Roman"/>
          <w:color w:val="auto"/>
        </w:rPr>
        <w:t xml:space="preserve"> </w:t>
      </w:r>
    </w:p>
    <w:p w14:paraId="57833276" w14:textId="77777777" w:rsidR="009B3AF1" w:rsidRPr="00D52EFE" w:rsidRDefault="009B3AF1" w:rsidP="00C86397">
      <w:pPr>
        <w:rPr>
          <w:rFonts w:ascii="Times New Roman" w:eastAsia="Times New Roman" w:hAnsi="Times New Roman" w:cs="Times New Roman"/>
          <w:color w:val="auto"/>
        </w:rPr>
      </w:pPr>
    </w:p>
    <w:p w14:paraId="115FEAE0" w14:textId="48543B6C"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Interestingly</w:t>
      </w:r>
      <w:r w:rsidR="004C31F3" w:rsidRPr="00D52EFE">
        <w:rPr>
          <w:rFonts w:ascii="Times New Roman" w:eastAsia="Times New Roman" w:hAnsi="Times New Roman" w:cs="Times New Roman"/>
          <w:color w:val="auto"/>
        </w:rPr>
        <w:t xml:space="preserve"> however</w:t>
      </w:r>
      <w:r w:rsidRPr="00D52EFE">
        <w:rPr>
          <w:rFonts w:ascii="Times New Roman" w:eastAsia="Times New Roman" w:hAnsi="Times New Roman" w:cs="Times New Roman"/>
          <w:color w:val="auto"/>
        </w:rPr>
        <w:t xml:space="preserve">, in the Deep Mind affair, </w:t>
      </w:r>
      <w:r w:rsidR="00C10449" w:rsidRPr="00D52EFE">
        <w:rPr>
          <w:rFonts w:ascii="Times New Roman" w:eastAsia="Times New Roman" w:hAnsi="Times New Roman" w:cs="Times New Roman"/>
          <w:color w:val="auto"/>
        </w:rPr>
        <w:t>as hinted</w:t>
      </w:r>
      <w:r w:rsidRPr="00D52EFE">
        <w:rPr>
          <w:rFonts w:ascii="Times New Roman" w:eastAsia="Times New Roman" w:hAnsi="Times New Roman" w:cs="Times New Roman"/>
          <w:color w:val="auto"/>
        </w:rPr>
        <w:t xml:space="preserve"> above, the ICO did not find the need to issue any monetary penalty, although several violations of the UK Data Protection Act were found to have occurred, one of which was the fact that Deep Mind’s personal data processing activities were based on an erroneous legal basis. </w:t>
      </w:r>
    </w:p>
    <w:p w14:paraId="27C245CE" w14:textId="77777777" w:rsidR="00D70F60" w:rsidRPr="00D52EFE" w:rsidRDefault="00D70F60" w:rsidP="00C86397">
      <w:pPr>
        <w:rPr>
          <w:rFonts w:ascii="Times New Roman" w:eastAsia="Times New Roman" w:hAnsi="Times New Roman" w:cs="Times New Roman"/>
          <w:color w:val="auto"/>
        </w:rPr>
      </w:pPr>
    </w:p>
    <w:p w14:paraId="62FCACAD" w14:textId="49CFEB43" w:rsidR="00D70F60" w:rsidRPr="00D52EFE" w:rsidRDefault="004C31F3"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w:t>
      </w:r>
      <w:r w:rsidR="000B5581" w:rsidRPr="00D52EFE">
        <w:rPr>
          <w:rFonts w:ascii="Times New Roman" w:eastAsia="Times New Roman" w:hAnsi="Times New Roman" w:cs="Times New Roman"/>
          <w:color w:val="auto"/>
        </w:rPr>
        <w:t xml:space="preserve">he legal assessment of Gov.UK Verify </w:t>
      </w:r>
      <w:r w:rsidRPr="00D52EFE">
        <w:rPr>
          <w:rFonts w:ascii="Times New Roman" w:eastAsia="Times New Roman" w:hAnsi="Times New Roman" w:cs="Times New Roman"/>
          <w:color w:val="auto"/>
        </w:rPr>
        <w:t>is then pushed further</w:t>
      </w:r>
      <w:r w:rsidR="00795D6B" w:rsidRPr="00D52EFE">
        <w:rPr>
          <w:rFonts w:ascii="Times New Roman" w:eastAsia="Times New Roman" w:hAnsi="Times New Roman" w:cs="Times New Roman"/>
          <w:color w:val="auto"/>
        </w:rPr>
        <w:t xml:space="preserve"> to assess whether the UK eID scheme involving both public bodies and private entities would not be better described as </w:t>
      </w:r>
      <w:r w:rsidR="000B5581" w:rsidRPr="00D52EFE">
        <w:rPr>
          <w:rFonts w:ascii="Times New Roman" w:eastAsia="Times New Roman" w:hAnsi="Times New Roman" w:cs="Times New Roman"/>
          <w:color w:val="auto"/>
        </w:rPr>
        <w:t xml:space="preserve">a situation of joint controllership </w:t>
      </w:r>
      <w:r w:rsidR="00795D6B" w:rsidRPr="00D52EFE">
        <w:rPr>
          <w:rFonts w:ascii="Times New Roman" w:eastAsia="Times New Roman" w:hAnsi="Times New Roman" w:cs="Times New Roman"/>
          <w:color w:val="auto"/>
        </w:rPr>
        <w:t xml:space="preserve">and infer the consequences of such a characterisation. </w:t>
      </w:r>
    </w:p>
    <w:p w14:paraId="12795592" w14:textId="77777777" w:rsidR="00D70F60" w:rsidRPr="00D52EFE" w:rsidRDefault="00D70F60" w:rsidP="00C86397">
      <w:pPr>
        <w:rPr>
          <w:rFonts w:ascii="Times New Roman" w:eastAsia="Times New Roman" w:hAnsi="Times New Roman" w:cs="Times New Roman"/>
          <w:color w:val="auto"/>
        </w:rPr>
      </w:pPr>
    </w:p>
    <w:p w14:paraId="53D48B05" w14:textId="62FF8D8C" w:rsidR="00D70F60" w:rsidRPr="00D52EFE" w:rsidRDefault="00795D6B"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w:t>
      </w:r>
      <w:r w:rsidR="000B5581" w:rsidRPr="00D52EFE">
        <w:rPr>
          <w:rFonts w:ascii="Times New Roman" w:eastAsia="Times New Roman" w:hAnsi="Times New Roman" w:cs="Times New Roman"/>
          <w:color w:val="auto"/>
        </w:rPr>
        <w:t xml:space="preserve">article </w:t>
      </w:r>
      <w:r w:rsidRPr="00D52EFE">
        <w:rPr>
          <w:rFonts w:ascii="Times New Roman" w:eastAsia="Times New Roman" w:hAnsi="Times New Roman" w:cs="Times New Roman"/>
          <w:color w:val="auto"/>
        </w:rPr>
        <w:t xml:space="preserve">thus </w:t>
      </w:r>
      <w:r w:rsidR="000B5581" w:rsidRPr="00D52EFE">
        <w:rPr>
          <w:rFonts w:ascii="Times New Roman" w:eastAsia="Times New Roman" w:hAnsi="Times New Roman" w:cs="Times New Roman"/>
          <w:color w:val="auto"/>
        </w:rPr>
        <w:t>consists of four main sections. The first section comprehensively outlines Gov.UK Verify, drawing attention to its technical and operational dimensions including the substance of the data protection impact assessment (</w:t>
      </w:r>
      <w:r w:rsidR="00CD5140">
        <w:rPr>
          <w:rFonts w:ascii="Times New Roman" w:eastAsia="Times New Roman" w:hAnsi="Times New Roman" w:cs="Times New Roman"/>
          <w:color w:val="auto"/>
        </w:rPr>
        <w:t xml:space="preserve">the Verify </w:t>
      </w:r>
      <w:r w:rsidR="000B5581" w:rsidRPr="00D52EFE">
        <w:rPr>
          <w:rFonts w:ascii="Times New Roman" w:eastAsia="Times New Roman" w:hAnsi="Times New Roman" w:cs="Times New Roman"/>
          <w:color w:val="auto"/>
        </w:rPr>
        <w:t>DPIA</w:t>
      </w:r>
      <w:r w:rsidR="004C31F3" w:rsidRPr="00D52EFE">
        <w:rPr>
          <w:rFonts w:ascii="Times New Roman" w:eastAsia="Times New Roman" w:hAnsi="Times New Roman" w:cs="Times New Roman"/>
          <w:color w:val="auto"/>
        </w:rPr>
        <w:t>) performed at the design stage</w:t>
      </w:r>
      <w:r w:rsidR="000B5581" w:rsidRPr="00D52EFE">
        <w:rPr>
          <w:rFonts w:ascii="Times New Roman" w:eastAsia="Times New Roman" w:hAnsi="Times New Roman" w:cs="Times New Roman"/>
          <w:color w:val="auto"/>
        </w:rPr>
        <w:t xml:space="preserve">. The second section sketches and discusses the various legal bases for the processing of personal data, a key constituent element of the EU data protection framework. The third section suggests that the processing of personal data by identity providers should be seen as </w:t>
      </w:r>
      <w:r w:rsidR="004A01B1">
        <w:rPr>
          <w:rFonts w:ascii="Times New Roman" w:eastAsia="Times New Roman" w:hAnsi="Times New Roman" w:cs="Times New Roman"/>
          <w:color w:val="auto"/>
        </w:rPr>
        <w:t>one part of a whole set of processing activities</w:t>
      </w:r>
      <w:r w:rsidR="000B5581" w:rsidRPr="00D52EFE">
        <w:rPr>
          <w:rFonts w:ascii="Times New Roman" w:eastAsia="Times New Roman" w:hAnsi="Times New Roman" w:cs="Times New Roman"/>
          <w:color w:val="auto"/>
        </w:rPr>
        <w:t xml:space="preserve"> and thereby adds an element of complexity to the picture by analysing the implications of </w:t>
      </w:r>
      <w:r w:rsidR="00810929">
        <w:rPr>
          <w:rFonts w:ascii="Times New Roman" w:eastAsia="Times New Roman" w:hAnsi="Times New Roman" w:cs="Times New Roman"/>
          <w:color w:val="auto"/>
        </w:rPr>
        <w:t>the</w:t>
      </w:r>
      <w:r w:rsidR="000B5581" w:rsidRPr="00D52EFE">
        <w:rPr>
          <w:rFonts w:ascii="Times New Roman" w:eastAsia="Times New Roman" w:hAnsi="Times New Roman" w:cs="Times New Roman"/>
          <w:color w:val="auto"/>
        </w:rPr>
        <w:t xml:space="preserve"> characterisation</w:t>
      </w:r>
      <w:r w:rsidR="00810929">
        <w:rPr>
          <w:rFonts w:ascii="Times New Roman" w:eastAsia="Times New Roman" w:hAnsi="Times New Roman" w:cs="Times New Roman"/>
          <w:color w:val="auto"/>
        </w:rPr>
        <w:t xml:space="preserve"> of the relationship between the different actors involved in the processing activities</w:t>
      </w:r>
      <w:r w:rsidR="000B5581" w:rsidRPr="00D52EFE">
        <w:rPr>
          <w:rFonts w:ascii="Times New Roman" w:eastAsia="Times New Roman" w:hAnsi="Times New Roman" w:cs="Times New Roman"/>
          <w:color w:val="auto"/>
        </w:rPr>
        <w:t xml:space="preserve"> for the requirement of a legal basis. It thus provides insight as to how the concept</w:t>
      </w:r>
      <w:r w:rsidR="00CB27D1">
        <w:rPr>
          <w:rFonts w:ascii="Times New Roman" w:eastAsia="Times New Roman" w:hAnsi="Times New Roman" w:cs="Times New Roman"/>
          <w:color w:val="auto"/>
        </w:rPr>
        <w:t>s</w:t>
      </w:r>
      <w:r w:rsidR="000B5581" w:rsidRPr="00D52EFE">
        <w:rPr>
          <w:rFonts w:ascii="Times New Roman" w:eastAsia="Times New Roman" w:hAnsi="Times New Roman" w:cs="Times New Roman"/>
          <w:color w:val="auto"/>
        </w:rPr>
        <w:t xml:space="preserve"> of</w:t>
      </w:r>
      <w:r w:rsidR="00CB27D1">
        <w:rPr>
          <w:rFonts w:ascii="Times New Roman" w:eastAsia="Times New Roman" w:hAnsi="Times New Roman" w:cs="Times New Roman"/>
          <w:color w:val="auto"/>
        </w:rPr>
        <w:t xml:space="preserve"> legal bases and</w:t>
      </w:r>
      <w:r w:rsidR="000B5581" w:rsidRPr="00D52EFE">
        <w:rPr>
          <w:rFonts w:ascii="Times New Roman" w:eastAsia="Times New Roman" w:hAnsi="Times New Roman" w:cs="Times New Roman"/>
          <w:color w:val="auto"/>
        </w:rPr>
        <w:t xml:space="preserve"> joint controllership should be interpreted in practice, which should have relevance for other cases such as the Deep Mind saga.</w:t>
      </w:r>
      <w:r w:rsidR="000B5581" w:rsidRPr="00D52EFE">
        <w:rPr>
          <w:rFonts w:ascii="Times New Roman" w:eastAsia="Times New Roman" w:hAnsi="Times New Roman" w:cs="Times New Roman"/>
          <w:color w:val="auto"/>
          <w:vertAlign w:val="superscript"/>
        </w:rPr>
        <w:footnoteReference w:id="16"/>
      </w:r>
      <w:r w:rsidR="000B5581" w:rsidRPr="00D52EFE">
        <w:rPr>
          <w:rFonts w:ascii="Times New Roman" w:eastAsia="Times New Roman" w:hAnsi="Times New Roman" w:cs="Times New Roman"/>
          <w:color w:val="auto"/>
        </w:rPr>
        <w:t xml:space="preserve"> </w:t>
      </w:r>
    </w:p>
    <w:p w14:paraId="1BE61583" w14:textId="77777777" w:rsidR="00D70F60" w:rsidRPr="00D52EFE" w:rsidRDefault="00D70F60" w:rsidP="00C86397">
      <w:pPr>
        <w:rPr>
          <w:rFonts w:ascii="Times New Roman" w:eastAsia="Times New Roman" w:hAnsi="Times New Roman" w:cs="Times New Roman"/>
          <w:b/>
          <w:color w:val="auto"/>
        </w:rPr>
      </w:pPr>
    </w:p>
    <w:p w14:paraId="337C9160" w14:textId="77777777" w:rsidR="00D70F60" w:rsidRPr="00D52EFE" w:rsidRDefault="00D70F60" w:rsidP="00C86397">
      <w:pPr>
        <w:rPr>
          <w:rFonts w:ascii="Times New Roman" w:eastAsia="Times New Roman" w:hAnsi="Times New Roman" w:cs="Times New Roman"/>
          <w:color w:val="auto"/>
        </w:rPr>
      </w:pPr>
    </w:p>
    <w:p w14:paraId="4CE1CE5D" w14:textId="6EE3E036" w:rsidR="00D70F60" w:rsidRPr="00D52EFE" w:rsidRDefault="007C694F" w:rsidP="00036ABA">
      <w:pPr>
        <w:pStyle w:val="Heading1"/>
      </w:pPr>
      <w:bookmarkStart w:id="4" w:name="_fcf6zuy8w0yf" w:colFirst="0" w:colLast="0"/>
      <w:bookmarkStart w:id="5" w:name="_Toc495075258"/>
      <w:bookmarkStart w:id="6" w:name="_Toc495674470"/>
      <w:bookmarkEnd w:id="4"/>
      <w:r w:rsidRPr="00D52EFE">
        <w:t xml:space="preserve">2. </w:t>
      </w:r>
      <w:r w:rsidR="000B5581" w:rsidRPr="00D52EFE">
        <w:t>Gov.UK Verify: a case study</w:t>
      </w:r>
      <w:bookmarkEnd w:id="5"/>
      <w:bookmarkEnd w:id="6"/>
    </w:p>
    <w:p w14:paraId="0DB6B25C"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In order to perform a legal assessment of Gov.UK Verify it is necessary to recall the inception of the project, describe its architec</w:t>
      </w:r>
      <w:r w:rsidR="00737A4B" w:rsidRPr="00D52EFE">
        <w:rPr>
          <w:rFonts w:ascii="Times New Roman" w:eastAsia="Times New Roman" w:hAnsi="Times New Roman" w:cs="Times New Roman"/>
          <w:color w:val="auto"/>
        </w:rPr>
        <w:t>tures, identify its actors, map</w:t>
      </w:r>
      <w:r w:rsidRPr="00D52EFE">
        <w:rPr>
          <w:rFonts w:ascii="Times New Roman" w:eastAsia="Times New Roman" w:hAnsi="Times New Roman" w:cs="Times New Roman"/>
          <w:color w:val="auto"/>
        </w:rPr>
        <w:t xml:space="preserve"> the data flows between the different components of the system as well as give an account of the perceptions of those involved in the design of the scheme as to the data protection implications of the establishment of such an eID scheme.  </w:t>
      </w:r>
    </w:p>
    <w:p w14:paraId="4C35A5BD" w14:textId="222D5F49" w:rsidR="00365C3A" w:rsidRPr="00D52EFE" w:rsidRDefault="00365C3A" w:rsidP="00C86397">
      <w:pPr>
        <w:rPr>
          <w:rFonts w:ascii="Times New Roman" w:eastAsia="Times New Roman" w:hAnsi="Times New Roman" w:cs="Times New Roman"/>
          <w:color w:val="auto"/>
        </w:rPr>
      </w:pPr>
    </w:p>
    <w:p w14:paraId="0E02F2E8" w14:textId="77777777" w:rsidR="00365C3A" w:rsidRPr="00D52EFE" w:rsidRDefault="00365C3A" w:rsidP="00C86397">
      <w:pPr>
        <w:rPr>
          <w:rFonts w:ascii="Times New Roman" w:eastAsia="Times New Roman" w:hAnsi="Times New Roman" w:cs="Times New Roman"/>
          <w:b/>
          <w:color w:val="auto"/>
        </w:rPr>
      </w:pPr>
    </w:p>
    <w:p w14:paraId="34E52E77" w14:textId="371D5DE5" w:rsidR="00D70F60" w:rsidRPr="00D52EFE" w:rsidRDefault="007C694F" w:rsidP="00C86397">
      <w:pPr>
        <w:pStyle w:val="Heading2"/>
        <w:rPr>
          <w:b/>
          <w:color w:val="auto"/>
          <w:sz w:val="22"/>
          <w:szCs w:val="22"/>
        </w:rPr>
      </w:pPr>
      <w:bookmarkStart w:id="7" w:name="_3znysh7" w:colFirst="0" w:colLast="0"/>
      <w:bookmarkStart w:id="8" w:name="_Toc495674471"/>
      <w:bookmarkEnd w:id="7"/>
      <w:r w:rsidRPr="00D52EFE">
        <w:rPr>
          <w:b/>
          <w:color w:val="auto"/>
          <w:sz w:val="22"/>
          <w:szCs w:val="22"/>
        </w:rPr>
        <w:t>2.1.</w:t>
      </w:r>
      <w:r w:rsidRPr="00D52EFE">
        <w:rPr>
          <w:b/>
          <w:color w:val="auto"/>
          <w:sz w:val="22"/>
          <w:szCs w:val="22"/>
        </w:rPr>
        <w:tab/>
      </w:r>
      <w:r w:rsidR="00572813" w:rsidRPr="00D52EFE">
        <w:rPr>
          <w:b/>
          <w:color w:val="auto"/>
          <w:sz w:val="22"/>
          <w:szCs w:val="22"/>
        </w:rPr>
        <w:t>The History</w:t>
      </w:r>
      <w:bookmarkEnd w:id="8"/>
    </w:p>
    <w:p w14:paraId="57346A2A" w14:textId="06AE9079" w:rsidR="00D70F60" w:rsidRPr="00D52EFE" w:rsidRDefault="00CB27D1" w:rsidP="002C0A55">
      <w:pPr>
        <w:rPr>
          <w:rFonts w:ascii="Times New Roman" w:eastAsia="Times New Roman" w:hAnsi="Times New Roman" w:cs="Times New Roman"/>
          <w:color w:val="auto"/>
        </w:rPr>
      </w:pPr>
      <w:r>
        <w:rPr>
          <w:rFonts w:ascii="Times New Roman" w:eastAsia="Times New Roman" w:hAnsi="Times New Roman" w:cs="Times New Roman"/>
          <w:color w:val="auto"/>
        </w:rPr>
        <w:t xml:space="preserve">In the UK, plans for digital </w:t>
      </w:r>
      <w:r w:rsidRPr="00CB27D1">
        <w:rPr>
          <w:rFonts w:ascii="Times New Roman" w:eastAsia="Times New Roman" w:hAnsi="Times New Roman" w:cs="Times New Roman"/>
          <w:color w:val="auto"/>
        </w:rPr>
        <w:t>governm</w:t>
      </w:r>
      <w:r w:rsidR="00E230F9">
        <w:rPr>
          <w:rFonts w:ascii="Times New Roman" w:eastAsia="Times New Roman" w:hAnsi="Times New Roman" w:cs="Times New Roman"/>
          <w:color w:val="auto"/>
        </w:rPr>
        <w:t>ent have been annual since 1996, with the UK Cabinet Office pushing for</w:t>
      </w:r>
      <w:r w:rsidR="002C0A55">
        <w:rPr>
          <w:rFonts w:ascii="Times New Roman" w:eastAsia="Times New Roman" w:hAnsi="Times New Roman" w:cs="Times New Roman"/>
          <w:color w:val="auto"/>
        </w:rPr>
        <w:t xml:space="preserve"> an</w:t>
      </w:r>
      <w:r w:rsidR="002C0A55" w:rsidRPr="002C0A55">
        <w:rPr>
          <w:rFonts w:ascii="Times New Roman" w:eastAsia="Times New Roman" w:hAnsi="Times New Roman" w:cs="Times New Roman"/>
          <w:color w:val="auto"/>
        </w:rPr>
        <w:t xml:space="preserve"> Identity Assurance Programme</w:t>
      </w:r>
      <w:r w:rsidR="00E230F9">
        <w:rPr>
          <w:rFonts w:ascii="Times New Roman" w:eastAsia="Times New Roman" w:hAnsi="Times New Roman" w:cs="Times New Roman"/>
          <w:color w:val="auto"/>
        </w:rPr>
        <w:t xml:space="preserve"> </w:t>
      </w:r>
      <w:r w:rsidR="00CF153D">
        <w:rPr>
          <w:rFonts w:ascii="Times New Roman" w:eastAsia="Times New Roman" w:hAnsi="Times New Roman" w:cs="Times New Roman"/>
          <w:color w:val="auto"/>
        </w:rPr>
        <w:t>from</w:t>
      </w:r>
      <w:r w:rsidR="00E230F9">
        <w:rPr>
          <w:rFonts w:ascii="Times New Roman" w:eastAsia="Times New Roman" w:hAnsi="Times New Roman" w:cs="Times New Roman"/>
          <w:color w:val="auto"/>
        </w:rPr>
        <w:t xml:space="preserve"> 2010</w:t>
      </w:r>
      <w:r w:rsidR="002C0A55">
        <w:rPr>
          <w:rFonts w:ascii="Times New Roman" w:eastAsia="Times New Roman" w:hAnsi="Times New Roman" w:cs="Times New Roman"/>
          <w:color w:val="auto"/>
        </w:rPr>
        <w:t xml:space="preserve"> </w:t>
      </w:r>
      <w:r w:rsidR="002C0A55" w:rsidRPr="002C0A55">
        <w:rPr>
          <w:rFonts w:ascii="Times New Roman" w:eastAsia="Times New Roman" w:hAnsi="Times New Roman" w:cs="Times New Roman"/>
          <w:color w:val="auto"/>
        </w:rPr>
        <w:t xml:space="preserve">to </w:t>
      </w:r>
      <w:r w:rsidR="002C0A55">
        <w:rPr>
          <w:rFonts w:ascii="Times New Roman" w:eastAsia="Times New Roman" w:hAnsi="Times New Roman" w:cs="Times New Roman"/>
          <w:color w:val="auto"/>
        </w:rPr>
        <w:t xml:space="preserve">adopt federated identity </w:t>
      </w:r>
      <w:r w:rsidR="002C0A55" w:rsidRPr="002C0A55">
        <w:rPr>
          <w:rFonts w:ascii="Times New Roman" w:eastAsia="Times New Roman" w:hAnsi="Times New Roman" w:cs="Times New Roman"/>
          <w:color w:val="auto"/>
        </w:rPr>
        <w:t>assurance across g</w:t>
      </w:r>
      <w:r w:rsidR="002C0A55">
        <w:rPr>
          <w:rFonts w:ascii="Times New Roman" w:eastAsia="Times New Roman" w:hAnsi="Times New Roman" w:cs="Times New Roman"/>
          <w:color w:val="auto"/>
        </w:rPr>
        <w:t>overnment services</w:t>
      </w:r>
      <w:r w:rsidR="000B5581" w:rsidRPr="00D52EFE">
        <w:rPr>
          <w:rFonts w:ascii="Times New Roman" w:eastAsia="Times New Roman" w:hAnsi="Times New Roman" w:cs="Times New Roman"/>
          <w:color w:val="auto"/>
        </w:rPr>
        <w:t xml:space="preserve">. One of </w:t>
      </w:r>
      <w:r w:rsidR="00E230F9">
        <w:rPr>
          <w:rFonts w:ascii="Times New Roman" w:eastAsia="Times New Roman" w:hAnsi="Times New Roman" w:cs="Times New Roman"/>
          <w:color w:val="auto"/>
        </w:rPr>
        <w:t>the</w:t>
      </w:r>
      <w:r w:rsidR="000B5581" w:rsidRPr="00D52EFE">
        <w:rPr>
          <w:rFonts w:ascii="Times New Roman" w:eastAsia="Times New Roman" w:hAnsi="Times New Roman" w:cs="Times New Roman"/>
          <w:color w:val="auto"/>
        </w:rPr>
        <w:t xml:space="preserve"> central points </w:t>
      </w:r>
      <w:r w:rsidR="00E230F9">
        <w:rPr>
          <w:rFonts w:ascii="Times New Roman" w:eastAsia="Times New Roman" w:hAnsi="Times New Roman" w:cs="Times New Roman"/>
          <w:color w:val="auto"/>
        </w:rPr>
        <w:t xml:space="preserve">of the 2013 UK </w:t>
      </w:r>
      <w:r w:rsidR="00E230F9" w:rsidRPr="00D52EFE">
        <w:rPr>
          <w:rFonts w:ascii="Times New Roman" w:eastAsia="Times New Roman" w:hAnsi="Times New Roman" w:cs="Times New Roman"/>
          <w:color w:val="auto"/>
        </w:rPr>
        <w:t>‘Government Digital Strategy</w:t>
      </w:r>
      <w:r w:rsidR="00E230F9">
        <w:rPr>
          <w:rFonts w:ascii="Times New Roman" w:eastAsia="Times New Roman" w:hAnsi="Times New Roman" w:cs="Times New Roman"/>
          <w:color w:val="auto"/>
        </w:rPr>
        <w:t>,</w:t>
      </w:r>
      <w:r w:rsidR="00E230F9" w:rsidRPr="00D52EFE">
        <w:rPr>
          <w:rFonts w:ascii="Times New Roman" w:eastAsia="Times New Roman" w:hAnsi="Times New Roman" w:cs="Times New Roman"/>
          <w:color w:val="auto"/>
        </w:rPr>
        <w:t>’</w:t>
      </w:r>
      <w:r w:rsidR="00E230F9">
        <w:rPr>
          <w:rFonts w:ascii="Times New Roman" w:eastAsia="Times New Roman" w:hAnsi="Times New Roman" w:cs="Times New Roman"/>
          <w:color w:val="auto"/>
        </w:rPr>
        <w:t xml:space="preserve"> </w:t>
      </w:r>
      <w:r w:rsidR="000B5581" w:rsidRPr="00D52EFE">
        <w:rPr>
          <w:rFonts w:ascii="Times New Roman" w:eastAsia="Times New Roman" w:hAnsi="Times New Roman" w:cs="Times New Roman"/>
          <w:color w:val="auto"/>
        </w:rPr>
        <w:t>was to transition all public services to a ‘Digital by Default’ operation, where electronic transactions would be the default means of transacting with the public.</w:t>
      </w:r>
      <w:r w:rsidR="000B5581" w:rsidRPr="00D52EFE">
        <w:rPr>
          <w:rFonts w:ascii="Times New Roman" w:eastAsia="Times New Roman" w:hAnsi="Times New Roman" w:cs="Times New Roman"/>
          <w:color w:val="auto"/>
          <w:vertAlign w:val="superscript"/>
        </w:rPr>
        <w:footnoteReference w:id="17"/>
      </w:r>
      <w:r w:rsidR="000B5581" w:rsidRPr="00D52EFE">
        <w:rPr>
          <w:rFonts w:ascii="Times New Roman" w:eastAsia="Times New Roman" w:hAnsi="Times New Roman" w:cs="Times New Roman"/>
          <w:color w:val="auto"/>
        </w:rPr>
        <w:t xml:space="preserve"> Action 11 of the Government’s transformation plan promised that the Government Digital Service (GDS) would </w:t>
      </w:r>
      <w:r w:rsidR="000B5581" w:rsidRPr="00D52EFE">
        <w:rPr>
          <w:rFonts w:ascii="Times New Roman" w:eastAsia="Times New Roman" w:hAnsi="Times New Roman" w:cs="Times New Roman"/>
          <w:i/>
          <w:color w:val="auto"/>
        </w:rPr>
        <w:t>“develop a framework to enable federated identity assurance to be adopted across government services in due course.”</w:t>
      </w:r>
      <w:r w:rsidR="000B5581" w:rsidRPr="00D52EFE">
        <w:rPr>
          <w:rFonts w:ascii="Times New Roman" w:eastAsia="Times New Roman" w:hAnsi="Times New Roman" w:cs="Times New Roman"/>
          <w:color w:val="auto"/>
          <w:vertAlign w:val="superscript"/>
        </w:rPr>
        <w:footnoteReference w:id="18"/>
      </w:r>
      <w:r w:rsidR="000B5581" w:rsidRPr="00D52EFE">
        <w:rPr>
          <w:rFonts w:ascii="Times New Roman" w:eastAsia="Times New Roman" w:hAnsi="Times New Roman" w:cs="Times New Roman"/>
          <w:color w:val="auto"/>
        </w:rPr>
        <w:t xml:space="preserve"> Identity assurance came as a response to the previous failed attempt to introduce an identity card for all citizens, which would include a central ‘National Identity Register’ and an electronic identification functionality.</w:t>
      </w:r>
      <w:r w:rsidR="000B5581" w:rsidRPr="00D52EFE">
        <w:rPr>
          <w:rFonts w:ascii="Times New Roman" w:eastAsia="Times New Roman" w:hAnsi="Times New Roman" w:cs="Times New Roman"/>
          <w:color w:val="auto"/>
          <w:vertAlign w:val="superscript"/>
        </w:rPr>
        <w:footnoteReference w:id="19"/>
      </w:r>
      <w:r w:rsidR="000B5581" w:rsidRPr="00D52EFE">
        <w:rPr>
          <w:rFonts w:ascii="Times New Roman" w:eastAsia="Times New Roman" w:hAnsi="Times New Roman" w:cs="Times New Roman"/>
          <w:color w:val="auto"/>
        </w:rPr>
        <w:t xml:space="preserve"> The National Identity Register was met with concern, and the plan for identity cards and the central Register were scraped with the Identity Documents Act.</w:t>
      </w:r>
      <w:r w:rsidR="000B5581" w:rsidRPr="00D52EFE">
        <w:rPr>
          <w:rFonts w:ascii="Times New Roman" w:eastAsia="Times New Roman" w:hAnsi="Times New Roman" w:cs="Times New Roman"/>
          <w:color w:val="auto"/>
          <w:vertAlign w:val="superscript"/>
        </w:rPr>
        <w:footnoteReference w:id="20"/>
      </w:r>
      <w:r w:rsidR="000B5581" w:rsidRPr="00D52EFE">
        <w:rPr>
          <w:rFonts w:ascii="Times New Roman" w:eastAsia="Times New Roman" w:hAnsi="Times New Roman" w:cs="Times New Roman"/>
          <w:color w:val="auto"/>
        </w:rPr>
        <w:t xml:space="preserve"> Subsequent plans for electronic identification focused on software tokens and de-centralised approaches.</w:t>
      </w:r>
    </w:p>
    <w:p w14:paraId="10D9AC6C"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 </w:t>
      </w:r>
    </w:p>
    <w:p w14:paraId="09B85293"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GDS’ `Identity Assurance Programme’, later named ‘Gov.UK Verify’, was developed to replace the ‘Government Gateway’ platform, used to access most public services.</w:t>
      </w:r>
      <w:r w:rsidRPr="00D52EFE">
        <w:rPr>
          <w:rFonts w:ascii="Times New Roman" w:eastAsia="Times New Roman" w:hAnsi="Times New Roman" w:cs="Times New Roman"/>
          <w:color w:val="auto"/>
          <w:vertAlign w:val="superscript"/>
        </w:rPr>
        <w:footnoteReference w:id="21"/>
      </w:r>
      <w:r w:rsidRPr="00D52EFE">
        <w:rPr>
          <w:rFonts w:ascii="Times New Roman" w:eastAsia="Times New Roman" w:hAnsi="Times New Roman" w:cs="Times New Roman"/>
          <w:color w:val="auto"/>
        </w:rPr>
        <w:t xml:space="preserve"> In the UK Digital Strategy </w:t>
      </w:r>
      <w:r w:rsidR="00737A4B" w:rsidRPr="00D52EFE">
        <w:rPr>
          <w:rFonts w:ascii="Times New Roman" w:eastAsia="Times New Roman" w:hAnsi="Times New Roman" w:cs="Times New Roman"/>
          <w:color w:val="auto"/>
        </w:rPr>
        <w:t xml:space="preserve">for </w:t>
      </w:r>
      <w:r w:rsidRPr="00D52EFE">
        <w:rPr>
          <w:rFonts w:ascii="Times New Roman" w:eastAsia="Times New Roman" w:hAnsi="Times New Roman" w:cs="Times New Roman"/>
          <w:color w:val="auto"/>
        </w:rPr>
        <w:t xml:space="preserve">2017, Gov.UK Verify is promoted as </w:t>
      </w:r>
      <w:r w:rsidRPr="00D52EFE">
        <w:rPr>
          <w:rFonts w:ascii="Times New Roman" w:eastAsia="Times New Roman" w:hAnsi="Times New Roman" w:cs="Times New Roman"/>
          <w:i/>
          <w:color w:val="auto"/>
        </w:rPr>
        <w:t>“a federated, market-based approach to identity assurance for central government that can be reused in the wider public and private sectors.”</w:t>
      </w:r>
      <w:r w:rsidRPr="00D52EFE">
        <w:rPr>
          <w:rFonts w:ascii="Times New Roman" w:eastAsia="Times New Roman" w:hAnsi="Times New Roman" w:cs="Times New Roman"/>
          <w:color w:val="auto"/>
          <w:vertAlign w:val="superscript"/>
        </w:rPr>
        <w:footnoteReference w:id="22"/>
      </w:r>
    </w:p>
    <w:p w14:paraId="7F4492BC" w14:textId="6D56F980" w:rsidR="00D70F60" w:rsidRPr="00D52EFE" w:rsidRDefault="000B5581" w:rsidP="00C86397">
      <w:pPr>
        <w:rPr>
          <w:rFonts w:ascii="Times New Roman" w:eastAsia="Times New Roman" w:hAnsi="Times New Roman" w:cs="Times New Roman"/>
          <w:color w:val="auto"/>
        </w:rPr>
      </w:pPr>
      <w:bookmarkStart w:id="9" w:name="_2et92p0" w:colFirst="0" w:colLast="0"/>
      <w:bookmarkEnd w:id="9"/>
      <w:r w:rsidRPr="00D52EFE">
        <w:rPr>
          <w:rFonts w:ascii="Times New Roman" w:eastAsia="Times New Roman" w:hAnsi="Times New Roman" w:cs="Times New Roman"/>
          <w:color w:val="auto"/>
        </w:rPr>
        <w:t xml:space="preserve">It </w:t>
      </w:r>
      <w:r w:rsidR="00737A4B" w:rsidRPr="00D52EFE">
        <w:rPr>
          <w:rFonts w:ascii="Times New Roman" w:eastAsia="Times New Roman" w:hAnsi="Times New Roman" w:cs="Times New Roman"/>
          <w:color w:val="auto"/>
        </w:rPr>
        <w:t>has been</w:t>
      </w:r>
      <w:r w:rsidR="005B4194" w:rsidRPr="00D52EFE">
        <w:rPr>
          <w:rFonts w:ascii="Times New Roman" w:eastAsia="Times New Roman" w:hAnsi="Times New Roman" w:cs="Times New Roman"/>
          <w:color w:val="auto"/>
        </w:rPr>
        <w:t xml:space="preserve"> designed around a set of ‘Identity and Privacy Principles</w:t>
      </w:r>
      <w:r w:rsidRPr="00D52EFE">
        <w:rPr>
          <w:rFonts w:ascii="Times New Roman" w:eastAsia="Times New Roman" w:hAnsi="Times New Roman" w:cs="Times New Roman"/>
          <w:color w:val="auto"/>
        </w:rPr>
        <w:t>,</w:t>
      </w:r>
      <w:bookmarkStart w:id="10" w:name="_Ref494985431"/>
      <w:r w:rsidR="005B4194"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vertAlign w:val="superscript"/>
        </w:rPr>
        <w:footnoteReference w:id="23"/>
      </w:r>
      <w:bookmarkEnd w:id="10"/>
      <w:r w:rsidRPr="00D52EFE">
        <w:rPr>
          <w:rFonts w:ascii="Times New Roman" w:eastAsia="Times New Roman" w:hAnsi="Times New Roman" w:cs="Times New Roman"/>
          <w:color w:val="auto"/>
        </w:rPr>
        <w:t xml:space="preserve"> focused on </w:t>
      </w:r>
      <w:r w:rsidRPr="00D52EFE">
        <w:rPr>
          <w:rFonts w:ascii="Times New Roman" w:eastAsia="Times New Roman" w:hAnsi="Times New Roman" w:cs="Times New Roman"/>
          <w:i/>
          <w:color w:val="auto"/>
        </w:rPr>
        <w:t>“individual control and consent</w:t>
      </w:r>
      <w:r w:rsidR="005B4194" w:rsidRPr="00D52EFE">
        <w:rPr>
          <w:rFonts w:ascii="Times New Roman" w:eastAsia="Times New Roman" w:hAnsi="Times New Roman" w:cs="Times New Roman"/>
          <w:i/>
          <w:color w:val="auto"/>
        </w:rPr>
        <w:t>.</w:t>
      </w:r>
      <w:r w:rsidRPr="00D52EFE">
        <w:rPr>
          <w:rFonts w:ascii="Times New Roman" w:eastAsia="Times New Roman" w:hAnsi="Times New Roman" w:cs="Times New Roman"/>
          <w:i/>
          <w:color w:val="auto"/>
        </w:rPr>
        <w:t>”</w:t>
      </w:r>
      <w:r w:rsidRPr="00D52EFE">
        <w:rPr>
          <w:rFonts w:ascii="Times New Roman" w:eastAsia="Times New Roman" w:hAnsi="Times New Roman" w:cs="Times New Roman"/>
          <w:color w:val="auto"/>
          <w:vertAlign w:val="superscript"/>
        </w:rPr>
        <w:footnoteReference w:id="24"/>
      </w:r>
      <w:r w:rsidRPr="00D52EFE">
        <w:rPr>
          <w:rFonts w:ascii="Times New Roman" w:eastAsia="Times New Roman" w:hAnsi="Times New Roman" w:cs="Times New Roman"/>
          <w:color w:val="auto"/>
        </w:rPr>
        <w:t xml:space="preserve"> </w:t>
      </w:r>
      <w:r w:rsidR="000800BB" w:rsidRPr="00D52EFE">
        <w:rPr>
          <w:rFonts w:ascii="Times New Roman" w:eastAsia="Times New Roman" w:hAnsi="Times New Roman" w:cs="Times New Roman"/>
          <w:color w:val="auto"/>
        </w:rPr>
        <w:t>An advisory group, whose purpose is to safeguard users’ privacy, set up the principles</w:t>
      </w:r>
      <w:r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vertAlign w:val="superscript"/>
        </w:rPr>
        <w:footnoteReference w:id="25"/>
      </w:r>
      <w:r w:rsidRPr="00D52EFE">
        <w:rPr>
          <w:rFonts w:ascii="Times New Roman" w:eastAsia="Times New Roman" w:hAnsi="Times New Roman" w:cs="Times New Roman"/>
          <w:color w:val="auto"/>
        </w:rPr>
        <w:t xml:space="preserve"> </w:t>
      </w:r>
    </w:p>
    <w:p w14:paraId="3B98217A" w14:textId="77777777" w:rsidR="00F973DB" w:rsidRPr="00D52EFE" w:rsidRDefault="00F973DB" w:rsidP="00C86397">
      <w:pPr>
        <w:rPr>
          <w:rFonts w:ascii="Times New Roman" w:eastAsia="Times New Roman" w:hAnsi="Times New Roman" w:cs="Times New Roman"/>
          <w:color w:val="auto"/>
        </w:rPr>
      </w:pPr>
    </w:p>
    <w:p w14:paraId="04BE457D" w14:textId="7CA7F1C7" w:rsidR="00D70F60" w:rsidRPr="00D52EFE" w:rsidRDefault="007C694F" w:rsidP="00C86397">
      <w:pPr>
        <w:pStyle w:val="Heading2"/>
        <w:rPr>
          <w:b/>
          <w:color w:val="auto"/>
          <w:sz w:val="22"/>
          <w:szCs w:val="22"/>
        </w:rPr>
      </w:pPr>
      <w:bookmarkStart w:id="11" w:name="_tyjcwt" w:colFirst="0" w:colLast="0"/>
      <w:bookmarkStart w:id="12" w:name="_Toc495674472"/>
      <w:bookmarkEnd w:id="11"/>
      <w:r w:rsidRPr="00D52EFE">
        <w:rPr>
          <w:b/>
          <w:color w:val="auto"/>
          <w:sz w:val="22"/>
          <w:szCs w:val="22"/>
        </w:rPr>
        <w:t>2.2.</w:t>
      </w:r>
      <w:r w:rsidRPr="00D52EFE">
        <w:rPr>
          <w:b/>
          <w:color w:val="auto"/>
          <w:sz w:val="22"/>
          <w:szCs w:val="22"/>
        </w:rPr>
        <w:tab/>
      </w:r>
      <w:r w:rsidR="000B5581" w:rsidRPr="00D52EFE">
        <w:rPr>
          <w:b/>
          <w:color w:val="auto"/>
          <w:sz w:val="22"/>
          <w:szCs w:val="22"/>
        </w:rPr>
        <w:t xml:space="preserve">Architecture </w:t>
      </w:r>
      <w:r w:rsidR="00572813" w:rsidRPr="00D52EFE">
        <w:rPr>
          <w:b/>
          <w:color w:val="auto"/>
          <w:sz w:val="22"/>
          <w:szCs w:val="22"/>
        </w:rPr>
        <w:t>and Actors</w:t>
      </w:r>
      <w:bookmarkEnd w:id="12"/>
    </w:p>
    <w:p w14:paraId="12AB772D" w14:textId="77777777" w:rsidR="001F603F" w:rsidRDefault="000B5581" w:rsidP="001F603F">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premise </w:t>
      </w:r>
      <w:r w:rsidR="004540CE">
        <w:rPr>
          <w:rFonts w:ascii="Times New Roman" w:eastAsia="Times New Roman" w:hAnsi="Times New Roman" w:cs="Times New Roman"/>
          <w:color w:val="auto"/>
        </w:rPr>
        <w:t>underlying</w:t>
      </w:r>
      <w:r w:rsidRPr="00D52EFE">
        <w:rPr>
          <w:rFonts w:ascii="Times New Roman" w:eastAsia="Times New Roman" w:hAnsi="Times New Roman" w:cs="Times New Roman"/>
          <w:color w:val="auto"/>
        </w:rPr>
        <w:t xml:space="preserve"> Gov.UK Verify’s design is that eIDs should not be under the sole control of a cent</w:t>
      </w:r>
      <w:r w:rsidR="005B4194" w:rsidRPr="00D52EFE">
        <w:rPr>
          <w:rFonts w:ascii="Times New Roman" w:eastAsia="Times New Roman" w:hAnsi="Times New Roman" w:cs="Times New Roman"/>
          <w:color w:val="auto"/>
        </w:rPr>
        <w:t xml:space="preserve">ral Governmental agency. The </w:t>
      </w:r>
      <w:r w:rsidR="000800BB" w:rsidRPr="00D52EFE">
        <w:rPr>
          <w:rFonts w:ascii="Times New Roman" w:eastAsia="Times New Roman" w:hAnsi="Times New Roman" w:cs="Times New Roman"/>
          <w:color w:val="auto"/>
        </w:rPr>
        <w:t>nine</w:t>
      </w:r>
      <w:r w:rsidR="005B4194" w:rsidRPr="00D52EFE">
        <w:rPr>
          <w:rFonts w:ascii="Times New Roman" w:eastAsia="Times New Roman" w:hAnsi="Times New Roman" w:cs="Times New Roman"/>
          <w:color w:val="auto"/>
        </w:rPr>
        <w:t xml:space="preserve"> ‘Identity and Privacy Principles’</w:t>
      </w:r>
      <w:r w:rsidRPr="00D52EFE">
        <w:rPr>
          <w:rFonts w:ascii="Times New Roman" w:eastAsia="Times New Roman" w:hAnsi="Times New Roman" w:cs="Times New Roman"/>
          <w:color w:val="auto"/>
          <w:vertAlign w:val="superscript"/>
        </w:rPr>
        <w:footnoteReference w:id="26"/>
      </w:r>
      <w:r w:rsidRPr="00D52EFE">
        <w:rPr>
          <w:rFonts w:ascii="Times New Roman" w:eastAsia="Times New Roman" w:hAnsi="Times New Roman" w:cs="Times New Roman"/>
          <w:color w:val="auto"/>
        </w:rPr>
        <w:t xml:space="preserve"> form the minimum standard of the system’s operation. The principles aim at a technology-neutral approach; they form </w:t>
      </w:r>
      <w:r w:rsidRPr="00D52EFE">
        <w:rPr>
          <w:rFonts w:ascii="Times New Roman" w:eastAsia="Times New Roman" w:hAnsi="Times New Roman" w:cs="Times New Roman"/>
          <w:color w:val="auto"/>
        </w:rPr>
        <w:lastRenderedPageBreak/>
        <w:t xml:space="preserve">targets the system should achieve but do not address specific means of how to achieve them. Gov.UK Verify centres </w:t>
      </w:r>
      <w:r w:rsidR="000800BB" w:rsidRPr="00D52EFE">
        <w:rPr>
          <w:rFonts w:ascii="Times New Roman" w:eastAsia="Times New Roman" w:hAnsi="Times New Roman" w:cs="Times New Roman"/>
          <w:color w:val="auto"/>
        </w:rPr>
        <w:t>on</w:t>
      </w:r>
      <w:r w:rsidRPr="00D52EFE">
        <w:rPr>
          <w:rFonts w:ascii="Times New Roman" w:eastAsia="Times New Roman" w:hAnsi="Times New Roman" w:cs="Times New Roman"/>
          <w:color w:val="auto"/>
        </w:rPr>
        <w:t xml:space="preserve"> user choice: the user should be able to decide the number of eIDs they own and who holds the information about them.</w:t>
      </w:r>
      <w:r w:rsidRPr="00D52EFE">
        <w:rPr>
          <w:rFonts w:ascii="Times New Roman" w:eastAsia="Times New Roman" w:hAnsi="Times New Roman" w:cs="Times New Roman"/>
          <w:color w:val="auto"/>
          <w:vertAlign w:val="superscript"/>
        </w:rPr>
        <w:footnoteReference w:id="27"/>
      </w:r>
      <w:r w:rsidRPr="00D52EFE">
        <w:rPr>
          <w:rFonts w:ascii="Times New Roman" w:eastAsia="Times New Roman" w:hAnsi="Times New Roman" w:cs="Times New Roman"/>
          <w:color w:val="auto"/>
        </w:rPr>
        <w:t xml:space="preserve"> </w:t>
      </w:r>
      <w:r w:rsidR="000800BB" w:rsidRPr="00D52EFE">
        <w:rPr>
          <w:rFonts w:ascii="Times New Roman" w:eastAsia="Times New Roman" w:hAnsi="Times New Roman" w:cs="Times New Roman"/>
          <w:color w:val="auto"/>
        </w:rPr>
        <w:t>Hence,</w:t>
      </w:r>
      <w:r w:rsidRPr="00D52EFE">
        <w:rPr>
          <w:rFonts w:ascii="Times New Roman" w:eastAsia="Times New Roman" w:hAnsi="Times New Roman" w:cs="Times New Roman"/>
          <w:color w:val="auto"/>
        </w:rPr>
        <w:t xml:space="preserve"> the creation of an ‘Identity marketplace’ was decided.  Although the marketplace is based on a public platform, a GDS owned and controlled hub, elec</w:t>
      </w:r>
      <w:r w:rsidR="00737A4B" w:rsidRPr="00D52EFE">
        <w:rPr>
          <w:rFonts w:ascii="Times New Roman" w:eastAsia="Times New Roman" w:hAnsi="Times New Roman" w:cs="Times New Roman"/>
          <w:color w:val="auto"/>
        </w:rPr>
        <w:t xml:space="preserve">tronic identification of users </w:t>
      </w:r>
      <w:r w:rsidRPr="00D52EFE">
        <w:rPr>
          <w:rFonts w:ascii="Times New Roman" w:eastAsia="Times New Roman" w:hAnsi="Times New Roman" w:cs="Times New Roman"/>
          <w:color w:val="auto"/>
        </w:rPr>
        <w:t>is offered by private companies who act as Identity Providers.</w:t>
      </w:r>
      <w:bookmarkStart w:id="13" w:name="_3dy6vkm" w:colFirst="0" w:colLast="0"/>
      <w:bookmarkEnd w:id="13"/>
    </w:p>
    <w:p w14:paraId="4DEF7160" w14:textId="1E99F07C" w:rsidR="00D70F60" w:rsidRPr="001F603F" w:rsidRDefault="000B5581" w:rsidP="001F603F">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Identity Providers have to be certified </w:t>
      </w:r>
      <w:r w:rsidRPr="00D52EFE">
        <w:rPr>
          <w:rFonts w:ascii="Times New Roman" w:eastAsia="Times New Roman" w:hAnsi="Times New Roman" w:cs="Times New Roman"/>
          <w:i/>
          <w:color w:val="auto"/>
        </w:rPr>
        <w:t>“against common governance requirements</w:t>
      </w:r>
      <w:r w:rsidR="005B4194" w:rsidRPr="00D52EFE">
        <w:rPr>
          <w:rFonts w:ascii="Times New Roman" w:eastAsia="Times New Roman" w:hAnsi="Times New Roman" w:cs="Times New Roman"/>
          <w:i/>
          <w:color w:val="auto"/>
        </w:rPr>
        <w:t>,</w:t>
      </w:r>
      <w:r w:rsidRPr="00D52EFE">
        <w:rPr>
          <w:rFonts w:ascii="Times New Roman" w:eastAsia="Times New Roman" w:hAnsi="Times New Roman" w:cs="Times New Roman"/>
          <w:i/>
          <w:color w:val="auto"/>
        </w:rPr>
        <w:t>”</w:t>
      </w:r>
      <w:r w:rsidRPr="00D52EFE">
        <w:rPr>
          <w:rFonts w:ascii="Times New Roman" w:eastAsia="Times New Roman" w:hAnsi="Times New Roman" w:cs="Times New Roman"/>
          <w:color w:val="auto"/>
        </w:rPr>
        <w:t xml:space="preserve"> under the Identity Assurance Principle no. 7.</w:t>
      </w:r>
      <w:r w:rsidRPr="00D52EFE">
        <w:rPr>
          <w:rFonts w:ascii="Times New Roman" w:eastAsia="Times New Roman" w:hAnsi="Times New Roman" w:cs="Times New Roman"/>
          <w:color w:val="auto"/>
          <w:vertAlign w:val="superscript"/>
        </w:rPr>
        <w:footnoteReference w:id="28"/>
      </w:r>
      <w:r w:rsidRPr="00D52EFE">
        <w:rPr>
          <w:rFonts w:ascii="Times New Roman" w:eastAsia="Times New Roman" w:hAnsi="Times New Roman" w:cs="Times New Roman"/>
          <w:color w:val="auto"/>
        </w:rPr>
        <w:t xml:space="preserve"> Certification, as outlined in the Framework agreement,</w:t>
      </w:r>
      <w:bookmarkStart w:id="14" w:name="_Ref495064857"/>
      <w:r w:rsidRPr="00D52EFE">
        <w:rPr>
          <w:rFonts w:ascii="Times New Roman" w:eastAsia="Times New Roman" w:hAnsi="Times New Roman" w:cs="Times New Roman"/>
          <w:color w:val="auto"/>
          <w:vertAlign w:val="superscript"/>
        </w:rPr>
        <w:footnoteReference w:id="29"/>
      </w:r>
      <w:bookmarkEnd w:id="14"/>
      <w:r w:rsidR="00122D36" w:rsidRPr="00D52EFE">
        <w:rPr>
          <w:rFonts w:ascii="Times New Roman" w:eastAsia="Times New Roman" w:hAnsi="Times New Roman" w:cs="Times New Roman"/>
          <w:color w:val="auto"/>
        </w:rPr>
        <w:t xml:space="preserve"> is three-fold: </w:t>
      </w:r>
      <w:r w:rsidRPr="00D52EFE">
        <w:rPr>
          <w:rFonts w:ascii="Times New Roman" w:eastAsia="Times New Roman" w:hAnsi="Times New Roman" w:cs="Times New Roman"/>
          <w:color w:val="auto"/>
        </w:rPr>
        <w:t>certification against industry standards for information security,</w:t>
      </w:r>
      <w:r w:rsidRPr="00D52EFE">
        <w:rPr>
          <w:rFonts w:ascii="Times New Roman" w:eastAsia="Times New Roman" w:hAnsi="Times New Roman" w:cs="Times New Roman"/>
          <w:color w:val="auto"/>
          <w:vertAlign w:val="superscript"/>
        </w:rPr>
        <w:footnoteReference w:id="30"/>
      </w:r>
      <w:r w:rsidRPr="00D52EFE">
        <w:rPr>
          <w:rFonts w:ascii="Times New Roman" w:eastAsia="Times New Roman" w:hAnsi="Times New Roman" w:cs="Times New Roman"/>
          <w:color w:val="auto"/>
        </w:rPr>
        <w:t xml:space="preserve"> certification that they meet government standards for identity assurance,</w:t>
      </w:r>
      <w:r w:rsidRPr="00D52EFE">
        <w:rPr>
          <w:rFonts w:ascii="Times New Roman" w:eastAsia="Times New Roman" w:hAnsi="Times New Roman" w:cs="Times New Roman"/>
          <w:color w:val="auto"/>
          <w:vertAlign w:val="superscript"/>
        </w:rPr>
        <w:footnoteReference w:id="31"/>
      </w:r>
      <w:r w:rsidRPr="00D52EFE">
        <w:rPr>
          <w:rFonts w:ascii="Times New Roman" w:eastAsia="Times New Roman" w:hAnsi="Times New Roman" w:cs="Times New Roman"/>
          <w:color w:val="auto"/>
        </w:rPr>
        <w:t xml:space="preserve"> and complies with data protection law (certified through a Privacy Impact Assessment).</w:t>
      </w:r>
      <w:r w:rsidRPr="00D52EFE">
        <w:rPr>
          <w:rFonts w:ascii="Times New Roman" w:eastAsia="Times New Roman" w:hAnsi="Times New Roman" w:cs="Times New Roman"/>
          <w:color w:val="auto"/>
          <w:vertAlign w:val="superscript"/>
        </w:rPr>
        <w:footnoteReference w:id="32"/>
      </w:r>
      <w:r w:rsidRPr="00D52EFE">
        <w:rPr>
          <w:rFonts w:ascii="Times New Roman" w:eastAsia="Times New Roman" w:hAnsi="Times New Roman" w:cs="Times New Roman"/>
          <w:color w:val="auto"/>
        </w:rPr>
        <w:t xml:space="preserve"> In relation to certification for identity assurance, the Framework explicitly mentions tS</w:t>
      </w:r>
      <w:r w:rsidR="00751A80" w:rsidRPr="00D52EFE">
        <w:rPr>
          <w:rFonts w:ascii="Times New Roman" w:eastAsia="Times New Roman" w:hAnsi="Times New Roman" w:cs="Times New Roman"/>
          <w:color w:val="auto"/>
        </w:rPr>
        <w:t>cheme as the certification body.</w:t>
      </w:r>
      <w:r w:rsidRPr="00D52EFE">
        <w:rPr>
          <w:rFonts w:ascii="Times New Roman" w:eastAsia="Times New Roman" w:hAnsi="Times New Roman" w:cs="Times New Roman"/>
          <w:color w:val="auto"/>
          <w:vertAlign w:val="superscript"/>
        </w:rPr>
        <w:footnoteReference w:id="33"/>
      </w:r>
      <w:r w:rsidRPr="00D52EFE">
        <w:rPr>
          <w:rFonts w:ascii="Times New Roman" w:eastAsia="Times New Roman" w:hAnsi="Times New Roman" w:cs="Times New Roman"/>
          <w:color w:val="auto"/>
        </w:rPr>
        <w:t xml:space="preserve"> tScheme is the </w:t>
      </w:r>
      <w:r w:rsidRPr="00D52EFE">
        <w:rPr>
          <w:rFonts w:ascii="Times New Roman" w:eastAsia="Times New Roman" w:hAnsi="Times New Roman" w:cs="Times New Roman"/>
          <w:i/>
          <w:color w:val="auto"/>
        </w:rPr>
        <w:t>“Trusted List Scheme Operator (TLSO) and creates, hosts and maintains the UK’s Trust Service-status List (TSL) on behalf of the Department for Business, Energy and Industrial Strategy (BEIS)”</w:t>
      </w:r>
      <w:r w:rsidRPr="00D52EFE">
        <w:rPr>
          <w:rFonts w:ascii="Times New Roman" w:eastAsia="Times New Roman" w:hAnsi="Times New Roman" w:cs="Times New Roman"/>
          <w:color w:val="auto"/>
          <w:vertAlign w:val="superscript"/>
        </w:rPr>
        <w:footnoteReference w:id="34"/>
      </w:r>
      <w:r w:rsidRPr="00D52EFE">
        <w:rPr>
          <w:rFonts w:ascii="Times New Roman" w:eastAsia="Times New Roman" w:hAnsi="Times New Roman" w:cs="Times New Roman"/>
          <w:color w:val="auto"/>
        </w:rPr>
        <w:t xml:space="preserve"> of the Qualified Trust Service Providers required by eIDAS.</w:t>
      </w:r>
      <w:r w:rsidRPr="00D52EFE">
        <w:rPr>
          <w:rFonts w:ascii="Times New Roman" w:eastAsia="Times New Roman" w:hAnsi="Times New Roman" w:cs="Times New Roman"/>
          <w:color w:val="auto"/>
          <w:vertAlign w:val="superscript"/>
        </w:rPr>
        <w:footnoteReference w:id="35"/>
      </w:r>
      <w:r w:rsidRPr="00D52EFE">
        <w:rPr>
          <w:rFonts w:ascii="Times New Roman" w:eastAsia="Times New Roman" w:hAnsi="Times New Roman" w:cs="Times New Roman"/>
          <w:color w:val="auto"/>
        </w:rPr>
        <w:t xml:space="preserve"> It </w:t>
      </w:r>
      <w:r w:rsidR="00122D36" w:rsidRPr="00D52EFE">
        <w:rPr>
          <w:rFonts w:ascii="Times New Roman" w:eastAsia="Times New Roman" w:hAnsi="Times New Roman" w:cs="Times New Roman"/>
          <w:color w:val="auto"/>
        </w:rPr>
        <w:t>certifies</w:t>
      </w:r>
      <w:r w:rsidRPr="00D52EFE">
        <w:rPr>
          <w:rFonts w:ascii="Times New Roman" w:eastAsia="Times New Roman" w:hAnsi="Times New Roman" w:cs="Times New Roman"/>
          <w:color w:val="auto"/>
        </w:rPr>
        <w:t xml:space="preserve"> Identity Providers against </w:t>
      </w:r>
      <w:r w:rsidR="00D6360D" w:rsidRPr="00D52EFE">
        <w:rPr>
          <w:rFonts w:ascii="Times New Roman" w:eastAsia="Times New Roman" w:hAnsi="Times New Roman" w:cs="Times New Roman"/>
          <w:color w:val="auto"/>
        </w:rPr>
        <w:t>six</w:t>
      </w:r>
      <w:r w:rsidRPr="00D52EFE">
        <w:rPr>
          <w:rFonts w:ascii="Times New Roman" w:eastAsia="Times New Roman" w:hAnsi="Times New Roman" w:cs="Times New Roman"/>
          <w:color w:val="auto"/>
        </w:rPr>
        <w:t xml:space="preserve"> ‘Approval Profiles</w:t>
      </w:r>
      <w:r w:rsidR="00FD666F"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vertAlign w:val="superscript"/>
        </w:rPr>
        <w:footnoteReference w:id="36"/>
      </w:r>
      <w:r w:rsidRPr="00D52EFE">
        <w:rPr>
          <w:rFonts w:ascii="Times New Roman" w:eastAsia="Times New Roman" w:hAnsi="Times New Roman" w:cs="Times New Roman"/>
          <w:color w:val="auto"/>
        </w:rPr>
        <w:t xml:space="preserve"> </w:t>
      </w:r>
      <w:r w:rsidR="00122D36" w:rsidRPr="00D52EFE">
        <w:rPr>
          <w:rFonts w:ascii="Times New Roman" w:eastAsia="Times New Roman" w:hAnsi="Times New Roman" w:cs="Times New Roman"/>
          <w:color w:val="auto"/>
        </w:rPr>
        <w:t>comprising</w:t>
      </w:r>
      <w:r w:rsidR="00D17CFA" w:rsidRPr="00D52EFE">
        <w:rPr>
          <w:rFonts w:ascii="Times New Roman" w:eastAsia="Times New Roman" w:hAnsi="Times New Roman" w:cs="Times New Roman"/>
          <w:color w:val="auto"/>
        </w:rPr>
        <w:t xml:space="preserve"> assessment criteria. H</w:t>
      </w:r>
      <w:r w:rsidR="00C06165" w:rsidRPr="00D52EFE">
        <w:rPr>
          <w:rFonts w:ascii="Times New Roman" w:eastAsia="Times New Roman" w:hAnsi="Times New Roman" w:cs="Times New Roman"/>
          <w:color w:val="auto"/>
        </w:rPr>
        <w:t>owev</w:t>
      </w:r>
      <w:r w:rsidR="00C00270" w:rsidRPr="00D52EFE">
        <w:rPr>
          <w:rFonts w:ascii="Times New Roman" w:eastAsia="Times New Roman" w:hAnsi="Times New Roman" w:cs="Times New Roman"/>
          <w:color w:val="auto"/>
        </w:rPr>
        <w:t xml:space="preserve">er, it seems that </w:t>
      </w:r>
      <w:r w:rsidR="00D53ED8" w:rsidRPr="00D52EFE">
        <w:rPr>
          <w:rFonts w:ascii="Times New Roman" w:eastAsia="Times New Roman" w:hAnsi="Times New Roman" w:cs="Times New Roman"/>
          <w:color w:val="auto"/>
        </w:rPr>
        <w:t xml:space="preserve">certification is not </w:t>
      </w:r>
      <w:r w:rsidR="00D17CFA" w:rsidRPr="00D52EFE">
        <w:rPr>
          <w:rFonts w:ascii="Times New Roman" w:eastAsia="Times New Roman" w:hAnsi="Times New Roman" w:cs="Times New Roman"/>
          <w:color w:val="auto"/>
        </w:rPr>
        <w:t xml:space="preserve">dependent </w:t>
      </w:r>
      <w:r w:rsidR="00D53ED8" w:rsidRPr="00D52EFE">
        <w:rPr>
          <w:rFonts w:ascii="Times New Roman" w:eastAsia="Times New Roman" w:hAnsi="Times New Roman" w:cs="Times New Roman"/>
          <w:color w:val="auto"/>
        </w:rPr>
        <w:t>upon</w:t>
      </w:r>
      <w:r w:rsidR="00D17CFA" w:rsidRPr="00D52EFE">
        <w:rPr>
          <w:rFonts w:ascii="Times New Roman" w:eastAsia="Times New Roman" w:hAnsi="Times New Roman" w:cs="Times New Roman"/>
          <w:color w:val="auto"/>
        </w:rPr>
        <w:t xml:space="preserve"> </w:t>
      </w:r>
      <w:r w:rsidR="00122D36" w:rsidRPr="00D52EFE">
        <w:rPr>
          <w:rFonts w:ascii="Times New Roman" w:eastAsia="Times New Roman" w:hAnsi="Times New Roman" w:cs="Times New Roman"/>
          <w:color w:val="auto"/>
        </w:rPr>
        <w:t>meeting</w:t>
      </w:r>
      <w:r w:rsidR="00D17CFA" w:rsidRPr="00D52EFE">
        <w:rPr>
          <w:rFonts w:ascii="Times New Roman" w:eastAsia="Times New Roman" w:hAnsi="Times New Roman" w:cs="Times New Roman"/>
          <w:color w:val="auto"/>
        </w:rPr>
        <w:t xml:space="preserve"> all six profiles</w:t>
      </w:r>
      <w:r w:rsidR="00122D36" w:rsidRPr="00D52EFE">
        <w:rPr>
          <w:rFonts w:ascii="Times New Roman" w:eastAsia="Times New Roman" w:hAnsi="Times New Roman" w:cs="Times New Roman"/>
          <w:color w:val="auto"/>
        </w:rPr>
        <w:t>. S</w:t>
      </w:r>
      <w:r w:rsidR="00D53ED8" w:rsidRPr="00D52EFE">
        <w:rPr>
          <w:rFonts w:ascii="Times New Roman" w:eastAsia="Times New Roman" w:hAnsi="Times New Roman" w:cs="Times New Roman"/>
          <w:color w:val="auto"/>
        </w:rPr>
        <w:t>ome of the</w:t>
      </w:r>
      <w:r w:rsidR="00D17CFA" w:rsidRPr="00D52EFE">
        <w:rPr>
          <w:rFonts w:ascii="Times New Roman" w:eastAsia="Times New Roman" w:hAnsi="Times New Roman" w:cs="Times New Roman"/>
          <w:color w:val="auto"/>
        </w:rPr>
        <w:t xml:space="preserve"> certified Providers </w:t>
      </w:r>
      <w:r w:rsidR="00122D36" w:rsidRPr="00D52EFE">
        <w:rPr>
          <w:rFonts w:ascii="Times New Roman" w:eastAsia="Times New Roman" w:hAnsi="Times New Roman" w:cs="Times New Roman"/>
          <w:color w:val="auto"/>
        </w:rPr>
        <w:t>do not satisfy</w:t>
      </w:r>
      <w:r w:rsidR="00D53ED8" w:rsidRPr="00D52EFE">
        <w:rPr>
          <w:rFonts w:ascii="Times New Roman" w:eastAsia="Times New Roman" w:hAnsi="Times New Roman" w:cs="Times New Roman"/>
          <w:color w:val="auto"/>
        </w:rPr>
        <w:t xml:space="preserve"> the criteria of all</w:t>
      </w:r>
      <w:r w:rsidR="00D17CFA" w:rsidRPr="00D52EFE">
        <w:rPr>
          <w:rFonts w:ascii="Times New Roman" w:eastAsia="Times New Roman" w:hAnsi="Times New Roman" w:cs="Times New Roman"/>
          <w:color w:val="auto"/>
        </w:rPr>
        <w:t xml:space="preserve"> Approval Profiles.</w:t>
      </w:r>
      <w:r w:rsidRPr="00D52EFE">
        <w:rPr>
          <w:rFonts w:ascii="Times New Roman" w:eastAsia="Times New Roman" w:hAnsi="Times New Roman" w:cs="Times New Roman"/>
          <w:color w:val="auto"/>
          <w:vertAlign w:val="superscript"/>
        </w:rPr>
        <w:footnoteReference w:id="37"/>
      </w:r>
      <w:r w:rsidRPr="00D52EFE">
        <w:rPr>
          <w:rFonts w:ascii="Times New Roman" w:eastAsia="Times New Roman" w:hAnsi="Times New Roman" w:cs="Times New Roman"/>
          <w:color w:val="auto"/>
        </w:rPr>
        <w:t xml:space="preserve"> </w:t>
      </w:r>
      <w:r w:rsidR="00882405" w:rsidRPr="00D52EFE">
        <w:rPr>
          <w:rFonts w:ascii="Times New Roman" w:eastAsia="Times New Roman" w:hAnsi="Times New Roman" w:cs="Times New Roman"/>
          <w:color w:val="auto"/>
        </w:rPr>
        <w:t>Surprisingly,</w:t>
      </w:r>
      <w:r w:rsidR="00751A80" w:rsidRPr="00D52EFE">
        <w:rPr>
          <w:rFonts w:ascii="Times New Roman" w:eastAsia="Times New Roman" w:hAnsi="Times New Roman" w:cs="Times New Roman"/>
          <w:color w:val="auto"/>
        </w:rPr>
        <w:t xml:space="preserve"> it is not clear whether </w:t>
      </w:r>
      <w:r w:rsidR="00882405" w:rsidRPr="00D52EFE">
        <w:rPr>
          <w:rFonts w:ascii="Times New Roman" w:hAnsi="Times New Roman" w:cs="Times New Roman"/>
          <w:color w:val="auto"/>
        </w:rPr>
        <w:t xml:space="preserve">tScheme can issue the final 'operating as it is supposed to be' until the Identity Provider is actually operating. </w:t>
      </w:r>
      <w:r w:rsidRPr="00D52EFE">
        <w:rPr>
          <w:rFonts w:ascii="Times New Roman" w:eastAsia="Times New Roman" w:hAnsi="Times New Roman" w:cs="Times New Roman"/>
          <w:color w:val="auto"/>
        </w:rPr>
        <w:t>It is also interesting to note that not all providers in Gov.UK Verify’s list are certified (namely, the Post Office does not hold certification from tScheme)</w:t>
      </w:r>
      <w:r w:rsidRPr="00D52EFE">
        <w:rPr>
          <w:rFonts w:ascii="Times New Roman" w:eastAsia="Times New Roman" w:hAnsi="Times New Roman" w:cs="Times New Roman"/>
          <w:color w:val="auto"/>
          <w:vertAlign w:val="superscript"/>
        </w:rPr>
        <w:footnoteReference w:id="38"/>
      </w:r>
      <w:r w:rsidRPr="00D52EFE">
        <w:rPr>
          <w:rFonts w:ascii="Times New Roman" w:eastAsia="Times New Roman" w:hAnsi="Times New Roman" w:cs="Times New Roman"/>
          <w:color w:val="auto"/>
        </w:rPr>
        <w:t xml:space="preserve"> and that communication from the GDS considers </w:t>
      </w:r>
      <w:r w:rsidRPr="00D52EFE">
        <w:rPr>
          <w:rFonts w:ascii="Times New Roman" w:eastAsia="Times New Roman" w:hAnsi="Times New Roman" w:cs="Times New Roman"/>
          <w:i/>
          <w:color w:val="auto"/>
        </w:rPr>
        <w:t xml:space="preserve">“working towards independent </w:t>
      </w:r>
      <w:r w:rsidRPr="00D52EFE">
        <w:rPr>
          <w:rFonts w:ascii="Times New Roman" w:eastAsia="Times New Roman" w:hAnsi="Times New Roman" w:cs="Times New Roman"/>
          <w:i/>
          <w:color w:val="auto"/>
        </w:rPr>
        <w:lastRenderedPageBreak/>
        <w:t>certification”</w:t>
      </w:r>
      <w:r w:rsidRPr="00D52EFE">
        <w:rPr>
          <w:rFonts w:ascii="Times New Roman" w:eastAsia="Times New Roman" w:hAnsi="Times New Roman" w:cs="Times New Roman"/>
          <w:color w:val="auto"/>
        </w:rPr>
        <w:t xml:space="preserve"> an acceptable criterion to become a provider.</w:t>
      </w:r>
      <w:r w:rsidRPr="00D52EFE">
        <w:rPr>
          <w:rFonts w:ascii="Times New Roman" w:eastAsia="Times New Roman" w:hAnsi="Times New Roman" w:cs="Times New Roman"/>
          <w:color w:val="auto"/>
          <w:vertAlign w:val="superscript"/>
        </w:rPr>
        <w:footnoteReference w:id="39"/>
      </w:r>
      <w:r w:rsidRPr="00D52EFE">
        <w:rPr>
          <w:rFonts w:ascii="Times New Roman" w:eastAsia="Times New Roman" w:hAnsi="Times New Roman" w:cs="Times New Roman"/>
          <w:color w:val="auto"/>
        </w:rPr>
        <w:t xml:space="preserve"> Electronic identification is organised in different ‘Levels of Assurance’ (LOA), a risk-based </w:t>
      </w:r>
      <w:r w:rsidRPr="00D52EFE">
        <w:rPr>
          <w:rFonts w:ascii="Times New Roman" w:eastAsia="Times New Roman" w:hAnsi="Times New Roman" w:cs="Times New Roman"/>
          <w:i/>
          <w:color w:val="auto"/>
        </w:rPr>
        <w:t>“degree of confidence the government service requires that a user is who they say they are.”</w:t>
      </w:r>
      <w:bookmarkStart w:id="15" w:name="_Ref494992452"/>
      <w:r w:rsidRPr="00D52EFE">
        <w:rPr>
          <w:rFonts w:ascii="Times New Roman" w:eastAsia="Times New Roman" w:hAnsi="Times New Roman" w:cs="Times New Roman"/>
          <w:color w:val="auto"/>
          <w:vertAlign w:val="superscript"/>
        </w:rPr>
        <w:footnoteReference w:id="40"/>
      </w:r>
      <w:bookmarkEnd w:id="15"/>
      <w:r w:rsidRPr="00D52EFE">
        <w:rPr>
          <w:rFonts w:ascii="Times New Roman" w:eastAsia="Times New Roman" w:hAnsi="Times New Roman" w:cs="Times New Roman"/>
          <w:color w:val="auto"/>
        </w:rPr>
        <w:t xml:space="preserve"> </w:t>
      </w:r>
      <w:r w:rsidR="002C12E8">
        <w:rPr>
          <w:rFonts w:ascii="Times New Roman" w:eastAsia="Times New Roman" w:hAnsi="Times New Roman" w:cs="Times New Roman"/>
          <w:color w:val="auto"/>
        </w:rPr>
        <w:t xml:space="preserve">Notably, Gov.UK Verify LOA have been criticised for being entirely one-sided: only one party, the government service, is getting identity assurance. </w:t>
      </w:r>
      <w:r w:rsidRPr="00D52EFE">
        <w:rPr>
          <w:rFonts w:ascii="Times New Roman" w:eastAsia="Times New Roman" w:hAnsi="Times New Roman" w:cs="Times New Roman"/>
          <w:color w:val="auto"/>
        </w:rPr>
        <w:t xml:space="preserve">The system uses software credentials for identification, a combination of </w:t>
      </w:r>
      <w:r w:rsidRPr="00D52EFE">
        <w:rPr>
          <w:rFonts w:ascii="Times New Roman" w:eastAsia="Times New Roman" w:hAnsi="Times New Roman" w:cs="Times New Roman"/>
          <w:i/>
          <w:color w:val="auto"/>
        </w:rPr>
        <w:t>“usernames, passwords and security codes.”</w:t>
      </w:r>
      <w:r w:rsidRPr="00D52EFE">
        <w:rPr>
          <w:rFonts w:ascii="Times New Roman" w:eastAsia="Times New Roman" w:hAnsi="Times New Roman" w:cs="Times New Roman"/>
          <w:color w:val="auto"/>
          <w:vertAlign w:val="superscript"/>
        </w:rPr>
        <w:footnoteReference w:id="41"/>
      </w:r>
      <w:r w:rsidRPr="00D52EFE">
        <w:rPr>
          <w:rFonts w:ascii="Times New Roman" w:eastAsia="Times New Roman" w:hAnsi="Times New Roman" w:cs="Times New Roman"/>
          <w:color w:val="auto"/>
        </w:rPr>
        <w:t xml:space="preserve"> Communication within the Gov.UK Verify federation happens through the Security Assertion Markup Language (SAML 2.0)</w:t>
      </w:r>
      <w:r w:rsidRPr="00D52EFE">
        <w:rPr>
          <w:rFonts w:ascii="Times New Roman" w:eastAsia="Times New Roman" w:hAnsi="Times New Roman" w:cs="Times New Roman"/>
          <w:color w:val="auto"/>
          <w:vertAlign w:val="superscript"/>
        </w:rPr>
        <w:footnoteReference w:id="42"/>
      </w:r>
      <w:r w:rsidRPr="00D52EFE">
        <w:rPr>
          <w:rFonts w:ascii="Times New Roman" w:eastAsia="Times New Roman" w:hAnsi="Times New Roman" w:cs="Times New Roman"/>
          <w:color w:val="auto"/>
        </w:rPr>
        <w:t xml:space="preserve"> and data are signed and verified through a Public Key Infrastructure (PKI).</w:t>
      </w:r>
      <w:bookmarkStart w:id="16" w:name="_Ref494993170"/>
      <w:r w:rsidRPr="00D52EFE">
        <w:rPr>
          <w:rFonts w:ascii="Times New Roman" w:eastAsia="Times New Roman" w:hAnsi="Times New Roman" w:cs="Times New Roman"/>
          <w:color w:val="auto"/>
          <w:vertAlign w:val="superscript"/>
        </w:rPr>
        <w:footnoteReference w:id="43"/>
      </w:r>
      <w:bookmarkEnd w:id="16"/>
    </w:p>
    <w:p w14:paraId="6C24E5AA" w14:textId="0C100F21"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  </w:t>
      </w:r>
    </w:p>
    <w:p w14:paraId="5E8B9348"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Gov.UK Verify’s architecture thus comprises five key elements:</w:t>
      </w:r>
    </w:p>
    <w:p w14:paraId="2B9E19FC" w14:textId="2B9DC9E8" w:rsidR="00D70F60" w:rsidRPr="00D52EFE" w:rsidRDefault="000B5581" w:rsidP="00C86397">
      <w:pPr>
        <w:numPr>
          <w:ilvl w:val="0"/>
          <w:numId w:val="1"/>
        </w:numPr>
        <w:contextualSpacing/>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w:t>
      </w:r>
      <w:r w:rsidRPr="00D52EFE">
        <w:rPr>
          <w:rFonts w:ascii="Times New Roman" w:eastAsia="Times New Roman" w:hAnsi="Times New Roman" w:cs="Times New Roman"/>
          <w:b/>
          <w:color w:val="auto"/>
        </w:rPr>
        <w:t>Federation Hub</w:t>
      </w:r>
      <w:r w:rsidRPr="00D52EFE">
        <w:rPr>
          <w:rFonts w:ascii="Times New Roman" w:eastAsia="Times New Roman" w:hAnsi="Times New Roman" w:cs="Times New Roman"/>
          <w:color w:val="auto"/>
        </w:rPr>
        <w:t xml:space="preserve">: a central infrastructure that mediates all interaction between users, Identity Providers and Services (or Service Providers). The Hub leases eID services from the private Identity Providers. The Hub acts as a broker </w:t>
      </w:r>
      <w:r w:rsidR="00A23B56" w:rsidRPr="00D52EFE">
        <w:rPr>
          <w:rFonts w:ascii="Times New Roman" w:eastAsia="Times New Roman" w:hAnsi="Times New Roman" w:cs="Times New Roman"/>
          <w:color w:val="auto"/>
        </w:rPr>
        <w:t>between data</w:t>
      </w:r>
      <w:r w:rsidRPr="00D52EFE">
        <w:rPr>
          <w:rFonts w:ascii="Times New Roman" w:eastAsia="Times New Roman" w:hAnsi="Times New Roman" w:cs="Times New Roman"/>
          <w:color w:val="auto"/>
        </w:rPr>
        <w:t xml:space="preserve"> exchanges</w:t>
      </w:r>
      <w:r w:rsidR="00A23B56" w:rsidRPr="00D52EFE">
        <w:rPr>
          <w:rFonts w:ascii="Times New Roman" w:eastAsia="Times New Roman" w:hAnsi="Times New Roman" w:cs="Times New Roman"/>
          <w:color w:val="auto"/>
        </w:rPr>
        <w:t>. Identity Providers and Service Providers have direct communication only with the Hub, so that the Identity Provider remains unknown to the Service Provider and vice versa</w:t>
      </w:r>
      <w:r w:rsidRPr="00D52EFE">
        <w:rPr>
          <w:rFonts w:ascii="Times New Roman" w:eastAsia="Times New Roman" w:hAnsi="Times New Roman" w:cs="Times New Roman"/>
          <w:color w:val="auto"/>
        </w:rPr>
        <w:t>. The Hub ensures that the required LOA is adhered to and does not collect or store data beyond the current session (stateless operation).</w:t>
      </w:r>
      <w:r w:rsidRPr="00D52EFE">
        <w:rPr>
          <w:rFonts w:ascii="Times New Roman" w:eastAsia="Times New Roman" w:hAnsi="Times New Roman" w:cs="Times New Roman"/>
          <w:color w:val="auto"/>
          <w:vertAlign w:val="superscript"/>
        </w:rPr>
        <w:footnoteReference w:id="44"/>
      </w:r>
      <w:r w:rsidRPr="00D52EFE">
        <w:rPr>
          <w:rFonts w:ascii="Times New Roman" w:eastAsia="Times New Roman" w:hAnsi="Times New Roman" w:cs="Times New Roman"/>
          <w:color w:val="auto"/>
        </w:rPr>
        <w:t xml:space="preserve"> </w:t>
      </w:r>
    </w:p>
    <w:p w14:paraId="6B579071" w14:textId="77777777" w:rsidR="00D70F60" w:rsidRPr="00D52EFE" w:rsidRDefault="000B5581" w:rsidP="00C86397">
      <w:pPr>
        <w:numPr>
          <w:ilvl w:val="0"/>
          <w:numId w:val="1"/>
        </w:numPr>
        <w:contextualSpacing/>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 The </w:t>
      </w:r>
      <w:r w:rsidRPr="00D52EFE">
        <w:rPr>
          <w:rFonts w:ascii="Times New Roman" w:eastAsia="Times New Roman" w:hAnsi="Times New Roman" w:cs="Times New Roman"/>
          <w:b/>
          <w:color w:val="auto"/>
        </w:rPr>
        <w:t>Service Provider</w:t>
      </w:r>
      <w:r w:rsidRPr="00D52EFE">
        <w:rPr>
          <w:rFonts w:ascii="Times New Roman" w:eastAsia="Times New Roman" w:hAnsi="Times New Roman" w:cs="Times New Roman"/>
          <w:color w:val="auto"/>
        </w:rPr>
        <w:t>: Service providers are the different public services that can request the electronic identification of the user in order to transact with them. At the moment, service providers in the Gov.UK Verify federation are solely governmental departments.</w:t>
      </w:r>
      <w:r w:rsidRPr="00D52EFE">
        <w:rPr>
          <w:rFonts w:ascii="Times New Roman" w:eastAsia="Times New Roman" w:hAnsi="Times New Roman" w:cs="Times New Roman"/>
          <w:color w:val="auto"/>
          <w:vertAlign w:val="superscript"/>
        </w:rPr>
        <w:footnoteReference w:id="45"/>
      </w:r>
    </w:p>
    <w:p w14:paraId="194D2C39" w14:textId="77777777" w:rsidR="00D70F60" w:rsidRPr="00D52EFE" w:rsidRDefault="000B5581" w:rsidP="00C86397">
      <w:pPr>
        <w:numPr>
          <w:ilvl w:val="0"/>
          <w:numId w:val="1"/>
        </w:numPr>
        <w:contextualSpacing/>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w:t>
      </w:r>
      <w:r w:rsidRPr="00D52EFE">
        <w:rPr>
          <w:rFonts w:ascii="Times New Roman" w:eastAsia="Times New Roman" w:hAnsi="Times New Roman" w:cs="Times New Roman"/>
          <w:b/>
          <w:color w:val="auto"/>
        </w:rPr>
        <w:t>Identity Provider</w:t>
      </w:r>
      <w:r w:rsidRPr="00D52EFE">
        <w:rPr>
          <w:rFonts w:ascii="Times New Roman" w:eastAsia="Times New Roman" w:hAnsi="Times New Roman" w:cs="Times New Roman"/>
          <w:color w:val="auto"/>
        </w:rPr>
        <w:t xml:space="preserve">: Identity providers are </w:t>
      </w:r>
      <w:r w:rsidRPr="00D52EFE">
        <w:rPr>
          <w:rFonts w:ascii="Times New Roman" w:eastAsia="Times New Roman" w:hAnsi="Times New Roman" w:cs="Times New Roman"/>
          <w:i/>
          <w:color w:val="auto"/>
        </w:rPr>
        <w:t>“</w:t>
      </w:r>
      <w:r w:rsidRPr="00D52EFE">
        <w:rPr>
          <w:rFonts w:ascii="Times New Roman" w:eastAsia="Times New Roman" w:hAnsi="Times New Roman" w:cs="Times New Roman"/>
          <w:color w:val="auto"/>
        </w:rPr>
        <w:t>[p]</w:t>
      </w:r>
      <w:r w:rsidRPr="00D52EFE">
        <w:rPr>
          <w:rFonts w:ascii="Times New Roman" w:eastAsia="Times New Roman" w:hAnsi="Times New Roman" w:cs="Times New Roman"/>
          <w:i/>
          <w:color w:val="auto"/>
        </w:rPr>
        <w:t>rivate sector organisations, paid by the government, to verify that a user is who they say they are and assert verified data that identifies them to a government service.”</w:t>
      </w:r>
      <w:bookmarkStart w:id="17" w:name="_Ref494993330"/>
      <w:r w:rsidRPr="00D52EFE">
        <w:rPr>
          <w:rFonts w:ascii="Times New Roman" w:eastAsia="Times New Roman" w:hAnsi="Times New Roman" w:cs="Times New Roman"/>
          <w:color w:val="auto"/>
          <w:vertAlign w:val="superscript"/>
        </w:rPr>
        <w:footnoteReference w:id="46"/>
      </w:r>
      <w:bookmarkEnd w:id="17"/>
      <w:r w:rsidRPr="00D52EFE">
        <w:rPr>
          <w:rFonts w:ascii="Times New Roman" w:eastAsia="Times New Roman" w:hAnsi="Times New Roman" w:cs="Times New Roman"/>
          <w:color w:val="auto"/>
        </w:rPr>
        <w:t xml:space="preserve"> They verify the user’s identity against various authoritative sources, like the HM Passports Office and the Driving Licensing Authority.</w:t>
      </w:r>
      <w:r w:rsidRPr="00D52EFE">
        <w:rPr>
          <w:rFonts w:ascii="Times New Roman" w:eastAsia="Times New Roman" w:hAnsi="Times New Roman" w:cs="Times New Roman"/>
          <w:color w:val="auto"/>
          <w:vertAlign w:val="superscript"/>
        </w:rPr>
        <w:footnoteReference w:id="47"/>
      </w:r>
      <w:r w:rsidRPr="00D52EFE">
        <w:rPr>
          <w:rFonts w:ascii="Times New Roman" w:eastAsia="Times New Roman" w:hAnsi="Times New Roman" w:cs="Times New Roman"/>
          <w:color w:val="auto"/>
        </w:rPr>
        <w:t xml:space="preserve"> </w:t>
      </w:r>
    </w:p>
    <w:p w14:paraId="40A65336" w14:textId="77777777" w:rsidR="00D70F60" w:rsidRPr="00D52EFE" w:rsidRDefault="000B5581" w:rsidP="00C86397">
      <w:pPr>
        <w:numPr>
          <w:ilvl w:val="0"/>
          <w:numId w:val="1"/>
        </w:numPr>
        <w:contextualSpacing/>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 The </w:t>
      </w:r>
      <w:r w:rsidRPr="00D52EFE">
        <w:rPr>
          <w:rFonts w:ascii="Times New Roman" w:eastAsia="Times New Roman" w:hAnsi="Times New Roman" w:cs="Times New Roman"/>
          <w:b/>
          <w:color w:val="auto"/>
        </w:rPr>
        <w:t>Matching Service</w:t>
      </w:r>
      <w:r w:rsidRPr="00D52EFE">
        <w:rPr>
          <w:rFonts w:ascii="Times New Roman" w:eastAsia="Times New Roman" w:hAnsi="Times New Roman" w:cs="Times New Roman"/>
          <w:color w:val="auto"/>
        </w:rPr>
        <w:t>: a middleware deployed at the Service Provider level whose purpose is to match the eID received by the Identity Provider to a local account in the Service Provider’s database.</w:t>
      </w:r>
    </w:p>
    <w:p w14:paraId="47D3038D" w14:textId="35B572DB" w:rsidR="00D70F60" w:rsidRPr="00D52EFE" w:rsidRDefault="000B5581" w:rsidP="00C86397">
      <w:pPr>
        <w:numPr>
          <w:ilvl w:val="0"/>
          <w:numId w:val="1"/>
        </w:numPr>
        <w:contextualSpacing/>
        <w:rPr>
          <w:rFonts w:ascii="Times New Roman" w:eastAsia="Times New Roman" w:hAnsi="Times New Roman" w:cs="Times New Roman"/>
          <w:color w:val="auto"/>
        </w:rPr>
      </w:pPr>
      <w:r w:rsidRPr="00D52EFE">
        <w:rPr>
          <w:rFonts w:ascii="Times New Roman" w:eastAsia="Times New Roman" w:hAnsi="Times New Roman" w:cs="Times New Roman"/>
          <w:color w:val="auto"/>
        </w:rPr>
        <w:lastRenderedPageBreak/>
        <w:t xml:space="preserve">The </w:t>
      </w:r>
      <w:r w:rsidRPr="00D52EFE">
        <w:rPr>
          <w:rFonts w:ascii="Times New Roman" w:eastAsia="Times New Roman" w:hAnsi="Times New Roman" w:cs="Times New Roman"/>
          <w:b/>
          <w:color w:val="auto"/>
        </w:rPr>
        <w:t>Document Checking Service</w:t>
      </w:r>
      <w:r w:rsidRPr="00D52EFE">
        <w:rPr>
          <w:rFonts w:ascii="Times New Roman" w:eastAsia="Times New Roman" w:hAnsi="Times New Roman" w:cs="Times New Roman"/>
          <w:color w:val="auto"/>
        </w:rPr>
        <w:t>, a supplementary service designed and operated by the Government Digital Service (GDS), whose role is to check the official documents provided by the user against auth</w:t>
      </w:r>
      <w:r w:rsidR="00F10223" w:rsidRPr="00D52EFE">
        <w:rPr>
          <w:rFonts w:ascii="Times New Roman" w:eastAsia="Times New Roman" w:hAnsi="Times New Roman" w:cs="Times New Roman"/>
          <w:color w:val="auto"/>
        </w:rPr>
        <w:t>oritative sources. Currently</w:t>
      </w:r>
      <w:r w:rsidR="00A35D68"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checks are performed against the HM Passport Office or the Driver and Vehicle Licensing Agency.</w:t>
      </w:r>
      <w:r w:rsidRPr="00D52EFE">
        <w:rPr>
          <w:rFonts w:ascii="Times New Roman" w:eastAsia="Times New Roman" w:hAnsi="Times New Roman" w:cs="Times New Roman"/>
          <w:color w:val="auto"/>
          <w:vertAlign w:val="superscript"/>
        </w:rPr>
        <w:footnoteReference w:id="48"/>
      </w:r>
      <w:r w:rsidRPr="00D52EFE">
        <w:rPr>
          <w:rFonts w:ascii="Times New Roman" w:eastAsia="Times New Roman" w:hAnsi="Times New Roman" w:cs="Times New Roman"/>
          <w:color w:val="auto"/>
        </w:rPr>
        <w:t xml:space="preserve"> The system returns an attestation of the authenticity of the documents to the Identity Provider, meaning that Identity Providers do not have to directly access official records. The Document Checking Service is not engaged in every eID transaction; </w:t>
      </w:r>
      <w:r w:rsidR="00F10223" w:rsidRPr="00D52EFE">
        <w:rPr>
          <w:rFonts w:ascii="Times New Roman" w:eastAsia="Times New Roman" w:hAnsi="Times New Roman" w:cs="Times New Roman"/>
          <w:color w:val="auto"/>
        </w:rPr>
        <w:t>instead,</w:t>
      </w:r>
      <w:r w:rsidRPr="00D52EFE">
        <w:rPr>
          <w:rFonts w:ascii="Times New Roman" w:eastAsia="Times New Roman" w:hAnsi="Times New Roman" w:cs="Times New Roman"/>
          <w:color w:val="auto"/>
        </w:rPr>
        <w:t xml:space="preserve"> it is only needed for the registration of a new user with an Identity Provider.</w:t>
      </w:r>
      <w:r w:rsidR="008E7DBB" w:rsidRPr="00D52EFE">
        <w:rPr>
          <w:rFonts w:ascii="Times New Roman" w:eastAsia="Times New Roman" w:hAnsi="Times New Roman" w:cs="Times New Roman"/>
          <w:color w:val="auto"/>
        </w:rPr>
        <w:t xml:space="preserve"> Besides, it has been criticised for not federating.  </w:t>
      </w:r>
    </w:p>
    <w:p w14:paraId="053C1643" w14:textId="77777777" w:rsidR="00D70F60" w:rsidRPr="00D52EFE" w:rsidRDefault="00D70F60" w:rsidP="00C86397">
      <w:pPr>
        <w:rPr>
          <w:rFonts w:ascii="Times New Roman" w:eastAsia="Times New Roman" w:hAnsi="Times New Roman" w:cs="Times New Roman"/>
          <w:color w:val="auto"/>
        </w:rPr>
      </w:pPr>
    </w:p>
    <w:p w14:paraId="6D2EBA3D" w14:textId="753F1F5B"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From this description, it thus appears that the Gov.UK Verify system involve </w:t>
      </w:r>
      <w:r w:rsidR="00F10223" w:rsidRPr="00D52EFE">
        <w:rPr>
          <w:rFonts w:ascii="Times New Roman" w:eastAsia="Times New Roman" w:hAnsi="Times New Roman" w:cs="Times New Roman"/>
          <w:color w:val="auto"/>
        </w:rPr>
        <w:t>four</w:t>
      </w:r>
      <w:r w:rsidRPr="00D52EFE">
        <w:rPr>
          <w:rFonts w:ascii="Times New Roman" w:eastAsia="Times New Roman" w:hAnsi="Times New Roman" w:cs="Times New Roman"/>
          <w:color w:val="auto"/>
        </w:rPr>
        <w:t xml:space="preserve"> actors: </w:t>
      </w:r>
    </w:p>
    <w:p w14:paraId="34ABB551" w14:textId="77777777" w:rsidR="00D70F60" w:rsidRPr="00D52EFE" w:rsidRDefault="000B5581" w:rsidP="00C86397">
      <w:pPr>
        <w:numPr>
          <w:ilvl w:val="0"/>
          <w:numId w:val="3"/>
        </w:numPr>
        <w:contextualSpacing/>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w:t>
      </w:r>
      <w:r w:rsidRPr="00D52EFE">
        <w:rPr>
          <w:rFonts w:ascii="Times New Roman" w:eastAsia="Times New Roman" w:hAnsi="Times New Roman" w:cs="Times New Roman"/>
          <w:b/>
          <w:color w:val="auto"/>
        </w:rPr>
        <w:t>GDS</w:t>
      </w:r>
      <w:r w:rsidRPr="00D52EFE">
        <w:rPr>
          <w:rFonts w:ascii="Times New Roman" w:eastAsia="Times New Roman" w:hAnsi="Times New Roman" w:cs="Times New Roman"/>
          <w:color w:val="auto"/>
        </w:rPr>
        <w:t xml:space="preserve">, operating the Federation Hub and the Document Checking Service. </w:t>
      </w:r>
    </w:p>
    <w:p w14:paraId="3A57A158" w14:textId="77777777" w:rsidR="00D70F60" w:rsidRPr="00D52EFE" w:rsidRDefault="000B5581" w:rsidP="00C86397">
      <w:pPr>
        <w:numPr>
          <w:ilvl w:val="0"/>
          <w:numId w:val="3"/>
        </w:numPr>
        <w:contextualSpacing/>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Government Services acting as relying parties, which request authentication (in the sense of verification of identity) and which host matching services also characterised as </w:t>
      </w:r>
      <w:r w:rsidRPr="00D52EFE">
        <w:rPr>
          <w:rFonts w:ascii="Times New Roman" w:eastAsia="Times New Roman" w:hAnsi="Times New Roman" w:cs="Times New Roman"/>
          <w:b/>
          <w:color w:val="auto"/>
        </w:rPr>
        <w:t>service providers</w:t>
      </w:r>
      <w:r w:rsidRPr="00D52EFE">
        <w:rPr>
          <w:rFonts w:ascii="Times New Roman" w:eastAsia="Times New Roman" w:hAnsi="Times New Roman" w:cs="Times New Roman"/>
          <w:color w:val="auto"/>
        </w:rPr>
        <w:t xml:space="preserve">. </w:t>
      </w:r>
    </w:p>
    <w:p w14:paraId="4ED57A4B" w14:textId="77777777" w:rsidR="00D70F60" w:rsidRPr="00D52EFE" w:rsidRDefault="000B5581" w:rsidP="00C86397">
      <w:pPr>
        <w:numPr>
          <w:ilvl w:val="0"/>
          <w:numId w:val="3"/>
        </w:numPr>
        <w:contextualSpacing/>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Certification companies acting as </w:t>
      </w:r>
      <w:r w:rsidRPr="00D52EFE">
        <w:rPr>
          <w:rFonts w:ascii="Times New Roman" w:eastAsia="Times New Roman" w:hAnsi="Times New Roman" w:cs="Times New Roman"/>
          <w:b/>
          <w:color w:val="auto"/>
        </w:rPr>
        <w:t>identity providers</w:t>
      </w:r>
      <w:r w:rsidRPr="00D52EFE">
        <w:rPr>
          <w:rFonts w:ascii="Times New Roman" w:eastAsia="Times New Roman" w:hAnsi="Times New Roman" w:cs="Times New Roman"/>
          <w:color w:val="auto"/>
        </w:rPr>
        <w:t>.</w:t>
      </w:r>
    </w:p>
    <w:p w14:paraId="5B7F43EE" w14:textId="45A7142A" w:rsidR="00D70F60" w:rsidRPr="00D52EFE" w:rsidRDefault="000B5581" w:rsidP="00C86397">
      <w:pPr>
        <w:numPr>
          <w:ilvl w:val="0"/>
          <w:numId w:val="3"/>
        </w:numPr>
        <w:contextualSpacing/>
        <w:rPr>
          <w:rFonts w:ascii="Times New Roman" w:eastAsia="Times New Roman" w:hAnsi="Times New Roman" w:cs="Times New Roman"/>
          <w:color w:val="auto"/>
        </w:rPr>
      </w:pPr>
      <w:r w:rsidRPr="00D52EFE">
        <w:rPr>
          <w:rFonts w:ascii="Times New Roman" w:eastAsia="Times New Roman" w:hAnsi="Times New Roman" w:cs="Times New Roman"/>
          <w:b/>
          <w:color w:val="auto"/>
        </w:rPr>
        <w:t>Service users</w:t>
      </w:r>
      <w:r w:rsidRPr="00D52EFE">
        <w:rPr>
          <w:rFonts w:ascii="Times New Roman" w:eastAsia="Times New Roman" w:hAnsi="Times New Roman" w:cs="Times New Roman"/>
          <w:color w:val="auto"/>
        </w:rPr>
        <w:t xml:space="preserve">. </w:t>
      </w:r>
    </w:p>
    <w:p w14:paraId="1F496DE2" w14:textId="70B1474A" w:rsidR="00365C3A" w:rsidRPr="00D52EFE" w:rsidRDefault="00365C3A" w:rsidP="00C86397">
      <w:pPr>
        <w:contextualSpacing/>
        <w:rPr>
          <w:rFonts w:ascii="Times New Roman" w:eastAsia="Times New Roman" w:hAnsi="Times New Roman" w:cs="Times New Roman"/>
          <w:color w:val="auto"/>
        </w:rPr>
      </w:pPr>
    </w:p>
    <w:p w14:paraId="3A9B3E49" w14:textId="77777777" w:rsidR="00365C3A" w:rsidRPr="00D52EFE" w:rsidRDefault="00365C3A" w:rsidP="00C86397">
      <w:pPr>
        <w:contextualSpacing/>
        <w:rPr>
          <w:rFonts w:ascii="Times New Roman" w:eastAsia="Times New Roman" w:hAnsi="Times New Roman" w:cs="Times New Roman"/>
          <w:color w:val="auto"/>
        </w:rPr>
      </w:pPr>
    </w:p>
    <w:p w14:paraId="15CFA913" w14:textId="1AABF68F" w:rsidR="00D70F60" w:rsidRPr="00D52EFE" w:rsidRDefault="000B5581" w:rsidP="00C86397">
      <w:pPr>
        <w:pStyle w:val="Heading2"/>
        <w:rPr>
          <w:b/>
          <w:color w:val="auto"/>
          <w:sz w:val="22"/>
          <w:szCs w:val="22"/>
        </w:rPr>
      </w:pPr>
      <w:bookmarkStart w:id="18" w:name="_Toc495674473"/>
      <w:r w:rsidRPr="00D52EFE">
        <w:rPr>
          <w:b/>
          <w:color w:val="auto"/>
          <w:sz w:val="22"/>
          <w:szCs w:val="22"/>
        </w:rPr>
        <w:t xml:space="preserve">Data </w:t>
      </w:r>
      <w:r w:rsidR="00572813" w:rsidRPr="00D52EFE">
        <w:rPr>
          <w:b/>
          <w:color w:val="auto"/>
          <w:sz w:val="22"/>
          <w:szCs w:val="22"/>
        </w:rPr>
        <w:t xml:space="preserve">Flows </w:t>
      </w:r>
      <w:bookmarkEnd w:id="18"/>
    </w:p>
    <w:p w14:paraId="401AF83B" w14:textId="77777777" w:rsidR="00E4412E" w:rsidRPr="00D52EFE" w:rsidRDefault="00E4412E" w:rsidP="00C86397">
      <w:pPr>
        <w:keepNext/>
        <w:rPr>
          <w:rFonts w:ascii="Times New Roman" w:hAnsi="Times New Roman" w:cs="Times New Roman"/>
          <w:color w:val="auto"/>
        </w:rPr>
      </w:pPr>
      <w:r w:rsidRPr="00D52EFE">
        <w:rPr>
          <w:rFonts w:ascii="Times New Roman" w:hAnsi="Times New Roman" w:cs="Times New Roman"/>
          <w:noProof/>
          <w:color w:val="auto"/>
        </w:rPr>
        <w:drawing>
          <wp:inline distT="0" distB="0" distL="0" distR="0" wp14:anchorId="6A64161C" wp14:editId="60E73B22">
            <wp:extent cx="5733415" cy="300694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colou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3006941"/>
                    </a:xfrm>
                    <a:prstGeom prst="rect">
                      <a:avLst/>
                    </a:prstGeom>
                  </pic:spPr>
                </pic:pic>
              </a:graphicData>
            </a:graphic>
          </wp:inline>
        </w:drawing>
      </w:r>
    </w:p>
    <w:p w14:paraId="4232E055" w14:textId="0C723F10" w:rsidR="00E4412E" w:rsidRPr="00D52EFE" w:rsidRDefault="00E4412E" w:rsidP="00C86397">
      <w:pPr>
        <w:pStyle w:val="Caption"/>
        <w:spacing w:line="276" w:lineRule="auto"/>
        <w:rPr>
          <w:rFonts w:ascii="Times New Roman" w:hAnsi="Times New Roman" w:cs="Times New Roman"/>
          <w:color w:val="auto"/>
          <w:sz w:val="22"/>
          <w:szCs w:val="22"/>
        </w:rPr>
      </w:pPr>
      <w:r w:rsidRPr="00D52EFE">
        <w:rPr>
          <w:rFonts w:ascii="Times New Roman" w:hAnsi="Times New Roman" w:cs="Times New Roman"/>
          <w:color w:val="auto"/>
          <w:sz w:val="22"/>
          <w:szCs w:val="22"/>
        </w:rPr>
        <w:t xml:space="preserve">Figure </w:t>
      </w:r>
      <w:r w:rsidR="00C86397" w:rsidRPr="00D52EFE">
        <w:rPr>
          <w:rFonts w:ascii="Times New Roman" w:hAnsi="Times New Roman" w:cs="Times New Roman"/>
          <w:color w:val="auto"/>
          <w:sz w:val="22"/>
          <w:szCs w:val="22"/>
        </w:rPr>
        <w:fldChar w:fldCharType="begin"/>
      </w:r>
      <w:r w:rsidR="00C86397" w:rsidRPr="00D52EFE">
        <w:rPr>
          <w:rFonts w:ascii="Times New Roman" w:hAnsi="Times New Roman" w:cs="Times New Roman"/>
          <w:color w:val="auto"/>
          <w:sz w:val="22"/>
          <w:szCs w:val="22"/>
        </w:rPr>
        <w:instrText xml:space="preserve"> SEQ Figure \* ARABIC </w:instrText>
      </w:r>
      <w:r w:rsidR="00C86397" w:rsidRPr="00D52EFE">
        <w:rPr>
          <w:rFonts w:ascii="Times New Roman" w:hAnsi="Times New Roman" w:cs="Times New Roman"/>
          <w:color w:val="auto"/>
          <w:sz w:val="22"/>
          <w:szCs w:val="22"/>
        </w:rPr>
        <w:fldChar w:fldCharType="separate"/>
      </w:r>
      <w:r w:rsidR="00342347">
        <w:rPr>
          <w:rFonts w:ascii="Times New Roman" w:hAnsi="Times New Roman" w:cs="Times New Roman"/>
          <w:noProof/>
          <w:color w:val="auto"/>
          <w:sz w:val="22"/>
          <w:szCs w:val="22"/>
        </w:rPr>
        <w:t>1</w:t>
      </w:r>
      <w:r w:rsidR="00C86397" w:rsidRPr="00D52EFE">
        <w:rPr>
          <w:rFonts w:ascii="Times New Roman" w:hAnsi="Times New Roman" w:cs="Times New Roman"/>
          <w:noProof/>
          <w:color w:val="auto"/>
          <w:sz w:val="22"/>
          <w:szCs w:val="22"/>
        </w:rPr>
        <w:fldChar w:fldCharType="end"/>
      </w:r>
      <w:r w:rsidRPr="00D52EFE">
        <w:rPr>
          <w:rFonts w:ascii="Times New Roman" w:hAnsi="Times New Roman" w:cs="Times New Roman"/>
          <w:color w:val="auto"/>
          <w:sz w:val="22"/>
          <w:szCs w:val="22"/>
        </w:rPr>
        <w:t>: Gov.UK Verify actors and data flows</w:t>
      </w:r>
    </w:p>
    <w:p w14:paraId="4F3CE8EC" w14:textId="2DB2D17A" w:rsidR="00E4412E" w:rsidRPr="00D52EFE" w:rsidRDefault="00E4412E" w:rsidP="00C86397">
      <w:pPr>
        <w:rPr>
          <w:rFonts w:ascii="Times New Roman" w:hAnsi="Times New Roman" w:cs="Times New Roman"/>
          <w:color w:val="auto"/>
        </w:rPr>
      </w:pPr>
    </w:p>
    <w:p w14:paraId="5A95FDF7" w14:textId="2EA43B68"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typical user journey in Gov.UK Verify starts when a user requests an identification against a governmental service. The service sends an authentication request to the Hub (step 1, Figure 1) indicating the requested LOA (at the moment Gov.UK Verify supports only LOA 2).</w:t>
      </w:r>
      <w:r w:rsidRPr="00D52EFE">
        <w:rPr>
          <w:rFonts w:ascii="Times New Roman" w:eastAsia="Times New Roman" w:hAnsi="Times New Roman" w:cs="Times New Roman"/>
          <w:color w:val="auto"/>
          <w:vertAlign w:val="superscript"/>
        </w:rPr>
        <w:footnoteReference w:id="49"/>
      </w:r>
      <w:r w:rsidRPr="00D52EFE">
        <w:rPr>
          <w:rFonts w:ascii="Times New Roman" w:eastAsia="Times New Roman" w:hAnsi="Times New Roman" w:cs="Times New Roman"/>
          <w:color w:val="auto"/>
        </w:rPr>
        <w:t xml:space="preserve"> The request is signed by the Service Provider. The Hub prompts the user to select one of the available Identity </w:t>
      </w:r>
      <w:r w:rsidRPr="00D52EFE">
        <w:rPr>
          <w:rFonts w:ascii="Times New Roman" w:eastAsia="Times New Roman" w:hAnsi="Times New Roman" w:cs="Times New Roman"/>
          <w:color w:val="auto"/>
        </w:rPr>
        <w:lastRenderedPageBreak/>
        <w:t>Providers, depending on the available data the user has for verification. An authentication request is sent to the selected Identity Provider, signed by the Hub (step 2, Figure 1). The Identity Provider verifies the user’s identity according to the indicated LOA. The verified identity (the eID) is sent as a response to the Hub, signed by the Identity Provider (step 3, Figure 1). The eID contains an ‘authentication assertion’ – encrypted for the Hub – which asserts that the user’s identity is authenticated and contains contextual information including the LOA.</w:t>
      </w:r>
      <w:r w:rsidRPr="00D52EFE">
        <w:rPr>
          <w:rFonts w:ascii="Times New Roman" w:eastAsia="Times New Roman" w:hAnsi="Times New Roman" w:cs="Times New Roman"/>
          <w:color w:val="auto"/>
          <w:vertAlign w:val="superscript"/>
        </w:rPr>
        <w:footnoteReference w:id="50"/>
      </w:r>
      <w:r w:rsidRPr="00D52EFE">
        <w:rPr>
          <w:rFonts w:ascii="Times New Roman" w:eastAsia="Times New Roman" w:hAnsi="Times New Roman" w:cs="Times New Roman"/>
          <w:color w:val="auto"/>
        </w:rPr>
        <w:t xml:space="preserve"> It also contains an ‘Identity assertion’, also encrypted for the Hub, containing two elements: the Matching Dataset and a Persistent Identifier. The Matching Datase</w:t>
      </w:r>
      <w:r w:rsidR="00751A80" w:rsidRPr="00D52EFE">
        <w:rPr>
          <w:rFonts w:ascii="Times New Roman" w:eastAsia="Times New Roman" w:hAnsi="Times New Roman" w:cs="Times New Roman"/>
          <w:color w:val="auto"/>
        </w:rPr>
        <w:t>t comprises the same standard fields</w:t>
      </w:r>
      <w:r w:rsidRPr="00D52EFE">
        <w:rPr>
          <w:rFonts w:ascii="Times New Roman" w:eastAsia="Times New Roman" w:hAnsi="Times New Roman" w:cs="Times New Roman"/>
          <w:color w:val="auto"/>
        </w:rPr>
        <w:t xml:space="preserve"> for every eID.</w:t>
      </w:r>
      <w:r w:rsidRPr="00D52EFE">
        <w:rPr>
          <w:rFonts w:ascii="Times New Roman" w:eastAsia="Times New Roman" w:hAnsi="Times New Roman" w:cs="Times New Roman"/>
          <w:color w:val="auto"/>
          <w:vertAlign w:val="superscript"/>
        </w:rPr>
        <w:footnoteReference w:id="51"/>
      </w:r>
      <w:r w:rsidRPr="00D52EFE">
        <w:rPr>
          <w:rFonts w:ascii="Times New Roman" w:eastAsia="Times New Roman" w:hAnsi="Times New Roman" w:cs="Times New Roman"/>
          <w:color w:val="auto"/>
        </w:rPr>
        <w:t xml:space="preserve"> The Persistent Identifier is a pseudo-random value generated by the Identity Provider and refers to the combination of the user and the chosen identity provider.</w:t>
      </w:r>
      <w:r w:rsidRPr="00D52EFE">
        <w:rPr>
          <w:rFonts w:ascii="Times New Roman" w:eastAsia="Times New Roman" w:hAnsi="Times New Roman" w:cs="Times New Roman"/>
          <w:color w:val="auto"/>
          <w:vertAlign w:val="superscript"/>
        </w:rPr>
        <w:footnoteReference w:id="52"/>
      </w:r>
      <w:r w:rsidRPr="00D52EFE">
        <w:rPr>
          <w:rFonts w:ascii="Times New Roman" w:eastAsia="Times New Roman" w:hAnsi="Times New Roman" w:cs="Times New Roman"/>
          <w:color w:val="auto"/>
        </w:rPr>
        <w:t xml:space="preserve"> The </w:t>
      </w:r>
      <w:r w:rsidR="00F10223" w:rsidRPr="00D52EFE">
        <w:rPr>
          <w:rFonts w:ascii="Times New Roman" w:eastAsia="Times New Roman" w:hAnsi="Times New Roman" w:cs="Times New Roman"/>
          <w:color w:val="auto"/>
        </w:rPr>
        <w:t>Hub then sends the ‘Identity assertion’</w:t>
      </w:r>
      <w:r w:rsidRPr="00D52EFE">
        <w:rPr>
          <w:rFonts w:ascii="Times New Roman" w:eastAsia="Times New Roman" w:hAnsi="Times New Roman" w:cs="Times New Roman"/>
          <w:color w:val="auto"/>
        </w:rPr>
        <w:t xml:space="preserve"> to the Matching Service located at the Service Provider. The ‘Identity assertion’ retains the signature of the Identity Provider and is encrypted for the Matching Service (step 4, Figure 1). The Matching Service then performs a series of attempts to match the ‘Identity assertion’ to a local user record, known as ‘matching cycles’. The first cycle, ‘cycle 0’, starts when the Matching Service changes the Persistent Identifier to a hashed value, created from the combination of user, Identity Provider and Service Provider.</w:t>
      </w:r>
      <w:r w:rsidRPr="00D52EFE">
        <w:rPr>
          <w:rFonts w:ascii="Times New Roman" w:eastAsia="Times New Roman" w:hAnsi="Times New Roman" w:cs="Times New Roman"/>
          <w:color w:val="auto"/>
          <w:vertAlign w:val="superscript"/>
        </w:rPr>
        <w:footnoteReference w:id="53"/>
      </w:r>
      <w:r w:rsidRPr="00D52EFE">
        <w:rPr>
          <w:rFonts w:ascii="Times New Roman" w:eastAsia="Times New Roman" w:hAnsi="Times New Roman" w:cs="Times New Roman"/>
          <w:color w:val="auto"/>
        </w:rPr>
        <w:t xml:space="preserve"> After creation of the hashed persistent identifier, the Matching Service </w:t>
      </w:r>
      <w:r w:rsidR="00FD666F" w:rsidRPr="00D52EFE">
        <w:rPr>
          <w:rFonts w:ascii="Times New Roman" w:eastAsia="Times New Roman" w:hAnsi="Times New Roman" w:cs="Times New Roman"/>
          <w:color w:val="auto"/>
        </w:rPr>
        <w:t>checks whether</w:t>
      </w:r>
      <w:r w:rsidR="00ED0519" w:rsidRPr="00D52EFE">
        <w:rPr>
          <w:rFonts w:ascii="Times New Roman" w:eastAsia="Times New Roman" w:hAnsi="Times New Roman" w:cs="Times New Roman"/>
          <w:color w:val="auto"/>
        </w:rPr>
        <w:t xml:space="preserve"> the hashed value has already been associated to a user record in a local database</w:t>
      </w:r>
      <w:r w:rsidRPr="00D52EFE">
        <w:rPr>
          <w:rFonts w:ascii="Times New Roman" w:eastAsia="Times New Roman" w:hAnsi="Times New Roman" w:cs="Times New Roman"/>
          <w:color w:val="auto"/>
        </w:rPr>
        <w:t>. If a match is found, the ‘Identity assertion’ along with the hashed identifier are forwarded to the Service Provider. If not, the Matching Service tries to determine a</w:t>
      </w:r>
      <w:r w:rsidR="00A7340F">
        <w:rPr>
          <w:rFonts w:ascii="Times New Roman" w:eastAsia="Times New Roman" w:hAnsi="Times New Roman" w:cs="Times New Roman"/>
          <w:color w:val="auto"/>
        </w:rPr>
        <w:t xml:space="preserve"> match using the values of the Matching D</w:t>
      </w:r>
      <w:r w:rsidRPr="00D52EFE">
        <w:rPr>
          <w:rFonts w:ascii="Times New Roman" w:eastAsia="Times New Roman" w:hAnsi="Times New Roman" w:cs="Times New Roman"/>
          <w:color w:val="auto"/>
        </w:rPr>
        <w:t xml:space="preserve">ataset (‘cycle 1’). Subsequent cycles, if no match is found, ask the user for additional attributes. When a match is </w:t>
      </w:r>
      <w:r w:rsidR="00F10223" w:rsidRPr="00D52EFE">
        <w:rPr>
          <w:rFonts w:ascii="Times New Roman" w:eastAsia="Times New Roman" w:hAnsi="Times New Roman" w:cs="Times New Roman"/>
          <w:color w:val="auto"/>
        </w:rPr>
        <w:t>found,</w:t>
      </w:r>
      <w:r w:rsidRPr="00D52EFE">
        <w:rPr>
          <w:rFonts w:ascii="Times New Roman" w:eastAsia="Times New Roman" w:hAnsi="Times New Roman" w:cs="Times New Roman"/>
          <w:color w:val="auto"/>
        </w:rPr>
        <w:t xml:space="preserve"> the Matching Service sends a ‘match’ response along with the ‘Identity assertion’ back to the Hub, signed by the Matching Service and encrypted for the Hub (step 6, Figure 1). The Hub sends the signed ‘Identity assertion’ in an encrypted form to the Service Provider (step 7, Figure 1), which then retrieves the local record from its database.</w:t>
      </w:r>
    </w:p>
    <w:p w14:paraId="473CD22F" w14:textId="77777777" w:rsidR="00D70F60" w:rsidRPr="00D52EFE" w:rsidRDefault="00D70F60" w:rsidP="00C86397">
      <w:pPr>
        <w:rPr>
          <w:rFonts w:ascii="Times New Roman" w:eastAsia="Times New Roman" w:hAnsi="Times New Roman" w:cs="Times New Roman"/>
          <w:color w:val="auto"/>
        </w:rPr>
      </w:pPr>
    </w:p>
    <w:p w14:paraId="3453DFFE" w14:textId="0294A670" w:rsidR="00D70F60" w:rsidRPr="00D52EFE" w:rsidRDefault="000B5581" w:rsidP="007C694F">
      <w:pPr>
        <w:rPr>
          <w:rFonts w:ascii="Times New Roman" w:hAnsi="Times New Roman" w:cs="Times New Roman"/>
          <w:b/>
          <w:color w:val="auto"/>
        </w:rPr>
      </w:pPr>
      <w:r w:rsidRPr="00D52EFE">
        <w:rPr>
          <w:rFonts w:ascii="Times New Roman" w:eastAsia="Times New Roman" w:hAnsi="Times New Roman" w:cs="Times New Roman"/>
          <w:b/>
          <w:color w:val="auto"/>
        </w:rPr>
        <w:t xml:space="preserve"> </w:t>
      </w:r>
      <w:r w:rsidR="007C694F" w:rsidRPr="00D52EFE">
        <w:rPr>
          <w:rFonts w:ascii="Times New Roman" w:eastAsia="Times New Roman" w:hAnsi="Times New Roman" w:cs="Times New Roman"/>
          <w:b/>
          <w:color w:val="auto"/>
        </w:rPr>
        <w:t>2.3.</w:t>
      </w:r>
      <w:r w:rsidR="007C694F" w:rsidRPr="00D52EFE">
        <w:rPr>
          <w:rFonts w:ascii="Times New Roman" w:eastAsia="Times New Roman" w:hAnsi="Times New Roman" w:cs="Times New Roman"/>
          <w:b/>
          <w:color w:val="auto"/>
        </w:rPr>
        <w:tab/>
      </w:r>
      <w:bookmarkStart w:id="19" w:name="_6jv57wnnnho5" w:colFirst="0" w:colLast="0"/>
      <w:bookmarkStart w:id="20" w:name="_Toc495674474"/>
      <w:bookmarkEnd w:id="19"/>
      <w:r w:rsidR="00572813" w:rsidRPr="00D52EFE">
        <w:rPr>
          <w:rFonts w:ascii="Times New Roman" w:hAnsi="Times New Roman" w:cs="Times New Roman"/>
          <w:b/>
          <w:color w:val="auto"/>
        </w:rPr>
        <w:t>Gov.Uk Verify Data Protection Impact Assessment</w:t>
      </w:r>
      <w:bookmarkEnd w:id="20"/>
      <w:r w:rsidR="00572813" w:rsidRPr="00D52EFE">
        <w:rPr>
          <w:rFonts w:ascii="Times New Roman" w:hAnsi="Times New Roman" w:cs="Times New Roman"/>
          <w:b/>
          <w:color w:val="auto"/>
        </w:rPr>
        <w:t xml:space="preserve"> </w:t>
      </w:r>
    </w:p>
    <w:p w14:paraId="10C4EAB8" w14:textId="77777777" w:rsidR="00D70F60" w:rsidRPr="00D52EFE" w:rsidRDefault="00D70F60" w:rsidP="00C86397">
      <w:pPr>
        <w:rPr>
          <w:rFonts w:ascii="Times New Roman" w:eastAsia="Times New Roman" w:hAnsi="Times New Roman" w:cs="Times New Roman"/>
          <w:color w:val="auto"/>
        </w:rPr>
      </w:pPr>
    </w:p>
    <w:p w14:paraId="6D6D4758" w14:textId="2B486722" w:rsidR="00D70F60" w:rsidRPr="00D52EFE" w:rsidRDefault="00CD5140" w:rsidP="00C86397">
      <w:pPr>
        <w:rPr>
          <w:rFonts w:ascii="Times New Roman" w:eastAsia="Times New Roman" w:hAnsi="Times New Roman" w:cs="Times New Roman"/>
          <w:color w:val="auto"/>
        </w:rPr>
      </w:pPr>
      <w:r>
        <w:rPr>
          <w:rFonts w:ascii="Times New Roman" w:eastAsia="Times New Roman" w:hAnsi="Times New Roman" w:cs="Times New Roman"/>
          <w:color w:val="auto"/>
        </w:rPr>
        <w:t xml:space="preserve">While </w:t>
      </w:r>
      <w:r w:rsidR="00854465" w:rsidRPr="00D52EFE">
        <w:rPr>
          <w:rFonts w:ascii="Times New Roman" w:eastAsia="Times New Roman" w:hAnsi="Times New Roman" w:cs="Times New Roman"/>
          <w:color w:val="auto"/>
        </w:rPr>
        <w:t xml:space="preserve">the Verify </w:t>
      </w:r>
      <w:r>
        <w:rPr>
          <w:rFonts w:ascii="Times New Roman" w:eastAsia="Times New Roman" w:hAnsi="Times New Roman" w:cs="Times New Roman"/>
          <w:color w:val="auto"/>
        </w:rPr>
        <w:t>DPIA</w:t>
      </w:r>
      <w:r w:rsidR="000B5581" w:rsidRPr="00D52EFE">
        <w:rPr>
          <w:rFonts w:ascii="Times New Roman" w:eastAsia="Times New Roman" w:hAnsi="Times New Roman" w:cs="Times New Roman"/>
          <w:color w:val="auto"/>
        </w:rPr>
        <w:t xml:space="preserve"> was obviously undertaken before 25 May 2018, the date at which the GDPR becomes applicable, it was published on 18 May 2016, after the public release of the final text of the GDPR, which was then adopted on 25 May 2016.</w:t>
      </w:r>
      <w:r w:rsidR="000B5581" w:rsidRPr="00D52EFE">
        <w:rPr>
          <w:rFonts w:ascii="Times New Roman" w:eastAsia="Times New Roman" w:hAnsi="Times New Roman" w:cs="Times New Roman"/>
          <w:color w:val="auto"/>
          <w:vertAlign w:val="superscript"/>
        </w:rPr>
        <w:footnoteReference w:id="54"/>
      </w:r>
      <w:r w:rsidR="000B5581" w:rsidRPr="00D52EFE">
        <w:rPr>
          <w:rFonts w:ascii="Times New Roman" w:eastAsia="Times New Roman" w:hAnsi="Times New Roman" w:cs="Times New Roman"/>
          <w:color w:val="auto"/>
        </w:rPr>
        <w:t xml:space="preserve"> The authors of the </w:t>
      </w:r>
      <w:r w:rsidR="00854465" w:rsidRPr="00D52EFE">
        <w:rPr>
          <w:rFonts w:ascii="Times New Roman" w:eastAsia="Times New Roman" w:hAnsi="Times New Roman" w:cs="Times New Roman"/>
          <w:color w:val="auto"/>
        </w:rPr>
        <w:t xml:space="preserve">Verify </w:t>
      </w:r>
      <w:r w:rsidR="000B5581" w:rsidRPr="00D52EFE">
        <w:rPr>
          <w:rFonts w:ascii="Times New Roman" w:eastAsia="Times New Roman" w:hAnsi="Times New Roman" w:cs="Times New Roman"/>
          <w:color w:val="auto"/>
        </w:rPr>
        <w:t xml:space="preserve">DPIA were thus fully aware of the content of the GDPR when they released the impact assessment. Besides, they changed the name of the document from privacy impact assessment to data protection assessment </w:t>
      </w:r>
      <w:r w:rsidR="000B5581" w:rsidRPr="00D52EFE">
        <w:rPr>
          <w:rFonts w:ascii="Times New Roman" w:eastAsia="Times New Roman" w:hAnsi="Times New Roman" w:cs="Times New Roman"/>
          <w:i/>
          <w:color w:val="auto"/>
        </w:rPr>
        <w:t>“to reflect the terminology of the new EU General Data Protection Regulation.”</w:t>
      </w:r>
      <w:r w:rsidR="000B5581" w:rsidRPr="00D52EFE">
        <w:rPr>
          <w:rFonts w:ascii="Times New Roman" w:eastAsia="Times New Roman" w:hAnsi="Times New Roman" w:cs="Times New Roman"/>
          <w:color w:val="auto"/>
          <w:vertAlign w:val="superscript"/>
        </w:rPr>
        <w:footnoteReference w:id="55"/>
      </w:r>
      <w:r w:rsidR="000B5581" w:rsidRPr="00D52EFE">
        <w:rPr>
          <w:rFonts w:ascii="Times New Roman" w:eastAsia="Times New Roman" w:hAnsi="Times New Roman" w:cs="Times New Roman"/>
          <w:color w:val="auto"/>
        </w:rPr>
        <w:t xml:space="preserve"> Despite this change and awareness, the drafters of the </w:t>
      </w:r>
      <w:r w:rsidR="00854465" w:rsidRPr="00D52EFE">
        <w:rPr>
          <w:rFonts w:ascii="Times New Roman" w:eastAsia="Times New Roman" w:hAnsi="Times New Roman" w:cs="Times New Roman"/>
          <w:color w:val="auto"/>
        </w:rPr>
        <w:t xml:space="preserve">Verify </w:t>
      </w:r>
      <w:r w:rsidR="000B5581" w:rsidRPr="00D52EFE">
        <w:rPr>
          <w:rFonts w:ascii="Times New Roman" w:eastAsia="Times New Roman" w:hAnsi="Times New Roman" w:cs="Times New Roman"/>
          <w:color w:val="auto"/>
        </w:rPr>
        <w:t xml:space="preserve">DPIA recognise that a second impact assessment will have to follow to take into account the changes brought by the GDPR. It is therefore expressly mentioned that the </w:t>
      </w:r>
      <w:r w:rsidR="00854465" w:rsidRPr="00D52EFE">
        <w:rPr>
          <w:rFonts w:ascii="Times New Roman" w:eastAsia="Times New Roman" w:hAnsi="Times New Roman" w:cs="Times New Roman"/>
          <w:color w:val="auto"/>
        </w:rPr>
        <w:t xml:space="preserve">Verify </w:t>
      </w:r>
      <w:r w:rsidR="000B5581" w:rsidRPr="00D52EFE">
        <w:rPr>
          <w:rFonts w:ascii="Times New Roman" w:eastAsia="Times New Roman" w:hAnsi="Times New Roman" w:cs="Times New Roman"/>
          <w:i/>
          <w:color w:val="auto"/>
        </w:rPr>
        <w:t xml:space="preserve">“DPIA does not consider the requirements of the EU General Data Protection Regulation </w:t>
      </w:r>
      <w:r w:rsidR="000B5581" w:rsidRPr="00D52EFE">
        <w:rPr>
          <w:rFonts w:ascii="Times New Roman" w:eastAsia="Times New Roman" w:hAnsi="Times New Roman" w:cs="Times New Roman"/>
          <w:i/>
          <w:color w:val="auto"/>
        </w:rPr>
        <w:lastRenderedPageBreak/>
        <w:t>(GDPR), since the final text was only approved in May 2016.”</w:t>
      </w:r>
      <w:r w:rsidR="000B5581" w:rsidRPr="00D52EFE">
        <w:rPr>
          <w:rFonts w:ascii="Times New Roman" w:eastAsia="Times New Roman" w:hAnsi="Times New Roman" w:cs="Times New Roman"/>
          <w:color w:val="auto"/>
          <w:vertAlign w:val="superscript"/>
        </w:rPr>
        <w:footnoteReference w:id="56"/>
      </w:r>
      <w:r w:rsidR="000B5581" w:rsidRPr="00D52EFE">
        <w:rPr>
          <w:rFonts w:ascii="Times New Roman" w:eastAsia="Times New Roman" w:hAnsi="Times New Roman" w:cs="Times New Roman"/>
          <w:color w:val="auto"/>
        </w:rPr>
        <w:t xml:space="preserve"> More than one year after, no new impact assessment has been released to the public. </w:t>
      </w:r>
    </w:p>
    <w:p w14:paraId="1456E525" w14:textId="63A40713"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w:t>
      </w:r>
      <w:r w:rsidR="00854465" w:rsidRPr="00D52EFE">
        <w:rPr>
          <w:rFonts w:ascii="Times New Roman" w:eastAsia="Times New Roman" w:hAnsi="Times New Roman" w:cs="Times New Roman"/>
          <w:color w:val="auto"/>
        </w:rPr>
        <w:t xml:space="preserve">Verify </w:t>
      </w:r>
      <w:r w:rsidRPr="00D52EFE">
        <w:rPr>
          <w:rFonts w:ascii="Times New Roman" w:eastAsia="Times New Roman" w:hAnsi="Times New Roman" w:cs="Times New Roman"/>
          <w:color w:val="auto"/>
        </w:rPr>
        <w:t xml:space="preserve">DPIA is said to follow the approach advocated by the ICO </w:t>
      </w:r>
      <w:r w:rsidR="00854465" w:rsidRPr="00D52EFE">
        <w:rPr>
          <w:rFonts w:ascii="Times New Roman" w:eastAsia="Times New Roman" w:hAnsi="Times New Roman" w:cs="Times New Roman"/>
          <w:color w:val="auto"/>
        </w:rPr>
        <w:t xml:space="preserve">in its code of practice on privacy </w:t>
      </w:r>
      <w:r w:rsidRPr="00D52EFE">
        <w:rPr>
          <w:rFonts w:ascii="Times New Roman" w:eastAsia="Times New Roman" w:hAnsi="Times New Roman" w:cs="Times New Roman"/>
          <w:color w:val="auto"/>
        </w:rPr>
        <w:t>impact assessment</w:t>
      </w:r>
      <w:r w:rsidR="00854465" w:rsidRPr="00D52EFE">
        <w:rPr>
          <w:rStyle w:val="FootnoteReference"/>
          <w:rFonts w:ascii="Times New Roman" w:eastAsia="Times New Roman" w:hAnsi="Times New Roman" w:cs="Times New Roman"/>
          <w:color w:val="auto"/>
        </w:rPr>
        <w:footnoteReference w:id="57"/>
      </w:r>
      <w:r w:rsidRPr="00D52EFE">
        <w:rPr>
          <w:rFonts w:ascii="Times New Roman" w:eastAsia="Times New Roman" w:hAnsi="Times New Roman" w:cs="Times New Roman"/>
          <w:color w:val="auto"/>
        </w:rPr>
        <w:t xml:space="preserve"> but with the following caveat: it </w:t>
      </w:r>
    </w:p>
    <w:p w14:paraId="64A17EC0" w14:textId="77777777" w:rsidR="00D70F60" w:rsidRPr="00D52EFE" w:rsidRDefault="00D70F60" w:rsidP="00C86397">
      <w:pPr>
        <w:rPr>
          <w:rFonts w:ascii="Times New Roman" w:eastAsia="Times New Roman" w:hAnsi="Times New Roman" w:cs="Times New Roman"/>
          <w:i/>
          <w:color w:val="auto"/>
        </w:rPr>
      </w:pPr>
    </w:p>
    <w:p w14:paraId="22888270" w14:textId="77777777" w:rsidR="00D70F60" w:rsidRPr="00D52EFE" w:rsidRDefault="000B5581" w:rsidP="00C86397">
      <w:pPr>
        <w:ind w:left="1110"/>
        <w:rPr>
          <w:rFonts w:ascii="Times New Roman" w:eastAsia="Times New Roman" w:hAnsi="Times New Roman" w:cs="Times New Roman"/>
          <w:color w:val="auto"/>
        </w:rPr>
      </w:pPr>
      <w:r w:rsidRPr="00D52EFE">
        <w:rPr>
          <w:rFonts w:ascii="Times New Roman" w:eastAsia="Times New Roman" w:hAnsi="Times New Roman" w:cs="Times New Roman"/>
          <w:i/>
          <w:color w:val="auto"/>
        </w:rPr>
        <w:t>has been modified to take into account other specific requirements for the GOV.UK Verify environment, most notably the Identity Assurance Principles published by the Cabinet Office Privacy and Consumer Advisory Group (PCAG).</w:t>
      </w:r>
      <w:r w:rsidRPr="00D52EFE">
        <w:rPr>
          <w:rFonts w:ascii="Times New Roman" w:eastAsia="Times New Roman" w:hAnsi="Times New Roman" w:cs="Times New Roman"/>
          <w:color w:val="auto"/>
          <w:vertAlign w:val="superscript"/>
        </w:rPr>
        <w:footnoteReference w:id="58"/>
      </w:r>
      <w:r w:rsidRPr="00D52EFE">
        <w:rPr>
          <w:rFonts w:ascii="Times New Roman" w:eastAsia="Times New Roman" w:hAnsi="Times New Roman" w:cs="Times New Roman"/>
          <w:color w:val="auto"/>
        </w:rPr>
        <w:t xml:space="preserve"> </w:t>
      </w:r>
    </w:p>
    <w:p w14:paraId="6A00D1BC" w14:textId="77777777" w:rsidR="00D70F60" w:rsidRPr="00D52EFE" w:rsidRDefault="00D70F60" w:rsidP="00C86397">
      <w:pPr>
        <w:rPr>
          <w:rFonts w:ascii="Times New Roman" w:eastAsia="Times New Roman" w:hAnsi="Times New Roman" w:cs="Times New Roman"/>
          <w:color w:val="auto"/>
        </w:rPr>
      </w:pPr>
    </w:p>
    <w:p w14:paraId="3C7B0B57" w14:textId="0FE8AF15"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approach is described as being aligned to the requirements of ISO2</w:t>
      </w:r>
      <w:r w:rsidR="001A1284" w:rsidRPr="00D52EFE">
        <w:rPr>
          <w:rFonts w:ascii="Times New Roman" w:eastAsia="Times New Roman" w:hAnsi="Times New Roman" w:cs="Times New Roman"/>
          <w:color w:val="auto"/>
        </w:rPr>
        <w:t>7</w:t>
      </w:r>
      <w:r w:rsidRPr="00D52EFE">
        <w:rPr>
          <w:rFonts w:ascii="Times New Roman" w:eastAsia="Times New Roman" w:hAnsi="Times New Roman" w:cs="Times New Roman"/>
          <w:color w:val="auto"/>
        </w:rPr>
        <w:t>001 standards.</w:t>
      </w:r>
      <w:r w:rsidRPr="00D52EFE">
        <w:rPr>
          <w:rFonts w:ascii="Times New Roman" w:eastAsia="Times New Roman" w:hAnsi="Times New Roman" w:cs="Times New Roman"/>
          <w:color w:val="auto"/>
          <w:vertAlign w:val="superscript"/>
        </w:rPr>
        <w:footnoteReference w:id="59"/>
      </w:r>
      <w:r w:rsidRPr="00D52EFE">
        <w:rPr>
          <w:rFonts w:ascii="Times New Roman" w:eastAsia="Times New Roman" w:hAnsi="Times New Roman" w:cs="Times New Roman"/>
          <w:color w:val="auto"/>
        </w:rPr>
        <w:t xml:space="preserve">  </w:t>
      </w:r>
    </w:p>
    <w:p w14:paraId="576ECD9D" w14:textId="39BFAD4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w:t>
      </w:r>
      <w:r w:rsidR="00576DDE">
        <w:rPr>
          <w:rFonts w:ascii="Times New Roman" w:eastAsia="Times New Roman" w:hAnsi="Times New Roman" w:cs="Times New Roman"/>
          <w:color w:val="auto"/>
        </w:rPr>
        <w:t xml:space="preserve">Verify </w:t>
      </w:r>
      <w:r w:rsidRPr="00D52EFE">
        <w:rPr>
          <w:rFonts w:ascii="Times New Roman" w:eastAsia="Times New Roman" w:hAnsi="Times New Roman" w:cs="Times New Roman"/>
          <w:color w:val="auto"/>
        </w:rPr>
        <w:t>DPIA identifies three data controllers: GDS, the Certified Companies and Government Services.</w:t>
      </w:r>
      <w:r w:rsidRPr="00D52EFE">
        <w:rPr>
          <w:rFonts w:ascii="Times New Roman" w:eastAsia="Times New Roman" w:hAnsi="Times New Roman" w:cs="Times New Roman"/>
          <w:color w:val="auto"/>
          <w:vertAlign w:val="superscript"/>
        </w:rPr>
        <w:footnoteReference w:id="60"/>
      </w:r>
      <w:r w:rsidRPr="00D52EFE">
        <w:rPr>
          <w:rFonts w:ascii="Times New Roman" w:eastAsia="Times New Roman" w:hAnsi="Times New Roman" w:cs="Times New Roman"/>
          <w:color w:val="auto"/>
        </w:rPr>
        <w:t xml:space="preserve"> </w:t>
      </w:r>
      <w:r w:rsidR="001F335A">
        <w:rPr>
          <w:rFonts w:ascii="Times New Roman" w:eastAsia="Times New Roman" w:hAnsi="Times New Roman" w:cs="Times New Roman"/>
          <w:color w:val="auto"/>
        </w:rPr>
        <w:t xml:space="preserve">While the pertinence of this assessment will be discussed </w:t>
      </w:r>
      <w:r w:rsidR="0072797C">
        <w:rPr>
          <w:rFonts w:ascii="Times New Roman" w:eastAsia="Times New Roman" w:hAnsi="Times New Roman" w:cs="Times New Roman"/>
          <w:color w:val="auto"/>
        </w:rPr>
        <w:t>below</w:t>
      </w:r>
      <w:r w:rsidR="001F335A">
        <w:rPr>
          <w:rFonts w:ascii="Times New Roman" w:eastAsia="Times New Roman" w:hAnsi="Times New Roman" w:cs="Times New Roman"/>
          <w:color w:val="auto"/>
        </w:rPr>
        <w:t xml:space="preserve"> suffice it to note that u</w:t>
      </w:r>
      <w:r w:rsidR="00EE3E36" w:rsidRPr="00D52EFE">
        <w:rPr>
          <w:rFonts w:ascii="Times New Roman" w:eastAsia="Times New Roman" w:hAnsi="Times New Roman" w:cs="Times New Roman"/>
          <w:color w:val="auto"/>
        </w:rPr>
        <w:t>nder</w:t>
      </w:r>
      <w:r w:rsidR="00764937">
        <w:rPr>
          <w:rFonts w:ascii="Times New Roman" w:eastAsia="Times New Roman" w:hAnsi="Times New Roman" w:cs="Times New Roman"/>
          <w:color w:val="auto"/>
        </w:rPr>
        <w:t xml:space="preserve"> both</w:t>
      </w:r>
      <w:r w:rsidR="00EE3E36" w:rsidRPr="00D52EFE">
        <w:rPr>
          <w:rFonts w:ascii="Times New Roman" w:eastAsia="Times New Roman" w:hAnsi="Times New Roman" w:cs="Times New Roman"/>
          <w:color w:val="auto"/>
        </w:rPr>
        <w:t xml:space="preserve"> the DPD and the GDPR a data controller is defined as</w:t>
      </w:r>
      <w:r w:rsidR="00F10223" w:rsidRPr="00D52EFE">
        <w:rPr>
          <w:rFonts w:ascii="Times New Roman" w:eastAsia="Times New Roman" w:hAnsi="Times New Roman" w:cs="Times New Roman"/>
          <w:color w:val="auto"/>
        </w:rPr>
        <w:t>:</w:t>
      </w:r>
      <w:r w:rsidR="00EE3E36" w:rsidRPr="00D52EFE">
        <w:rPr>
          <w:rFonts w:ascii="Times New Roman" w:eastAsia="Times New Roman" w:hAnsi="Times New Roman" w:cs="Times New Roman"/>
          <w:color w:val="auto"/>
        </w:rPr>
        <w:t xml:space="preserve"> </w:t>
      </w:r>
      <w:r w:rsidR="00EE3E36" w:rsidRPr="00D52EFE">
        <w:rPr>
          <w:rFonts w:ascii="Times New Roman" w:eastAsia="Times New Roman" w:hAnsi="Times New Roman" w:cs="Times New Roman"/>
          <w:i/>
          <w:color w:val="auto"/>
        </w:rPr>
        <w:t>“the natural or legal person, public authority, agency or other body which, alone or jointly with others, determines the purposes and means of the processing of personal data”</w:t>
      </w:r>
      <w:r w:rsidR="00EE3E36" w:rsidRPr="00D52EFE">
        <w:rPr>
          <w:rStyle w:val="FootnoteReference"/>
          <w:rFonts w:ascii="Times New Roman" w:eastAsia="Times New Roman" w:hAnsi="Times New Roman" w:cs="Times New Roman"/>
          <w:i/>
          <w:color w:val="auto"/>
        </w:rPr>
        <w:footnoteReference w:id="61"/>
      </w:r>
      <w:r w:rsidR="00EE3E36" w:rsidRPr="00D52EFE">
        <w:rPr>
          <w:rFonts w:ascii="Times New Roman" w:eastAsia="Times New Roman" w:hAnsi="Times New Roman" w:cs="Times New Roman"/>
          <w:color w:val="auto"/>
        </w:rPr>
        <w:t xml:space="preserve"> with the caveat that </w:t>
      </w:r>
      <w:r w:rsidR="00EE3E36" w:rsidRPr="00D52EFE">
        <w:rPr>
          <w:rFonts w:ascii="Times New Roman" w:eastAsia="Times New Roman" w:hAnsi="Times New Roman" w:cs="Times New Roman"/>
          <w:i/>
          <w:color w:val="auto"/>
        </w:rPr>
        <w:t>“where the purposes and means of such processing are determined by Union or Member State law, the controller or the specific criteria for its nomination may be provided for by Union or Member State law.”</w:t>
      </w:r>
    </w:p>
    <w:p w14:paraId="50D2E50A" w14:textId="265E9216"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As regards the legal basis,</w:t>
      </w:r>
      <w:r w:rsidR="00EE3E36" w:rsidRPr="00D52EFE">
        <w:rPr>
          <w:rFonts w:ascii="Times New Roman" w:eastAsia="Times New Roman" w:hAnsi="Times New Roman" w:cs="Times New Roman"/>
          <w:color w:val="auto"/>
        </w:rPr>
        <w:t xml:space="preserve"> the justification for the processing as mandated by DPD Article 7 and by GDPR Article 6,</w:t>
      </w:r>
      <w:r w:rsidRPr="00D52EFE">
        <w:rPr>
          <w:rFonts w:ascii="Times New Roman" w:eastAsia="Times New Roman" w:hAnsi="Times New Roman" w:cs="Times New Roman"/>
          <w:color w:val="auto"/>
        </w:rPr>
        <w:t xml:space="preserve"> two seem to emerge: consent and processing that is necessary for the performance of a task carried out in the public interest or in the exercise of official authority vested in the controller: </w:t>
      </w:r>
    </w:p>
    <w:p w14:paraId="45A984C7" w14:textId="77777777" w:rsidR="00D70F60" w:rsidRPr="00D52EFE" w:rsidRDefault="00D70F60" w:rsidP="00C86397">
      <w:pPr>
        <w:rPr>
          <w:rFonts w:ascii="Times New Roman" w:eastAsia="Times New Roman" w:hAnsi="Times New Roman" w:cs="Times New Roman"/>
          <w:color w:val="auto"/>
        </w:rPr>
      </w:pPr>
    </w:p>
    <w:p w14:paraId="13579F76" w14:textId="77777777" w:rsidR="00D70F60" w:rsidRPr="00D52EFE" w:rsidRDefault="000B5581" w:rsidP="00C86397">
      <w:pPr>
        <w:ind w:left="1110"/>
        <w:rPr>
          <w:rFonts w:ascii="Times New Roman" w:eastAsia="Times New Roman" w:hAnsi="Times New Roman" w:cs="Times New Roman"/>
          <w:color w:val="auto"/>
        </w:rPr>
      </w:pPr>
      <w:r w:rsidRPr="00D52EFE">
        <w:rPr>
          <w:rFonts w:ascii="Times New Roman" w:eastAsia="Times New Roman" w:hAnsi="Times New Roman" w:cs="Times New Roman"/>
          <w:i/>
          <w:color w:val="auto"/>
        </w:rPr>
        <w:t>GOV.UK Verify uses consent to enable processing, and processing is also enabled by Data Protection Act Schedule 2 Part 5 (c) for the exercise of any functions of the Crown, a Minister of the Crown or a government, and (d) for the exercise of any other functions of a public nature exercised in the public interest by any person.</w:t>
      </w:r>
      <w:r w:rsidRPr="00D52EFE">
        <w:rPr>
          <w:rFonts w:ascii="Times New Roman" w:eastAsia="Times New Roman" w:hAnsi="Times New Roman" w:cs="Times New Roman"/>
          <w:color w:val="auto"/>
          <w:vertAlign w:val="superscript"/>
        </w:rPr>
        <w:footnoteReference w:id="62"/>
      </w:r>
      <w:r w:rsidRPr="00D52EFE">
        <w:rPr>
          <w:rFonts w:ascii="Times New Roman" w:eastAsia="Times New Roman" w:hAnsi="Times New Roman" w:cs="Times New Roman"/>
          <w:color w:val="auto"/>
        </w:rPr>
        <w:t xml:space="preserve"> </w:t>
      </w:r>
    </w:p>
    <w:p w14:paraId="238D2B30" w14:textId="77777777" w:rsidR="00D70F60" w:rsidRPr="00D52EFE" w:rsidRDefault="00D70F60" w:rsidP="00C86397">
      <w:pPr>
        <w:rPr>
          <w:rFonts w:ascii="Times New Roman" w:eastAsia="Times New Roman" w:hAnsi="Times New Roman" w:cs="Times New Roman"/>
          <w:color w:val="auto"/>
        </w:rPr>
      </w:pPr>
    </w:p>
    <w:p w14:paraId="79BEA88D"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Having said this, consent as a legal basis seems to be used for one type of processing and thereby on</w:t>
      </w:r>
      <w:r w:rsidR="0098218B" w:rsidRPr="00D52EFE">
        <w:rPr>
          <w:rFonts w:ascii="Times New Roman" w:eastAsia="Times New Roman" w:hAnsi="Times New Roman" w:cs="Times New Roman"/>
          <w:color w:val="auto"/>
        </w:rPr>
        <w:t xml:space="preserve">e type of relationship: the </w:t>
      </w:r>
      <w:r w:rsidRPr="00D52EFE">
        <w:rPr>
          <w:rFonts w:ascii="Times New Roman" w:eastAsia="Times New Roman" w:hAnsi="Times New Roman" w:cs="Times New Roman"/>
          <w:color w:val="auto"/>
        </w:rPr>
        <w:t xml:space="preserve">processing undertaken by certified companies at the request of service users. One can read to that effect: </w:t>
      </w:r>
    </w:p>
    <w:p w14:paraId="22551A71" w14:textId="77777777" w:rsidR="00D70F60" w:rsidRPr="00D52EFE" w:rsidRDefault="00D70F60" w:rsidP="00C86397">
      <w:pPr>
        <w:rPr>
          <w:rFonts w:ascii="Times New Roman" w:eastAsia="Times New Roman" w:hAnsi="Times New Roman" w:cs="Times New Roman"/>
          <w:color w:val="auto"/>
        </w:rPr>
      </w:pPr>
    </w:p>
    <w:p w14:paraId="35E42636" w14:textId="77777777" w:rsidR="00D70F60" w:rsidRPr="00D52EFE" w:rsidRDefault="000B5581" w:rsidP="00C86397">
      <w:pPr>
        <w:ind w:left="1110"/>
        <w:rPr>
          <w:rFonts w:ascii="Times New Roman" w:eastAsia="Times New Roman" w:hAnsi="Times New Roman" w:cs="Times New Roman"/>
          <w:color w:val="auto"/>
        </w:rPr>
      </w:pPr>
      <w:r w:rsidRPr="00D52EFE">
        <w:rPr>
          <w:rFonts w:ascii="Times New Roman" w:eastAsia="Times New Roman" w:hAnsi="Times New Roman" w:cs="Times New Roman"/>
          <w:i/>
          <w:color w:val="auto"/>
        </w:rPr>
        <w:lastRenderedPageBreak/>
        <w:t>The Certified Company obtains consent to operate an account for the Service User, and to collect, share and maintain the personal information in order to verify and maintain the servicer user’s identity. The Certified Company obtains consent from the Service User to release matching data to the Federation Hub and on to the Government Service, at the request of the Service User.</w:t>
      </w:r>
      <w:r w:rsidRPr="00D52EFE">
        <w:rPr>
          <w:rFonts w:ascii="Times New Roman" w:eastAsia="Times New Roman" w:hAnsi="Times New Roman" w:cs="Times New Roman"/>
          <w:color w:val="auto"/>
          <w:vertAlign w:val="superscript"/>
        </w:rPr>
        <w:footnoteReference w:id="63"/>
      </w:r>
      <w:r w:rsidRPr="00D52EFE">
        <w:rPr>
          <w:rFonts w:ascii="Times New Roman" w:eastAsia="Times New Roman" w:hAnsi="Times New Roman" w:cs="Times New Roman"/>
          <w:color w:val="auto"/>
        </w:rPr>
        <w:t xml:space="preserve"> </w:t>
      </w:r>
    </w:p>
    <w:p w14:paraId="0C9AB233" w14:textId="77777777" w:rsidR="00D70F60" w:rsidRPr="00D52EFE" w:rsidRDefault="00D70F60" w:rsidP="00C86397">
      <w:pPr>
        <w:ind w:left="1110"/>
        <w:rPr>
          <w:rFonts w:ascii="Times New Roman" w:eastAsia="Times New Roman" w:hAnsi="Times New Roman" w:cs="Times New Roman"/>
          <w:i/>
          <w:color w:val="auto"/>
        </w:rPr>
      </w:pPr>
    </w:p>
    <w:p w14:paraId="25B2F411" w14:textId="57B6F886"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importance of consent in the relationship between service users and certified companies is also described as being the result of the implementation of the fir</w:t>
      </w:r>
      <w:r w:rsidR="00AC233B" w:rsidRPr="00D52EFE">
        <w:rPr>
          <w:rFonts w:ascii="Times New Roman" w:eastAsia="Times New Roman" w:hAnsi="Times New Roman" w:cs="Times New Roman"/>
          <w:color w:val="auto"/>
        </w:rPr>
        <w:t>st identity assurance principle</w:t>
      </w:r>
      <w:r w:rsidRPr="00D52EFE">
        <w:rPr>
          <w:rFonts w:ascii="Times New Roman" w:eastAsia="Times New Roman" w:hAnsi="Times New Roman" w:cs="Times New Roman"/>
          <w:color w:val="auto"/>
        </w:rPr>
        <w:t xml:space="preserve">. The first </w:t>
      </w:r>
      <w:r w:rsidR="0098218B" w:rsidRPr="00D52EFE">
        <w:rPr>
          <w:rFonts w:ascii="Times New Roman" w:eastAsia="Times New Roman" w:hAnsi="Times New Roman" w:cs="Times New Roman"/>
          <w:color w:val="auto"/>
        </w:rPr>
        <w:t xml:space="preserve">identity assurance principle is </w:t>
      </w:r>
      <w:r w:rsidRPr="00D52EFE">
        <w:rPr>
          <w:rFonts w:ascii="Times New Roman" w:eastAsia="Times New Roman" w:hAnsi="Times New Roman" w:cs="Times New Roman"/>
          <w:color w:val="auto"/>
        </w:rPr>
        <w:t xml:space="preserve">formulated in these terms: </w:t>
      </w:r>
      <w:r w:rsidRPr="00D52EFE">
        <w:rPr>
          <w:rFonts w:ascii="Times New Roman" w:eastAsia="Times New Roman" w:hAnsi="Times New Roman" w:cs="Times New Roman"/>
          <w:i/>
          <w:color w:val="auto"/>
        </w:rPr>
        <w:t>“I can exercise control over identity assurance activities affecting me and these can only take place if I consent or approve them.”</w:t>
      </w:r>
      <w:r w:rsidRPr="00D52EFE">
        <w:rPr>
          <w:rFonts w:ascii="Times New Roman" w:eastAsia="Times New Roman" w:hAnsi="Times New Roman" w:cs="Times New Roman"/>
          <w:color w:val="auto"/>
          <w:vertAlign w:val="superscript"/>
        </w:rPr>
        <w:footnoteReference w:id="64"/>
      </w:r>
      <w:r w:rsidRPr="00D52EFE">
        <w:rPr>
          <w:rFonts w:ascii="Times New Roman" w:eastAsia="Times New Roman" w:hAnsi="Times New Roman" w:cs="Times New Roman"/>
          <w:color w:val="auto"/>
        </w:rPr>
        <w:t xml:space="preserve"> </w:t>
      </w:r>
    </w:p>
    <w:p w14:paraId="5D4A0A17" w14:textId="77777777" w:rsidR="00D70F60" w:rsidRPr="00D52EFE" w:rsidRDefault="00D70F60" w:rsidP="00C86397">
      <w:pPr>
        <w:ind w:left="-30"/>
        <w:rPr>
          <w:rFonts w:ascii="Times New Roman" w:eastAsia="Times New Roman" w:hAnsi="Times New Roman" w:cs="Times New Roman"/>
          <w:color w:val="auto"/>
        </w:rPr>
      </w:pPr>
    </w:p>
    <w:p w14:paraId="41857BB2" w14:textId="77777777" w:rsidR="00667310" w:rsidRPr="00D52EFE" w:rsidRDefault="000B5581" w:rsidP="00C86397">
      <w:pPr>
        <w:ind w:left="-30"/>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Consent does not seem to be of possible use solely to certified companies however.  To the question whether </w:t>
      </w:r>
      <w:r w:rsidRPr="00D52EFE">
        <w:rPr>
          <w:rFonts w:ascii="Times New Roman" w:eastAsia="Times New Roman" w:hAnsi="Times New Roman" w:cs="Times New Roman"/>
          <w:i/>
          <w:color w:val="auto"/>
        </w:rPr>
        <w:t>“suppliers/partners have the right to use the personal information collected or shared under the service for their own purposes”</w:t>
      </w:r>
      <w:r w:rsidRPr="00D52EFE">
        <w:rPr>
          <w:rFonts w:ascii="Times New Roman" w:eastAsia="Times New Roman" w:hAnsi="Times New Roman" w:cs="Times New Roman"/>
          <w:color w:val="auto"/>
          <w:vertAlign w:val="superscript"/>
        </w:rPr>
        <w:footnoteReference w:id="65"/>
      </w:r>
      <w:r w:rsidRPr="00D52EFE">
        <w:rPr>
          <w:rFonts w:ascii="Times New Roman" w:eastAsia="Times New Roman" w:hAnsi="Times New Roman" w:cs="Times New Roman"/>
          <w:color w:val="auto"/>
        </w:rPr>
        <w:t xml:space="preserve"> it is answered that </w:t>
      </w:r>
    </w:p>
    <w:p w14:paraId="165EA5AC" w14:textId="77777777" w:rsidR="00667310" w:rsidRPr="00D52EFE" w:rsidRDefault="00667310" w:rsidP="00C86397">
      <w:pPr>
        <w:ind w:left="-30"/>
        <w:rPr>
          <w:rFonts w:ascii="Times New Roman" w:eastAsia="Times New Roman" w:hAnsi="Times New Roman" w:cs="Times New Roman"/>
          <w:color w:val="auto"/>
        </w:rPr>
      </w:pPr>
    </w:p>
    <w:p w14:paraId="7C71ECFE" w14:textId="38E7240C" w:rsidR="00D70F60" w:rsidRPr="00D52EFE" w:rsidRDefault="000B5581" w:rsidP="00C86397">
      <w:pPr>
        <w:ind w:left="1134"/>
        <w:rPr>
          <w:rFonts w:ascii="Times New Roman" w:eastAsia="Times New Roman" w:hAnsi="Times New Roman" w:cs="Times New Roman"/>
          <w:b/>
          <w:color w:val="auto"/>
        </w:rPr>
      </w:pPr>
      <w:r w:rsidRPr="00D52EFE">
        <w:rPr>
          <w:rFonts w:ascii="Times New Roman" w:eastAsia="Times New Roman" w:hAnsi="Times New Roman" w:cs="Times New Roman"/>
          <w:i/>
          <w:color w:val="auto"/>
        </w:rPr>
        <w:t>Government Services may use information for their own purposes, but will have to disclose purposes and details of information required to the service user on a per-transaction basis</w:t>
      </w:r>
      <w:r w:rsidR="00667310" w:rsidRPr="00D52EFE">
        <w:rPr>
          <w:rFonts w:ascii="Times New Roman" w:eastAsia="Times New Roman" w:hAnsi="Times New Roman" w:cs="Times New Roman"/>
          <w:i/>
          <w:color w:val="auto"/>
        </w:rPr>
        <w:t>, and seek appropriate consent.</w:t>
      </w:r>
      <w:r w:rsidRPr="00D52EFE">
        <w:rPr>
          <w:rFonts w:ascii="Times New Roman" w:eastAsia="Times New Roman" w:hAnsi="Times New Roman" w:cs="Times New Roman"/>
          <w:color w:val="auto"/>
          <w:vertAlign w:val="superscript"/>
        </w:rPr>
        <w:footnoteReference w:id="66"/>
      </w:r>
      <w:r w:rsidRPr="00D52EFE">
        <w:rPr>
          <w:rFonts w:ascii="Times New Roman" w:eastAsia="Times New Roman" w:hAnsi="Times New Roman" w:cs="Times New Roman"/>
          <w:color w:val="auto"/>
        </w:rPr>
        <w:t xml:space="preserve"> </w:t>
      </w:r>
    </w:p>
    <w:p w14:paraId="399DC7E8" w14:textId="77777777" w:rsidR="00D70F60" w:rsidRPr="00D52EFE" w:rsidRDefault="00D70F60" w:rsidP="00C86397">
      <w:pPr>
        <w:ind w:left="360"/>
        <w:rPr>
          <w:rFonts w:ascii="Times New Roman" w:eastAsia="Times New Roman" w:hAnsi="Times New Roman" w:cs="Times New Roman"/>
          <w:b/>
          <w:color w:val="auto"/>
        </w:rPr>
      </w:pPr>
    </w:p>
    <w:p w14:paraId="750ADE07" w14:textId="0E13331C" w:rsidR="00D70F60" w:rsidRPr="00D52EFE" w:rsidRDefault="000B5581" w:rsidP="00C86397">
      <w:pPr>
        <w:ind w:left="-30"/>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Interestingly, the </w:t>
      </w:r>
      <w:r w:rsidR="00AC233B" w:rsidRPr="00D52EFE">
        <w:rPr>
          <w:rFonts w:ascii="Times New Roman" w:eastAsia="Times New Roman" w:hAnsi="Times New Roman" w:cs="Times New Roman"/>
          <w:color w:val="auto"/>
        </w:rPr>
        <w:t xml:space="preserve">Verify </w:t>
      </w:r>
      <w:r w:rsidRPr="00D52EFE">
        <w:rPr>
          <w:rFonts w:ascii="Times New Roman" w:eastAsia="Times New Roman" w:hAnsi="Times New Roman" w:cs="Times New Roman"/>
          <w:color w:val="auto"/>
        </w:rPr>
        <w:t xml:space="preserve">DPIA does not use the terminology of eIDAS. eIDAS distinguishes between three types of actors for the operation </w:t>
      </w:r>
      <w:r w:rsidR="00F10223" w:rsidRPr="00D52EFE">
        <w:rPr>
          <w:rFonts w:ascii="Times New Roman" w:eastAsia="Times New Roman" w:hAnsi="Times New Roman" w:cs="Times New Roman"/>
          <w:color w:val="auto"/>
        </w:rPr>
        <w:t>of eID</w:t>
      </w:r>
      <w:r w:rsidRPr="00D52EFE">
        <w:rPr>
          <w:rFonts w:ascii="Times New Roman" w:eastAsia="Times New Roman" w:hAnsi="Times New Roman" w:cs="Times New Roman"/>
          <w:color w:val="auto"/>
        </w:rPr>
        <w:t xml:space="preserve"> schemes: the notifying Member State, the party issuing the electronic identification means, and the party operating the authentication procedure. The electronic identification means is defined as per eIDAS Article 3(2) as </w:t>
      </w:r>
      <w:r w:rsidRPr="00D52EFE">
        <w:rPr>
          <w:rFonts w:ascii="Times New Roman" w:eastAsia="Times New Roman" w:hAnsi="Times New Roman" w:cs="Times New Roman"/>
          <w:i/>
          <w:color w:val="auto"/>
        </w:rPr>
        <w:t>“a material and/or immaterial unit containing person identification data and which is used for authentication for an online service.”</w:t>
      </w:r>
      <w:r w:rsidRPr="00D52EFE">
        <w:rPr>
          <w:rFonts w:ascii="Times New Roman" w:eastAsia="Times New Roman" w:hAnsi="Times New Roman" w:cs="Times New Roman"/>
          <w:color w:val="auto"/>
        </w:rPr>
        <w:t xml:space="preserve"> In the context of Gov.UK Verify identity providers are thus the parties issuing the electronic means even if a matching service sits within each (government) service provider. As regards the party operating the authentication procedure, the characterisation could seem less straightforward. Authentication </w:t>
      </w:r>
      <w:r w:rsidRPr="00D52EFE">
        <w:rPr>
          <w:rFonts w:ascii="Times New Roman" w:eastAsia="Times New Roman" w:hAnsi="Times New Roman" w:cs="Times New Roman"/>
          <w:i/>
          <w:color w:val="auto"/>
        </w:rPr>
        <w:t>“means an electronic process that enables the electronic identification of a natural or legal person, or the origin and integrity of data in electronic form to be confirmed”</w:t>
      </w:r>
      <w:r w:rsidRPr="00D52EFE">
        <w:rPr>
          <w:rFonts w:ascii="Times New Roman" w:eastAsia="Times New Roman" w:hAnsi="Times New Roman" w:cs="Times New Roman"/>
          <w:color w:val="auto"/>
        </w:rPr>
        <w:t xml:space="preserve"> as per eIDAS Article 3(5). In the context of Gov.UK Verify, GDS should be the party operating the authentication procedure, to the exclusion of (Government) service providers. </w:t>
      </w:r>
    </w:p>
    <w:p w14:paraId="3CF4AF13" w14:textId="77777777" w:rsidR="00D70F60" w:rsidRPr="00D52EFE" w:rsidRDefault="00D70F60" w:rsidP="00C86397">
      <w:pPr>
        <w:ind w:left="360"/>
        <w:rPr>
          <w:rFonts w:ascii="Times New Roman" w:eastAsia="Times New Roman" w:hAnsi="Times New Roman" w:cs="Times New Roman"/>
          <w:b/>
          <w:color w:val="auto"/>
        </w:rPr>
      </w:pPr>
    </w:p>
    <w:p w14:paraId="11ED418C" w14:textId="1E8E7438" w:rsidR="00D70F60" w:rsidRPr="00D52EFE" w:rsidRDefault="000B5581" w:rsidP="00C86397">
      <w:pPr>
        <w:ind w:left="-30"/>
        <w:rPr>
          <w:rFonts w:ascii="Times New Roman" w:eastAsia="Times New Roman" w:hAnsi="Times New Roman" w:cs="Times New Roman"/>
          <w:color w:val="auto"/>
        </w:rPr>
      </w:pPr>
      <w:r w:rsidRPr="00D52EFE">
        <w:rPr>
          <w:rFonts w:ascii="Times New Roman" w:eastAsia="Times New Roman" w:hAnsi="Times New Roman" w:cs="Times New Roman"/>
          <w:color w:val="auto"/>
        </w:rPr>
        <w:t>From this introduction to the conception of the UK eID scheme, it thus appears that consent was and is still meant to play a prominent role in order to legitimise the processing of personal data for purposes of authentication. At the same time it is true to say that consent had never been thought as the sole legal basis contributing to the legitimisation of the processing. Still, as the GDPR does not exactly repeat the same words as the DPD it is worth verifying what the implicatio</w:t>
      </w:r>
      <w:r w:rsidR="009B46DE" w:rsidRPr="00D52EFE">
        <w:rPr>
          <w:rFonts w:ascii="Times New Roman" w:eastAsia="Times New Roman" w:hAnsi="Times New Roman" w:cs="Times New Roman"/>
          <w:color w:val="auto"/>
        </w:rPr>
        <w:t>ns of the GDPR are or should be</w:t>
      </w:r>
      <w:r w:rsidR="0098218B"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t xml:space="preserve">for the choice of an appropriate legal basis to then be able to assess the choices made by GDS. </w:t>
      </w:r>
    </w:p>
    <w:p w14:paraId="7F930DE3" w14:textId="77777777" w:rsidR="00365C3A" w:rsidRPr="00D52EFE" w:rsidRDefault="00365C3A" w:rsidP="00C86397">
      <w:pPr>
        <w:ind w:left="-30"/>
        <w:rPr>
          <w:rFonts w:ascii="Times New Roman" w:eastAsia="Times New Roman" w:hAnsi="Times New Roman" w:cs="Times New Roman"/>
          <w:color w:val="auto"/>
        </w:rPr>
      </w:pPr>
    </w:p>
    <w:p w14:paraId="55F862F0" w14:textId="3453246D" w:rsidR="00D70F60" w:rsidRDefault="000B5581" w:rsidP="00C86397">
      <w:pPr>
        <w:ind w:left="-30"/>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 </w:t>
      </w:r>
    </w:p>
    <w:p w14:paraId="74A93220" w14:textId="1C9B40E4" w:rsidR="00F560CA" w:rsidRDefault="00F560CA" w:rsidP="00C86397">
      <w:pPr>
        <w:ind w:left="-30"/>
        <w:rPr>
          <w:rFonts w:ascii="Times New Roman" w:eastAsia="Times New Roman" w:hAnsi="Times New Roman" w:cs="Times New Roman"/>
          <w:color w:val="auto"/>
        </w:rPr>
      </w:pPr>
    </w:p>
    <w:p w14:paraId="0B152D4B" w14:textId="77777777" w:rsidR="00F560CA" w:rsidRPr="00D52EFE" w:rsidRDefault="00F560CA" w:rsidP="00C86397">
      <w:pPr>
        <w:ind w:left="-30"/>
        <w:rPr>
          <w:rFonts w:ascii="Times New Roman" w:eastAsia="Times New Roman" w:hAnsi="Times New Roman" w:cs="Times New Roman"/>
          <w:color w:val="auto"/>
        </w:rPr>
      </w:pPr>
    </w:p>
    <w:p w14:paraId="34F86B2D" w14:textId="75F14D30" w:rsidR="00D70F60" w:rsidRPr="00D52EFE" w:rsidRDefault="007C694F" w:rsidP="003F5A59">
      <w:pPr>
        <w:pStyle w:val="Heading1"/>
        <w:numPr>
          <w:ilvl w:val="0"/>
          <w:numId w:val="0"/>
        </w:numPr>
        <w:ind w:left="720"/>
      </w:pPr>
      <w:bookmarkStart w:id="21" w:name="_bnq2kfwvdwj3" w:colFirst="0" w:colLast="0"/>
      <w:bookmarkStart w:id="22" w:name="_Toc495075259"/>
      <w:bookmarkStart w:id="23" w:name="_Toc495674475"/>
      <w:bookmarkEnd w:id="21"/>
      <w:r w:rsidRPr="00D52EFE">
        <w:lastRenderedPageBreak/>
        <w:t>3.</w:t>
      </w:r>
      <w:r w:rsidRPr="00D52EFE">
        <w:tab/>
      </w:r>
      <w:r w:rsidR="000B5581" w:rsidRPr="00D52EFE">
        <w:t>Choosing the appropriate legal basis</w:t>
      </w:r>
      <w:bookmarkEnd w:id="22"/>
      <w:bookmarkEnd w:id="23"/>
    </w:p>
    <w:p w14:paraId="39347CF5" w14:textId="77777777" w:rsidR="00D70F60" w:rsidRPr="00D52EFE" w:rsidRDefault="00D70F60" w:rsidP="00C86397">
      <w:pPr>
        <w:ind w:left="360"/>
        <w:rPr>
          <w:rFonts w:ascii="Times New Roman" w:eastAsia="Times New Roman" w:hAnsi="Times New Roman" w:cs="Times New Roman"/>
          <w:b/>
          <w:color w:val="auto"/>
        </w:rPr>
      </w:pPr>
    </w:p>
    <w:p w14:paraId="3D674346" w14:textId="77777777" w:rsidR="00944F3E" w:rsidRPr="00036ABA" w:rsidRDefault="000B5581" w:rsidP="00036ABA">
      <w:pPr>
        <w:pStyle w:val="ListParagraph"/>
        <w:numPr>
          <w:ilvl w:val="0"/>
          <w:numId w:val="29"/>
        </w:numPr>
        <w:rPr>
          <w:rFonts w:ascii="Times New Roman" w:eastAsia="Times New Roman" w:hAnsi="Times New Roman" w:cs="Times New Roman"/>
          <w:color w:val="auto"/>
        </w:rPr>
      </w:pPr>
      <w:r w:rsidRPr="00036ABA">
        <w:rPr>
          <w:rFonts w:ascii="Times New Roman" w:eastAsia="Times New Roman" w:hAnsi="Times New Roman" w:cs="Times New Roman"/>
          <w:color w:val="auto"/>
        </w:rPr>
        <w:t xml:space="preserve">The requirement of lawfulness of processing spans a relatively large range of legal bases. Only those that appear to be the most relevant for the activities of electronic identification within the framework of an eID scheme will be examined in this section: </w:t>
      </w:r>
    </w:p>
    <w:p w14:paraId="0F4690A3" w14:textId="77777777" w:rsidR="00944F3E" w:rsidRPr="00036ABA" w:rsidRDefault="000B5581" w:rsidP="00036ABA">
      <w:pPr>
        <w:pStyle w:val="ListParagraph"/>
        <w:numPr>
          <w:ilvl w:val="0"/>
          <w:numId w:val="29"/>
        </w:numPr>
        <w:rPr>
          <w:rFonts w:ascii="Times New Roman" w:eastAsia="Times New Roman" w:hAnsi="Times New Roman" w:cs="Times New Roman"/>
          <w:color w:val="auto"/>
        </w:rPr>
      </w:pPr>
      <w:r w:rsidRPr="00036ABA">
        <w:rPr>
          <w:rFonts w:ascii="Times New Roman" w:eastAsia="Times New Roman" w:hAnsi="Times New Roman" w:cs="Times New Roman"/>
          <w:color w:val="auto"/>
        </w:rPr>
        <w:t xml:space="preserve">consent, </w:t>
      </w:r>
    </w:p>
    <w:p w14:paraId="024E099C" w14:textId="77777777" w:rsidR="00944F3E" w:rsidRPr="00036ABA" w:rsidRDefault="000B5581" w:rsidP="00036ABA">
      <w:pPr>
        <w:pStyle w:val="ListParagraph"/>
        <w:numPr>
          <w:ilvl w:val="0"/>
          <w:numId w:val="29"/>
        </w:numPr>
        <w:rPr>
          <w:rFonts w:ascii="Times New Roman" w:eastAsia="Times New Roman" w:hAnsi="Times New Roman" w:cs="Times New Roman"/>
          <w:color w:val="auto"/>
        </w:rPr>
      </w:pPr>
      <w:r w:rsidRPr="00036ABA">
        <w:rPr>
          <w:rFonts w:ascii="Times New Roman" w:eastAsia="Times New Roman" w:hAnsi="Times New Roman" w:cs="Times New Roman"/>
          <w:color w:val="auto"/>
        </w:rPr>
        <w:t xml:space="preserve">processing that is necessary for the conclusion or performance of a contract to which the data subject is a party, </w:t>
      </w:r>
    </w:p>
    <w:p w14:paraId="0CB3962C" w14:textId="77777777" w:rsidR="00944F3E" w:rsidRPr="00036ABA" w:rsidRDefault="000B5581" w:rsidP="00036ABA">
      <w:pPr>
        <w:pStyle w:val="ListParagraph"/>
        <w:numPr>
          <w:ilvl w:val="0"/>
          <w:numId w:val="29"/>
        </w:numPr>
        <w:rPr>
          <w:rFonts w:ascii="Times New Roman" w:eastAsia="Times New Roman" w:hAnsi="Times New Roman" w:cs="Times New Roman"/>
          <w:color w:val="auto"/>
        </w:rPr>
      </w:pPr>
      <w:r w:rsidRPr="00036ABA">
        <w:rPr>
          <w:rFonts w:ascii="Times New Roman" w:eastAsia="Times New Roman" w:hAnsi="Times New Roman" w:cs="Times New Roman"/>
          <w:color w:val="auto"/>
        </w:rPr>
        <w:t xml:space="preserve">processing that is necessary for the performance of task carried out in the public interest or in the exercise of official authority vested in the controller, </w:t>
      </w:r>
    </w:p>
    <w:p w14:paraId="7B53B355" w14:textId="77777777" w:rsidR="00944F3E" w:rsidRPr="00036ABA" w:rsidRDefault="000B5581" w:rsidP="00036ABA">
      <w:pPr>
        <w:pStyle w:val="ListParagraph"/>
        <w:numPr>
          <w:ilvl w:val="0"/>
          <w:numId w:val="29"/>
        </w:numPr>
        <w:rPr>
          <w:rFonts w:ascii="Times New Roman" w:eastAsia="Times New Roman" w:hAnsi="Times New Roman" w:cs="Times New Roman"/>
          <w:color w:val="auto"/>
        </w:rPr>
      </w:pPr>
      <w:r w:rsidRPr="00036ABA">
        <w:rPr>
          <w:rFonts w:ascii="Times New Roman" w:eastAsia="Times New Roman" w:hAnsi="Times New Roman" w:cs="Times New Roman"/>
          <w:color w:val="auto"/>
        </w:rPr>
        <w:t>and processing that is necessary for the purposes of the legitimate interests of the data controller or other third party.</w:t>
      </w:r>
      <w:r w:rsidR="009B46DE" w:rsidRPr="00036ABA">
        <w:rPr>
          <w:rStyle w:val="FootnoteReference"/>
          <w:rFonts w:ascii="Times New Roman" w:eastAsia="Times New Roman" w:hAnsi="Times New Roman" w:cs="Times New Roman"/>
          <w:color w:val="auto"/>
        </w:rPr>
        <w:footnoteReference w:id="67"/>
      </w:r>
      <w:r w:rsidRPr="00036ABA">
        <w:rPr>
          <w:rFonts w:ascii="Times New Roman" w:eastAsia="Times New Roman" w:hAnsi="Times New Roman" w:cs="Times New Roman"/>
          <w:color w:val="auto"/>
        </w:rPr>
        <w:t xml:space="preserve"> </w:t>
      </w:r>
    </w:p>
    <w:p w14:paraId="2DAA9427" w14:textId="1D665EE8" w:rsidR="00D70F60" w:rsidRPr="00D52EFE" w:rsidRDefault="000B5581" w:rsidP="00944F3E">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dual legal basis relied upon by Gov.Uk Verify is then assessed in the light of these development. </w:t>
      </w:r>
      <w:r w:rsidR="0098218B" w:rsidRPr="00D52EFE">
        <w:rPr>
          <w:rFonts w:ascii="Times New Roman" w:eastAsia="Times New Roman" w:hAnsi="Times New Roman" w:cs="Times New Roman"/>
          <w:color w:val="auto"/>
        </w:rPr>
        <w:t xml:space="preserve">This necessarily requires going back to the DPD in order to determine whether and how the GDPR goes beyond it. </w:t>
      </w:r>
    </w:p>
    <w:p w14:paraId="26FBAB3F" w14:textId="77777777" w:rsidR="00F973DB" w:rsidRPr="00D52EFE" w:rsidRDefault="00F973DB" w:rsidP="00C86397">
      <w:pPr>
        <w:rPr>
          <w:rFonts w:ascii="Times New Roman" w:eastAsia="Times New Roman" w:hAnsi="Times New Roman" w:cs="Times New Roman"/>
          <w:color w:val="auto"/>
        </w:rPr>
      </w:pPr>
    </w:p>
    <w:p w14:paraId="04026B25" w14:textId="452B25D8" w:rsidR="00D70F60" w:rsidRPr="00D52EFE" w:rsidRDefault="007C694F" w:rsidP="00C86397">
      <w:pPr>
        <w:pStyle w:val="Heading2"/>
        <w:rPr>
          <w:b/>
          <w:color w:val="auto"/>
          <w:sz w:val="22"/>
          <w:szCs w:val="22"/>
        </w:rPr>
      </w:pPr>
      <w:bookmarkStart w:id="24" w:name="_r71prbqs2xus" w:colFirst="0" w:colLast="0"/>
      <w:bookmarkStart w:id="25" w:name="_Toc495674476"/>
      <w:bookmarkEnd w:id="24"/>
      <w:r w:rsidRPr="00D52EFE">
        <w:rPr>
          <w:b/>
          <w:color w:val="auto"/>
          <w:sz w:val="22"/>
          <w:szCs w:val="22"/>
        </w:rPr>
        <w:t>3.1.</w:t>
      </w:r>
      <w:r w:rsidRPr="00D52EFE">
        <w:rPr>
          <w:b/>
          <w:color w:val="auto"/>
          <w:sz w:val="22"/>
          <w:szCs w:val="22"/>
        </w:rPr>
        <w:tab/>
      </w:r>
      <w:r w:rsidR="000B5581" w:rsidRPr="00D52EFE">
        <w:rPr>
          <w:b/>
          <w:color w:val="auto"/>
          <w:sz w:val="22"/>
          <w:szCs w:val="22"/>
        </w:rPr>
        <w:t>Consent</w:t>
      </w:r>
      <w:bookmarkEnd w:id="25"/>
    </w:p>
    <w:p w14:paraId="6BD52F26" w14:textId="2CCC899F" w:rsidR="00D70F60" w:rsidRPr="00D52EFE" w:rsidRDefault="00FD666F"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EU</w:t>
      </w:r>
      <w:r w:rsidR="000B5581" w:rsidRPr="00D52EFE">
        <w:rPr>
          <w:rFonts w:ascii="Times New Roman" w:eastAsia="Times New Roman" w:hAnsi="Times New Roman" w:cs="Times New Roman"/>
          <w:color w:val="auto"/>
        </w:rPr>
        <w:t xml:space="preserve"> data protection law imposes a range of substantive requirements on any act of data processing </w:t>
      </w:r>
      <w:r w:rsidR="00AE22A1" w:rsidRPr="00D52EFE">
        <w:rPr>
          <w:rFonts w:ascii="Times New Roman" w:eastAsia="Times New Roman" w:hAnsi="Times New Roman" w:cs="Times New Roman"/>
          <w:color w:val="auto"/>
        </w:rPr>
        <w:t>that</w:t>
      </w:r>
      <w:r w:rsidR="000B5581" w:rsidRPr="00D52EFE">
        <w:rPr>
          <w:rFonts w:ascii="Times New Roman" w:eastAsia="Times New Roman" w:hAnsi="Times New Roman" w:cs="Times New Roman"/>
          <w:color w:val="auto"/>
        </w:rPr>
        <w:t xml:space="preserve"> involves personal data. Personal data is an expansive concept</w:t>
      </w:r>
      <w:r w:rsidR="00AE22A1" w:rsidRPr="00D52EFE">
        <w:rPr>
          <w:rFonts w:ascii="Times New Roman" w:eastAsia="Times New Roman" w:hAnsi="Times New Roman" w:cs="Times New Roman"/>
          <w:color w:val="auto"/>
        </w:rPr>
        <w:t>, which encompasses</w:t>
      </w:r>
      <w:r w:rsidR="000B5581" w:rsidRPr="00D52EFE">
        <w:rPr>
          <w:rFonts w:ascii="Times New Roman" w:eastAsia="Times New Roman" w:hAnsi="Times New Roman" w:cs="Times New Roman"/>
          <w:color w:val="auto"/>
        </w:rPr>
        <w:t xml:space="preserve"> any information that can be related to an identified or identifiable information, and thus includes, but is not limited to, an individual’s name, age, race, gender, sexual preferences, political affiliations, internet search histories, and health and financial information.</w:t>
      </w:r>
      <w:r w:rsidR="000B5581" w:rsidRPr="00D52EFE">
        <w:rPr>
          <w:rFonts w:ascii="Times New Roman" w:eastAsia="Times New Roman" w:hAnsi="Times New Roman" w:cs="Times New Roman"/>
          <w:color w:val="auto"/>
          <w:vertAlign w:val="superscript"/>
        </w:rPr>
        <w:footnoteReference w:id="68"/>
      </w:r>
      <w:r w:rsidR="000B5581" w:rsidRPr="00D52EFE">
        <w:rPr>
          <w:rFonts w:ascii="Times New Roman" w:eastAsia="Times New Roman" w:hAnsi="Times New Roman" w:cs="Times New Roman"/>
          <w:color w:val="auto"/>
        </w:rPr>
        <w:t xml:space="preserve"> Processing is a similarly broad term</w:t>
      </w:r>
      <w:r w:rsidR="00AE22A1" w:rsidRPr="00D52EFE">
        <w:rPr>
          <w:rFonts w:ascii="Times New Roman" w:eastAsia="Times New Roman" w:hAnsi="Times New Roman" w:cs="Times New Roman"/>
          <w:color w:val="auto"/>
        </w:rPr>
        <w:t>,</w:t>
      </w:r>
      <w:r w:rsidR="000B5581" w:rsidRPr="00D52EFE">
        <w:rPr>
          <w:rFonts w:ascii="Times New Roman" w:eastAsia="Times New Roman" w:hAnsi="Times New Roman" w:cs="Times New Roman"/>
          <w:color w:val="auto"/>
        </w:rPr>
        <w:t xml:space="preserve"> which is taken to encompass almost any form of personal data usage.</w:t>
      </w:r>
      <w:r w:rsidR="000B5581" w:rsidRPr="00D52EFE">
        <w:rPr>
          <w:rFonts w:ascii="Times New Roman" w:eastAsia="Times New Roman" w:hAnsi="Times New Roman" w:cs="Times New Roman"/>
          <w:color w:val="auto"/>
          <w:vertAlign w:val="superscript"/>
        </w:rPr>
        <w:footnoteReference w:id="69"/>
      </w:r>
    </w:p>
    <w:p w14:paraId="6C7EB44C" w14:textId="77777777" w:rsidR="00D70F60" w:rsidRPr="00D52EFE" w:rsidRDefault="00D70F60" w:rsidP="00C86397">
      <w:pPr>
        <w:rPr>
          <w:rFonts w:ascii="Times New Roman" w:eastAsia="Times New Roman" w:hAnsi="Times New Roman" w:cs="Times New Roman"/>
          <w:color w:val="auto"/>
        </w:rPr>
      </w:pPr>
    </w:p>
    <w:p w14:paraId="53D7AC3D" w14:textId="2937B9EA" w:rsidR="00D70F60" w:rsidRPr="00D52EFE" w:rsidRDefault="000B5581" w:rsidP="00944F3E">
      <w:pPr>
        <w:rPr>
          <w:rFonts w:ascii="Times New Roman" w:eastAsia="Times New Roman" w:hAnsi="Times New Roman" w:cs="Times New Roman"/>
          <w:color w:val="auto"/>
        </w:rPr>
      </w:pPr>
      <w:r w:rsidRPr="00D52EFE">
        <w:rPr>
          <w:rFonts w:ascii="Times New Roman" w:eastAsia="Times New Roman" w:hAnsi="Times New Roman" w:cs="Times New Roman"/>
          <w:color w:val="auto"/>
        </w:rPr>
        <w:t>Perhaps the most significant substantive requirement impo</w:t>
      </w:r>
      <w:r w:rsidR="00FD666F" w:rsidRPr="00D52EFE">
        <w:rPr>
          <w:rFonts w:ascii="Times New Roman" w:eastAsia="Times New Roman" w:hAnsi="Times New Roman" w:cs="Times New Roman"/>
          <w:color w:val="auto"/>
        </w:rPr>
        <w:t>sed by the EU</w:t>
      </w:r>
      <w:r w:rsidRPr="00D52EFE">
        <w:rPr>
          <w:rFonts w:ascii="Times New Roman" w:eastAsia="Times New Roman" w:hAnsi="Times New Roman" w:cs="Times New Roman"/>
          <w:color w:val="auto"/>
        </w:rPr>
        <w:t xml:space="preserve"> data protection framework is the fact that the processing of personal data will only be considered lawful if one, or more, of a finite number of prescribed legitimising grounds for that processing can be identified.</w:t>
      </w:r>
      <w:r w:rsidR="00944F3E" w:rsidRPr="00D52EFE">
        <w:rPr>
          <w:rFonts w:ascii="Times New Roman" w:hAnsi="Times New Roman" w:cs="Times New Roman"/>
          <w:color w:val="auto"/>
          <w:vertAlign w:val="superscript"/>
        </w:rPr>
        <w:t xml:space="preserve"> </w:t>
      </w:r>
      <w:r w:rsidR="00944F3E" w:rsidRPr="00D52EFE">
        <w:rPr>
          <w:rFonts w:ascii="Times New Roman" w:hAnsi="Times New Roman" w:cs="Times New Roman"/>
          <w:color w:val="auto"/>
          <w:vertAlign w:val="superscript"/>
        </w:rPr>
        <w:footnoteReference w:id="70"/>
      </w:r>
      <w:r w:rsidRPr="00D52EFE">
        <w:rPr>
          <w:rFonts w:ascii="Times New Roman" w:eastAsia="Times New Roman" w:hAnsi="Times New Roman" w:cs="Times New Roman"/>
          <w:color w:val="auto"/>
        </w:rPr>
        <w:t xml:space="preserve"> </w:t>
      </w:r>
    </w:p>
    <w:p w14:paraId="13F777E7" w14:textId="77777777" w:rsidR="00D70F60" w:rsidRPr="00D52EFE" w:rsidRDefault="00D70F60" w:rsidP="00C86397">
      <w:pPr>
        <w:rPr>
          <w:rFonts w:ascii="Times New Roman" w:eastAsia="Times New Roman" w:hAnsi="Times New Roman" w:cs="Times New Roman"/>
          <w:color w:val="auto"/>
        </w:rPr>
      </w:pPr>
    </w:p>
    <w:p w14:paraId="17BFA74C" w14:textId="19A77969"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For several reasons, it would appear that Gov.UK Verify must comply with data protection law’s substantive provisions. Firstly, as has been noted elsewhere, all data processing activities involving individuals’ personal data that are undertaken by either private or public sector bodies fall within the scope of data protection law unless they have been specifically omitted, such as processing activities that are undertaken in conjunction with law enforcement proceedings.</w:t>
      </w:r>
      <w:bookmarkStart w:id="26" w:name="_Ref494995491"/>
      <w:r w:rsidRPr="00D52EFE">
        <w:rPr>
          <w:rFonts w:ascii="Times New Roman" w:eastAsia="Times New Roman" w:hAnsi="Times New Roman" w:cs="Times New Roman"/>
          <w:color w:val="auto"/>
          <w:vertAlign w:val="superscript"/>
        </w:rPr>
        <w:footnoteReference w:id="71"/>
      </w:r>
      <w:bookmarkEnd w:id="26"/>
      <w:r w:rsidRPr="00D52EFE">
        <w:rPr>
          <w:rFonts w:ascii="Times New Roman" w:eastAsia="Times New Roman" w:hAnsi="Times New Roman" w:cs="Times New Roman"/>
          <w:color w:val="auto"/>
        </w:rPr>
        <w:t xml:space="preserve"> At this point it is important to </w:t>
      </w:r>
      <w:r w:rsidRPr="00D52EFE">
        <w:rPr>
          <w:rFonts w:ascii="Times New Roman" w:eastAsia="Times New Roman" w:hAnsi="Times New Roman" w:cs="Times New Roman"/>
          <w:color w:val="auto"/>
        </w:rPr>
        <w:lastRenderedPageBreak/>
        <w:t>recall that Gov.UK Verify has a somewhat unusual structure in that it cannot accurately be described as a completely private or public sector service. Instead, Gov.UK Verify might best be described as a Public-Private Partnership, a term broadly used to refer to arrangements between government and private sector organisations in which partially or traditionally public activities are performed by the private sector.</w:t>
      </w:r>
      <w:r w:rsidRPr="00D52EFE">
        <w:rPr>
          <w:rFonts w:ascii="Times New Roman" w:eastAsia="Times New Roman" w:hAnsi="Times New Roman" w:cs="Times New Roman"/>
          <w:color w:val="auto"/>
          <w:vertAlign w:val="superscript"/>
        </w:rPr>
        <w:footnoteReference w:id="72"/>
      </w:r>
      <w:r w:rsidRPr="00D52EFE">
        <w:rPr>
          <w:rFonts w:ascii="Times New Roman" w:eastAsia="Times New Roman" w:hAnsi="Times New Roman" w:cs="Times New Roman"/>
          <w:color w:val="auto"/>
        </w:rPr>
        <w:t xml:space="preserve"> </w:t>
      </w:r>
      <w:r w:rsidR="00F10223" w:rsidRPr="00D52EFE">
        <w:rPr>
          <w:rFonts w:ascii="Times New Roman" w:eastAsia="Times New Roman" w:hAnsi="Times New Roman" w:cs="Times New Roman"/>
          <w:color w:val="auto"/>
        </w:rPr>
        <w:t>Significantly,</w:t>
      </w:r>
      <w:r w:rsidRPr="00D52EFE">
        <w:rPr>
          <w:rFonts w:ascii="Times New Roman" w:eastAsia="Times New Roman" w:hAnsi="Times New Roman" w:cs="Times New Roman"/>
          <w:color w:val="auto"/>
        </w:rPr>
        <w:t xml:space="preserve"> in this regard, however, as has been argued elsewhere, </w:t>
      </w:r>
      <w:r w:rsidR="00F10223" w:rsidRPr="00D52EFE">
        <w:rPr>
          <w:rFonts w:ascii="Times New Roman" w:eastAsia="Times New Roman" w:hAnsi="Times New Roman" w:cs="Times New Roman"/>
          <w:color w:val="auto"/>
        </w:rPr>
        <w:t>arrangements, which involve private parties entering systematic collaborative endeavours with governmental and other public sector bodies,</w:t>
      </w:r>
      <w:r w:rsidRPr="00D52EFE">
        <w:rPr>
          <w:rFonts w:ascii="Times New Roman" w:eastAsia="Times New Roman" w:hAnsi="Times New Roman" w:cs="Times New Roman"/>
          <w:color w:val="auto"/>
        </w:rPr>
        <w:t xml:space="preserve"> will be subject to the same remit of data protection obligations as any other private or public party.</w:t>
      </w:r>
      <w:r w:rsidRPr="00D52EFE">
        <w:rPr>
          <w:rFonts w:ascii="Times New Roman" w:eastAsia="Times New Roman" w:hAnsi="Times New Roman" w:cs="Times New Roman"/>
          <w:color w:val="auto"/>
          <w:vertAlign w:val="superscript"/>
        </w:rPr>
        <w:footnoteReference w:id="73"/>
      </w:r>
    </w:p>
    <w:p w14:paraId="2E81C1F0" w14:textId="77777777" w:rsidR="00D70F60" w:rsidRPr="00D52EFE" w:rsidRDefault="00D70F60" w:rsidP="00C86397">
      <w:pPr>
        <w:rPr>
          <w:rFonts w:ascii="Times New Roman" w:eastAsia="Times New Roman" w:hAnsi="Times New Roman" w:cs="Times New Roman"/>
          <w:color w:val="auto"/>
        </w:rPr>
      </w:pPr>
    </w:p>
    <w:p w14:paraId="42F9D7EC" w14:textId="3E431E33" w:rsidR="00D70F60" w:rsidRPr="00D52EFE" w:rsidRDefault="000B5581" w:rsidP="00574933">
      <w:pPr>
        <w:rPr>
          <w:rFonts w:ascii="Times New Roman" w:eastAsia="Times New Roman" w:hAnsi="Times New Roman" w:cs="Times New Roman"/>
          <w:color w:val="auto"/>
        </w:rPr>
      </w:pPr>
      <w:r w:rsidRPr="00D52EFE">
        <w:rPr>
          <w:rFonts w:ascii="Times New Roman" w:eastAsia="Times New Roman" w:hAnsi="Times New Roman" w:cs="Times New Roman"/>
          <w:color w:val="auto"/>
        </w:rPr>
        <w:t>Secondly, eIDAS,</w:t>
      </w:r>
      <w:r w:rsidRPr="00D52EFE">
        <w:rPr>
          <w:rFonts w:ascii="Times New Roman" w:eastAsia="Times New Roman" w:hAnsi="Times New Roman" w:cs="Times New Roman"/>
          <w:color w:val="auto"/>
          <w:vertAlign w:val="superscript"/>
        </w:rPr>
        <w:footnoteReference w:id="74"/>
      </w:r>
      <w:r w:rsidRPr="00D52EFE">
        <w:rPr>
          <w:rFonts w:ascii="Times New Roman" w:eastAsia="Times New Roman" w:hAnsi="Times New Roman" w:cs="Times New Roman"/>
          <w:color w:val="auto"/>
        </w:rPr>
        <w:t xml:space="preserve"> adopted by the European Parliament and Council in 2014, defines an interoperability framework of national </w:t>
      </w:r>
      <w:r w:rsidR="00042CD2" w:rsidRPr="00D52EFE">
        <w:rPr>
          <w:rFonts w:ascii="Times New Roman" w:eastAsia="Times New Roman" w:hAnsi="Times New Roman" w:cs="Times New Roman"/>
          <w:color w:val="auto"/>
        </w:rPr>
        <w:t xml:space="preserve">eID management </w:t>
      </w:r>
      <w:r w:rsidR="00F10223" w:rsidRPr="00D52EFE">
        <w:rPr>
          <w:rFonts w:ascii="Times New Roman" w:eastAsia="Times New Roman" w:hAnsi="Times New Roman" w:cs="Times New Roman"/>
          <w:color w:val="auto"/>
        </w:rPr>
        <w:t xml:space="preserve">systems, which </w:t>
      </w:r>
      <w:r w:rsidR="0046532E" w:rsidRPr="00D52EFE">
        <w:rPr>
          <w:rFonts w:ascii="Times New Roman" w:eastAsia="Times New Roman" w:hAnsi="Times New Roman" w:cs="Times New Roman"/>
          <w:color w:val="auto"/>
        </w:rPr>
        <w:t>allows</w:t>
      </w:r>
      <w:r w:rsidRPr="00D52EFE">
        <w:rPr>
          <w:rFonts w:ascii="Times New Roman" w:eastAsia="Times New Roman" w:hAnsi="Times New Roman" w:cs="Times New Roman"/>
          <w:color w:val="auto"/>
        </w:rPr>
        <w:t xml:space="preserve"> Member States to notify the European Commission of the interoperability of their national eID scheme, and demonstrate it conforms to a number of other substantive requirements, </w:t>
      </w:r>
      <w:r w:rsidR="00882405" w:rsidRPr="00D52EFE">
        <w:rPr>
          <w:rFonts w:ascii="Times New Roman" w:eastAsia="Times New Roman" w:hAnsi="Times New Roman" w:cs="Times New Roman"/>
          <w:color w:val="auto"/>
        </w:rPr>
        <w:t>in or</w:t>
      </w:r>
      <w:r w:rsidR="0046532E" w:rsidRPr="00D52EFE">
        <w:rPr>
          <w:rFonts w:ascii="Times New Roman" w:eastAsia="Times New Roman" w:hAnsi="Times New Roman" w:cs="Times New Roman"/>
          <w:color w:val="auto"/>
        </w:rPr>
        <w:t>der to make their scheme work cross-border</w:t>
      </w:r>
      <w:r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vertAlign w:val="superscript"/>
        </w:rPr>
        <w:footnoteReference w:id="75"/>
      </w:r>
      <w:r w:rsidRPr="00D52EFE">
        <w:rPr>
          <w:rFonts w:ascii="Times New Roman" w:eastAsia="Times New Roman" w:hAnsi="Times New Roman" w:cs="Times New Roman"/>
          <w:color w:val="auto"/>
        </w:rPr>
        <w:t xml:space="preserve"> Successful notification comes after a lengthy deliberation process.</w:t>
      </w:r>
      <w:bookmarkStart w:id="27" w:name="_Ref495054777"/>
      <w:r w:rsidRPr="00D52EFE">
        <w:rPr>
          <w:rFonts w:ascii="Times New Roman" w:eastAsia="Times New Roman" w:hAnsi="Times New Roman" w:cs="Times New Roman"/>
          <w:color w:val="auto"/>
          <w:vertAlign w:val="superscript"/>
        </w:rPr>
        <w:footnoteReference w:id="76"/>
      </w:r>
      <w:bookmarkEnd w:id="27"/>
      <w:r w:rsidRPr="00D52EFE">
        <w:rPr>
          <w:rFonts w:ascii="Times New Roman" w:eastAsia="Times New Roman" w:hAnsi="Times New Roman" w:cs="Times New Roman"/>
          <w:color w:val="auto"/>
        </w:rPr>
        <w:t xml:space="preserve"> Upon acceptance of the notified scheme, all other Member States are obliged to incorporate it into their individual authentication services.</w:t>
      </w:r>
      <w:r w:rsidRPr="00D52EFE">
        <w:rPr>
          <w:rFonts w:ascii="Times New Roman" w:eastAsia="Times New Roman" w:hAnsi="Times New Roman" w:cs="Times New Roman"/>
          <w:color w:val="auto"/>
          <w:vertAlign w:val="superscript"/>
        </w:rPr>
        <w:footnoteReference w:id="77"/>
      </w:r>
      <w:r w:rsidRPr="00D52EFE">
        <w:rPr>
          <w:rFonts w:ascii="Times New Roman" w:eastAsia="Times New Roman" w:hAnsi="Times New Roman" w:cs="Times New Roman"/>
          <w:color w:val="auto"/>
        </w:rPr>
        <w:t xml:space="preserve"> Significantly, one notable requirement imposed by eIDAS is that in order to achieve successful notification any national eID scheme must comply with the su</w:t>
      </w:r>
      <w:r w:rsidR="00FD666F" w:rsidRPr="00D52EFE">
        <w:rPr>
          <w:rFonts w:ascii="Times New Roman" w:eastAsia="Times New Roman" w:hAnsi="Times New Roman" w:cs="Times New Roman"/>
          <w:color w:val="auto"/>
        </w:rPr>
        <w:t>bstantive provisions of EU</w:t>
      </w:r>
      <w:r w:rsidRPr="00D52EFE">
        <w:rPr>
          <w:rFonts w:ascii="Times New Roman" w:eastAsia="Times New Roman" w:hAnsi="Times New Roman" w:cs="Times New Roman"/>
          <w:color w:val="auto"/>
        </w:rPr>
        <w:t xml:space="preserve"> data protection law, with specific reference being made to the need to comply with the data minimisation principle.</w:t>
      </w:r>
      <w:r w:rsidRPr="00D52EFE">
        <w:rPr>
          <w:rFonts w:ascii="Times New Roman" w:eastAsia="Times New Roman" w:hAnsi="Times New Roman" w:cs="Times New Roman"/>
          <w:color w:val="auto"/>
          <w:vertAlign w:val="superscript"/>
        </w:rPr>
        <w:footnoteReference w:id="78"/>
      </w:r>
      <w:r w:rsidR="00574933" w:rsidRPr="00D52EFE">
        <w:rPr>
          <w:rFonts w:ascii="Times New Roman" w:eastAsia="Times New Roman" w:hAnsi="Times New Roman" w:cs="Times New Roman"/>
          <w:color w:val="auto"/>
        </w:rPr>
        <w:t xml:space="preserve"> The </w:t>
      </w:r>
      <w:r w:rsidRPr="00D52EFE">
        <w:rPr>
          <w:rFonts w:ascii="Times New Roman" w:eastAsia="Times New Roman" w:hAnsi="Times New Roman" w:cs="Times New Roman"/>
          <w:color w:val="auto"/>
        </w:rPr>
        <w:t xml:space="preserve">UK government has </w:t>
      </w:r>
      <w:r w:rsidR="00574933" w:rsidRPr="00D52EFE">
        <w:rPr>
          <w:rFonts w:ascii="Times New Roman" w:eastAsia="Times New Roman" w:hAnsi="Times New Roman" w:cs="Times New Roman"/>
          <w:color w:val="auto"/>
        </w:rPr>
        <w:t>never</w:t>
      </w:r>
      <w:r w:rsidRPr="00D52EFE">
        <w:rPr>
          <w:rFonts w:ascii="Times New Roman" w:eastAsia="Times New Roman" w:hAnsi="Times New Roman" w:cs="Times New Roman"/>
          <w:color w:val="auto"/>
        </w:rPr>
        <w:t xml:space="preserve"> signalled its int</w:t>
      </w:r>
      <w:r w:rsidR="00574933" w:rsidRPr="00D52EFE">
        <w:rPr>
          <w:rFonts w:ascii="Times New Roman" w:eastAsia="Times New Roman" w:hAnsi="Times New Roman" w:cs="Times New Roman"/>
          <w:color w:val="auto"/>
        </w:rPr>
        <w:t xml:space="preserve">ention to notify Gov.UK Verify and has never explained how the requirement of including within the Minimum Dataset a unique permanent state-provided identifier could be met. It remains to be seen what </w:t>
      </w:r>
      <w:r w:rsidR="000B12D2" w:rsidRPr="00D52EFE">
        <w:rPr>
          <w:rFonts w:ascii="Times New Roman" w:eastAsia="Times New Roman" w:hAnsi="Times New Roman" w:cs="Times New Roman"/>
          <w:color w:val="auto"/>
        </w:rPr>
        <w:t xml:space="preserve">Brexit </w:t>
      </w:r>
      <w:r w:rsidR="00574933" w:rsidRPr="00D52EFE">
        <w:rPr>
          <w:rFonts w:ascii="Times New Roman" w:eastAsia="Times New Roman" w:hAnsi="Times New Roman" w:cs="Times New Roman"/>
          <w:color w:val="auto"/>
        </w:rPr>
        <w:t>will bring for eID</w:t>
      </w:r>
      <w:r w:rsidRPr="00D52EFE">
        <w:rPr>
          <w:rFonts w:ascii="Times New Roman" w:eastAsia="Times New Roman" w:hAnsi="Times New Roman" w:cs="Times New Roman"/>
          <w:color w:val="auto"/>
        </w:rPr>
        <w:t>.</w:t>
      </w:r>
      <w:bookmarkStart w:id="28" w:name="_Ref512003665"/>
      <w:r w:rsidR="001D1D17" w:rsidRPr="00D52EFE">
        <w:rPr>
          <w:rStyle w:val="FootnoteReference"/>
          <w:rFonts w:ascii="Times New Roman" w:eastAsia="Times New Roman" w:hAnsi="Times New Roman" w:cs="Times New Roman"/>
          <w:color w:val="auto"/>
        </w:rPr>
        <w:footnoteReference w:id="79"/>
      </w:r>
      <w:bookmarkEnd w:id="28"/>
    </w:p>
    <w:p w14:paraId="05DD5A5F" w14:textId="77777777" w:rsidR="00D70F60" w:rsidRPr="00D52EFE" w:rsidRDefault="00D70F60" w:rsidP="00C86397">
      <w:pPr>
        <w:rPr>
          <w:rFonts w:ascii="Times New Roman" w:eastAsia="Times New Roman" w:hAnsi="Times New Roman" w:cs="Times New Roman"/>
          <w:color w:val="auto"/>
        </w:rPr>
      </w:pPr>
    </w:p>
    <w:p w14:paraId="17E095A1" w14:textId="5187F83D"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lastRenderedPageBreak/>
        <w:t>The above considerations indicate that Gov.UK Verify must comply with the su</w:t>
      </w:r>
      <w:r w:rsidR="00FD666F" w:rsidRPr="00D52EFE">
        <w:rPr>
          <w:rFonts w:ascii="Times New Roman" w:eastAsia="Times New Roman" w:hAnsi="Times New Roman" w:cs="Times New Roman"/>
          <w:color w:val="auto"/>
        </w:rPr>
        <w:t>bstantive provisions of EU</w:t>
      </w:r>
      <w:r w:rsidRPr="00D52EFE">
        <w:rPr>
          <w:rFonts w:ascii="Times New Roman" w:eastAsia="Times New Roman" w:hAnsi="Times New Roman" w:cs="Times New Roman"/>
          <w:color w:val="auto"/>
        </w:rPr>
        <w:t xml:space="preserve"> data protection law, including the need for it to have a legitimate basis at all times for the processing of any personal data. In this respect, whilst the data protection framework contains a number of grounds upon which the processing of personal d</w:t>
      </w:r>
      <w:r w:rsidR="00AE22A1" w:rsidRPr="00D52EFE">
        <w:rPr>
          <w:rFonts w:ascii="Times New Roman" w:eastAsia="Times New Roman" w:hAnsi="Times New Roman" w:cs="Times New Roman"/>
          <w:color w:val="auto"/>
        </w:rPr>
        <w:t>ata can be rendered legitimate</w:t>
      </w:r>
      <w:r w:rsidRPr="00D52EFE">
        <w:rPr>
          <w:rFonts w:ascii="Times New Roman" w:eastAsia="Times New Roman" w:hAnsi="Times New Roman" w:cs="Times New Roman"/>
          <w:color w:val="auto"/>
        </w:rPr>
        <w:t>, in the Gov.UK Verify context two legal bases have been put forward: consent of the individual and performance of a task carried out in the public interest or in the exercise of official authority vested in the controller.</w:t>
      </w:r>
      <w:r w:rsidRPr="00D52EFE">
        <w:rPr>
          <w:rFonts w:ascii="Times New Roman" w:eastAsia="Times New Roman" w:hAnsi="Times New Roman" w:cs="Times New Roman"/>
          <w:color w:val="auto"/>
          <w:vertAlign w:val="superscript"/>
        </w:rPr>
        <w:footnoteReference w:id="80"/>
      </w:r>
      <w:r w:rsidRPr="00D52EFE">
        <w:rPr>
          <w:rFonts w:ascii="Times New Roman" w:eastAsia="Times New Roman" w:hAnsi="Times New Roman" w:cs="Times New Roman"/>
          <w:color w:val="auto"/>
        </w:rPr>
        <w:t xml:space="preserve"> </w:t>
      </w:r>
      <w:r w:rsidR="00AE22A1" w:rsidRPr="00D52EFE">
        <w:rPr>
          <w:rFonts w:ascii="Times New Roman" w:eastAsia="Times New Roman" w:hAnsi="Times New Roman" w:cs="Times New Roman"/>
          <w:color w:val="auto"/>
        </w:rPr>
        <w:t xml:space="preserve">Consent is expressly referred </w:t>
      </w:r>
      <w:r w:rsidRPr="00D52EFE">
        <w:rPr>
          <w:rFonts w:ascii="Times New Roman" w:eastAsia="Times New Roman" w:hAnsi="Times New Roman" w:cs="Times New Roman"/>
          <w:color w:val="auto"/>
        </w:rPr>
        <w:t>to by the Gov.UK Verify website itself, which specifically states that no personal data will be processed as part of the Gov.UK Verify scheme without the consent of any individuals involved.</w:t>
      </w:r>
      <w:r w:rsidRPr="00D52EFE">
        <w:rPr>
          <w:rFonts w:ascii="Times New Roman" w:eastAsia="Times New Roman" w:hAnsi="Times New Roman" w:cs="Times New Roman"/>
          <w:color w:val="auto"/>
          <w:vertAlign w:val="superscript"/>
        </w:rPr>
        <w:footnoteReference w:id="81"/>
      </w:r>
      <w:r w:rsidRPr="00D52EFE">
        <w:rPr>
          <w:rFonts w:ascii="Times New Roman" w:eastAsia="Times New Roman" w:hAnsi="Times New Roman" w:cs="Times New Roman"/>
          <w:color w:val="auto"/>
        </w:rPr>
        <w:t xml:space="preserve"> However, as suggested at this article’s outset, there are reasons to believe that Gov.UK Verify d</w:t>
      </w:r>
      <w:r w:rsidR="00FD666F" w:rsidRPr="00D52EFE">
        <w:rPr>
          <w:rFonts w:ascii="Times New Roman" w:eastAsia="Times New Roman" w:hAnsi="Times New Roman" w:cs="Times New Roman"/>
          <w:color w:val="auto"/>
        </w:rPr>
        <w:t>oes not comply with the EU</w:t>
      </w:r>
      <w:r w:rsidRPr="00D52EFE">
        <w:rPr>
          <w:rFonts w:ascii="Times New Roman" w:eastAsia="Times New Roman" w:hAnsi="Times New Roman" w:cs="Times New Roman"/>
          <w:color w:val="auto"/>
        </w:rPr>
        <w:t xml:space="preserve"> data protection framework’s rules regarding consent as a legitimising ground for the processing of personal data. Before examining this notion in more detail, it is first important to consider the doctrine of individual consent under both the current </w:t>
      </w:r>
      <w:r w:rsidR="00AE22A1" w:rsidRPr="00D52EFE">
        <w:rPr>
          <w:rFonts w:ascii="Times New Roman" w:eastAsia="Times New Roman" w:hAnsi="Times New Roman" w:cs="Times New Roman"/>
          <w:color w:val="auto"/>
        </w:rPr>
        <w:t>DPD</w:t>
      </w:r>
      <w:r w:rsidRPr="00D52EFE">
        <w:rPr>
          <w:rFonts w:ascii="Times New Roman" w:eastAsia="Times New Roman" w:hAnsi="Times New Roman" w:cs="Times New Roman"/>
          <w:color w:val="auto"/>
        </w:rPr>
        <w:t xml:space="preserve"> and the imminent </w:t>
      </w:r>
      <w:r w:rsidR="00AE22A1" w:rsidRPr="00D52EFE">
        <w:rPr>
          <w:rFonts w:ascii="Times New Roman" w:eastAsia="Times New Roman" w:hAnsi="Times New Roman" w:cs="Times New Roman"/>
          <w:color w:val="auto"/>
        </w:rPr>
        <w:t>GDPR</w:t>
      </w:r>
      <w:r w:rsidRPr="00D52EFE">
        <w:rPr>
          <w:rFonts w:ascii="Times New Roman" w:eastAsia="Times New Roman" w:hAnsi="Times New Roman" w:cs="Times New Roman"/>
          <w:color w:val="auto"/>
        </w:rPr>
        <w:t>, as well as the other legitimising grounds for processing listed by both instruments.</w:t>
      </w:r>
    </w:p>
    <w:p w14:paraId="346654C8" w14:textId="77777777" w:rsidR="00365C3A" w:rsidRPr="00D52EFE" w:rsidRDefault="00365C3A" w:rsidP="00C86397">
      <w:pPr>
        <w:rPr>
          <w:rFonts w:ascii="Times New Roman" w:eastAsia="Times New Roman" w:hAnsi="Times New Roman" w:cs="Times New Roman"/>
          <w:color w:val="auto"/>
        </w:rPr>
      </w:pPr>
    </w:p>
    <w:p w14:paraId="1DD8EDEC" w14:textId="77777777" w:rsidR="00D70F60" w:rsidRPr="00D52EFE" w:rsidRDefault="00D70F60" w:rsidP="00C86397">
      <w:pPr>
        <w:rPr>
          <w:rFonts w:ascii="Times New Roman" w:eastAsia="Times New Roman" w:hAnsi="Times New Roman" w:cs="Times New Roman"/>
          <w:b/>
          <w:color w:val="auto"/>
        </w:rPr>
      </w:pPr>
    </w:p>
    <w:p w14:paraId="262C4590" w14:textId="2357AF9B" w:rsidR="00D70F60" w:rsidRPr="00D52EFE" w:rsidRDefault="007C694F" w:rsidP="007C694F">
      <w:pPr>
        <w:pStyle w:val="Heading3"/>
        <w:numPr>
          <w:ilvl w:val="0"/>
          <w:numId w:val="0"/>
        </w:numPr>
        <w:jc w:val="left"/>
        <w:rPr>
          <w:b/>
          <w:color w:val="auto"/>
          <w:sz w:val="22"/>
          <w:szCs w:val="22"/>
        </w:rPr>
      </w:pPr>
      <w:bookmarkStart w:id="29" w:name="_d51fjd9humr0" w:colFirst="0" w:colLast="0"/>
      <w:bookmarkStart w:id="30" w:name="_Toc495674477"/>
      <w:bookmarkEnd w:id="29"/>
      <w:r w:rsidRPr="00D52EFE">
        <w:rPr>
          <w:b/>
          <w:color w:val="auto"/>
          <w:sz w:val="22"/>
          <w:szCs w:val="22"/>
        </w:rPr>
        <w:t>3.2.</w:t>
      </w:r>
      <w:r w:rsidRPr="00D52EFE">
        <w:rPr>
          <w:b/>
          <w:color w:val="auto"/>
          <w:sz w:val="22"/>
          <w:szCs w:val="22"/>
        </w:rPr>
        <w:tab/>
      </w:r>
      <w:r w:rsidR="000B5581" w:rsidRPr="00D52EFE">
        <w:rPr>
          <w:b/>
          <w:color w:val="auto"/>
          <w:sz w:val="22"/>
          <w:szCs w:val="22"/>
        </w:rPr>
        <w:t>The Data Protection Directive</w:t>
      </w:r>
      <w:bookmarkEnd w:id="30"/>
    </w:p>
    <w:p w14:paraId="0B755C17" w14:textId="77777777" w:rsidR="00D70F60" w:rsidRPr="00D52EFE" w:rsidRDefault="00D70F60" w:rsidP="00C86397">
      <w:pPr>
        <w:rPr>
          <w:rFonts w:ascii="Times New Roman" w:eastAsia="Times New Roman" w:hAnsi="Times New Roman" w:cs="Times New Roman"/>
          <w:b/>
          <w:color w:val="auto"/>
        </w:rPr>
      </w:pPr>
    </w:p>
    <w:p w14:paraId="74719077" w14:textId="3E95927E"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Article 2(h) of the </w:t>
      </w:r>
      <w:r w:rsidR="005C6AC0" w:rsidRPr="00D52EFE">
        <w:rPr>
          <w:rFonts w:ascii="Times New Roman" w:eastAsia="Times New Roman" w:hAnsi="Times New Roman" w:cs="Times New Roman"/>
          <w:color w:val="auto"/>
        </w:rPr>
        <w:t>DPD</w:t>
      </w:r>
      <w:r w:rsidRPr="00D52EFE">
        <w:rPr>
          <w:rFonts w:ascii="Times New Roman" w:eastAsia="Times New Roman" w:hAnsi="Times New Roman" w:cs="Times New Roman"/>
          <w:color w:val="auto"/>
          <w:vertAlign w:val="superscript"/>
        </w:rPr>
        <w:footnoteReference w:id="82"/>
      </w:r>
      <w:r w:rsidR="00667310" w:rsidRPr="00D52EFE">
        <w:rPr>
          <w:rFonts w:ascii="Times New Roman" w:eastAsia="Times New Roman" w:hAnsi="Times New Roman" w:cs="Times New Roman"/>
          <w:color w:val="auto"/>
        </w:rPr>
        <w:t xml:space="preserve"> defines consent as </w:t>
      </w:r>
      <w:r w:rsidRPr="00D52EFE">
        <w:rPr>
          <w:rFonts w:ascii="Times New Roman" w:eastAsia="Times New Roman" w:hAnsi="Times New Roman" w:cs="Times New Roman"/>
          <w:color w:val="auto"/>
        </w:rPr>
        <w:t>“…</w:t>
      </w:r>
      <w:r w:rsidRPr="00D52EFE">
        <w:rPr>
          <w:rFonts w:ascii="Times New Roman" w:eastAsia="Times New Roman" w:hAnsi="Times New Roman" w:cs="Times New Roman"/>
          <w:i/>
          <w:color w:val="auto"/>
        </w:rPr>
        <w:t>any freely given specific and informed indication of his wishes by which the data subject signifies his agreement to personal data relating to him being processed</w:t>
      </w:r>
      <w:r w:rsidR="00667310" w:rsidRPr="00D52EFE">
        <w:rPr>
          <w:rFonts w:ascii="Times New Roman" w:eastAsia="Times New Roman" w:hAnsi="Times New Roman" w:cs="Times New Roman"/>
          <w:i/>
          <w:color w:val="auto"/>
        </w:rPr>
        <w:t>.</w:t>
      </w:r>
      <w:r w:rsidR="00667310" w:rsidRPr="00D52EFE">
        <w:rPr>
          <w:rFonts w:ascii="Times New Roman" w:eastAsia="Times New Roman" w:hAnsi="Times New Roman" w:cs="Times New Roman"/>
          <w:color w:val="auto"/>
        </w:rPr>
        <w:t>”</w:t>
      </w:r>
    </w:p>
    <w:p w14:paraId="43C015D9" w14:textId="77777777" w:rsidR="00D70F60" w:rsidRPr="00D52EFE" w:rsidRDefault="00D70F60" w:rsidP="00C86397">
      <w:pPr>
        <w:ind w:left="720"/>
        <w:rPr>
          <w:rFonts w:ascii="Times New Roman" w:eastAsia="Times New Roman" w:hAnsi="Times New Roman" w:cs="Times New Roman"/>
          <w:color w:val="auto"/>
        </w:rPr>
      </w:pPr>
    </w:p>
    <w:p w14:paraId="14EEEE7C" w14:textId="0D022F93"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Article 7(a) then states that data may be </w:t>
      </w:r>
      <w:r w:rsidR="00667310" w:rsidRPr="00D52EFE">
        <w:rPr>
          <w:rFonts w:ascii="Times New Roman" w:eastAsia="Times New Roman" w:hAnsi="Times New Roman" w:cs="Times New Roman"/>
          <w:color w:val="auto"/>
        </w:rPr>
        <w:t xml:space="preserve">processed when </w:t>
      </w:r>
      <w:r w:rsidRPr="00D52EFE">
        <w:rPr>
          <w:rFonts w:ascii="Times New Roman" w:eastAsia="Times New Roman" w:hAnsi="Times New Roman" w:cs="Times New Roman"/>
          <w:color w:val="auto"/>
        </w:rPr>
        <w:t>“</w:t>
      </w:r>
      <w:r w:rsidRPr="00D52EFE">
        <w:rPr>
          <w:rFonts w:ascii="Times New Roman" w:eastAsia="Times New Roman" w:hAnsi="Times New Roman" w:cs="Times New Roman"/>
          <w:i/>
          <w:color w:val="auto"/>
        </w:rPr>
        <w:t>the data subject has unambiguously given his consent</w:t>
      </w:r>
      <w:r w:rsidR="00667310" w:rsidRPr="00D52EFE">
        <w:rPr>
          <w:rFonts w:ascii="Times New Roman" w:eastAsia="Times New Roman" w:hAnsi="Times New Roman" w:cs="Times New Roman"/>
          <w:i/>
          <w:color w:val="auto"/>
        </w:rPr>
        <w:t>.</w:t>
      </w:r>
      <w:r w:rsidR="00667310" w:rsidRPr="00D52EFE">
        <w:rPr>
          <w:rFonts w:ascii="Times New Roman" w:eastAsia="Times New Roman" w:hAnsi="Times New Roman" w:cs="Times New Roman"/>
          <w:color w:val="auto"/>
        </w:rPr>
        <w:t>”</w:t>
      </w:r>
    </w:p>
    <w:p w14:paraId="2D3FDAC6" w14:textId="77777777" w:rsidR="00D70F60" w:rsidRPr="00D52EFE" w:rsidRDefault="00D70F60" w:rsidP="00C86397">
      <w:pPr>
        <w:ind w:left="360" w:firstLine="360"/>
        <w:rPr>
          <w:rFonts w:ascii="Times New Roman" w:eastAsia="Times New Roman" w:hAnsi="Times New Roman" w:cs="Times New Roman"/>
          <w:color w:val="auto"/>
        </w:rPr>
      </w:pPr>
    </w:p>
    <w:p w14:paraId="05B89B99"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Accordingly, the giving of free, specific, informed and unambiguous consent is one way by which the processing of personal data can be rendered legitimate under the DPD.</w:t>
      </w:r>
      <w:r w:rsidRPr="00D52EFE">
        <w:rPr>
          <w:rFonts w:ascii="Times New Roman" w:eastAsia="Times New Roman" w:hAnsi="Times New Roman" w:cs="Times New Roman"/>
          <w:color w:val="auto"/>
          <w:vertAlign w:val="superscript"/>
        </w:rPr>
        <w:footnoteReference w:id="83"/>
      </w:r>
      <w:r w:rsidRPr="00D52EFE">
        <w:rPr>
          <w:rFonts w:ascii="Times New Roman" w:eastAsia="Times New Roman" w:hAnsi="Times New Roman" w:cs="Times New Roman"/>
          <w:color w:val="auto"/>
        </w:rPr>
        <w:t xml:space="preserve"> In some ways the DPD’s definition of consent could be considered somewhat restrictive, as it requires that the individual be clearly informed of what it is they are consenting to in advance of any consent being given. This approach is broadly in line with the existing data protection laws of most EU Member States, many of which have defined consent with similar restrictiveness.</w:t>
      </w:r>
      <w:bookmarkStart w:id="31" w:name="_Ref495056772"/>
      <w:r w:rsidRPr="00D52EFE">
        <w:rPr>
          <w:rFonts w:ascii="Times New Roman" w:eastAsia="Times New Roman" w:hAnsi="Times New Roman" w:cs="Times New Roman"/>
          <w:color w:val="auto"/>
          <w:vertAlign w:val="superscript"/>
        </w:rPr>
        <w:footnoteReference w:id="84"/>
      </w:r>
      <w:bookmarkEnd w:id="31"/>
    </w:p>
    <w:p w14:paraId="163602DE" w14:textId="77777777" w:rsidR="00D70F60" w:rsidRPr="00D52EFE" w:rsidRDefault="00D70F60" w:rsidP="00C86397">
      <w:pPr>
        <w:rPr>
          <w:rFonts w:ascii="Times New Roman" w:eastAsia="Times New Roman" w:hAnsi="Times New Roman" w:cs="Times New Roman"/>
          <w:color w:val="auto"/>
        </w:rPr>
      </w:pPr>
    </w:p>
    <w:p w14:paraId="3118C0A9" w14:textId="44C9EFB4"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Conspicuously, the DPD’s definition of consent is not phrased in terms of whether consent must be “opt-in” (</w:t>
      </w:r>
      <w:r w:rsidR="00A338CE" w:rsidRPr="00D52EFE">
        <w:rPr>
          <w:rFonts w:ascii="Times New Roman" w:eastAsia="Times New Roman" w:hAnsi="Times New Roman" w:cs="Times New Roman"/>
          <w:i/>
          <w:color w:val="auto"/>
        </w:rPr>
        <w:t>i.e.</w:t>
      </w:r>
      <w:r w:rsidRPr="00D52EFE">
        <w:rPr>
          <w:rFonts w:ascii="Times New Roman" w:eastAsia="Times New Roman" w:hAnsi="Times New Roman" w:cs="Times New Roman"/>
          <w:color w:val="auto"/>
        </w:rPr>
        <w:t xml:space="preserve"> based on an affirmative act, such as clicking a box on an online form or providing a </w:t>
      </w:r>
      <w:r w:rsidRPr="00D52EFE">
        <w:rPr>
          <w:rFonts w:ascii="Times New Roman" w:eastAsia="Times New Roman" w:hAnsi="Times New Roman" w:cs="Times New Roman"/>
          <w:color w:val="auto"/>
        </w:rPr>
        <w:lastRenderedPageBreak/>
        <w:t>signature) or “opt-out” (</w:t>
      </w:r>
      <w:r w:rsidR="00A338CE" w:rsidRPr="00D52EFE">
        <w:rPr>
          <w:rFonts w:ascii="Times New Roman" w:eastAsia="Times New Roman" w:hAnsi="Times New Roman" w:cs="Times New Roman"/>
          <w:i/>
          <w:color w:val="auto"/>
        </w:rPr>
        <w:t>e.g.</w:t>
      </w:r>
      <w:r w:rsidRPr="00D52EFE">
        <w:rPr>
          <w:rFonts w:ascii="Times New Roman" w:eastAsia="Times New Roman" w:hAnsi="Times New Roman" w:cs="Times New Roman"/>
          <w:color w:val="auto"/>
        </w:rPr>
        <w:t xml:space="preserve"> not unclicking a pre-ticked box). </w:t>
      </w:r>
      <w:r w:rsidR="00AE22A1" w:rsidRPr="00D52EFE">
        <w:rPr>
          <w:rFonts w:ascii="Times New Roman" w:eastAsia="Times New Roman" w:hAnsi="Times New Roman" w:cs="Times New Roman"/>
          <w:color w:val="auto"/>
        </w:rPr>
        <w:t>I</w:t>
      </w:r>
      <w:r w:rsidRPr="00D52EFE">
        <w:rPr>
          <w:rFonts w:ascii="Times New Roman" w:eastAsia="Times New Roman" w:hAnsi="Times New Roman" w:cs="Times New Roman"/>
          <w:color w:val="auto"/>
        </w:rPr>
        <w:t xml:space="preserve">t </w:t>
      </w:r>
      <w:r w:rsidR="00CA1CA7" w:rsidRPr="00D52EFE">
        <w:rPr>
          <w:rFonts w:ascii="Times New Roman" w:eastAsia="Times New Roman" w:hAnsi="Times New Roman" w:cs="Times New Roman"/>
          <w:color w:val="auto"/>
        </w:rPr>
        <w:t>has been</w:t>
      </w:r>
      <w:r w:rsidR="00AE22A1" w:rsidRPr="00D52EFE">
        <w:rPr>
          <w:rFonts w:ascii="Times New Roman" w:eastAsia="Times New Roman" w:hAnsi="Times New Roman" w:cs="Times New Roman"/>
          <w:color w:val="auto"/>
        </w:rPr>
        <w:t xml:space="preserve"> debated</w:t>
      </w:r>
      <w:r w:rsidRPr="00D52EFE">
        <w:rPr>
          <w:rFonts w:ascii="Times New Roman" w:eastAsia="Times New Roman" w:hAnsi="Times New Roman" w:cs="Times New Roman"/>
          <w:color w:val="auto"/>
        </w:rPr>
        <w:t xml:space="preserve"> whether the absence of the term “explicit” indicates that opt-in consent is not required as a general matter.</w:t>
      </w:r>
      <w:bookmarkStart w:id="32" w:name="_Ref495057925"/>
      <w:r w:rsidRPr="00D52EFE">
        <w:rPr>
          <w:rFonts w:ascii="Times New Roman" w:eastAsia="Times New Roman" w:hAnsi="Times New Roman" w:cs="Times New Roman"/>
          <w:color w:val="auto"/>
          <w:vertAlign w:val="superscript"/>
        </w:rPr>
        <w:footnoteReference w:id="85"/>
      </w:r>
      <w:bookmarkEnd w:id="32"/>
    </w:p>
    <w:p w14:paraId="1DA3EE36" w14:textId="77777777" w:rsidR="00D70F60" w:rsidRPr="00D52EFE" w:rsidRDefault="00D70F60" w:rsidP="00C86397">
      <w:pPr>
        <w:rPr>
          <w:rFonts w:ascii="Times New Roman" w:eastAsia="Times New Roman" w:hAnsi="Times New Roman" w:cs="Times New Roman"/>
          <w:color w:val="auto"/>
        </w:rPr>
      </w:pPr>
    </w:p>
    <w:p w14:paraId="34F646CA" w14:textId="74A67DE8"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In this respect, it has </w:t>
      </w:r>
      <w:r w:rsidR="00CA1CA7" w:rsidRPr="00D52EFE">
        <w:rPr>
          <w:rFonts w:ascii="Times New Roman" w:eastAsia="Times New Roman" w:hAnsi="Times New Roman" w:cs="Times New Roman"/>
          <w:color w:val="auto"/>
        </w:rPr>
        <w:t xml:space="preserve">thus </w:t>
      </w:r>
      <w:r w:rsidRPr="00D52EFE">
        <w:rPr>
          <w:rFonts w:ascii="Times New Roman" w:eastAsia="Times New Roman" w:hAnsi="Times New Roman" w:cs="Times New Roman"/>
          <w:color w:val="auto"/>
        </w:rPr>
        <w:t>been suggested that the DPD’s definition is somewhat cryptic as well as restrictive, as the use of ambiguous terms like “specific”, “freely given” and “informed” allow for a broad spectrum of interpretation.</w:t>
      </w:r>
      <w:r w:rsidRPr="00D52EFE">
        <w:rPr>
          <w:rFonts w:ascii="Times New Roman" w:eastAsia="Times New Roman" w:hAnsi="Times New Roman" w:cs="Times New Roman"/>
          <w:color w:val="auto"/>
          <w:vertAlign w:val="superscript"/>
        </w:rPr>
        <w:footnoteReference w:id="86"/>
      </w:r>
      <w:r w:rsidRPr="00D52EFE">
        <w:rPr>
          <w:rFonts w:ascii="Times New Roman" w:eastAsia="Times New Roman" w:hAnsi="Times New Roman" w:cs="Times New Roman"/>
          <w:color w:val="auto"/>
        </w:rPr>
        <w:t xml:space="preserve"> Moreover, the DPD says nothing in respect of the methods data controllers may, or should, use as a means of obtaining consent. However, Article 2(h)’s requirement that the data subject must “signify” their consent implies that complete inaction on behalf of the individual will not be sufficient to amount to valid consent.</w:t>
      </w:r>
      <w:r w:rsidRPr="00D52EFE">
        <w:rPr>
          <w:rFonts w:ascii="Times New Roman" w:eastAsia="Times New Roman" w:hAnsi="Times New Roman" w:cs="Times New Roman"/>
          <w:color w:val="auto"/>
          <w:vertAlign w:val="superscript"/>
        </w:rPr>
        <w:footnoteReference w:id="87"/>
      </w:r>
      <w:r w:rsidRPr="00D52EFE">
        <w:rPr>
          <w:rFonts w:ascii="Times New Roman" w:eastAsia="Times New Roman" w:hAnsi="Times New Roman" w:cs="Times New Roman"/>
          <w:color w:val="auto"/>
        </w:rPr>
        <w:t xml:space="preserve"> </w:t>
      </w:r>
    </w:p>
    <w:p w14:paraId="67067D8F" w14:textId="77777777" w:rsidR="00D70F60" w:rsidRPr="00D52EFE" w:rsidRDefault="00D70F60" w:rsidP="00C86397">
      <w:pPr>
        <w:rPr>
          <w:rFonts w:ascii="Times New Roman" w:eastAsia="Times New Roman" w:hAnsi="Times New Roman" w:cs="Times New Roman"/>
          <w:color w:val="auto"/>
        </w:rPr>
      </w:pPr>
    </w:p>
    <w:p w14:paraId="7F0BD068" w14:textId="593A0A8E"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Data Protection Act 1998 (DPA)</w:t>
      </w:r>
      <w:r w:rsidR="004A2F9C"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t xml:space="preserve">transposes the terms of the DPD into the UK’s domestic legal order. In accordance with what is said in the DPD, Schedule 2 of the DPA states that for the processing of personal data to be rendered lawful said processing must fall under one of the abovementioned legitimising grounds for processing, one of which is the consent of the individual. The DPA, however, contains no definition of consent, nor any guidance as to what is required to validly obtain it. </w:t>
      </w:r>
    </w:p>
    <w:p w14:paraId="0347107C" w14:textId="77777777" w:rsidR="00D70F60" w:rsidRPr="00D52EFE" w:rsidRDefault="00D70F60" w:rsidP="00C86397">
      <w:pPr>
        <w:rPr>
          <w:rFonts w:ascii="Times New Roman" w:eastAsia="Times New Roman" w:hAnsi="Times New Roman" w:cs="Times New Roman"/>
          <w:color w:val="auto"/>
        </w:rPr>
      </w:pPr>
    </w:p>
    <w:p w14:paraId="58500B56" w14:textId="364F22AA"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In lieu of any concrete guidance in respect of consent’s interpretation being offered by the texts of the DPD and DPA themselves, the I</w:t>
      </w:r>
      <w:r w:rsidR="002059A5" w:rsidRPr="00D52EFE">
        <w:rPr>
          <w:rFonts w:ascii="Times New Roman" w:eastAsia="Times New Roman" w:hAnsi="Times New Roman" w:cs="Times New Roman"/>
          <w:color w:val="auto"/>
        </w:rPr>
        <w:t>CO</w:t>
      </w:r>
      <w:r w:rsidRPr="00D52EFE">
        <w:rPr>
          <w:rFonts w:ascii="Times New Roman" w:eastAsia="Times New Roman" w:hAnsi="Times New Roman" w:cs="Times New Roman"/>
          <w:color w:val="auto"/>
        </w:rPr>
        <w:t>, the UK’s independent regulatory body responsible for matters regarding privacy and data protection, has offered its own views on how consent should be understood. Notably, in its 2017 guide to data protection, the ICO agrees that the DPD’s inclusion of the word “signify” means that an individual’s consent must be actively communicated if it is to be considered valid, and that valid consent cannot be inferred from a failure to communicate. It is also expressly stated that any consent obtained by way of duress or misrepresentations will not adequately satisfy the conditions for the processing of personal data.</w:t>
      </w:r>
      <w:bookmarkStart w:id="33" w:name="_Ref495072091"/>
      <w:r w:rsidRPr="00D52EFE">
        <w:rPr>
          <w:rFonts w:ascii="Times New Roman" w:eastAsia="Times New Roman" w:hAnsi="Times New Roman" w:cs="Times New Roman"/>
          <w:color w:val="auto"/>
          <w:vertAlign w:val="superscript"/>
        </w:rPr>
        <w:footnoteReference w:id="88"/>
      </w:r>
      <w:bookmarkEnd w:id="33"/>
      <w:r w:rsidRPr="00D52EFE">
        <w:rPr>
          <w:rFonts w:ascii="Times New Roman" w:eastAsia="Times New Roman" w:hAnsi="Times New Roman" w:cs="Times New Roman"/>
          <w:color w:val="auto"/>
        </w:rPr>
        <w:t xml:space="preserve"> The ICO also advises that an individual’s consent should be “absolutely clear”, and that it must at the very least cover the types of information to be processed, the purposes of any processing, and any special aspects of that processing that may affect the individuals whose personal data are involved.</w:t>
      </w:r>
      <w:r w:rsidRPr="00D52EFE">
        <w:rPr>
          <w:rFonts w:ascii="Times New Roman" w:eastAsia="Times New Roman" w:hAnsi="Times New Roman" w:cs="Times New Roman"/>
          <w:color w:val="auto"/>
          <w:vertAlign w:val="superscript"/>
        </w:rPr>
        <w:footnoteReference w:id="89"/>
      </w:r>
    </w:p>
    <w:p w14:paraId="11CFB51E" w14:textId="77777777" w:rsidR="00D70F60" w:rsidRPr="00D52EFE" w:rsidRDefault="00D70F60" w:rsidP="00C86397">
      <w:pPr>
        <w:rPr>
          <w:rFonts w:ascii="Times New Roman" w:eastAsia="Times New Roman" w:hAnsi="Times New Roman" w:cs="Times New Roman"/>
          <w:color w:val="auto"/>
        </w:rPr>
      </w:pPr>
    </w:p>
    <w:p w14:paraId="68640654"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Additional guidance as to the interpretation of consent can also be found in UK case law. In </w:t>
      </w:r>
      <w:r w:rsidRPr="00D52EFE">
        <w:rPr>
          <w:rFonts w:ascii="Times New Roman" w:eastAsia="Times New Roman" w:hAnsi="Times New Roman" w:cs="Times New Roman"/>
          <w:i/>
          <w:color w:val="auto"/>
        </w:rPr>
        <w:t>British Gas Trading v Data Protection Registrar</w:t>
      </w:r>
      <w:r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vertAlign w:val="superscript"/>
        </w:rPr>
        <w:footnoteReference w:id="90"/>
      </w:r>
      <w:r w:rsidRPr="00D52EFE">
        <w:rPr>
          <w:rFonts w:ascii="Times New Roman" w:eastAsia="Times New Roman" w:hAnsi="Times New Roman" w:cs="Times New Roman"/>
          <w:color w:val="auto"/>
        </w:rPr>
        <w:t xml:space="preserve"> for instance,</w:t>
      </w:r>
      <w:r w:rsidRPr="00D52EFE">
        <w:rPr>
          <w:rFonts w:ascii="Times New Roman" w:eastAsia="Times New Roman" w:hAnsi="Times New Roman" w:cs="Times New Roman"/>
          <w:i/>
          <w:color w:val="auto"/>
        </w:rPr>
        <w:t xml:space="preserve"> </w:t>
      </w:r>
      <w:r w:rsidRPr="00D52EFE">
        <w:rPr>
          <w:rFonts w:ascii="Times New Roman" w:eastAsia="Times New Roman" w:hAnsi="Times New Roman" w:cs="Times New Roman"/>
          <w:color w:val="auto"/>
        </w:rPr>
        <w:t xml:space="preserve">the British Data Protection Tribunal drew a distinction between new and existing customers of British Gas to determine when data protection law’s consent requirement would be satisfied. The Tribunal held that new customers of the company would be taken to have consented to their personal data being used for the purposes of advertising if </w:t>
      </w:r>
      <w:r w:rsidRPr="00D52EFE">
        <w:rPr>
          <w:rFonts w:ascii="Times New Roman" w:eastAsia="Times New Roman" w:hAnsi="Times New Roman" w:cs="Times New Roman"/>
          <w:color w:val="auto"/>
        </w:rPr>
        <w:lastRenderedPageBreak/>
        <w:t>they had the option to opt-out in the initial contract for service. In respect of already existing customers, however, it was held that a failure to return an opt-out form would not amount to true consent.</w:t>
      </w:r>
      <w:r w:rsidRPr="00D52EFE">
        <w:rPr>
          <w:rFonts w:ascii="Times New Roman" w:eastAsia="Times New Roman" w:hAnsi="Times New Roman" w:cs="Times New Roman"/>
          <w:color w:val="auto"/>
          <w:vertAlign w:val="superscript"/>
        </w:rPr>
        <w:footnoteReference w:id="91"/>
      </w:r>
      <w:r w:rsidRPr="00D52EFE">
        <w:rPr>
          <w:rFonts w:ascii="Times New Roman" w:eastAsia="Times New Roman" w:hAnsi="Times New Roman" w:cs="Times New Roman"/>
          <w:color w:val="auto"/>
        </w:rPr>
        <w:t xml:space="preserve"> Beyond providing enough information to the individual in order to allow them to express consent, in order for an individual’s consent to be considered validly obtained the individual from whom the consent is sought must also be afforded a reasonable opportunity to express their consent, or the lack thereof.</w:t>
      </w:r>
      <w:r w:rsidRPr="00D52EFE">
        <w:rPr>
          <w:rFonts w:ascii="Times New Roman" w:eastAsia="Times New Roman" w:hAnsi="Times New Roman" w:cs="Times New Roman"/>
          <w:color w:val="auto"/>
          <w:vertAlign w:val="superscript"/>
        </w:rPr>
        <w:footnoteReference w:id="92"/>
      </w:r>
    </w:p>
    <w:p w14:paraId="6053BAD3" w14:textId="77777777" w:rsidR="00D70F60" w:rsidRPr="00D52EFE" w:rsidRDefault="00D70F60" w:rsidP="00C86397">
      <w:pPr>
        <w:rPr>
          <w:rFonts w:ascii="Times New Roman" w:eastAsia="Times New Roman" w:hAnsi="Times New Roman" w:cs="Times New Roman"/>
          <w:color w:val="auto"/>
        </w:rPr>
      </w:pPr>
    </w:p>
    <w:p w14:paraId="07332997"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Outside of the field of data protection law, other UK cases have also provided some general guidance on the meaning of consent in other contexts, many of which correlate strongly with the abovementioned ICO guidance and data protection cases. As a general matter, it would appear, for instance, that in both criminal and civil law contexts for any consents to be considered valid the consenting individual must have been made fully aware of what it is to which they are giving their consent,</w:t>
      </w:r>
      <w:r w:rsidRPr="00D52EFE">
        <w:rPr>
          <w:rFonts w:ascii="Times New Roman" w:eastAsia="Times New Roman" w:hAnsi="Times New Roman" w:cs="Times New Roman"/>
          <w:color w:val="auto"/>
          <w:vertAlign w:val="superscript"/>
        </w:rPr>
        <w:footnoteReference w:id="93"/>
      </w:r>
      <w:r w:rsidRPr="00D52EFE">
        <w:rPr>
          <w:rFonts w:ascii="Times New Roman" w:eastAsia="Times New Roman" w:hAnsi="Times New Roman" w:cs="Times New Roman"/>
          <w:color w:val="auto"/>
        </w:rPr>
        <w:t xml:space="preserve"> and that valid consent cannot be obtained by way of duress nor expressed through entirely passive acquiescence.</w:t>
      </w:r>
      <w:r w:rsidRPr="00D52EFE">
        <w:rPr>
          <w:rFonts w:ascii="Times New Roman" w:eastAsia="Times New Roman" w:hAnsi="Times New Roman" w:cs="Times New Roman"/>
          <w:color w:val="auto"/>
          <w:vertAlign w:val="superscript"/>
        </w:rPr>
        <w:footnoteReference w:id="94"/>
      </w:r>
    </w:p>
    <w:p w14:paraId="50CF3FC6" w14:textId="77777777" w:rsidR="00D70F60" w:rsidRPr="00D52EFE" w:rsidRDefault="00D70F60" w:rsidP="00C86397">
      <w:pPr>
        <w:rPr>
          <w:rFonts w:ascii="Times New Roman" w:eastAsia="Times New Roman" w:hAnsi="Times New Roman" w:cs="Times New Roman"/>
          <w:color w:val="auto"/>
        </w:rPr>
      </w:pPr>
    </w:p>
    <w:p w14:paraId="39CE786E" w14:textId="529B2088"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Article 29 Working Party has on occasion given its advice on consent’s true meaning and how it should be understood in the data protection context. Notably, in its 2011 opinion on the definition of consent, </w:t>
      </w:r>
      <w:r w:rsidR="00C7563D" w:rsidRPr="00D52EFE">
        <w:rPr>
          <w:rFonts w:ascii="Times New Roman" w:eastAsia="Times New Roman" w:hAnsi="Times New Roman" w:cs="Times New Roman"/>
          <w:color w:val="auto"/>
        </w:rPr>
        <w:t>the Article 29 Working Party</w:t>
      </w:r>
      <w:r w:rsidR="009A7DC1"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t>examined the concept very closely, specifying several key criteria that must be met for an individual’s consent to be considered valid.</w:t>
      </w:r>
      <w:bookmarkStart w:id="34" w:name="_Ref495058897"/>
      <w:r w:rsidRPr="00D52EFE">
        <w:rPr>
          <w:rFonts w:ascii="Times New Roman" w:eastAsia="Times New Roman" w:hAnsi="Times New Roman" w:cs="Times New Roman"/>
          <w:color w:val="auto"/>
          <w:vertAlign w:val="superscript"/>
        </w:rPr>
        <w:footnoteReference w:id="95"/>
      </w:r>
      <w:bookmarkEnd w:id="34"/>
      <w:r w:rsidRPr="00D52EFE">
        <w:rPr>
          <w:rFonts w:ascii="Times New Roman" w:eastAsia="Times New Roman" w:hAnsi="Times New Roman" w:cs="Times New Roman"/>
          <w:color w:val="auto"/>
        </w:rPr>
        <w:t xml:space="preserve"> Notably, </w:t>
      </w:r>
      <w:r w:rsidR="00C7563D" w:rsidRPr="00D52EFE">
        <w:rPr>
          <w:rFonts w:ascii="Times New Roman" w:eastAsia="Times New Roman" w:hAnsi="Times New Roman" w:cs="Times New Roman"/>
          <w:color w:val="auto"/>
        </w:rPr>
        <w:t>the Article 29 Working Party</w:t>
      </w:r>
      <w:r w:rsidR="009A7DC1"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t>concluded that only statements or actions that unambiguously indicated an individual’s agreement would constitute valid consent. Whilst this did not specify whether consents must be “opt in” or “opt out”, the clear implication was that the complete inaction of the individual would never be enough to amount to genuine consent.</w:t>
      </w:r>
      <w:r w:rsidRPr="00D52EFE">
        <w:rPr>
          <w:rFonts w:ascii="Times New Roman" w:eastAsia="Times New Roman" w:hAnsi="Times New Roman" w:cs="Times New Roman"/>
          <w:color w:val="auto"/>
          <w:vertAlign w:val="superscript"/>
        </w:rPr>
        <w:footnoteReference w:id="96"/>
      </w:r>
      <w:r w:rsidRPr="00D52EFE">
        <w:rPr>
          <w:rFonts w:ascii="Times New Roman" w:eastAsia="Times New Roman" w:hAnsi="Times New Roman" w:cs="Times New Roman"/>
          <w:color w:val="auto"/>
        </w:rPr>
        <w:t xml:space="preserve"> Furthermore, it was made clear that for consent to be considered freely given, and therefore valid, notice must be provided to the individual in clear and understandable language prior to any process</w:t>
      </w:r>
      <w:r w:rsidR="00B60C47" w:rsidRPr="00D52EFE">
        <w:rPr>
          <w:rFonts w:ascii="Times New Roman" w:eastAsia="Times New Roman" w:hAnsi="Times New Roman" w:cs="Times New Roman"/>
          <w:color w:val="auto"/>
        </w:rPr>
        <w:t>ing of personal data occurring. Besides,</w:t>
      </w:r>
      <w:r w:rsidRPr="00D52EFE">
        <w:rPr>
          <w:rFonts w:ascii="Times New Roman" w:eastAsia="Times New Roman" w:hAnsi="Times New Roman" w:cs="Times New Roman"/>
          <w:color w:val="auto"/>
        </w:rPr>
        <w:t xml:space="preserve"> in the event of an individual withdrawing their consent the data controller must delete any personal data pertaining to that individual unless another legal basis that justifies the storing of that data can be identified.</w:t>
      </w:r>
      <w:r w:rsidRPr="00D52EFE">
        <w:rPr>
          <w:rFonts w:ascii="Times New Roman" w:eastAsia="Times New Roman" w:hAnsi="Times New Roman" w:cs="Times New Roman"/>
          <w:color w:val="auto"/>
          <w:vertAlign w:val="superscript"/>
        </w:rPr>
        <w:footnoteReference w:id="97"/>
      </w:r>
    </w:p>
    <w:p w14:paraId="59D626F7" w14:textId="77777777" w:rsidR="00365C3A" w:rsidRPr="00D52EFE" w:rsidRDefault="00365C3A" w:rsidP="00C86397">
      <w:pPr>
        <w:rPr>
          <w:rFonts w:ascii="Times New Roman" w:eastAsia="Times New Roman" w:hAnsi="Times New Roman" w:cs="Times New Roman"/>
          <w:color w:val="auto"/>
        </w:rPr>
      </w:pPr>
    </w:p>
    <w:p w14:paraId="40EEE436" w14:textId="77777777" w:rsidR="00D70F60" w:rsidRPr="00D52EFE" w:rsidRDefault="00D70F60" w:rsidP="00C86397">
      <w:pPr>
        <w:rPr>
          <w:rFonts w:ascii="Times New Roman" w:eastAsia="Times New Roman" w:hAnsi="Times New Roman" w:cs="Times New Roman"/>
          <w:b/>
          <w:color w:val="auto"/>
        </w:rPr>
      </w:pPr>
    </w:p>
    <w:p w14:paraId="27B5B3B3" w14:textId="75F88281" w:rsidR="00D70F60" w:rsidRPr="00D52EFE" w:rsidRDefault="007C694F" w:rsidP="007C694F">
      <w:pPr>
        <w:pStyle w:val="Heading3"/>
        <w:numPr>
          <w:ilvl w:val="0"/>
          <w:numId w:val="0"/>
        </w:numPr>
        <w:jc w:val="left"/>
        <w:rPr>
          <w:b/>
          <w:color w:val="auto"/>
          <w:sz w:val="22"/>
          <w:szCs w:val="22"/>
        </w:rPr>
      </w:pPr>
      <w:bookmarkStart w:id="35" w:name="_h7clpdj04p89" w:colFirst="0" w:colLast="0"/>
      <w:bookmarkStart w:id="36" w:name="_Toc495674478"/>
      <w:bookmarkEnd w:id="35"/>
      <w:r w:rsidRPr="00D52EFE">
        <w:rPr>
          <w:b/>
          <w:color w:val="auto"/>
          <w:sz w:val="22"/>
          <w:szCs w:val="22"/>
        </w:rPr>
        <w:t>3.3.</w:t>
      </w:r>
      <w:r w:rsidRPr="00D52EFE">
        <w:rPr>
          <w:b/>
          <w:color w:val="auto"/>
          <w:sz w:val="22"/>
          <w:szCs w:val="22"/>
        </w:rPr>
        <w:tab/>
      </w:r>
      <w:r w:rsidR="000B5581" w:rsidRPr="00D52EFE">
        <w:rPr>
          <w:b/>
          <w:color w:val="auto"/>
          <w:sz w:val="22"/>
          <w:szCs w:val="22"/>
        </w:rPr>
        <w:t>The General Data Protection Regulation</w:t>
      </w:r>
      <w:bookmarkEnd w:id="36"/>
    </w:p>
    <w:p w14:paraId="00BBA9D5" w14:textId="77777777" w:rsidR="00D70F60" w:rsidRPr="00D52EFE" w:rsidRDefault="00D70F60" w:rsidP="00C86397">
      <w:pPr>
        <w:rPr>
          <w:rFonts w:ascii="Times New Roman" w:eastAsia="Times New Roman" w:hAnsi="Times New Roman" w:cs="Times New Roman"/>
          <w:b/>
          <w:color w:val="auto"/>
        </w:rPr>
      </w:pPr>
    </w:p>
    <w:p w14:paraId="3A6EEEA7" w14:textId="1015D1D1"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G</w:t>
      </w:r>
      <w:r w:rsidR="00953BA6" w:rsidRPr="00D52EFE">
        <w:rPr>
          <w:rFonts w:ascii="Times New Roman" w:eastAsia="Times New Roman" w:hAnsi="Times New Roman" w:cs="Times New Roman"/>
          <w:color w:val="auto"/>
        </w:rPr>
        <w:t>DPR</w:t>
      </w:r>
      <w:r w:rsidRPr="00D52EFE">
        <w:rPr>
          <w:rFonts w:ascii="Times New Roman" w:eastAsia="Times New Roman" w:hAnsi="Times New Roman" w:cs="Times New Roman"/>
          <w:color w:val="auto"/>
        </w:rPr>
        <w:t xml:space="preserve"> has been drafted as </w:t>
      </w:r>
      <w:r w:rsidR="00FD666F" w:rsidRPr="00D52EFE">
        <w:rPr>
          <w:rFonts w:ascii="Times New Roman" w:eastAsia="Times New Roman" w:hAnsi="Times New Roman" w:cs="Times New Roman"/>
          <w:color w:val="auto"/>
        </w:rPr>
        <w:t>a means of bringing the EU</w:t>
      </w:r>
      <w:r w:rsidRPr="00D52EFE">
        <w:rPr>
          <w:rFonts w:ascii="Times New Roman" w:eastAsia="Times New Roman" w:hAnsi="Times New Roman" w:cs="Times New Roman"/>
          <w:color w:val="auto"/>
        </w:rPr>
        <w:t xml:space="preserve"> data protection framework into alignment with contemporary data-handling practices and will be directly applicable and binding in full on all EU Member States from May 2018. Despite “Brexit”, and the UK setting a course to leave the EU, the UK Government has confirmed it still intends to implement the substantive terms of the GDPR.</w:t>
      </w:r>
      <w:r w:rsidRPr="00D52EFE">
        <w:rPr>
          <w:rFonts w:ascii="Times New Roman" w:eastAsia="Times New Roman" w:hAnsi="Times New Roman" w:cs="Times New Roman"/>
          <w:color w:val="auto"/>
          <w:vertAlign w:val="superscript"/>
        </w:rPr>
        <w:footnoteReference w:id="98"/>
      </w:r>
      <w:r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lastRenderedPageBreak/>
        <w:t>The upshot of this is that to from May 2018 at the latest the DPA will no longer apply and, to all intents and purposes, will effectively be replaced in its entirety by the GDPR</w:t>
      </w:r>
      <w:r w:rsidR="00CA1CA7" w:rsidRPr="00D52EFE">
        <w:rPr>
          <w:rFonts w:ascii="Times New Roman" w:eastAsia="Times New Roman" w:hAnsi="Times New Roman" w:cs="Times New Roman"/>
          <w:color w:val="auto"/>
        </w:rPr>
        <w:t xml:space="preserve"> and complementary national legislation</w:t>
      </w:r>
      <w:r w:rsidRPr="00D52EFE">
        <w:rPr>
          <w:rFonts w:ascii="Times New Roman" w:eastAsia="Times New Roman" w:hAnsi="Times New Roman" w:cs="Times New Roman"/>
          <w:color w:val="auto"/>
        </w:rPr>
        <w:t>. Significantly, for the purposes of this article, the GDPR retains the consent of the individual as a legitimising ground for the processing of personal data,</w:t>
      </w:r>
      <w:r w:rsidRPr="00D52EFE">
        <w:rPr>
          <w:rFonts w:ascii="Times New Roman" w:eastAsia="Times New Roman" w:hAnsi="Times New Roman" w:cs="Times New Roman"/>
          <w:color w:val="auto"/>
          <w:vertAlign w:val="superscript"/>
        </w:rPr>
        <w:footnoteReference w:id="99"/>
      </w:r>
      <w:r w:rsidRPr="00D52EFE">
        <w:rPr>
          <w:rFonts w:ascii="Times New Roman" w:eastAsia="Times New Roman" w:hAnsi="Times New Roman" w:cs="Times New Roman"/>
          <w:color w:val="auto"/>
        </w:rPr>
        <w:t xml:space="preserve"> but contains a revised, and apparently narrower, definition of consent</w:t>
      </w:r>
      <w:r w:rsidR="00CA1CA7"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which differs from its DPD equivalent. Specifically, the GDPR defines consent as:</w:t>
      </w:r>
    </w:p>
    <w:p w14:paraId="4CC63ED5" w14:textId="77777777" w:rsidR="00D70F60" w:rsidRPr="00D52EFE" w:rsidRDefault="00D70F60" w:rsidP="00C86397">
      <w:pPr>
        <w:rPr>
          <w:rFonts w:ascii="Times New Roman" w:eastAsia="Times New Roman" w:hAnsi="Times New Roman" w:cs="Times New Roman"/>
          <w:color w:val="auto"/>
        </w:rPr>
      </w:pPr>
    </w:p>
    <w:p w14:paraId="6C653F3A" w14:textId="2C654198" w:rsidR="00D70F60" w:rsidRPr="00D52EFE" w:rsidRDefault="00667310" w:rsidP="00C86397">
      <w:pPr>
        <w:ind w:left="1134"/>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 </w:t>
      </w:r>
      <w:r w:rsidR="000B5581" w:rsidRPr="00D52EFE">
        <w:rPr>
          <w:rFonts w:ascii="Times New Roman" w:eastAsia="Times New Roman" w:hAnsi="Times New Roman" w:cs="Times New Roman"/>
          <w:color w:val="auto"/>
        </w:rPr>
        <w:t>…</w:t>
      </w:r>
      <w:r w:rsidR="000B5581" w:rsidRPr="00D52EFE">
        <w:rPr>
          <w:rFonts w:ascii="Times New Roman" w:eastAsia="Times New Roman" w:hAnsi="Times New Roman" w:cs="Times New Roman"/>
          <w:i/>
          <w:color w:val="auto"/>
        </w:rPr>
        <w:t>any freely given, specific, informed and unambiguous indication of the data subject’s wishes by which he or she, by a statement or by a clear affirmative action, signifies agreement to the processing of personal data relating to him or her.</w:t>
      </w:r>
      <w:r w:rsidR="000B5581" w:rsidRPr="00D52EFE">
        <w:rPr>
          <w:rFonts w:ascii="Times New Roman" w:eastAsia="Times New Roman" w:hAnsi="Times New Roman" w:cs="Times New Roman"/>
          <w:color w:val="auto"/>
          <w:vertAlign w:val="superscript"/>
        </w:rPr>
        <w:footnoteReference w:id="100"/>
      </w:r>
    </w:p>
    <w:p w14:paraId="033789B6" w14:textId="77777777" w:rsidR="00D70F60" w:rsidRPr="00D52EFE" w:rsidRDefault="00D70F60" w:rsidP="00C86397">
      <w:pPr>
        <w:ind w:left="720"/>
        <w:rPr>
          <w:rFonts w:ascii="Times New Roman" w:eastAsia="Times New Roman" w:hAnsi="Times New Roman" w:cs="Times New Roman"/>
          <w:color w:val="auto"/>
        </w:rPr>
      </w:pPr>
    </w:p>
    <w:p w14:paraId="04AAC57E"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Upon first inspection, the GDPR makes no material change to the general principle that consent is one way in which the processing of personal data can be given a lawful basis and legitimised. However, if one is to analyse the GDPR’s provisions relating to consent more thoroughly, particularly its recitals, it quickly becomes apparent that the GDPR makes it considerably more difficult for data controllers to obtain valid consent than is the case currently under the DPD or DPA.</w:t>
      </w:r>
    </w:p>
    <w:p w14:paraId="266712FF" w14:textId="77777777" w:rsidR="00D70F60" w:rsidRPr="00D52EFE" w:rsidRDefault="00D70F60" w:rsidP="00C86397">
      <w:pPr>
        <w:rPr>
          <w:rFonts w:ascii="Times New Roman" w:eastAsia="Times New Roman" w:hAnsi="Times New Roman" w:cs="Times New Roman"/>
          <w:color w:val="auto"/>
        </w:rPr>
      </w:pPr>
    </w:p>
    <w:p w14:paraId="5B508F27"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In Recital 32, for instance, it is specified that consent can be expressed by:</w:t>
      </w:r>
    </w:p>
    <w:p w14:paraId="2D7C2A7A" w14:textId="77777777" w:rsidR="00667310" w:rsidRPr="00D52EFE" w:rsidRDefault="00667310" w:rsidP="00C86397">
      <w:pPr>
        <w:rPr>
          <w:rFonts w:ascii="Times New Roman" w:eastAsia="Times New Roman" w:hAnsi="Times New Roman" w:cs="Times New Roman"/>
          <w:color w:val="auto"/>
        </w:rPr>
      </w:pPr>
    </w:p>
    <w:p w14:paraId="3C90A38C" w14:textId="7E736F27" w:rsidR="00D70F60" w:rsidRPr="00D52EFE" w:rsidRDefault="000B5581" w:rsidP="00C86397">
      <w:pPr>
        <w:ind w:left="1134"/>
        <w:rPr>
          <w:rFonts w:ascii="Times New Roman" w:eastAsia="Times New Roman" w:hAnsi="Times New Roman" w:cs="Times New Roman"/>
          <w:color w:val="auto"/>
        </w:rPr>
      </w:pPr>
      <w:r w:rsidRPr="00D52EFE">
        <w:rPr>
          <w:rFonts w:ascii="Times New Roman" w:eastAsia="Times New Roman" w:hAnsi="Times New Roman" w:cs="Times New Roman"/>
          <w:color w:val="auto"/>
        </w:rPr>
        <w:t>…</w:t>
      </w:r>
      <w:r w:rsidRPr="00D52EFE">
        <w:rPr>
          <w:rFonts w:ascii="Times New Roman" w:eastAsia="Times New Roman" w:hAnsi="Times New Roman" w:cs="Times New Roman"/>
          <w:i/>
          <w:color w:val="auto"/>
        </w:rPr>
        <w:t>a written statement, including electronic means, or an oral statement. This could include ticking a box when visiting an internet website, choosing technical settings for information society services, or another statement or conduct which clearly indicates the data subject’s acceptance of the proposed processing of his or her personal data</w:t>
      </w:r>
      <w:r w:rsidR="00667310" w:rsidRPr="00D52EFE">
        <w:rPr>
          <w:rFonts w:ascii="Times New Roman" w:eastAsia="Times New Roman" w:hAnsi="Times New Roman" w:cs="Times New Roman"/>
          <w:color w:val="auto"/>
        </w:rPr>
        <w:t>.</w:t>
      </w:r>
    </w:p>
    <w:p w14:paraId="13DF01E3" w14:textId="77777777" w:rsidR="00D70F60" w:rsidRPr="00D52EFE" w:rsidRDefault="00D70F60" w:rsidP="00C86397">
      <w:pPr>
        <w:ind w:left="720"/>
        <w:rPr>
          <w:rFonts w:ascii="Times New Roman" w:eastAsia="Times New Roman" w:hAnsi="Times New Roman" w:cs="Times New Roman"/>
          <w:color w:val="auto"/>
        </w:rPr>
      </w:pPr>
    </w:p>
    <w:p w14:paraId="671CB3BD" w14:textId="09BCA3A0"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It is also made c</w:t>
      </w:r>
      <w:r w:rsidR="00667310" w:rsidRPr="00D52EFE">
        <w:rPr>
          <w:rFonts w:ascii="Times New Roman" w:eastAsia="Times New Roman" w:hAnsi="Times New Roman" w:cs="Times New Roman"/>
          <w:color w:val="auto"/>
        </w:rPr>
        <w:t xml:space="preserve">lear in Recital 32 that </w:t>
      </w:r>
      <w:r w:rsidRPr="00D52EFE">
        <w:rPr>
          <w:rFonts w:ascii="Times New Roman" w:eastAsia="Times New Roman" w:hAnsi="Times New Roman" w:cs="Times New Roman"/>
          <w:color w:val="auto"/>
        </w:rPr>
        <w:t>“</w:t>
      </w:r>
      <w:r w:rsidR="00667310" w:rsidRPr="00D52EFE">
        <w:rPr>
          <w:rFonts w:ascii="Times New Roman" w:eastAsia="Times New Roman" w:hAnsi="Times New Roman" w:cs="Times New Roman"/>
          <w:color w:val="auto"/>
        </w:rPr>
        <w:t>[s]</w:t>
      </w:r>
      <w:r w:rsidRPr="00D52EFE">
        <w:rPr>
          <w:rFonts w:ascii="Times New Roman" w:eastAsia="Times New Roman" w:hAnsi="Times New Roman" w:cs="Times New Roman"/>
          <w:i/>
          <w:color w:val="auto"/>
        </w:rPr>
        <w:t>ilence, pre-ticked boxes, inactivity, a failure to opt-out, or passive acquiescence do not constitute valid consent.</w:t>
      </w:r>
      <w:r w:rsidRPr="00D52EFE">
        <w:rPr>
          <w:rFonts w:ascii="Times New Roman" w:eastAsia="Times New Roman" w:hAnsi="Times New Roman" w:cs="Times New Roman"/>
          <w:color w:val="auto"/>
        </w:rPr>
        <w:t>”</w:t>
      </w:r>
    </w:p>
    <w:p w14:paraId="532843AF" w14:textId="77777777" w:rsidR="00D70F60" w:rsidRPr="00D52EFE" w:rsidRDefault="00D70F60" w:rsidP="00C86397">
      <w:pPr>
        <w:ind w:left="720"/>
        <w:rPr>
          <w:rFonts w:ascii="Times New Roman" w:eastAsia="Times New Roman" w:hAnsi="Times New Roman" w:cs="Times New Roman"/>
          <w:color w:val="auto"/>
        </w:rPr>
      </w:pPr>
    </w:p>
    <w:p w14:paraId="6DADB134" w14:textId="77777777" w:rsidR="00667310" w:rsidRPr="00D52EFE" w:rsidRDefault="00667310"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Recital 42 then states that </w:t>
      </w:r>
    </w:p>
    <w:p w14:paraId="6E4ED3BD" w14:textId="77777777" w:rsidR="00667310" w:rsidRPr="00D52EFE" w:rsidRDefault="00667310" w:rsidP="00C86397">
      <w:pPr>
        <w:rPr>
          <w:rFonts w:ascii="Times New Roman" w:eastAsia="Times New Roman" w:hAnsi="Times New Roman" w:cs="Times New Roman"/>
          <w:color w:val="auto"/>
        </w:rPr>
      </w:pPr>
    </w:p>
    <w:p w14:paraId="4653D4C2" w14:textId="3B740E21" w:rsidR="00D70F60" w:rsidRPr="00D52EFE" w:rsidRDefault="00667310" w:rsidP="00C86397">
      <w:pPr>
        <w:pStyle w:val="ListParagraph"/>
        <w:numPr>
          <w:ilvl w:val="0"/>
          <w:numId w:val="12"/>
        </w:numPr>
        <w:rPr>
          <w:rFonts w:ascii="Times New Roman" w:eastAsia="Times New Roman" w:hAnsi="Times New Roman" w:cs="Times New Roman"/>
          <w:color w:val="auto"/>
        </w:rPr>
      </w:pPr>
      <w:r w:rsidRPr="00D52EFE">
        <w:rPr>
          <w:rFonts w:ascii="Times New Roman" w:eastAsia="Times New Roman" w:hAnsi="Times New Roman" w:cs="Times New Roman"/>
          <w:color w:val="auto"/>
        </w:rPr>
        <w:t>“[w]</w:t>
      </w:r>
      <w:r w:rsidR="000B5581" w:rsidRPr="00D52EFE">
        <w:rPr>
          <w:rFonts w:ascii="Times New Roman" w:eastAsia="Times New Roman" w:hAnsi="Times New Roman" w:cs="Times New Roman"/>
          <w:i/>
          <w:color w:val="auto"/>
        </w:rPr>
        <w:t>here processing is based on the data subject’s consent, the controller should be able to demonstrate that the data subject has given consent to the processing operation.</w:t>
      </w:r>
      <w:r w:rsidR="000B5581" w:rsidRPr="00D52EFE">
        <w:rPr>
          <w:rFonts w:ascii="Times New Roman" w:eastAsia="Times New Roman" w:hAnsi="Times New Roman" w:cs="Times New Roman"/>
          <w:color w:val="auto"/>
        </w:rPr>
        <w:t>”</w:t>
      </w:r>
    </w:p>
    <w:p w14:paraId="1915E8E6" w14:textId="77777777" w:rsidR="00D70F60" w:rsidRPr="00D52EFE" w:rsidRDefault="00D70F60" w:rsidP="00C86397">
      <w:pPr>
        <w:ind w:left="720"/>
        <w:rPr>
          <w:rFonts w:ascii="Times New Roman" w:eastAsia="Times New Roman" w:hAnsi="Times New Roman" w:cs="Times New Roman"/>
          <w:color w:val="auto"/>
        </w:rPr>
      </w:pPr>
    </w:p>
    <w:p w14:paraId="76AE164B" w14:textId="3015979C" w:rsidR="00D70F60" w:rsidRPr="00D52EFE" w:rsidRDefault="000B5581" w:rsidP="00C86397">
      <w:pPr>
        <w:pStyle w:val="ListParagraph"/>
        <w:numPr>
          <w:ilvl w:val="0"/>
          <w:numId w:val="12"/>
        </w:numPr>
        <w:rPr>
          <w:rFonts w:ascii="Times New Roman" w:eastAsia="Times New Roman" w:hAnsi="Times New Roman" w:cs="Times New Roman"/>
          <w:color w:val="auto"/>
        </w:rPr>
      </w:pPr>
      <w:r w:rsidRPr="00D52EFE">
        <w:rPr>
          <w:rFonts w:ascii="Times New Roman" w:eastAsia="Times New Roman" w:hAnsi="Times New Roman" w:cs="Times New Roman"/>
          <w:color w:val="auto"/>
        </w:rPr>
        <w:t>“</w:t>
      </w:r>
      <w:r w:rsidRPr="00D52EFE">
        <w:rPr>
          <w:rFonts w:ascii="Times New Roman" w:eastAsia="Times New Roman" w:hAnsi="Times New Roman" w:cs="Times New Roman"/>
          <w:i/>
          <w:color w:val="auto"/>
        </w:rPr>
        <w:t>Consent should not be regarded as freely given if the data subject has no genuine or free choice or is unable to refuse or withdraw consent without detriment.</w:t>
      </w:r>
      <w:r w:rsidRPr="00D52EFE">
        <w:rPr>
          <w:rFonts w:ascii="Times New Roman" w:eastAsia="Times New Roman" w:hAnsi="Times New Roman" w:cs="Times New Roman"/>
          <w:color w:val="auto"/>
        </w:rPr>
        <w:t>”</w:t>
      </w:r>
    </w:p>
    <w:p w14:paraId="0F9A3143" w14:textId="77777777" w:rsidR="00D70F60" w:rsidRPr="00D52EFE" w:rsidRDefault="00D70F60" w:rsidP="00C86397">
      <w:pPr>
        <w:ind w:left="720"/>
        <w:rPr>
          <w:rFonts w:ascii="Times New Roman" w:eastAsia="Times New Roman" w:hAnsi="Times New Roman" w:cs="Times New Roman"/>
          <w:color w:val="auto"/>
        </w:rPr>
      </w:pPr>
    </w:p>
    <w:p w14:paraId="7838BFE7" w14:textId="7A2EEE08" w:rsidR="00D70F60" w:rsidRPr="00D52EFE" w:rsidRDefault="000B5581" w:rsidP="00C86397">
      <w:pPr>
        <w:pStyle w:val="ListParagraph"/>
        <w:numPr>
          <w:ilvl w:val="0"/>
          <w:numId w:val="12"/>
        </w:numPr>
        <w:rPr>
          <w:rFonts w:ascii="Times New Roman" w:eastAsia="Times New Roman" w:hAnsi="Times New Roman" w:cs="Times New Roman"/>
          <w:color w:val="auto"/>
        </w:rPr>
      </w:pPr>
      <w:r w:rsidRPr="00D52EFE">
        <w:rPr>
          <w:rFonts w:ascii="Times New Roman" w:eastAsia="Times New Roman" w:hAnsi="Times New Roman" w:cs="Times New Roman"/>
          <w:color w:val="auto"/>
        </w:rPr>
        <w:t>“…</w:t>
      </w:r>
      <w:r w:rsidRPr="00D52EFE">
        <w:rPr>
          <w:rFonts w:ascii="Times New Roman" w:eastAsia="Times New Roman" w:hAnsi="Times New Roman" w:cs="Times New Roman"/>
          <w:i/>
          <w:color w:val="auto"/>
        </w:rPr>
        <w:t>a declaration of consent preformulated by the controller should be provided in an intelligible and easily accessible form, using clear and plain language and it should not contain unfair terms</w:t>
      </w:r>
      <w:r w:rsidRPr="00D52EFE">
        <w:rPr>
          <w:rFonts w:ascii="Times New Roman" w:eastAsia="Times New Roman" w:hAnsi="Times New Roman" w:cs="Times New Roman"/>
          <w:color w:val="auto"/>
        </w:rPr>
        <w:t>.”</w:t>
      </w:r>
    </w:p>
    <w:p w14:paraId="2F68B5E3" w14:textId="77777777" w:rsidR="00667310" w:rsidRPr="00D52EFE" w:rsidRDefault="00667310" w:rsidP="00C86397">
      <w:pPr>
        <w:pStyle w:val="ListParagraph"/>
        <w:rPr>
          <w:rFonts w:ascii="Times New Roman" w:eastAsia="Times New Roman" w:hAnsi="Times New Roman" w:cs="Times New Roman"/>
          <w:color w:val="auto"/>
        </w:rPr>
      </w:pPr>
    </w:p>
    <w:p w14:paraId="3E479E6F" w14:textId="33345C59" w:rsidR="00D70F60" w:rsidRPr="00D52EFE" w:rsidRDefault="000B5581" w:rsidP="00C86397">
      <w:pPr>
        <w:pStyle w:val="ListParagraph"/>
        <w:numPr>
          <w:ilvl w:val="0"/>
          <w:numId w:val="12"/>
        </w:numPr>
        <w:rPr>
          <w:rFonts w:ascii="Times New Roman" w:eastAsia="Times New Roman" w:hAnsi="Times New Roman" w:cs="Times New Roman"/>
          <w:color w:val="auto"/>
        </w:rPr>
      </w:pPr>
      <w:r w:rsidRPr="00D52EFE">
        <w:rPr>
          <w:rFonts w:ascii="Times New Roman" w:eastAsia="Times New Roman" w:hAnsi="Times New Roman" w:cs="Times New Roman"/>
          <w:color w:val="auto"/>
        </w:rPr>
        <w:t>“</w:t>
      </w:r>
      <w:r w:rsidRPr="00D52EFE">
        <w:rPr>
          <w:rFonts w:ascii="Times New Roman" w:eastAsia="Times New Roman" w:hAnsi="Times New Roman" w:cs="Times New Roman"/>
          <w:i/>
          <w:color w:val="auto"/>
        </w:rPr>
        <w:t>For consent to be informed, the data subject should be aware at least of the identity of the controller and the purposes of the processing for which the personal data are intended.</w:t>
      </w:r>
      <w:r w:rsidRPr="00D52EFE">
        <w:rPr>
          <w:rFonts w:ascii="Times New Roman" w:eastAsia="Times New Roman" w:hAnsi="Times New Roman" w:cs="Times New Roman"/>
          <w:color w:val="auto"/>
        </w:rPr>
        <w:t>”</w:t>
      </w:r>
    </w:p>
    <w:p w14:paraId="5C95DE44" w14:textId="77777777" w:rsidR="00D70F60" w:rsidRPr="00D52EFE" w:rsidRDefault="00D70F60" w:rsidP="00C86397">
      <w:pPr>
        <w:ind w:left="720"/>
        <w:rPr>
          <w:rFonts w:ascii="Times New Roman" w:eastAsia="Times New Roman" w:hAnsi="Times New Roman" w:cs="Times New Roman"/>
          <w:color w:val="auto"/>
        </w:rPr>
      </w:pPr>
    </w:p>
    <w:p w14:paraId="7C7CBDA7"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Recital 43 further specifies that:</w:t>
      </w:r>
    </w:p>
    <w:p w14:paraId="58849F89" w14:textId="77777777" w:rsidR="00D70F60" w:rsidRPr="00D52EFE" w:rsidRDefault="00D70F60" w:rsidP="00C86397">
      <w:pPr>
        <w:rPr>
          <w:rFonts w:ascii="Times New Roman" w:eastAsia="Times New Roman" w:hAnsi="Times New Roman" w:cs="Times New Roman"/>
          <w:color w:val="auto"/>
        </w:rPr>
      </w:pPr>
    </w:p>
    <w:p w14:paraId="72E92BF3" w14:textId="5665F9AA" w:rsidR="00D70F60" w:rsidRPr="00D52EFE" w:rsidRDefault="000B5581" w:rsidP="00C86397">
      <w:pPr>
        <w:ind w:left="1134"/>
        <w:rPr>
          <w:rFonts w:ascii="Times New Roman" w:eastAsia="Times New Roman" w:hAnsi="Times New Roman" w:cs="Times New Roman"/>
          <w:color w:val="auto"/>
        </w:rPr>
      </w:pPr>
      <w:r w:rsidRPr="00D52EFE">
        <w:rPr>
          <w:rFonts w:ascii="Times New Roman" w:eastAsia="Times New Roman" w:hAnsi="Times New Roman" w:cs="Times New Roman"/>
          <w:i/>
          <w:color w:val="auto"/>
        </w:rPr>
        <w:lastRenderedPageBreak/>
        <w:t>In order to ensure that consent is freely given, consent should not provide a valid legal ground for the processing of personal data in a specific case where there is a clear imbalance between the data subject and the controller, in particular where the controller is a public authority…</w:t>
      </w:r>
    </w:p>
    <w:p w14:paraId="7647F9AB" w14:textId="77777777" w:rsidR="00D70F60" w:rsidRPr="00D52EFE" w:rsidRDefault="00D70F60" w:rsidP="00C86397">
      <w:pPr>
        <w:ind w:left="720"/>
        <w:rPr>
          <w:rFonts w:ascii="Times New Roman" w:eastAsia="Times New Roman" w:hAnsi="Times New Roman" w:cs="Times New Roman"/>
          <w:color w:val="auto"/>
        </w:rPr>
      </w:pPr>
    </w:p>
    <w:p w14:paraId="424200A5"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From this overview of the GDPR’s provisions relating to consent, we can identify several notable ways in which obtaining valid consent is a more demanding task under the GDPR than is presently the case under the DPD. This is something that has been acknowledged in the data protection literature, with various observers noting the GDPR’s stricter consent requirements.</w:t>
      </w:r>
      <w:r w:rsidRPr="00D52EFE">
        <w:rPr>
          <w:rFonts w:ascii="Times New Roman" w:eastAsia="Times New Roman" w:hAnsi="Times New Roman" w:cs="Times New Roman"/>
          <w:color w:val="auto"/>
          <w:vertAlign w:val="superscript"/>
        </w:rPr>
        <w:footnoteReference w:id="101"/>
      </w:r>
    </w:p>
    <w:p w14:paraId="791F8697" w14:textId="77777777" w:rsidR="00D70F60" w:rsidRPr="00D52EFE" w:rsidRDefault="00D70F60" w:rsidP="00C86397">
      <w:pPr>
        <w:rPr>
          <w:rFonts w:ascii="Times New Roman" w:eastAsia="Times New Roman" w:hAnsi="Times New Roman" w:cs="Times New Roman"/>
          <w:color w:val="auto"/>
        </w:rPr>
      </w:pPr>
    </w:p>
    <w:p w14:paraId="497B4817"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first obvious difference between the GDPR and the DPD is the fact that whilst under the DPD the data subject is required to “signify” their consent for it to be considered valid, under the GDPR the data subject will be required to express their consent by way of a “statement or clear affirmative action”. The obvious implication of this being that future consents must be obtained on an “opt-in”, rather than “opt-out”, basis if they are to be considered valid.</w:t>
      </w:r>
    </w:p>
    <w:p w14:paraId="1989704D" w14:textId="77777777" w:rsidR="00D70F60" w:rsidRPr="00D52EFE" w:rsidRDefault="00D70F60" w:rsidP="00C86397">
      <w:pPr>
        <w:rPr>
          <w:rFonts w:ascii="Times New Roman" w:eastAsia="Times New Roman" w:hAnsi="Times New Roman" w:cs="Times New Roman"/>
          <w:color w:val="auto"/>
        </w:rPr>
      </w:pPr>
    </w:p>
    <w:p w14:paraId="48A5FA90" w14:textId="0288F6FA"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Secondly, whilst the DPD sheds very little light on the meaning of the phrase “freely given”, with most guidance in relation to this term coming in the form of Article 29 Working Party opinions, the GDPR makes it considerably more challenging for data controllers to demonstrate that any consents obtained have been given freely. In particular, as noted above, under the GDPR data controllers are obliged to ensure that all data subjects have a “genuine choice” in respect of any prospective consent transact</w:t>
      </w:r>
      <w:r w:rsidR="00B60C47" w:rsidRPr="00D52EFE">
        <w:rPr>
          <w:rFonts w:ascii="Times New Roman" w:eastAsia="Times New Roman" w:hAnsi="Times New Roman" w:cs="Times New Roman"/>
          <w:color w:val="auto"/>
        </w:rPr>
        <w:t>ions to which they are subject. In addition, it is presumed</w:t>
      </w:r>
      <w:r w:rsidRPr="00D52EFE">
        <w:rPr>
          <w:rFonts w:ascii="Times New Roman" w:eastAsia="Times New Roman" w:hAnsi="Times New Roman" w:cs="Times New Roman"/>
          <w:color w:val="auto"/>
        </w:rPr>
        <w:t xml:space="preserve"> that consents cannot be freely given, and therefore cannot form the legal basis for the processing of personal data, where there is a clear imbalance between the data subject and the data controller.</w:t>
      </w:r>
    </w:p>
    <w:p w14:paraId="228A2FD2" w14:textId="77777777" w:rsidR="00D70F60" w:rsidRPr="00D52EFE" w:rsidRDefault="00D70F60" w:rsidP="00C86397">
      <w:pPr>
        <w:rPr>
          <w:rFonts w:ascii="Times New Roman" w:eastAsia="Times New Roman" w:hAnsi="Times New Roman" w:cs="Times New Roman"/>
          <w:color w:val="auto"/>
        </w:rPr>
      </w:pPr>
    </w:p>
    <w:p w14:paraId="2A594609" w14:textId="0F191E9D"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From the text of the GDPR itself, it is not immediately obvious what is meant by the term “imbalance”. Some guidance as to its meaning can be found, however, in the recently published ICO draft guidance on the GDPR’s consent requirements.</w:t>
      </w:r>
      <w:bookmarkStart w:id="37" w:name="_Ref495061374"/>
      <w:r w:rsidRPr="00D52EFE">
        <w:rPr>
          <w:rFonts w:ascii="Times New Roman" w:eastAsia="Times New Roman" w:hAnsi="Times New Roman" w:cs="Times New Roman"/>
          <w:color w:val="auto"/>
          <w:vertAlign w:val="superscript"/>
        </w:rPr>
        <w:footnoteReference w:id="102"/>
      </w:r>
      <w:bookmarkEnd w:id="37"/>
      <w:r w:rsidRPr="00D52EFE">
        <w:rPr>
          <w:rFonts w:ascii="Times New Roman" w:eastAsia="Times New Roman" w:hAnsi="Times New Roman" w:cs="Times New Roman"/>
          <w:color w:val="auto"/>
        </w:rPr>
        <w:t xml:space="preserve"> Particularly, the ICO advises that an imbalance of power will exist when an individual is reliant on another party for the provision of services, or fears adverse consequences linked to the withdrawal of those services, and feels they have no choice but to agree to whatever terms the services provider offers. Specifically, the ICO notes that relationships between employers and employees, as well as relationships between individuals and public authorities, are those in which a clear imbalance of power is likely to exist between the involved parties.</w:t>
      </w:r>
      <w:r w:rsidRPr="00D52EFE">
        <w:rPr>
          <w:rFonts w:ascii="Times New Roman" w:eastAsia="Times New Roman" w:hAnsi="Times New Roman" w:cs="Times New Roman"/>
          <w:color w:val="auto"/>
          <w:vertAlign w:val="superscript"/>
        </w:rPr>
        <w:footnoteReference w:id="103"/>
      </w:r>
      <w:r w:rsidRPr="00D52EFE">
        <w:rPr>
          <w:rFonts w:ascii="Times New Roman" w:eastAsia="Times New Roman" w:hAnsi="Times New Roman" w:cs="Times New Roman"/>
          <w:color w:val="auto"/>
        </w:rPr>
        <w:t xml:space="preserve"> In other words, it would appear</w:t>
      </w:r>
      <w:r w:rsidR="00F10223" w:rsidRPr="00D52EFE">
        <w:rPr>
          <w:rFonts w:ascii="Times New Roman" w:eastAsia="Times New Roman" w:hAnsi="Times New Roman" w:cs="Times New Roman"/>
          <w:color w:val="auto"/>
        </w:rPr>
        <w:t xml:space="preserve"> that an imbalance of power could</w:t>
      </w:r>
      <w:r w:rsidRPr="00D52EFE">
        <w:rPr>
          <w:rFonts w:ascii="Times New Roman" w:eastAsia="Times New Roman" w:hAnsi="Times New Roman" w:cs="Times New Roman"/>
          <w:color w:val="auto"/>
        </w:rPr>
        <w:t xml:space="preserve"> be present where there is an observable inequality of bargaining power between two or more parties, due to the level of influence one has over the other.</w:t>
      </w:r>
      <w:r w:rsidRPr="00D52EFE">
        <w:rPr>
          <w:rFonts w:ascii="Times New Roman" w:eastAsia="Times New Roman" w:hAnsi="Times New Roman" w:cs="Times New Roman"/>
          <w:color w:val="auto"/>
          <w:vertAlign w:val="superscript"/>
        </w:rPr>
        <w:footnoteReference w:id="104"/>
      </w:r>
      <w:r w:rsidRPr="00D52EFE">
        <w:rPr>
          <w:rFonts w:ascii="Times New Roman" w:eastAsia="Times New Roman" w:hAnsi="Times New Roman" w:cs="Times New Roman"/>
          <w:color w:val="auto"/>
        </w:rPr>
        <w:t xml:space="preserve"> It would therefore appear that the notion of “imbalance” in the immediate context is comparable to its usage in other areas of EU law, notably those </w:t>
      </w:r>
      <w:r w:rsidR="00F10223" w:rsidRPr="00D52EFE">
        <w:rPr>
          <w:rFonts w:ascii="Times New Roman" w:eastAsia="Times New Roman" w:hAnsi="Times New Roman" w:cs="Times New Roman"/>
          <w:color w:val="auto"/>
        </w:rPr>
        <w:t>that</w:t>
      </w:r>
      <w:r w:rsidRPr="00D52EFE">
        <w:rPr>
          <w:rFonts w:ascii="Times New Roman" w:eastAsia="Times New Roman" w:hAnsi="Times New Roman" w:cs="Times New Roman"/>
          <w:color w:val="auto"/>
        </w:rPr>
        <w:t xml:space="preserve"> deal </w:t>
      </w:r>
      <w:r w:rsidRPr="00D52EFE">
        <w:rPr>
          <w:rFonts w:ascii="Times New Roman" w:eastAsia="Times New Roman" w:hAnsi="Times New Roman" w:cs="Times New Roman"/>
          <w:color w:val="auto"/>
        </w:rPr>
        <w:lastRenderedPageBreak/>
        <w:t>with consumer protection.</w:t>
      </w:r>
      <w:r w:rsidRPr="00D52EFE">
        <w:rPr>
          <w:rFonts w:ascii="Times New Roman" w:eastAsia="Times New Roman" w:hAnsi="Times New Roman" w:cs="Times New Roman"/>
          <w:color w:val="auto"/>
          <w:vertAlign w:val="superscript"/>
        </w:rPr>
        <w:footnoteReference w:id="105"/>
      </w:r>
      <w:r w:rsidRPr="00D52EFE">
        <w:rPr>
          <w:rFonts w:ascii="Times New Roman" w:eastAsia="Times New Roman" w:hAnsi="Times New Roman" w:cs="Times New Roman"/>
          <w:color w:val="auto"/>
        </w:rPr>
        <w:t xml:space="preserve"> In the fields of consumer and competition law, however, various observers have noted an apparent reluctance of the CJEU to articulate minimum standards of fairness and consumer protection</w:t>
      </w:r>
      <w:r w:rsidR="00856AE6"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which, in turn, has impeded the development of a comprehensive understanding of the concept.</w:t>
      </w:r>
      <w:r w:rsidRPr="00D52EFE">
        <w:rPr>
          <w:rFonts w:ascii="Times New Roman" w:eastAsia="Times New Roman" w:hAnsi="Times New Roman" w:cs="Times New Roman"/>
          <w:color w:val="auto"/>
          <w:vertAlign w:val="superscript"/>
        </w:rPr>
        <w:footnoteReference w:id="106"/>
      </w:r>
    </w:p>
    <w:p w14:paraId="3DE08A55" w14:textId="77777777" w:rsidR="00D70F60" w:rsidRPr="00D52EFE" w:rsidRDefault="00D70F60" w:rsidP="00C86397">
      <w:pPr>
        <w:rPr>
          <w:rFonts w:ascii="Times New Roman" w:eastAsia="Times New Roman" w:hAnsi="Times New Roman" w:cs="Times New Roman"/>
          <w:color w:val="auto"/>
        </w:rPr>
      </w:pPr>
    </w:p>
    <w:p w14:paraId="333F6F3B" w14:textId="1E36F388" w:rsidR="00D70F60" w:rsidRPr="00D52EFE" w:rsidRDefault="000B5581" w:rsidP="00C4342B">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In any event, as noted above, and as is alluded to by </w:t>
      </w:r>
      <w:r w:rsidR="00774920" w:rsidRPr="00D52EFE">
        <w:rPr>
          <w:rFonts w:ascii="Times New Roman" w:eastAsia="Times New Roman" w:hAnsi="Times New Roman" w:cs="Times New Roman"/>
          <w:color w:val="auto"/>
        </w:rPr>
        <w:t xml:space="preserve">both </w:t>
      </w:r>
      <w:r w:rsidRPr="00D52EFE">
        <w:rPr>
          <w:rFonts w:ascii="Times New Roman" w:eastAsia="Times New Roman" w:hAnsi="Times New Roman" w:cs="Times New Roman"/>
          <w:color w:val="auto"/>
        </w:rPr>
        <w:t>the GDPR itself</w:t>
      </w:r>
      <w:r w:rsidR="00774920" w:rsidRPr="00D52EFE">
        <w:rPr>
          <w:rFonts w:ascii="Times New Roman" w:eastAsia="Times New Roman" w:hAnsi="Times New Roman" w:cs="Times New Roman"/>
          <w:color w:val="auto"/>
        </w:rPr>
        <w:t xml:space="preserve"> and the ICO guidance</w:t>
      </w:r>
      <w:r w:rsidRPr="00D52EFE">
        <w:rPr>
          <w:rFonts w:ascii="Times New Roman" w:eastAsia="Times New Roman" w:hAnsi="Times New Roman" w:cs="Times New Roman"/>
          <w:color w:val="auto"/>
        </w:rPr>
        <w:t>, imbalances of power are likely to be particularly prominent in situations in which the data controller is a public authority.</w:t>
      </w:r>
      <w:r w:rsidRPr="00D52EFE">
        <w:rPr>
          <w:rFonts w:ascii="Times New Roman" w:eastAsia="Times New Roman" w:hAnsi="Times New Roman" w:cs="Times New Roman"/>
          <w:color w:val="auto"/>
          <w:vertAlign w:val="superscript"/>
        </w:rPr>
        <w:footnoteReference w:id="107"/>
      </w:r>
      <w:r w:rsidR="00774920" w:rsidRPr="00D52EFE">
        <w:rPr>
          <w:rFonts w:ascii="Times New Roman" w:eastAsia="Times New Roman" w:hAnsi="Times New Roman" w:cs="Times New Roman"/>
          <w:color w:val="auto"/>
        </w:rPr>
        <w:t xml:space="preserve"> In fact, the GDPR appears to presume in Recital 43 that there is a clear imbalance between the data subject and the controller when the controller is a public authority.</w:t>
      </w:r>
      <w:r w:rsidRPr="00D52EFE">
        <w:rPr>
          <w:rFonts w:ascii="Times New Roman" w:eastAsia="Times New Roman" w:hAnsi="Times New Roman" w:cs="Times New Roman"/>
          <w:color w:val="auto"/>
        </w:rPr>
        <w:t xml:space="preserve"> Significantly in this regard, however, though the GDPR makes numerous references to public authorities throughout its text, “public authority”, like “imbalance”, is a term that is not fully defined at any point.</w:t>
      </w:r>
      <w:r w:rsidR="0085300B" w:rsidRPr="00D52EFE">
        <w:rPr>
          <w:rFonts w:ascii="Times New Roman" w:eastAsia="Times New Roman" w:hAnsi="Times New Roman" w:cs="Times New Roman"/>
          <w:color w:val="auto"/>
        </w:rPr>
        <w:t xml:space="preserve"> </w:t>
      </w:r>
      <w:r w:rsidR="00C4342B">
        <w:rPr>
          <w:rFonts w:ascii="Times New Roman" w:eastAsia="Times New Roman" w:hAnsi="Times New Roman" w:cs="Times New Roman"/>
          <w:color w:val="auto"/>
        </w:rPr>
        <w:t>The underlying assumption should be nonetheless that interactions between public authorities and citizens</w:t>
      </w:r>
      <w:r w:rsidR="00C4342B" w:rsidRPr="00C4342B">
        <w:rPr>
          <w:rFonts w:ascii="Times New Roman" w:eastAsia="Times New Roman" w:hAnsi="Times New Roman" w:cs="Times New Roman"/>
          <w:color w:val="auto"/>
        </w:rPr>
        <w:t xml:space="preserve"> are </w:t>
      </w:r>
      <w:r w:rsidR="00C4342B">
        <w:rPr>
          <w:rFonts w:ascii="Times New Roman" w:eastAsia="Times New Roman" w:hAnsi="Times New Roman" w:cs="Times New Roman"/>
          <w:color w:val="auto"/>
        </w:rPr>
        <w:t>not optional: they are better described as being unilateral. This explains why they are not as a matter of principle regulated through contracts</w:t>
      </w:r>
      <w:r w:rsidR="00E673D9">
        <w:rPr>
          <w:rFonts w:ascii="Times New Roman" w:eastAsia="Times New Roman" w:hAnsi="Times New Roman" w:cs="Times New Roman"/>
          <w:color w:val="auto"/>
        </w:rPr>
        <w:t xml:space="preserve">, </w:t>
      </w:r>
      <w:r w:rsidR="00E673D9" w:rsidRPr="007532DB">
        <w:rPr>
          <w:rFonts w:ascii="Times New Roman" w:eastAsia="Times New Roman" w:hAnsi="Times New Roman" w:cs="Times New Roman"/>
          <w:color w:val="auto"/>
        </w:rPr>
        <w:t>although consent as a data protection consent is distinct from the contract law concept of acceptance</w:t>
      </w:r>
      <w:r w:rsidR="00C4342B" w:rsidRPr="007532DB">
        <w:rPr>
          <w:rFonts w:ascii="Times New Roman" w:eastAsia="Times New Roman" w:hAnsi="Times New Roman" w:cs="Times New Roman"/>
          <w:color w:val="auto"/>
        </w:rPr>
        <w:t>.</w:t>
      </w:r>
      <w:r w:rsidR="00C4342B">
        <w:rPr>
          <w:rFonts w:ascii="Times New Roman" w:eastAsia="Times New Roman" w:hAnsi="Times New Roman" w:cs="Times New Roman"/>
          <w:color w:val="auto"/>
        </w:rPr>
        <w:t xml:space="preserve"> </w:t>
      </w:r>
    </w:p>
    <w:p w14:paraId="4C91C229" w14:textId="77777777" w:rsidR="0085300B" w:rsidRPr="00D52EFE" w:rsidRDefault="0085300B" w:rsidP="00C86397">
      <w:pPr>
        <w:rPr>
          <w:rFonts w:ascii="Times New Roman" w:eastAsia="Times New Roman" w:hAnsi="Times New Roman" w:cs="Times New Roman"/>
          <w:color w:val="auto"/>
        </w:rPr>
      </w:pPr>
    </w:p>
    <w:p w14:paraId="516B4945" w14:textId="5F470B7C" w:rsidR="008222A5" w:rsidRPr="00D52EFE" w:rsidRDefault="00496696"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Some guidance can, however, perhaps be inferred from CJEU case law outside the data protection field</w:t>
      </w:r>
      <w:r w:rsidR="009C2646">
        <w:rPr>
          <w:rFonts w:ascii="Times New Roman" w:eastAsia="Times New Roman" w:hAnsi="Times New Roman" w:cs="Times New Roman"/>
          <w:color w:val="auto"/>
        </w:rPr>
        <w:t>, although GDPR Recital 47 seems to suggest that Member States have a margin of appreciation</w:t>
      </w:r>
      <w:r w:rsidRPr="00D52EFE">
        <w:rPr>
          <w:rFonts w:ascii="Times New Roman" w:eastAsia="Times New Roman" w:hAnsi="Times New Roman" w:cs="Times New Roman"/>
          <w:color w:val="auto"/>
        </w:rPr>
        <w:t>. When addressing matters concerning the doctrine of direct effect in</w:t>
      </w:r>
      <w:r w:rsidR="00951BEC" w:rsidRPr="00D52EFE">
        <w:rPr>
          <w:rFonts w:ascii="Times New Roman" w:eastAsia="Times New Roman" w:hAnsi="Times New Roman" w:cs="Times New Roman"/>
          <w:color w:val="auto"/>
        </w:rPr>
        <w:t xml:space="preserve"> </w:t>
      </w:r>
      <w:r w:rsidR="00951BEC" w:rsidRPr="00D52EFE">
        <w:rPr>
          <w:rFonts w:ascii="Times New Roman" w:eastAsia="Times New Roman" w:hAnsi="Times New Roman" w:cs="Times New Roman"/>
          <w:i/>
          <w:color w:val="auto"/>
        </w:rPr>
        <w:t>A. Foster and others v. British Gas</w:t>
      </w:r>
      <w:r w:rsidR="00951BEC" w:rsidRPr="00D52EFE">
        <w:rPr>
          <w:rFonts w:ascii="Times New Roman" w:eastAsia="Times New Roman" w:hAnsi="Times New Roman" w:cs="Times New Roman"/>
          <w:color w:val="auto"/>
        </w:rPr>
        <w:t>,</w:t>
      </w:r>
      <w:r w:rsidRPr="00D52EFE">
        <w:rPr>
          <w:rStyle w:val="FootnoteReference"/>
          <w:rFonts w:ascii="Times New Roman" w:eastAsia="Times New Roman" w:hAnsi="Times New Roman" w:cs="Times New Roman"/>
          <w:color w:val="auto"/>
        </w:rPr>
        <w:footnoteReference w:id="108"/>
      </w:r>
      <w:r w:rsidR="0074743D" w:rsidRPr="00D52EFE">
        <w:rPr>
          <w:rFonts w:ascii="Times New Roman" w:eastAsia="Times New Roman" w:hAnsi="Times New Roman" w:cs="Times New Roman"/>
          <w:color w:val="auto"/>
        </w:rPr>
        <w:t xml:space="preserve"> for instance, the CJEU considered the notion of “emanation of the state”, and remarked that it was a term that should be taken to refer to [at para. 22]: </w:t>
      </w:r>
    </w:p>
    <w:p w14:paraId="7B64C7E4" w14:textId="77777777" w:rsidR="008222A5" w:rsidRPr="00D52EFE" w:rsidRDefault="008222A5" w:rsidP="00C86397">
      <w:pPr>
        <w:rPr>
          <w:rFonts w:ascii="Times New Roman" w:eastAsia="Times New Roman" w:hAnsi="Times New Roman" w:cs="Times New Roman"/>
          <w:color w:val="auto"/>
        </w:rPr>
      </w:pPr>
    </w:p>
    <w:p w14:paraId="6455785A" w14:textId="77777777" w:rsidR="008222A5" w:rsidRPr="00D52EFE" w:rsidRDefault="0074743D" w:rsidP="00C86397">
      <w:pPr>
        <w:ind w:left="720"/>
        <w:rPr>
          <w:rFonts w:ascii="Times New Roman" w:eastAsia="Times New Roman" w:hAnsi="Times New Roman" w:cs="Times New Roman"/>
          <w:i/>
          <w:color w:val="auto"/>
        </w:rPr>
      </w:pPr>
      <w:r w:rsidRPr="00D52EFE">
        <w:rPr>
          <w:rFonts w:ascii="Times New Roman" w:eastAsia="Times New Roman" w:hAnsi="Times New Roman" w:cs="Times New Roman"/>
          <w:i/>
          <w:color w:val="auto"/>
        </w:rPr>
        <w:t xml:space="preserve">“…a body, whatever its legal form, which has been made responsible, pursuant to a measure adopted by the State, for providing a public service under the control of the State and has for that purpose special powers beyond those which result from the normal rules applicable in relations between individuals...”. </w:t>
      </w:r>
    </w:p>
    <w:p w14:paraId="4796B382" w14:textId="77777777" w:rsidR="008222A5" w:rsidRPr="00D52EFE" w:rsidRDefault="008222A5" w:rsidP="00C86397">
      <w:pPr>
        <w:rPr>
          <w:rFonts w:ascii="Times New Roman" w:eastAsia="Times New Roman" w:hAnsi="Times New Roman" w:cs="Times New Roman"/>
          <w:color w:val="auto"/>
        </w:rPr>
      </w:pPr>
    </w:p>
    <w:p w14:paraId="7363B7FE" w14:textId="77777777" w:rsidR="00E673D9" w:rsidRDefault="0074743D"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Though the terms “emanation of the state” and “public authority” are not necessarily synonymous with one another, it seems highly probable that the former is broad enough to encompass the latter. More recently, however, in</w:t>
      </w:r>
      <w:r w:rsidR="00811D36" w:rsidRPr="00D52EFE">
        <w:rPr>
          <w:rFonts w:ascii="Times New Roman" w:eastAsia="Times New Roman" w:hAnsi="Times New Roman" w:cs="Times New Roman"/>
          <w:color w:val="auto"/>
        </w:rPr>
        <w:t xml:space="preserve"> </w:t>
      </w:r>
      <w:r w:rsidR="00811D36" w:rsidRPr="00D52EFE">
        <w:rPr>
          <w:rFonts w:ascii="Times New Roman" w:eastAsia="Times New Roman" w:hAnsi="Times New Roman" w:cs="Times New Roman"/>
          <w:i/>
          <w:color w:val="auto"/>
        </w:rPr>
        <w:t>Fish Legal</w:t>
      </w:r>
      <w:bookmarkStart w:id="38" w:name="_Ref512495612"/>
      <w:r w:rsidR="00811D36" w:rsidRPr="00D52EFE">
        <w:rPr>
          <w:rStyle w:val="FootnoteReference"/>
          <w:rFonts w:ascii="Times New Roman" w:eastAsia="Times New Roman" w:hAnsi="Times New Roman" w:cs="Times New Roman"/>
          <w:color w:val="auto"/>
        </w:rPr>
        <w:footnoteReference w:id="109"/>
      </w:r>
      <w:bookmarkEnd w:id="38"/>
      <w:r w:rsidR="00811D36" w:rsidRPr="00D52EFE">
        <w:rPr>
          <w:rFonts w:ascii="Times New Roman" w:hAnsi="Times New Roman" w:cs="Times New Roman"/>
          <w:color w:val="auto"/>
        </w:rPr>
        <w:t xml:space="preserve"> </w:t>
      </w:r>
      <w:r w:rsidR="00811D36" w:rsidRPr="00D52EFE">
        <w:rPr>
          <w:rFonts w:ascii="Times New Roman" w:eastAsia="Times New Roman" w:hAnsi="Times New Roman" w:cs="Times New Roman"/>
          <w:color w:val="auto"/>
        </w:rPr>
        <w:t>the CJEU specifically considered the meaning of “public authority” in the context of the Public Access to Environmental Information Directive</w:t>
      </w:r>
      <w:r w:rsidR="001E3B1B" w:rsidRPr="00D52EFE">
        <w:rPr>
          <w:rFonts w:ascii="Times New Roman" w:eastAsia="Times New Roman" w:hAnsi="Times New Roman" w:cs="Times New Roman"/>
          <w:color w:val="auto"/>
        </w:rPr>
        <w:t>,</w:t>
      </w:r>
      <w:r w:rsidR="00E824D4" w:rsidRPr="00D52EFE">
        <w:rPr>
          <w:rStyle w:val="FootnoteReference"/>
          <w:rFonts w:ascii="Times New Roman" w:eastAsia="Times New Roman" w:hAnsi="Times New Roman" w:cs="Times New Roman"/>
          <w:color w:val="auto"/>
        </w:rPr>
        <w:footnoteReference w:id="110"/>
      </w:r>
      <w:r w:rsidR="001E3B1B" w:rsidRPr="00D52EFE">
        <w:rPr>
          <w:rFonts w:ascii="Times New Roman" w:eastAsia="Times New Roman" w:hAnsi="Times New Roman" w:cs="Times New Roman"/>
          <w:color w:val="auto"/>
        </w:rPr>
        <w:t xml:space="preserve"> which under Article 3 requires public authorities to provide environmental information upon request. Here, it was remarked that in order to determine whether a body constitutes a public authority it should be examined whether it possesses “</w:t>
      </w:r>
      <w:r w:rsidR="001E3B1B" w:rsidRPr="00D52EFE">
        <w:rPr>
          <w:rFonts w:ascii="Times New Roman" w:eastAsia="Times New Roman" w:hAnsi="Times New Roman" w:cs="Times New Roman"/>
          <w:i/>
          <w:color w:val="auto"/>
        </w:rPr>
        <w:t xml:space="preserve">special powers beyond those which result from the normal rules </w:t>
      </w:r>
      <w:r w:rsidR="001E3B1B" w:rsidRPr="00D52EFE">
        <w:rPr>
          <w:rFonts w:ascii="Times New Roman" w:eastAsia="Times New Roman" w:hAnsi="Times New Roman" w:cs="Times New Roman"/>
          <w:i/>
          <w:color w:val="auto"/>
        </w:rPr>
        <w:lastRenderedPageBreak/>
        <w:t>applicable in relations between persons governed by private law</w:t>
      </w:r>
      <w:r w:rsidR="001E3B1B" w:rsidRPr="00D52EFE">
        <w:rPr>
          <w:rFonts w:ascii="Times New Roman" w:eastAsia="Times New Roman" w:hAnsi="Times New Roman" w:cs="Times New Roman"/>
          <w:color w:val="auto"/>
        </w:rPr>
        <w:t>”.</w:t>
      </w:r>
      <w:r w:rsidR="001E3B1B" w:rsidRPr="00D52EFE">
        <w:rPr>
          <w:rStyle w:val="FootnoteReference"/>
          <w:rFonts w:ascii="Times New Roman" w:eastAsia="Times New Roman" w:hAnsi="Times New Roman" w:cs="Times New Roman"/>
          <w:color w:val="auto"/>
        </w:rPr>
        <w:footnoteReference w:id="111"/>
      </w:r>
      <w:r w:rsidR="001E3B1B" w:rsidRPr="00D52EFE">
        <w:rPr>
          <w:rFonts w:ascii="Times New Roman" w:eastAsia="Times New Roman" w:hAnsi="Times New Roman" w:cs="Times New Roman"/>
          <w:color w:val="auto"/>
        </w:rPr>
        <w:t xml:space="preserve"> The possession of such “special powers”, therefore, would likely indicate that a body was a public authority. The Court further observed that if a body is incapable of acting in a genuinely autonomous fashion, and that it cannot demonstrate that its provision of services is free from decisive influence of any governmental or public administrative organisations, this would also likely indicate that it was a public authority (at paras. 68 and 71). </w:t>
      </w:r>
    </w:p>
    <w:p w14:paraId="4AF44F83" w14:textId="77777777" w:rsidR="00E673D9" w:rsidRDefault="00E673D9" w:rsidP="00C86397">
      <w:pPr>
        <w:rPr>
          <w:rFonts w:ascii="Times New Roman" w:eastAsia="Times New Roman" w:hAnsi="Times New Roman" w:cs="Times New Roman"/>
          <w:color w:val="auto"/>
          <w:highlight w:val="yellow"/>
        </w:rPr>
      </w:pPr>
    </w:p>
    <w:p w14:paraId="503757AD" w14:textId="285A3239" w:rsidR="00496696" w:rsidRPr="00D52EFE" w:rsidRDefault="001E3B1B" w:rsidP="00C86397">
      <w:pPr>
        <w:rPr>
          <w:rFonts w:ascii="Times New Roman" w:eastAsia="Times New Roman" w:hAnsi="Times New Roman" w:cs="Times New Roman"/>
          <w:color w:val="auto"/>
        </w:rPr>
      </w:pPr>
      <w:r w:rsidRPr="007532DB">
        <w:rPr>
          <w:rFonts w:ascii="Times New Roman" w:eastAsia="Times New Roman" w:hAnsi="Times New Roman" w:cs="Times New Roman"/>
          <w:color w:val="auto"/>
        </w:rPr>
        <w:t>Notably, the UK Data Protection Bill includes a limited list of public authorities in its section 6 and refers to section 3 of the Freedom of Information Act 2000 c. 36 for this purpose</w:t>
      </w:r>
      <w:r w:rsidRPr="007532DB">
        <w:rPr>
          <w:rFonts w:ascii="Times New Roman" w:eastAsia="Times New Roman" w:hAnsi="Times New Roman" w:cs="Times New Roman"/>
          <w:color w:val="000000" w:themeColor="text1"/>
        </w:rPr>
        <w:t xml:space="preserve">. </w:t>
      </w:r>
      <w:r w:rsidR="00E673D9" w:rsidRPr="007532DB">
        <w:rPr>
          <w:rFonts w:ascii="Times New Roman" w:eastAsia="Times New Roman" w:hAnsi="Times New Roman" w:cs="Times New Roman"/>
          <w:color w:val="000000" w:themeColor="text1"/>
        </w:rPr>
        <w:t>It therefore builds upon</w:t>
      </w:r>
      <w:r w:rsidRPr="007532DB">
        <w:rPr>
          <w:rFonts w:ascii="Times New Roman" w:eastAsia="Times New Roman" w:hAnsi="Times New Roman" w:cs="Times New Roman"/>
          <w:color w:val="000000" w:themeColor="text1"/>
        </w:rPr>
        <w:t xml:space="preserve"> </w:t>
      </w:r>
      <w:r w:rsidRPr="007532DB">
        <w:rPr>
          <w:rFonts w:ascii="Times New Roman" w:eastAsia="Times New Roman" w:hAnsi="Times New Roman" w:cs="Times New Roman"/>
          <w:color w:val="auto"/>
        </w:rPr>
        <w:t>s. 1(1) of the UK Data Protection Act 1998</w:t>
      </w:r>
      <w:r w:rsidR="00E673D9" w:rsidRPr="007532DB">
        <w:rPr>
          <w:rFonts w:ascii="Times New Roman" w:eastAsia="Times New Roman" w:hAnsi="Times New Roman" w:cs="Times New Roman"/>
          <w:color w:val="auto"/>
        </w:rPr>
        <w:t>, which</w:t>
      </w:r>
      <w:r w:rsidRPr="007532DB">
        <w:rPr>
          <w:rFonts w:ascii="Times New Roman" w:eastAsia="Times New Roman" w:hAnsi="Times New Roman" w:cs="Times New Roman"/>
          <w:color w:val="auto"/>
        </w:rPr>
        <w:t xml:space="preserve"> states that the term “public authority” in the data protection context should be defined in the same way as it is defined by Schedule 1 of the UK </w:t>
      </w:r>
      <w:r w:rsidR="00B60C47" w:rsidRPr="007532DB">
        <w:rPr>
          <w:rFonts w:ascii="Times New Roman" w:eastAsia="Times New Roman" w:hAnsi="Times New Roman" w:cs="Times New Roman"/>
          <w:color w:val="auto"/>
        </w:rPr>
        <w:t xml:space="preserve">Freedom of Information Act 2000. The latter </w:t>
      </w:r>
      <w:r w:rsidRPr="007532DB">
        <w:rPr>
          <w:rFonts w:ascii="Times New Roman" w:eastAsia="Times New Roman" w:hAnsi="Times New Roman" w:cs="Times New Roman"/>
          <w:color w:val="auto"/>
        </w:rPr>
        <w:t>states that, amongst other institutions, government departments, The Competition and Markets Authority, The Office for Standards in Education, Children’s Services and Skills, The Houses of Parliament, The Northern Irish and Welsh Assemblies, the armed forces, and local authorities should all be considered public authorities.</w:t>
      </w:r>
    </w:p>
    <w:p w14:paraId="09FD65C4" w14:textId="44F9EF9C" w:rsidR="00D70F60" w:rsidRPr="00D52EFE" w:rsidRDefault="00D70F60" w:rsidP="00C86397">
      <w:pPr>
        <w:rPr>
          <w:rFonts w:ascii="Times New Roman" w:eastAsia="Times New Roman" w:hAnsi="Times New Roman" w:cs="Times New Roman"/>
          <w:color w:val="auto"/>
        </w:rPr>
      </w:pPr>
    </w:p>
    <w:p w14:paraId="5935BB23" w14:textId="7936BC4C"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Thirdly, whilst the DPD fails to provide any details or guidance on the methods that can be used to obtain valid consent, the same cannot be said in respect of the GDPR. As noted above, the GDPR specifically recognises the validity of several methods </w:t>
      </w:r>
      <w:r w:rsidR="00FD43D1" w:rsidRPr="00D52EFE">
        <w:rPr>
          <w:rFonts w:ascii="Times New Roman" w:eastAsia="Times New Roman" w:hAnsi="Times New Roman" w:cs="Times New Roman"/>
          <w:color w:val="auto"/>
        </w:rPr>
        <w:t>that</w:t>
      </w:r>
      <w:r w:rsidRPr="00D52EFE">
        <w:rPr>
          <w:rFonts w:ascii="Times New Roman" w:eastAsia="Times New Roman" w:hAnsi="Times New Roman" w:cs="Times New Roman"/>
          <w:color w:val="auto"/>
        </w:rPr>
        <w:t xml:space="preserve"> may be utilised by data controllers as a means of obtaining consent, ranging from verbal statements and written statements, to the ticking of boxes and the adjustment of technical settings. In so doing, the GDPR endorses the sentiment that different methods for obtaining consent may be more suitable than others in certain contexts, and compels data controllers to pick those </w:t>
      </w:r>
      <w:r w:rsidR="00FD43D1" w:rsidRPr="00D52EFE">
        <w:rPr>
          <w:rFonts w:ascii="Times New Roman" w:eastAsia="Times New Roman" w:hAnsi="Times New Roman" w:cs="Times New Roman"/>
          <w:color w:val="auto"/>
        </w:rPr>
        <w:t>that</w:t>
      </w:r>
      <w:r w:rsidRPr="00D52EFE">
        <w:rPr>
          <w:rFonts w:ascii="Times New Roman" w:eastAsia="Times New Roman" w:hAnsi="Times New Roman" w:cs="Times New Roman"/>
          <w:color w:val="auto"/>
        </w:rPr>
        <w:t xml:space="preserve"> are most suitably aligned to their data processing practices. It is further made expressly clear that complete inaction or passive acquiescence on behalf of the data subject will never amount to genuine consent.</w:t>
      </w:r>
    </w:p>
    <w:p w14:paraId="7D590A9F" w14:textId="77777777" w:rsidR="00D70F60" w:rsidRPr="00D52EFE" w:rsidRDefault="00D70F60" w:rsidP="00C86397">
      <w:pPr>
        <w:rPr>
          <w:rFonts w:ascii="Times New Roman" w:eastAsia="Times New Roman" w:hAnsi="Times New Roman" w:cs="Times New Roman"/>
          <w:color w:val="auto"/>
        </w:rPr>
      </w:pPr>
    </w:p>
    <w:p w14:paraId="5BF97EF4"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One final significant difference between the DPD and the GDPR relates to data controllers being able to demonstrate that they have obtained valid consent from data subjects. Whilst the DPD does not explicitly contain any requirement that data controllers must maintain evidence of any consents obtained from data subjects, the GDPR makes it clear that data controllers are formally required to be able to demonstrate that the consents they have obtained have been obtained validly. In situations in which a data subject and a data controller disagree as to whether consent has been validly given or obtained, therefore, the burden of proof will be on the data controller to demonstrate that this has occurred, which in turn will require an audit trail.</w:t>
      </w:r>
    </w:p>
    <w:p w14:paraId="439426BC" w14:textId="01E8F7BB" w:rsidR="0024015C" w:rsidRPr="00D52EFE" w:rsidRDefault="0024015C" w:rsidP="00C86397">
      <w:pPr>
        <w:rPr>
          <w:rFonts w:ascii="Times New Roman" w:eastAsia="Times New Roman" w:hAnsi="Times New Roman" w:cs="Times New Roman"/>
          <w:color w:val="auto"/>
        </w:rPr>
      </w:pPr>
    </w:p>
    <w:p w14:paraId="4017098F" w14:textId="77573BAE" w:rsidR="00D70F60" w:rsidRPr="00D52EFE" w:rsidRDefault="0024015C"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w:t>
      </w:r>
      <w:r w:rsidR="000B5581" w:rsidRPr="00D52EFE">
        <w:rPr>
          <w:rFonts w:ascii="Times New Roman" w:eastAsia="Times New Roman" w:hAnsi="Times New Roman" w:cs="Times New Roman"/>
          <w:color w:val="auto"/>
        </w:rPr>
        <w:t xml:space="preserve"> abovementioned ICO draft guidance on the GDPR’s consent requirements offers further clarification as to consent’s interpretation.</w:t>
      </w:r>
      <w:r w:rsidR="000B5581" w:rsidRPr="00D52EFE">
        <w:rPr>
          <w:rFonts w:ascii="Times New Roman" w:eastAsia="Times New Roman" w:hAnsi="Times New Roman" w:cs="Times New Roman"/>
          <w:color w:val="auto"/>
          <w:vertAlign w:val="superscript"/>
        </w:rPr>
        <w:footnoteReference w:id="112"/>
      </w:r>
      <w:r w:rsidR="000B5581" w:rsidRPr="00D52EFE">
        <w:rPr>
          <w:rFonts w:ascii="Times New Roman" w:eastAsia="Times New Roman" w:hAnsi="Times New Roman" w:cs="Times New Roman"/>
          <w:color w:val="auto"/>
        </w:rPr>
        <w:t xml:space="preserve"> Perhaps most</w:t>
      </w:r>
      <w:r w:rsidR="004427D5" w:rsidRPr="00D52EFE">
        <w:rPr>
          <w:rFonts w:ascii="Times New Roman" w:eastAsia="Times New Roman" w:hAnsi="Times New Roman" w:cs="Times New Roman"/>
          <w:color w:val="auto"/>
        </w:rPr>
        <w:t xml:space="preserve"> interestingly</w:t>
      </w:r>
      <w:r w:rsidR="000B5581" w:rsidRPr="00D52EFE">
        <w:rPr>
          <w:rFonts w:ascii="Times New Roman" w:eastAsia="Times New Roman" w:hAnsi="Times New Roman" w:cs="Times New Roman"/>
          <w:color w:val="auto"/>
        </w:rPr>
        <w:t xml:space="preserve">, the ICO guidance specifically addresses the point that consent, as noted above, is only one of a number of legitimising grounds by which the processing of personal data can be rendered lawful, and that data controllers should only seek to rely on it in appropriate circumstances. In this respect, the guidance draws precise attention to the fact that, due to imbalances in power between parties, consent will, in the majority of circumstances, not be an appropriate legal basis for personal data processing operations undertaken by </w:t>
      </w:r>
      <w:r w:rsidR="000B5581" w:rsidRPr="00D52EFE">
        <w:rPr>
          <w:rFonts w:ascii="Times New Roman" w:eastAsia="Times New Roman" w:hAnsi="Times New Roman" w:cs="Times New Roman"/>
          <w:color w:val="auto"/>
        </w:rPr>
        <w:lastRenderedPageBreak/>
        <w:t>pub</w:t>
      </w:r>
      <w:r w:rsidR="00EB536E" w:rsidRPr="00D52EFE">
        <w:rPr>
          <w:rFonts w:ascii="Times New Roman" w:eastAsia="Times New Roman" w:hAnsi="Times New Roman" w:cs="Times New Roman"/>
          <w:color w:val="auto"/>
        </w:rPr>
        <w:t xml:space="preserve">lic authorities. It </w:t>
      </w:r>
      <w:r w:rsidR="000B5581" w:rsidRPr="00D52EFE">
        <w:rPr>
          <w:rFonts w:ascii="Times New Roman" w:eastAsia="Times New Roman" w:hAnsi="Times New Roman" w:cs="Times New Roman"/>
          <w:color w:val="auto"/>
        </w:rPr>
        <w:t>advises that public authorities should actively avoid relying on consent and seek to identify alternative legitimising grounds for the processing of personal data.</w:t>
      </w:r>
      <w:r w:rsidR="000B5581" w:rsidRPr="00D52EFE">
        <w:rPr>
          <w:rFonts w:ascii="Times New Roman" w:eastAsia="Times New Roman" w:hAnsi="Times New Roman" w:cs="Times New Roman"/>
          <w:color w:val="auto"/>
          <w:vertAlign w:val="superscript"/>
        </w:rPr>
        <w:footnoteReference w:id="113"/>
      </w:r>
      <w:r w:rsidR="000B5581" w:rsidRPr="00D52EFE">
        <w:rPr>
          <w:rFonts w:ascii="Times New Roman" w:eastAsia="Times New Roman" w:hAnsi="Times New Roman" w:cs="Times New Roman"/>
          <w:color w:val="auto"/>
        </w:rPr>
        <w:t xml:space="preserve"> </w:t>
      </w:r>
    </w:p>
    <w:p w14:paraId="77BC9255" w14:textId="77777777" w:rsidR="00365C3A" w:rsidRPr="00D52EFE" w:rsidRDefault="00365C3A" w:rsidP="00C86397">
      <w:pPr>
        <w:rPr>
          <w:rFonts w:ascii="Times New Roman" w:eastAsia="Times New Roman" w:hAnsi="Times New Roman" w:cs="Times New Roman"/>
          <w:color w:val="auto"/>
        </w:rPr>
      </w:pPr>
    </w:p>
    <w:p w14:paraId="5AD43839" w14:textId="52D4DE4E" w:rsidR="00F5047A" w:rsidRPr="00D52EFE" w:rsidRDefault="0024015C"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In its recently released Guidelines on consent under Regulation 2016/679</w:t>
      </w:r>
      <w:r w:rsidRPr="00D52EFE">
        <w:rPr>
          <w:rStyle w:val="FootnoteReference"/>
          <w:rFonts w:ascii="Times New Roman" w:eastAsia="Times New Roman" w:hAnsi="Times New Roman" w:cs="Times New Roman"/>
          <w:color w:val="auto"/>
        </w:rPr>
        <w:footnoteReference w:id="114"/>
      </w:r>
      <w:r w:rsidRPr="00D52EFE">
        <w:rPr>
          <w:rFonts w:ascii="Times New Roman" w:eastAsia="Times New Roman" w:hAnsi="Times New Roman" w:cs="Times New Roman"/>
          <w:color w:val="auto"/>
        </w:rPr>
        <w:t xml:space="preserve"> intended to </w:t>
      </w:r>
      <w:r w:rsidR="00F5047A" w:rsidRPr="00D52EFE">
        <w:rPr>
          <w:rFonts w:ascii="Times New Roman" w:eastAsia="Times New Roman" w:hAnsi="Times New Roman" w:cs="Times New Roman"/>
          <w:color w:val="auto"/>
        </w:rPr>
        <w:t>build on previous work</w:t>
      </w:r>
      <w:r w:rsidRPr="00D52EFE">
        <w:rPr>
          <w:rFonts w:ascii="Times New Roman" w:eastAsia="Times New Roman" w:hAnsi="Times New Roman" w:cs="Times New Roman"/>
          <w:color w:val="auto"/>
        </w:rPr>
        <w:t xml:space="preserve">, </w:t>
      </w:r>
      <w:r w:rsidR="001A50B3" w:rsidRPr="00D52EFE">
        <w:rPr>
          <w:rFonts w:ascii="Times New Roman" w:eastAsia="Times New Roman" w:hAnsi="Times New Roman" w:cs="Times New Roman"/>
          <w:color w:val="auto"/>
        </w:rPr>
        <w:t xml:space="preserve">the </w:t>
      </w:r>
      <w:r w:rsidR="00F5047A" w:rsidRPr="00D52EFE">
        <w:rPr>
          <w:rFonts w:ascii="Times New Roman" w:eastAsia="Times New Roman" w:hAnsi="Times New Roman" w:cs="Times New Roman"/>
          <w:color w:val="auto"/>
        </w:rPr>
        <w:t>Article 29 Working Party shed light upon the key elements of valid consent and in particular free/freely given. To</w:t>
      </w:r>
      <w:r w:rsidR="00475BA8" w:rsidRPr="00D52EFE">
        <w:rPr>
          <w:rFonts w:ascii="Times New Roman" w:eastAsia="Times New Roman" w:hAnsi="Times New Roman" w:cs="Times New Roman"/>
          <w:color w:val="auto"/>
        </w:rPr>
        <w:t xml:space="preserve"> quote Article 29 Working Party</w:t>
      </w:r>
      <w:r w:rsidR="00F5047A" w:rsidRPr="00D52EFE">
        <w:rPr>
          <w:rFonts w:ascii="Times New Roman" w:eastAsia="Times New Roman" w:hAnsi="Times New Roman" w:cs="Times New Roman"/>
          <w:color w:val="auto"/>
        </w:rPr>
        <w:t>:</w:t>
      </w:r>
    </w:p>
    <w:p w14:paraId="0625FE16" w14:textId="49696DCB" w:rsidR="00F5047A" w:rsidRPr="00D52EFE" w:rsidRDefault="00F5047A" w:rsidP="00C86397">
      <w:pPr>
        <w:rPr>
          <w:rFonts w:ascii="Times New Roman" w:eastAsia="Times New Roman" w:hAnsi="Times New Roman" w:cs="Times New Roman"/>
          <w:color w:val="auto"/>
        </w:rPr>
      </w:pPr>
    </w:p>
    <w:p w14:paraId="35119AFE" w14:textId="0C8FC8EC" w:rsidR="00F5047A" w:rsidRPr="00D52EFE" w:rsidRDefault="00F5047A" w:rsidP="00C86397">
      <w:pPr>
        <w:ind w:left="1134"/>
        <w:rPr>
          <w:rFonts w:ascii="Times New Roman" w:eastAsia="Times New Roman" w:hAnsi="Times New Roman" w:cs="Times New Roman"/>
          <w:i/>
          <w:color w:val="auto"/>
        </w:rPr>
      </w:pPr>
      <w:r w:rsidRPr="00D52EFE">
        <w:rPr>
          <w:rFonts w:ascii="Times New Roman" w:eastAsia="Times New Roman" w:hAnsi="Times New Roman" w:cs="Times New Roman"/>
          <w:i/>
          <w:color w:val="auto"/>
        </w:rPr>
        <w:t>Recital 43 clearly indicates that it is unlikely that public authorities can rely on consent for processing as whenever the controller is a public authority, there is often a clear imbalance of power in the relationship between the controller and the data subject. It is also clear in most cases that the data subject will have no realistic alternatives to accepting the processing (terms) of this controller. WP29 considers that there are other lawful bases that are, in principle, more appropriate to the activity of public authorities.</w:t>
      </w:r>
      <w:r w:rsidRPr="00D52EFE">
        <w:rPr>
          <w:rStyle w:val="FootnoteReference"/>
          <w:rFonts w:ascii="Times New Roman" w:eastAsia="Times New Roman" w:hAnsi="Times New Roman" w:cs="Times New Roman"/>
          <w:i/>
          <w:color w:val="auto"/>
        </w:rPr>
        <w:footnoteReference w:id="115"/>
      </w:r>
    </w:p>
    <w:p w14:paraId="2A0FB8D2" w14:textId="77777777" w:rsidR="00F5047A" w:rsidRPr="00D52EFE" w:rsidRDefault="00F5047A" w:rsidP="00C86397">
      <w:pPr>
        <w:rPr>
          <w:rFonts w:ascii="Times New Roman" w:eastAsia="Times New Roman" w:hAnsi="Times New Roman" w:cs="Times New Roman"/>
          <w:color w:val="auto"/>
        </w:rPr>
      </w:pPr>
    </w:p>
    <w:p w14:paraId="28637CF7" w14:textId="237FB3AF" w:rsidR="00C4342B" w:rsidRPr="00D52EFE" w:rsidRDefault="00F5047A" w:rsidP="00C4342B">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With this said </w:t>
      </w:r>
      <w:r w:rsidR="001A50B3" w:rsidRPr="00D52EFE">
        <w:rPr>
          <w:rFonts w:ascii="Times New Roman" w:eastAsia="Times New Roman" w:hAnsi="Times New Roman" w:cs="Times New Roman"/>
          <w:color w:val="auto"/>
        </w:rPr>
        <w:t xml:space="preserve">the </w:t>
      </w:r>
      <w:r w:rsidRPr="00D52EFE">
        <w:rPr>
          <w:rFonts w:ascii="Times New Roman" w:eastAsia="Times New Roman" w:hAnsi="Times New Roman" w:cs="Times New Roman"/>
          <w:color w:val="auto"/>
        </w:rPr>
        <w:t xml:space="preserve">Article 29 Working Party acknowledges that consent is not completely excluded for public authorities. </w:t>
      </w:r>
      <w:r w:rsidR="004427D5" w:rsidRPr="00D52EFE">
        <w:rPr>
          <w:rFonts w:ascii="Times New Roman" w:eastAsia="Times New Roman" w:hAnsi="Times New Roman" w:cs="Times New Roman"/>
          <w:color w:val="auto"/>
        </w:rPr>
        <w:t>In some circumstances, when data subjects are able to freely refuse the processing, consent could be used, e.g. to share information about public roads via newsletters.</w:t>
      </w:r>
      <w:r w:rsidR="004427D5" w:rsidRPr="00D52EFE">
        <w:rPr>
          <w:rStyle w:val="FootnoteReference"/>
          <w:rFonts w:ascii="Times New Roman" w:eastAsia="Times New Roman" w:hAnsi="Times New Roman" w:cs="Times New Roman"/>
          <w:color w:val="auto"/>
        </w:rPr>
        <w:footnoteReference w:id="116"/>
      </w:r>
      <w:r w:rsidR="004427D5" w:rsidRPr="00D52EFE">
        <w:rPr>
          <w:rFonts w:ascii="Times New Roman" w:eastAsia="Times New Roman" w:hAnsi="Times New Roman" w:cs="Times New Roman"/>
          <w:color w:val="auto"/>
        </w:rPr>
        <w:t xml:space="preserve"> </w:t>
      </w:r>
    </w:p>
    <w:p w14:paraId="4072DA1E" w14:textId="0E3EC0ED" w:rsidR="0024015C" w:rsidRPr="00D52EFE" w:rsidRDefault="0024015C" w:rsidP="00C86397">
      <w:pPr>
        <w:rPr>
          <w:rFonts w:ascii="Times New Roman" w:eastAsia="Times New Roman" w:hAnsi="Times New Roman" w:cs="Times New Roman"/>
          <w:color w:val="auto"/>
        </w:rPr>
      </w:pPr>
    </w:p>
    <w:p w14:paraId="168542D6" w14:textId="59B38DB7" w:rsidR="00D70F60" w:rsidRPr="00D52EFE" w:rsidRDefault="007C694F" w:rsidP="00C86397">
      <w:pPr>
        <w:pStyle w:val="Heading2"/>
        <w:rPr>
          <w:b/>
          <w:color w:val="auto"/>
          <w:sz w:val="22"/>
          <w:szCs w:val="22"/>
        </w:rPr>
      </w:pPr>
      <w:bookmarkStart w:id="39" w:name="_3qhe72rppbok" w:colFirst="0" w:colLast="0"/>
      <w:bookmarkStart w:id="40" w:name="_Toc495674479"/>
      <w:bookmarkEnd w:id="39"/>
      <w:r w:rsidRPr="00D52EFE">
        <w:rPr>
          <w:b/>
          <w:color w:val="auto"/>
          <w:sz w:val="22"/>
          <w:szCs w:val="22"/>
        </w:rPr>
        <w:t>3.4.</w:t>
      </w:r>
      <w:r w:rsidRPr="00D52EFE">
        <w:rPr>
          <w:b/>
          <w:color w:val="auto"/>
          <w:sz w:val="22"/>
          <w:szCs w:val="22"/>
        </w:rPr>
        <w:tab/>
      </w:r>
      <w:r w:rsidR="000B5581" w:rsidRPr="00D52EFE">
        <w:rPr>
          <w:b/>
          <w:color w:val="auto"/>
          <w:sz w:val="22"/>
          <w:szCs w:val="22"/>
        </w:rPr>
        <w:t xml:space="preserve">Processing </w:t>
      </w:r>
      <w:r w:rsidR="00572813" w:rsidRPr="00D52EFE">
        <w:rPr>
          <w:b/>
          <w:color w:val="auto"/>
          <w:sz w:val="22"/>
          <w:szCs w:val="22"/>
        </w:rPr>
        <w:t>that is Necessary for the Conclusion or Performance of a Contract to which the Data Subject is a Party</w:t>
      </w:r>
      <w:bookmarkEnd w:id="40"/>
    </w:p>
    <w:p w14:paraId="1161C2D1" w14:textId="77777777" w:rsidR="00D70F60" w:rsidRPr="00D52EFE" w:rsidRDefault="00D70F60" w:rsidP="00C86397">
      <w:pPr>
        <w:rPr>
          <w:rFonts w:ascii="Times New Roman" w:eastAsia="Times New Roman" w:hAnsi="Times New Roman" w:cs="Times New Roman"/>
          <w:color w:val="auto"/>
        </w:rPr>
      </w:pPr>
    </w:p>
    <w:p w14:paraId="6E7B92CE" w14:textId="71A4AA00"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Both the DPD and GDPR specify that, other than relying on individual consent, the processing of personal data may lawfully take place when such processing is necessary </w:t>
      </w:r>
      <w:r w:rsidR="006D6D76" w:rsidRPr="00D52EFE">
        <w:rPr>
          <w:rFonts w:ascii="Times New Roman" w:eastAsia="Times New Roman" w:hAnsi="Times New Roman" w:cs="Times New Roman"/>
          <w:color w:val="auto"/>
        </w:rPr>
        <w:t>for either entering or performing</w:t>
      </w:r>
      <w:r w:rsidRPr="00D52EFE">
        <w:rPr>
          <w:rFonts w:ascii="Times New Roman" w:eastAsia="Times New Roman" w:hAnsi="Times New Roman" w:cs="Times New Roman"/>
          <w:color w:val="auto"/>
        </w:rPr>
        <w:t xml:space="preserve"> a contract with the individual to whom those data relate.</w:t>
      </w:r>
      <w:r w:rsidRPr="00D52EFE">
        <w:rPr>
          <w:rFonts w:ascii="Times New Roman" w:eastAsia="Times New Roman" w:hAnsi="Times New Roman" w:cs="Times New Roman"/>
          <w:color w:val="auto"/>
          <w:vertAlign w:val="superscript"/>
        </w:rPr>
        <w:footnoteReference w:id="117"/>
      </w:r>
      <w:r w:rsidRPr="00D52EFE">
        <w:rPr>
          <w:rFonts w:ascii="Times New Roman" w:eastAsia="Times New Roman" w:hAnsi="Times New Roman" w:cs="Times New Roman"/>
          <w:color w:val="auto"/>
        </w:rPr>
        <w:t xml:space="preserve"> As has been noted elsewhere,</w:t>
      </w:r>
      <w:bookmarkStart w:id="41" w:name="_Ref495061804"/>
      <w:r w:rsidRPr="00D52EFE">
        <w:rPr>
          <w:rFonts w:ascii="Times New Roman" w:eastAsia="Times New Roman" w:hAnsi="Times New Roman" w:cs="Times New Roman"/>
          <w:color w:val="auto"/>
          <w:vertAlign w:val="superscript"/>
        </w:rPr>
        <w:footnoteReference w:id="118"/>
      </w:r>
      <w:bookmarkEnd w:id="41"/>
      <w:r w:rsidRPr="00D52EFE">
        <w:rPr>
          <w:rFonts w:ascii="Times New Roman" w:eastAsia="Times New Roman" w:hAnsi="Times New Roman" w:cs="Times New Roman"/>
          <w:color w:val="auto"/>
        </w:rPr>
        <w:t xml:space="preserve"> “necessary” is an adjective that appears frequently in instruments such as the ECHR. Significantly in this regard, the jurisprudence of the European Court of Human Rights - which has been approved by the CJEU - has historically adopted an interpretation requiring that the practice in question be close to essential for the specified purpose.</w:t>
      </w:r>
      <w:r w:rsidRPr="00D52EFE">
        <w:rPr>
          <w:rFonts w:ascii="Times New Roman" w:eastAsia="Times New Roman" w:hAnsi="Times New Roman" w:cs="Times New Roman"/>
          <w:color w:val="auto"/>
          <w:vertAlign w:val="superscript"/>
        </w:rPr>
        <w:footnoteReference w:id="119"/>
      </w:r>
      <w:r w:rsidRPr="00D52EFE">
        <w:rPr>
          <w:rFonts w:ascii="Times New Roman" w:eastAsia="Times New Roman" w:hAnsi="Times New Roman" w:cs="Times New Roman"/>
          <w:color w:val="auto"/>
        </w:rPr>
        <w:t xml:space="preserve"> The work of the Article 29 Working Party appears to suggest that a similar standard would be required in the data protection context if process personal data were to be processed on this basis.</w:t>
      </w:r>
      <w:r w:rsidRPr="00D52EFE">
        <w:rPr>
          <w:rFonts w:ascii="Times New Roman" w:eastAsia="Times New Roman" w:hAnsi="Times New Roman" w:cs="Times New Roman"/>
          <w:color w:val="auto"/>
          <w:vertAlign w:val="superscript"/>
        </w:rPr>
        <w:footnoteReference w:id="120"/>
      </w:r>
      <w:r w:rsidRPr="00D52EFE">
        <w:rPr>
          <w:rFonts w:ascii="Times New Roman" w:eastAsia="Times New Roman" w:hAnsi="Times New Roman" w:cs="Times New Roman"/>
          <w:color w:val="auto"/>
        </w:rPr>
        <w:t xml:space="preserve"> In other words, in order to legitimately process personal data on this basis, it would appear that data controllers must be able to show that it would be essentially impossible to enter a contract, or perform a contractual duty in relation to a particular individual, without processing any of said individual’s personal data. The requirement that the processing be “essential” should also probably be read together with the principle of data minimisation. </w:t>
      </w:r>
    </w:p>
    <w:p w14:paraId="15BBE299" w14:textId="77777777" w:rsidR="00D70F60" w:rsidRPr="00D52EFE" w:rsidRDefault="00D70F60" w:rsidP="00C86397">
      <w:pPr>
        <w:rPr>
          <w:rFonts w:ascii="Times New Roman" w:eastAsia="Times New Roman" w:hAnsi="Times New Roman" w:cs="Times New Roman"/>
          <w:color w:val="auto"/>
        </w:rPr>
      </w:pPr>
    </w:p>
    <w:p w14:paraId="63F0C180"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lastRenderedPageBreak/>
        <w:t>This legitimising ground may be particularly relevant in situations involving a contractual agreement between an individual and a private party, such as a bank or insurance company. In such a situation, in order for the bank or insurer to be able to evaluate an individual’s application for a loan or an insurance policy, the consideration of information such as the individual’s name, date of birth and address will be integral to making such a determination.</w:t>
      </w:r>
      <w:r w:rsidRPr="00D52EFE">
        <w:rPr>
          <w:rFonts w:ascii="Times New Roman" w:eastAsia="Times New Roman" w:hAnsi="Times New Roman" w:cs="Times New Roman"/>
          <w:color w:val="auto"/>
          <w:vertAlign w:val="superscript"/>
        </w:rPr>
        <w:footnoteReference w:id="121"/>
      </w:r>
      <w:r w:rsidRPr="00D52EFE">
        <w:rPr>
          <w:rFonts w:ascii="Times New Roman" w:eastAsia="Times New Roman" w:hAnsi="Times New Roman" w:cs="Times New Roman"/>
          <w:color w:val="auto"/>
        </w:rPr>
        <w:t xml:space="preserve"> Another salient example provided by the Article 29 Working Party is that the processing of personal data may be necessary for the performance of a contract of employment.</w:t>
      </w:r>
      <w:r w:rsidRPr="00D52EFE">
        <w:rPr>
          <w:rFonts w:ascii="Times New Roman" w:eastAsia="Times New Roman" w:hAnsi="Times New Roman" w:cs="Times New Roman"/>
          <w:color w:val="auto"/>
          <w:vertAlign w:val="superscript"/>
        </w:rPr>
        <w:footnoteReference w:id="122"/>
      </w:r>
      <w:r w:rsidRPr="00D52EFE">
        <w:rPr>
          <w:rFonts w:ascii="Times New Roman" w:eastAsia="Times New Roman" w:hAnsi="Times New Roman" w:cs="Times New Roman"/>
          <w:color w:val="auto"/>
        </w:rPr>
        <w:t xml:space="preserve"> As others have noted, however, whilst it may be useful for an employer to record details of employees’ next of kin in the event of accident or illness at work, this would not ordinarily be essential for the normal purposes of employment, and thus the identification of an alternative ground for processing would likely be required in such a context.</w:t>
      </w:r>
      <w:r w:rsidRPr="00D52EFE">
        <w:rPr>
          <w:rFonts w:ascii="Times New Roman" w:eastAsia="Times New Roman" w:hAnsi="Times New Roman" w:cs="Times New Roman"/>
          <w:color w:val="auto"/>
          <w:vertAlign w:val="superscript"/>
        </w:rPr>
        <w:footnoteReference w:id="123"/>
      </w:r>
      <w:r w:rsidRPr="00D52EFE">
        <w:rPr>
          <w:rFonts w:ascii="Times New Roman" w:eastAsia="Times New Roman" w:hAnsi="Times New Roman" w:cs="Times New Roman"/>
          <w:color w:val="auto"/>
        </w:rPr>
        <w:t xml:space="preserve"> </w:t>
      </w:r>
    </w:p>
    <w:p w14:paraId="263C3500" w14:textId="77777777" w:rsidR="00D70F60" w:rsidRPr="00D52EFE" w:rsidRDefault="00D70F60" w:rsidP="00C86397">
      <w:pPr>
        <w:rPr>
          <w:rFonts w:ascii="Times New Roman" w:eastAsia="Times New Roman" w:hAnsi="Times New Roman" w:cs="Times New Roman"/>
          <w:color w:val="auto"/>
        </w:rPr>
      </w:pPr>
    </w:p>
    <w:p w14:paraId="6ECA113F" w14:textId="58509340" w:rsidR="00D70F60" w:rsidRPr="00D52EFE" w:rsidRDefault="007C694F" w:rsidP="00C86397">
      <w:pPr>
        <w:pStyle w:val="Heading2"/>
        <w:rPr>
          <w:b/>
          <w:color w:val="auto"/>
          <w:sz w:val="22"/>
          <w:szCs w:val="22"/>
        </w:rPr>
      </w:pPr>
      <w:bookmarkStart w:id="42" w:name="_8tnig1f9l28a" w:colFirst="0" w:colLast="0"/>
      <w:bookmarkStart w:id="43" w:name="_Toc495674480"/>
      <w:bookmarkEnd w:id="42"/>
      <w:r w:rsidRPr="00D52EFE">
        <w:rPr>
          <w:b/>
          <w:color w:val="auto"/>
          <w:sz w:val="22"/>
          <w:szCs w:val="22"/>
        </w:rPr>
        <w:t>3.5.</w:t>
      </w:r>
      <w:r w:rsidRPr="00D52EFE">
        <w:rPr>
          <w:b/>
          <w:color w:val="auto"/>
          <w:sz w:val="22"/>
          <w:szCs w:val="22"/>
        </w:rPr>
        <w:tab/>
      </w:r>
      <w:r w:rsidR="000B5581" w:rsidRPr="00D52EFE">
        <w:rPr>
          <w:b/>
          <w:color w:val="auto"/>
          <w:sz w:val="22"/>
          <w:szCs w:val="22"/>
        </w:rPr>
        <w:t xml:space="preserve">Processing </w:t>
      </w:r>
      <w:r w:rsidR="00572813" w:rsidRPr="00D52EFE">
        <w:rPr>
          <w:b/>
          <w:color w:val="auto"/>
          <w:sz w:val="22"/>
          <w:szCs w:val="22"/>
        </w:rPr>
        <w:t>that is Necessary for the Performance of a Task carried out in the Public Interest or in the Exercise of Official Authority vested in the Controller</w:t>
      </w:r>
      <w:bookmarkEnd w:id="43"/>
    </w:p>
    <w:p w14:paraId="59048C54" w14:textId="77777777" w:rsidR="00D70F60" w:rsidRPr="00D52EFE" w:rsidRDefault="00D70F60" w:rsidP="00C86397">
      <w:pPr>
        <w:rPr>
          <w:rFonts w:ascii="Times New Roman" w:eastAsia="Times New Roman" w:hAnsi="Times New Roman" w:cs="Times New Roman"/>
          <w:color w:val="auto"/>
        </w:rPr>
      </w:pPr>
    </w:p>
    <w:p w14:paraId="5EA1DDC6" w14:textId="4A682F06" w:rsidR="00D70F60" w:rsidRPr="00D52EFE" w:rsidRDefault="00FD666F"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EU</w:t>
      </w:r>
      <w:r w:rsidR="000B5581" w:rsidRPr="00D52EFE">
        <w:rPr>
          <w:rFonts w:ascii="Times New Roman" w:eastAsia="Times New Roman" w:hAnsi="Times New Roman" w:cs="Times New Roman"/>
          <w:color w:val="auto"/>
        </w:rPr>
        <w:t xml:space="preserve"> data protection framework also specifies that the processing of personal data is permissible when such processing is necessary for the performance of tasks carried out by a public authority or private organisation acting in the public interest. Particularly, </w:t>
      </w:r>
      <w:r w:rsidR="004D4223" w:rsidRPr="00D52EFE">
        <w:rPr>
          <w:rFonts w:ascii="Times New Roman" w:eastAsia="Times New Roman" w:hAnsi="Times New Roman" w:cs="Times New Roman"/>
          <w:color w:val="auto"/>
        </w:rPr>
        <w:t xml:space="preserve">DPD </w:t>
      </w:r>
      <w:r w:rsidR="000B5581" w:rsidRPr="00D52EFE">
        <w:rPr>
          <w:rFonts w:ascii="Times New Roman" w:eastAsia="Times New Roman" w:hAnsi="Times New Roman" w:cs="Times New Roman"/>
          <w:color w:val="auto"/>
        </w:rPr>
        <w:t xml:space="preserve">Article 7(e) and </w:t>
      </w:r>
      <w:r w:rsidR="004D4223" w:rsidRPr="00D52EFE">
        <w:rPr>
          <w:rFonts w:ascii="Times New Roman" w:eastAsia="Times New Roman" w:hAnsi="Times New Roman" w:cs="Times New Roman"/>
          <w:color w:val="auto"/>
        </w:rPr>
        <w:t xml:space="preserve">GDPR </w:t>
      </w:r>
      <w:r w:rsidR="000B5581" w:rsidRPr="00D52EFE">
        <w:rPr>
          <w:rFonts w:ascii="Times New Roman" w:eastAsia="Times New Roman" w:hAnsi="Times New Roman" w:cs="Times New Roman"/>
          <w:color w:val="auto"/>
        </w:rPr>
        <w:t>Article 6(1)(e) both specify that proce</w:t>
      </w:r>
      <w:r w:rsidR="009F3558" w:rsidRPr="00D52EFE">
        <w:rPr>
          <w:rFonts w:ascii="Times New Roman" w:eastAsia="Times New Roman" w:hAnsi="Times New Roman" w:cs="Times New Roman"/>
          <w:color w:val="auto"/>
        </w:rPr>
        <w:t xml:space="preserve">ssing will be lawful when it is </w:t>
      </w:r>
      <w:r w:rsidR="000B5581" w:rsidRPr="00D52EFE">
        <w:rPr>
          <w:rFonts w:ascii="Times New Roman" w:eastAsia="Times New Roman" w:hAnsi="Times New Roman" w:cs="Times New Roman"/>
          <w:color w:val="auto"/>
        </w:rPr>
        <w:t>“</w:t>
      </w:r>
      <w:r w:rsidR="000B5581" w:rsidRPr="00D52EFE">
        <w:rPr>
          <w:rFonts w:ascii="Times New Roman" w:eastAsia="Times New Roman" w:hAnsi="Times New Roman" w:cs="Times New Roman"/>
          <w:i/>
          <w:color w:val="auto"/>
        </w:rPr>
        <w:t>…necessary for the performance of a task carried out in the public interest or in the exercise of official authority vested in the controller</w:t>
      </w:r>
      <w:r w:rsidR="000B5581" w:rsidRPr="00D52EFE">
        <w:rPr>
          <w:rFonts w:ascii="Times New Roman" w:eastAsia="Times New Roman" w:hAnsi="Times New Roman" w:cs="Times New Roman"/>
          <w:color w:val="auto"/>
        </w:rPr>
        <w:t>…”</w:t>
      </w:r>
    </w:p>
    <w:p w14:paraId="02C5DE82" w14:textId="77777777" w:rsidR="00D70F60" w:rsidRPr="00D52EFE" w:rsidRDefault="00D70F60" w:rsidP="00C86397">
      <w:pPr>
        <w:ind w:left="720"/>
        <w:rPr>
          <w:rFonts w:ascii="Times New Roman" w:eastAsia="Times New Roman" w:hAnsi="Times New Roman" w:cs="Times New Roman"/>
          <w:color w:val="auto"/>
        </w:rPr>
      </w:pPr>
    </w:p>
    <w:p w14:paraId="1572D200" w14:textId="77777777" w:rsidR="004F09AB"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Whilst neither the DPD nor the GDPR explicitly define the term “public interest”, both legislative instruments allude to the fact that matters concerning public health, social protection, taxation and customs administrations, humanitarian issues would fall within its scope.</w:t>
      </w:r>
      <w:r w:rsidRPr="00D52EFE">
        <w:rPr>
          <w:rFonts w:ascii="Times New Roman" w:eastAsia="Times New Roman" w:hAnsi="Times New Roman" w:cs="Times New Roman"/>
          <w:color w:val="auto"/>
          <w:vertAlign w:val="superscript"/>
        </w:rPr>
        <w:footnoteReference w:id="124"/>
      </w:r>
      <w:r w:rsidRPr="00D52EFE">
        <w:rPr>
          <w:rFonts w:ascii="Times New Roman" w:eastAsia="Times New Roman" w:hAnsi="Times New Roman" w:cs="Times New Roman"/>
          <w:color w:val="auto"/>
        </w:rPr>
        <w:t xml:space="preserve"> This is an understanding of the term that is also </w:t>
      </w:r>
      <w:r w:rsidR="00C7563D" w:rsidRPr="00D52EFE">
        <w:rPr>
          <w:rFonts w:ascii="Times New Roman" w:eastAsia="Times New Roman" w:hAnsi="Times New Roman" w:cs="Times New Roman"/>
          <w:color w:val="auto"/>
        </w:rPr>
        <w:t xml:space="preserve">alluded to by the Article </w:t>
      </w:r>
      <w:r w:rsidRPr="00D52EFE">
        <w:rPr>
          <w:rFonts w:ascii="Times New Roman" w:eastAsia="Times New Roman" w:hAnsi="Times New Roman" w:cs="Times New Roman"/>
          <w:color w:val="auto"/>
        </w:rPr>
        <w:t>29 Working Party.</w:t>
      </w:r>
      <w:r w:rsidRPr="00D52EFE">
        <w:rPr>
          <w:rFonts w:ascii="Times New Roman" w:eastAsia="Times New Roman" w:hAnsi="Times New Roman" w:cs="Times New Roman"/>
          <w:color w:val="auto"/>
          <w:vertAlign w:val="superscript"/>
        </w:rPr>
        <w:footnoteReference w:id="125"/>
      </w:r>
      <w:r w:rsidRPr="00D52EFE">
        <w:rPr>
          <w:rFonts w:ascii="Times New Roman" w:eastAsia="Times New Roman" w:hAnsi="Times New Roman" w:cs="Times New Roman"/>
          <w:color w:val="auto"/>
        </w:rPr>
        <w:t xml:space="preserve"> </w:t>
      </w:r>
    </w:p>
    <w:p w14:paraId="0A9FCF44" w14:textId="77777777" w:rsidR="004F09AB" w:rsidRPr="00D52EFE" w:rsidRDefault="004F09AB" w:rsidP="00C86397">
      <w:pPr>
        <w:rPr>
          <w:rFonts w:ascii="Times New Roman" w:eastAsia="Times New Roman" w:hAnsi="Times New Roman" w:cs="Times New Roman"/>
          <w:color w:val="auto"/>
        </w:rPr>
      </w:pPr>
    </w:p>
    <w:p w14:paraId="7BF5D214" w14:textId="112319C2"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UK ICO has examined the notion of “public interest” in the data protection context, and in its guidance on the public interest test in the context of the UK Freedom of Information Act 2000</w:t>
      </w:r>
      <w:r w:rsidRPr="00D52EFE">
        <w:rPr>
          <w:rFonts w:ascii="Times New Roman" w:eastAsia="Times New Roman" w:hAnsi="Times New Roman" w:cs="Times New Roman"/>
          <w:color w:val="auto"/>
          <w:vertAlign w:val="superscript"/>
        </w:rPr>
        <w:footnoteReference w:id="126"/>
      </w:r>
      <w:r w:rsidRPr="00D52EFE">
        <w:rPr>
          <w:rFonts w:ascii="Times New Roman" w:eastAsia="Times New Roman" w:hAnsi="Times New Roman" w:cs="Times New Roman"/>
          <w:color w:val="auto"/>
        </w:rPr>
        <w:t xml:space="preserve"> states that:</w:t>
      </w:r>
    </w:p>
    <w:p w14:paraId="20893398" w14:textId="77777777" w:rsidR="00D70F60" w:rsidRPr="00D52EFE" w:rsidRDefault="00D70F60" w:rsidP="00C86397">
      <w:pPr>
        <w:rPr>
          <w:rFonts w:ascii="Times New Roman" w:eastAsia="Times New Roman" w:hAnsi="Times New Roman" w:cs="Times New Roman"/>
          <w:color w:val="auto"/>
        </w:rPr>
      </w:pPr>
    </w:p>
    <w:p w14:paraId="6DFF6A0F" w14:textId="1B96E74C" w:rsidR="004F09AB" w:rsidRPr="00D52EFE" w:rsidRDefault="000B5581" w:rsidP="00C86397">
      <w:pPr>
        <w:ind w:left="1134"/>
        <w:rPr>
          <w:rFonts w:ascii="Times New Roman" w:eastAsia="Times New Roman" w:hAnsi="Times New Roman" w:cs="Times New Roman"/>
          <w:color w:val="auto"/>
        </w:rPr>
      </w:pPr>
      <w:r w:rsidRPr="00D52EFE">
        <w:rPr>
          <w:rFonts w:ascii="Times New Roman" w:eastAsia="Times New Roman" w:hAnsi="Times New Roman" w:cs="Times New Roman"/>
          <w:i/>
          <w:color w:val="auto"/>
        </w:rPr>
        <w:t>The public interest can cover a wide range of values and principles relating to the public good, or what is in the best interests of society. Thus, for example, there is a public interest in transparency and accountability, to promote public understanding and to safeguard democratic processes. There is a public interest in good decision-making by public bodies, in upholding standards of integrity, in ensuring justice and fair treatment for all, in securing the best use of public resources and in ensuring fair commercial competition in a mixed economy…</w:t>
      </w:r>
      <w:r w:rsidRPr="00D52EFE">
        <w:rPr>
          <w:rFonts w:ascii="Times New Roman" w:eastAsia="Times New Roman" w:hAnsi="Times New Roman" w:cs="Times New Roman"/>
          <w:color w:val="auto"/>
          <w:vertAlign w:val="superscript"/>
        </w:rPr>
        <w:footnoteReference w:id="127"/>
      </w:r>
    </w:p>
    <w:p w14:paraId="33D83202" w14:textId="77777777" w:rsidR="004F09AB" w:rsidRPr="00D52EFE" w:rsidRDefault="004F09AB" w:rsidP="00C86397">
      <w:pPr>
        <w:rPr>
          <w:rFonts w:ascii="Times New Roman" w:eastAsia="Times New Roman" w:hAnsi="Times New Roman" w:cs="Times New Roman"/>
          <w:color w:val="auto"/>
        </w:rPr>
      </w:pPr>
    </w:p>
    <w:p w14:paraId="65928FD3" w14:textId="77ABAA07" w:rsidR="004F09AB" w:rsidRPr="00D52EFE" w:rsidRDefault="004F09AB"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lastRenderedPageBreak/>
        <w:t xml:space="preserve">Nevertheless, in its Guide to the General Data Protection Regulation, the ICO adds that </w:t>
      </w:r>
    </w:p>
    <w:p w14:paraId="23729A89" w14:textId="77777777" w:rsidR="004F09AB" w:rsidRPr="00D52EFE" w:rsidRDefault="004F09AB" w:rsidP="00C86397">
      <w:pPr>
        <w:rPr>
          <w:rFonts w:ascii="Times New Roman" w:eastAsia="Times New Roman" w:hAnsi="Times New Roman" w:cs="Times New Roman"/>
          <w:color w:val="auto"/>
        </w:rPr>
      </w:pPr>
    </w:p>
    <w:p w14:paraId="3973084D" w14:textId="1A65B96B" w:rsidR="004F09AB" w:rsidRPr="00D52EFE" w:rsidRDefault="004F09AB" w:rsidP="00C86397">
      <w:pPr>
        <w:ind w:left="1134"/>
        <w:rPr>
          <w:rFonts w:ascii="Times New Roman" w:eastAsia="Times New Roman" w:hAnsi="Times New Roman" w:cs="Times New Roman"/>
          <w:i/>
          <w:color w:val="auto"/>
        </w:rPr>
      </w:pPr>
      <w:r w:rsidRPr="00D52EFE">
        <w:rPr>
          <w:rFonts w:ascii="Times New Roman" w:eastAsia="Times New Roman" w:hAnsi="Times New Roman" w:cs="Times New Roman"/>
          <w:i/>
          <w:color w:val="auto"/>
        </w:rPr>
        <w:t>there is no direct link to the concept of ‘public task’ in the Re-use of Public Sector Information Regulations 2015 (RPSI). There is some overlap, as a public sector body’s core role and functions for RPSI purposes may be a useful starting point in demonstrating official authority for these purposes. However, you shouldn’t assume that it is an identical test.</w:t>
      </w:r>
      <w:bookmarkStart w:id="44" w:name="_Ref512496091"/>
      <w:r w:rsidRPr="00D52EFE">
        <w:rPr>
          <w:rStyle w:val="FootnoteReference"/>
          <w:rFonts w:ascii="Times New Roman" w:eastAsia="Times New Roman" w:hAnsi="Times New Roman" w:cs="Times New Roman"/>
          <w:color w:val="auto"/>
        </w:rPr>
        <w:footnoteReference w:id="128"/>
      </w:r>
      <w:bookmarkEnd w:id="44"/>
    </w:p>
    <w:p w14:paraId="4602934E" w14:textId="77777777" w:rsidR="004F09AB" w:rsidRPr="00D52EFE" w:rsidRDefault="004F09AB" w:rsidP="00C86397">
      <w:pPr>
        <w:rPr>
          <w:rFonts w:ascii="Times New Roman" w:eastAsia="Times New Roman" w:hAnsi="Times New Roman" w:cs="Times New Roman"/>
          <w:color w:val="auto"/>
        </w:rPr>
      </w:pPr>
    </w:p>
    <w:p w14:paraId="5A72A205" w14:textId="47DE626F" w:rsidR="00C850BD" w:rsidRPr="00D52EFE" w:rsidRDefault="00C850BD"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UK Data Protection Bills is more concise and </w:t>
      </w:r>
      <w:r w:rsidR="0021156A" w:rsidRPr="00D52EFE">
        <w:rPr>
          <w:rFonts w:ascii="Times New Roman" w:eastAsia="Times New Roman" w:hAnsi="Times New Roman" w:cs="Times New Roman"/>
          <w:color w:val="auto"/>
        </w:rPr>
        <w:t>includes</w:t>
      </w:r>
      <w:r w:rsidRPr="00D52EFE">
        <w:rPr>
          <w:rFonts w:ascii="Times New Roman" w:eastAsia="Times New Roman" w:hAnsi="Times New Roman" w:cs="Times New Roman"/>
          <w:color w:val="auto"/>
        </w:rPr>
        <w:t xml:space="preserve"> in its section </w:t>
      </w:r>
      <w:r w:rsidR="0021156A" w:rsidRPr="00D52EFE">
        <w:rPr>
          <w:rFonts w:ascii="Times New Roman" w:eastAsia="Times New Roman" w:hAnsi="Times New Roman" w:cs="Times New Roman"/>
          <w:color w:val="auto"/>
        </w:rPr>
        <w:t xml:space="preserve">7 processing of personal data that is </w:t>
      </w:r>
      <w:r w:rsidR="0021156A" w:rsidRPr="00D52EFE">
        <w:rPr>
          <w:rFonts w:ascii="Times New Roman" w:eastAsia="Times New Roman" w:hAnsi="Times New Roman" w:cs="Times New Roman"/>
          <w:i/>
          <w:color w:val="auto"/>
        </w:rPr>
        <w:t>“necessary for the administration of justice, the exercise of a function of either House of Parliament, the exercise of a function conferred on a person by an enactment, or the exercise of a function of the Crown, a Minister of the Crown or a government department.”</w:t>
      </w:r>
    </w:p>
    <w:p w14:paraId="341FA623" w14:textId="77777777" w:rsidR="0021156A" w:rsidRPr="00D52EFE" w:rsidRDefault="0021156A" w:rsidP="00C86397">
      <w:pPr>
        <w:rPr>
          <w:rFonts w:ascii="Times New Roman" w:eastAsia="Times New Roman" w:hAnsi="Times New Roman" w:cs="Times New Roman"/>
          <w:color w:val="auto"/>
        </w:rPr>
      </w:pPr>
    </w:p>
    <w:p w14:paraId="638EEC2B" w14:textId="400063A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More broadly, away from the data protection field, notably in the context of issues relating to the free movement of goods, services, persons or capital, th</w:t>
      </w:r>
      <w:r w:rsidR="001A3C68" w:rsidRPr="00D52EFE">
        <w:rPr>
          <w:rFonts w:ascii="Times New Roman" w:eastAsia="Times New Roman" w:hAnsi="Times New Roman" w:cs="Times New Roman"/>
          <w:color w:val="auto"/>
        </w:rPr>
        <w:t xml:space="preserve">e CJEU has considered the term </w:t>
      </w:r>
      <w:r w:rsidRPr="00D52EFE">
        <w:rPr>
          <w:rFonts w:ascii="Times New Roman" w:eastAsia="Times New Roman" w:hAnsi="Times New Roman" w:cs="Times New Roman"/>
          <w:color w:val="auto"/>
        </w:rPr>
        <w:t xml:space="preserve">to encompass: </w:t>
      </w:r>
      <w:r w:rsidR="001A3C68" w:rsidRPr="00D52EFE">
        <w:rPr>
          <w:rFonts w:ascii="Times New Roman" w:eastAsia="Times New Roman" w:hAnsi="Times New Roman" w:cs="Times New Roman"/>
          <w:color w:val="auto"/>
        </w:rPr>
        <w:t>the protection of public health;</w:t>
      </w:r>
      <w:r w:rsidRPr="00D52EFE">
        <w:rPr>
          <w:rFonts w:ascii="Times New Roman" w:eastAsia="Times New Roman" w:hAnsi="Times New Roman" w:cs="Times New Roman"/>
          <w:color w:val="auto"/>
        </w:rPr>
        <w:t xml:space="preserve"> the protection of consumers, th</w:t>
      </w:r>
      <w:r w:rsidR="001A3C68" w:rsidRPr="00D52EFE">
        <w:rPr>
          <w:rFonts w:ascii="Times New Roman" w:eastAsia="Times New Roman" w:hAnsi="Times New Roman" w:cs="Times New Roman"/>
          <w:color w:val="auto"/>
        </w:rPr>
        <w:t>e protection of the environment;</w:t>
      </w:r>
      <w:r w:rsidRPr="00D52EFE">
        <w:rPr>
          <w:rFonts w:ascii="Times New Roman" w:eastAsia="Times New Roman" w:hAnsi="Times New Roman" w:cs="Times New Roman"/>
          <w:color w:val="auto"/>
        </w:rPr>
        <w:t xml:space="preserve"> ensuring the in</w:t>
      </w:r>
      <w:r w:rsidR="001A3C68" w:rsidRPr="00D52EFE">
        <w:rPr>
          <w:rFonts w:ascii="Times New Roman" w:eastAsia="Times New Roman" w:hAnsi="Times New Roman" w:cs="Times New Roman"/>
          <w:color w:val="auto"/>
        </w:rPr>
        <w:t>tegrity of the financial sector; the prevention of crime;</w:t>
      </w:r>
      <w:r w:rsidRPr="00D52EFE">
        <w:rPr>
          <w:rFonts w:ascii="Times New Roman" w:eastAsia="Times New Roman" w:hAnsi="Times New Roman" w:cs="Times New Roman"/>
          <w:color w:val="auto"/>
        </w:rPr>
        <w:t xml:space="preserve"> the maintenance of financial and</w:t>
      </w:r>
      <w:r w:rsidR="001A3C68" w:rsidRPr="00D52EFE">
        <w:rPr>
          <w:rFonts w:ascii="Times New Roman" w:eastAsia="Times New Roman" w:hAnsi="Times New Roman" w:cs="Times New Roman"/>
          <w:color w:val="auto"/>
        </w:rPr>
        <w:t xml:space="preserve"> competitive balance;</w:t>
      </w:r>
      <w:r w:rsidRPr="00D52EFE">
        <w:rPr>
          <w:rFonts w:ascii="Times New Roman" w:eastAsia="Times New Roman" w:hAnsi="Times New Roman" w:cs="Times New Roman"/>
          <w:color w:val="auto"/>
        </w:rPr>
        <w:t xml:space="preserve"> and the need to ensure the proper functioning of sporting competitions.</w:t>
      </w:r>
      <w:r w:rsidRPr="00D52EFE">
        <w:rPr>
          <w:rFonts w:ascii="Times New Roman" w:eastAsia="Times New Roman" w:hAnsi="Times New Roman" w:cs="Times New Roman"/>
          <w:color w:val="auto"/>
          <w:vertAlign w:val="superscript"/>
        </w:rPr>
        <w:footnoteReference w:id="129"/>
      </w:r>
      <w:r w:rsidRPr="00D52EFE">
        <w:rPr>
          <w:rFonts w:ascii="Times New Roman" w:eastAsia="Times New Roman" w:hAnsi="Times New Roman" w:cs="Times New Roman"/>
          <w:color w:val="auto"/>
        </w:rPr>
        <w:t xml:space="preserve"> </w:t>
      </w:r>
    </w:p>
    <w:p w14:paraId="46EDF884" w14:textId="77777777" w:rsidR="004F09AB" w:rsidRPr="00D52EFE" w:rsidRDefault="004F09AB" w:rsidP="00C86397">
      <w:pPr>
        <w:rPr>
          <w:rFonts w:ascii="Times New Roman" w:eastAsia="Times New Roman" w:hAnsi="Times New Roman" w:cs="Times New Roman"/>
          <w:color w:val="auto"/>
        </w:rPr>
      </w:pPr>
    </w:p>
    <w:p w14:paraId="52D21186" w14:textId="3CB82228" w:rsidR="004F09AB" w:rsidRPr="00D52EFE" w:rsidRDefault="004F09AB" w:rsidP="00C86397">
      <w:pPr>
        <w:rPr>
          <w:rFonts w:ascii="Times New Roman" w:hAnsi="Times New Roman" w:cs="Times New Roman"/>
          <w:color w:val="auto"/>
        </w:rPr>
      </w:pPr>
      <w:r w:rsidRPr="00D52EFE">
        <w:rPr>
          <w:rFonts w:ascii="Times New Roman" w:eastAsia="Times New Roman" w:hAnsi="Times New Roman" w:cs="Times New Roman"/>
          <w:color w:val="auto"/>
        </w:rPr>
        <w:t xml:space="preserve">GDPR </w:t>
      </w:r>
      <w:r w:rsidRPr="00D52EFE">
        <w:rPr>
          <w:rFonts w:ascii="Times New Roman" w:hAnsi="Times New Roman" w:cs="Times New Roman"/>
          <w:color w:val="auto"/>
        </w:rPr>
        <w:t xml:space="preserve">Recital 41 clarifies that the public interest </w:t>
      </w:r>
      <w:r w:rsidR="000A78C3" w:rsidRPr="00D52EFE">
        <w:rPr>
          <w:rFonts w:ascii="Times New Roman" w:hAnsi="Times New Roman" w:cs="Times New Roman"/>
          <w:color w:val="auto"/>
        </w:rPr>
        <w:t xml:space="preserve">task legal basis </w:t>
      </w:r>
      <w:r w:rsidRPr="00D52EFE">
        <w:rPr>
          <w:rFonts w:ascii="Times New Roman" w:hAnsi="Times New Roman" w:cs="Times New Roman"/>
          <w:color w:val="auto"/>
        </w:rPr>
        <w:t>does not necessarily require a legislative act adopted by a parliament</w:t>
      </w:r>
      <w:r w:rsidR="000A78C3" w:rsidRPr="00D52EFE">
        <w:rPr>
          <w:rFonts w:ascii="Times New Roman" w:hAnsi="Times New Roman" w:cs="Times New Roman"/>
          <w:color w:val="auto"/>
        </w:rPr>
        <w:t>. However</w:t>
      </w:r>
      <w:r w:rsidR="004E3CB1" w:rsidRPr="00D52EFE">
        <w:rPr>
          <w:rFonts w:ascii="Times New Roman" w:hAnsi="Times New Roman" w:cs="Times New Roman"/>
          <w:color w:val="auto"/>
        </w:rPr>
        <w:t>,</w:t>
      </w:r>
      <w:r w:rsidR="000A78C3" w:rsidRPr="00D52EFE">
        <w:rPr>
          <w:rFonts w:ascii="Times New Roman" w:hAnsi="Times New Roman" w:cs="Times New Roman"/>
          <w:color w:val="auto"/>
        </w:rPr>
        <w:t xml:space="preserve"> the law must clear and foreseeable. To use the words of the ICO, </w:t>
      </w:r>
      <w:r w:rsidR="000A78C3" w:rsidRPr="00D52EFE">
        <w:rPr>
          <w:rFonts w:ascii="Times New Roman" w:hAnsi="Times New Roman" w:cs="Times New Roman"/>
          <w:i/>
          <w:color w:val="auto"/>
        </w:rPr>
        <w:t>“the point is that your overall purpose must be to perform a public interest task or exercise official authority, and that overall task or authority has a sufficiently clear basis in law.”</w:t>
      </w:r>
      <w:r w:rsidR="000A78C3" w:rsidRPr="00D52EFE">
        <w:rPr>
          <w:rStyle w:val="FootnoteReference"/>
          <w:rFonts w:ascii="Times New Roman" w:hAnsi="Times New Roman" w:cs="Times New Roman"/>
          <w:i/>
          <w:color w:val="auto"/>
        </w:rPr>
        <w:footnoteReference w:id="130"/>
      </w:r>
    </w:p>
    <w:p w14:paraId="6FCE16A5" w14:textId="77777777" w:rsidR="004F09AB" w:rsidRPr="00D52EFE" w:rsidRDefault="004F09AB" w:rsidP="00C86397">
      <w:pPr>
        <w:rPr>
          <w:rFonts w:ascii="Times New Roman" w:hAnsi="Times New Roman" w:cs="Times New Roman"/>
          <w:color w:val="auto"/>
        </w:rPr>
      </w:pPr>
    </w:p>
    <w:p w14:paraId="5CB95E07" w14:textId="4FA24CDB" w:rsidR="004F09AB" w:rsidRPr="00D52EFE" w:rsidRDefault="0001070B"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In its guide to the General Data Protection Regulation, the ICO makes it clear that </w:t>
      </w:r>
      <w:r w:rsidR="00A10C0B" w:rsidRPr="00D52EFE">
        <w:rPr>
          <w:rFonts w:ascii="Times New Roman" w:eastAsia="Times New Roman" w:hAnsi="Times New Roman" w:cs="Times New Roman"/>
          <w:i/>
          <w:color w:val="auto"/>
        </w:rPr>
        <w:t>“one key difference is that the GDPR says that the relevant task or function must have a clear basis in law.”</w:t>
      </w:r>
      <w:r w:rsidR="00A10C0B" w:rsidRPr="00D52EFE">
        <w:rPr>
          <w:rStyle w:val="FootnoteReference"/>
          <w:rFonts w:ascii="Times New Roman" w:eastAsia="Times New Roman" w:hAnsi="Times New Roman" w:cs="Times New Roman"/>
          <w:color w:val="auto"/>
        </w:rPr>
        <w:t xml:space="preserve"> </w:t>
      </w:r>
      <w:r w:rsidR="00A10C0B" w:rsidRPr="00D52EFE">
        <w:rPr>
          <w:rStyle w:val="FootnoteReference"/>
          <w:rFonts w:ascii="Times New Roman" w:eastAsia="Times New Roman" w:hAnsi="Times New Roman" w:cs="Times New Roman"/>
          <w:color w:val="auto"/>
        </w:rPr>
        <w:footnoteReference w:id="131"/>
      </w:r>
      <w:r w:rsidR="00A10C0B" w:rsidRPr="00D52EFE">
        <w:rPr>
          <w:rFonts w:ascii="Times New Roman" w:eastAsia="Times New Roman" w:hAnsi="Times New Roman" w:cs="Times New Roman"/>
          <w:color w:val="auto"/>
        </w:rPr>
        <w:t xml:space="preserve"> This is the consequence of GDPR Article 6(3).</w:t>
      </w:r>
      <w:r w:rsidR="002C1906" w:rsidRPr="00D52EFE">
        <w:rPr>
          <w:rStyle w:val="FootnoteReference"/>
          <w:rFonts w:ascii="Times New Roman" w:eastAsia="Times New Roman" w:hAnsi="Times New Roman" w:cs="Times New Roman"/>
          <w:color w:val="auto"/>
        </w:rPr>
        <w:footnoteReference w:id="132"/>
      </w:r>
      <w:r w:rsidR="004F09AB" w:rsidRPr="00D52EFE">
        <w:rPr>
          <w:rFonts w:ascii="Times New Roman" w:eastAsia="Times New Roman" w:hAnsi="Times New Roman" w:cs="Times New Roman"/>
          <w:color w:val="auto"/>
        </w:rPr>
        <w:t xml:space="preserve"> </w:t>
      </w:r>
    </w:p>
    <w:p w14:paraId="2F66B2E2" w14:textId="77777777" w:rsidR="00A10C0B" w:rsidRPr="00D52EFE" w:rsidRDefault="00A10C0B" w:rsidP="00C86397">
      <w:pPr>
        <w:rPr>
          <w:rFonts w:ascii="Times New Roman" w:eastAsia="Times New Roman" w:hAnsi="Times New Roman" w:cs="Times New Roman"/>
          <w:color w:val="auto"/>
        </w:rPr>
      </w:pPr>
    </w:p>
    <w:p w14:paraId="77795087" w14:textId="6F858321" w:rsidR="0001070B" w:rsidRPr="00D52EFE" w:rsidRDefault="002C1906"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In addition, the task carried in the public interest legal basis is exclusive of the legitimate interests legal basis as per GDPR Article 6(1). </w:t>
      </w:r>
    </w:p>
    <w:p w14:paraId="7D07182A" w14:textId="77777777" w:rsidR="00D70F60" w:rsidRPr="00D52EFE" w:rsidRDefault="00D70F60" w:rsidP="00C86397">
      <w:pPr>
        <w:rPr>
          <w:rFonts w:ascii="Times New Roman" w:eastAsia="Times New Roman" w:hAnsi="Times New Roman" w:cs="Times New Roman"/>
          <w:color w:val="auto"/>
        </w:rPr>
      </w:pPr>
    </w:p>
    <w:p w14:paraId="14370EB4"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lastRenderedPageBreak/>
        <w:t>Irrespective of the definition of public interest itself, however, it is important to note that any processing of personal data undertaken on this basis may be subject to objections from individuals whose personal data are involved.</w:t>
      </w:r>
      <w:r w:rsidRPr="00D52EFE">
        <w:rPr>
          <w:rFonts w:ascii="Times New Roman" w:eastAsia="Times New Roman" w:hAnsi="Times New Roman" w:cs="Times New Roman"/>
          <w:color w:val="auto"/>
          <w:vertAlign w:val="superscript"/>
        </w:rPr>
        <w:footnoteReference w:id="133"/>
      </w:r>
      <w:r w:rsidRPr="00D52EFE">
        <w:rPr>
          <w:rFonts w:ascii="Times New Roman" w:eastAsia="Times New Roman" w:hAnsi="Times New Roman" w:cs="Times New Roman"/>
          <w:color w:val="auto"/>
        </w:rPr>
        <w:t xml:space="preserve"> Once again, it is also important to pay heed to the DPD and GDPR’s inclusion of the term “necessary”. A clear apparent implication of this being that the processing of personal data in pursuit of performing a task that is in the public interest will not be permissible unless the achievement of said task be reached without the processing of personal data, or said processing cannot be legitimised by other means, such as the individuals’ whose personal data are involved giving their consent. </w:t>
      </w:r>
    </w:p>
    <w:p w14:paraId="714ABD50" w14:textId="77777777" w:rsidR="00365C3A" w:rsidRPr="00D52EFE" w:rsidRDefault="00365C3A" w:rsidP="00C86397">
      <w:pPr>
        <w:rPr>
          <w:rFonts w:ascii="Times New Roman" w:eastAsia="Times New Roman" w:hAnsi="Times New Roman" w:cs="Times New Roman"/>
          <w:color w:val="auto"/>
        </w:rPr>
      </w:pPr>
    </w:p>
    <w:p w14:paraId="1F3BC438" w14:textId="77777777" w:rsidR="00D70F60" w:rsidRPr="00D52EFE" w:rsidRDefault="00D70F60" w:rsidP="00C86397">
      <w:pPr>
        <w:rPr>
          <w:rFonts w:ascii="Times New Roman" w:eastAsia="Times New Roman" w:hAnsi="Times New Roman" w:cs="Times New Roman"/>
          <w:color w:val="auto"/>
        </w:rPr>
      </w:pPr>
    </w:p>
    <w:p w14:paraId="52E34DFE" w14:textId="262DDC10" w:rsidR="00D70F60" w:rsidRPr="00D52EFE" w:rsidRDefault="007C694F" w:rsidP="00C86397">
      <w:pPr>
        <w:pStyle w:val="Heading2"/>
        <w:rPr>
          <w:b/>
          <w:color w:val="auto"/>
          <w:sz w:val="22"/>
          <w:szCs w:val="22"/>
        </w:rPr>
      </w:pPr>
      <w:bookmarkStart w:id="45" w:name="_10mm90c178dw" w:colFirst="0" w:colLast="0"/>
      <w:bookmarkStart w:id="46" w:name="_Toc495674481"/>
      <w:bookmarkEnd w:id="45"/>
      <w:r w:rsidRPr="00D52EFE">
        <w:rPr>
          <w:b/>
          <w:color w:val="auto"/>
          <w:sz w:val="22"/>
          <w:szCs w:val="22"/>
        </w:rPr>
        <w:t>3.6.</w:t>
      </w:r>
      <w:r w:rsidRPr="00D52EFE">
        <w:rPr>
          <w:b/>
          <w:color w:val="auto"/>
          <w:sz w:val="22"/>
          <w:szCs w:val="22"/>
        </w:rPr>
        <w:tab/>
      </w:r>
      <w:r w:rsidR="000B5581" w:rsidRPr="00D52EFE">
        <w:rPr>
          <w:b/>
          <w:color w:val="auto"/>
          <w:sz w:val="22"/>
          <w:szCs w:val="22"/>
        </w:rPr>
        <w:t xml:space="preserve">Processing </w:t>
      </w:r>
      <w:r w:rsidR="00572813" w:rsidRPr="00D52EFE">
        <w:rPr>
          <w:b/>
          <w:color w:val="auto"/>
          <w:sz w:val="22"/>
          <w:szCs w:val="22"/>
        </w:rPr>
        <w:t>that is Necessary for the Purposes of the Legitimate Interests of the Data Controller or other Third Party</w:t>
      </w:r>
      <w:bookmarkEnd w:id="46"/>
    </w:p>
    <w:p w14:paraId="7533E535" w14:textId="77777777" w:rsidR="00D70F60" w:rsidRPr="00D52EFE" w:rsidRDefault="00D70F60" w:rsidP="00C86397">
      <w:pPr>
        <w:rPr>
          <w:rFonts w:ascii="Times New Roman" w:eastAsia="Times New Roman" w:hAnsi="Times New Roman" w:cs="Times New Roman"/>
          <w:color w:val="auto"/>
        </w:rPr>
      </w:pPr>
    </w:p>
    <w:p w14:paraId="62ED1D96" w14:textId="7B37DDA3"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final legitimising ground for the processing of personal data listed by both the DPD and the GDPR is possibly the most extensive, and </w:t>
      </w:r>
      <w:r w:rsidR="006D6D76" w:rsidRPr="00D52EFE">
        <w:rPr>
          <w:rFonts w:ascii="Times New Roman" w:eastAsia="Times New Roman" w:hAnsi="Times New Roman" w:cs="Times New Roman"/>
          <w:color w:val="auto"/>
        </w:rPr>
        <w:t>perhaps</w:t>
      </w:r>
      <w:r w:rsidRPr="00D52EFE">
        <w:rPr>
          <w:rFonts w:ascii="Times New Roman" w:eastAsia="Times New Roman" w:hAnsi="Times New Roman" w:cs="Times New Roman"/>
          <w:color w:val="auto"/>
        </w:rPr>
        <w:t xml:space="preserve"> the most controversial. It sanctions the processing of personal data where it is necessary for the purposes of the legitimate interests pursued by the controller or by the third party or parties to whom the data are disclosed, except where such interests are overridden by the interests for fundamental rights and freedoms of the data subject.</w:t>
      </w:r>
      <w:r w:rsidRPr="00D52EFE">
        <w:rPr>
          <w:rFonts w:ascii="Times New Roman" w:eastAsia="Times New Roman" w:hAnsi="Times New Roman" w:cs="Times New Roman"/>
          <w:color w:val="auto"/>
          <w:vertAlign w:val="superscript"/>
        </w:rPr>
        <w:footnoteReference w:id="134"/>
      </w:r>
    </w:p>
    <w:p w14:paraId="3D94DCBB" w14:textId="77777777" w:rsidR="00D70F60" w:rsidRPr="00D52EFE" w:rsidRDefault="00D70F60" w:rsidP="00C86397">
      <w:pPr>
        <w:rPr>
          <w:rFonts w:ascii="Times New Roman" w:eastAsia="Times New Roman" w:hAnsi="Times New Roman" w:cs="Times New Roman"/>
          <w:color w:val="auto"/>
        </w:rPr>
      </w:pPr>
    </w:p>
    <w:p w14:paraId="12E4D897" w14:textId="3056411A"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Whilst the DPD says little in respect of the meaning of “legitimate interests”, the recitals of the GDPR offer some insight as to its interpretation. Recital 47, for instance, specifies that a legitimate interest could exist where there is a </w:t>
      </w:r>
      <w:r w:rsidRPr="00D52EFE">
        <w:rPr>
          <w:rFonts w:ascii="Times New Roman" w:eastAsia="Times New Roman" w:hAnsi="Times New Roman" w:cs="Times New Roman"/>
          <w:i/>
          <w:color w:val="auto"/>
        </w:rPr>
        <w:t>“relevant and appropriate”</w:t>
      </w:r>
      <w:r w:rsidRPr="00D52EFE">
        <w:rPr>
          <w:rFonts w:ascii="Times New Roman" w:eastAsia="Times New Roman" w:hAnsi="Times New Roman" w:cs="Times New Roman"/>
          <w:color w:val="auto"/>
        </w:rPr>
        <w:t xml:space="preserve"> relationship between the data subject and data controller, such as situations in which the data subject is a client of, or in the service of, the controller. As specific </w:t>
      </w:r>
      <w:r w:rsidR="006D6D76" w:rsidRPr="00D52EFE">
        <w:rPr>
          <w:rFonts w:ascii="Times New Roman" w:eastAsia="Times New Roman" w:hAnsi="Times New Roman" w:cs="Times New Roman"/>
          <w:color w:val="auto"/>
        </w:rPr>
        <w:t>examples,</w:t>
      </w:r>
      <w:r w:rsidRPr="00D52EFE">
        <w:rPr>
          <w:rFonts w:ascii="Times New Roman" w:eastAsia="Times New Roman" w:hAnsi="Times New Roman" w:cs="Times New Roman"/>
          <w:color w:val="auto"/>
        </w:rPr>
        <w:t xml:space="preserve"> the Recital also states that the processing of personal data </w:t>
      </w:r>
      <w:r w:rsidR="006D6D76" w:rsidRPr="00D52EFE">
        <w:rPr>
          <w:rFonts w:ascii="Times New Roman" w:eastAsia="Times New Roman" w:hAnsi="Times New Roman" w:cs="Times New Roman"/>
          <w:color w:val="auto"/>
        </w:rPr>
        <w:t>for</w:t>
      </w:r>
      <w:r w:rsidRPr="00D52EFE">
        <w:rPr>
          <w:rFonts w:ascii="Times New Roman" w:eastAsia="Times New Roman" w:hAnsi="Times New Roman" w:cs="Times New Roman"/>
          <w:color w:val="auto"/>
        </w:rPr>
        <w:t xml:space="preserve"> preventing fraud</w:t>
      </w:r>
      <w:r w:rsidR="00776C4E" w:rsidRPr="00D52EFE">
        <w:rPr>
          <w:rFonts w:ascii="Times New Roman" w:eastAsia="Times New Roman" w:hAnsi="Times New Roman" w:cs="Times New Roman"/>
          <w:color w:val="auto"/>
        </w:rPr>
        <w:t xml:space="preserve"> </w:t>
      </w:r>
      <w:r w:rsidR="00776C4E" w:rsidRPr="00D52EFE">
        <w:rPr>
          <w:rFonts w:ascii="Times New Roman" w:eastAsia="Times New Roman" w:hAnsi="Times New Roman" w:cs="Times New Roman"/>
          <w:i/>
          <w:color w:val="auto"/>
        </w:rPr>
        <w:t>“constitutes a legitimate interest”</w:t>
      </w:r>
      <w:r w:rsidRPr="00D52EFE">
        <w:rPr>
          <w:rFonts w:ascii="Times New Roman" w:eastAsia="Times New Roman" w:hAnsi="Times New Roman" w:cs="Times New Roman"/>
          <w:color w:val="auto"/>
        </w:rPr>
        <w:t xml:space="preserve"> and the processing of personal data </w:t>
      </w:r>
      <w:r w:rsidR="006D6D76" w:rsidRPr="00D52EFE">
        <w:rPr>
          <w:rFonts w:ascii="Times New Roman" w:eastAsia="Times New Roman" w:hAnsi="Times New Roman" w:cs="Times New Roman"/>
          <w:color w:val="auto"/>
        </w:rPr>
        <w:t>for</w:t>
      </w:r>
      <w:r w:rsidRPr="00D52EFE">
        <w:rPr>
          <w:rFonts w:ascii="Times New Roman" w:eastAsia="Times New Roman" w:hAnsi="Times New Roman" w:cs="Times New Roman"/>
          <w:color w:val="auto"/>
        </w:rPr>
        <w:t xml:space="preserve"> direct marketing may be regarded as being carried out for a legitimate interest. </w:t>
      </w:r>
      <w:r w:rsidR="002C1906" w:rsidRPr="00D52EFE">
        <w:rPr>
          <w:rFonts w:ascii="Times New Roman" w:eastAsia="Times New Roman" w:hAnsi="Times New Roman" w:cs="Times New Roman"/>
          <w:color w:val="auto"/>
        </w:rPr>
        <w:t xml:space="preserve">Recital 49 adds that the </w:t>
      </w:r>
      <w:r w:rsidR="002C1906" w:rsidRPr="00D52EFE">
        <w:rPr>
          <w:rFonts w:ascii="Times New Roman" w:eastAsia="Times New Roman" w:hAnsi="Times New Roman" w:cs="Times New Roman"/>
          <w:i/>
          <w:color w:val="auto"/>
        </w:rPr>
        <w:t>“processing of personal data to the extent strictly necessary and proportionate for the purposes of ensuring network and information security”</w:t>
      </w:r>
      <w:r w:rsidR="002C1906" w:rsidRPr="00D52EFE">
        <w:rPr>
          <w:rFonts w:ascii="Times New Roman" w:eastAsia="Times New Roman" w:hAnsi="Times New Roman" w:cs="Times New Roman"/>
          <w:color w:val="auto"/>
        </w:rPr>
        <w:t xml:space="preserve"> also </w:t>
      </w:r>
      <w:r w:rsidR="002C1906" w:rsidRPr="00D52EFE">
        <w:rPr>
          <w:rFonts w:ascii="Times New Roman" w:eastAsia="Times New Roman" w:hAnsi="Times New Roman" w:cs="Times New Roman"/>
          <w:i/>
          <w:color w:val="auto"/>
        </w:rPr>
        <w:t>“constitutes a legitimate interest.”</w:t>
      </w:r>
      <w:r w:rsidR="002C1906"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t xml:space="preserve">However, </w:t>
      </w:r>
      <w:r w:rsidR="002C1906" w:rsidRPr="00D52EFE">
        <w:rPr>
          <w:rFonts w:ascii="Times New Roman" w:eastAsia="Times New Roman" w:hAnsi="Times New Roman" w:cs="Times New Roman"/>
          <w:color w:val="auto"/>
        </w:rPr>
        <w:t xml:space="preserve">in </w:t>
      </w:r>
      <w:r w:rsidRPr="00D52EFE">
        <w:rPr>
          <w:rFonts w:ascii="Times New Roman" w:eastAsia="Times New Roman" w:hAnsi="Times New Roman" w:cs="Times New Roman"/>
          <w:color w:val="auto"/>
        </w:rPr>
        <w:t xml:space="preserve">Recital </w:t>
      </w:r>
      <w:r w:rsidR="002C1906" w:rsidRPr="00D52EFE">
        <w:rPr>
          <w:rFonts w:ascii="Times New Roman" w:eastAsia="Times New Roman" w:hAnsi="Times New Roman" w:cs="Times New Roman"/>
          <w:color w:val="auto"/>
        </w:rPr>
        <w:t xml:space="preserve">47 </w:t>
      </w:r>
      <w:r w:rsidRPr="00D52EFE">
        <w:rPr>
          <w:rFonts w:ascii="Times New Roman" w:eastAsia="Times New Roman" w:hAnsi="Times New Roman" w:cs="Times New Roman"/>
          <w:color w:val="auto"/>
        </w:rPr>
        <w:t>it is also made clear and emphasised that the legitimate interests of data controllers could be overridden by the fundamental rights of individual data subjects in situations where said individuals do not reasonably expect their personal data to be processed.</w:t>
      </w:r>
      <w:r w:rsidRPr="00D52EFE">
        <w:rPr>
          <w:rFonts w:ascii="Times New Roman" w:eastAsia="Times New Roman" w:hAnsi="Times New Roman" w:cs="Times New Roman"/>
          <w:color w:val="auto"/>
          <w:vertAlign w:val="superscript"/>
        </w:rPr>
        <w:footnoteReference w:id="135"/>
      </w:r>
      <w:r w:rsidRPr="00D52EFE">
        <w:rPr>
          <w:rFonts w:ascii="Times New Roman" w:eastAsia="Times New Roman" w:hAnsi="Times New Roman" w:cs="Times New Roman"/>
          <w:color w:val="auto"/>
        </w:rPr>
        <w:t xml:space="preserve"> In other words, any processing of personal data that is undertaken </w:t>
      </w:r>
      <w:r w:rsidR="006D6D76" w:rsidRPr="00D52EFE">
        <w:rPr>
          <w:rFonts w:ascii="Times New Roman" w:eastAsia="Times New Roman" w:hAnsi="Times New Roman" w:cs="Times New Roman"/>
          <w:color w:val="auto"/>
        </w:rPr>
        <w:t>based on</w:t>
      </w:r>
      <w:r w:rsidRPr="00D52EFE">
        <w:rPr>
          <w:rFonts w:ascii="Times New Roman" w:eastAsia="Times New Roman" w:hAnsi="Times New Roman" w:cs="Times New Roman"/>
          <w:color w:val="auto"/>
        </w:rPr>
        <w:t xml:space="preserve"> the legitimate interests of the data controller will not be considered valid if said legitimate interests are outweighed by a need to protect the fundamental rights of individual data subjects whose personal data are involved. In this </w:t>
      </w:r>
      <w:r w:rsidR="006D6D76" w:rsidRPr="00D52EFE">
        <w:rPr>
          <w:rFonts w:ascii="Times New Roman" w:eastAsia="Times New Roman" w:hAnsi="Times New Roman" w:cs="Times New Roman"/>
          <w:color w:val="auto"/>
        </w:rPr>
        <w:t>respect,</w:t>
      </w:r>
      <w:r w:rsidRPr="00D52EFE">
        <w:rPr>
          <w:rFonts w:ascii="Times New Roman" w:eastAsia="Times New Roman" w:hAnsi="Times New Roman" w:cs="Times New Roman"/>
          <w:color w:val="auto"/>
        </w:rPr>
        <w:t xml:space="preserve"> it is important to note, therefore, that any existence of a legitimate interest will require a careful assessment in respect of any potential balancing that may be required in relation to any competing fundamental rights of affected individuals. </w:t>
      </w:r>
    </w:p>
    <w:p w14:paraId="7055C67C" w14:textId="77777777" w:rsidR="00D70F60" w:rsidRPr="00D52EFE" w:rsidRDefault="00D70F60" w:rsidP="00C86397">
      <w:pPr>
        <w:rPr>
          <w:rFonts w:ascii="Times New Roman" w:eastAsia="Times New Roman" w:hAnsi="Times New Roman" w:cs="Times New Roman"/>
          <w:color w:val="auto"/>
        </w:rPr>
      </w:pPr>
    </w:p>
    <w:p w14:paraId="25AC74A4" w14:textId="4891D54A"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As </w:t>
      </w:r>
      <w:r w:rsidR="00067DF4" w:rsidRPr="00D52EFE">
        <w:rPr>
          <w:rFonts w:ascii="Times New Roman" w:eastAsia="Times New Roman" w:hAnsi="Times New Roman" w:cs="Times New Roman"/>
          <w:color w:val="auto"/>
        </w:rPr>
        <w:t>aforementioned</w:t>
      </w:r>
      <w:r w:rsidRPr="00D52EFE">
        <w:rPr>
          <w:rFonts w:ascii="Times New Roman" w:eastAsia="Times New Roman" w:hAnsi="Times New Roman" w:cs="Times New Roman"/>
          <w:color w:val="auto"/>
        </w:rPr>
        <w:t xml:space="preserve">, Article 6(1) of the GDPR also makes it clear that this ground will not be applicable to processing carried out by public authorities in the performance of their tasks, though in this respect the abovementioned possible ambiguity as to the definition of the term “public authority” must be kept in mind. Similarly, the abovementioned restrictions associated with the adjective “necessary” must also be remembered. </w:t>
      </w:r>
    </w:p>
    <w:p w14:paraId="64037923" w14:textId="77777777" w:rsidR="00D70F60" w:rsidRPr="00D52EFE" w:rsidRDefault="00D70F60" w:rsidP="00C86397">
      <w:pPr>
        <w:rPr>
          <w:rFonts w:ascii="Times New Roman" w:eastAsia="Times New Roman" w:hAnsi="Times New Roman" w:cs="Times New Roman"/>
          <w:color w:val="auto"/>
        </w:rPr>
      </w:pPr>
    </w:p>
    <w:p w14:paraId="744B3171" w14:textId="7CEBF269" w:rsidR="00D70F60" w:rsidRPr="00D52EFE" w:rsidRDefault="006D6D76"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lastRenderedPageBreak/>
        <w:t>Both the Article 29 Working Party and the CJEU have also considered the legitimate interest concept</w:t>
      </w:r>
      <w:r w:rsidR="000B5581" w:rsidRPr="00D52EFE">
        <w:rPr>
          <w:rFonts w:ascii="Times New Roman" w:eastAsia="Times New Roman" w:hAnsi="Times New Roman" w:cs="Times New Roman"/>
          <w:color w:val="auto"/>
        </w:rPr>
        <w:t xml:space="preserve">. In a 2014 opinion on the legitimate interests of data controllers, for instance, the Article 29 Working Party clarified both the words “legitimate” and “interest” in the data protection context. </w:t>
      </w:r>
      <w:r w:rsidR="00C7563D" w:rsidRPr="00D52EFE">
        <w:rPr>
          <w:rFonts w:ascii="Times New Roman" w:eastAsia="Times New Roman" w:hAnsi="Times New Roman" w:cs="Times New Roman"/>
          <w:color w:val="auto"/>
        </w:rPr>
        <w:t>The Article 29 Working Party</w:t>
      </w:r>
      <w:r w:rsidR="00067DF4" w:rsidRPr="00D52EFE">
        <w:rPr>
          <w:rFonts w:ascii="Times New Roman" w:eastAsia="Times New Roman" w:hAnsi="Times New Roman" w:cs="Times New Roman"/>
          <w:color w:val="auto"/>
        </w:rPr>
        <w:t xml:space="preserve"> </w:t>
      </w:r>
      <w:r w:rsidR="000B5581" w:rsidRPr="00D52EFE">
        <w:rPr>
          <w:rFonts w:ascii="Times New Roman" w:eastAsia="Times New Roman" w:hAnsi="Times New Roman" w:cs="Times New Roman"/>
          <w:color w:val="auto"/>
        </w:rPr>
        <w:t>first suggests that “interest” is not a term that is synonymous with “purpose”. According to the Working Party, in data protection discourse the “purpose” of a data processing activity is the reason or aim why any data are processed. Conversely, an “interest” is the benefit that may be derived from that processing.</w:t>
      </w:r>
      <w:r w:rsidR="000B5581" w:rsidRPr="00D52EFE">
        <w:rPr>
          <w:rFonts w:ascii="Times New Roman" w:eastAsia="Times New Roman" w:hAnsi="Times New Roman" w:cs="Times New Roman"/>
          <w:color w:val="auto"/>
          <w:vertAlign w:val="superscript"/>
        </w:rPr>
        <w:footnoteReference w:id="136"/>
      </w:r>
      <w:r w:rsidR="000B5581" w:rsidRPr="00D52EFE">
        <w:rPr>
          <w:rFonts w:ascii="Times New Roman" w:eastAsia="Times New Roman" w:hAnsi="Times New Roman" w:cs="Times New Roman"/>
          <w:color w:val="auto"/>
        </w:rPr>
        <w:t xml:space="preserve"> Secondly, </w:t>
      </w:r>
      <w:r w:rsidR="00C7563D" w:rsidRPr="00D52EFE">
        <w:rPr>
          <w:rFonts w:ascii="Times New Roman" w:eastAsia="Times New Roman" w:hAnsi="Times New Roman" w:cs="Times New Roman"/>
          <w:color w:val="auto"/>
        </w:rPr>
        <w:t>the Article 29 Working Party</w:t>
      </w:r>
      <w:r w:rsidR="00067DF4" w:rsidRPr="00D52EFE">
        <w:rPr>
          <w:rFonts w:ascii="Times New Roman" w:eastAsia="Times New Roman" w:hAnsi="Times New Roman" w:cs="Times New Roman"/>
          <w:color w:val="auto"/>
        </w:rPr>
        <w:t xml:space="preserve"> </w:t>
      </w:r>
      <w:r w:rsidR="000B5581" w:rsidRPr="00D52EFE">
        <w:rPr>
          <w:rFonts w:ascii="Times New Roman" w:eastAsia="Times New Roman" w:hAnsi="Times New Roman" w:cs="Times New Roman"/>
          <w:color w:val="auto"/>
        </w:rPr>
        <w:t xml:space="preserve">suggests that the notion of a </w:t>
      </w:r>
      <w:r w:rsidR="001A3C68" w:rsidRPr="00D52EFE">
        <w:rPr>
          <w:rFonts w:ascii="Times New Roman" w:eastAsia="Times New Roman" w:hAnsi="Times New Roman" w:cs="Times New Roman"/>
          <w:color w:val="auto"/>
        </w:rPr>
        <w:t xml:space="preserve">“legitimate interest” is broad. Nevertheless, it </w:t>
      </w:r>
      <w:r w:rsidR="000B5581" w:rsidRPr="00D52EFE">
        <w:rPr>
          <w:rFonts w:ascii="Times New Roman" w:eastAsia="Times New Roman" w:hAnsi="Times New Roman" w:cs="Times New Roman"/>
          <w:color w:val="auto"/>
        </w:rPr>
        <w:t>lists some of the most common contexts in which the issue of legitimate interests may arise included: the exercise of the right to freedom of expression; conventional direct marketing; unsolicited commercial messages; the enforcement of legal claims and debt collections; the prevention of fraud; employee monitoring; and the processing of personal data for historical, scientific or statistical purposes.</w:t>
      </w:r>
      <w:r w:rsidR="000B5581" w:rsidRPr="00D52EFE">
        <w:rPr>
          <w:rFonts w:ascii="Times New Roman" w:eastAsia="Times New Roman" w:hAnsi="Times New Roman" w:cs="Times New Roman"/>
          <w:color w:val="auto"/>
          <w:vertAlign w:val="superscript"/>
        </w:rPr>
        <w:footnoteReference w:id="137"/>
      </w:r>
      <w:r w:rsidR="000B5581" w:rsidRPr="00D52EFE">
        <w:rPr>
          <w:rFonts w:ascii="Times New Roman" w:eastAsia="Times New Roman" w:hAnsi="Times New Roman" w:cs="Times New Roman"/>
          <w:color w:val="auto"/>
        </w:rPr>
        <w:t xml:space="preserve"> In summation of the above points, </w:t>
      </w:r>
      <w:r w:rsidR="00C7563D" w:rsidRPr="00D52EFE">
        <w:rPr>
          <w:rFonts w:ascii="Times New Roman" w:eastAsia="Times New Roman" w:hAnsi="Times New Roman" w:cs="Times New Roman"/>
          <w:color w:val="auto"/>
        </w:rPr>
        <w:t>the Article 29 Working Party</w:t>
      </w:r>
      <w:r w:rsidR="00067DF4" w:rsidRPr="00D52EFE">
        <w:rPr>
          <w:rFonts w:ascii="Times New Roman" w:eastAsia="Times New Roman" w:hAnsi="Times New Roman" w:cs="Times New Roman"/>
          <w:color w:val="auto"/>
        </w:rPr>
        <w:t xml:space="preserve"> </w:t>
      </w:r>
      <w:r w:rsidR="000B5581" w:rsidRPr="00D52EFE">
        <w:rPr>
          <w:rFonts w:ascii="Times New Roman" w:eastAsia="Times New Roman" w:hAnsi="Times New Roman" w:cs="Times New Roman"/>
          <w:color w:val="auto"/>
        </w:rPr>
        <w:t>advises that in order to be relevant under data protection law, a legitimate interest must be: lawful (</w:t>
      </w:r>
      <w:r w:rsidR="00A338CE" w:rsidRPr="00D52EFE">
        <w:rPr>
          <w:rFonts w:ascii="Times New Roman" w:eastAsia="Times New Roman" w:hAnsi="Times New Roman" w:cs="Times New Roman"/>
          <w:i/>
          <w:color w:val="auto"/>
        </w:rPr>
        <w:t>i.e.</w:t>
      </w:r>
      <w:r w:rsidR="000B5581" w:rsidRPr="00D52EFE">
        <w:rPr>
          <w:rFonts w:ascii="Times New Roman" w:eastAsia="Times New Roman" w:hAnsi="Times New Roman" w:cs="Times New Roman"/>
          <w:color w:val="auto"/>
        </w:rPr>
        <w:t xml:space="preserve"> in accordance with applicable EU and national law); sufficiently clearly articulated to allow a balancing exercise to be carried out in relation to the interests and fundamental rights of affected individuals; and must represent a real and present interest, as opposed to one that is speculative.</w:t>
      </w:r>
      <w:r w:rsidR="000B5581" w:rsidRPr="00D52EFE">
        <w:rPr>
          <w:rFonts w:ascii="Times New Roman" w:eastAsia="Times New Roman" w:hAnsi="Times New Roman" w:cs="Times New Roman"/>
          <w:color w:val="auto"/>
          <w:vertAlign w:val="superscript"/>
        </w:rPr>
        <w:footnoteReference w:id="138"/>
      </w:r>
    </w:p>
    <w:p w14:paraId="03B4B451" w14:textId="77777777" w:rsidR="00D70F60" w:rsidRPr="00D52EFE" w:rsidRDefault="00D70F60" w:rsidP="00C86397">
      <w:pPr>
        <w:rPr>
          <w:rFonts w:ascii="Times New Roman" w:eastAsia="Times New Roman" w:hAnsi="Times New Roman" w:cs="Times New Roman"/>
          <w:color w:val="auto"/>
        </w:rPr>
      </w:pPr>
    </w:p>
    <w:p w14:paraId="46762912" w14:textId="58A35969"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In the same opinion </w:t>
      </w:r>
      <w:r w:rsidR="00C7563D" w:rsidRPr="00D52EFE">
        <w:rPr>
          <w:rFonts w:ascii="Times New Roman" w:eastAsia="Times New Roman" w:hAnsi="Times New Roman" w:cs="Times New Roman"/>
          <w:color w:val="auto"/>
        </w:rPr>
        <w:t>the Article 29 Working Party</w:t>
      </w:r>
      <w:r w:rsidR="00067DF4"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t xml:space="preserve">also advised that any balancing assessment a data controller is required to take in relation to their own legitimate interests and the fundamental rights of individuals should not in any way be thought of as straightforward or </w:t>
      </w:r>
      <w:r w:rsidR="00D52EFE" w:rsidRPr="00D52EFE">
        <w:rPr>
          <w:rFonts w:ascii="Times New Roman" w:eastAsia="Times New Roman" w:hAnsi="Times New Roman" w:cs="Times New Roman"/>
          <w:color w:val="auto"/>
        </w:rPr>
        <w:t xml:space="preserve">as </w:t>
      </w:r>
      <w:r w:rsidRPr="00D52EFE">
        <w:rPr>
          <w:rFonts w:ascii="Times New Roman" w:eastAsia="Times New Roman" w:hAnsi="Times New Roman" w:cs="Times New Roman"/>
          <w:color w:val="auto"/>
        </w:rPr>
        <w:t>a case of merely attempting to weigh and balance two easily c</w:t>
      </w:r>
      <w:r w:rsidR="001A3C68" w:rsidRPr="00D52EFE">
        <w:rPr>
          <w:rFonts w:ascii="Times New Roman" w:eastAsia="Times New Roman" w:hAnsi="Times New Roman" w:cs="Times New Roman"/>
          <w:color w:val="auto"/>
        </w:rPr>
        <w:t>alculable and comparable values. In addition,</w:t>
      </w:r>
      <w:r w:rsidRPr="00D52EFE">
        <w:rPr>
          <w:rFonts w:ascii="Times New Roman" w:eastAsia="Times New Roman" w:hAnsi="Times New Roman" w:cs="Times New Roman"/>
          <w:color w:val="auto"/>
        </w:rPr>
        <w:t xml:space="preserve"> data controllers should not think of the legitimate interests condition as an “</w:t>
      </w:r>
      <w:r w:rsidRPr="00D52EFE">
        <w:rPr>
          <w:rFonts w:ascii="Times New Roman" w:eastAsia="Times New Roman" w:hAnsi="Times New Roman" w:cs="Times New Roman"/>
          <w:i/>
          <w:color w:val="auto"/>
        </w:rPr>
        <w:t>open door</w:t>
      </w:r>
      <w:r w:rsidRPr="00D52EFE">
        <w:rPr>
          <w:rFonts w:ascii="Times New Roman" w:eastAsia="Times New Roman" w:hAnsi="Times New Roman" w:cs="Times New Roman"/>
          <w:color w:val="auto"/>
        </w:rPr>
        <w:t>” to legitimise their data processing activities.</w:t>
      </w:r>
      <w:r w:rsidRPr="00D52EFE">
        <w:rPr>
          <w:rFonts w:ascii="Times New Roman" w:eastAsia="Times New Roman" w:hAnsi="Times New Roman" w:cs="Times New Roman"/>
          <w:color w:val="auto"/>
          <w:vertAlign w:val="superscript"/>
        </w:rPr>
        <w:footnoteReference w:id="139"/>
      </w:r>
      <w:r w:rsidRPr="00D52EFE">
        <w:rPr>
          <w:rFonts w:ascii="Times New Roman" w:eastAsia="Times New Roman" w:hAnsi="Times New Roman" w:cs="Times New Roman"/>
          <w:color w:val="auto"/>
        </w:rPr>
        <w:t xml:space="preserve"> Instead, </w:t>
      </w:r>
      <w:r w:rsidR="00C7563D" w:rsidRPr="00D52EFE">
        <w:rPr>
          <w:rFonts w:ascii="Times New Roman" w:eastAsia="Times New Roman" w:hAnsi="Times New Roman" w:cs="Times New Roman"/>
          <w:color w:val="auto"/>
        </w:rPr>
        <w:t>the Article 29 Working Party</w:t>
      </w:r>
      <w:r w:rsidR="00067DF4"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t>suggests that making such a determination requires an extensive consideration of a number of factors, such as</w:t>
      </w:r>
      <w:r w:rsidR="001A3C68"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the nature and source of the data controller’s legitimate i</w:t>
      </w:r>
      <w:r w:rsidR="001A3C68" w:rsidRPr="00D52EFE">
        <w:rPr>
          <w:rFonts w:ascii="Times New Roman" w:eastAsia="Times New Roman" w:hAnsi="Times New Roman" w:cs="Times New Roman"/>
          <w:color w:val="auto"/>
        </w:rPr>
        <w:t>nterest;</w:t>
      </w:r>
      <w:r w:rsidRPr="00D52EFE">
        <w:rPr>
          <w:rFonts w:ascii="Times New Roman" w:eastAsia="Times New Roman" w:hAnsi="Times New Roman" w:cs="Times New Roman"/>
          <w:color w:val="auto"/>
        </w:rPr>
        <w:t xml:space="preserve"> the potential impact the proposed processing would have on the individual or indiv</w:t>
      </w:r>
      <w:r w:rsidR="001A3C68" w:rsidRPr="00D52EFE">
        <w:rPr>
          <w:rFonts w:ascii="Times New Roman" w:eastAsia="Times New Roman" w:hAnsi="Times New Roman" w:cs="Times New Roman"/>
          <w:color w:val="auto"/>
        </w:rPr>
        <w:t>iduals whose data were involved;</w:t>
      </w:r>
      <w:r w:rsidRPr="00D52EFE">
        <w:rPr>
          <w:rFonts w:ascii="Times New Roman" w:eastAsia="Times New Roman" w:hAnsi="Times New Roman" w:cs="Times New Roman"/>
          <w:color w:val="auto"/>
        </w:rPr>
        <w:t xml:space="preserve"> and the existence or presence of any additional safeguards which could limit undue impac</w:t>
      </w:r>
      <w:r w:rsidR="001A3C68" w:rsidRPr="00D52EFE">
        <w:rPr>
          <w:rFonts w:ascii="Times New Roman" w:eastAsia="Times New Roman" w:hAnsi="Times New Roman" w:cs="Times New Roman"/>
          <w:color w:val="auto"/>
        </w:rPr>
        <w:t xml:space="preserve">t on these individuals (e.g. </w:t>
      </w:r>
      <w:r w:rsidRPr="00D52EFE">
        <w:rPr>
          <w:rFonts w:ascii="Times New Roman" w:eastAsia="Times New Roman" w:hAnsi="Times New Roman" w:cs="Times New Roman"/>
          <w:color w:val="auto"/>
        </w:rPr>
        <w:t>privacy enhancing technologies, increased transparency, rights to opt-out, and the right of data portability</w:t>
      </w:r>
      <w:r w:rsidR="001A3C68"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vertAlign w:val="superscript"/>
        </w:rPr>
        <w:footnoteReference w:id="140"/>
      </w:r>
      <w:r w:rsidRPr="00D52EFE">
        <w:rPr>
          <w:rFonts w:ascii="Times New Roman" w:eastAsia="Times New Roman" w:hAnsi="Times New Roman" w:cs="Times New Roman"/>
          <w:color w:val="auto"/>
        </w:rPr>
        <w:t xml:space="preserve"> This advice on the potential complexity of making such assessments correlates strongly with what was said on the matter by the UK ICO in its 2014 discussion paper on big data and data protection.</w:t>
      </w:r>
      <w:r w:rsidRPr="00D52EFE">
        <w:rPr>
          <w:rFonts w:ascii="Times New Roman" w:eastAsia="Times New Roman" w:hAnsi="Times New Roman" w:cs="Times New Roman"/>
          <w:color w:val="auto"/>
          <w:vertAlign w:val="superscript"/>
        </w:rPr>
        <w:footnoteReference w:id="141"/>
      </w:r>
    </w:p>
    <w:p w14:paraId="3E12605F" w14:textId="77777777" w:rsidR="00D70F60" w:rsidRPr="00D52EFE" w:rsidRDefault="00D70F60" w:rsidP="00C86397">
      <w:pPr>
        <w:rPr>
          <w:rFonts w:ascii="Times New Roman" w:eastAsia="Times New Roman" w:hAnsi="Times New Roman" w:cs="Times New Roman"/>
          <w:color w:val="auto"/>
        </w:rPr>
      </w:pPr>
    </w:p>
    <w:p w14:paraId="6207E544" w14:textId="52533BA3"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More recently, in </w:t>
      </w:r>
      <w:r w:rsidRPr="00D52EFE">
        <w:rPr>
          <w:rFonts w:ascii="Times New Roman" w:eastAsia="Times New Roman" w:hAnsi="Times New Roman" w:cs="Times New Roman"/>
          <w:i/>
          <w:color w:val="auto"/>
        </w:rPr>
        <w:t>Rīgas satiksme</w:t>
      </w:r>
      <w:r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vertAlign w:val="superscript"/>
        </w:rPr>
        <w:footnoteReference w:id="142"/>
      </w:r>
      <w:r w:rsidRPr="00D52EFE">
        <w:rPr>
          <w:rFonts w:ascii="Times New Roman" w:eastAsia="Times New Roman" w:hAnsi="Times New Roman" w:cs="Times New Roman"/>
          <w:color w:val="auto"/>
        </w:rPr>
        <w:t xml:space="preserve"> the CJEU also examined the legitimate interests grou</w:t>
      </w:r>
      <w:r w:rsidR="00C94E13" w:rsidRPr="00D52EFE">
        <w:rPr>
          <w:rFonts w:ascii="Times New Roman" w:eastAsia="Times New Roman" w:hAnsi="Times New Roman" w:cs="Times New Roman"/>
          <w:color w:val="auto"/>
        </w:rPr>
        <w:t>nd for personal data processing.</w:t>
      </w:r>
      <w:r w:rsidRPr="00D52EFE">
        <w:rPr>
          <w:rFonts w:ascii="Times New Roman" w:eastAsia="Times New Roman" w:hAnsi="Times New Roman" w:cs="Times New Roman"/>
          <w:color w:val="auto"/>
        </w:rPr>
        <w:t xml:space="preserve"> </w:t>
      </w:r>
      <w:r w:rsidR="00C94E13" w:rsidRPr="00D52EFE">
        <w:rPr>
          <w:rFonts w:ascii="Times New Roman" w:eastAsia="Times New Roman" w:hAnsi="Times New Roman" w:cs="Times New Roman"/>
          <w:color w:val="auto"/>
        </w:rPr>
        <w:t>In particular, it</w:t>
      </w:r>
      <w:r w:rsidRPr="00D52EFE">
        <w:rPr>
          <w:rFonts w:ascii="Times New Roman" w:eastAsia="Times New Roman" w:hAnsi="Times New Roman" w:cs="Times New Roman"/>
          <w:color w:val="auto"/>
        </w:rPr>
        <w:t xml:space="preserve"> considered the interpretation of the term “necessary” and the question of whether the legitimate interests ground imposes obligations on data controllers to disclose the personal data of an individual to a third party for the purposes of allowing said third party to initiate legal proceedings against the individual. The conclusion arrived at by the CJEU was that the </w:t>
      </w:r>
      <w:r w:rsidRPr="00D52EFE">
        <w:rPr>
          <w:rFonts w:ascii="Times New Roman" w:eastAsia="Times New Roman" w:hAnsi="Times New Roman" w:cs="Times New Roman"/>
          <w:color w:val="auto"/>
        </w:rPr>
        <w:lastRenderedPageBreak/>
        <w:t>disclosure of an individual’s personal data in such a scenario on the basis of the legitimate interests ground for processing would only be permissible, in cases where the fundamental rights of that individual do not take precedence. The CJEU also concluded that the legitimate interests ground for processing does not impose any obligations on data controllers to disclose personal data to third parties in situations such as that mentioned above, but merely permits them to make such disclosures in accordance with the national laws of the Member State in which they are based. Of particula</w:t>
      </w:r>
      <w:r w:rsidR="000022A2" w:rsidRPr="00D52EFE">
        <w:rPr>
          <w:rFonts w:ascii="Times New Roman" w:eastAsia="Times New Roman" w:hAnsi="Times New Roman" w:cs="Times New Roman"/>
          <w:color w:val="auto"/>
        </w:rPr>
        <w:t xml:space="preserve">r interest were the remarks of </w:t>
      </w:r>
      <w:r w:rsidRPr="00D52EFE">
        <w:rPr>
          <w:rFonts w:ascii="Times New Roman" w:eastAsia="Times New Roman" w:hAnsi="Times New Roman" w:cs="Times New Roman"/>
          <w:color w:val="auto"/>
        </w:rPr>
        <w:t>A</w:t>
      </w:r>
      <w:r w:rsidR="001A50B3" w:rsidRPr="00D52EFE">
        <w:rPr>
          <w:rFonts w:ascii="Times New Roman" w:eastAsia="Times New Roman" w:hAnsi="Times New Roman" w:cs="Times New Roman"/>
          <w:color w:val="auto"/>
        </w:rPr>
        <w:t xml:space="preserve">dvocate </w:t>
      </w:r>
      <w:r w:rsidRPr="00D52EFE">
        <w:rPr>
          <w:rFonts w:ascii="Times New Roman" w:eastAsia="Times New Roman" w:hAnsi="Times New Roman" w:cs="Times New Roman"/>
          <w:color w:val="auto"/>
        </w:rPr>
        <w:t>G</w:t>
      </w:r>
      <w:r w:rsidR="001A50B3" w:rsidRPr="00D52EFE">
        <w:rPr>
          <w:rFonts w:ascii="Times New Roman" w:eastAsia="Times New Roman" w:hAnsi="Times New Roman" w:cs="Times New Roman"/>
          <w:color w:val="auto"/>
        </w:rPr>
        <w:t>eneral (AG)</w:t>
      </w:r>
      <w:r w:rsidRPr="00D52EFE">
        <w:rPr>
          <w:rFonts w:ascii="Times New Roman" w:eastAsia="Times New Roman" w:hAnsi="Times New Roman" w:cs="Times New Roman"/>
          <w:color w:val="auto"/>
        </w:rPr>
        <w:t xml:space="preserve"> Bobek, who suggested that the concept of a legitimate interest was “</w:t>
      </w:r>
      <w:r w:rsidRPr="00D52EFE">
        <w:rPr>
          <w:rFonts w:ascii="Times New Roman" w:eastAsia="Times New Roman" w:hAnsi="Times New Roman" w:cs="Times New Roman"/>
          <w:i/>
          <w:color w:val="auto"/>
        </w:rPr>
        <w:t>elastic enough</w:t>
      </w:r>
      <w:r w:rsidRPr="00D52EFE">
        <w:rPr>
          <w:rFonts w:ascii="Times New Roman" w:eastAsia="Times New Roman" w:hAnsi="Times New Roman" w:cs="Times New Roman"/>
          <w:color w:val="auto"/>
        </w:rPr>
        <w:t xml:space="preserve">” to encompass considerations other than a need to protect property, health, and family life, </w:t>
      </w:r>
      <w:r w:rsidR="006D6D76" w:rsidRPr="00D52EFE">
        <w:rPr>
          <w:rFonts w:ascii="Times New Roman" w:eastAsia="Times New Roman" w:hAnsi="Times New Roman" w:cs="Times New Roman"/>
          <w:color w:val="auto"/>
        </w:rPr>
        <w:t>specifically,</w:t>
      </w:r>
      <w:r w:rsidRPr="00D52EFE">
        <w:rPr>
          <w:rFonts w:ascii="Times New Roman" w:eastAsia="Times New Roman" w:hAnsi="Times New Roman" w:cs="Times New Roman"/>
          <w:color w:val="auto"/>
        </w:rPr>
        <w:t xml:space="preserve"> identifying the issuing of a legal claim as a particular example.</w:t>
      </w:r>
      <w:r w:rsidRPr="00D52EFE">
        <w:rPr>
          <w:rFonts w:ascii="Times New Roman" w:eastAsia="Times New Roman" w:hAnsi="Times New Roman" w:cs="Times New Roman"/>
          <w:color w:val="auto"/>
          <w:vertAlign w:val="superscript"/>
        </w:rPr>
        <w:footnoteReference w:id="143"/>
      </w:r>
      <w:r w:rsidRPr="00D52EFE">
        <w:rPr>
          <w:rFonts w:ascii="Times New Roman" w:eastAsia="Times New Roman" w:hAnsi="Times New Roman" w:cs="Times New Roman"/>
          <w:color w:val="auto"/>
        </w:rPr>
        <w:t xml:space="preserve"> The AG also seemingly re-emphasised the earlier guidance of the Article 29 Working Party by suggesting that as a part of any attempts to balance the legitimate interests of a data controller with the fundamental rights of an individual “</w:t>
      </w:r>
      <w:r w:rsidRPr="00D52EFE">
        <w:rPr>
          <w:rFonts w:ascii="Times New Roman" w:eastAsia="Times New Roman" w:hAnsi="Times New Roman" w:cs="Times New Roman"/>
          <w:i/>
          <w:color w:val="auto"/>
        </w:rPr>
        <w:t>due consideration should in particular be given to the nature and sensitivity</w:t>
      </w:r>
      <w:r w:rsidRPr="00D52EFE">
        <w:rPr>
          <w:rFonts w:ascii="Times New Roman" w:eastAsia="Times New Roman" w:hAnsi="Times New Roman" w:cs="Times New Roman"/>
          <w:color w:val="auto"/>
        </w:rPr>
        <w:t>” of the data involved.</w:t>
      </w:r>
      <w:r w:rsidRPr="00D52EFE">
        <w:rPr>
          <w:rFonts w:ascii="Times New Roman" w:eastAsia="Times New Roman" w:hAnsi="Times New Roman" w:cs="Times New Roman"/>
          <w:color w:val="auto"/>
          <w:vertAlign w:val="superscript"/>
        </w:rPr>
        <w:footnoteReference w:id="144"/>
      </w:r>
      <w:r w:rsidRPr="00D52EFE">
        <w:rPr>
          <w:rFonts w:ascii="Times New Roman" w:eastAsia="Times New Roman" w:hAnsi="Times New Roman" w:cs="Times New Roman"/>
          <w:color w:val="auto"/>
        </w:rPr>
        <w:t xml:space="preserve"> In his concluding </w:t>
      </w:r>
      <w:r w:rsidR="006D6D76" w:rsidRPr="00D52EFE">
        <w:rPr>
          <w:rFonts w:ascii="Times New Roman" w:eastAsia="Times New Roman" w:hAnsi="Times New Roman" w:cs="Times New Roman"/>
          <w:color w:val="auto"/>
        </w:rPr>
        <w:t>remarks,</w:t>
      </w:r>
      <w:r w:rsidRPr="00D52EFE">
        <w:rPr>
          <w:rFonts w:ascii="Times New Roman" w:eastAsia="Times New Roman" w:hAnsi="Times New Roman" w:cs="Times New Roman"/>
          <w:color w:val="auto"/>
        </w:rPr>
        <w:t xml:space="preserve"> the AG also suggested that whilst the original and primary purpose of data protection law is the regulation of large-scale datasets involving personal data, “</w:t>
      </w:r>
      <w:r w:rsidRPr="00D52EFE">
        <w:rPr>
          <w:rFonts w:ascii="Times New Roman" w:eastAsia="Times New Roman" w:hAnsi="Times New Roman" w:cs="Times New Roman"/>
          <w:i/>
          <w:color w:val="auto"/>
        </w:rPr>
        <w:t>a much lighter touch</w:t>
      </w:r>
      <w:r w:rsidRPr="00D52EFE">
        <w:rPr>
          <w:rFonts w:ascii="Times New Roman" w:eastAsia="Times New Roman" w:hAnsi="Times New Roman" w:cs="Times New Roman"/>
          <w:color w:val="auto"/>
        </w:rPr>
        <w:t>” would be called for in situations involving datasets of a lesser size or individual pieces of information.</w:t>
      </w:r>
      <w:r w:rsidRPr="00D52EFE">
        <w:rPr>
          <w:rFonts w:ascii="Times New Roman" w:eastAsia="Times New Roman" w:hAnsi="Times New Roman" w:cs="Times New Roman"/>
          <w:color w:val="auto"/>
          <w:vertAlign w:val="superscript"/>
        </w:rPr>
        <w:footnoteReference w:id="145"/>
      </w:r>
      <w:r w:rsidRPr="00D52EFE">
        <w:rPr>
          <w:rFonts w:ascii="Times New Roman" w:eastAsia="Times New Roman" w:hAnsi="Times New Roman" w:cs="Times New Roman"/>
          <w:color w:val="auto"/>
        </w:rPr>
        <w:t xml:space="preserve"> In so doing, the AG’s comments appear to endorse a position of pro-active reliance on the legitimate interests ground for personal data processing in appropriate circumstances. As has been remarked elsewhere, for instance, this position might be said to sit somewhat uneasily with the abovementioned Article 29 Working Party opinion</w:t>
      </w:r>
      <w:r w:rsidR="00776C4E"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which urges data controllers not to think of the legitimate interests condition as an open door to legitimise their data processing operations.</w:t>
      </w:r>
      <w:r w:rsidRPr="00D52EFE">
        <w:rPr>
          <w:rFonts w:ascii="Times New Roman" w:eastAsia="Times New Roman" w:hAnsi="Times New Roman" w:cs="Times New Roman"/>
          <w:color w:val="auto"/>
          <w:vertAlign w:val="superscript"/>
        </w:rPr>
        <w:footnoteReference w:id="146"/>
      </w:r>
    </w:p>
    <w:p w14:paraId="292D2790" w14:textId="77777777" w:rsidR="00365C3A" w:rsidRPr="00D52EFE" w:rsidRDefault="00365C3A" w:rsidP="00C86397">
      <w:pPr>
        <w:rPr>
          <w:rFonts w:ascii="Times New Roman" w:eastAsia="Times New Roman" w:hAnsi="Times New Roman" w:cs="Times New Roman"/>
          <w:color w:val="auto"/>
        </w:rPr>
      </w:pPr>
    </w:p>
    <w:p w14:paraId="63F349DA" w14:textId="1B256D02" w:rsidR="00D70F60" w:rsidRPr="00D52EFE" w:rsidRDefault="00067DF4"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In its new guidance on legitimate interests, the ICO</w:t>
      </w:r>
      <w:r w:rsidRPr="00D52EFE">
        <w:rPr>
          <w:rStyle w:val="FootnoteReference"/>
          <w:rFonts w:ascii="Times New Roman" w:eastAsia="Times New Roman" w:hAnsi="Times New Roman" w:cs="Times New Roman"/>
          <w:color w:val="auto"/>
        </w:rPr>
        <w:footnoteReference w:id="147"/>
      </w:r>
      <w:r w:rsidRPr="00D52EFE">
        <w:rPr>
          <w:rFonts w:ascii="Times New Roman" w:eastAsia="Times New Roman" w:hAnsi="Times New Roman" w:cs="Times New Roman"/>
          <w:color w:val="auto"/>
        </w:rPr>
        <w:t xml:space="preserve"> </w:t>
      </w:r>
      <w:r w:rsidR="009F5412" w:rsidRPr="00D52EFE">
        <w:rPr>
          <w:rFonts w:ascii="Times New Roman" w:eastAsia="Times New Roman" w:hAnsi="Times New Roman" w:cs="Times New Roman"/>
          <w:color w:val="auto"/>
        </w:rPr>
        <w:t>clarifies that:</w:t>
      </w:r>
    </w:p>
    <w:p w14:paraId="05D3A379" w14:textId="77777777" w:rsidR="009F5412" w:rsidRPr="00D52EFE" w:rsidRDefault="009F5412" w:rsidP="00C86397">
      <w:pPr>
        <w:rPr>
          <w:rFonts w:ascii="Times New Roman" w:eastAsia="Times New Roman" w:hAnsi="Times New Roman" w:cs="Times New Roman"/>
          <w:color w:val="auto"/>
        </w:rPr>
      </w:pPr>
    </w:p>
    <w:p w14:paraId="521E5A5F" w14:textId="5C7B15CF" w:rsidR="009F5412" w:rsidRPr="00D52EFE" w:rsidRDefault="009F5412" w:rsidP="00C86397">
      <w:pPr>
        <w:ind w:left="1134"/>
        <w:rPr>
          <w:rFonts w:ascii="Times New Roman" w:eastAsia="Times New Roman" w:hAnsi="Times New Roman" w:cs="Times New Roman"/>
          <w:i/>
          <w:color w:val="auto"/>
        </w:rPr>
      </w:pPr>
      <w:r w:rsidRPr="00D52EFE">
        <w:rPr>
          <w:rFonts w:ascii="Times New Roman" w:eastAsia="Times New Roman" w:hAnsi="Times New Roman" w:cs="Times New Roman"/>
          <w:i/>
          <w:color w:val="auto"/>
        </w:rPr>
        <w:t>Public authorities are more limited in their ability to rely on legitimate interests, and should consider the ‘public task’ basis instead for any processing they do to perform their tasks as a public authority.</w:t>
      </w:r>
    </w:p>
    <w:p w14:paraId="7D647CD8" w14:textId="0275E432" w:rsidR="009F5412" w:rsidRPr="00D52EFE" w:rsidRDefault="009F5412" w:rsidP="00C86397">
      <w:pPr>
        <w:ind w:left="1134"/>
        <w:rPr>
          <w:rFonts w:ascii="Times New Roman" w:eastAsia="Times New Roman" w:hAnsi="Times New Roman" w:cs="Times New Roman"/>
          <w:color w:val="auto"/>
        </w:rPr>
      </w:pPr>
      <w:r w:rsidRPr="00D52EFE">
        <w:rPr>
          <w:rFonts w:ascii="Times New Roman" w:eastAsia="Times New Roman" w:hAnsi="Times New Roman" w:cs="Times New Roman"/>
          <w:i/>
          <w:color w:val="auto"/>
        </w:rPr>
        <w:t>Legitimate interests may still be available for other legitimate processing outside of those tasks.</w:t>
      </w:r>
    </w:p>
    <w:p w14:paraId="3947E931" w14:textId="4D293281" w:rsidR="009F5412" w:rsidRPr="00D52EFE" w:rsidRDefault="009F5412" w:rsidP="00C86397">
      <w:pPr>
        <w:rPr>
          <w:rFonts w:ascii="Times New Roman" w:eastAsia="Times New Roman" w:hAnsi="Times New Roman" w:cs="Times New Roman"/>
          <w:color w:val="auto"/>
        </w:rPr>
      </w:pPr>
    </w:p>
    <w:p w14:paraId="40835482" w14:textId="3E36311F" w:rsidR="009F5412" w:rsidRPr="00D52EFE" w:rsidRDefault="009F5412"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It also adds that as a rule of thumb</w:t>
      </w:r>
      <w:r w:rsidR="00654EFC" w:rsidRPr="00D52EFE">
        <w:rPr>
          <w:rFonts w:ascii="Times New Roman" w:eastAsia="Times New Roman" w:hAnsi="Times New Roman" w:cs="Times New Roman"/>
          <w:color w:val="auto"/>
        </w:rPr>
        <w:t xml:space="preserve"> the legitimate interests basis is more appropriate in situations in which </w:t>
      </w:r>
      <w:r w:rsidR="00654EFC" w:rsidRPr="00D52EFE">
        <w:rPr>
          <w:rFonts w:ascii="Times New Roman" w:eastAsia="Times New Roman" w:hAnsi="Times New Roman" w:cs="Times New Roman"/>
          <w:i/>
          <w:color w:val="auto"/>
        </w:rPr>
        <w:t>“there’s a limited privacy impact on the individual.”</w:t>
      </w:r>
      <w:r w:rsidR="00654EFC" w:rsidRPr="00D52EFE">
        <w:rPr>
          <w:rStyle w:val="FootnoteReference"/>
          <w:rFonts w:ascii="Times New Roman" w:eastAsia="Times New Roman" w:hAnsi="Times New Roman" w:cs="Times New Roman"/>
          <w:color w:val="auto"/>
        </w:rPr>
        <w:footnoteReference w:id="148"/>
      </w:r>
    </w:p>
    <w:p w14:paraId="621659D8" w14:textId="77777777" w:rsidR="009F5412" w:rsidRPr="00D52EFE" w:rsidRDefault="009F5412" w:rsidP="00C86397">
      <w:pPr>
        <w:ind w:left="1134"/>
        <w:rPr>
          <w:rFonts w:ascii="Times New Roman" w:eastAsia="Times New Roman" w:hAnsi="Times New Roman" w:cs="Times New Roman"/>
          <w:color w:val="auto"/>
        </w:rPr>
      </w:pPr>
    </w:p>
    <w:p w14:paraId="10725049" w14:textId="77777777" w:rsidR="00067DF4" w:rsidRPr="00D52EFE" w:rsidRDefault="00067DF4" w:rsidP="00C86397">
      <w:pPr>
        <w:rPr>
          <w:rFonts w:ascii="Times New Roman" w:eastAsia="Times New Roman" w:hAnsi="Times New Roman" w:cs="Times New Roman"/>
          <w:color w:val="auto"/>
        </w:rPr>
      </w:pPr>
    </w:p>
    <w:p w14:paraId="07651C78" w14:textId="4860152C" w:rsidR="00D70F60" w:rsidRPr="00D52EFE" w:rsidRDefault="007C694F" w:rsidP="00C86397">
      <w:pPr>
        <w:pStyle w:val="Heading2"/>
        <w:rPr>
          <w:b/>
          <w:color w:val="auto"/>
          <w:sz w:val="22"/>
          <w:szCs w:val="22"/>
        </w:rPr>
      </w:pPr>
      <w:bookmarkStart w:id="47" w:name="_wneoa9gl5gh3" w:colFirst="0" w:colLast="0"/>
      <w:bookmarkStart w:id="48" w:name="_Toc495674482"/>
      <w:bookmarkEnd w:id="47"/>
      <w:r w:rsidRPr="00D52EFE">
        <w:rPr>
          <w:b/>
          <w:color w:val="auto"/>
          <w:sz w:val="22"/>
          <w:szCs w:val="22"/>
        </w:rPr>
        <w:t>3.7.</w:t>
      </w:r>
      <w:r w:rsidRPr="00D52EFE">
        <w:rPr>
          <w:b/>
          <w:color w:val="auto"/>
          <w:sz w:val="22"/>
          <w:szCs w:val="22"/>
        </w:rPr>
        <w:tab/>
      </w:r>
      <w:r w:rsidR="000B5581" w:rsidRPr="00D52EFE">
        <w:rPr>
          <w:b/>
          <w:color w:val="auto"/>
          <w:sz w:val="22"/>
          <w:szCs w:val="22"/>
        </w:rPr>
        <w:t>Gov</w:t>
      </w:r>
      <w:r w:rsidR="00572813" w:rsidRPr="00D52EFE">
        <w:rPr>
          <w:b/>
          <w:color w:val="auto"/>
          <w:sz w:val="22"/>
          <w:szCs w:val="22"/>
        </w:rPr>
        <w:t>.</w:t>
      </w:r>
      <w:r w:rsidR="000B5581" w:rsidRPr="00D52EFE">
        <w:rPr>
          <w:b/>
          <w:color w:val="auto"/>
          <w:sz w:val="22"/>
          <w:szCs w:val="22"/>
        </w:rPr>
        <w:t xml:space="preserve">UK Verify </w:t>
      </w:r>
      <w:r w:rsidR="00572813" w:rsidRPr="00D52EFE">
        <w:rPr>
          <w:b/>
          <w:color w:val="auto"/>
          <w:sz w:val="22"/>
          <w:szCs w:val="22"/>
        </w:rPr>
        <w:t>and its Dual Legal Basis</w:t>
      </w:r>
      <w:bookmarkEnd w:id="48"/>
    </w:p>
    <w:p w14:paraId="4D01ED20" w14:textId="77777777" w:rsidR="00D70F60" w:rsidRPr="00D52EFE" w:rsidRDefault="00D70F60" w:rsidP="00C86397">
      <w:pPr>
        <w:rPr>
          <w:rFonts w:ascii="Times New Roman" w:eastAsia="Times New Roman" w:hAnsi="Times New Roman" w:cs="Times New Roman"/>
          <w:color w:val="auto"/>
        </w:rPr>
      </w:pPr>
    </w:p>
    <w:p w14:paraId="5DF2D40B" w14:textId="01C83DE9" w:rsidR="00D70F60" w:rsidRPr="00D52EFE" w:rsidRDefault="001F603F" w:rsidP="00C86397">
      <w:pPr>
        <w:rPr>
          <w:rFonts w:ascii="Times New Roman" w:eastAsia="Times New Roman" w:hAnsi="Times New Roman" w:cs="Times New Roman"/>
          <w:color w:val="auto"/>
        </w:rPr>
      </w:pPr>
      <w:r>
        <w:rPr>
          <w:rFonts w:ascii="Times New Roman" w:eastAsia="Times New Roman" w:hAnsi="Times New Roman" w:cs="Times New Roman"/>
          <w:color w:val="auto"/>
        </w:rPr>
        <w:t>As aforementioned, t</w:t>
      </w:r>
      <w:r w:rsidR="000B5581" w:rsidRPr="00D52EFE">
        <w:rPr>
          <w:rFonts w:ascii="Times New Roman" w:eastAsia="Times New Roman" w:hAnsi="Times New Roman" w:cs="Times New Roman"/>
          <w:color w:val="auto"/>
        </w:rPr>
        <w:t xml:space="preserve">he study of the content of the </w:t>
      </w:r>
      <w:r w:rsidR="00C7563D" w:rsidRPr="00D52EFE">
        <w:rPr>
          <w:rFonts w:ascii="Times New Roman" w:eastAsia="Times New Roman" w:hAnsi="Times New Roman" w:cs="Times New Roman"/>
          <w:color w:val="auto"/>
        </w:rPr>
        <w:t xml:space="preserve">Verify </w:t>
      </w:r>
      <w:r w:rsidR="000B5581" w:rsidRPr="00D52EFE">
        <w:rPr>
          <w:rFonts w:ascii="Times New Roman" w:eastAsia="Times New Roman" w:hAnsi="Times New Roman" w:cs="Times New Roman"/>
          <w:color w:val="auto"/>
        </w:rPr>
        <w:t>DPIA concluded in 2016 shows that Gov.UK</w:t>
      </w:r>
      <w:r w:rsidR="004B538E" w:rsidRPr="00D52EFE">
        <w:rPr>
          <w:rFonts w:ascii="Times New Roman" w:eastAsia="Times New Roman" w:hAnsi="Times New Roman" w:cs="Times New Roman"/>
          <w:color w:val="auto"/>
        </w:rPr>
        <w:t xml:space="preserve"> Verify</w:t>
      </w:r>
      <w:r w:rsidR="000B5581" w:rsidRPr="00D52EFE">
        <w:rPr>
          <w:rFonts w:ascii="Times New Roman" w:eastAsia="Times New Roman" w:hAnsi="Times New Roman" w:cs="Times New Roman"/>
          <w:color w:val="auto"/>
        </w:rPr>
        <w:t xml:space="preserve"> is intended to be grounded</w:t>
      </w:r>
      <w:r w:rsidR="00C7563D" w:rsidRPr="00D52EFE">
        <w:rPr>
          <w:rFonts w:ascii="Times New Roman" w:eastAsia="Times New Roman" w:hAnsi="Times New Roman" w:cs="Times New Roman"/>
          <w:color w:val="auto"/>
        </w:rPr>
        <w:t xml:space="preserve"> upon two and not one legal base</w:t>
      </w:r>
      <w:r w:rsidR="000B5581" w:rsidRPr="00D52EFE">
        <w:rPr>
          <w:rFonts w:ascii="Times New Roman" w:eastAsia="Times New Roman" w:hAnsi="Times New Roman" w:cs="Times New Roman"/>
          <w:color w:val="auto"/>
        </w:rPr>
        <w:t>s,</w:t>
      </w:r>
      <w:r w:rsidR="000B5581" w:rsidRPr="00D52EFE">
        <w:rPr>
          <w:rFonts w:ascii="Times New Roman" w:eastAsia="Times New Roman" w:hAnsi="Times New Roman" w:cs="Times New Roman"/>
          <w:color w:val="auto"/>
          <w:vertAlign w:val="superscript"/>
        </w:rPr>
        <w:footnoteReference w:id="149"/>
      </w:r>
      <w:r w:rsidR="000B5581" w:rsidRPr="00D52EFE">
        <w:rPr>
          <w:rFonts w:ascii="Times New Roman" w:eastAsia="Times New Roman" w:hAnsi="Times New Roman" w:cs="Times New Roman"/>
          <w:color w:val="auto"/>
        </w:rPr>
        <w:t xml:space="preserve"> although in public </w:t>
      </w:r>
      <w:r w:rsidR="000B5581" w:rsidRPr="00D52EFE">
        <w:rPr>
          <w:rFonts w:ascii="Times New Roman" w:eastAsia="Times New Roman" w:hAnsi="Times New Roman" w:cs="Times New Roman"/>
          <w:color w:val="auto"/>
        </w:rPr>
        <w:lastRenderedPageBreak/>
        <w:t>communications targe</w:t>
      </w:r>
      <w:r w:rsidR="00C7563D" w:rsidRPr="00D52EFE">
        <w:rPr>
          <w:rFonts w:ascii="Times New Roman" w:eastAsia="Times New Roman" w:hAnsi="Times New Roman" w:cs="Times New Roman"/>
          <w:color w:val="auto"/>
        </w:rPr>
        <w:t>ting service users</w:t>
      </w:r>
      <w:r w:rsidR="000B5581" w:rsidRPr="00D52EFE">
        <w:rPr>
          <w:rFonts w:ascii="Times New Roman" w:eastAsia="Times New Roman" w:hAnsi="Times New Roman" w:cs="Times New Roman"/>
          <w:color w:val="auto"/>
        </w:rPr>
        <w:t xml:space="preserve"> consent has probably been presented as being the main legal basis. While the legal basis corresponding to the </w:t>
      </w:r>
      <w:r w:rsidR="000B5581" w:rsidRPr="00D52EFE">
        <w:rPr>
          <w:rFonts w:ascii="Times New Roman" w:eastAsia="Times New Roman" w:hAnsi="Times New Roman" w:cs="Times New Roman"/>
          <w:i/>
          <w:color w:val="auto"/>
        </w:rPr>
        <w:t>“processing that is necessary for the task carried out in the public interest or in the exercise of official authority vested in the controller”</w:t>
      </w:r>
      <w:r w:rsidR="000B5581" w:rsidRPr="00D52EFE">
        <w:rPr>
          <w:rFonts w:ascii="Times New Roman" w:eastAsia="Times New Roman" w:hAnsi="Times New Roman" w:cs="Times New Roman"/>
          <w:color w:val="auto"/>
        </w:rPr>
        <w:t xml:space="preserve"> does not seem to raise any concern, consent as the second (or probably first) legal basis creates some difficulties. </w:t>
      </w:r>
    </w:p>
    <w:p w14:paraId="47BD87A8" w14:textId="77777777" w:rsidR="00D70F60" w:rsidRPr="00D52EFE" w:rsidRDefault="00D70F60" w:rsidP="00C86397">
      <w:pPr>
        <w:rPr>
          <w:rFonts w:ascii="Times New Roman" w:eastAsia="Times New Roman" w:hAnsi="Times New Roman" w:cs="Times New Roman"/>
          <w:color w:val="auto"/>
        </w:rPr>
      </w:pPr>
    </w:p>
    <w:p w14:paraId="4D0A13D1" w14:textId="582942F9"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One key question is thus whether consent is a valid legal basis for the processing undertaken by identity providers. </w:t>
      </w:r>
      <w:r w:rsidR="001F603F">
        <w:rPr>
          <w:rFonts w:ascii="Times New Roman" w:eastAsia="Times New Roman" w:hAnsi="Times New Roman" w:cs="Times New Roman"/>
          <w:color w:val="auto"/>
        </w:rPr>
        <w:t>It is true</w:t>
      </w:r>
      <w:r w:rsidRPr="00D52EFE">
        <w:rPr>
          <w:rFonts w:ascii="Times New Roman" w:eastAsia="Times New Roman" w:hAnsi="Times New Roman" w:cs="Times New Roman"/>
          <w:color w:val="auto"/>
        </w:rPr>
        <w:t xml:space="preserve"> that data subjects </w:t>
      </w:r>
      <w:r w:rsidR="00622E74" w:rsidRPr="00D52EFE">
        <w:rPr>
          <w:rFonts w:ascii="Times New Roman" w:eastAsia="Times New Roman" w:hAnsi="Times New Roman" w:cs="Times New Roman"/>
          <w:color w:val="auto"/>
        </w:rPr>
        <w:t>are offered a</w:t>
      </w:r>
      <w:r w:rsidR="00576DDE">
        <w:rPr>
          <w:rFonts w:ascii="Times New Roman" w:eastAsia="Times New Roman" w:hAnsi="Times New Roman" w:cs="Times New Roman"/>
          <w:color w:val="auto"/>
        </w:rPr>
        <w:t xml:space="preserve"> relatively</w:t>
      </w:r>
      <w:r w:rsidR="00622E74" w:rsidRPr="00D52EFE">
        <w:rPr>
          <w:rFonts w:ascii="Times New Roman" w:eastAsia="Times New Roman" w:hAnsi="Times New Roman" w:cs="Times New Roman"/>
          <w:color w:val="auto"/>
        </w:rPr>
        <w:t xml:space="preserve"> limited choice of </w:t>
      </w:r>
      <w:r w:rsidRPr="00D52EFE">
        <w:rPr>
          <w:rFonts w:ascii="Times New Roman" w:eastAsia="Times New Roman" w:hAnsi="Times New Roman" w:cs="Times New Roman"/>
          <w:color w:val="auto"/>
        </w:rPr>
        <w:t xml:space="preserve">identity providers and </w:t>
      </w:r>
      <w:r w:rsidR="001F603F">
        <w:rPr>
          <w:rFonts w:ascii="Times New Roman" w:eastAsia="Times New Roman" w:hAnsi="Times New Roman" w:cs="Times New Roman"/>
          <w:color w:val="auto"/>
        </w:rPr>
        <w:t>arguably and that</w:t>
      </w:r>
      <w:r w:rsidR="00622E74"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t xml:space="preserve">service providers </w:t>
      </w:r>
      <w:r w:rsidR="006813AE" w:rsidRPr="00D52EFE">
        <w:rPr>
          <w:rFonts w:ascii="Times New Roman" w:eastAsia="Times New Roman" w:hAnsi="Times New Roman" w:cs="Times New Roman"/>
          <w:color w:val="auto"/>
        </w:rPr>
        <w:t xml:space="preserve">also </w:t>
      </w:r>
      <w:r w:rsidRPr="00D52EFE">
        <w:rPr>
          <w:rFonts w:ascii="Times New Roman" w:eastAsia="Times New Roman" w:hAnsi="Times New Roman" w:cs="Times New Roman"/>
          <w:color w:val="auto"/>
        </w:rPr>
        <w:t xml:space="preserve">offer alternative means to access their services. </w:t>
      </w:r>
    </w:p>
    <w:p w14:paraId="16A72653" w14:textId="77777777" w:rsidR="00D70F60" w:rsidRPr="00D52EFE" w:rsidRDefault="00D70F60" w:rsidP="00C86397">
      <w:pPr>
        <w:rPr>
          <w:rFonts w:ascii="Times New Roman" w:eastAsia="Times New Roman" w:hAnsi="Times New Roman" w:cs="Times New Roman"/>
          <w:color w:val="auto"/>
        </w:rPr>
      </w:pPr>
    </w:p>
    <w:p w14:paraId="2575F91F" w14:textId="035AB8C0"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However, one could argue that despite the fact that these identity providers are private companies there is a presumption of clear imbalance between the data subject and the controller in the same way as there seems to be a presumption of clear imbalance between data subjects and public authorities. There is indeed a very intimate relationship between identity providers and GDS. </w:t>
      </w:r>
      <w:r w:rsidR="000022A2" w:rsidRPr="00D52EFE">
        <w:rPr>
          <w:rFonts w:ascii="Times New Roman" w:eastAsia="Times New Roman" w:hAnsi="Times New Roman" w:cs="Times New Roman"/>
          <w:color w:val="auto"/>
        </w:rPr>
        <w:t>This raises the question whether identity providers could be assimilated to public authorities</w:t>
      </w:r>
      <w:r w:rsidR="00EC3417" w:rsidRPr="00D52EFE">
        <w:rPr>
          <w:rFonts w:ascii="Times New Roman" w:eastAsia="Times New Roman" w:hAnsi="Times New Roman" w:cs="Times New Roman"/>
          <w:color w:val="auto"/>
        </w:rPr>
        <w:t xml:space="preserve"> for the purposes of identification and authentication</w:t>
      </w:r>
      <w:r w:rsidR="000022A2" w:rsidRPr="00D52EFE">
        <w:rPr>
          <w:rFonts w:ascii="Times New Roman" w:eastAsia="Times New Roman" w:hAnsi="Times New Roman" w:cs="Times New Roman"/>
          <w:color w:val="auto"/>
        </w:rPr>
        <w:t xml:space="preserve">. </w:t>
      </w:r>
      <w:r w:rsidR="006D6D76" w:rsidRPr="00D52EFE">
        <w:rPr>
          <w:rFonts w:ascii="Times New Roman" w:eastAsia="Times New Roman" w:hAnsi="Times New Roman" w:cs="Times New Roman"/>
          <w:color w:val="auto"/>
        </w:rPr>
        <w:t>First</w:t>
      </w:r>
      <w:r w:rsidRPr="00D52EFE">
        <w:rPr>
          <w:rFonts w:ascii="Times New Roman" w:eastAsia="Times New Roman" w:hAnsi="Times New Roman" w:cs="Times New Roman"/>
          <w:color w:val="auto"/>
        </w:rPr>
        <w:t xml:space="preserve">, identity providers are certified by </w:t>
      </w:r>
      <w:r w:rsidR="00C04B42" w:rsidRPr="00D52EFE">
        <w:rPr>
          <w:rFonts w:ascii="Times New Roman" w:eastAsia="Times New Roman" w:hAnsi="Times New Roman" w:cs="Times New Roman"/>
          <w:color w:val="auto"/>
        </w:rPr>
        <w:t>tScheme</w:t>
      </w:r>
      <w:r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vertAlign w:val="superscript"/>
        </w:rPr>
        <w:footnoteReference w:id="150"/>
      </w:r>
      <w:r w:rsidRPr="00D52EFE">
        <w:rPr>
          <w:rFonts w:ascii="Times New Roman" w:eastAsia="Times New Roman" w:hAnsi="Times New Roman" w:cs="Times New Roman"/>
          <w:color w:val="auto"/>
        </w:rPr>
        <w:t xml:space="preserve"> Second, identity providers are actually paid by GDS.</w:t>
      </w:r>
      <w:r w:rsidRPr="00D52EFE">
        <w:rPr>
          <w:rFonts w:ascii="Times New Roman" w:eastAsia="Times New Roman" w:hAnsi="Times New Roman" w:cs="Times New Roman"/>
          <w:color w:val="auto"/>
          <w:vertAlign w:val="superscript"/>
        </w:rPr>
        <w:footnoteReference w:id="151"/>
      </w:r>
      <w:r w:rsidRPr="00D52EFE">
        <w:rPr>
          <w:rFonts w:ascii="Times New Roman" w:eastAsia="Times New Roman" w:hAnsi="Times New Roman" w:cs="Times New Roman"/>
          <w:color w:val="auto"/>
        </w:rPr>
        <w:t xml:space="preserve"> Third, the relationship between identity providers and GDS is regulated through the means of a complex framework agreement, which include a whole set of stipulations relating to reports, records and monitoring by GDS.</w:t>
      </w:r>
      <w:r w:rsidRPr="00D52EFE">
        <w:rPr>
          <w:rFonts w:ascii="Times New Roman" w:eastAsia="Times New Roman" w:hAnsi="Times New Roman" w:cs="Times New Roman"/>
          <w:color w:val="auto"/>
          <w:vertAlign w:val="superscript"/>
        </w:rPr>
        <w:footnoteReference w:id="152"/>
      </w:r>
      <w:r w:rsidRPr="00D52EFE">
        <w:rPr>
          <w:rFonts w:ascii="Times New Roman" w:eastAsia="Times New Roman" w:hAnsi="Times New Roman" w:cs="Times New Roman"/>
          <w:color w:val="auto"/>
        </w:rPr>
        <w:t xml:space="preserve"> Interestingly, in most other Member States, the verification</w:t>
      </w:r>
      <w:r w:rsidR="001F603F">
        <w:rPr>
          <w:rFonts w:ascii="Times New Roman" w:eastAsia="Times New Roman" w:hAnsi="Times New Roman" w:cs="Times New Roman"/>
          <w:color w:val="auto"/>
        </w:rPr>
        <w:t xml:space="preserve"> and confirmation</w:t>
      </w:r>
      <w:r w:rsidRPr="00D52EFE">
        <w:rPr>
          <w:rFonts w:ascii="Times New Roman" w:eastAsia="Times New Roman" w:hAnsi="Times New Roman" w:cs="Times New Roman"/>
          <w:color w:val="auto"/>
        </w:rPr>
        <w:t xml:space="preserve"> of identity is undertaken by public authorities.</w:t>
      </w:r>
      <w:r w:rsidR="00E959F1" w:rsidRPr="00D52EFE">
        <w:rPr>
          <w:rStyle w:val="FootnoteReference"/>
          <w:rFonts w:ascii="Times New Roman" w:eastAsia="Times New Roman" w:hAnsi="Times New Roman" w:cs="Times New Roman"/>
          <w:color w:val="auto"/>
        </w:rPr>
        <w:footnoteReference w:id="153"/>
      </w:r>
      <w:r w:rsidRPr="00D52EFE">
        <w:rPr>
          <w:rFonts w:ascii="Times New Roman" w:eastAsia="Times New Roman" w:hAnsi="Times New Roman" w:cs="Times New Roman"/>
          <w:color w:val="auto"/>
        </w:rPr>
        <w:t xml:space="preserve"> Although in many</w:t>
      </w:r>
      <w:r w:rsidR="00E959F1" w:rsidRPr="00D52EFE">
        <w:rPr>
          <w:rFonts w:ascii="Times New Roman" w:eastAsia="Times New Roman" w:hAnsi="Times New Roman" w:cs="Times New Roman"/>
          <w:color w:val="auto"/>
        </w:rPr>
        <w:t xml:space="preserve"> Member States</w:t>
      </w:r>
      <w:r w:rsidRPr="00D52EFE">
        <w:rPr>
          <w:rFonts w:ascii="Times New Roman" w:eastAsia="Times New Roman" w:hAnsi="Times New Roman" w:cs="Times New Roman"/>
          <w:color w:val="auto"/>
        </w:rPr>
        <w:t xml:space="preserve"> </w:t>
      </w:r>
      <w:r w:rsidR="00E7452A" w:rsidRPr="00D52EFE">
        <w:rPr>
          <w:rFonts w:ascii="Times New Roman" w:eastAsia="Times New Roman" w:hAnsi="Times New Roman" w:cs="Times New Roman"/>
          <w:color w:val="auto"/>
        </w:rPr>
        <w:t xml:space="preserve">the manufacturing of </w:t>
      </w:r>
      <w:r w:rsidRPr="00D52EFE">
        <w:rPr>
          <w:rFonts w:ascii="Times New Roman" w:eastAsia="Times New Roman" w:hAnsi="Times New Roman" w:cs="Times New Roman"/>
          <w:color w:val="auto"/>
        </w:rPr>
        <w:t xml:space="preserve">the infrastructure and the </w:t>
      </w:r>
      <w:r w:rsidR="00E959F1" w:rsidRPr="00D52EFE">
        <w:rPr>
          <w:rFonts w:ascii="Times New Roman" w:eastAsia="Times New Roman" w:hAnsi="Times New Roman" w:cs="Times New Roman"/>
          <w:color w:val="auto"/>
        </w:rPr>
        <w:t xml:space="preserve">eID </w:t>
      </w:r>
      <w:r w:rsidRPr="00D52EFE">
        <w:rPr>
          <w:rFonts w:ascii="Times New Roman" w:eastAsia="Times New Roman" w:hAnsi="Times New Roman" w:cs="Times New Roman"/>
          <w:color w:val="auto"/>
        </w:rPr>
        <w:t>means (</w:t>
      </w:r>
      <w:r w:rsidR="00A338CE" w:rsidRPr="00D52EFE">
        <w:rPr>
          <w:rFonts w:ascii="Times New Roman" w:eastAsia="Times New Roman" w:hAnsi="Times New Roman" w:cs="Times New Roman"/>
          <w:i/>
          <w:color w:val="auto"/>
        </w:rPr>
        <w:t>e.g.</w:t>
      </w:r>
      <w:r w:rsidRPr="00D52EFE">
        <w:rPr>
          <w:rFonts w:ascii="Times New Roman" w:eastAsia="Times New Roman" w:hAnsi="Times New Roman" w:cs="Times New Roman"/>
          <w:color w:val="auto"/>
        </w:rPr>
        <w:t xml:space="preserve"> the cards) </w:t>
      </w:r>
      <w:r w:rsidR="00E7452A" w:rsidRPr="00D52EFE">
        <w:rPr>
          <w:rFonts w:ascii="Times New Roman" w:eastAsia="Times New Roman" w:hAnsi="Times New Roman" w:cs="Times New Roman"/>
          <w:color w:val="auto"/>
        </w:rPr>
        <w:t>is</w:t>
      </w:r>
      <w:r w:rsidR="00C32CDC" w:rsidRPr="00D52EFE">
        <w:rPr>
          <w:rFonts w:ascii="Times New Roman" w:eastAsia="Times New Roman" w:hAnsi="Times New Roman" w:cs="Times New Roman"/>
          <w:color w:val="auto"/>
        </w:rPr>
        <w:t xml:space="preserve"> outsourced to</w:t>
      </w:r>
      <w:r w:rsidRPr="00D52EFE">
        <w:rPr>
          <w:rFonts w:ascii="Times New Roman" w:eastAsia="Times New Roman" w:hAnsi="Times New Roman" w:cs="Times New Roman"/>
          <w:color w:val="auto"/>
        </w:rPr>
        <w:t xml:space="preserve"> private entities (through tenders), </w:t>
      </w:r>
      <w:r w:rsidR="00C32CDC" w:rsidRPr="00D52EFE">
        <w:rPr>
          <w:rFonts w:ascii="Times New Roman" w:eastAsia="Times New Roman" w:hAnsi="Times New Roman" w:cs="Times New Roman"/>
          <w:color w:val="auto"/>
        </w:rPr>
        <w:t xml:space="preserve">the operation of identification and </w:t>
      </w:r>
      <w:r w:rsidRPr="00D52EFE">
        <w:rPr>
          <w:rFonts w:ascii="Times New Roman" w:eastAsia="Times New Roman" w:hAnsi="Times New Roman" w:cs="Times New Roman"/>
          <w:color w:val="auto"/>
        </w:rPr>
        <w:t>authentication is</w:t>
      </w:r>
      <w:r w:rsidR="00842E4F" w:rsidRPr="00D52EFE">
        <w:rPr>
          <w:rFonts w:ascii="Times New Roman" w:eastAsia="Times New Roman" w:hAnsi="Times New Roman" w:cs="Times New Roman"/>
          <w:color w:val="auto"/>
        </w:rPr>
        <w:t>, in a majority of EU countries,</w:t>
      </w:r>
      <w:r w:rsidRPr="00D52EFE">
        <w:rPr>
          <w:rFonts w:ascii="Times New Roman" w:eastAsia="Times New Roman" w:hAnsi="Times New Roman" w:cs="Times New Roman"/>
          <w:color w:val="auto"/>
        </w:rPr>
        <w:t xml:space="preserve"> </w:t>
      </w:r>
      <w:r w:rsidR="00E7452A" w:rsidRPr="00D52EFE">
        <w:rPr>
          <w:rFonts w:ascii="Times New Roman" w:eastAsia="Times New Roman" w:hAnsi="Times New Roman" w:cs="Times New Roman"/>
          <w:color w:val="auto"/>
        </w:rPr>
        <w:t>under the responsibility of</w:t>
      </w:r>
      <w:r w:rsidRPr="00D52EFE">
        <w:rPr>
          <w:rFonts w:ascii="Times New Roman" w:eastAsia="Times New Roman" w:hAnsi="Times New Roman" w:cs="Times New Roman"/>
          <w:color w:val="auto"/>
        </w:rPr>
        <w:t xml:space="preserve"> </w:t>
      </w:r>
      <w:r w:rsidR="00C32CDC" w:rsidRPr="00D52EFE">
        <w:rPr>
          <w:rFonts w:ascii="Times New Roman" w:eastAsia="Times New Roman" w:hAnsi="Times New Roman" w:cs="Times New Roman"/>
          <w:color w:val="auto"/>
        </w:rPr>
        <w:t>a governmental department</w:t>
      </w:r>
      <w:r w:rsidRPr="00D52EFE">
        <w:rPr>
          <w:rFonts w:ascii="Times New Roman" w:eastAsia="Times New Roman" w:hAnsi="Times New Roman" w:cs="Times New Roman"/>
          <w:color w:val="auto"/>
        </w:rPr>
        <w:t>.</w:t>
      </w:r>
      <w:r w:rsidR="00C344C7" w:rsidRPr="00D52EFE">
        <w:rPr>
          <w:rStyle w:val="FootnoteReference"/>
          <w:rFonts w:ascii="Times New Roman" w:eastAsia="Times New Roman" w:hAnsi="Times New Roman" w:cs="Times New Roman"/>
          <w:color w:val="auto"/>
        </w:rPr>
        <w:footnoteReference w:id="154"/>
      </w:r>
    </w:p>
    <w:p w14:paraId="1D52BF15" w14:textId="77777777" w:rsidR="00D70F60" w:rsidRPr="00D52EFE" w:rsidRDefault="00D70F60" w:rsidP="00C86397">
      <w:pPr>
        <w:rPr>
          <w:rFonts w:ascii="Times New Roman" w:eastAsia="Times New Roman" w:hAnsi="Times New Roman" w:cs="Times New Roman"/>
          <w:color w:val="auto"/>
        </w:rPr>
      </w:pPr>
    </w:p>
    <w:p w14:paraId="0A79391C" w14:textId="3EA4D18A"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If we are to </w:t>
      </w:r>
      <w:r w:rsidR="000022A2" w:rsidRPr="00D52EFE">
        <w:rPr>
          <w:rFonts w:ascii="Times New Roman" w:eastAsia="Times New Roman" w:hAnsi="Times New Roman" w:cs="Times New Roman"/>
          <w:color w:val="auto"/>
        </w:rPr>
        <w:t>assume that the</w:t>
      </w:r>
      <w:r w:rsidR="005A2CA7">
        <w:rPr>
          <w:rFonts w:ascii="Times New Roman" w:eastAsia="Times New Roman" w:hAnsi="Times New Roman" w:cs="Times New Roman"/>
          <w:color w:val="auto"/>
        </w:rPr>
        <w:t>re is such a thing as a (functional)</w:t>
      </w:r>
      <w:r w:rsidR="00FD666F" w:rsidRPr="00D52EFE">
        <w:rPr>
          <w:rFonts w:ascii="Times New Roman" w:eastAsia="Times New Roman" w:hAnsi="Times New Roman" w:cs="Times New Roman"/>
          <w:color w:val="auto"/>
        </w:rPr>
        <w:t xml:space="preserve"> EU</w:t>
      </w:r>
      <w:r w:rsidR="000022A2" w:rsidRPr="00D52EFE">
        <w:rPr>
          <w:rFonts w:ascii="Times New Roman" w:eastAsia="Times New Roman" w:hAnsi="Times New Roman" w:cs="Times New Roman"/>
          <w:color w:val="auto"/>
        </w:rPr>
        <w:t xml:space="preserve"> concept of public authorities (which should be independent from national </w:t>
      </w:r>
      <w:r w:rsidR="00ED2A5D" w:rsidRPr="00D52EFE">
        <w:rPr>
          <w:rFonts w:ascii="Times New Roman" w:eastAsia="Times New Roman" w:hAnsi="Times New Roman" w:cs="Times New Roman"/>
          <w:color w:val="auto"/>
        </w:rPr>
        <w:t>definitions),</w:t>
      </w:r>
      <w:r w:rsidRPr="00D52EFE">
        <w:rPr>
          <w:rFonts w:ascii="Times New Roman" w:eastAsia="Times New Roman" w:hAnsi="Times New Roman" w:cs="Times New Roman"/>
          <w:color w:val="auto"/>
        </w:rPr>
        <w:t xml:space="preserve"> there is an argument that companies certified by the GDS should also be considered public authorities themselves</w:t>
      </w:r>
      <w:r w:rsidR="008303FF" w:rsidRPr="00D52EFE">
        <w:rPr>
          <w:rFonts w:ascii="Times New Roman" w:eastAsia="Times New Roman" w:hAnsi="Times New Roman" w:cs="Times New Roman"/>
          <w:color w:val="auto"/>
        </w:rPr>
        <w:t xml:space="preserve"> or at the very least performing a task carried out in the public interest</w:t>
      </w:r>
      <w:r w:rsidRPr="00D52EFE">
        <w:rPr>
          <w:rFonts w:ascii="Times New Roman" w:eastAsia="Times New Roman" w:hAnsi="Times New Roman" w:cs="Times New Roman"/>
          <w:color w:val="auto"/>
        </w:rPr>
        <w:t xml:space="preserve">. As noted above, for instance, the jurisprudence of both the CJEU suggests that any bodies or institutions, irrespective of their legal form, that are responsible for providing a public service on behalf of the state, are afforded special powers or competencies by way of their relationship with the state, or are unable to act autonomously and in a way that is free from decisive influence of the state, must be considered public authorities. Companies certified by </w:t>
      </w:r>
      <w:r w:rsidR="000022A2" w:rsidRPr="00D52EFE">
        <w:rPr>
          <w:rFonts w:ascii="Times New Roman" w:eastAsia="Times New Roman" w:hAnsi="Times New Roman" w:cs="Times New Roman"/>
          <w:color w:val="auto"/>
        </w:rPr>
        <w:t>GDS could</w:t>
      </w:r>
      <w:r w:rsidRPr="00D52EFE">
        <w:rPr>
          <w:rFonts w:ascii="Times New Roman" w:eastAsia="Times New Roman" w:hAnsi="Times New Roman" w:cs="Times New Roman"/>
          <w:color w:val="auto"/>
        </w:rPr>
        <w:t xml:space="preserve"> arguably be described as possessing some, if not all, of these characteristics.</w:t>
      </w:r>
      <w:r w:rsidR="00E959F1" w:rsidRPr="00D52EFE">
        <w:rPr>
          <w:rFonts w:ascii="Times New Roman" w:eastAsia="Times New Roman" w:hAnsi="Times New Roman" w:cs="Times New Roman"/>
          <w:color w:val="auto"/>
        </w:rPr>
        <w:t xml:space="preserve"> In any case, it is not necessary to identify a public authority for characterising an imbalance between the data subjects and the controllers.  </w:t>
      </w:r>
    </w:p>
    <w:p w14:paraId="6790AEA7" w14:textId="77777777" w:rsidR="00D70F60" w:rsidRPr="00D52EFE" w:rsidRDefault="00D70F60" w:rsidP="00C86397">
      <w:pPr>
        <w:rPr>
          <w:rFonts w:ascii="Times New Roman" w:eastAsia="Times New Roman" w:hAnsi="Times New Roman" w:cs="Times New Roman"/>
          <w:color w:val="auto"/>
        </w:rPr>
      </w:pPr>
    </w:p>
    <w:p w14:paraId="34892173" w14:textId="27FB4221" w:rsidR="00D70F60" w:rsidRPr="00D52EFE" w:rsidRDefault="000B5581" w:rsidP="000E1CC3">
      <w:pPr>
        <w:rPr>
          <w:rFonts w:ascii="Times New Roman" w:eastAsia="Times New Roman" w:hAnsi="Times New Roman" w:cs="Times New Roman"/>
          <w:color w:val="auto"/>
        </w:rPr>
      </w:pPr>
      <w:r w:rsidRPr="00D52EFE">
        <w:rPr>
          <w:rFonts w:ascii="Times New Roman" w:eastAsia="Times New Roman" w:hAnsi="Times New Roman" w:cs="Times New Roman"/>
          <w:color w:val="auto"/>
        </w:rPr>
        <w:lastRenderedPageBreak/>
        <w:t xml:space="preserve">Consent as a legal basis becomes even more problematic when used directly by (government) service providers. To the question whether </w:t>
      </w:r>
      <w:r w:rsidRPr="00D52EFE">
        <w:rPr>
          <w:rFonts w:ascii="Times New Roman" w:eastAsia="Times New Roman" w:hAnsi="Times New Roman" w:cs="Times New Roman"/>
          <w:i/>
          <w:color w:val="auto"/>
        </w:rPr>
        <w:t>“suppliers/partners have the right to use the personal information collected or shared under the service for their own purposes”</w:t>
      </w:r>
      <w:r w:rsidRPr="00D52EFE">
        <w:rPr>
          <w:rFonts w:ascii="Times New Roman" w:eastAsia="Times New Roman" w:hAnsi="Times New Roman" w:cs="Times New Roman"/>
          <w:color w:val="auto"/>
          <w:vertAlign w:val="superscript"/>
        </w:rPr>
        <w:footnoteReference w:id="155"/>
      </w:r>
      <w:r w:rsidRPr="00D52EFE">
        <w:rPr>
          <w:rFonts w:ascii="Times New Roman" w:eastAsia="Times New Roman" w:hAnsi="Times New Roman" w:cs="Times New Roman"/>
          <w:color w:val="auto"/>
        </w:rPr>
        <w:t xml:space="preserve"> it is answered that </w:t>
      </w:r>
      <w:r w:rsidRPr="00D52EFE">
        <w:rPr>
          <w:rFonts w:ascii="Times New Roman" w:eastAsia="Times New Roman" w:hAnsi="Times New Roman" w:cs="Times New Roman"/>
          <w:i/>
          <w:color w:val="auto"/>
        </w:rPr>
        <w:t>“Government Services may use information for their own purposes, but will have to disclose purposes and details of information required to the service user on a per-transaction basis, and seek appropriate consent.”</w:t>
      </w:r>
      <w:r w:rsidRPr="00D52EFE">
        <w:rPr>
          <w:rFonts w:ascii="Times New Roman" w:eastAsia="Times New Roman" w:hAnsi="Times New Roman" w:cs="Times New Roman"/>
          <w:color w:val="auto"/>
          <w:vertAlign w:val="superscript"/>
        </w:rPr>
        <w:footnoteReference w:id="156"/>
      </w:r>
      <w:r w:rsidRPr="00D52EFE">
        <w:rPr>
          <w:rFonts w:ascii="Times New Roman" w:eastAsia="Times New Roman" w:hAnsi="Times New Roman" w:cs="Times New Roman"/>
          <w:color w:val="auto"/>
        </w:rPr>
        <w:t xml:space="preserve"> </w:t>
      </w:r>
      <w:r w:rsidR="00622E74" w:rsidRPr="00D52EFE">
        <w:rPr>
          <w:rFonts w:ascii="Times New Roman" w:eastAsia="Times New Roman" w:hAnsi="Times New Roman" w:cs="Times New Roman"/>
          <w:color w:val="auto"/>
        </w:rPr>
        <w:t xml:space="preserve">Arguably, consent would only work if the processing activity was not necessary for the performance of a public task and data subjects were given realistic alternatives. </w:t>
      </w:r>
      <w:r w:rsidR="006813AE" w:rsidRPr="00D52EFE">
        <w:rPr>
          <w:rFonts w:ascii="Times New Roman" w:eastAsia="Times New Roman" w:hAnsi="Times New Roman" w:cs="Times New Roman"/>
          <w:color w:val="auto"/>
        </w:rPr>
        <w:t xml:space="preserve">For </w:t>
      </w:r>
      <w:r w:rsidR="006D1164" w:rsidRPr="00D52EFE">
        <w:rPr>
          <w:rFonts w:ascii="Times New Roman" w:eastAsia="Times New Roman" w:hAnsi="Times New Roman" w:cs="Times New Roman"/>
          <w:color w:val="auto"/>
        </w:rPr>
        <w:t xml:space="preserve">identification and </w:t>
      </w:r>
      <w:r w:rsidR="006813AE" w:rsidRPr="00D52EFE">
        <w:rPr>
          <w:rFonts w:ascii="Times New Roman" w:eastAsia="Times New Roman" w:hAnsi="Times New Roman" w:cs="Times New Roman"/>
          <w:color w:val="auto"/>
        </w:rPr>
        <w:t xml:space="preserve">authentication of service users in order to access government services, it would thus seem impossible to rely upon </w:t>
      </w:r>
      <w:r w:rsidR="00ED2A5D" w:rsidRPr="00D52EFE">
        <w:rPr>
          <w:rFonts w:ascii="Times New Roman" w:eastAsia="Times New Roman" w:hAnsi="Times New Roman" w:cs="Times New Roman"/>
          <w:color w:val="auto"/>
        </w:rPr>
        <w:t>consent,</w:t>
      </w:r>
      <w:r w:rsidR="006813AE" w:rsidRPr="00D52EFE">
        <w:rPr>
          <w:rFonts w:ascii="Times New Roman" w:eastAsia="Times New Roman" w:hAnsi="Times New Roman" w:cs="Times New Roman"/>
          <w:color w:val="auto"/>
        </w:rPr>
        <w:t xml:space="preserve"> as there is a strong argument that </w:t>
      </w:r>
      <w:r w:rsidR="009C2646">
        <w:rPr>
          <w:rFonts w:ascii="Times New Roman" w:eastAsia="Times New Roman" w:hAnsi="Times New Roman" w:cs="Times New Roman"/>
          <w:color w:val="auto"/>
        </w:rPr>
        <w:t xml:space="preserve">identification and </w:t>
      </w:r>
      <w:r w:rsidR="006813AE" w:rsidRPr="00D52EFE">
        <w:rPr>
          <w:rFonts w:ascii="Times New Roman" w:eastAsia="Times New Roman" w:hAnsi="Times New Roman" w:cs="Times New Roman"/>
          <w:color w:val="auto"/>
        </w:rPr>
        <w:t>authentication is necessary for the performance of a task carried out in the publi</w:t>
      </w:r>
      <w:r w:rsidR="00751A80" w:rsidRPr="00D52EFE">
        <w:rPr>
          <w:rFonts w:ascii="Times New Roman" w:eastAsia="Times New Roman" w:hAnsi="Times New Roman" w:cs="Times New Roman"/>
          <w:color w:val="auto"/>
        </w:rPr>
        <w:t>c interest, e.g. in order to prevent fraud</w:t>
      </w:r>
      <w:r w:rsidR="000E1CC3">
        <w:rPr>
          <w:rFonts w:ascii="Times New Roman" w:eastAsia="Times New Roman" w:hAnsi="Times New Roman" w:cs="Times New Roman"/>
          <w:color w:val="auto"/>
        </w:rPr>
        <w:t xml:space="preserve">. With this said, </w:t>
      </w:r>
      <w:r w:rsidR="0046532E" w:rsidRPr="00D52EFE">
        <w:rPr>
          <w:rFonts w:ascii="Times New Roman" w:eastAsia="Times New Roman" w:hAnsi="Times New Roman" w:cs="Times New Roman"/>
          <w:color w:val="auto"/>
        </w:rPr>
        <w:t xml:space="preserve">it would be better to interpret the </w:t>
      </w:r>
      <w:r w:rsidR="001F603F">
        <w:rPr>
          <w:rFonts w:ascii="Times New Roman" w:eastAsia="Times New Roman" w:hAnsi="Times New Roman" w:cs="Times New Roman"/>
          <w:color w:val="auto"/>
        </w:rPr>
        <w:t>task carried in the public interest</w:t>
      </w:r>
      <w:r w:rsidR="0046532E" w:rsidRPr="00D52EFE">
        <w:rPr>
          <w:rFonts w:ascii="Times New Roman" w:eastAsia="Times New Roman" w:hAnsi="Times New Roman" w:cs="Times New Roman"/>
          <w:color w:val="auto"/>
        </w:rPr>
        <w:t xml:space="preserve"> ground narrowly and revert to the legitimate interests ground in this scenario to make sure a proper balancing is effectuated</w:t>
      </w:r>
      <w:r w:rsidR="009C2646">
        <w:rPr>
          <w:rFonts w:ascii="Times New Roman" w:eastAsia="Times New Roman" w:hAnsi="Times New Roman" w:cs="Times New Roman"/>
          <w:color w:val="auto"/>
        </w:rPr>
        <w:t xml:space="preserve"> as often as possible</w:t>
      </w:r>
      <w:r w:rsidR="006813AE" w:rsidRPr="00D52EFE">
        <w:rPr>
          <w:rFonts w:ascii="Times New Roman" w:eastAsia="Times New Roman" w:hAnsi="Times New Roman" w:cs="Times New Roman"/>
          <w:color w:val="auto"/>
        </w:rPr>
        <w:t xml:space="preserve">. </w:t>
      </w:r>
      <w:r w:rsidR="009C2646">
        <w:rPr>
          <w:rFonts w:ascii="Times New Roman" w:eastAsia="Times New Roman" w:hAnsi="Times New Roman" w:cs="Times New Roman"/>
          <w:color w:val="auto"/>
        </w:rPr>
        <w:t>Pushing</w:t>
      </w:r>
      <w:r w:rsidR="000E1CC3">
        <w:rPr>
          <w:rFonts w:ascii="Times New Roman" w:eastAsia="Times New Roman" w:hAnsi="Times New Roman" w:cs="Times New Roman"/>
          <w:color w:val="auto"/>
        </w:rPr>
        <w:t xml:space="preserve"> the analysis further, it could then seem problematic to only rely upon entirely one-sided LOA.</w:t>
      </w:r>
    </w:p>
    <w:p w14:paraId="7D1BF9BD" w14:textId="040BC280" w:rsidR="00D70F60" w:rsidRPr="00D52EFE" w:rsidRDefault="00D70F60" w:rsidP="00C86397">
      <w:pPr>
        <w:rPr>
          <w:rFonts w:ascii="Times New Roman" w:eastAsia="Times New Roman" w:hAnsi="Times New Roman" w:cs="Times New Roman"/>
          <w:color w:val="auto"/>
        </w:rPr>
      </w:pPr>
    </w:p>
    <w:p w14:paraId="3548D0B4" w14:textId="1AF16611"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From the analysis of the doctrine of legal basis as it can be derived from the GDPR it appears that the role given to consent has expressly been circumscribed in comparison with the DPD. As a result, it is arguable whether consent could be used at all to legitimise the processing of personal data </w:t>
      </w:r>
      <w:r w:rsidR="004B538E" w:rsidRPr="00D52EFE">
        <w:rPr>
          <w:rFonts w:ascii="Times New Roman" w:eastAsia="Times New Roman" w:hAnsi="Times New Roman" w:cs="Times New Roman"/>
          <w:color w:val="auto"/>
        </w:rPr>
        <w:t>for identification and authentication purposes in the context of the functioning of Gov.UK Verify</w:t>
      </w:r>
      <w:r w:rsidRPr="00D52EFE">
        <w:rPr>
          <w:rFonts w:ascii="Times New Roman" w:eastAsia="Times New Roman" w:hAnsi="Times New Roman" w:cs="Times New Roman"/>
          <w:color w:val="auto"/>
        </w:rPr>
        <w:t>.</w:t>
      </w:r>
      <w:r w:rsidR="004B538E" w:rsidRPr="00D52EFE">
        <w:rPr>
          <w:rFonts w:ascii="Times New Roman" w:eastAsia="Times New Roman" w:hAnsi="Times New Roman" w:cs="Times New Roman"/>
          <w:color w:val="auto"/>
        </w:rPr>
        <w:t xml:space="preserve"> Furthermore, as it will be </w:t>
      </w:r>
      <w:r w:rsidR="008A60E1" w:rsidRPr="00D52EFE">
        <w:rPr>
          <w:rFonts w:ascii="Times New Roman" w:eastAsia="Times New Roman" w:hAnsi="Times New Roman" w:cs="Times New Roman"/>
          <w:color w:val="auto"/>
        </w:rPr>
        <w:t>argued</w:t>
      </w:r>
      <w:r w:rsidR="004B538E" w:rsidRPr="00D52EFE">
        <w:rPr>
          <w:rFonts w:ascii="Times New Roman" w:eastAsia="Times New Roman" w:hAnsi="Times New Roman" w:cs="Times New Roman"/>
          <w:color w:val="auto"/>
        </w:rPr>
        <w:t xml:space="preserve"> below</w:t>
      </w:r>
      <w:r w:rsidR="00764937">
        <w:rPr>
          <w:rFonts w:ascii="Times New Roman" w:eastAsia="Times New Roman" w:hAnsi="Times New Roman" w:cs="Times New Roman"/>
          <w:color w:val="auto"/>
        </w:rPr>
        <w:t>,</w:t>
      </w:r>
      <w:r w:rsidR="004B538E" w:rsidRPr="00D52EFE">
        <w:rPr>
          <w:rFonts w:ascii="Times New Roman" w:eastAsia="Times New Roman" w:hAnsi="Times New Roman" w:cs="Times New Roman"/>
          <w:color w:val="auto"/>
        </w:rPr>
        <w:t xml:space="preserve"> the characterisation of a situation of joint controllership should have implications for the choice of the appropriate legal basis.</w:t>
      </w:r>
    </w:p>
    <w:p w14:paraId="3620BC50" w14:textId="57316F03" w:rsidR="00413A89" w:rsidRPr="00D52EFE" w:rsidRDefault="00413A89" w:rsidP="00C86397">
      <w:pPr>
        <w:rPr>
          <w:rFonts w:ascii="Times New Roman" w:eastAsia="Times New Roman" w:hAnsi="Times New Roman" w:cs="Times New Roman"/>
          <w:color w:val="auto"/>
        </w:rPr>
      </w:pPr>
    </w:p>
    <w:p w14:paraId="548A42CC" w14:textId="77777777" w:rsidR="00413A89" w:rsidRPr="00D52EFE" w:rsidRDefault="00413A89" w:rsidP="00C86397">
      <w:pPr>
        <w:rPr>
          <w:rFonts w:ascii="Times New Roman" w:eastAsia="Times New Roman" w:hAnsi="Times New Roman" w:cs="Times New Roman"/>
          <w:color w:val="auto"/>
        </w:rPr>
      </w:pPr>
    </w:p>
    <w:p w14:paraId="457B6BC5" w14:textId="7C618B66" w:rsidR="00D70F60" w:rsidRPr="00D52EFE" w:rsidRDefault="000B5581" w:rsidP="00036ABA">
      <w:pPr>
        <w:pStyle w:val="Heading1"/>
        <w:numPr>
          <w:ilvl w:val="0"/>
          <w:numId w:val="32"/>
        </w:numPr>
      </w:pPr>
      <w:bookmarkStart w:id="49" w:name="_y89hief1c64n" w:colFirst="0" w:colLast="0"/>
      <w:bookmarkStart w:id="50" w:name="_Toc495075260"/>
      <w:bookmarkStart w:id="51" w:name="_Toc495674483"/>
      <w:bookmarkEnd w:id="49"/>
      <w:r w:rsidRPr="00D52EFE">
        <w:t xml:space="preserve">Choosing </w:t>
      </w:r>
      <w:r w:rsidR="00572813" w:rsidRPr="00D52EFE">
        <w:t>the Appropriate Legal Basis in a Situation of Joint Controllership</w:t>
      </w:r>
      <w:bookmarkEnd w:id="50"/>
      <w:bookmarkEnd w:id="51"/>
      <w:r w:rsidR="00572813" w:rsidRPr="00D52EFE">
        <w:t xml:space="preserve"> </w:t>
      </w:r>
    </w:p>
    <w:p w14:paraId="2AE2515D" w14:textId="34086411"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After having unfolded the d</w:t>
      </w:r>
      <w:r w:rsidR="00902563" w:rsidRPr="00D52EFE">
        <w:rPr>
          <w:rFonts w:ascii="Times New Roman" w:eastAsia="Times New Roman" w:hAnsi="Times New Roman" w:cs="Times New Roman"/>
          <w:color w:val="auto"/>
        </w:rPr>
        <w:t xml:space="preserve">octrine of joint controllership, </w:t>
      </w:r>
      <w:r w:rsidRPr="00D52EFE">
        <w:rPr>
          <w:rFonts w:ascii="Times New Roman" w:eastAsia="Times New Roman" w:hAnsi="Times New Roman" w:cs="Times New Roman"/>
          <w:color w:val="auto"/>
        </w:rPr>
        <w:t>distinguished it from a processor-controller relationship, and then checked to what extent eIDAS frame</w:t>
      </w:r>
      <w:r w:rsidR="00902563" w:rsidRPr="00D52EFE">
        <w:rPr>
          <w:rFonts w:ascii="Times New Roman" w:eastAsia="Times New Roman" w:hAnsi="Times New Roman" w:cs="Times New Roman"/>
          <w:color w:val="auto"/>
        </w:rPr>
        <w:t>s</w:t>
      </w:r>
      <w:r w:rsidRPr="00D52EFE">
        <w:rPr>
          <w:rFonts w:ascii="Times New Roman" w:eastAsia="Times New Roman" w:hAnsi="Times New Roman" w:cs="Times New Roman"/>
          <w:color w:val="auto"/>
        </w:rPr>
        <w:t xml:space="preserve"> the relationships of the different parties to an eID scheme, the ecosystem of Gov.Uk Verify is assessed in light of these considerations.</w:t>
      </w:r>
    </w:p>
    <w:p w14:paraId="13756AA7" w14:textId="77777777" w:rsidR="00413A89" w:rsidRPr="00D52EFE" w:rsidRDefault="00413A89" w:rsidP="00C86397">
      <w:pPr>
        <w:rPr>
          <w:rFonts w:ascii="Times New Roman" w:eastAsia="Times New Roman" w:hAnsi="Times New Roman" w:cs="Times New Roman"/>
          <w:b/>
          <w:color w:val="auto"/>
        </w:rPr>
      </w:pPr>
    </w:p>
    <w:p w14:paraId="47582CBC" w14:textId="5ECB19E2" w:rsidR="00D70F60" w:rsidRPr="00D52EFE" w:rsidRDefault="00036ABA" w:rsidP="007C694F">
      <w:pPr>
        <w:pStyle w:val="Heading3"/>
        <w:numPr>
          <w:ilvl w:val="0"/>
          <w:numId w:val="0"/>
        </w:numPr>
        <w:jc w:val="left"/>
        <w:rPr>
          <w:b/>
          <w:color w:val="auto"/>
          <w:sz w:val="22"/>
          <w:szCs w:val="22"/>
        </w:rPr>
      </w:pPr>
      <w:bookmarkStart w:id="52" w:name="_m5jm03dz4d2g" w:colFirst="0" w:colLast="0"/>
      <w:bookmarkStart w:id="53" w:name="_Toc495674484"/>
      <w:bookmarkEnd w:id="52"/>
      <w:r>
        <w:rPr>
          <w:b/>
          <w:color w:val="auto"/>
          <w:sz w:val="22"/>
          <w:szCs w:val="22"/>
        </w:rPr>
        <w:t>4.1</w:t>
      </w:r>
      <w:r w:rsidR="007C694F" w:rsidRPr="00D52EFE">
        <w:rPr>
          <w:b/>
          <w:color w:val="auto"/>
          <w:sz w:val="22"/>
          <w:szCs w:val="22"/>
        </w:rPr>
        <w:t>.</w:t>
      </w:r>
      <w:r w:rsidR="007C694F" w:rsidRPr="00D52EFE">
        <w:rPr>
          <w:b/>
          <w:color w:val="auto"/>
          <w:sz w:val="22"/>
          <w:szCs w:val="22"/>
        </w:rPr>
        <w:tab/>
      </w:r>
      <w:r w:rsidR="000B5581" w:rsidRPr="00D52EFE">
        <w:rPr>
          <w:b/>
          <w:color w:val="auto"/>
          <w:sz w:val="22"/>
          <w:szCs w:val="22"/>
        </w:rPr>
        <w:t xml:space="preserve">The </w:t>
      </w:r>
      <w:r w:rsidR="005524FC" w:rsidRPr="00D52EFE">
        <w:rPr>
          <w:b/>
          <w:color w:val="auto"/>
          <w:sz w:val="22"/>
          <w:szCs w:val="22"/>
        </w:rPr>
        <w:t>doctrine of joint controllership</w:t>
      </w:r>
      <w:bookmarkEnd w:id="53"/>
      <w:r w:rsidR="005524FC" w:rsidRPr="00D52EFE">
        <w:rPr>
          <w:b/>
          <w:color w:val="auto"/>
          <w:sz w:val="22"/>
          <w:szCs w:val="22"/>
        </w:rPr>
        <w:t xml:space="preserve"> </w:t>
      </w:r>
    </w:p>
    <w:p w14:paraId="1CB8FADF" w14:textId="77777777" w:rsidR="00D70F60" w:rsidRPr="00D52EFE" w:rsidRDefault="00D70F60" w:rsidP="00C86397">
      <w:pPr>
        <w:rPr>
          <w:rFonts w:ascii="Times New Roman" w:eastAsia="Times New Roman" w:hAnsi="Times New Roman" w:cs="Times New Roman"/>
          <w:color w:val="auto"/>
        </w:rPr>
      </w:pPr>
    </w:p>
    <w:p w14:paraId="7F7CF6EE" w14:textId="77777777"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DPD does expressly acknowledge the possibility of having situations of joint controllership.  It uses the expression </w:t>
      </w:r>
      <w:r w:rsidRPr="00D52EFE">
        <w:rPr>
          <w:rFonts w:ascii="Times New Roman" w:eastAsia="Times New Roman" w:hAnsi="Times New Roman" w:cs="Times New Roman"/>
          <w:i/>
          <w:color w:val="auto"/>
        </w:rPr>
        <w:t>“alone or jointly with others”</w:t>
      </w:r>
      <w:r w:rsidRPr="00D52EFE">
        <w:rPr>
          <w:rFonts w:ascii="Times New Roman" w:eastAsia="Times New Roman" w:hAnsi="Times New Roman" w:cs="Times New Roman"/>
          <w:color w:val="auto"/>
        </w:rPr>
        <w:t xml:space="preserve"> and provides that a data controller is </w:t>
      </w:r>
    </w:p>
    <w:p w14:paraId="7819F1F5" w14:textId="77777777" w:rsidR="00D70F60" w:rsidRPr="00D52EFE" w:rsidRDefault="00D70F60" w:rsidP="00C86397">
      <w:pPr>
        <w:rPr>
          <w:rFonts w:ascii="Times New Roman" w:eastAsia="Times New Roman" w:hAnsi="Times New Roman" w:cs="Times New Roman"/>
          <w:color w:val="auto"/>
        </w:rPr>
      </w:pPr>
    </w:p>
    <w:p w14:paraId="16643A9E" w14:textId="77777777" w:rsidR="00D70F60" w:rsidRPr="00D52EFE" w:rsidRDefault="000B5581" w:rsidP="00C86397">
      <w:pPr>
        <w:ind w:left="1110"/>
        <w:rPr>
          <w:rFonts w:ascii="Times New Roman" w:eastAsia="Times New Roman" w:hAnsi="Times New Roman" w:cs="Times New Roman"/>
          <w:i/>
          <w:color w:val="auto"/>
        </w:rPr>
      </w:pPr>
      <w:r w:rsidRPr="00D52EFE">
        <w:rPr>
          <w:rFonts w:ascii="Times New Roman" w:eastAsia="Times New Roman" w:hAnsi="Times New Roman" w:cs="Times New Roman"/>
          <w:i/>
          <w:color w:val="auto"/>
        </w:rPr>
        <w:t xml:space="preserve">the natural or legal person, public authority, agency or any other body which alone or jointly with others determines the purposes and means of the processing of personal data; where the purposes and means of processing are determined by national or Community laws or regulations, the controller or the specific criteria for his nomination may be designated by national or Community law. </w:t>
      </w:r>
    </w:p>
    <w:p w14:paraId="1E29878F" w14:textId="77777777" w:rsidR="00D70F60" w:rsidRPr="00D52EFE" w:rsidRDefault="00D70F60" w:rsidP="00C86397">
      <w:pPr>
        <w:ind w:left="1110"/>
        <w:rPr>
          <w:rFonts w:ascii="Times New Roman" w:eastAsia="Times New Roman" w:hAnsi="Times New Roman" w:cs="Times New Roman"/>
          <w:color w:val="auto"/>
        </w:rPr>
      </w:pPr>
    </w:p>
    <w:p w14:paraId="3A42295B" w14:textId="767E4404" w:rsidR="00D70F60" w:rsidRPr="00D52EFE" w:rsidRDefault="00CD1A5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Article 29 Working Party</w:t>
      </w:r>
      <w:r w:rsidR="000B5581" w:rsidRPr="00D52EFE">
        <w:rPr>
          <w:rFonts w:ascii="Times New Roman" w:eastAsia="Times New Roman" w:hAnsi="Times New Roman" w:cs="Times New Roman"/>
          <w:color w:val="auto"/>
        </w:rPr>
        <w:t xml:space="preserve"> in its opinion on the concepts of “controller” and “processor”</w:t>
      </w:r>
      <w:bookmarkStart w:id="54" w:name="_Ref495070999"/>
      <w:r w:rsidR="000B5581" w:rsidRPr="00D52EFE">
        <w:rPr>
          <w:rFonts w:ascii="Times New Roman" w:eastAsia="Times New Roman" w:hAnsi="Times New Roman" w:cs="Times New Roman"/>
          <w:color w:val="auto"/>
          <w:vertAlign w:val="superscript"/>
        </w:rPr>
        <w:footnoteReference w:id="157"/>
      </w:r>
      <w:bookmarkEnd w:id="54"/>
      <w:r w:rsidR="000B5581" w:rsidRPr="00D52EFE">
        <w:rPr>
          <w:rFonts w:ascii="Times New Roman" w:eastAsia="Times New Roman" w:hAnsi="Times New Roman" w:cs="Times New Roman"/>
          <w:color w:val="auto"/>
        </w:rPr>
        <w:t xml:space="preserve"> aims at providing guidance on the concept of “alone or jointly with others” and refers back to the opinion of the Commission on the European Parliament to explain that a situation of joint controllership can exist </w:t>
      </w:r>
      <w:r w:rsidR="000B5581" w:rsidRPr="00D52EFE">
        <w:rPr>
          <w:rFonts w:ascii="Times New Roman" w:eastAsia="Times New Roman" w:hAnsi="Times New Roman" w:cs="Times New Roman"/>
          <w:color w:val="auto"/>
        </w:rPr>
        <w:lastRenderedPageBreak/>
        <w:t xml:space="preserve">even in situations in which the data controllers do not </w:t>
      </w:r>
      <w:r w:rsidR="000B5581" w:rsidRPr="00D52EFE">
        <w:rPr>
          <w:rFonts w:ascii="Times New Roman" w:eastAsia="Times New Roman" w:hAnsi="Times New Roman" w:cs="Times New Roman"/>
          <w:i/>
          <w:color w:val="auto"/>
        </w:rPr>
        <w:t>“equally”</w:t>
      </w:r>
      <w:r w:rsidR="000B5581" w:rsidRPr="00D52EFE">
        <w:rPr>
          <w:rFonts w:ascii="Times New Roman" w:eastAsia="Times New Roman" w:hAnsi="Times New Roman" w:cs="Times New Roman"/>
          <w:color w:val="auto"/>
        </w:rPr>
        <w:t xml:space="preserve"> determine the means and purposes of a </w:t>
      </w:r>
      <w:r w:rsidR="000B5581" w:rsidRPr="00D52EFE">
        <w:rPr>
          <w:rFonts w:ascii="Times New Roman" w:eastAsia="Times New Roman" w:hAnsi="Times New Roman" w:cs="Times New Roman"/>
          <w:i/>
          <w:color w:val="auto"/>
        </w:rPr>
        <w:t>“single processing operation.”</w:t>
      </w:r>
      <w:r w:rsidR="000B5581" w:rsidRPr="00D52EFE">
        <w:rPr>
          <w:rFonts w:ascii="Times New Roman" w:eastAsia="Times New Roman" w:hAnsi="Times New Roman" w:cs="Times New Roman"/>
          <w:color w:val="auto"/>
          <w:vertAlign w:val="superscript"/>
        </w:rPr>
        <w:footnoteReference w:id="158"/>
      </w:r>
    </w:p>
    <w:p w14:paraId="17394893" w14:textId="77777777" w:rsidR="00D70F60" w:rsidRPr="00D52EFE" w:rsidRDefault="00D70F60" w:rsidP="00C86397">
      <w:pPr>
        <w:rPr>
          <w:rFonts w:ascii="Times New Roman" w:eastAsia="Times New Roman" w:hAnsi="Times New Roman" w:cs="Times New Roman"/>
          <w:color w:val="auto"/>
        </w:rPr>
      </w:pPr>
    </w:p>
    <w:p w14:paraId="0BA1F1F1" w14:textId="0029B3C4" w:rsidR="00D70F60" w:rsidRPr="00D52EFE" w:rsidRDefault="00CD1A5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Article 29 Working Party</w:t>
      </w:r>
      <w:r w:rsidR="000B5581" w:rsidRPr="00D52EFE">
        <w:rPr>
          <w:rFonts w:ascii="Times New Roman" w:eastAsia="Times New Roman" w:hAnsi="Times New Roman" w:cs="Times New Roman"/>
          <w:color w:val="auto"/>
        </w:rPr>
        <w:t xml:space="preserve"> confirms that the same approach as the approach to be used for the characterisation of a situation of sole controllership</w:t>
      </w:r>
      <w:r w:rsidR="009A2833" w:rsidRPr="00D52EFE">
        <w:rPr>
          <w:rFonts w:ascii="Times New Roman" w:eastAsia="Times New Roman" w:hAnsi="Times New Roman" w:cs="Times New Roman"/>
          <w:color w:val="auto"/>
        </w:rPr>
        <w:t xml:space="preserve"> is relevant</w:t>
      </w:r>
      <w:r w:rsidR="000B5581" w:rsidRPr="00D52EFE">
        <w:rPr>
          <w:rFonts w:ascii="Times New Roman" w:eastAsia="Times New Roman" w:hAnsi="Times New Roman" w:cs="Times New Roman"/>
          <w:color w:val="auto"/>
        </w:rPr>
        <w:t xml:space="preserve">: </w:t>
      </w:r>
      <w:r w:rsidR="000B5581" w:rsidRPr="00D52EFE">
        <w:rPr>
          <w:rFonts w:ascii="Times New Roman" w:eastAsia="Times New Roman" w:hAnsi="Times New Roman" w:cs="Times New Roman"/>
          <w:i/>
          <w:color w:val="auto"/>
        </w:rPr>
        <w:t>“a substantive and functional approach,... focusing on whether the purposes and means are determined by more than one party.”</w:t>
      </w:r>
      <w:r w:rsidR="000B5581" w:rsidRPr="00D52EFE">
        <w:rPr>
          <w:rFonts w:ascii="Times New Roman" w:eastAsia="Times New Roman" w:hAnsi="Times New Roman" w:cs="Times New Roman"/>
          <w:color w:val="auto"/>
          <w:vertAlign w:val="superscript"/>
        </w:rPr>
        <w:footnoteReference w:id="159"/>
      </w:r>
    </w:p>
    <w:p w14:paraId="5ECB696A" w14:textId="77777777" w:rsidR="00D70F60" w:rsidRPr="00D52EFE" w:rsidRDefault="00D70F60" w:rsidP="00C86397">
      <w:pPr>
        <w:rPr>
          <w:rFonts w:ascii="Times New Roman" w:eastAsia="Times New Roman" w:hAnsi="Times New Roman" w:cs="Times New Roman"/>
          <w:color w:val="auto"/>
        </w:rPr>
      </w:pPr>
    </w:p>
    <w:p w14:paraId="3C97F08F" w14:textId="68ACA7FA"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Whereas </w:t>
      </w:r>
      <w:r w:rsidR="0039377E" w:rsidRPr="00D52EFE">
        <w:rPr>
          <w:rFonts w:ascii="Times New Roman" w:eastAsia="Times New Roman" w:hAnsi="Times New Roman" w:cs="Times New Roman"/>
          <w:color w:val="auto"/>
        </w:rPr>
        <w:t>t</w:t>
      </w:r>
      <w:r w:rsidR="00CD1A51" w:rsidRPr="00D52EFE">
        <w:rPr>
          <w:rFonts w:ascii="Times New Roman" w:eastAsia="Times New Roman" w:hAnsi="Times New Roman" w:cs="Times New Roman"/>
          <w:color w:val="auto"/>
        </w:rPr>
        <w:t>he Article 29 Working Party</w:t>
      </w:r>
      <w:r w:rsidRPr="00D52EFE">
        <w:rPr>
          <w:rFonts w:ascii="Times New Roman" w:eastAsia="Times New Roman" w:hAnsi="Times New Roman" w:cs="Times New Roman"/>
          <w:color w:val="auto"/>
        </w:rPr>
        <w:t xml:space="preserve"> seems at the start of its analysis to consider that each data controller shall contribute to both the determination of the means and the purposes of the processes, it modifies its analysis</w:t>
      </w:r>
      <w:r w:rsidR="001A50B3" w:rsidRPr="00D52EFE">
        <w:rPr>
          <w:rFonts w:ascii="Times New Roman" w:eastAsia="Times New Roman" w:hAnsi="Times New Roman" w:cs="Times New Roman"/>
          <w:color w:val="auto"/>
        </w:rPr>
        <w:t xml:space="preserve"> and</w:t>
      </w:r>
      <w:r w:rsidRPr="00D52EFE">
        <w:rPr>
          <w:rFonts w:ascii="Times New Roman" w:eastAsia="Times New Roman" w:hAnsi="Times New Roman" w:cs="Times New Roman"/>
          <w:color w:val="auto"/>
        </w:rPr>
        <w:t xml:space="preserve"> </w:t>
      </w:r>
      <w:r w:rsidR="001A50B3" w:rsidRPr="00D52EFE">
        <w:rPr>
          <w:rFonts w:ascii="Times New Roman" w:eastAsia="Times New Roman" w:hAnsi="Times New Roman" w:cs="Times New Roman"/>
          <w:color w:val="auto"/>
        </w:rPr>
        <w:t>adds</w:t>
      </w:r>
      <w:r w:rsidRPr="00D52EFE">
        <w:rPr>
          <w:rFonts w:ascii="Times New Roman" w:eastAsia="Times New Roman" w:hAnsi="Times New Roman" w:cs="Times New Roman"/>
          <w:color w:val="auto"/>
        </w:rPr>
        <w:t xml:space="preserve"> a few lines later that it suffices for the data controller to determine either the purpose or the essential elements of the means: </w:t>
      </w:r>
    </w:p>
    <w:p w14:paraId="2BF46AC1" w14:textId="77777777" w:rsidR="00D70F60" w:rsidRPr="00D52EFE" w:rsidRDefault="00D70F60" w:rsidP="00C86397">
      <w:pPr>
        <w:rPr>
          <w:rFonts w:ascii="Times New Roman" w:eastAsia="Times New Roman" w:hAnsi="Times New Roman" w:cs="Times New Roman"/>
          <w:color w:val="auto"/>
        </w:rPr>
      </w:pPr>
    </w:p>
    <w:p w14:paraId="5AB0288E" w14:textId="77777777" w:rsidR="00D70F60" w:rsidRPr="00D52EFE" w:rsidRDefault="000B5581" w:rsidP="00C86397">
      <w:pPr>
        <w:ind w:left="1110"/>
        <w:rPr>
          <w:rFonts w:ascii="Times New Roman" w:eastAsia="Times New Roman" w:hAnsi="Times New Roman" w:cs="Times New Roman"/>
          <w:i/>
          <w:color w:val="auto"/>
        </w:rPr>
      </w:pPr>
      <w:r w:rsidRPr="00D52EFE">
        <w:rPr>
          <w:rFonts w:ascii="Times New Roman" w:eastAsia="Times New Roman" w:hAnsi="Times New Roman" w:cs="Times New Roman"/>
          <w:i/>
          <w:color w:val="auto"/>
        </w:rPr>
        <w:t>In this perspective, joint control will arise when different parties determine with regard to specific processing operations either the purpose or those essential elements of the means which characterize a controller.</w:t>
      </w:r>
      <w:r w:rsidRPr="00D52EFE">
        <w:rPr>
          <w:rFonts w:ascii="Times New Roman" w:eastAsia="Times New Roman" w:hAnsi="Times New Roman" w:cs="Times New Roman"/>
          <w:i/>
          <w:color w:val="auto"/>
          <w:vertAlign w:val="superscript"/>
        </w:rPr>
        <w:footnoteReference w:id="160"/>
      </w:r>
    </w:p>
    <w:p w14:paraId="3310C380" w14:textId="77777777" w:rsidR="00D70F60" w:rsidRPr="00D52EFE" w:rsidRDefault="00D70F60" w:rsidP="00C86397">
      <w:pPr>
        <w:rPr>
          <w:rFonts w:ascii="Times New Roman" w:eastAsia="Times New Roman" w:hAnsi="Times New Roman" w:cs="Times New Roman"/>
          <w:color w:val="auto"/>
        </w:rPr>
      </w:pPr>
    </w:p>
    <w:p w14:paraId="2528DF44" w14:textId="689BE297" w:rsidR="00D70F60" w:rsidRPr="00683D9B"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In other words, a data processor should only be considered a joint </w:t>
      </w:r>
      <w:r w:rsidR="0086413B" w:rsidRPr="00D52EFE">
        <w:rPr>
          <w:rFonts w:ascii="Times New Roman" w:eastAsia="Times New Roman" w:hAnsi="Times New Roman" w:cs="Times New Roman"/>
          <w:color w:val="auto"/>
        </w:rPr>
        <w:t>controller</w:t>
      </w:r>
      <w:r w:rsidRPr="00D52EFE">
        <w:rPr>
          <w:rFonts w:ascii="Times New Roman" w:eastAsia="Times New Roman" w:hAnsi="Times New Roman" w:cs="Times New Roman"/>
          <w:color w:val="auto"/>
        </w:rPr>
        <w:t xml:space="preserve"> if it determines the purpose or the “essential elements” of the means that characterize a controller.</w:t>
      </w:r>
      <w:r w:rsidRPr="00D52EFE">
        <w:rPr>
          <w:rFonts w:ascii="Times New Roman" w:eastAsia="Times New Roman" w:hAnsi="Times New Roman" w:cs="Times New Roman"/>
          <w:color w:val="auto"/>
          <w:vertAlign w:val="superscript"/>
        </w:rPr>
        <w:footnoteReference w:id="161"/>
      </w:r>
      <w:r w:rsidRPr="00D52EFE">
        <w:rPr>
          <w:rFonts w:ascii="Times New Roman" w:eastAsia="Times New Roman" w:hAnsi="Times New Roman" w:cs="Times New Roman"/>
          <w:color w:val="auto"/>
        </w:rPr>
        <w:t xml:space="preserve"> A large variety of situations of joint controllership could thus be found.</w:t>
      </w:r>
      <w:r w:rsidRPr="00D52EFE">
        <w:rPr>
          <w:rFonts w:ascii="Times New Roman" w:eastAsia="Times New Roman" w:hAnsi="Times New Roman" w:cs="Times New Roman"/>
          <w:color w:val="auto"/>
          <w:vertAlign w:val="superscript"/>
        </w:rPr>
        <w:footnoteReference w:id="162"/>
      </w:r>
      <w:r w:rsidRPr="00D52EFE">
        <w:rPr>
          <w:rFonts w:ascii="Times New Roman" w:eastAsia="Times New Roman" w:hAnsi="Times New Roman" w:cs="Times New Roman"/>
          <w:color w:val="auto"/>
        </w:rPr>
        <w:t xml:space="preserve"> This is the case in particular when </w:t>
      </w:r>
      <w:r w:rsidRPr="00D52EFE">
        <w:rPr>
          <w:rFonts w:ascii="Times New Roman" w:eastAsia="Times New Roman" w:hAnsi="Times New Roman" w:cs="Times New Roman"/>
          <w:i/>
          <w:color w:val="auto"/>
        </w:rPr>
        <w:t>“different actors would decide to set up a shared infrastructure to pursue their own individual purposes.”</w:t>
      </w:r>
      <w:r w:rsidRPr="00D52EFE">
        <w:rPr>
          <w:rFonts w:ascii="Times New Roman" w:eastAsia="Times New Roman" w:hAnsi="Times New Roman" w:cs="Times New Roman"/>
          <w:color w:val="auto"/>
          <w:vertAlign w:val="superscript"/>
        </w:rPr>
        <w:footnoteReference w:id="163"/>
      </w:r>
      <w:r w:rsidR="00683D9B">
        <w:rPr>
          <w:rFonts w:ascii="Times New Roman" w:eastAsia="Times New Roman" w:hAnsi="Times New Roman" w:cs="Times New Roman"/>
          <w:color w:val="auto"/>
        </w:rPr>
        <w:t xml:space="preserve"> Such an approach makes particular sense in cases in which there is a significant asymmetry of information between the party taking the initiative of the processing and the party developing the means.  </w:t>
      </w:r>
    </w:p>
    <w:p w14:paraId="2C09FE68" w14:textId="77777777" w:rsidR="00D70F60" w:rsidRPr="00D52EFE" w:rsidRDefault="00D70F60" w:rsidP="00C86397">
      <w:pPr>
        <w:rPr>
          <w:rFonts w:ascii="Times New Roman" w:eastAsia="Times New Roman" w:hAnsi="Times New Roman" w:cs="Times New Roman"/>
          <w:color w:val="auto"/>
        </w:rPr>
      </w:pPr>
    </w:p>
    <w:p w14:paraId="1671B94B" w14:textId="428803C2" w:rsidR="00D70F60" w:rsidRPr="00D52EFE" w:rsidRDefault="00CD1A5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Article 29 Working Party</w:t>
      </w:r>
      <w:r w:rsidR="000B5581" w:rsidRPr="00D52EFE">
        <w:rPr>
          <w:rFonts w:ascii="Times New Roman" w:eastAsia="Times New Roman" w:hAnsi="Times New Roman" w:cs="Times New Roman"/>
          <w:color w:val="auto"/>
        </w:rPr>
        <w:t xml:space="preserve"> goes </w:t>
      </w:r>
      <w:r w:rsidR="0039377E" w:rsidRPr="00D52EFE">
        <w:rPr>
          <w:rFonts w:ascii="Times New Roman" w:eastAsia="Times New Roman" w:hAnsi="Times New Roman" w:cs="Times New Roman"/>
          <w:color w:val="auto"/>
        </w:rPr>
        <w:t>on to distinguish</w:t>
      </w:r>
      <w:r w:rsidR="000B5581" w:rsidRPr="00D52EFE">
        <w:rPr>
          <w:rFonts w:ascii="Times New Roman" w:eastAsia="Times New Roman" w:hAnsi="Times New Roman" w:cs="Times New Roman"/>
          <w:color w:val="auto"/>
        </w:rPr>
        <w:t xml:space="preserve"> between two complementary approaches that are both relevant in order to determine whether once is faced with a situation of joint controllership: a micro-level approach and a macro-</w:t>
      </w:r>
      <w:r w:rsidR="0039377E" w:rsidRPr="00D52EFE">
        <w:rPr>
          <w:rFonts w:ascii="Times New Roman" w:eastAsia="Times New Roman" w:hAnsi="Times New Roman" w:cs="Times New Roman"/>
          <w:color w:val="auto"/>
        </w:rPr>
        <w:t>level approach. In the words of t</w:t>
      </w:r>
      <w:r w:rsidRPr="00D52EFE">
        <w:rPr>
          <w:rFonts w:ascii="Times New Roman" w:eastAsia="Times New Roman" w:hAnsi="Times New Roman" w:cs="Times New Roman"/>
          <w:color w:val="auto"/>
        </w:rPr>
        <w:t>he Article 29 Working Party</w:t>
      </w:r>
      <w:r w:rsidR="000B5581" w:rsidRPr="00D52EFE">
        <w:rPr>
          <w:rFonts w:ascii="Times New Roman" w:eastAsia="Times New Roman" w:hAnsi="Times New Roman" w:cs="Times New Roman"/>
          <w:color w:val="auto"/>
        </w:rPr>
        <w:t>:</w:t>
      </w:r>
    </w:p>
    <w:p w14:paraId="23DE4019" w14:textId="77777777" w:rsidR="00D70F60" w:rsidRPr="00D52EFE" w:rsidRDefault="00D70F60" w:rsidP="00C86397">
      <w:pPr>
        <w:ind w:left="1110"/>
        <w:rPr>
          <w:rFonts w:ascii="Times New Roman" w:eastAsia="Times New Roman" w:hAnsi="Times New Roman" w:cs="Times New Roman"/>
          <w:i/>
          <w:color w:val="auto"/>
        </w:rPr>
      </w:pPr>
    </w:p>
    <w:p w14:paraId="204DCE5C" w14:textId="77777777" w:rsidR="00D70F60" w:rsidRPr="00D52EFE" w:rsidRDefault="000B5581" w:rsidP="00C86397">
      <w:pPr>
        <w:ind w:left="1110"/>
        <w:rPr>
          <w:rFonts w:ascii="Times New Roman" w:eastAsia="Times New Roman" w:hAnsi="Times New Roman" w:cs="Times New Roman"/>
          <w:i/>
          <w:color w:val="auto"/>
        </w:rPr>
      </w:pPr>
      <w:r w:rsidRPr="00D52EFE">
        <w:rPr>
          <w:rFonts w:ascii="Times New Roman" w:eastAsia="Times New Roman" w:hAnsi="Times New Roman" w:cs="Times New Roman"/>
          <w:i/>
          <w:color w:val="auto"/>
        </w:rPr>
        <w:t>In some cases, various actors process the same personal data in a sequence. In these cases, it is likely that at micro-level the different processing operations of the chain appear as disconnected, as each of them may have a different purpose. However, it is necessary to double check whether at macro-level these processing operations should not be considered as a “set of operations” pursuing a joint purpose or using jointly defined means.</w:t>
      </w:r>
      <w:r w:rsidRPr="00D52EFE">
        <w:rPr>
          <w:rFonts w:ascii="Times New Roman" w:eastAsia="Times New Roman" w:hAnsi="Times New Roman" w:cs="Times New Roman"/>
          <w:color w:val="auto"/>
          <w:vertAlign w:val="superscript"/>
        </w:rPr>
        <w:footnoteReference w:id="164"/>
      </w:r>
      <w:r w:rsidRPr="00D52EFE">
        <w:rPr>
          <w:rFonts w:ascii="Times New Roman" w:eastAsia="Times New Roman" w:hAnsi="Times New Roman" w:cs="Times New Roman"/>
          <w:i/>
          <w:color w:val="auto"/>
        </w:rPr>
        <w:t xml:space="preserve"> </w:t>
      </w:r>
    </w:p>
    <w:p w14:paraId="63F259A4" w14:textId="77777777" w:rsidR="00D70F60" w:rsidRPr="00D52EFE" w:rsidRDefault="00D70F60" w:rsidP="00C86397">
      <w:pPr>
        <w:rPr>
          <w:rFonts w:ascii="Times New Roman" w:eastAsia="Times New Roman" w:hAnsi="Times New Roman" w:cs="Times New Roman"/>
          <w:color w:val="auto"/>
        </w:rPr>
      </w:pPr>
    </w:p>
    <w:p w14:paraId="6365C796" w14:textId="367D20AE"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In a chain of processing activities, the pursuance of a “joint purpose” thus appears crucial for the characterisation of a situation of joint controllership. </w:t>
      </w:r>
      <w:r w:rsidR="0086413B" w:rsidRPr="00D52EFE">
        <w:rPr>
          <w:rFonts w:ascii="Times New Roman" w:eastAsia="Times New Roman" w:hAnsi="Times New Roman" w:cs="Times New Roman"/>
          <w:color w:val="auto"/>
        </w:rPr>
        <w:t xml:space="preserve">And this is the characterisation of this joint </w:t>
      </w:r>
      <w:r w:rsidR="0086413B" w:rsidRPr="00D52EFE">
        <w:rPr>
          <w:rFonts w:ascii="Times New Roman" w:eastAsia="Times New Roman" w:hAnsi="Times New Roman" w:cs="Times New Roman"/>
          <w:color w:val="auto"/>
        </w:rPr>
        <w:lastRenderedPageBreak/>
        <w:t xml:space="preserve">purpose that should explains why under GDPR Article 82 joints controllers </w:t>
      </w:r>
      <w:r w:rsidR="0086413B" w:rsidRPr="00D52EFE">
        <w:rPr>
          <w:rFonts w:ascii="Times New Roman" w:eastAsia="Times New Roman" w:hAnsi="Times New Roman" w:cs="Times New Roman"/>
          <w:i/>
          <w:color w:val="auto"/>
        </w:rPr>
        <w:t xml:space="preserve">“are involved in the same processing” </w:t>
      </w:r>
      <w:r w:rsidR="0086413B" w:rsidRPr="00D52EFE">
        <w:rPr>
          <w:rFonts w:ascii="Times New Roman" w:eastAsia="Times New Roman" w:hAnsi="Times New Roman" w:cs="Times New Roman"/>
          <w:color w:val="auto"/>
        </w:rPr>
        <w:t>and would therefore lead to joint and several liability.</w:t>
      </w:r>
      <w:r w:rsidR="0086413B" w:rsidRPr="00D52EFE">
        <w:rPr>
          <w:rFonts w:ascii="Times New Roman" w:eastAsia="Times New Roman" w:hAnsi="Times New Roman" w:cs="Times New Roman"/>
          <w:i/>
          <w:color w:val="auto"/>
        </w:rPr>
        <w:t xml:space="preserve"> </w:t>
      </w:r>
    </w:p>
    <w:p w14:paraId="52A6AB9E" w14:textId="77777777" w:rsidR="00D70F60" w:rsidRPr="00D52EFE" w:rsidRDefault="00D70F60" w:rsidP="00C86397">
      <w:pPr>
        <w:rPr>
          <w:rFonts w:ascii="Times New Roman" w:eastAsia="Times New Roman" w:hAnsi="Times New Roman" w:cs="Times New Roman"/>
          <w:color w:val="auto"/>
        </w:rPr>
      </w:pPr>
    </w:p>
    <w:p w14:paraId="5F12BC57" w14:textId="4EEA0634"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As an interesting point of reference, a typology of the various different types of relationships between data controllers, co-controllers, and processors developed in 2005 by Olsen and Mahler, encompasses the majority of the types of collaboration envisaged by </w:t>
      </w:r>
      <w:r w:rsidR="00C7563D" w:rsidRPr="00D52EFE">
        <w:rPr>
          <w:rFonts w:ascii="Times New Roman" w:eastAsia="Times New Roman" w:hAnsi="Times New Roman" w:cs="Times New Roman"/>
          <w:color w:val="auto"/>
        </w:rPr>
        <w:t>the Article 29 Working Party</w:t>
      </w:r>
      <w:r w:rsidR="0039377E"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t>in its guidance.</w:t>
      </w:r>
      <w:r w:rsidRPr="00D52EFE">
        <w:rPr>
          <w:rFonts w:ascii="Times New Roman" w:eastAsia="Times New Roman" w:hAnsi="Times New Roman" w:cs="Times New Roman"/>
          <w:color w:val="auto"/>
          <w:vertAlign w:val="superscript"/>
        </w:rPr>
        <w:footnoteReference w:id="165"/>
      </w:r>
      <w:r w:rsidRPr="00D52EFE">
        <w:rPr>
          <w:rFonts w:ascii="Times New Roman" w:eastAsia="Times New Roman" w:hAnsi="Times New Roman" w:cs="Times New Roman"/>
          <w:color w:val="auto"/>
        </w:rPr>
        <w:t xml:space="preserve"> Particularly, it was identified that joint controllers could come in two forms: partly joint controllers and fully scope joint controllers. A partly joint controller would be present where the purpose and means of a certain processing operation is determined jointly by more than one controller, while others are performed separately under the sole</w:t>
      </w:r>
      <w:r w:rsidR="00C94E13" w:rsidRPr="00D52EFE">
        <w:rPr>
          <w:rFonts w:ascii="Times New Roman" w:eastAsia="Times New Roman" w:hAnsi="Times New Roman" w:cs="Times New Roman"/>
          <w:color w:val="auto"/>
        </w:rPr>
        <w:t xml:space="preserve"> control of another controller. A</w:t>
      </w:r>
      <w:r w:rsidRPr="00D52EFE">
        <w:rPr>
          <w:rFonts w:ascii="Times New Roman" w:eastAsia="Times New Roman" w:hAnsi="Times New Roman" w:cs="Times New Roman"/>
          <w:color w:val="auto"/>
        </w:rPr>
        <w:t xml:space="preserve"> controller could be considered a full-scope joint controller if it and another controller jointly determine all the purp</w:t>
      </w:r>
      <w:r w:rsidR="00D52EFE" w:rsidRPr="00D52EFE">
        <w:rPr>
          <w:rFonts w:ascii="Times New Roman" w:eastAsia="Times New Roman" w:hAnsi="Times New Roman" w:cs="Times New Roman"/>
          <w:color w:val="auto"/>
        </w:rPr>
        <w:t>oses and means of a particular</w:t>
      </w:r>
      <w:r w:rsidRPr="00D52EFE">
        <w:rPr>
          <w:rFonts w:ascii="Times New Roman" w:eastAsia="Times New Roman" w:hAnsi="Times New Roman" w:cs="Times New Roman"/>
          <w:color w:val="auto"/>
        </w:rPr>
        <w:t xml:space="preserve"> data processing operation.</w:t>
      </w:r>
      <w:r w:rsidRPr="00D52EFE">
        <w:rPr>
          <w:rFonts w:ascii="Times New Roman" w:eastAsia="Times New Roman" w:hAnsi="Times New Roman" w:cs="Times New Roman"/>
          <w:color w:val="auto"/>
          <w:vertAlign w:val="superscript"/>
        </w:rPr>
        <w:footnoteReference w:id="166"/>
      </w:r>
      <w:r w:rsidRPr="00D52EFE">
        <w:rPr>
          <w:rFonts w:ascii="Times New Roman" w:eastAsia="Times New Roman" w:hAnsi="Times New Roman" w:cs="Times New Roman"/>
          <w:color w:val="auto"/>
        </w:rPr>
        <w:t xml:space="preserve"> </w:t>
      </w:r>
    </w:p>
    <w:p w14:paraId="6CD03DAE" w14:textId="77777777" w:rsidR="00D70F60" w:rsidRPr="00D52EFE" w:rsidRDefault="00D70F60" w:rsidP="00C86397">
      <w:pPr>
        <w:rPr>
          <w:rFonts w:ascii="Times New Roman" w:eastAsia="Times New Roman" w:hAnsi="Times New Roman" w:cs="Times New Roman"/>
          <w:color w:val="auto"/>
        </w:rPr>
      </w:pPr>
    </w:p>
    <w:p w14:paraId="0BDB2184" w14:textId="65044BDB"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Interestingly, </w:t>
      </w:r>
      <w:r w:rsidR="0039377E" w:rsidRPr="00D52EFE">
        <w:rPr>
          <w:rFonts w:ascii="Times New Roman" w:eastAsia="Times New Roman" w:hAnsi="Times New Roman" w:cs="Times New Roman"/>
          <w:color w:val="auto"/>
        </w:rPr>
        <w:t>t</w:t>
      </w:r>
      <w:r w:rsidR="00CD1A51" w:rsidRPr="00D52EFE">
        <w:rPr>
          <w:rFonts w:ascii="Times New Roman" w:eastAsia="Times New Roman" w:hAnsi="Times New Roman" w:cs="Times New Roman"/>
          <w:color w:val="auto"/>
        </w:rPr>
        <w:t>he Article 29 Working Party</w:t>
      </w:r>
      <w:r w:rsidRPr="00D52EFE">
        <w:rPr>
          <w:rFonts w:ascii="Times New Roman" w:eastAsia="Times New Roman" w:hAnsi="Times New Roman" w:cs="Times New Roman"/>
          <w:color w:val="auto"/>
        </w:rPr>
        <w:t xml:space="preserve"> directly mentions the example of e-government portals, which are described as falling within the category of joint controllership. This is because </w:t>
      </w:r>
      <w:r w:rsidRPr="00D52EFE">
        <w:rPr>
          <w:rFonts w:ascii="Times New Roman" w:eastAsia="Times New Roman" w:hAnsi="Times New Roman" w:cs="Times New Roman"/>
          <w:i/>
          <w:color w:val="auto"/>
        </w:rPr>
        <w:t xml:space="preserve">“various actors involved jointly determine, </w:t>
      </w:r>
      <w:r w:rsidRPr="00D52EFE">
        <w:rPr>
          <w:rFonts w:ascii="Times New Roman" w:eastAsia="Times New Roman" w:hAnsi="Times New Roman" w:cs="Times New Roman"/>
          <w:color w:val="auto"/>
        </w:rPr>
        <w:t>[even if it is to a different extent]</w:t>
      </w:r>
      <w:r w:rsidRPr="00D52EFE">
        <w:rPr>
          <w:rFonts w:ascii="Times New Roman" w:eastAsia="Times New Roman" w:hAnsi="Times New Roman" w:cs="Times New Roman"/>
          <w:i/>
          <w:color w:val="auto"/>
        </w:rPr>
        <w:t>, the purposes and/or the means of a processing operation.”</w:t>
      </w:r>
      <w:r w:rsidRPr="00D52EFE">
        <w:rPr>
          <w:rFonts w:ascii="Times New Roman" w:eastAsia="Times New Roman" w:hAnsi="Times New Roman" w:cs="Times New Roman"/>
          <w:color w:val="auto"/>
          <w:vertAlign w:val="superscript"/>
        </w:rPr>
        <w:footnoteReference w:id="167"/>
      </w:r>
      <w:r w:rsidRPr="00D52EFE">
        <w:rPr>
          <w:rFonts w:ascii="Times New Roman" w:eastAsia="Times New Roman" w:hAnsi="Times New Roman" w:cs="Times New Roman"/>
          <w:color w:val="auto"/>
        </w:rPr>
        <w:t xml:space="preserve"> It is worth repeating </w:t>
      </w:r>
      <w:r w:rsidR="0039377E" w:rsidRPr="00D52EFE">
        <w:rPr>
          <w:rFonts w:ascii="Times New Roman" w:eastAsia="Times New Roman" w:hAnsi="Times New Roman" w:cs="Times New Roman"/>
          <w:color w:val="auto"/>
        </w:rPr>
        <w:t>t</w:t>
      </w:r>
      <w:r w:rsidR="00CD1A51" w:rsidRPr="00D52EFE">
        <w:rPr>
          <w:rFonts w:ascii="Times New Roman" w:eastAsia="Times New Roman" w:hAnsi="Times New Roman" w:cs="Times New Roman"/>
          <w:color w:val="auto"/>
        </w:rPr>
        <w:t>he Article 29 Working Party</w:t>
      </w:r>
      <w:r w:rsidRPr="00D52EFE">
        <w:rPr>
          <w:rFonts w:ascii="Times New Roman" w:eastAsia="Times New Roman" w:hAnsi="Times New Roman" w:cs="Times New Roman"/>
          <w:color w:val="auto"/>
        </w:rPr>
        <w:t xml:space="preserve">’s explanation in detail: </w:t>
      </w:r>
    </w:p>
    <w:p w14:paraId="70A18E9B" w14:textId="77777777" w:rsidR="00D70F60" w:rsidRPr="00D52EFE" w:rsidRDefault="00D70F60" w:rsidP="00C86397">
      <w:pPr>
        <w:rPr>
          <w:rFonts w:ascii="Times New Roman" w:eastAsia="Times New Roman" w:hAnsi="Times New Roman" w:cs="Times New Roman"/>
          <w:color w:val="auto"/>
        </w:rPr>
      </w:pPr>
    </w:p>
    <w:p w14:paraId="00E8BF5B" w14:textId="41EE1834" w:rsidR="00D70F60" w:rsidRPr="00D52EFE" w:rsidRDefault="000B5581" w:rsidP="00C86397">
      <w:pPr>
        <w:ind w:left="1110"/>
        <w:rPr>
          <w:rFonts w:ascii="Times New Roman" w:eastAsia="Times New Roman" w:hAnsi="Times New Roman" w:cs="Times New Roman"/>
          <w:i/>
          <w:color w:val="auto"/>
        </w:rPr>
      </w:pPr>
      <w:r w:rsidRPr="00D52EFE">
        <w:rPr>
          <w:rFonts w:ascii="Times New Roman" w:eastAsia="Times New Roman" w:hAnsi="Times New Roman" w:cs="Times New Roman"/>
          <w:i/>
          <w:color w:val="auto"/>
        </w:rPr>
        <w:t>E-Government portals act as intermediaries between the citizens and the public administration units: the portal transfers the requests of the citizens and deposits the documents of the public administration unit until these are recalled by the citizen. Each public administration unit remains controller of the data processed for its own purposes. Nevertheless, the portal itself may be also considered controller. Indeed, it processes (</w:t>
      </w:r>
      <w:r w:rsidR="00A338CE" w:rsidRPr="00D52EFE">
        <w:rPr>
          <w:rFonts w:ascii="Times New Roman" w:eastAsia="Times New Roman" w:hAnsi="Times New Roman" w:cs="Times New Roman"/>
          <w:i/>
          <w:color w:val="auto"/>
        </w:rPr>
        <w:t>i.e.</w:t>
      </w:r>
      <w:r w:rsidRPr="00D52EFE">
        <w:rPr>
          <w:rFonts w:ascii="Times New Roman" w:eastAsia="Times New Roman" w:hAnsi="Times New Roman" w:cs="Times New Roman"/>
          <w:i/>
          <w:color w:val="auto"/>
        </w:rPr>
        <w:t xml:space="preserve"> collects and transfers to the competent unit) the requests of the citizens as well as the public documents (</w:t>
      </w:r>
      <w:r w:rsidR="00A338CE" w:rsidRPr="00D52EFE">
        <w:rPr>
          <w:rFonts w:ascii="Times New Roman" w:eastAsia="Times New Roman" w:hAnsi="Times New Roman" w:cs="Times New Roman"/>
          <w:i/>
          <w:color w:val="auto"/>
        </w:rPr>
        <w:t>i.e.</w:t>
      </w:r>
      <w:r w:rsidRPr="00D52EFE">
        <w:rPr>
          <w:rFonts w:ascii="Times New Roman" w:eastAsia="Times New Roman" w:hAnsi="Times New Roman" w:cs="Times New Roman"/>
          <w:i/>
          <w:color w:val="auto"/>
        </w:rPr>
        <w:t xml:space="preserve"> stores them and regulates any access to them, such as the download by the citizens) for further purposes (facilitation of e-Government services) than those for which the data are initially processed by each public administration unit. These controllers, among other obligations, will have to ensure that the system to transfer personal data from the user to the public administration's system is secure, since at a macro-level this transfer is an essential part of the set of processing operations carried out through the portal.</w:t>
      </w:r>
    </w:p>
    <w:p w14:paraId="7C01C106" w14:textId="77777777" w:rsidR="00D70F60" w:rsidRPr="00D52EFE" w:rsidRDefault="00D70F60" w:rsidP="00C86397">
      <w:pPr>
        <w:rPr>
          <w:rFonts w:ascii="Times New Roman" w:eastAsia="Times New Roman" w:hAnsi="Times New Roman" w:cs="Times New Roman"/>
          <w:color w:val="auto"/>
        </w:rPr>
      </w:pPr>
    </w:p>
    <w:p w14:paraId="6A570182" w14:textId="47818628"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Although this explanation was written in 2010, when Gov.UK Verify was not even in its infancy and most the existing eID schemes were centralised and run by public authorities,</w:t>
      </w:r>
      <w:r w:rsidRPr="00D52EFE">
        <w:rPr>
          <w:rFonts w:ascii="Times New Roman" w:eastAsia="Times New Roman" w:hAnsi="Times New Roman" w:cs="Times New Roman"/>
          <w:color w:val="auto"/>
          <w:vertAlign w:val="superscript"/>
        </w:rPr>
        <w:footnoteReference w:id="168"/>
      </w:r>
      <w:r w:rsidRPr="00D52EFE">
        <w:rPr>
          <w:rFonts w:ascii="Times New Roman" w:eastAsia="Times New Roman" w:hAnsi="Times New Roman" w:cs="Times New Roman"/>
          <w:color w:val="auto"/>
        </w:rPr>
        <w:t xml:space="preserve"> this does not necessarily mean that the analysis has to be different when the eID scheme at stake is conceived as a </w:t>
      </w:r>
      <w:r w:rsidRPr="00D52EFE">
        <w:rPr>
          <w:rFonts w:ascii="Times New Roman" w:eastAsia="Times New Roman" w:hAnsi="Times New Roman" w:cs="Times New Roman"/>
          <w:color w:val="auto"/>
        </w:rPr>
        <w:lastRenderedPageBreak/>
        <w:t>federated system</w:t>
      </w:r>
      <w:r w:rsidR="0083739F" w:rsidRPr="00D52EFE">
        <w:rPr>
          <w:rFonts w:ascii="Times New Roman" w:eastAsia="Times New Roman" w:hAnsi="Times New Roman" w:cs="Times New Roman"/>
          <w:color w:val="auto"/>
        </w:rPr>
        <w:t xml:space="preserve"> even a distinction should be drawn between the eID means as such and other types of personal data processed by government services</w:t>
      </w:r>
      <w:r w:rsidRPr="00D52EFE">
        <w:rPr>
          <w:rFonts w:ascii="Times New Roman" w:eastAsia="Times New Roman" w:hAnsi="Times New Roman" w:cs="Times New Roman"/>
          <w:color w:val="auto"/>
        </w:rPr>
        <w:t xml:space="preserve">.  </w:t>
      </w:r>
    </w:p>
    <w:p w14:paraId="26E1C70C" w14:textId="77777777" w:rsidR="00D70F60" w:rsidRPr="00D52EFE" w:rsidRDefault="00D70F60" w:rsidP="00C86397">
      <w:pPr>
        <w:rPr>
          <w:rFonts w:ascii="Times New Roman" w:eastAsia="Times New Roman" w:hAnsi="Times New Roman" w:cs="Times New Roman"/>
          <w:color w:val="auto"/>
        </w:rPr>
      </w:pPr>
    </w:p>
    <w:p w14:paraId="3E9DE3A3" w14:textId="3FECF596"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Of importance for the characterisation of a situation of joint controllership is also the observation that it is not conclusive that one data controller is not in a position to meet all the obligations of a data controller and that one data controller within the team is better placed to perform certain data controller obligations.</w:t>
      </w:r>
      <w:r w:rsidRPr="00D52EFE">
        <w:rPr>
          <w:rFonts w:ascii="Times New Roman" w:eastAsia="Times New Roman" w:hAnsi="Times New Roman" w:cs="Times New Roman"/>
          <w:color w:val="auto"/>
          <w:vertAlign w:val="superscript"/>
        </w:rPr>
        <w:footnoteReference w:id="169"/>
      </w:r>
      <w:r w:rsidRPr="00D52EFE">
        <w:rPr>
          <w:rFonts w:ascii="Times New Roman" w:eastAsia="Times New Roman" w:hAnsi="Times New Roman" w:cs="Times New Roman"/>
          <w:color w:val="auto"/>
        </w:rPr>
        <w:t xml:space="preserve"> Furthermore, the </w:t>
      </w:r>
      <w:r w:rsidR="00CD1A51" w:rsidRPr="00D52EFE">
        <w:rPr>
          <w:rFonts w:ascii="Times New Roman" w:eastAsia="Times New Roman" w:hAnsi="Times New Roman" w:cs="Times New Roman"/>
          <w:color w:val="auto"/>
        </w:rPr>
        <w:t>Article 29 Working Party</w:t>
      </w:r>
      <w:r w:rsidRPr="00D52EFE">
        <w:rPr>
          <w:rFonts w:ascii="Times New Roman" w:eastAsia="Times New Roman" w:hAnsi="Times New Roman" w:cs="Times New Roman"/>
          <w:color w:val="auto"/>
        </w:rPr>
        <w:t xml:space="preserve"> insists that the lack of transparency as regards the allocation of roles between the different data controllers can lead to an infringement of the principle of fair processing.</w:t>
      </w:r>
      <w:r w:rsidRPr="00D52EFE">
        <w:rPr>
          <w:rFonts w:ascii="Times New Roman" w:eastAsia="Times New Roman" w:hAnsi="Times New Roman" w:cs="Times New Roman"/>
          <w:color w:val="auto"/>
          <w:vertAlign w:val="superscript"/>
        </w:rPr>
        <w:footnoteReference w:id="170"/>
      </w:r>
      <w:r w:rsidRPr="00D52EFE">
        <w:rPr>
          <w:rFonts w:ascii="Times New Roman" w:eastAsia="Times New Roman" w:hAnsi="Times New Roman" w:cs="Times New Roman"/>
          <w:color w:val="auto"/>
        </w:rPr>
        <w:t xml:space="preserve"> This is a position that has been implicitly endorsed by the UK ICO.</w:t>
      </w:r>
      <w:r w:rsidRPr="00D52EFE">
        <w:rPr>
          <w:rFonts w:ascii="Times New Roman" w:eastAsia="Times New Roman" w:hAnsi="Times New Roman" w:cs="Times New Roman"/>
          <w:color w:val="auto"/>
          <w:vertAlign w:val="superscript"/>
        </w:rPr>
        <w:footnoteReference w:id="171"/>
      </w:r>
    </w:p>
    <w:p w14:paraId="4A32BA9B" w14:textId="77777777" w:rsidR="00D70F60" w:rsidRPr="00D52EFE" w:rsidRDefault="00D70F60" w:rsidP="00C86397">
      <w:pPr>
        <w:rPr>
          <w:rFonts w:ascii="Times New Roman" w:eastAsia="Times New Roman" w:hAnsi="Times New Roman" w:cs="Times New Roman"/>
          <w:color w:val="auto"/>
        </w:rPr>
      </w:pPr>
    </w:p>
    <w:p w14:paraId="172DB6B6" w14:textId="5CF459FC"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GDPR goes further than the DPD: not only is the GDPR more explicit in its recognition of situations of joint controllership, but also it expressly derives the consequences of such a characterisation in terms of liability. For the moment suffice to say that the GDPR imposes an obligation for joint data controllers to determine in a transparent manner their roles and responsibilities in the light of the GDPR in order to ensure compliance, in particular compliance with data subject rights such as the right to information, </w:t>
      </w:r>
      <w:r w:rsidRPr="00D52EFE">
        <w:rPr>
          <w:rFonts w:ascii="Times New Roman" w:eastAsia="Times New Roman" w:hAnsi="Times New Roman" w:cs="Times New Roman"/>
          <w:i/>
          <w:color w:val="auto"/>
        </w:rPr>
        <w:t>“unless, and in so far as, the respective responsibilities of the controllers are determined by Union or Member State law to which the controllers are subject.”</w:t>
      </w:r>
      <w:r w:rsidRPr="00D52EFE">
        <w:rPr>
          <w:rFonts w:ascii="Times New Roman" w:eastAsia="Times New Roman" w:hAnsi="Times New Roman" w:cs="Times New Roman"/>
          <w:color w:val="auto"/>
          <w:vertAlign w:val="superscript"/>
        </w:rPr>
        <w:footnoteReference w:id="172"/>
      </w:r>
      <w:r w:rsidRPr="00D52EFE">
        <w:rPr>
          <w:rFonts w:ascii="Times New Roman" w:eastAsia="Times New Roman" w:hAnsi="Times New Roman" w:cs="Times New Roman"/>
          <w:color w:val="auto"/>
        </w:rPr>
        <w:t xml:space="preserve"> </w:t>
      </w:r>
      <w:r w:rsidR="0083739F" w:rsidRPr="00D52EFE">
        <w:rPr>
          <w:rFonts w:ascii="Times New Roman" w:eastAsia="Times New Roman" w:hAnsi="Times New Roman" w:cs="Times New Roman"/>
          <w:color w:val="auto"/>
        </w:rPr>
        <w:t>This is repeated in its recent Guidelines on transparency.</w:t>
      </w:r>
      <w:r w:rsidR="0083739F" w:rsidRPr="00D52EFE">
        <w:rPr>
          <w:rStyle w:val="FootnoteReference"/>
          <w:rFonts w:ascii="Times New Roman" w:eastAsia="Times New Roman" w:hAnsi="Times New Roman" w:cs="Times New Roman"/>
          <w:color w:val="auto"/>
        </w:rPr>
        <w:footnoteReference w:id="173"/>
      </w:r>
    </w:p>
    <w:p w14:paraId="4FC714E5" w14:textId="77777777" w:rsidR="00D70F60" w:rsidRPr="00D52EFE" w:rsidRDefault="00D70F60" w:rsidP="00C86397">
      <w:pPr>
        <w:rPr>
          <w:rFonts w:ascii="Times New Roman" w:eastAsia="Times New Roman" w:hAnsi="Times New Roman" w:cs="Times New Roman"/>
          <w:color w:val="auto"/>
        </w:rPr>
      </w:pPr>
    </w:p>
    <w:p w14:paraId="2379788C" w14:textId="11352E6C"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With this said, the choice between a characterisation of a situation joint controllership and a processor-controller relationship is not necessarily a straightforward exercise. After having recalled the two cumulative criteria for qualifying an actor involved in the processing of personal data a processor that originates from DPD Article 2(e),</w:t>
      </w:r>
      <w:r w:rsidRPr="00D52EFE">
        <w:rPr>
          <w:rFonts w:ascii="Times New Roman" w:eastAsia="Times New Roman" w:hAnsi="Times New Roman" w:cs="Times New Roman"/>
          <w:color w:val="auto"/>
          <w:vertAlign w:val="superscript"/>
        </w:rPr>
        <w:footnoteReference w:id="174"/>
      </w:r>
      <w:r w:rsidRPr="00D52EFE">
        <w:rPr>
          <w:rFonts w:ascii="Times New Roman" w:eastAsia="Times New Roman" w:hAnsi="Times New Roman" w:cs="Times New Roman"/>
          <w:color w:val="auto"/>
        </w:rPr>
        <w:t xml:space="preserve"> </w:t>
      </w:r>
      <w:r w:rsidR="00A338CE" w:rsidRPr="00D52EFE">
        <w:rPr>
          <w:rFonts w:ascii="Times New Roman" w:eastAsia="Times New Roman" w:hAnsi="Times New Roman" w:cs="Times New Roman"/>
          <w:i/>
          <w:color w:val="auto"/>
        </w:rPr>
        <w:t>i.e.</w:t>
      </w:r>
      <w:r w:rsidRPr="00D52EFE">
        <w:rPr>
          <w:rFonts w:ascii="Times New Roman" w:eastAsia="Times New Roman" w:hAnsi="Times New Roman" w:cs="Times New Roman"/>
          <w:color w:val="auto"/>
        </w:rPr>
        <w:t xml:space="preserve"> being an entity separate from </w:t>
      </w:r>
      <w:r w:rsidR="00D02B7D" w:rsidRPr="00D52EFE">
        <w:rPr>
          <w:rFonts w:ascii="Times New Roman" w:eastAsia="Times New Roman" w:hAnsi="Times New Roman" w:cs="Times New Roman"/>
          <w:color w:val="auto"/>
        </w:rPr>
        <w:t xml:space="preserve">the </w:t>
      </w:r>
      <w:r w:rsidRPr="00D52EFE">
        <w:rPr>
          <w:rFonts w:ascii="Times New Roman" w:eastAsia="Times New Roman" w:hAnsi="Times New Roman" w:cs="Times New Roman"/>
          <w:color w:val="auto"/>
        </w:rPr>
        <w:t xml:space="preserve">controller and processing personal data on behalf of the controller, </w:t>
      </w:r>
      <w:r w:rsidR="00E82CC7" w:rsidRPr="00D52EFE">
        <w:rPr>
          <w:rFonts w:ascii="Times New Roman" w:eastAsia="Times New Roman" w:hAnsi="Times New Roman" w:cs="Times New Roman"/>
          <w:color w:val="auto"/>
        </w:rPr>
        <w:t>t</w:t>
      </w:r>
      <w:r w:rsidR="00CD1A51" w:rsidRPr="00D52EFE">
        <w:rPr>
          <w:rFonts w:ascii="Times New Roman" w:eastAsia="Times New Roman" w:hAnsi="Times New Roman" w:cs="Times New Roman"/>
          <w:color w:val="auto"/>
        </w:rPr>
        <w:t>he Article 29 Working Party</w:t>
      </w:r>
      <w:r w:rsidRPr="00D52EFE">
        <w:rPr>
          <w:rFonts w:ascii="Times New Roman" w:eastAsia="Times New Roman" w:hAnsi="Times New Roman" w:cs="Times New Roman"/>
          <w:color w:val="auto"/>
        </w:rPr>
        <w:t xml:space="preserve"> offers a</w:t>
      </w:r>
      <w:r w:rsidR="00E82CC7" w:rsidRPr="00D52EFE">
        <w:rPr>
          <w:rFonts w:ascii="Times New Roman" w:eastAsia="Times New Roman" w:hAnsi="Times New Roman" w:cs="Times New Roman"/>
          <w:color w:val="auto"/>
        </w:rPr>
        <w:t xml:space="preserve"> bundle of indicators to identif</w:t>
      </w:r>
      <w:r w:rsidRPr="00D52EFE">
        <w:rPr>
          <w:rFonts w:ascii="Times New Roman" w:eastAsia="Times New Roman" w:hAnsi="Times New Roman" w:cs="Times New Roman"/>
          <w:color w:val="auto"/>
        </w:rPr>
        <w:t>y a processor-controller relationship:</w:t>
      </w:r>
    </w:p>
    <w:p w14:paraId="06126728" w14:textId="77777777" w:rsidR="00D70F60" w:rsidRPr="00D52EFE" w:rsidRDefault="00D70F60" w:rsidP="00C86397">
      <w:pPr>
        <w:rPr>
          <w:rFonts w:ascii="Times New Roman" w:eastAsia="Times New Roman" w:hAnsi="Times New Roman" w:cs="Times New Roman"/>
          <w:color w:val="auto"/>
        </w:rPr>
      </w:pPr>
    </w:p>
    <w:p w14:paraId="0B0C2A46" w14:textId="77777777" w:rsidR="00D70F60" w:rsidRPr="00D52EFE" w:rsidRDefault="000B5581" w:rsidP="00C86397">
      <w:pPr>
        <w:numPr>
          <w:ilvl w:val="0"/>
          <w:numId w:val="4"/>
        </w:numPr>
        <w:contextualSpacing/>
        <w:rPr>
          <w:rFonts w:ascii="Times New Roman" w:eastAsia="Times New Roman" w:hAnsi="Times New Roman" w:cs="Times New Roman"/>
          <w:color w:val="auto"/>
        </w:rPr>
      </w:pPr>
      <w:r w:rsidRPr="00D52EFE">
        <w:rPr>
          <w:rFonts w:ascii="Times New Roman" w:eastAsia="Times New Roman" w:hAnsi="Times New Roman" w:cs="Times New Roman"/>
          <w:color w:val="auto"/>
        </w:rPr>
        <w:t>The range of the margin of manoeuvre left to the processor as a result of the instructions of the controller</w:t>
      </w:r>
    </w:p>
    <w:p w14:paraId="6CBE7081" w14:textId="77777777" w:rsidR="00D70F60" w:rsidRPr="00D52EFE" w:rsidRDefault="000B5581" w:rsidP="00C86397">
      <w:pPr>
        <w:numPr>
          <w:ilvl w:val="0"/>
          <w:numId w:val="4"/>
        </w:numPr>
        <w:contextualSpacing/>
        <w:rPr>
          <w:rFonts w:ascii="Times New Roman" w:eastAsia="Times New Roman" w:hAnsi="Times New Roman" w:cs="Times New Roman"/>
          <w:color w:val="auto"/>
        </w:rPr>
      </w:pPr>
      <w:r w:rsidRPr="00D52EFE">
        <w:rPr>
          <w:rFonts w:ascii="Times New Roman" w:eastAsia="Times New Roman" w:hAnsi="Times New Roman" w:cs="Times New Roman"/>
          <w:color w:val="auto"/>
        </w:rPr>
        <w:t>The modalities of the monitoring undertaken by the controller to supervise the activity of the processor</w:t>
      </w:r>
    </w:p>
    <w:p w14:paraId="60EF0417" w14:textId="77777777" w:rsidR="00D70F60" w:rsidRPr="00D52EFE" w:rsidRDefault="000B5581" w:rsidP="00C86397">
      <w:pPr>
        <w:numPr>
          <w:ilvl w:val="0"/>
          <w:numId w:val="4"/>
        </w:numPr>
        <w:contextualSpacing/>
        <w:rPr>
          <w:rFonts w:ascii="Times New Roman" w:eastAsia="Times New Roman" w:hAnsi="Times New Roman" w:cs="Times New Roman"/>
          <w:color w:val="auto"/>
        </w:rPr>
      </w:pPr>
      <w:r w:rsidRPr="00D52EFE">
        <w:rPr>
          <w:rFonts w:ascii="Times New Roman" w:eastAsia="Times New Roman" w:hAnsi="Times New Roman" w:cs="Times New Roman"/>
          <w:color w:val="auto"/>
        </w:rPr>
        <w:t>The information provided by the controller to data subjects in relation to the allocation of roles between the different parties and thereby the expectations  of data subjects as a consequence of this information</w:t>
      </w:r>
    </w:p>
    <w:p w14:paraId="4C7CD0AE" w14:textId="77777777" w:rsidR="00D70F60" w:rsidRPr="00D52EFE" w:rsidRDefault="000B5581" w:rsidP="00C86397">
      <w:pPr>
        <w:numPr>
          <w:ilvl w:val="0"/>
          <w:numId w:val="4"/>
        </w:numPr>
        <w:contextualSpacing/>
        <w:rPr>
          <w:rFonts w:ascii="Times New Roman" w:eastAsia="Times New Roman" w:hAnsi="Times New Roman" w:cs="Times New Roman"/>
          <w:color w:val="auto"/>
        </w:rPr>
      </w:pPr>
      <w:r w:rsidRPr="00D52EFE">
        <w:rPr>
          <w:rFonts w:ascii="Times New Roman" w:eastAsia="Times New Roman" w:hAnsi="Times New Roman" w:cs="Times New Roman"/>
          <w:color w:val="auto"/>
        </w:rPr>
        <w:t>The degree of expertise of each party</w:t>
      </w:r>
      <w:r w:rsidRPr="00D52EFE">
        <w:rPr>
          <w:rFonts w:ascii="Times New Roman" w:eastAsia="Times New Roman" w:hAnsi="Times New Roman" w:cs="Times New Roman"/>
          <w:color w:val="auto"/>
          <w:vertAlign w:val="superscript"/>
        </w:rPr>
        <w:footnoteReference w:id="175"/>
      </w:r>
    </w:p>
    <w:p w14:paraId="6B5E7362" w14:textId="77777777" w:rsidR="00D70F60" w:rsidRPr="00D52EFE" w:rsidRDefault="00D70F60" w:rsidP="00C86397">
      <w:pPr>
        <w:rPr>
          <w:rFonts w:ascii="Times New Roman" w:eastAsia="Times New Roman" w:hAnsi="Times New Roman" w:cs="Times New Roman"/>
          <w:color w:val="auto"/>
        </w:rPr>
      </w:pPr>
    </w:p>
    <w:p w14:paraId="217D5E14" w14:textId="743EFABE"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However</w:t>
      </w:r>
      <w:r w:rsidR="00D02B7D"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w:t>
      </w:r>
      <w:r w:rsidR="0039377E" w:rsidRPr="00D52EFE">
        <w:rPr>
          <w:rFonts w:ascii="Times New Roman" w:eastAsia="Times New Roman" w:hAnsi="Times New Roman" w:cs="Times New Roman"/>
          <w:color w:val="auto"/>
        </w:rPr>
        <w:t>t</w:t>
      </w:r>
      <w:r w:rsidR="00CD1A51" w:rsidRPr="00D52EFE">
        <w:rPr>
          <w:rFonts w:ascii="Times New Roman" w:eastAsia="Times New Roman" w:hAnsi="Times New Roman" w:cs="Times New Roman"/>
          <w:color w:val="auto"/>
        </w:rPr>
        <w:t>he Article 29 Working Party</w:t>
      </w:r>
      <w:r w:rsidRPr="00D52EFE">
        <w:rPr>
          <w:rFonts w:ascii="Times New Roman" w:eastAsia="Times New Roman" w:hAnsi="Times New Roman" w:cs="Times New Roman"/>
          <w:color w:val="auto"/>
        </w:rPr>
        <w:t xml:space="preserve"> insists upon the complexity of processing activities, which can lead to prefer the characterisation of a situation of a joint data controllership rather </w:t>
      </w:r>
      <w:r w:rsidR="00D02B7D" w:rsidRPr="00D52EFE">
        <w:rPr>
          <w:rFonts w:ascii="Times New Roman" w:eastAsia="Times New Roman" w:hAnsi="Times New Roman" w:cs="Times New Roman"/>
          <w:color w:val="auto"/>
        </w:rPr>
        <w:t xml:space="preserve">than a </w:t>
      </w:r>
      <w:r w:rsidRPr="00D52EFE">
        <w:rPr>
          <w:rFonts w:ascii="Times New Roman" w:eastAsia="Times New Roman" w:hAnsi="Times New Roman" w:cs="Times New Roman"/>
          <w:color w:val="auto"/>
        </w:rPr>
        <w:t>processor-controller relationship when combined with an assessment of the privacy risks:</w:t>
      </w:r>
    </w:p>
    <w:p w14:paraId="618EF942" w14:textId="77777777" w:rsidR="00D70F60" w:rsidRPr="00D52EFE" w:rsidRDefault="00D70F60" w:rsidP="00C86397">
      <w:pPr>
        <w:rPr>
          <w:rFonts w:ascii="Times New Roman" w:eastAsia="Times New Roman" w:hAnsi="Times New Roman" w:cs="Times New Roman"/>
          <w:color w:val="auto"/>
        </w:rPr>
      </w:pPr>
    </w:p>
    <w:p w14:paraId="44FD4A91" w14:textId="41C6ED72" w:rsidR="00D70F60" w:rsidRPr="00D52EFE" w:rsidRDefault="000B5581" w:rsidP="00C86397">
      <w:pPr>
        <w:ind w:left="1110"/>
        <w:rPr>
          <w:rFonts w:ascii="Times New Roman" w:eastAsia="Times New Roman" w:hAnsi="Times New Roman" w:cs="Times New Roman"/>
          <w:color w:val="auto"/>
        </w:rPr>
      </w:pPr>
      <w:r w:rsidRPr="00D52EFE">
        <w:rPr>
          <w:rFonts w:ascii="Times New Roman" w:eastAsia="Times New Roman" w:hAnsi="Times New Roman" w:cs="Times New Roman"/>
          <w:i/>
          <w:color w:val="auto"/>
        </w:rPr>
        <w:t xml:space="preserve">the complexity of processing operations may lead to put more focus on the margin of manoeuvre of those entrusted with the processing of personal data, </w:t>
      </w:r>
      <w:r w:rsidR="00A338CE" w:rsidRPr="00D52EFE">
        <w:rPr>
          <w:rFonts w:ascii="Times New Roman" w:eastAsia="Times New Roman" w:hAnsi="Times New Roman" w:cs="Times New Roman"/>
          <w:i/>
          <w:color w:val="auto"/>
        </w:rPr>
        <w:t>e.g.</w:t>
      </w:r>
      <w:r w:rsidRPr="00D52EFE">
        <w:rPr>
          <w:rFonts w:ascii="Times New Roman" w:eastAsia="Times New Roman" w:hAnsi="Times New Roman" w:cs="Times New Roman"/>
          <w:i/>
          <w:color w:val="auto"/>
        </w:rPr>
        <w:t xml:space="preserve"> when the processing entails a specific privacy risk. Introducing new means of processing may lead to favouring the qualification as data controller rather than data processor. These cases may also lead to a clarification - and appointment of the controller - explicitly provided for by law.</w:t>
      </w:r>
      <w:r w:rsidRPr="00D52EFE">
        <w:rPr>
          <w:rFonts w:ascii="Times New Roman" w:eastAsia="Times New Roman" w:hAnsi="Times New Roman" w:cs="Times New Roman"/>
          <w:color w:val="auto"/>
          <w:vertAlign w:val="superscript"/>
        </w:rPr>
        <w:footnoteReference w:id="176"/>
      </w:r>
      <w:r w:rsidRPr="00D52EFE">
        <w:rPr>
          <w:rFonts w:ascii="Times New Roman" w:eastAsia="Times New Roman" w:hAnsi="Times New Roman" w:cs="Times New Roman"/>
          <w:color w:val="auto"/>
        </w:rPr>
        <w:t xml:space="preserve"> </w:t>
      </w:r>
    </w:p>
    <w:p w14:paraId="4422849A" w14:textId="77777777" w:rsidR="00D70F60" w:rsidRPr="00D52EFE" w:rsidRDefault="00D70F60" w:rsidP="00C86397">
      <w:pPr>
        <w:rPr>
          <w:rFonts w:ascii="Times New Roman" w:eastAsia="Times New Roman" w:hAnsi="Times New Roman" w:cs="Times New Roman"/>
          <w:color w:val="auto"/>
        </w:rPr>
      </w:pPr>
    </w:p>
    <w:p w14:paraId="7B45DF4F" w14:textId="77BDE621"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Taking the example of processing activities undertaken for historical, scientific and statistical purposes, including anonymisation practices, </w:t>
      </w:r>
      <w:r w:rsidR="00E82CC7" w:rsidRPr="00D52EFE">
        <w:rPr>
          <w:rFonts w:ascii="Times New Roman" w:eastAsia="Times New Roman" w:hAnsi="Times New Roman" w:cs="Times New Roman"/>
          <w:color w:val="auto"/>
        </w:rPr>
        <w:t>t</w:t>
      </w:r>
      <w:r w:rsidR="00CD1A51" w:rsidRPr="00D52EFE">
        <w:rPr>
          <w:rFonts w:ascii="Times New Roman" w:eastAsia="Times New Roman" w:hAnsi="Times New Roman" w:cs="Times New Roman"/>
          <w:color w:val="auto"/>
        </w:rPr>
        <w:t>he Article 29 Working Party</w:t>
      </w:r>
      <w:r w:rsidRPr="00D52EFE">
        <w:rPr>
          <w:rFonts w:ascii="Times New Roman" w:eastAsia="Times New Roman" w:hAnsi="Times New Roman" w:cs="Times New Roman"/>
          <w:color w:val="auto"/>
        </w:rPr>
        <w:t xml:space="preserve"> specifies that when data coming from different sources are combined together, </w:t>
      </w:r>
      <w:r w:rsidRPr="00D52EFE">
        <w:rPr>
          <w:rFonts w:ascii="Times New Roman" w:eastAsia="Times New Roman" w:hAnsi="Times New Roman" w:cs="Times New Roman"/>
          <w:i/>
          <w:color w:val="auto"/>
        </w:rPr>
        <w:t>“there is a particular threat to data protection, justifying the intermediary organization's own responsibility.</w:t>
      </w:r>
      <w:r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vertAlign w:val="superscript"/>
        </w:rPr>
        <w:footnoteReference w:id="177"/>
      </w:r>
    </w:p>
    <w:p w14:paraId="4CF00C23" w14:textId="77777777" w:rsidR="00E167A8" w:rsidRPr="00D52EFE" w:rsidRDefault="00E167A8" w:rsidP="00C86397">
      <w:pPr>
        <w:rPr>
          <w:rFonts w:ascii="Times New Roman" w:eastAsia="Times New Roman" w:hAnsi="Times New Roman" w:cs="Times New Roman"/>
          <w:color w:val="auto"/>
        </w:rPr>
      </w:pPr>
    </w:p>
    <w:p w14:paraId="55F87ADF" w14:textId="77AD2F40" w:rsidR="00CA33C8" w:rsidRPr="00D52EFE" w:rsidRDefault="00E167A8" w:rsidP="00C86397">
      <w:pPr>
        <w:rPr>
          <w:rFonts w:ascii="Times New Roman" w:eastAsia="Times New Roman" w:hAnsi="Times New Roman" w:cs="Times New Roman"/>
          <w:i/>
          <w:color w:val="auto"/>
        </w:rPr>
      </w:pPr>
      <w:r w:rsidRPr="00D52EFE">
        <w:rPr>
          <w:rFonts w:ascii="Times New Roman" w:eastAsia="Times New Roman" w:hAnsi="Times New Roman" w:cs="Times New Roman"/>
          <w:color w:val="auto"/>
        </w:rPr>
        <w:t xml:space="preserve">Notably, in his opinion delivered in </w:t>
      </w:r>
      <w:r w:rsidR="00DC7763" w:rsidRPr="00D52EFE">
        <w:rPr>
          <w:rFonts w:ascii="Times New Roman" w:eastAsia="Times New Roman" w:hAnsi="Times New Roman" w:cs="Times New Roman"/>
          <w:i/>
          <w:color w:val="auto"/>
        </w:rPr>
        <w:t>Facebook Ireland</w:t>
      </w:r>
      <w:r w:rsidRPr="00D52EFE">
        <w:rPr>
          <w:rFonts w:ascii="Times New Roman" w:eastAsia="Times New Roman" w:hAnsi="Times New Roman" w:cs="Times New Roman"/>
          <w:color w:val="auto"/>
        </w:rPr>
        <w:t>,</w:t>
      </w:r>
      <w:r w:rsidR="00DC7763" w:rsidRPr="00D52EFE">
        <w:rPr>
          <w:rStyle w:val="FootnoteReference"/>
          <w:rFonts w:ascii="Times New Roman" w:eastAsia="Times New Roman" w:hAnsi="Times New Roman" w:cs="Times New Roman"/>
          <w:color w:val="auto"/>
        </w:rPr>
        <w:footnoteReference w:id="178"/>
      </w:r>
      <w:r w:rsidRPr="00D52EFE">
        <w:rPr>
          <w:rFonts w:ascii="Times New Roman" w:eastAsia="Times New Roman" w:hAnsi="Times New Roman" w:cs="Times New Roman"/>
          <w:color w:val="auto"/>
        </w:rPr>
        <w:t xml:space="preserve"> A</w:t>
      </w:r>
      <w:r w:rsidR="00E82CC7" w:rsidRPr="00D52EFE">
        <w:rPr>
          <w:rFonts w:ascii="Times New Roman" w:eastAsia="Times New Roman" w:hAnsi="Times New Roman" w:cs="Times New Roman"/>
          <w:color w:val="auto"/>
        </w:rPr>
        <w:t>G</w:t>
      </w:r>
      <w:r w:rsidRPr="00D52EFE">
        <w:rPr>
          <w:rFonts w:ascii="Times New Roman" w:eastAsia="Times New Roman" w:hAnsi="Times New Roman" w:cs="Times New Roman"/>
          <w:color w:val="auto"/>
        </w:rPr>
        <w:t xml:space="preserve"> Bot endorse</w:t>
      </w:r>
      <w:r w:rsidR="00DC7763" w:rsidRPr="00D52EFE">
        <w:rPr>
          <w:rFonts w:ascii="Times New Roman" w:eastAsia="Times New Roman" w:hAnsi="Times New Roman" w:cs="Times New Roman"/>
          <w:color w:val="auto"/>
        </w:rPr>
        <w:t>s</w:t>
      </w:r>
      <w:r w:rsidRPr="00D52EFE">
        <w:rPr>
          <w:rFonts w:ascii="Times New Roman" w:eastAsia="Times New Roman" w:hAnsi="Times New Roman" w:cs="Times New Roman"/>
          <w:color w:val="auto"/>
        </w:rPr>
        <w:t xml:space="preserve"> </w:t>
      </w:r>
      <w:r w:rsidR="0039377E" w:rsidRPr="00D52EFE">
        <w:rPr>
          <w:rFonts w:ascii="Times New Roman" w:eastAsia="Times New Roman" w:hAnsi="Times New Roman" w:cs="Times New Roman"/>
          <w:color w:val="auto"/>
        </w:rPr>
        <w:t>t</w:t>
      </w:r>
      <w:r w:rsidR="00CD1A51" w:rsidRPr="00D52EFE">
        <w:rPr>
          <w:rFonts w:ascii="Times New Roman" w:eastAsia="Times New Roman" w:hAnsi="Times New Roman" w:cs="Times New Roman"/>
          <w:color w:val="auto"/>
        </w:rPr>
        <w:t>he Article 29 Working Party</w:t>
      </w:r>
      <w:r w:rsidRPr="00D52EFE">
        <w:rPr>
          <w:rFonts w:ascii="Times New Roman" w:eastAsia="Times New Roman" w:hAnsi="Times New Roman" w:cs="Times New Roman"/>
          <w:color w:val="auto"/>
        </w:rPr>
        <w:t>’s functional approach to controllership and interpreting the DPD</w:t>
      </w:r>
      <w:r w:rsidR="00A0470C" w:rsidRPr="00D52EFE">
        <w:rPr>
          <w:rFonts w:ascii="Times New Roman" w:eastAsia="Times New Roman" w:hAnsi="Times New Roman" w:cs="Times New Roman"/>
          <w:color w:val="auto"/>
        </w:rPr>
        <w:t xml:space="preserve"> (Article 2(d))</w:t>
      </w:r>
      <w:r w:rsidRPr="00D52EFE">
        <w:rPr>
          <w:rFonts w:ascii="Times New Roman" w:eastAsia="Times New Roman" w:hAnsi="Times New Roman" w:cs="Times New Roman"/>
          <w:color w:val="auto"/>
        </w:rPr>
        <w:t xml:space="preserve"> qualifies the operator of a Facebook fan page as a joint controller, even if Facebook is described as principally deciding </w:t>
      </w:r>
      <w:r w:rsidRPr="00D52EFE">
        <w:rPr>
          <w:rFonts w:ascii="Times New Roman" w:eastAsia="Times New Roman" w:hAnsi="Times New Roman" w:cs="Times New Roman"/>
          <w:i/>
          <w:color w:val="auto"/>
        </w:rPr>
        <w:t>“upon the purposes and means of the processing.”</w:t>
      </w:r>
      <w:r w:rsidRPr="00D52EFE">
        <w:rPr>
          <w:rStyle w:val="FootnoteReference"/>
          <w:rFonts w:ascii="Times New Roman" w:eastAsia="Times New Roman" w:hAnsi="Times New Roman" w:cs="Times New Roman"/>
          <w:color w:val="auto"/>
        </w:rPr>
        <w:footnoteReference w:id="179"/>
      </w:r>
      <w:r w:rsidR="00E82CC7" w:rsidRPr="00D52EFE">
        <w:rPr>
          <w:rFonts w:ascii="Times New Roman" w:eastAsia="Times New Roman" w:hAnsi="Times New Roman" w:cs="Times New Roman"/>
          <w:color w:val="auto"/>
        </w:rPr>
        <w:t xml:space="preserve"> AG Bot</w:t>
      </w:r>
      <w:r w:rsidR="00CA33C8" w:rsidRPr="00D52EFE">
        <w:rPr>
          <w:rFonts w:ascii="Times New Roman" w:eastAsia="Times New Roman" w:hAnsi="Times New Roman" w:cs="Times New Roman"/>
          <w:color w:val="auto"/>
        </w:rPr>
        <w:t xml:space="preserve"> clearly states</w:t>
      </w:r>
      <w:r w:rsidR="00E82CC7" w:rsidRPr="00D52EFE">
        <w:rPr>
          <w:rFonts w:ascii="Times New Roman" w:eastAsia="Times New Roman" w:hAnsi="Times New Roman" w:cs="Times New Roman"/>
          <w:color w:val="auto"/>
        </w:rPr>
        <w:t>:</w:t>
      </w:r>
      <w:r w:rsidR="00CA33C8" w:rsidRPr="00D52EFE">
        <w:rPr>
          <w:rFonts w:ascii="Times New Roman" w:eastAsia="Times New Roman" w:hAnsi="Times New Roman" w:cs="Times New Roman"/>
          <w:color w:val="auto"/>
        </w:rPr>
        <w:t xml:space="preserve"> </w:t>
      </w:r>
    </w:p>
    <w:p w14:paraId="523DCF5B" w14:textId="77777777" w:rsidR="00CA33C8" w:rsidRPr="00D52EFE" w:rsidRDefault="00CA33C8" w:rsidP="00C86397">
      <w:pPr>
        <w:rPr>
          <w:rFonts w:ascii="Times New Roman" w:eastAsia="Times New Roman" w:hAnsi="Times New Roman" w:cs="Times New Roman"/>
          <w:i/>
          <w:color w:val="auto"/>
        </w:rPr>
      </w:pPr>
    </w:p>
    <w:p w14:paraId="4294D1F6" w14:textId="7DDEF77F" w:rsidR="00D70F60" w:rsidRPr="00D52EFE" w:rsidRDefault="00CA33C8" w:rsidP="00C86397">
      <w:pPr>
        <w:ind w:left="993"/>
        <w:rPr>
          <w:rFonts w:ascii="Times New Roman" w:eastAsia="Times New Roman" w:hAnsi="Times New Roman" w:cs="Times New Roman"/>
          <w:color w:val="auto"/>
        </w:rPr>
      </w:pPr>
      <w:r w:rsidRPr="00D52EFE">
        <w:rPr>
          <w:rFonts w:ascii="Times New Roman" w:eastAsia="Times New Roman" w:hAnsi="Times New Roman" w:cs="Times New Roman"/>
          <w:i/>
          <w:color w:val="auto"/>
        </w:rPr>
        <w:t>no distinction should be made, in my opinion, between an undertaking which equips its website with tools similar to those offered by Facebook and an undertaking which joins the Facebook social network so as to benefit from the tools which Facebook offers.</w:t>
      </w:r>
      <w:r w:rsidRPr="00D52EFE">
        <w:rPr>
          <w:rStyle w:val="FootnoteReference"/>
          <w:rFonts w:ascii="Times New Roman" w:eastAsia="Times New Roman" w:hAnsi="Times New Roman" w:cs="Times New Roman"/>
          <w:color w:val="auto"/>
        </w:rPr>
        <w:footnoteReference w:id="180"/>
      </w:r>
    </w:p>
    <w:p w14:paraId="5183EB8B" w14:textId="77777777" w:rsidR="00E167A8" w:rsidRPr="00D52EFE" w:rsidRDefault="00E167A8" w:rsidP="00C86397">
      <w:pPr>
        <w:rPr>
          <w:rFonts w:ascii="Times New Roman" w:eastAsia="Times New Roman" w:hAnsi="Times New Roman" w:cs="Times New Roman"/>
          <w:color w:val="auto"/>
        </w:rPr>
      </w:pPr>
    </w:p>
    <w:p w14:paraId="6247925F" w14:textId="3E265911"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Because with the GDPR, the demarcation between the roles of processor and controller become less clear as processor’s obligations have been multiplied and the status of processor made closer to that of controller, one could make the argument that the balance should be tipped in favour of a characterisation of a situation of joint controllership.</w:t>
      </w:r>
      <w:r w:rsidR="005A71C2" w:rsidRPr="00D52EFE">
        <w:rPr>
          <w:rFonts w:ascii="Times New Roman" w:eastAsia="Times New Roman" w:hAnsi="Times New Roman" w:cs="Times New Roman"/>
          <w:color w:val="auto"/>
          <w:vertAlign w:val="superscript"/>
        </w:rPr>
        <w:t xml:space="preserve"> </w:t>
      </w:r>
      <w:r w:rsidR="005A71C2" w:rsidRPr="00D52EFE">
        <w:rPr>
          <w:rFonts w:ascii="Times New Roman" w:eastAsia="Times New Roman" w:hAnsi="Times New Roman" w:cs="Times New Roman"/>
          <w:color w:val="auto"/>
          <w:vertAlign w:val="superscript"/>
        </w:rPr>
        <w:footnoteReference w:id="181"/>
      </w:r>
    </w:p>
    <w:p w14:paraId="1E7E3769" w14:textId="77777777" w:rsidR="006E70B0" w:rsidRPr="00D52EFE" w:rsidRDefault="006E70B0" w:rsidP="00C86397">
      <w:pPr>
        <w:rPr>
          <w:rFonts w:ascii="Times New Roman" w:eastAsia="Times New Roman" w:hAnsi="Times New Roman" w:cs="Times New Roman"/>
          <w:color w:val="auto"/>
        </w:rPr>
      </w:pPr>
    </w:p>
    <w:p w14:paraId="0FC49B1E" w14:textId="6FBE5F57" w:rsidR="006E70B0" w:rsidRPr="00D52EFE" w:rsidRDefault="006E70B0"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That joint controllers should be considered to be joint and severally liable is a not a novelty of the GDPR. Despite the silence of the DPD, </w:t>
      </w:r>
      <w:r w:rsidR="0039377E" w:rsidRPr="00D52EFE">
        <w:rPr>
          <w:rFonts w:ascii="Times New Roman" w:eastAsia="Times New Roman" w:hAnsi="Times New Roman" w:cs="Times New Roman"/>
          <w:color w:val="auto"/>
        </w:rPr>
        <w:t>t</w:t>
      </w:r>
      <w:r w:rsidR="00CD1A51" w:rsidRPr="00D52EFE">
        <w:rPr>
          <w:rFonts w:ascii="Times New Roman" w:eastAsia="Times New Roman" w:hAnsi="Times New Roman" w:cs="Times New Roman"/>
          <w:color w:val="auto"/>
        </w:rPr>
        <w:t>he Article 29 Working Party</w:t>
      </w:r>
      <w:r w:rsidRPr="00D52EFE">
        <w:rPr>
          <w:rFonts w:ascii="Times New Roman" w:eastAsia="Times New Roman" w:hAnsi="Times New Roman" w:cs="Times New Roman"/>
          <w:color w:val="auto"/>
        </w:rPr>
        <w:t xml:space="preserve"> had interpreted the DPD in 2010 as implying that the default rule under the DPD was that of joint and several liability.</w:t>
      </w:r>
      <w:r w:rsidRPr="00D52EFE">
        <w:rPr>
          <w:rFonts w:ascii="Times New Roman" w:eastAsia="Times New Roman" w:hAnsi="Times New Roman" w:cs="Times New Roman"/>
          <w:color w:val="auto"/>
          <w:vertAlign w:val="superscript"/>
        </w:rPr>
        <w:footnoteReference w:id="182"/>
      </w:r>
      <w:r w:rsidR="005A71C2"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t xml:space="preserve">However, the GDPR offers a more radical solution than the one anticipated by </w:t>
      </w:r>
      <w:r w:rsidR="0039377E" w:rsidRPr="00D52EFE">
        <w:rPr>
          <w:rFonts w:ascii="Times New Roman" w:eastAsia="Times New Roman" w:hAnsi="Times New Roman" w:cs="Times New Roman"/>
          <w:color w:val="auto"/>
        </w:rPr>
        <w:t>t</w:t>
      </w:r>
      <w:r w:rsidR="00CD1A51" w:rsidRPr="00D52EFE">
        <w:rPr>
          <w:rFonts w:ascii="Times New Roman" w:eastAsia="Times New Roman" w:hAnsi="Times New Roman" w:cs="Times New Roman"/>
          <w:color w:val="auto"/>
        </w:rPr>
        <w:t>he Article 29 Working Party</w:t>
      </w:r>
      <w:r w:rsidRPr="00D52EFE">
        <w:rPr>
          <w:rFonts w:ascii="Times New Roman" w:eastAsia="Times New Roman" w:hAnsi="Times New Roman" w:cs="Times New Roman"/>
          <w:color w:val="auto"/>
        </w:rPr>
        <w:t xml:space="preserve">. This is </w:t>
      </w:r>
      <w:r w:rsidRPr="00D52EFE">
        <w:rPr>
          <w:rFonts w:ascii="Times New Roman" w:eastAsia="Times New Roman" w:hAnsi="Times New Roman" w:cs="Times New Roman"/>
          <w:color w:val="auto"/>
        </w:rPr>
        <w:lastRenderedPageBreak/>
        <w:t xml:space="preserve">because even when joint controllers determine in a transparent manner their roles and responsibilities for the purposes of ensuring compliance with the GDPR, joint data controllers remain jointly and severally liable. GDPR Article 26(3) provides that: </w:t>
      </w:r>
      <w:r w:rsidRPr="00D52EFE">
        <w:rPr>
          <w:rFonts w:ascii="Times New Roman" w:eastAsia="Times New Roman" w:hAnsi="Times New Roman" w:cs="Times New Roman"/>
          <w:i/>
          <w:color w:val="auto"/>
        </w:rPr>
        <w:t>“Irrespective of the terms of the arrangement referred to in paragraph 1, the data subject may exercise his or her rights under this Regulation in respect of and against each of the controllers.”</w:t>
      </w:r>
      <w:r w:rsidRPr="00D52EFE">
        <w:rPr>
          <w:rFonts w:ascii="Times New Roman" w:eastAsia="Times New Roman" w:hAnsi="Times New Roman" w:cs="Times New Roman"/>
          <w:color w:val="auto"/>
        </w:rPr>
        <w:t xml:space="preserve"> Reading Article 26(3) together with Article 82 it appears that one joint controller will only be able to escape liability for the actions of another if it can demonstrate that </w:t>
      </w:r>
      <w:r w:rsidRPr="00D52EFE">
        <w:rPr>
          <w:rFonts w:ascii="Times New Roman" w:eastAsia="Times New Roman" w:hAnsi="Times New Roman" w:cs="Times New Roman"/>
          <w:i/>
          <w:color w:val="auto"/>
        </w:rPr>
        <w:t>“it is not in any way responsible for the event giving rise to the damage”</w:t>
      </w:r>
      <w:r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vertAlign w:val="superscript"/>
        </w:rPr>
        <w:footnoteReference w:id="183"/>
      </w:r>
      <w:r w:rsidRPr="00D52EFE">
        <w:rPr>
          <w:rFonts w:ascii="Times New Roman" w:eastAsia="Times New Roman" w:hAnsi="Times New Roman" w:cs="Times New Roman"/>
          <w:color w:val="auto"/>
        </w:rPr>
        <w:t xml:space="preserve"> </w:t>
      </w:r>
    </w:p>
    <w:p w14:paraId="6EC735B4" w14:textId="77777777" w:rsidR="00D70F60" w:rsidRPr="00D52EFE" w:rsidRDefault="00D70F60" w:rsidP="00C86397">
      <w:pPr>
        <w:rPr>
          <w:rFonts w:ascii="Times New Roman" w:eastAsia="Times New Roman" w:hAnsi="Times New Roman" w:cs="Times New Roman"/>
          <w:color w:val="auto"/>
        </w:rPr>
      </w:pPr>
    </w:p>
    <w:p w14:paraId="15C4FBA5" w14:textId="77777777" w:rsidR="00365C3A" w:rsidRPr="00D52EFE" w:rsidRDefault="00365C3A" w:rsidP="00C86397">
      <w:pPr>
        <w:rPr>
          <w:rFonts w:ascii="Times New Roman" w:eastAsia="Times New Roman" w:hAnsi="Times New Roman" w:cs="Times New Roman"/>
          <w:color w:val="auto"/>
        </w:rPr>
      </w:pPr>
    </w:p>
    <w:p w14:paraId="6B642982" w14:textId="46273309" w:rsidR="00D70F60" w:rsidRPr="00D52EFE" w:rsidRDefault="00036ABA" w:rsidP="007C694F">
      <w:pPr>
        <w:pStyle w:val="Heading3"/>
        <w:numPr>
          <w:ilvl w:val="0"/>
          <w:numId w:val="0"/>
        </w:numPr>
        <w:jc w:val="left"/>
        <w:rPr>
          <w:b/>
          <w:color w:val="auto"/>
          <w:sz w:val="22"/>
          <w:szCs w:val="22"/>
        </w:rPr>
      </w:pPr>
      <w:bookmarkStart w:id="55" w:name="_9nxdwvol6zp8" w:colFirst="0" w:colLast="0"/>
      <w:bookmarkStart w:id="56" w:name="_Toc495674485"/>
      <w:bookmarkEnd w:id="55"/>
      <w:r>
        <w:rPr>
          <w:b/>
          <w:color w:val="auto"/>
          <w:sz w:val="22"/>
          <w:szCs w:val="22"/>
        </w:rPr>
        <w:t>4.2</w:t>
      </w:r>
      <w:r w:rsidR="007C694F" w:rsidRPr="00D52EFE">
        <w:rPr>
          <w:b/>
          <w:color w:val="auto"/>
          <w:sz w:val="22"/>
          <w:szCs w:val="22"/>
        </w:rPr>
        <w:tab/>
      </w:r>
      <w:r w:rsidR="005524FC" w:rsidRPr="00D52EFE">
        <w:rPr>
          <w:b/>
          <w:color w:val="auto"/>
          <w:sz w:val="22"/>
          <w:szCs w:val="22"/>
        </w:rPr>
        <w:t>eIDAS partition of roles</w:t>
      </w:r>
      <w:bookmarkEnd w:id="56"/>
    </w:p>
    <w:p w14:paraId="7C994873" w14:textId="77777777" w:rsidR="00D70F60" w:rsidRPr="00D52EFE" w:rsidRDefault="00D70F60" w:rsidP="00C86397">
      <w:pPr>
        <w:rPr>
          <w:rFonts w:ascii="Times New Roman" w:eastAsia="Times New Roman" w:hAnsi="Times New Roman" w:cs="Times New Roman"/>
          <w:color w:val="auto"/>
        </w:rPr>
      </w:pPr>
    </w:p>
    <w:p w14:paraId="0ABAE6BD" w14:textId="7D0403A4" w:rsidR="006E70B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As hinted above, eIDAS identifies the main actors of a</w:t>
      </w:r>
      <w:r w:rsidR="00D02B7D" w:rsidRPr="00D52EFE">
        <w:rPr>
          <w:rFonts w:ascii="Times New Roman" w:eastAsia="Times New Roman" w:hAnsi="Times New Roman" w:cs="Times New Roman"/>
          <w:color w:val="auto"/>
        </w:rPr>
        <w:t>n</w:t>
      </w:r>
      <w:r w:rsidRPr="00D52EFE">
        <w:rPr>
          <w:rFonts w:ascii="Times New Roman" w:eastAsia="Times New Roman" w:hAnsi="Times New Roman" w:cs="Times New Roman"/>
          <w:color w:val="auto"/>
        </w:rPr>
        <w:t xml:space="preserve"> eID schemes and their roles in the process of identification and authentication. However, and this is very important, eIDAS adopts a technologically neutral approach and does not aim to dictate the way eID schemes should be designed.</w:t>
      </w:r>
      <w:r w:rsidRPr="00D52EFE">
        <w:rPr>
          <w:rFonts w:ascii="Times New Roman" w:eastAsia="Times New Roman" w:hAnsi="Times New Roman" w:cs="Times New Roman"/>
          <w:color w:val="auto"/>
          <w:vertAlign w:val="superscript"/>
        </w:rPr>
        <w:footnoteReference w:id="184"/>
      </w:r>
      <w:r w:rsidRPr="00D52EFE">
        <w:rPr>
          <w:rFonts w:ascii="Times New Roman" w:eastAsia="Times New Roman" w:hAnsi="Times New Roman" w:cs="Times New Roman"/>
          <w:color w:val="auto"/>
        </w:rPr>
        <w:t xml:space="preserve"> Besides, observing the various eID schemes that have been deployed by Member States, there is a great variety of architectures. This has been recognised during the preli</w:t>
      </w:r>
      <w:r w:rsidR="00D02B7D" w:rsidRPr="00D52EFE">
        <w:rPr>
          <w:rFonts w:ascii="Times New Roman" w:eastAsia="Times New Roman" w:hAnsi="Times New Roman" w:cs="Times New Roman"/>
          <w:color w:val="auto"/>
        </w:rPr>
        <w:t>minary work leading to eIDAS.</w:t>
      </w:r>
      <w:r w:rsidRPr="00D52EFE">
        <w:rPr>
          <w:rFonts w:ascii="Times New Roman" w:eastAsia="Times New Roman" w:hAnsi="Times New Roman" w:cs="Times New Roman"/>
          <w:color w:val="auto"/>
        </w:rPr>
        <w:t xml:space="preserve"> In 2013 a feasibility study conducted as part of the EU IAS project noted that eID </w:t>
      </w:r>
      <w:r w:rsidRPr="00D52EFE">
        <w:rPr>
          <w:rFonts w:ascii="Times New Roman" w:eastAsia="Times New Roman" w:hAnsi="Times New Roman" w:cs="Times New Roman"/>
          <w:i/>
          <w:color w:val="auto"/>
        </w:rPr>
        <w:t xml:space="preserve">solutions “were heterogeneous from a technology perspective, using smartcards </w:t>
      </w:r>
      <w:r w:rsidRPr="00D52EFE">
        <w:rPr>
          <w:rFonts w:ascii="Times New Roman" w:eastAsia="Times New Roman" w:hAnsi="Times New Roman" w:cs="Times New Roman"/>
          <w:color w:val="auto"/>
        </w:rPr>
        <w:t>[…]</w:t>
      </w:r>
      <w:r w:rsidRPr="00D52EFE">
        <w:rPr>
          <w:rFonts w:ascii="Times New Roman" w:eastAsia="Times New Roman" w:hAnsi="Times New Roman" w:cs="Times New Roman"/>
          <w:i/>
          <w:color w:val="auto"/>
        </w:rPr>
        <w:t xml:space="preserve">, Mobile eID’s </w:t>
      </w:r>
      <w:r w:rsidRPr="00D52EFE">
        <w:rPr>
          <w:rFonts w:ascii="Times New Roman" w:eastAsia="Times New Roman" w:hAnsi="Times New Roman" w:cs="Times New Roman"/>
          <w:color w:val="auto"/>
        </w:rPr>
        <w:t>[…]</w:t>
      </w:r>
      <w:r w:rsidRPr="00D52EFE">
        <w:rPr>
          <w:rFonts w:ascii="Times New Roman" w:eastAsia="Times New Roman" w:hAnsi="Times New Roman" w:cs="Times New Roman"/>
          <w:i/>
          <w:color w:val="auto"/>
        </w:rPr>
        <w:t xml:space="preserve">, allowing soft certificates </w:t>
      </w:r>
      <w:r w:rsidRPr="00D52EFE">
        <w:rPr>
          <w:rFonts w:ascii="Times New Roman" w:eastAsia="Times New Roman" w:hAnsi="Times New Roman" w:cs="Times New Roman"/>
          <w:color w:val="auto"/>
        </w:rPr>
        <w:t>[…]</w:t>
      </w:r>
      <w:r w:rsidRPr="00D52EFE">
        <w:rPr>
          <w:rFonts w:ascii="Times New Roman" w:eastAsia="Times New Roman" w:hAnsi="Times New Roman" w:cs="Times New Roman"/>
          <w:i/>
          <w:color w:val="auto"/>
        </w:rPr>
        <w:t xml:space="preserve">, or even username/password </w:t>
      </w:r>
      <w:r w:rsidRPr="00D52EFE">
        <w:rPr>
          <w:rFonts w:ascii="Times New Roman" w:eastAsia="Times New Roman" w:hAnsi="Times New Roman" w:cs="Times New Roman"/>
          <w:color w:val="auto"/>
        </w:rPr>
        <w:t>[…]</w:t>
      </w:r>
      <w:r w:rsidRPr="00D52EFE">
        <w:rPr>
          <w:rFonts w:ascii="Times New Roman" w:eastAsia="Times New Roman" w:hAnsi="Times New Roman" w:cs="Times New Roman"/>
          <w:i/>
          <w:color w:val="auto"/>
        </w:rPr>
        <w:t>.”</w:t>
      </w:r>
      <w:r w:rsidRPr="00D52EFE">
        <w:rPr>
          <w:rFonts w:ascii="Times New Roman" w:eastAsia="Times New Roman" w:hAnsi="Times New Roman" w:cs="Times New Roman"/>
          <w:color w:val="auto"/>
          <w:vertAlign w:val="superscript"/>
        </w:rPr>
        <w:footnoteReference w:id="185"/>
      </w:r>
      <w:r w:rsidRPr="00D52EFE">
        <w:rPr>
          <w:rFonts w:ascii="Times New Roman" w:eastAsia="Times New Roman" w:hAnsi="Times New Roman" w:cs="Times New Roman"/>
          <w:color w:val="auto"/>
        </w:rPr>
        <w:t xml:space="preserve"> It continues that </w:t>
      </w:r>
      <w:r w:rsidRPr="00D52EFE">
        <w:rPr>
          <w:rFonts w:ascii="Times New Roman" w:eastAsia="Times New Roman" w:hAnsi="Times New Roman" w:cs="Times New Roman"/>
          <w:i/>
          <w:color w:val="auto"/>
        </w:rPr>
        <w:t>“</w:t>
      </w:r>
      <w:r w:rsidRPr="00D52EFE">
        <w:rPr>
          <w:rFonts w:ascii="Times New Roman" w:eastAsia="Times New Roman" w:hAnsi="Times New Roman" w:cs="Times New Roman"/>
          <w:color w:val="auto"/>
        </w:rPr>
        <w:t>[m]</w:t>
      </w:r>
      <w:r w:rsidRPr="00D52EFE">
        <w:rPr>
          <w:rFonts w:ascii="Times New Roman" w:eastAsia="Times New Roman" w:hAnsi="Times New Roman" w:cs="Times New Roman"/>
          <w:i/>
          <w:color w:val="auto"/>
        </w:rPr>
        <w:t>ost solutions were established well before there was a common middleware standard”</w:t>
      </w:r>
      <w:r w:rsidRPr="00D52EFE">
        <w:rPr>
          <w:rFonts w:ascii="Times New Roman" w:eastAsia="Times New Roman" w:hAnsi="Times New Roman" w:cs="Times New Roman"/>
          <w:color w:val="auto"/>
          <w:vertAlign w:val="superscript"/>
        </w:rPr>
        <w:footnoteReference w:id="186"/>
      </w:r>
      <w:r w:rsidRPr="00D52EFE">
        <w:rPr>
          <w:rFonts w:ascii="Times New Roman" w:eastAsia="Times New Roman" w:hAnsi="Times New Roman" w:cs="Times New Roman"/>
          <w:color w:val="auto"/>
        </w:rPr>
        <w:t xml:space="preserve"> which forced the STORK pilot (</w:t>
      </w:r>
      <w:r w:rsidR="00D22333" w:rsidRPr="00D52EFE">
        <w:rPr>
          <w:rFonts w:ascii="Times New Roman" w:eastAsia="Times New Roman" w:hAnsi="Times New Roman" w:cs="Times New Roman"/>
          <w:color w:val="auto"/>
        </w:rPr>
        <w:t>upon which eIDAS builds</w:t>
      </w:r>
      <w:r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i/>
          <w:color w:val="auto"/>
        </w:rPr>
        <w:t>“to create a model that could accommodate the various existing models.”</w:t>
      </w:r>
      <w:r w:rsidRPr="00D52EFE">
        <w:rPr>
          <w:rFonts w:ascii="Times New Roman" w:eastAsia="Times New Roman" w:hAnsi="Times New Roman" w:cs="Times New Roman"/>
          <w:color w:val="auto"/>
          <w:vertAlign w:val="superscript"/>
        </w:rPr>
        <w:footnoteReference w:id="187"/>
      </w:r>
      <w:r w:rsidRPr="00D52EFE">
        <w:rPr>
          <w:rFonts w:ascii="Times New Roman" w:eastAsia="Times New Roman" w:hAnsi="Times New Roman" w:cs="Times New Roman"/>
          <w:color w:val="auto"/>
        </w:rPr>
        <w:t xml:space="preserve"> Along the same lines, the impact assessment accompanying the eIDAS proposal acknowledged as a problem that </w:t>
      </w:r>
      <w:r w:rsidRPr="00D52EFE">
        <w:rPr>
          <w:rFonts w:ascii="Times New Roman" w:eastAsia="Times New Roman" w:hAnsi="Times New Roman" w:cs="Times New Roman"/>
          <w:i/>
          <w:color w:val="auto"/>
        </w:rPr>
        <w:t>“Member States use different technological solutions for personal identification which lead to interoperability problems when it comes to cross-border interaction.”</w:t>
      </w:r>
      <w:r w:rsidRPr="00D52EFE">
        <w:rPr>
          <w:rFonts w:ascii="Times New Roman" w:eastAsia="Times New Roman" w:hAnsi="Times New Roman" w:cs="Times New Roman"/>
          <w:color w:val="auto"/>
          <w:vertAlign w:val="superscript"/>
        </w:rPr>
        <w:footnoteReference w:id="188"/>
      </w:r>
      <w:r w:rsidRPr="00D52EFE">
        <w:rPr>
          <w:rFonts w:ascii="Times New Roman" w:eastAsia="Times New Roman" w:hAnsi="Times New Roman" w:cs="Times New Roman"/>
          <w:color w:val="auto"/>
        </w:rPr>
        <w:t xml:space="preserve"> It is true that eIDAS aims at supporting the creation of an interoperability framework to make cross-border transactions possible, and its implementation acts to some extent constrain its design.</w:t>
      </w:r>
      <w:r w:rsidRPr="00D52EFE">
        <w:rPr>
          <w:rFonts w:ascii="Times New Roman" w:eastAsia="Times New Roman" w:hAnsi="Times New Roman" w:cs="Times New Roman"/>
          <w:color w:val="auto"/>
          <w:vertAlign w:val="superscript"/>
        </w:rPr>
        <w:footnoteReference w:id="189"/>
      </w:r>
      <w:r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lastRenderedPageBreak/>
        <w:t>However</w:t>
      </w:r>
      <w:r w:rsidR="00D02B7D"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per definition this is true only in the context of cross-border transactions and not in the context of internal transactions. This is because the interoperability framework has been conceived as a means to identify a minimum common denominator that could be accepted by all Member States without affecting the design</w:t>
      </w:r>
      <w:r w:rsidR="00D22333" w:rsidRPr="00D52EFE">
        <w:rPr>
          <w:rFonts w:ascii="Times New Roman" w:eastAsia="Times New Roman" w:hAnsi="Times New Roman" w:cs="Times New Roman"/>
          <w:color w:val="auto"/>
        </w:rPr>
        <w:t xml:space="preserve"> and development</w:t>
      </w:r>
      <w:r w:rsidRPr="00D52EFE">
        <w:rPr>
          <w:rFonts w:ascii="Times New Roman" w:eastAsia="Times New Roman" w:hAnsi="Times New Roman" w:cs="Times New Roman"/>
          <w:color w:val="auto"/>
        </w:rPr>
        <w:t xml:space="preserve"> of their eID schemes when used for internal transactions. As a result</w:t>
      </w:r>
      <w:r w:rsidR="00D02B7D"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eIDAS shall not be seen as determining in a comprehensive way the respective roles and responsibilities of controllers involved in </w:t>
      </w:r>
      <w:r w:rsidR="00D22333" w:rsidRPr="00D52EFE">
        <w:rPr>
          <w:rFonts w:ascii="Times New Roman" w:eastAsia="Times New Roman" w:hAnsi="Times New Roman" w:cs="Times New Roman"/>
          <w:color w:val="auto"/>
        </w:rPr>
        <w:t xml:space="preserve">national </w:t>
      </w:r>
      <w:r w:rsidRPr="00D52EFE">
        <w:rPr>
          <w:rFonts w:ascii="Times New Roman" w:eastAsia="Times New Roman" w:hAnsi="Times New Roman" w:cs="Times New Roman"/>
          <w:color w:val="auto"/>
        </w:rPr>
        <w:t xml:space="preserve">eID schemes. </w:t>
      </w:r>
    </w:p>
    <w:p w14:paraId="4ADCA216" w14:textId="77777777" w:rsidR="006E70B0" w:rsidRPr="00D52EFE" w:rsidRDefault="006E70B0" w:rsidP="00C86397">
      <w:pPr>
        <w:rPr>
          <w:rFonts w:ascii="Times New Roman" w:eastAsia="Times New Roman" w:hAnsi="Times New Roman" w:cs="Times New Roman"/>
          <w:color w:val="auto"/>
        </w:rPr>
      </w:pPr>
    </w:p>
    <w:p w14:paraId="0D430814" w14:textId="0A3D9FE0" w:rsidR="006E70B0" w:rsidRPr="00D52EFE" w:rsidRDefault="006E70B0"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What is true, nevertheless, is that eIDAS </w:t>
      </w:r>
      <w:r w:rsidR="00AD73FC" w:rsidRPr="00D52EFE">
        <w:rPr>
          <w:rFonts w:ascii="Times New Roman" w:eastAsia="Times New Roman" w:hAnsi="Times New Roman" w:cs="Times New Roman"/>
          <w:color w:val="auto"/>
        </w:rPr>
        <w:t>identifies two processing purposes</w:t>
      </w:r>
      <w:r w:rsidRPr="00D52EFE">
        <w:rPr>
          <w:rFonts w:ascii="Times New Roman" w:eastAsia="Times New Roman" w:hAnsi="Times New Roman" w:cs="Times New Roman"/>
          <w:color w:val="auto"/>
        </w:rPr>
        <w:t xml:space="preserve">: identification and authentication, which should (although this is not explained in these terms in eIDAS), comprise two stages: the creation of the </w:t>
      </w:r>
      <w:r w:rsidR="00D22333" w:rsidRPr="00D52EFE">
        <w:rPr>
          <w:rFonts w:ascii="Times New Roman" w:eastAsia="Times New Roman" w:hAnsi="Times New Roman" w:cs="Times New Roman"/>
          <w:color w:val="auto"/>
        </w:rPr>
        <w:t>eID</w:t>
      </w:r>
      <w:r w:rsidRPr="00D52EFE">
        <w:rPr>
          <w:rFonts w:ascii="Times New Roman" w:eastAsia="Times New Roman" w:hAnsi="Times New Roman" w:cs="Times New Roman"/>
          <w:color w:val="auto"/>
        </w:rPr>
        <w:t xml:space="preserve"> means with person identification data and the subsequent use of the </w:t>
      </w:r>
      <w:r w:rsidR="00D22333" w:rsidRPr="00D52EFE">
        <w:rPr>
          <w:rFonts w:ascii="Times New Roman" w:eastAsia="Times New Roman" w:hAnsi="Times New Roman" w:cs="Times New Roman"/>
          <w:color w:val="auto"/>
        </w:rPr>
        <w:t>eID</w:t>
      </w:r>
      <w:r w:rsidRPr="00D52EFE">
        <w:rPr>
          <w:rFonts w:ascii="Times New Roman" w:eastAsia="Times New Roman" w:hAnsi="Times New Roman" w:cs="Times New Roman"/>
          <w:color w:val="auto"/>
        </w:rPr>
        <w:t xml:space="preserve"> means for authentication purposes. eIDAS</w:t>
      </w:r>
      <w:r w:rsidR="00AD73FC" w:rsidRPr="00D52EFE">
        <w:rPr>
          <w:rFonts w:ascii="Times New Roman" w:eastAsia="Times New Roman" w:hAnsi="Times New Roman" w:cs="Times New Roman"/>
          <w:color w:val="auto"/>
        </w:rPr>
        <w:t xml:space="preserve"> definitions are</w:t>
      </w:r>
      <w:r w:rsidRPr="00D52EFE">
        <w:rPr>
          <w:rFonts w:ascii="Times New Roman" w:eastAsia="Times New Roman" w:hAnsi="Times New Roman" w:cs="Times New Roman"/>
          <w:color w:val="auto"/>
        </w:rPr>
        <w:t xml:space="preserve"> nevertheless slightly </w:t>
      </w:r>
      <w:r w:rsidR="00ED2A5D" w:rsidRPr="00D52EFE">
        <w:rPr>
          <w:rFonts w:ascii="Times New Roman" w:eastAsia="Times New Roman" w:hAnsi="Times New Roman" w:cs="Times New Roman"/>
          <w:color w:val="auto"/>
        </w:rPr>
        <w:t>confusing,</w:t>
      </w:r>
      <w:r w:rsidRPr="00D52EFE">
        <w:rPr>
          <w:rFonts w:ascii="Times New Roman" w:eastAsia="Times New Roman" w:hAnsi="Times New Roman" w:cs="Times New Roman"/>
          <w:color w:val="auto"/>
        </w:rPr>
        <w:t xml:space="preserve"> </w:t>
      </w:r>
      <w:r w:rsidR="00AD73FC" w:rsidRPr="00D52EFE">
        <w:rPr>
          <w:rFonts w:ascii="Times New Roman" w:eastAsia="Times New Roman" w:hAnsi="Times New Roman" w:cs="Times New Roman"/>
          <w:color w:val="auto"/>
        </w:rPr>
        <w:t>as they seem to overlap</w:t>
      </w:r>
      <w:r w:rsidRPr="00D52EFE">
        <w:rPr>
          <w:rFonts w:ascii="Times New Roman" w:eastAsia="Times New Roman" w:hAnsi="Times New Roman" w:cs="Times New Roman"/>
          <w:color w:val="auto"/>
        </w:rPr>
        <w:t xml:space="preserve">: </w:t>
      </w:r>
    </w:p>
    <w:p w14:paraId="5F9991D3" w14:textId="77777777" w:rsidR="006E70B0" w:rsidRPr="00D52EFE" w:rsidRDefault="006E70B0" w:rsidP="00C86397">
      <w:pPr>
        <w:rPr>
          <w:rFonts w:ascii="Times New Roman" w:eastAsia="Times New Roman" w:hAnsi="Times New Roman" w:cs="Times New Roman"/>
          <w:color w:val="auto"/>
        </w:rPr>
      </w:pPr>
    </w:p>
    <w:p w14:paraId="217C2C16" w14:textId="77777777" w:rsidR="006E70B0" w:rsidRPr="00D52EFE" w:rsidRDefault="006E70B0" w:rsidP="00C86397">
      <w:pPr>
        <w:numPr>
          <w:ilvl w:val="0"/>
          <w:numId w:val="2"/>
        </w:numPr>
        <w:contextualSpacing/>
        <w:rPr>
          <w:rFonts w:ascii="Times New Roman" w:hAnsi="Times New Roman" w:cs="Times New Roman"/>
          <w:color w:val="auto"/>
        </w:rPr>
      </w:pPr>
      <w:r w:rsidRPr="00D52EFE">
        <w:rPr>
          <w:rFonts w:ascii="Times New Roman" w:eastAsia="Times New Roman" w:hAnsi="Times New Roman" w:cs="Times New Roman"/>
          <w:color w:val="auto"/>
        </w:rPr>
        <w:t xml:space="preserve">Electronic identification: </w:t>
      </w:r>
      <w:r w:rsidRPr="00D52EFE">
        <w:rPr>
          <w:rFonts w:ascii="Times New Roman" w:eastAsia="Times New Roman" w:hAnsi="Times New Roman" w:cs="Times New Roman"/>
          <w:i/>
          <w:color w:val="auto"/>
        </w:rPr>
        <w:t>“the process of using person identification data in electronic form uniquely representing either a natural or legal person, or a natural person representing a legal person.”</w:t>
      </w:r>
      <w:r w:rsidRPr="00D52EFE">
        <w:rPr>
          <w:rFonts w:ascii="Times New Roman" w:eastAsia="Times New Roman" w:hAnsi="Times New Roman" w:cs="Times New Roman"/>
          <w:color w:val="auto"/>
          <w:vertAlign w:val="superscript"/>
        </w:rPr>
        <w:footnoteReference w:id="190"/>
      </w:r>
    </w:p>
    <w:p w14:paraId="33B41911" w14:textId="77777777" w:rsidR="006E70B0" w:rsidRPr="00D52EFE" w:rsidRDefault="006E70B0" w:rsidP="00C86397">
      <w:pPr>
        <w:numPr>
          <w:ilvl w:val="0"/>
          <w:numId w:val="2"/>
        </w:numPr>
        <w:contextualSpacing/>
        <w:rPr>
          <w:rFonts w:ascii="Times New Roman" w:hAnsi="Times New Roman" w:cs="Times New Roman"/>
          <w:color w:val="auto"/>
        </w:rPr>
      </w:pPr>
      <w:r w:rsidRPr="00D52EFE">
        <w:rPr>
          <w:rFonts w:ascii="Times New Roman" w:eastAsia="Times New Roman" w:hAnsi="Times New Roman" w:cs="Times New Roman"/>
          <w:color w:val="auto"/>
        </w:rPr>
        <w:t xml:space="preserve">Authentication: </w:t>
      </w:r>
      <w:r w:rsidRPr="00D52EFE">
        <w:rPr>
          <w:rFonts w:ascii="Times New Roman" w:eastAsia="Times New Roman" w:hAnsi="Times New Roman" w:cs="Times New Roman"/>
          <w:i/>
          <w:color w:val="auto"/>
        </w:rPr>
        <w:t>“electronic process that enables the electronic identification of a natural or legal person, or the origin and integrity of data in electronic form to be confirmed.”</w:t>
      </w:r>
      <w:r w:rsidRPr="00D52EFE">
        <w:rPr>
          <w:rFonts w:ascii="Times New Roman" w:eastAsia="Times New Roman" w:hAnsi="Times New Roman" w:cs="Times New Roman"/>
          <w:color w:val="auto"/>
          <w:vertAlign w:val="superscript"/>
        </w:rPr>
        <w:footnoteReference w:id="191"/>
      </w:r>
    </w:p>
    <w:p w14:paraId="1F32692F" w14:textId="77777777" w:rsidR="006E70B0" w:rsidRPr="00D52EFE" w:rsidRDefault="006E70B0" w:rsidP="00C86397">
      <w:pPr>
        <w:rPr>
          <w:rFonts w:ascii="Times New Roman" w:eastAsia="Times New Roman" w:hAnsi="Times New Roman" w:cs="Times New Roman"/>
          <w:color w:val="auto"/>
        </w:rPr>
      </w:pPr>
    </w:p>
    <w:p w14:paraId="6BF9F8E7" w14:textId="1E4A95AE" w:rsidR="006E70B0" w:rsidRPr="00D52EFE" w:rsidRDefault="006E70B0"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As a result, it is not entirely clear whether electronic identification only covers the creation of the </w:t>
      </w:r>
      <w:r w:rsidR="00D22333" w:rsidRPr="00D52EFE">
        <w:rPr>
          <w:rFonts w:ascii="Times New Roman" w:eastAsia="Times New Roman" w:hAnsi="Times New Roman" w:cs="Times New Roman"/>
          <w:color w:val="auto"/>
        </w:rPr>
        <w:t>eID</w:t>
      </w:r>
      <w:r w:rsidRPr="00D52EFE">
        <w:rPr>
          <w:rFonts w:ascii="Times New Roman" w:eastAsia="Times New Roman" w:hAnsi="Times New Roman" w:cs="Times New Roman"/>
          <w:color w:val="auto"/>
        </w:rPr>
        <w:t xml:space="preserve"> means or subsequent acts of authentication. With this said, despite the imprecision of the language the creation of the </w:t>
      </w:r>
      <w:r w:rsidR="00D22333" w:rsidRPr="00D52EFE">
        <w:rPr>
          <w:rFonts w:ascii="Times New Roman" w:eastAsia="Times New Roman" w:hAnsi="Times New Roman" w:cs="Times New Roman"/>
          <w:color w:val="auto"/>
        </w:rPr>
        <w:t>eID</w:t>
      </w:r>
      <w:r w:rsidRPr="00D52EFE">
        <w:rPr>
          <w:rFonts w:ascii="Times New Roman" w:eastAsia="Times New Roman" w:hAnsi="Times New Roman" w:cs="Times New Roman"/>
          <w:color w:val="auto"/>
        </w:rPr>
        <w:t xml:space="preserve"> means and the confirmation of the identity of an individual through the means of an </w:t>
      </w:r>
      <w:r w:rsidR="00D22333" w:rsidRPr="00D52EFE">
        <w:rPr>
          <w:rFonts w:ascii="Times New Roman" w:eastAsia="Times New Roman" w:hAnsi="Times New Roman" w:cs="Times New Roman"/>
          <w:color w:val="auto"/>
        </w:rPr>
        <w:t>eID</w:t>
      </w:r>
      <w:r w:rsidRPr="00D52EFE">
        <w:rPr>
          <w:rFonts w:ascii="Times New Roman" w:eastAsia="Times New Roman" w:hAnsi="Times New Roman" w:cs="Times New Roman"/>
          <w:color w:val="auto"/>
        </w:rPr>
        <w:t xml:space="preserve"> means are closely related and are captured by either electronic identification or authentication, if not both.</w:t>
      </w:r>
    </w:p>
    <w:p w14:paraId="2682FC2D" w14:textId="34EEFC1E"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 </w:t>
      </w:r>
    </w:p>
    <w:p w14:paraId="0A1116A1" w14:textId="68E791B1"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As aforementioned</w:t>
      </w:r>
      <w:r w:rsidR="00D02B7D" w:rsidRPr="00D52EFE">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eIDAS distinguishes between three actors: notifying Member States, parties issuing </w:t>
      </w:r>
      <w:r w:rsidR="00D22333" w:rsidRPr="00D52EFE">
        <w:rPr>
          <w:rFonts w:ascii="Times New Roman" w:eastAsia="Times New Roman" w:hAnsi="Times New Roman" w:cs="Times New Roman"/>
          <w:color w:val="auto"/>
        </w:rPr>
        <w:t>eID</w:t>
      </w:r>
      <w:r w:rsidRPr="00D52EFE">
        <w:rPr>
          <w:rFonts w:ascii="Times New Roman" w:eastAsia="Times New Roman" w:hAnsi="Times New Roman" w:cs="Times New Roman"/>
          <w:color w:val="auto"/>
        </w:rPr>
        <w:t xml:space="preserve"> means and parties operating authentication procedures. eIDAS expressly recognises the fact that </w:t>
      </w:r>
      <w:r w:rsidR="00D22333" w:rsidRPr="00D52EFE">
        <w:rPr>
          <w:rFonts w:ascii="Times New Roman" w:eastAsia="Times New Roman" w:hAnsi="Times New Roman" w:cs="Times New Roman"/>
          <w:color w:val="auto"/>
        </w:rPr>
        <w:t>eID</w:t>
      </w:r>
      <w:r w:rsidRPr="00D52EFE">
        <w:rPr>
          <w:rFonts w:ascii="Times New Roman" w:eastAsia="Times New Roman" w:hAnsi="Times New Roman" w:cs="Times New Roman"/>
          <w:color w:val="auto"/>
        </w:rPr>
        <w:t xml:space="preserve"> means can be issued by private parties. </w:t>
      </w:r>
      <w:r w:rsidR="00D22333" w:rsidRPr="00D52EFE">
        <w:rPr>
          <w:rFonts w:ascii="Times New Roman" w:eastAsia="Times New Roman" w:hAnsi="Times New Roman" w:cs="Times New Roman"/>
          <w:color w:val="auto"/>
        </w:rPr>
        <w:t xml:space="preserve">eIDAS </w:t>
      </w:r>
      <w:r w:rsidRPr="00D52EFE">
        <w:rPr>
          <w:rFonts w:ascii="Times New Roman" w:eastAsia="Times New Roman" w:hAnsi="Times New Roman" w:cs="Times New Roman"/>
          <w:color w:val="auto"/>
        </w:rPr>
        <w:t xml:space="preserve">Article 7 </w:t>
      </w:r>
      <w:r w:rsidR="006E70B0" w:rsidRPr="00D52EFE">
        <w:rPr>
          <w:rFonts w:ascii="Times New Roman" w:eastAsia="Times New Roman" w:hAnsi="Times New Roman" w:cs="Times New Roman"/>
          <w:color w:val="auto"/>
        </w:rPr>
        <w:t xml:space="preserve">therefore </w:t>
      </w:r>
      <w:r w:rsidRPr="00D52EFE">
        <w:rPr>
          <w:rFonts w:ascii="Times New Roman" w:eastAsia="Times New Roman" w:hAnsi="Times New Roman" w:cs="Times New Roman"/>
          <w:color w:val="auto"/>
        </w:rPr>
        <w:t xml:space="preserve">distinguishes </w:t>
      </w:r>
      <w:r w:rsidR="00D22333" w:rsidRPr="00D52EFE">
        <w:rPr>
          <w:rFonts w:ascii="Times New Roman" w:eastAsia="Times New Roman" w:hAnsi="Times New Roman" w:cs="Times New Roman"/>
          <w:color w:val="auto"/>
        </w:rPr>
        <w:t xml:space="preserve">between </w:t>
      </w:r>
      <w:r w:rsidRPr="00D52EFE">
        <w:rPr>
          <w:rFonts w:ascii="Times New Roman" w:eastAsia="Times New Roman" w:hAnsi="Times New Roman" w:cs="Times New Roman"/>
          <w:color w:val="auto"/>
        </w:rPr>
        <w:t xml:space="preserve">three hypotheses: when the </w:t>
      </w:r>
      <w:r w:rsidR="00D22333" w:rsidRPr="00D52EFE">
        <w:rPr>
          <w:rFonts w:ascii="Times New Roman" w:eastAsia="Times New Roman" w:hAnsi="Times New Roman" w:cs="Times New Roman"/>
          <w:color w:val="auto"/>
        </w:rPr>
        <w:t>eID</w:t>
      </w:r>
      <w:r w:rsidRPr="00D52EFE">
        <w:rPr>
          <w:rFonts w:ascii="Times New Roman" w:eastAsia="Times New Roman" w:hAnsi="Times New Roman" w:cs="Times New Roman"/>
          <w:color w:val="auto"/>
        </w:rPr>
        <w:t xml:space="preserve"> means are issued by the notifying Member States, under a mandate from the notifying Member State, or independently of the notifying Member State but are recognised by that Member State.</w:t>
      </w:r>
    </w:p>
    <w:p w14:paraId="4C9DCE84" w14:textId="77777777" w:rsidR="00D70F60" w:rsidRPr="00D52EFE" w:rsidRDefault="00D70F60" w:rsidP="00C86397">
      <w:pPr>
        <w:rPr>
          <w:rFonts w:ascii="Times New Roman" w:eastAsia="Times New Roman" w:hAnsi="Times New Roman" w:cs="Times New Roman"/>
          <w:color w:val="auto"/>
        </w:rPr>
      </w:pPr>
    </w:p>
    <w:p w14:paraId="5D08885A" w14:textId="539BA818"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notifying Member State appears to be the one with the most oblig</w:t>
      </w:r>
      <w:r w:rsidR="00D02B7D" w:rsidRPr="00D52EFE">
        <w:rPr>
          <w:rFonts w:ascii="Times New Roman" w:eastAsia="Times New Roman" w:hAnsi="Times New Roman" w:cs="Times New Roman"/>
          <w:color w:val="auto"/>
        </w:rPr>
        <w:t>ations or duties. It</w:t>
      </w:r>
      <w:r w:rsidRPr="00D52EFE">
        <w:rPr>
          <w:rFonts w:ascii="Times New Roman" w:eastAsia="Times New Roman" w:hAnsi="Times New Roman" w:cs="Times New Roman"/>
          <w:color w:val="auto"/>
        </w:rPr>
        <w:t xml:space="preserve"> shall ensure:</w:t>
      </w:r>
    </w:p>
    <w:p w14:paraId="2B63BBD7" w14:textId="77777777" w:rsidR="00D70F60" w:rsidRPr="00D52EFE" w:rsidRDefault="00D70F60" w:rsidP="00C86397">
      <w:pPr>
        <w:rPr>
          <w:rFonts w:ascii="Times New Roman" w:eastAsia="Times New Roman" w:hAnsi="Times New Roman" w:cs="Times New Roman"/>
          <w:color w:val="auto"/>
        </w:rPr>
      </w:pPr>
    </w:p>
    <w:p w14:paraId="2C29E419" w14:textId="77777777" w:rsidR="00D70F60" w:rsidRPr="00D52EFE" w:rsidRDefault="000B5581" w:rsidP="00C86397">
      <w:pPr>
        <w:numPr>
          <w:ilvl w:val="0"/>
          <w:numId w:val="5"/>
        </w:numPr>
        <w:contextualSpacing/>
        <w:rPr>
          <w:rFonts w:ascii="Times New Roman" w:hAnsi="Times New Roman" w:cs="Times New Roman"/>
          <w:color w:val="auto"/>
        </w:rPr>
      </w:pPr>
      <w:r w:rsidRPr="00D52EFE">
        <w:rPr>
          <w:rFonts w:ascii="Times New Roman" w:eastAsia="Times New Roman" w:hAnsi="Times New Roman" w:cs="Times New Roman"/>
          <w:i/>
          <w:color w:val="auto"/>
        </w:rPr>
        <w:t>the person identification data uniquely representing the person in question is attributed, in accordance with the technical specifications, standards and procedures for the relevant assurance level set out in the implementing act referred to in Article 8(3), to the natural or legal person referred to in point 1 of Article 3 at the time the electronic identification means under that scheme is issued;</w:t>
      </w:r>
      <w:r w:rsidRPr="00D52EFE">
        <w:rPr>
          <w:rFonts w:ascii="Times New Roman" w:eastAsia="Times New Roman" w:hAnsi="Times New Roman" w:cs="Times New Roman"/>
          <w:color w:val="auto"/>
          <w:vertAlign w:val="superscript"/>
        </w:rPr>
        <w:footnoteReference w:id="192"/>
      </w:r>
    </w:p>
    <w:p w14:paraId="1C2AB4FB" w14:textId="77777777" w:rsidR="00D70F60" w:rsidRPr="00D52EFE" w:rsidRDefault="000B5581" w:rsidP="00C86397">
      <w:pPr>
        <w:widowControl w:val="0"/>
        <w:numPr>
          <w:ilvl w:val="0"/>
          <w:numId w:val="5"/>
        </w:numPr>
        <w:contextualSpacing/>
        <w:rPr>
          <w:rFonts w:ascii="Times New Roman" w:hAnsi="Times New Roman" w:cs="Times New Roman"/>
          <w:i/>
          <w:color w:val="auto"/>
        </w:rPr>
      </w:pPr>
      <w:r w:rsidRPr="00D52EFE">
        <w:rPr>
          <w:rFonts w:ascii="Times New Roman" w:eastAsia="Times New Roman" w:hAnsi="Times New Roman" w:cs="Times New Roman"/>
          <w:i/>
          <w:color w:val="auto"/>
        </w:rPr>
        <w:t xml:space="preserve">the availability of authentication online, so that any relying party established in the territory of another Member State is able to confirm the person identification data received in </w:t>
      </w:r>
      <w:r w:rsidRPr="00D52EFE">
        <w:rPr>
          <w:rFonts w:ascii="Times New Roman" w:eastAsia="Times New Roman" w:hAnsi="Times New Roman" w:cs="Times New Roman"/>
          <w:i/>
          <w:color w:val="auto"/>
        </w:rPr>
        <w:lastRenderedPageBreak/>
        <w:t>electronic form.</w:t>
      </w:r>
      <w:r w:rsidRPr="00D52EFE">
        <w:rPr>
          <w:rFonts w:ascii="Times New Roman" w:eastAsia="Times New Roman" w:hAnsi="Times New Roman" w:cs="Times New Roman"/>
          <w:color w:val="auto"/>
          <w:vertAlign w:val="superscript"/>
        </w:rPr>
        <w:footnoteReference w:id="193"/>
      </w:r>
    </w:p>
    <w:p w14:paraId="2D6DB243" w14:textId="77777777" w:rsidR="00D70F60" w:rsidRPr="00D52EFE" w:rsidRDefault="000B5581" w:rsidP="00C86397">
      <w:pPr>
        <w:widowControl w:val="0"/>
        <w:numPr>
          <w:ilvl w:val="0"/>
          <w:numId w:val="5"/>
        </w:numPr>
        <w:contextualSpacing/>
        <w:rPr>
          <w:rFonts w:ascii="Times New Roman" w:hAnsi="Times New Roman" w:cs="Times New Roman"/>
          <w:i/>
          <w:color w:val="auto"/>
        </w:rPr>
      </w:pPr>
      <w:r w:rsidRPr="00D52EFE">
        <w:rPr>
          <w:rFonts w:ascii="Times New Roman" w:eastAsia="Times New Roman" w:hAnsi="Times New Roman" w:cs="Times New Roman"/>
          <w:i/>
          <w:color w:val="auto"/>
        </w:rPr>
        <w:t>the cross-border authentication [is] provided free of charge when it is carried out in relation to a service online provided by a public sector body.</w:t>
      </w:r>
      <w:r w:rsidRPr="00D52EFE">
        <w:rPr>
          <w:rFonts w:ascii="Times New Roman" w:eastAsia="Times New Roman" w:hAnsi="Times New Roman" w:cs="Times New Roman"/>
          <w:color w:val="auto"/>
          <w:vertAlign w:val="superscript"/>
        </w:rPr>
        <w:footnoteReference w:id="194"/>
      </w:r>
    </w:p>
    <w:p w14:paraId="4DA1EE10" w14:textId="77777777" w:rsidR="00D70F60" w:rsidRPr="00D52EFE" w:rsidRDefault="00D70F60" w:rsidP="00C86397">
      <w:pPr>
        <w:widowControl w:val="0"/>
        <w:rPr>
          <w:rFonts w:ascii="Times New Roman" w:eastAsia="Times New Roman" w:hAnsi="Times New Roman" w:cs="Times New Roman"/>
          <w:color w:val="auto"/>
        </w:rPr>
      </w:pPr>
    </w:p>
    <w:p w14:paraId="5836C469" w14:textId="19D1F6D4" w:rsidR="00D70F60" w:rsidRPr="00D52EFE" w:rsidRDefault="00D70AD8" w:rsidP="00C86397">
      <w:pPr>
        <w:widowControl w:val="0"/>
        <w:rPr>
          <w:rFonts w:ascii="Times New Roman" w:eastAsia="Times New Roman" w:hAnsi="Times New Roman" w:cs="Times New Roman"/>
          <w:color w:val="auto"/>
        </w:rPr>
      </w:pPr>
      <w:r w:rsidRPr="00D52EFE">
        <w:rPr>
          <w:rFonts w:ascii="Times New Roman" w:eastAsia="Times New Roman" w:hAnsi="Times New Roman" w:cs="Times New Roman"/>
          <w:color w:val="auto"/>
        </w:rPr>
        <w:t>Strangely, p</w:t>
      </w:r>
      <w:r w:rsidR="000B5581" w:rsidRPr="00D52EFE">
        <w:rPr>
          <w:rFonts w:ascii="Times New Roman" w:eastAsia="Times New Roman" w:hAnsi="Times New Roman" w:cs="Times New Roman"/>
          <w:color w:val="auto"/>
        </w:rPr>
        <w:t>arties operating authentication procedures do not seem</w:t>
      </w:r>
      <w:r w:rsidRPr="00D52EFE">
        <w:rPr>
          <w:rFonts w:ascii="Times New Roman" w:eastAsia="Times New Roman" w:hAnsi="Times New Roman" w:cs="Times New Roman"/>
          <w:color w:val="auto"/>
        </w:rPr>
        <w:t xml:space="preserve"> </w:t>
      </w:r>
      <w:r w:rsidR="00A31870" w:rsidRPr="00D52EFE">
        <w:rPr>
          <w:rFonts w:ascii="Times New Roman" w:eastAsia="Times New Roman" w:hAnsi="Times New Roman" w:cs="Times New Roman"/>
          <w:color w:val="auto"/>
        </w:rPr>
        <w:t xml:space="preserve">to </w:t>
      </w:r>
      <w:r w:rsidR="000B5581" w:rsidRPr="00D52EFE">
        <w:rPr>
          <w:rFonts w:ascii="Times New Roman" w:eastAsia="Times New Roman" w:hAnsi="Times New Roman" w:cs="Times New Roman"/>
          <w:color w:val="auto"/>
        </w:rPr>
        <w:t>be subject to any</w:t>
      </w:r>
      <w:r w:rsidR="00D02B7D" w:rsidRPr="00D52EFE">
        <w:rPr>
          <w:rFonts w:ascii="Times New Roman" w:eastAsia="Times New Roman" w:hAnsi="Times New Roman" w:cs="Times New Roman"/>
          <w:color w:val="auto"/>
        </w:rPr>
        <w:t xml:space="preserve"> specific</w:t>
      </w:r>
      <w:r w:rsidR="000B5581" w:rsidRPr="00D52EFE">
        <w:rPr>
          <w:rFonts w:ascii="Times New Roman" w:eastAsia="Times New Roman" w:hAnsi="Times New Roman" w:cs="Times New Roman"/>
          <w:color w:val="auto"/>
        </w:rPr>
        <w:t xml:space="preserve"> obligation or duty. </w:t>
      </w:r>
    </w:p>
    <w:p w14:paraId="4819DFDD" w14:textId="77777777" w:rsidR="00D70F60" w:rsidRPr="00D52EFE" w:rsidRDefault="00D70F60" w:rsidP="00C86397">
      <w:pPr>
        <w:widowControl w:val="0"/>
        <w:rPr>
          <w:rFonts w:ascii="Times New Roman" w:eastAsia="Times New Roman" w:hAnsi="Times New Roman" w:cs="Times New Roman"/>
          <w:color w:val="auto"/>
        </w:rPr>
      </w:pPr>
    </w:p>
    <w:p w14:paraId="23ADF475" w14:textId="68CF039F" w:rsidR="00D70F60" w:rsidRPr="00D52EFE" w:rsidRDefault="00D02B7D" w:rsidP="00C86397">
      <w:pPr>
        <w:widowControl w:val="0"/>
        <w:rPr>
          <w:rFonts w:ascii="Times New Roman" w:eastAsia="Times New Roman" w:hAnsi="Times New Roman" w:cs="Times New Roman"/>
          <w:color w:val="auto"/>
        </w:rPr>
      </w:pPr>
      <w:r w:rsidRPr="00D52EFE">
        <w:rPr>
          <w:rFonts w:ascii="Times New Roman" w:eastAsia="Times New Roman" w:hAnsi="Times New Roman" w:cs="Times New Roman"/>
          <w:color w:val="auto"/>
        </w:rPr>
        <w:t>Parties issuing</w:t>
      </w:r>
      <w:r w:rsidR="000B5581" w:rsidRPr="00D52EFE">
        <w:rPr>
          <w:rFonts w:ascii="Times New Roman" w:eastAsia="Times New Roman" w:hAnsi="Times New Roman" w:cs="Times New Roman"/>
          <w:color w:val="auto"/>
        </w:rPr>
        <w:t xml:space="preserve"> </w:t>
      </w:r>
      <w:r w:rsidR="00D22333" w:rsidRPr="00D52EFE">
        <w:rPr>
          <w:rFonts w:ascii="Times New Roman" w:eastAsia="Times New Roman" w:hAnsi="Times New Roman" w:cs="Times New Roman"/>
          <w:color w:val="auto"/>
        </w:rPr>
        <w:t>eID</w:t>
      </w:r>
      <w:r w:rsidR="000B5581" w:rsidRPr="00D52EFE">
        <w:rPr>
          <w:rFonts w:ascii="Times New Roman" w:eastAsia="Times New Roman" w:hAnsi="Times New Roman" w:cs="Times New Roman"/>
          <w:color w:val="auto"/>
        </w:rPr>
        <w:t xml:space="preserve"> means shall ensure: </w:t>
      </w:r>
    </w:p>
    <w:p w14:paraId="6387F7CE" w14:textId="77777777" w:rsidR="00D70F60" w:rsidRPr="00D52EFE" w:rsidRDefault="00D70F60" w:rsidP="00C86397">
      <w:pPr>
        <w:widowControl w:val="0"/>
        <w:rPr>
          <w:rFonts w:ascii="Times New Roman" w:eastAsia="Times New Roman" w:hAnsi="Times New Roman" w:cs="Times New Roman"/>
          <w:color w:val="auto"/>
        </w:rPr>
      </w:pPr>
    </w:p>
    <w:p w14:paraId="723A88BA" w14:textId="77777777" w:rsidR="00D70F60" w:rsidRPr="00D52EFE" w:rsidRDefault="000B5581" w:rsidP="00C86397">
      <w:pPr>
        <w:widowControl w:val="0"/>
        <w:numPr>
          <w:ilvl w:val="0"/>
          <w:numId w:val="6"/>
        </w:numPr>
        <w:contextualSpacing/>
        <w:rPr>
          <w:rFonts w:ascii="Times New Roman" w:eastAsia="Times New Roman" w:hAnsi="Times New Roman" w:cs="Times New Roman"/>
          <w:color w:val="auto"/>
        </w:rPr>
      </w:pPr>
      <w:r w:rsidRPr="00D52EFE">
        <w:rPr>
          <w:rFonts w:ascii="Times New Roman" w:eastAsia="Times New Roman" w:hAnsi="Times New Roman" w:cs="Times New Roman"/>
          <w:i/>
          <w:color w:val="auto"/>
        </w:rPr>
        <w:t>the electronic identification means is attributed to the person referred to in point (d) of this Article in accordance with the technical specifications, standards and procedures for the relevant assurance level set out in the implementing act referred to in Article 8(3);</w:t>
      </w:r>
      <w:r w:rsidRPr="00D52EFE">
        <w:rPr>
          <w:rFonts w:ascii="Times New Roman" w:eastAsia="Times New Roman" w:hAnsi="Times New Roman" w:cs="Times New Roman"/>
          <w:color w:val="auto"/>
          <w:vertAlign w:val="superscript"/>
        </w:rPr>
        <w:footnoteReference w:id="195"/>
      </w:r>
    </w:p>
    <w:p w14:paraId="4A9C412E" w14:textId="77777777" w:rsidR="00D70F60" w:rsidRPr="00D52EFE" w:rsidRDefault="00D70F60" w:rsidP="00C86397">
      <w:pPr>
        <w:rPr>
          <w:rFonts w:ascii="Times New Roman" w:eastAsia="Times New Roman" w:hAnsi="Times New Roman" w:cs="Times New Roman"/>
          <w:color w:val="auto"/>
        </w:rPr>
      </w:pPr>
    </w:p>
    <w:p w14:paraId="487C31FF" w14:textId="10173D39" w:rsidR="006E70B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 afore description confirms that </w:t>
      </w:r>
      <w:r w:rsidR="00DC2BF9" w:rsidRPr="00D52EFE">
        <w:rPr>
          <w:rFonts w:ascii="Times New Roman" w:eastAsia="Times New Roman" w:hAnsi="Times New Roman" w:cs="Times New Roman"/>
          <w:color w:val="auto"/>
        </w:rPr>
        <w:t xml:space="preserve">the obligations and duties of </w:t>
      </w:r>
      <w:r w:rsidRPr="00D52EFE">
        <w:rPr>
          <w:rFonts w:ascii="Times New Roman" w:eastAsia="Times New Roman" w:hAnsi="Times New Roman" w:cs="Times New Roman"/>
          <w:color w:val="auto"/>
        </w:rPr>
        <w:t xml:space="preserve">eIDAS </w:t>
      </w:r>
      <w:r w:rsidR="00DC2BF9" w:rsidRPr="00D52EFE">
        <w:rPr>
          <w:rFonts w:ascii="Times New Roman" w:eastAsia="Times New Roman" w:hAnsi="Times New Roman" w:cs="Times New Roman"/>
          <w:color w:val="auto"/>
        </w:rPr>
        <w:t xml:space="preserve">actors are broadly formulated and not necessarily </w:t>
      </w:r>
      <w:r w:rsidR="009C2646">
        <w:rPr>
          <w:rFonts w:ascii="Times New Roman" w:eastAsia="Times New Roman" w:hAnsi="Times New Roman" w:cs="Times New Roman"/>
          <w:color w:val="auto"/>
        </w:rPr>
        <w:t xml:space="preserve">data </w:t>
      </w:r>
      <w:r w:rsidR="0049794F" w:rsidRPr="00D52EFE">
        <w:rPr>
          <w:rFonts w:ascii="Times New Roman" w:eastAsia="Times New Roman" w:hAnsi="Times New Roman" w:cs="Times New Roman"/>
          <w:color w:val="auto"/>
        </w:rPr>
        <w:t>protection related</w:t>
      </w:r>
      <w:r w:rsidR="00DC2BF9" w:rsidRPr="00D52EFE">
        <w:rPr>
          <w:rFonts w:ascii="Times New Roman" w:eastAsia="Times New Roman" w:hAnsi="Times New Roman" w:cs="Times New Roman"/>
          <w:color w:val="auto"/>
        </w:rPr>
        <w:t xml:space="preserve"> but do cover personal data processing activities</w:t>
      </w:r>
      <w:r w:rsidRPr="00D52EFE">
        <w:rPr>
          <w:rFonts w:ascii="Times New Roman" w:eastAsia="Times New Roman" w:hAnsi="Times New Roman" w:cs="Times New Roman"/>
          <w:color w:val="auto"/>
        </w:rPr>
        <w:t xml:space="preserve">. </w:t>
      </w:r>
      <w:r w:rsidR="00A51F55" w:rsidRPr="00D52EFE">
        <w:rPr>
          <w:rFonts w:ascii="Times New Roman" w:eastAsia="Times New Roman" w:hAnsi="Times New Roman" w:cs="Times New Roman"/>
          <w:color w:val="auto"/>
        </w:rPr>
        <w:t xml:space="preserve">In this sense, the domain </w:t>
      </w:r>
      <w:r w:rsidR="00A51F55" w:rsidRPr="00D52EFE">
        <w:rPr>
          <w:rFonts w:ascii="Times New Roman" w:eastAsia="Times New Roman" w:hAnsi="Times New Roman" w:cs="Times New Roman"/>
          <w:i/>
          <w:color w:val="auto"/>
        </w:rPr>
        <w:t>rationae materiae</w:t>
      </w:r>
      <w:r w:rsidR="00A51F55" w:rsidRPr="00D52EFE">
        <w:rPr>
          <w:rFonts w:ascii="Times New Roman" w:eastAsia="Times New Roman" w:hAnsi="Times New Roman" w:cs="Times New Roman"/>
          <w:color w:val="auto"/>
        </w:rPr>
        <w:t xml:space="preserve"> of eIDAS seems broader in scope than the domain of the GDPR. </w:t>
      </w:r>
      <w:r w:rsidR="00DC2BF9" w:rsidRPr="00D52EFE">
        <w:rPr>
          <w:rFonts w:ascii="Times New Roman" w:eastAsia="Times New Roman" w:hAnsi="Times New Roman" w:cs="Times New Roman"/>
          <w:color w:val="auto"/>
        </w:rPr>
        <w:t xml:space="preserve">At the same time, eIDAS is narrower in scope </w:t>
      </w:r>
      <w:r w:rsidR="00A51F55" w:rsidRPr="00D52EFE">
        <w:rPr>
          <w:rFonts w:ascii="Times New Roman" w:eastAsia="Times New Roman" w:hAnsi="Times New Roman" w:cs="Times New Roman"/>
          <w:color w:val="auto"/>
        </w:rPr>
        <w:t>(</w:t>
      </w:r>
      <w:r w:rsidR="00A51F55" w:rsidRPr="00D52EFE">
        <w:rPr>
          <w:rFonts w:ascii="Times New Roman" w:eastAsia="Times New Roman" w:hAnsi="Times New Roman" w:cs="Times New Roman"/>
          <w:i/>
          <w:color w:val="auto"/>
        </w:rPr>
        <w:t>rationae personae</w:t>
      </w:r>
      <w:r w:rsidR="00A51F55" w:rsidRPr="00D52EFE">
        <w:rPr>
          <w:rFonts w:ascii="Times New Roman" w:eastAsia="Times New Roman" w:hAnsi="Times New Roman" w:cs="Times New Roman"/>
          <w:color w:val="auto"/>
        </w:rPr>
        <w:t xml:space="preserve">) </w:t>
      </w:r>
      <w:r w:rsidR="00DC2BF9" w:rsidRPr="00D52EFE">
        <w:rPr>
          <w:rFonts w:ascii="Times New Roman" w:eastAsia="Times New Roman" w:hAnsi="Times New Roman" w:cs="Times New Roman"/>
          <w:color w:val="auto"/>
        </w:rPr>
        <w:t xml:space="preserve">than the GDPR in that it only targets three types of actors. </w:t>
      </w:r>
      <w:r w:rsidR="00284A88" w:rsidRPr="00D52EFE">
        <w:rPr>
          <w:rFonts w:ascii="Times New Roman" w:eastAsia="Times New Roman" w:hAnsi="Times New Roman" w:cs="Times New Roman"/>
          <w:color w:val="auto"/>
        </w:rPr>
        <w:t xml:space="preserve">As eIDAS makes compliance with EU data protection law a requirement for both electronic identification and trust services as per Article 5, there is no reason why the key tenets of EU data protection should not be applied in this context and in particular the doctrine of joint controllership, although this raises question of compatibility between GDPR Article 26 and 82 and eIDAS Article 11. </w:t>
      </w:r>
    </w:p>
    <w:p w14:paraId="4F127EEF" w14:textId="77777777" w:rsidR="006E70B0" w:rsidRPr="00D52EFE" w:rsidRDefault="006E70B0" w:rsidP="00C86397">
      <w:pPr>
        <w:rPr>
          <w:rFonts w:ascii="Times New Roman" w:eastAsia="Times New Roman" w:hAnsi="Times New Roman" w:cs="Times New Roman"/>
          <w:color w:val="auto"/>
        </w:rPr>
      </w:pPr>
    </w:p>
    <w:p w14:paraId="66CDA6E9" w14:textId="77777777" w:rsidR="00D70F60" w:rsidRPr="00D52EFE" w:rsidRDefault="00D70F60" w:rsidP="00C86397">
      <w:pPr>
        <w:rPr>
          <w:rFonts w:ascii="Times New Roman" w:eastAsia="Times New Roman" w:hAnsi="Times New Roman" w:cs="Times New Roman"/>
          <w:color w:val="auto"/>
        </w:rPr>
      </w:pPr>
    </w:p>
    <w:p w14:paraId="06161994" w14:textId="28B6C87F" w:rsidR="00D70F60" w:rsidRPr="00D52EFE" w:rsidRDefault="00036ABA" w:rsidP="007C694F">
      <w:pPr>
        <w:pStyle w:val="Heading3"/>
        <w:numPr>
          <w:ilvl w:val="0"/>
          <w:numId w:val="0"/>
        </w:numPr>
        <w:jc w:val="left"/>
        <w:rPr>
          <w:b/>
          <w:color w:val="auto"/>
          <w:sz w:val="22"/>
          <w:szCs w:val="22"/>
        </w:rPr>
      </w:pPr>
      <w:bookmarkStart w:id="57" w:name="_t0h7rx6kkc29" w:colFirst="0" w:colLast="0"/>
      <w:bookmarkStart w:id="58" w:name="_Toc495674486"/>
      <w:bookmarkEnd w:id="57"/>
      <w:r>
        <w:rPr>
          <w:b/>
          <w:color w:val="auto"/>
          <w:sz w:val="22"/>
          <w:szCs w:val="22"/>
        </w:rPr>
        <w:t>4.3</w:t>
      </w:r>
      <w:r w:rsidR="007C694F" w:rsidRPr="00D52EFE">
        <w:rPr>
          <w:b/>
          <w:color w:val="auto"/>
          <w:sz w:val="22"/>
          <w:szCs w:val="22"/>
        </w:rPr>
        <w:t>.</w:t>
      </w:r>
      <w:r w:rsidR="007C694F" w:rsidRPr="00D52EFE">
        <w:rPr>
          <w:b/>
          <w:color w:val="auto"/>
          <w:sz w:val="22"/>
          <w:szCs w:val="22"/>
        </w:rPr>
        <w:tab/>
      </w:r>
      <w:r w:rsidR="000B5581" w:rsidRPr="00D52EFE">
        <w:rPr>
          <w:b/>
          <w:color w:val="auto"/>
          <w:sz w:val="22"/>
          <w:szCs w:val="22"/>
        </w:rPr>
        <w:t>Gov</w:t>
      </w:r>
      <w:r w:rsidR="00572813" w:rsidRPr="00D52EFE">
        <w:rPr>
          <w:b/>
          <w:color w:val="auto"/>
          <w:sz w:val="22"/>
          <w:szCs w:val="22"/>
        </w:rPr>
        <w:t>.</w:t>
      </w:r>
      <w:r w:rsidR="005524FC" w:rsidRPr="00D52EFE">
        <w:rPr>
          <w:b/>
          <w:color w:val="auto"/>
          <w:sz w:val="22"/>
          <w:szCs w:val="22"/>
        </w:rPr>
        <w:t>UK Verify and its segregation of roles and responsibilities</w:t>
      </w:r>
      <w:bookmarkEnd w:id="58"/>
      <w:r w:rsidR="00572813" w:rsidRPr="00D52EFE">
        <w:rPr>
          <w:b/>
          <w:color w:val="auto"/>
          <w:sz w:val="22"/>
          <w:szCs w:val="22"/>
        </w:rPr>
        <w:t xml:space="preserve"> </w:t>
      </w:r>
    </w:p>
    <w:p w14:paraId="391E9AAE" w14:textId="77777777" w:rsidR="007C694F" w:rsidRPr="00D52EFE" w:rsidRDefault="007C694F" w:rsidP="007C694F">
      <w:pPr>
        <w:rPr>
          <w:rFonts w:ascii="Times New Roman" w:hAnsi="Times New Roman" w:cs="Times New Roman"/>
          <w:color w:val="auto"/>
        </w:rPr>
      </w:pPr>
    </w:p>
    <w:p w14:paraId="18DFF917" w14:textId="51127D5A"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It is true that the</w:t>
      </w:r>
      <w:r w:rsidR="00323973" w:rsidRPr="00D52EFE">
        <w:rPr>
          <w:rFonts w:ascii="Times New Roman" w:eastAsia="Times New Roman" w:hAnsi="Times New Roman" w:cs="Times New Roman"/>
          <w:color w:val="auto"/>
        </w:rPr>
        <w:t xml:space="preserve"> Verify</w:t>
      </w:r>
      <w:r w:rsidRPr="00D52EFE">
        <w:rPr>
          <w:rFonts w:ascii="Times New Roman" w:eastAsia="Times New Roman" w:hAnsi="Times New Roman" w:cs="Times New Roman"/>
          <w:color w:val="auto"/>
        </w:rPr>
        <w:t xml:space="preserve"> DPIA attempts to distinguish between two types of purposes in order to </w:t>
      </w:r>
      <w:r w:rsidR="00697B59" w:rsidRPr="00D52EFE">
        <w:rPr>
          <w:rFonts w:ascii="Times New Roman" w:eastAsia="Times New Roman" w:hAnsi="Times New Roman" w:cs="Times New Roman"/>
          <w:color w:val="auto"/>
        </w:rPr>
        <w:t xml:space="preserve">then </w:t>
      </w:r>
      <w:r w:rsidRPr="00D52EFE">
        <w:rPr>
          <w:rFonts w:ascii="Times New Roman" w:eastAsia="Times New Roman" w:hAnsi="Times New Roman" w:cs="Times New Roman"/>
          <w:color w:val="auto"/>
        </w:rPr>
        <w:t xml:space="preserve">distinguish the processing activities of identity providers-certified companies from the processing activities of GDS. It is explained that </w:t>
      </w:r>
      <w:r w:rsidRPr="00D52EFE">
        <w:rPr>
          <w:rFonts w:ascii="Times New Roman" w:eastAsia="Times New Roman" w:hAnsi="Times New Roman" w:cs="Times New Roman"/>
          <w:i/>
          <w:color w:val="auto"/>
        </w:rPr>
        <w:t>“GDS will process personal data for the purpose of matching Service Users to Government Service records.”</w:t>
      </w:r>
      <w:r w:rsidRPr="00D52EFE">
        <w:rPr>
          <w:rFonts w:ascii="Times New Roman" w:eastAsia="Times New Roman" w:hAnsi="Times New Roman" w:cs="Times New Roman"/>
          <w:color w:val="auto"/>
          <w:vertAlign w:val="superscript"/>
        </w:rPr>
        <w:footnoteReference w:id="196"/>
      </w:r>
      <w:r w:rsidRPr="00D52EFE">
        <w:rPr>
          <w:rFonts w:ascii="Times New Roman" w:eastAsia="Times New Roman" w:hAnsi="Times New Roman" w:cs="Times New Roman"/>
          <w:color w:val="auto"/>
        </w:rPr>
        <w:t xml:space="preserve"> At the same time, </w:t>
      </w:r>
      <w:r w:rsidRPr="00D52EFE">
        <w:rPr>
          <w:rFonts w:ascii="Times New Roman" w:eastAsia="Times New Roman" w:hAnsi="Times New Roman" w:cs="Times New Roman"/>
          <w:i/>
          <w:color w:val="auto"/>
        </w:rPr>
        <w:t>“</w:t>
      </w:r>
      <w:r w:rsidRPr="00D52EFE">
        <w:rPr>
          <w:rFonts w:ascii="Times New Roman" w:eastAsia="Times New Roman" w:hAnsi="Times New Roman" w:cs="Times New Roman"/>
          <w:color w:val="auto"/>
        </w:rPr>
        <w:t>[p]</w:t>
      </w:r>
      <w:r w:rsidRPr="00D52EFE">
        <w:rPr>
          <w:rFonts w:ascii="Times New Roman" w:eastAsia="Times New Roman" w:hAnsi="Times New Roman" w:cs="Times New Roman"/>
          <w:i/>
          <w:color w:val="auto"/>
        </w:rPr>
        <w:t>urposes for Certified Companies processing personal data are defined within the procurement documentation, and Certified Companies are obliged to clearly state purposes in their privacy notices.”</w:t>
      </w:r>
      <w:r w:rsidRPr="00D52EFE">
        <w:rPr>
          <w:rFonts w:ascii="Times New Roman" w:eastAsia="Times New Roman" w:hAnsi="Times New Roman" w:cs="Times New Roman"/>
          <w:color w:val="auto"/>
          <w:vertAlign w:val="superscript"/>
        </w:rPr>
        <w:footnoteReference w:id="197"/>
      </w:r>
      <w:r w:rsidRPr="00D52EFE">
        <w:rPr>
          <w:rFonts w:ascii="Times New Roman" w:eastAsia="Times New Roman" w:hAnsi="Times New Roman" w:cs="Times New Roman"/>
          <w:color w:val="auto"/>
        </w:rPr>
        <w:t xml:space="preserve"> This seems to explain or justify why identity providers and GDS are both data controllers</w:t>
      </w:r>
      <w:r w:rsidR="005773EC">
        <w:rPr>
          <w:rFonts w:ascii="Times New Roman" w:eastAsia="Times New Roman" w:hAnsi="Times New Roman" w:cs="Times New Roman"/>
          <w:color w:val="auto"/>
        </w:rPr>
        <w:t>. Yet,</w:t>
      </w:r>
      <w:r w:rsidRPr="00D52EFE">
        <w:rPr>
          <w:rFonts w:ascii="Times New Roman" w:eastAsia="Times New Roman" w:hAnsi="Times New Roman" w:cs="Times New Roman"/>
          <w:color w:val="auto"/>
        </w:rPr>
        <w:t xml:space="preserve"> for their respective processing </w:t>
      </w:r>
      <w:r w:rsidR="00ED2A5D" w:rsidRPr="00D52EFE">
        <w:rPr>
          <w:rFonts w:ascii="Times New Roman" w:eastAsia="Times New Roman" w:hAnsi="Times New Roman" w:cs="Times New Roman"/>
          <w:color w:val="auto"/>
        </w:rPr>
        <w:t>activities,</w:t>
      </w:r>
      <w:r w:rsidRPr="00D52EFE">
        <w:rPr>
          <w:rFonts w:ascii="Times New Roman" w:eastAsia="Times New Roman" w:hAnsi="Times New Roman" w:cs="Times New Roman"/>
          <w:color w:val="auto"/>
        </w:rPr>
        <w:t xml:space="preserve"> a distinct legal basis </w:t>
      </w:r>
      <w:r w:rsidR="005773EC">
        <w:rPr>
          <w:rFonts w:ascii="Times New Roman" w:eastAsia="Times New Roman" w:hAnsi="Times New Roman" w:cs="Times New Roman"/>
          <w:color w:val="auto"/>
        </w:rPr>
        <w:t xml:space="preserve">is </w:t>
      </w:r>
      <w:r w:rsidRPr="00D52EFE">
        <w:rPr>
          <w:rFonts w:ascii="Times New Roman" w:eastAsia="Times New Roman" w:hAnsi="Times New Roman" w:cs="Times New Roman"/>
          <w:color w:val="auto"/>
        </w:rPr>
        <w:t>identified.</w:t>
      </w:r>
    </w:p>
    <w:p w14:paraId="6363B547" w14:textId="77777777" w:rsidR="00D70F60" w:rsidRPr="00D52EFE" w:rsidRDefault="00D70F60" w:rsidP="00C86397">
      <w:pPr>
        <w:rPr>
          <w:rFonts w:ascii="Times New Roman" w:eastAsia="Times New Roman" w:hAnsi="Times New Roman" w:cs="Times New Roman"/>
          <w:color w:val="auto"/>
        </w:rPr>
      </w:pPr>
    </w:p>
    <w:p w14:paraId="032E6167" w14:textId="399C7312" w:rsidR="00D70F60" w:rsidRPr="00D52EFE" w:rsidRDefault="005773EC" w:rsidP="00C86397">
      <w:pPr>
        <w:rPr>
          <w:rFonts w:ascii="Times New Roman" w:eastAsia="Times New Roman" w:hAnsi="Times New Roman" w:cs="Times New Roman"/>
          <w:color w:val="auto"/>
        </w:rPr>
      </w:pPr>
      <w:r>
        <w:rPr>
          <w:rFonts w:ascii="Times New Roman" w:eastAsia="Times New Roman" w:hAnsi="Times New Roman" w:cs="Times New Roman"/>
          <w:color w:val="auto"/>
        </w:rPr>
        <w:t>A</w:t>
      </w:r>
      <w:r w:rsidR="00697B59" w:rsidRPr="00D52EFE">
        <w:rPr>
          <w:rFonts w:ascii="Times New Roman" w:eastAsia="Times New Roman" w:hAnsi="Times New Roman" w:cs="Times New Roman"/>
          <w:color w:val="auto"/>
        </w:rPr>
        <w:t xml:space="preserve"> careful analysis of both the Framework A</w:t>
      </w:r>
      <w:r w:rsidR="000B5581" w:rsidRPr="00D52EFE">
        <w:rPr>
          <w:rFonts w:ascii="Times New Roman" w:eastAsia="Times New Roman" w:hAnsi="Times New Roman" w:cs="Times New Roman"/>
          <w:color w:val="auto"/>
        </w:rPr>
        <w:t xml:space="preserve">greement and the reality of the practices show that the different processing activities are better described as a set of processing activities aimed at a common purpose: authentication. </w:t>
      </w:r>
    </w:p>
    <w:p w14:paraId="255B6285" w14:textId="77777777" w:rsidR="00D70F60" w:rsidRPr="00D52EFE" w:rsidRDefault="00D70F60" w:rsidP="00C86397">
      <w:pPr>
        <w:rPr>
          <w:rFonts w:ascii="Times New Roman" w:eastAsia="Times New Roman" w:hAnsi="Times New Roman" w:cs="Times New Roman"/>
          <w:color w:val="auto"/>
        </w:rPr>
      </w:pPr>
    </w:p>
    <w:p w14:paraId="64F5B85C" w14:textId="77777777" w:rsidR="00697B59"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lastRenderedPageBreak/>
        <w:t>While contractual arrangements are a useful tool to characterise the situation at hand, this does not mean that the qualifications retained by the parties shou</w:t>
      </w:r>
      <w:r w:rsidR="00323973" w:rsidRPr="00D52EFE">
        <w:rPr>
          <w:rFonts w:ascii="Times New Roman" w:eastAsia="Times New Roman" w:hAnsi="Times New Roman" w:cs="Times New Roman"/>
          <w:color w:val="auto"/>
        </w:rPr>
        <w:t>ld necessarily remain</w:t>
      </w:r>
      <w:r w:rsidRPr="00D52EFE">
        <w:rPr>
          <w:rFonts w:ascii="Times New Roman" w:eastAsia="Times New Roman" w:hAnsi="Times New Roman" w:cs="Times New Roman"/>
          <w:color w:val="auto"/>
        </w:rPr>
        <w:t>. These qualifications should be confronted with the factual arrangement of the relationship.</w:t>
      </w:r>
      <w:r w:rsidRPr="00D52EFE">
        <w:rPr>
          <w:rFonts w:ascii="Times New Roman" w:eastAsia="Times New Roman" w:hAnsi="Times New Roman" w:cs="Times New Roman"/>
          <w:color w:val="auto"/>
          <w:vertAlign w:val="superscript"/>
        </w:rPr>
        <w:footnoteReference w:id="198"/>
      </w:r>
      <w:r w:rsidRPr="00D52EFE">
        <w:rPr>
          <w:rFonts w:ascii="Times New Roman" w:eastAsia="Times New Roman" w:hAnsi="Times New Roman" w:cs="Times New Roman"/>
          <w:color w:val="auto"/>
        </w:rPr>
        <w:t xml:space="preserve"> </w:t>
      </w:r>
    </w:p>
    <w:p w14:paraId="6EF53289" w14:textId="77777777" w:rsidR="00697B59" w:rsidRPr="00D52EFE" w:rsidRDefault="00697B59" w:rsidP="00C86397">
      <w:pPr>
        <w:rPr>
          <w:rFonts w:ascii="Times New Roman" w:eastAsia="Times New Roman" w:hAnsi="Times New Roman" w:cs="Times New Roman"/>
          <w:color w:val="auto"/>
        </w:rPr>
      </w:pPr>
    </w:p>
    <w:p w14:paraId="3DDF4157" w14:textId="378F54E0" w:rsidR="00D70F60" w:rsidRPr="00D52EFE" w:rsidRDefault="00697B59"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Framework A</w:t>
      </w:r>
      <w:r w:rsidR="000B5581" w:rsidRPr="00D52EFE">
        <w:rPr>
          <w:rFonts w:ascii="Times New Roman" w:eastAsia="Times New Roman" w:hAnsi="Times New Roman" w:cs="Times New Roman"/>
          <w:color w:val="auto"/>
        </w:rPr>
        <w:t xml:space="preserve">greement, as aforementioned, specifies the purposes for the processing in its schedule 2(a) on services description: </w:t>
      </w:r>
      <w:r w:rsidR="0049794F" w:rsidRPr="00D52EFE">
        <w:rPr>
          <w:rFonts w:ascii="Times New Roman" w:eastAsia="Times New Roman" w:hAnsi="Times New Roman" w:cs="Times New Roman"/>
          <w:color w:val="auto"/>
        </w:rPr>
        <w:t xml:space="preserve">to </w:t>
      </w:r>
      <w:r w:rsidR="000B5581" w:rsidRPr="00D52EFE">
        <w:rPr>
          <w:rFonts w:ascii="Times New Roman" w:eastAsia="Times New Roman" w:hAnsi="Times New Roman" w:cs="Times New Roman"/>
          <w:i/>
          <w:color w:val="auto"/>
        </w:rPr>
        <w:t>“provide the following online identity assurance services to users seeking to access any HMG Service, with the objective of allowing them to prove that they are who they claim to be to defined levels of assurance.”</w:t>
      </w:r>
      <w:r w:rsidR="000B5581" w:rsidRPr="00D52EFE">
        <w:rPr>
          <w:rFonts w:ascii="Times New Roman" w:eastAsia="Times New Roman" w:hAnsi="Times New Roman" w:cs="Times New Roman"/>
          <w:color w:val="auto"/>
          <w:vertAlign w:val="superscript"/>
        </w:rPr>
        <w:footnoteReference w:id="199"/>
      </w:r>
      <w:r w:rsidR="000B5581" w:rsidRPr="00D52EFE">
        <w:rPr>
          <w:rFonts w:ascii="Times New Roman" w:eastAsia="Times New Roman" w:hAnsi="Times New Roman" w:cs="Times New Roman"/>
          <w:color w:val="auto"/>
        </w:rPr>
        <w:t xml:space="preserve"> </w:t>
      </w:r>
    </w:p>
    <w:p w14:paraId="38DA79DA" w14:textId="77777777" w:rsidR="00D70F60" w:rsidRPr="00D52EFE" w:rsidRDefault="00D70F60" w:rsidP="00C86397">
      <w:pPr>
        <w:rPr>
          <w:rFonts w:ascii="Times New Roman" w:eastAsia="Times New Roman" w:hAnsi="Times New Roman" w:cs="Times New Roman"/>
          <w:color w:val="auto"/>
        </w:rPr>
      </w:pPr>
    </w:p>
    <w:p w14:paraId="30817278" w14:textId="71CF568F" w:rsidR="00D70F60" w:rsidRPr="00D52EFE" w:rsidRDefault="00697B59"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From </w:t>
      </w:r>
      <w:r w:rsidR="000B5581" w:rsidRPr="00D52EFE">
        <w:rPr>
          <w:rFonts w:ascii="Times New Roman" w:eastAsia="Times New Roman" w:hAnsi="Times New Roman" w:cs="Times New Roman"/>
          <w:color w:val="auto"/>
        </w:rPr>
        <w:t xml:space="preserve">the perspective of service users, </w:t>
      </w:r>
      <w:r w:rsidR="00A338CE" w:rsidRPr="00D52EFE">
        <w:rPr>
          <w:rFonts w:ascii="Times New Roman" w:eastAsia="Times New Roman" w:hAnsi="Times New Roman" w:cs="Times New Roman"/>
          <w:i/>
          <w:color w:val="auto"/>
        </w:rPr>
        <w:t>i.e.</w:t>
      </w:r>
      <w:r w:rsidR="0049794F" w:rsidRPr="00D52EFE">
        <w:rPr>
          <w:rFonts w:ascii="Times New Roman" w:eastAsia="Times New Roman" w:hAnsi="Times New Roman" w:cs="Times New Roman"/>
          <w:color w:val="auto"/>
        </w:rPr>
        <w:t xml:space="preserve"> </w:t>
      </w:r>
      <w:r w:rsidR="000B5581" w:rsidRPr="00D52EFE">
        <w:rPr>
          <w:rFonts w:ascii="Times New Roman" w:eastAsia="Times New Roman" w:hAnsi="Times New Roman" w:cs="Times New Roman"/>
          <w:color w:val="auto"/>
        </w:rPr>
        <w:t xml:space="preserve">data subjects, it </w:t>
      </w:r>
      <w:r w:rsidR="00781D05" w:rsidRPr="00D52EFE">
        <w:rPr>
          <w:rFonts w:ascii="Times New Roman" w:eastAsia="Times New Roman" w:hAnsi="Times New Roman" w:cs="Times New Roman"/>
          <w:color w:val="auto"/>
        </w:rPr>
        <w:t>would</w:t>
      </w:r>
      <w:r w:rsidRPr="00D52EFE">
        <w:rPr>
          <w:rFonts w:ascii="Times New Roman" w:eastAsia="Times New Roman" w:hAnsi="Times New Roman" w:cs="Times New Roman"/>
          <w:color w:val="auto"/>
        </w:rPr>
        <w:t xml:space="preserve"> thus appear</w:t>
      </w:r>
      <w:r w:rsidR="000B5581" w:rsidRPr="00D52EFE">
        <w:rPr>
          <w:rFonts w:ascii="Times New Roman" w:eastAsia="Times New Roman" w:hAnsi="Times New Roman" w:cs="Times New Roman"/>
          <w:color w:val="auto"/>
        </w:rPr>
        <w:t xml:space="preserve"> artificial to distinguish between the processing undertaken by identity providers, GDS and (government) service providers. The three types of processing activities aim to ensure the realisation of one process: authentication for communicating with a (government) service provider.</w:t>
      </w:r>
      <w:r w:rsidRPr="00D52EFE">
        <w:rPr>
          <w:rFonts w:ascii="Times New Roman" w:eastAsia="Times New Roman" w:hAnsi="Times New Roman" w:cs="Times New Roman"/>
          <w:color w:val="auto"/>
        </w:rPr>
        <w:t xml:space="preserve"> </w:t>
      </w:r>
      <w:r w:rsidR="00781D05" w:rsidRPr="00D52EFE">
        <w:rPr>
          <w:rFonts w:ascii="Times New Roman" w:eastAsia="Times New Roman" w:hAnsi="Times New Roman" w:cs="Times New Roman"/>
          <w:color w:val="auto"/>
        </w:rPr>
        <w:t xml:space="preserve">It is therefore suggested that they </w:t>
      </w:r>
      <w:r w:rsidRPr="00D52EFE">
        <w:rPr>
          <w:rFonts w:ascii="Times New Roman" w:eastAsia="Times New Roman" w:hAnsi="Times New Roman" w:cs="Times New Roman"/>
          <w:color w:val="auto"/>
        </w:rPr>
        <w:t>should be conceived as a set of processing activities</w:t>
      </w:r>
      <w:r w:rsidR="00781D05" w:rsidRPr="00D52EFE">
        <w:rPr>
          <w:rFonts w:ascii="Times New Roman" w:eastAsia="Times New Roman" w:hAnsi="Times New Roman" w:cs="Times New Roman"/>
          <w:color w:val="auto"/>
        </w:rPr>
        <w:t xml:space="preserve"> pursuing one joint purpose</w:t>
      </w:r>
      <w:r w:rsidRPr="00D52EFE">
        <w:rPr>
          <w:rFonts w:ascii="Times New Roman" w:eastAsia="Times New Roman" w:hAnsi="Times New Roman" w:cs="Times New Roman"/>
          <w:color w:val="auto"/>
        </w:rPr>
        <w:t xml:space="preserve">. </w:t>
      </w:r>
    </w:p>
    <w:p w14:paraId="71112A00" w14:textId="77777777" w:rsidR="00D70F60" w:rsidRPr="00D52EFE" w:rsidRDefault="00D70F60" w:rsidP="00C86397">
      <w:pPr>
        <w:rPr>
          <w:rFonts w:ascii="Times New Roman" w:eastAsia="Times New Roman" w:hAnsi="Times New Roman" w:cs="Times New Roman"/>
          <w:color w:val="auto"/>
        </w:rPr>
      </w:pPr>
    </w:p>
    <w:p w14:paraId="3A853BFC" w14:textId="36805349"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The question is then whether for this set of processing activities identity providers should be qualified as processors or dat</w:t>
      </w:r>
      <w:r w:rsidR="00697B59" w:rsidRPr="00D52EFE">
        <w:rPr>
          <w:rFonts w:ascii="Times New Roman" w:eastAsia="Times New Roman" w:hAnsi="Times New Roman" w:cs="Times New Roman"/>
          <w:color w:val="auto"/>
        </w:rPr>
        <w:t>a controllers. U</w:t>
      </w:r>
      <w:r w:rsidRPr="00D52EFE">
        <w:rPr>
          <w:rFonts w:ascii="Times New Roman" w:eastAsia="Times New Roman" w:hAnsi="Times New Roman" w:cs="Times New Roman"/>
          <w:color w:val="auto"/>
        </w:rPr>
        <w:t>nd</w:t>
      </w:r>
      <w:r w:rsidR="00697B59" w:rsidRPr="00D52EFE">
        <w:rPr>
          <w:rFonts w:ascii="Times New Roman" w:eastAsia="Times New Roman" w:hAnsi="Times New Roman" w:cs="Times New Roman"/>
          <w:color w:val="auto"/>
        </w:rPr>
        <w:t>er the Framework A</w:t>
      </w:r>
      <w:r w:rsidRPr="00D52EFE">
        <w:rPr>
          <w:rFonts w:ascii="Times New Roman" w:eastAsia="Times New Roman" w:hAnsi="Times New Roman" w:cs="Times New Roman"/>
          <w:color w:val="auto"/>
        </w:rPr>
        <w:t>greement identity providers are imposed security obligations,</w:t>
      </w:r>
      <w:r w:rsidRPr="00D52EFE">
        <w:rPr>
          <w:rFonts w:ascii="Times New Roman" w:eastAsia="Times New Roman" w:hAnsi="Times New Roman" w:cs="Times New Roman"/>
          <w:color w:val="auto"/>
          <w:vertAlign w:val="superscript"/>
        </w:rPr>
        <w:footnoteReference w:id="200"/>
      </w:r>
      <w:r w:rsidRPr="00D52EFE">
        <w:rPr>
          <w:rFonts w:ascii="Times New Roman" w:eastAsia="Times New Roman" w:hAnsi="Times New Roman" w:cs="Times New Roman"/>
          <w:color w:val="auto"/>
        </w:rPr>
        <w:t xml:space="preserve"> obligations to ensure data subjects can exercise their rights,</w:t>
      </w:r>
      <w:r w:rsidRPr="00D52EFE">
        <w:rPr>
          <w:rFonts w:ascii="Times New Roman" w:eastAsia="Times New Roman" w:hAnsi="Times New Roman" w:cs="Times New Roman"/>
          <w:color w:val="auto"/>
          <w:vertAlign w:val="superscript"/>
        </w:rPr>
        <w:footnoteReference w:id="201"/>
      </w:r>
      <w:r w:rsidRPr="00D52EFE">
        <w:rPr>
          <w:rFonts w:ascii="Times New Roman" w:eastAsia="Times New Roman" w:hAnsi="Times New Roman" w:cs="Times New Roman"/>
          <w:color w:val="auto"/>
        </w:rPr>
        <w:t xml:space="preserve"> reporting obligations in favour of GDS,</w:t>
      </w:r>
      <w:r w:rsidRPr="00D52EFE">
        <w:rPr>
          <w:rFonts w:ascii="Times New Roman" w:eastAsia="Times New Roman" w:hAnsi="Times New Roman" w:cs="Times New Roman"/>
          <w:color w:val="auto"/>
          <w:vertAlign w:val="superscript"/>
        </w:rPr>
        <w:footnoteReference w:id="202"/>
      </w:r>
      <w:r w:rsidRPr="00D52EFE">
        <w:rPr>
          <w:rFonts w:ascii="Times New Roman" w:eastAsia="Times New Roman" w:hAnsi="Times New Roman" w:cs="Times New Roman"/>
          <w:color w:val="auto"/>
        </w:rPr>
        <w:t xml:space="preserve"> obligation to request authorisation for the transfer of personal data to third countries,</w:t>
      </w:r>
      <w:r w:rsidRPr="00D52EFE">
        <w:rPr>
          <w:rFonts w:ascii="Times New Roman" w:eastAsia="Times New Roman" w:hAnsi="Times New Roman" w:cs="Times New Roman"/>
          <w:color w:val="auto"/>
          <w:vertAlign w:val="superscript"/>
        </w:rPr>
        <w:footnoteReference w:id="203"/>
      </w:r>
      <w:r w:rsidRPr="00D52EFE">
        <w:rPr>
          <w:rFonts w:ascii="Times New Roman" w:eastAsia="Times New Roman" w:hAnsi="Times New Roman" w:cs="Times New Roman"/>
          <w:color w:val="auto"/>
        </w:rPr>
        <w:t xml:space="preserve"> to appoint any material sub-contractor,</w:t>
      </w:r>
      <w:r w:rsidRPr="00D52EFE">
        <w:rPr>
          <w:rFonts w:ascii="Times New Roman" w:eastAsia="Times New Roman" w:hAnsi="Times New Roman" w:cs="Times New Roman"/>
          <w:color w:val="auto"/>
          <w:vertAlign w:val="superscript"/>
        </w:rPr>
        <w:footnoteReference w:id="204"/>
      </w:r>
      <w:r w:rsidRPr="00D52EFE">
        <w:rPr>
          <w:rFonts w:ascii="Times New Roman" w:eastAsia="Times New Roman" w:hAnsi="Times New Roman" w:cs="Times New Roman"/>
          <w:color w:val="auto"/>
        </w:rPr>
        <w:t xml:space="preserve"> obligations relating to the training of identity providers’ personnel.</w:t>
      </w:r>
      <w:r w:rsidRPr="00D52EFE">
        <w:rPr>
          <w:rFonts w:ascii="Times New Roman" w:eastAsia="Times New Roman" w:hAnsi="Times New Roman" w:cs="Times New Roman"/>
          <w:color w:val="auto"/>
          <w:vertAlign w:val="superscript"/>
        </w:rPr>
        <w:footnoteReference w:id="205"/>
      </w:r>
      <w:r w:rsidRPr="00D52EFE">
        <w:rPr>
          <w:rFonts w:ascii="Times New Roman" w:eastAsia="Times New Roman" w:hAnsi="Times New Roman" w:cs="Times New Roman"/>
          <w:color w:val="auto"/>
        </w:rPr>
        <w:t xml:space="preserve"> A monitoring and supervision mechanism is put in place.</w:t>
      </w:r>
      <w:r w:rsidRPr="00D52EFE">
        <w:rPr>
          <w:rFonts w:ascii="Times New Roman" w:eastAsia="Times New Roman" w:hAnsi="Times New Roman" w:cs="Times New Roman"/>
          <w:color w:val="auto"/>
          <w:vertAlign w:val="superscript"/>
        </w:rPr>
        <w:footnoteReference w:id="206"/>
      </w:r>
      <w:r w:rsidRPr="00D52EFE">
        <w:rPr>
          <w:rFonts w:ascii="Times New Roman" w:eastAsia="Times New Roman" w:hAnsi="Times New Roman" w:cs="Times New Roman"/>
          <w:color w:val="auto"/>
        </w:rPr>
        <w:t xml:space="preserve"> Besides, GDS is meant to review each certified company’s privacy notice.</w:t>
      </w:r>
      <w:r w:rsidRPr="00D52EFE">
        <w:rPr>
          <w:rFonts w:ascii="Times New Roman" w:eastAsia="Times New Roman" w:hAnsi="Times New Roman" w:cs="Times New Roman"/>
          <w:color w:val="auto"/>
          <w:vertAlign w:val="superscript"/>
        </w:rPr>
        <w:footnoteReference w:id="207"/>
      </w:r>
    </w:p>
    <w:p w14:paraId="245B014C" w14:textId="77777777" w:rsidR="00D70F60" w:rsidRPr="00D52EFE" w:rsidRDefault="00D70F60" w:rsidP="00C86397">
      <w:pPr>
        <w:rPr>
          <w:rFonts w:ascii="Times New Roman" w:eastAsia="Times New Roman" w:hAnsi="Times New Roman" w:cs="Times New Roman"/>
          <w:color w:val="auto"/>
        </w:rPr>
      </w:pPr>
    </w:p>
    <w:p w14:paraId="71097614" w14:textId="77777777" w:rsidR="00781D05" w:rsidRPr="00D52EFE" w:rsidRDefault="00477DD5"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A</w:t>
      </w:r>
      <w:r w:rsidR="000B5581" w:rsidRPr="00D52EFE">
        <w:rPr>
          <w:rFonts w:ascii="Times New Roman" w:eastAsia="Times New Roman" w:hAnsi="Times New Roman" w:cs="Times New Roman"/>
          <w:color w:val="auto"/>
        </w:rPr>
        <w:t xml:space="preserve">s the </w:t>
      </w:r>
      <w:r w:rsidR="00323973" w:rsidRPr="00D52EFE">
        <w:rPr>
          <w:rFonts w:ascii="Times New Roman" w:eastAsia="Times New Roman" w:hAnsi="Times New Roman" w:cs="Times New Roman"/>
          <w:color w:val="auto"/>
        </w:rPr>
        <w:t xml:space="preserve">Verify </w:t>
      </w:r>
      <w:r w:rsidR="000B5581" w:rsidRPr="00D52EFE">
        <w:rPr>
          <w:rFonts w:ascii="Times New Roman" w:eastAsia="Times New Roman" w:hAnsi="Times New Roman" w:cs="Times New Roman"/>
          <w:color w:val="auto"/>
        </w:rPr>
        <w:t xml:space="preserve">DPIA confirms it, the set of processing activities at stake is a set of complex processing activities requiring the processing of data coming from a variety of sources, some of which should be considered </w:t>
      </w:r>
      <w:r w:rsidR="00697B59" w:rsidRPr="00D52EFE">
        <w:rPr>
          <w:rFonts w:ascii="Times New Roman" w:eastAsia="Times New Roman" w:hAnsi="Times New Roman" w:cs="Times New Roman"/>
          <w:color w:val="auto"/>
        </w:rPr>
        <w:t xml:space="preserve">more </w:t>
      </w:r>
      <w:r w:rsidR="000B5581" w:rsidRPr="00D52EFE">
        <w:rPr>
          <w:rFonts w:ascii="Times New Roman" w:eastAsia="Times New Roman" w:hAnsi="Times New Roman" w:cs="Times New Roman"/>
          <w:color w:val="auto"/>
        </w:rPr>
        <w:t>sensitive</w:t>
      </w:r>
      <w:r w:rsidR="00697B59" w:rsidRPr="00D52EFE">
        <w:rPr>
          <w:rFonts w:ascii="Times New Roman" w:eastAsia="Times New Roman" w:hAnsi="Times New Roman" w:cs="Times New Roman"/>
          <w:color w:val="auto"/>
        </w:rPr>
        <w:t xml:space="preserve"> than others, e.g.</w:t>
      </w:r>
      <w:r w:rsidR="000B5581" w:rsidRPr="00D52EFE">
        <w:rPr>
          <w:rFonts w:ascii="Times New Roman" w:eastAsia="Times New Roman" w:hAnsi="Times New Roman" w:cs="Times New Roman"/>
          <w:color w:val="auto"/>
        </w:rPr>
        <w:t xml:space="preserve"> authentication credentials and transactional data. </w:t>
      </w:r>
      <w:r w:rsidR="00697B59" w:rsidRPr="00D52EFE">
        <w:rPr>
          <w:rFonts w:ascii="Times New Roman" w:eastAsia="Times New Roman" w:hAnsi="Times New Roman" w:cs="Times New Roman"/>
          <w:color w:val="auto"/>
        </w:rPr>
        <w:t>Ide</w:t>
      </w:r>
      <w:r w:rsidR="00781D05" w:rsidRPr="00D52EFE">
        <w:rPr>
          <w:rFonts w:ascii="Times New Roman" w:eastAsia="Times New Roman" w:hAnsi="Times New Roman" w:cs="Times New Roman"/>
          <w:color w:val="auto"/>
        </w:rPr>
        <w:t xml:space="preserve">ntity providers have a key role: they store </w:t>
      </w:r>
      <w:r w:rsidR="000B5581" w:rsidRPr="00D52EFE">
        <w:rPr>
          <w:rFonts w:ascii="Times New Roman" w:eastAsia="Times New Roman" w:hAnsi="Times New Roman" w:cs="Times New Roman"/>
          <w:color w:val="auto"/>
        </w:rPr>
        <w:t>authentication credentials</w:t>
      </w:r>
      <w:r w:rsidR="00781D05" w:rsidRPr="00D52EFE">
        <w:rPr>
          <w:rFonts w:ascii="Times New Roman" w:eastAsia="Times New Roman" w:hAnsi="Times New Roman" w:cs="Times New Roman"/>
          <w:color w:val="auto"/>
        </w:rPr>
        <w:t xml:space="preserve"> and </w:t>
      </w:r>
      <w:r w:rsidR="000B5581" w:rsidRPr="00D52EFE">
        <w:rPr>
          <w:rFonts w:ascii="Times New Roman" w:eastAsia="Times New Roman" w:hAnsi="Times New Roman" w:cs="Times New Roman"/>
          <w:color w:val="auto"/>
        </w:rPr>
        <w:t xml:space="preserve">have access to citizen verification data, </w:t>
      </w:r>
      <w:r w:rsidR="00A338CE" w:rsidRPr="00D52EFE">
        <w:rPr>
          <w:rFonts w:ascii="Times New Roman" w:eastAsia="Times New Roman" w:hAnsi="Times New Roman" w:cs="Times New Roman"/>
          <w:i/>
          <w:color w:val="auto"/>
        </w:rPr>
        <w:t>i.e.</w:t>
      </w:r>
      <w:r w:rsidR="000B5581" w:rsidRPr="00D52EFE">
        <w:rPr>
          <w:rFonts w:ascii="Times New Roman" w:eastAsia="Times New Roman" w:hAnsi="Times New Roman" w:cs="Times New Roman"/>
          <w:color w:val="auto"/>
        </w:rPr>
        <w:t xml:space="preserve"> </w:t>
      </w:r>
      <w:r w:rsidR="000B5581" w:rsidRPr="00D52EFE">
        <w:rPr>
          <w:rFonts w:ascii="Times New Roman" w:eastAsia="Times New Roman" w:hAnsi="Times New Roman" w:cs="Times New Roman"/>
          <w:i/>
          <w:color w:val="auto"/>
        </w:rPr>
        <w:t>“information about or from passports and driving licences</w:t>
      </w:r>
      <w:r w:rsidR="000B5581" w:rsidRPr="00D52EFE">
        <w:rPr>
          <w:rFonts w:ascii="Times New Roman" w:eastAsia="Times New Roman" w:hAnsi="Times New Roman" w:cs="Times New Roman"/>
          <w:color w:val="auto"/>
        </w:rPr>
        <w:t xml:space="preserve"> (...)</w:t>
      </w:r>
      <w:r w:rsidR="000B5581" w:rsidRPr="00D52EFE">
        <w:rPr>
          <w:rFonts w:ascii="Times New Roman" w:eastAsia="Times New Roman" w:hAnsi="Times New Roman" w:cs="Times New Roman"/>
          <w:i/>
          <w:color w:val="auto"/>
        </w:rPr>
        <w:t xml:space="preserve"> commonly used to obtain other forms of ID,”</w:t>
      </w:r>
      <w:r w:rsidR="000B5581" w:rsidRPr="00D52EFE">
        <w:rPr>
          <w:rFonts w:ascii="Times New Roman" w:eastAsia="Times New Roman" w:hAnsi="Times New Roman" w:cs="Times New Roman"/>
          <w:color w:val="auto"/>
          <w:vertAlign w:val="superscript"/>
        </w:rPr>
        <w:footnoteReference w:id="208"/>
      </w:r>
      <w:r w:rsidR="000B5581" w:rsidRPr="00D52EFE">
        <w:rPr>
          <w:rFonts w:ascii="Times New Roman" w:eastAsia="Times New Roman" w:hAnsi="Times New Roman" w:cs="Times New Roman"/>
          <w:color w:val="auto"/>
        </w:rPr>
        <w:t xml:space="preserve"> which is rightly described as being “</w:t>
      </w:r>
      <w:r w:rsidR="000B5581" w:rsidRPr="00D52EFE">
        <w:rPr>
          <w:rFonts w:ascii="Times New Roman" w:eastAsia="Times New Roman" w:hAnsi="Times New Roman" w:cs="Times New Roman"/>
          <w:i/>
          <w:color w:val="auto"/>
        </w:rPr>
        <w:t>more sensitive than other attribute data.”</w:t>
      </w:r>
      <w:r w:rsidR="000B5581" w:rsidRPr="00D52EFE">
        <w:rPr>
          <w:rFonts w:ascii="Times New Roman" w:eastAsia="Times New Roman" w:hAnsi="Times New Roman" w:cs="Times New Roman"/>
          <w:color w:val="auto"/>
          <w:vertAlign w:val="superscript"/>
        </w:rPr>
        <w:footnoteReference w:id="209"/>
      </w:r>
      <w:r w:rsidR="000B5581" w:rsidRPr="00D52EFE">
        <w:rPr>
          <w:rFonts w:ascii="Times New Roman" w:eastAsia="Times New Roman" w:hAnsi="Times New Roman" w:cs="Times New Roman"/>
          <w:color w:val="auto"/>
        </w:rPr>
        <w:t xml:space="preserve"> </w:t>
      </w:r>
    </w:p>
    <w:p w14:paraId="27D80741" w14:textId="77777777" w:rsidR="00781D05" w:rsidRPr="00D52EFE" w:rsidRDefault="00781D05" w:rsidP="00C86397">
      <w:pPr>
        <w:rPr>
          <w:rFonts w:ascii="Times New Roman" w:eastAsia="Times New Roman" w:hAnsi="Times New Roman" w:cs="Times New Roman"/>
          <w:color w:val="auto"/>
        </w:rPr>
      </w:pPr>
    </w:p>
    <w:p w14:paraId="524D96C7" w14:textId="1138A5A6" w:rsidR="00D70F60" w:rsidRPr="00D52EFE" w:rsidRDefault="000B5581"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 xml:space="preserve">There is thus an argument that identity providers should be </w:t>
      </w:r>
      <w:r w:rsidR="00781D05" w:rsidRPr="00D52EFE">
        <w:rPr>
          <w:rFonts w:ascii="Times New Roman" w:eastAsia="Times New Roman" w:hAnsi="Times New Roman" w:cs="Times New Roman"/>
          <w:color w:val="auto"/>
        </w:rPr>
        <w:t>characterised</w:t>
      </w:r>
      <w:r w:rsidRPr="00D52EFE">
        <w:rPr>
          <w:rFonts w:ascii="Times New Roman" w:eastAsia="Times New Roman" w:hAnsi="Times New Roman" w:cs="Times New Roman"/>
          <w:color w:val="auto"/>
        </w:rPr>
        <w:t xml:space="preserve"> as joint data controllers with GDS and (government) service providers for the set of processing activities</w:t>
      </w:r>
      <w:r w:rsidR="00810929">
        <w:rPr>
          <w:rFonts w:ascii="Times New Roman" w:eastAsia="Times New Roman" w:hAnsi="Times New Roman" w:cs="Times New Roman"/>
          <w:color w:val="auto"/>
        </w:rPr>
        <w:t xml:space="preserve"> ultimately</w:t>
      </w:r>
      <w:r w:rsidRPr="00D52EFE">
        <w:rPr>
          <w:rFonts w:ascii="Times New Roman" w:eastAsia="Times New Roman" w:hAnsi="Times New Roman" w:cs="Times New Roman"/>
          <w:color w:val="auto"/>
        </w:rPr>
        <w:t xml:space="preserve"> leading to authentication</w:t>
      </w:r>
      <w:r w:rsidR="00810929">
        <w:rPr>
          <w:rFonts w:ascii="Times New Roman" w:eastAsia="Times New Roman" w:hAnsi="Times New Roman" w:cs="Times New Roman"/>
          <w:color w:val="auto"/>
        </w:rPr>
        <w:t xml:space="preserve">. This is because the processing activities are complex, the privacy risk are potentially significant (in the sense that </w:t>
      </w:r>
      <w:r w:rsidR="00340BD8">
        <w:rPr>
          <w:rFonts w:ascii="Times New Roman" w:eastAsia="Times New Roman" w:hAnsi="Times New Roman" w:cs="Times New Roman"/>
          <w:color w:val="auto"/>
        </w:rPr>
        <w:t xml:space="preserve">misuse of personal data could lead to financial implications for data </w:t>
      </w:r>
      <w:r w:rsidR="00340BD8">
        <w:rPr>
          <w:rFonts w:ascii="Times New Roman" w:eastAsia="Times New Roman" w:hAnsi="Times New Roman" w:cs="Times New Roman"/>
          <w:color w:val="auto"/>
        </w:rPr>
        <w:lastRenderedPageBreak/>
        <w:t>subject depending upon which government service is at stake</w:t>
      </w:r>
      <w:r w:rsidR="00810929">
        <w:rPr>
          <w:rFonts w:ascii="Times New Roman" w:eastAsia="Times New Roman" w:hAnsi="Times New Roman" w:cs="Times New Roman"/>
          <w:color w:val="auto"/>
        </w:rPr>
        <w:t>) and</w:t>
      </w:r>
      <w:r w:rsidR="00781D05" w:rsidRPr="00D52EFE">
        <w:rPr>
          <w:rFonts w:ascii="Times New Roman" w:eastAsia="Times New Roman" w:hAnsi="Times New Roman" w:cs="Times New Roman"/>
          <w:color w:val="auto"/>
        </w:rPr>
        <w:t xml:space="preserve"> they determine (in the sense of being in control of) essential elements of the processing means</w:t>
      </w:r>
      <w:r w:rsidRPr="00D52EFE">
        <w:rPr>
          <w:rFonts w:ascii="Times New Roman" w:eastAsia="Times New Roman" w:hAnsi="Times New Roman" w:cs="Times New Roman"/>
          <w:color w:val="auto"/>
        </w:rPr>
        <w:t xml:space="preserve">. </w:t>
      </w:r>
      <w:r w:rsidR="009713C3">
        <w:rPr>
          <w:rFonts w:ascii="Times New Roman" w:eastAsia="Times New Roman" w:hAnsi="Times New Roman" w:cs="Times New Roman"/>
          <w:color w:val="auto"/>
        </w:rPr>
        <w:t>In this line</w:t>
      </w:r>
      <w:r w:rsidR="00A7340F">
        <w:rPr>
          <w:rFonts w:ascii="Times New Roman" w:eastAsia="Times New Roman" w:hAnsi="Times New Roman" w:cs="Times New Roman"/>
          <w:color w:val="auto"/>
        </w:rPr>
        <w:t>,</w:t>
      </w:r>
      <w:r w:rsidR="009713C3">
        <w:rPr>
          <w:rFonts w:ascii="Times New Roman" w:eastAsia="Times New Roman" w:hAnsi="Times New Roman" w:cs="Times New Roman"/>
          <w:color w:val="auto"/>
        </w:rPr>
        <w:t xml:space="preserve"> what is particularly </w:t>
      </w:r>
      <w:r w:rsidR="00A7340F">
        <w:rPr>
          <w:rFonts w:ascii="Times New Roman" w:eastAsia="Times New Roman" w:hAnsi="Times New Roman" w:cs="Times New Roman"/>
          <w:color w:val="auto"/>
        </w:rPr>
        <w:t>troubling</w:t>
      </w:r>
      <w:r w:rsidR="009713C3">
        <w:rPr>
          <w:rFonts w:ascii="Times New Roman" w:eastAsia="Times New Roman" w:hAnsi="Times New Roman" w:cs="Times New Roman"/>
          <w:color w:val="auto"/>
        </w:rPr>
        <w:t xml:space="preserve"> is that the Verify DPIA does not attempt to assess the impact of t</w:t>
      </w:r>
      <w:r w:rsidR="00A7340F">
        <w:rPr>
          <w:rFonts w:ascii="Times New Roman" w:eastAsia="Times New Roman" w:hAnsi="Times New Roman" w:cs="Times New Roman"/>
          <w:color w:val="auto"/>
        </w:rPr>
        <w:t>he misuse of the Matching Datas</w:t>
      </w:r>
      <w:r w:rsidR="009713C3">
        <w:rPr>
          <w:rFonts w:ascii="Times New Roman" w:eastAsia="Times New Roman" w:hAnsi="Times New Roman" w:cs="Times New Roman"/>
          <w:color w:val="auto"/>
        </w:rPr>
        <w:t>et</w:t>
      </w:r>
      <w:r w:rsidR="00A7340F">
        <w:rPr>
          <w:rFonts w:ascii="Times New Roman" w:eastAsia="Times New Roman" w:hAnsi="Times New Roman" w:cs="Times New Roman"/>
          <w:color w:val="auto"/>
        </w:rPr>
        <w:t>,</w:t>
      </w:r>
      <w:r w:rsidR="009713C3">
        <w:rPr>
          <w:rFonts w:ascii="Times New Roman" w:eastAsia="Times New Roman" w:hAnsi="Times New Roman" w:cs="Times New Roman"/>
          <w:color w:val="auto"/>
        </w:rPr>
        <w:t xml:space="preserve"> </w:t>
      </w:r>
      <w:r w:rsidR="00A7340F">
        <w:rPr>
          <w:rFonts w:ascii="Times New Roman" w:eastAsia="Times New Roman" w:hAnsi="Times New Roman" w:cs="Times New Roman"/>
          <w:color w:val="auto"/>
        </w:rPr>
        <w:t>not as regards the information contained within the Matching Dataset as such which is considered of a</w:t>
      </w:r>
      <w:r w:rsidR="001D1E6C">
        <w:rPr>
          <w:rFonts w:ascii="Times New Roman" w:eastAsia="Times New Roman" w:hAnsi="Times New Roman" w:cs="Times New Roman"/>
          <w:color w:val="auto"/>
        </w:rPr>
        <w:t xml:space="preserve"> relatively</w:t>
      </w:r>
      <w:r w:rsidR="00A7340F">
        <w:rPr>
          <w:rFonts w:ascii="Times New Roman" w:eastAsia="Times New Roman" w:hAnsi="Times New Roman" w:cs="Times New Roman"/>
          <w:color w:val="auto"/>
        </w:rPr>
        <w:t xml:space="preserve"> low risk because it is publicly available, but as regards the information to which an attacker could gain access once having misused the eID means. </w:t>
      </w:r>
    </w:p>
    <w:p w14:paraId="059E25CA" w14:textId="77777777" w:rsidR="00D70F60" w:rsidRPr="00D52EFE" w:rsidRDefault="00D70F60" w:rsidP="00C86397">
      <w:pPr>
        <w:rPr>
          <w:rFonts w:ascii="Times New Roman" w:eastAsia="Times New Roman" w:hAnsi="Times New Roman" w:cs="Times New Roman"/>
          <w:color w:val="auto"/>
        </w:rPr>
      </w:pPr>
    </w:p>
    <w:p w14:paraId="1F1C7387" w14:textId="3A4D0DC7" w:rsidR="00D70F60" w:rsidRPr="00D52EFE" w:rsidRDefault="00477DD5"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A</w:t>
      </w:r>
      <w:r w:rsidR="000B5581" w:rsidRPr="00D52EFE">
        <w:rPr>
          <w:rFonts w:ascii="Times New Roman" w:eastAsia="Times New Roman" w:hAnsi="Times New Roman" w:cs="Times New Roman"/>
          <w:color w:val="auto"/>
        </w:rPr>
        <w:t xml:space="preserve">ssuming Gov.UK Verify embeds a situation of joint controllership between three parties: the identity providers, GDS and the (government) service providers, it </w:t>
      </w:r>
      <w:r w:rsidR="00781D05" w:rsidRPr="00D52EFE">
        <w:rPr>
          <w:rFonts w:ascii="Times New Roman" w:eastAsia="Times New Roman" w:hAnsi="Times New Roman" w:cs="Times New Roman"/>
          <w:color w:val="auto"/>
        </w:rPr>
        <w:t xml:space="preserve">then </w:t>
      </w:r>
      <w:r w:rsidR="000B5581" w:rsidRPr="00D52EFE">
        <w:rPr>
          <w:rFonts w:ascii="Times New Roman" w:eastAsia="Times New Roman" w:hAnsi="Times New Roman" w:cs="Times New Roman"/>
          <w:color w:val="auto"/>
        </w:rPr>
        <w:t>becomes problematic to exclude the activities of identify providers or certified companies from the</w:t>
      </w:r>
      <w:r w:rsidR="00CB7829">
        <w:rPr>
          <w:rFonts w:ascii="Times New Roman" w:eastAsia="Times New Roman" w:hAnsi="Times New Roman" w:cs="Times New Roman"/>
          <w:color w:val="auto"/>
        </w:rPr>
        <w:t xml:space="preserve"> scope of the compliance checks,</w:t>
      </w:r>
      <w:r w:rsidR="000B5581" w:rsidRPr="00D52EFE">
        <w:rPr>
          <w:rFonts w:ascii="Times New Roman" w:eastAsia="Times New Roman" w:hAnsi="Times New Roman" w:cs="Times New Roman"/>
          <w:color w:val="auto"/>
          <w:vertAlign w:val="superscript"/>
        </w:rPr>
        <w:footnoteReference w:id="210"/>
      </w:r>
      <w:r w:rsidR="00CB7829">
        <w:rPr>
          <w:rFonts w:ascii="Times New Roman" w:eastAsia="Times New Roman" w:hAnsi="Times New Roman" w:cs="Times New Roman"/>
          <w:color w:val="auto"/>
        </w:rPr>
        <w:t xml:space="preserve"> in particular if tScheme is not able to finalise the certification until an identity provider is actually operating. </w:t>
      </w:r>
      <w:r w:rsidR="00781D05" w:rsidRPr="00D52EFE">
        <w:rPr>
          <w:rFonts w:ascii="Times New Roman" w:eastAsia="Times New Roman" w:hAnsi="Times New Roman" w:cs="Times New Roman"/>
          <w:color w:val="auto"/>
        </w:rPr>
        <w:t xml:space="preserve"> Yet</w:t>
      </w:r>
      <w:r w:rsidR="00CB7829">
        <w:rPr>
          <w:rFonts w:ascii="Times New Roman" w:eastAsia="Times New Roman" w:hAnsi="Times New Roman" w:cs="Times New Roman"/>
          <w:color w:val="auto"/>
        </w:rPr>
        <w:t>,</w:t>
      </w:r>
      <w:r w:rsidR="00781D05" w:rsidRPr="00D52EFE">
        <w:rPr>
          <w:rFonts w:ascii="Times New Roman" w:eastAsia="Times New Roman" w:hAnsi="Times New Roman" w:cs="Times New Roman"/>
          <w:color w:val="auto"/>
        </w:rPr>
        <w:t xml:space="preserve"> this is what happened when the first version of the Verify DPIA was performed. </w:t>
      </w:r>
    </w:p>
    <w:p w14:paraId="2188BDEA" w14:textId="77777777" w:rsidR="00D70F60" w:rsidRPr="00D52EFE" w:rsidRDefault="00D70F60" w:rsidP="00C86397">
      <w:pPr>
        <w:rPr>
          <w:rFonts w:ascii="Times New Roman" w:eastAsia="Times New Roman" w:hAnsi="Times New Roman" w:cs="Times New Roman"/>
          <w:color w:val="auto"/>
        </w:rPr>
      </w:pPr>
    </w:p>
    <w:p w14:paraId="5E37970D" w14:textId="1BBABD6A" w:rsidR="00D70F60" w:rsidRPr="00D52EFE" w:rsidRDefault="00477DD5"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More importantly, assuming Gov.UK Verify embeds a situation of joint controllership between the identity providers, GDS and the government service providers, the identification of a</w:t>
      </w:r>
      <w:r w:rsidR="00B75548" w:rsidRPr="00D52EFE">
        <w:rPr>
          <w:rFonts w:ascii="Times New Roman" w:eastAsia="Times New Roman" w:hAnsi="Times New Roman" w:cs="Times New Roman"/>
          <w:color w:val="auto"/>
        </w:rPr>
        <w:t xml:space="preserve"> distinct</w:t>
      </w:r>
      <w:r w:rsidRPr="00D52EFE">
        <w:rPr>
          <w:rFonts w:ascii="Times New Roman" w:eastAsia="Times New Roman" w:hAnsi="Times New Roman" w:cs="Times New Roman"/>
          <w:color w:val="auto"/>
        </w:rPr>
        <w:t xml:space="preserve"> legal basis for the processing performed by identity providers</w:t>
      </w:r>
      <w:r w:rsidR="00B75548" w:rsidRPr="00D52EFE">
        <w:rPr>
          <w:rFonts w:ascii="Times New Roman" w:eastAsia="Times New Roman" w:hAnsi="Times New Roman" w:cs="Times New Roman"/>
          <w:color w:val="auto"/>
        </w:rPr>
        <w:t xml:space="preserve"> arguably</w:t>
      </w:r>
      <w:r w:rsidRPr="00D52EFE">
        <w:rPr>
          <w:rFonts w:ascii="Times New Roman" w:eastAsia="Times New Roman" w:hAnsi="Times New Roman" w:cs="Times New Roman"/>
          <w:color w:val="auto"/>
        </w:rPr>
        <w:t xml:space="preserve"> </w:t>
      </w:r>
      <w:r w:rsidR="00B75548" w:rsidRPr="00D52EFE">
        <w:rPr>
          <w:rFonts w:ascii="Times New Roman" w:eastAsia="Times New Roman" w:hAnsi="Times New Roman" w:cs="Times New Roman"/>
          <w:color w:val="auto"/>
        </w:rPr>
        <w:t>becomes a moot point</w:t>
      </w:r>
      <w:r w:rsidR="005D6D9B" w:rsidRPr="00D52EFE">
        <w:rPr>
          <w:rFonts w:ascii="Times New Roman" w:eastAsia="Times New Roman" w:hAnsi="Times New Roman" w:cs="Times New Roman"/>
          <w:color w:val="auto"/>
        </w:rPr>
        <w:t xml:space="preserve"> from the perspective of the data subjects</w:t>
      </w:r>
      <w:r w:rsidR="00810929">
        <w:rPr>
          <w:rFonts w:ascii="Times New Roman" w:eastAsia="Times New Roman" w:hAnsi="Times New Roman" w:cs="Times New Roman"/>
          <w:color w:val="auto"/>
        </w:rPr>
        <w:t xml:space="preserve"> or maybe more simply misleading</w:t>
      </w:r>
      <w:r w:rsidR="00B75548" w:rsidRPr="00D52EFE">
        <w:rPr>
          <w:rFonts w:ascii="Times New Roman" w:eastAsia="Times New Roman" w:hAnsi="Times New Roman" w:cs="Times New Roman"/>
          <w:color w:val="auto"/>
        </w:rPr>
        <w:t>.</w:t>
      </w:r>
      <w:r w:rsidR="005773EC">
        <w:rPr>
          <w:rFonts w:ascii="Times New Roman" w:eastAsia="Times New Roman" w:hAnsi="Times New Roman" w:cs="Times New Roman"/>
          <w:color w:val="auto"/>
        </w:rPr>
        <w:t xml:space="preserve"> The same holds true if identity providers are only processors.</w:t>
      </w:r>
      <w:r w:rsidR="00B75548" w:rsidRPr="00D52EFE">
        <w:rPr>
          <w:rFonts w:ascii="Times New Roman" w:eastAsia="Times New Roman" w:hAnsi="Times New Roman" w:cs="Times New Roman"/>
          <w:color w:val="auto"/>
        </w:rPr>
        <w:t xml:space="preserve"> </w:t>
      </w:r>
      <w:r w:rsidR="00AE69E6" w:rsidRPr="00D52EFE">
        <w:rPr>
          <w:rFonts w:ascii="Times New Roman" w:eastAsia="Times New Roman" w:hAnsi="Times New Roman" w:cs="Times New Roman"/>
          <w:color w:val="auto"/>
        </w:rPr>
        <w:t>Indeed, it is suggested in this paper that in order to identify the appropriate legal basis the set of processing operations should be considered as a whole. As a result,</w:t>
      </w:r>
      <w:r w:rsidR="007278BE">
        <w:rPr>
          <w:rFonts w:ascii="Times New Roman" w:eastAsia="Times New Roman" w:hAnsi="Times New Roman" w:cs="Times New Roman"/>
          <w:color w:val="auto"/>
        </w:rPr>
        <w:t xml:space="preserve"> the most appropriate legal bases </w:t>
      </w:r>
      <w:r w:rsidR="00AE69E6" w:rsidRPr="00D52EFE">
        <w:rPr>
          <w:rFonts w:ascii="Times New Roman" w:eastAsia="Times New Roman" w:hAnsi="Times New Roman" w:cs="Times New Roman"/>
          <w:color w:val="auto"/>
        </w:rPr>
        <w:t xml:space="preserve">for </w:t>
      </w:r>
      <w:r w:rsidR="007278BE">
        <w:rPr>
          <w:rFonts w:ascii="Times New Roman" w:eastAsia="Times New Roman" w:hAnsi="Times New Roman" w:cs="Times New Roman"/>
          <w:color w:val="auto"/>
        </w:rPr>
        <w:t xml:space="preserve">identification and </w:t>
      </w:r>
      <w:r w:rsidR="00AE69E6" w:rsidRPr="00D52EFE">
        <w:rPr>
          <w:rFonts w:ascii="Times New Roman" w:eastAsia="Times New Roman" w:hAnsi="Times New Roman" w:cs="Times New Roman"/>
          <w:color w:val="auto"/>
        </w:rPr>
        <w:t>authentication purposes in the context of the functioning of Gov.Uk Verify</w:t>
      </w:r>
      <w:r w:rsidR="00510880" w:rsidRPr="00D52EFE">
        <w:rPr>
          <w:rFonts w:ascii="Times New Roman" w:eastAsia="Times New Roman" w:hAnsi="Times New Roman" w:cs="Times New Roman"/>
          <w:color w:val="auto"/>
        </w:rPr>
        <w:t>, i.e. in order to access government services,</w:t>
      </w:r>
      <w:r w:rsidR="00AE69E6" w:rsidRPr="00D52EFE">
        <w:rPr>
          <w:rFonts w:ascii="Times New Roman" w:eastAsia="Times New Roman" w:hAnsi="Times New Roman" w:cs="Times New Roman"/>
          <w:color w:val="auto"/>
        </w:rPr>
        <w:t xml:space="preserve"> should be </w:t>
      </w:r>
      <w:r w:rsidR="002F0A55">
        <w:rPr>
          <w:rFonts w:ascii="Times New Roman" w:eastAsia="Times New Roman" w:hAnsi="Times New Roman" w:cs="Times New Roman"/>
          <w:color w:val="auto"/>
        </w:rPr>
        <w:t>performance of a</w:t>
      </w:r>
      <w:r w:rsidR="00AE69E6" w:rsidRPr="00D52EFE">
        <w:rPr>
          <w:rFonts w:ascii="Times New Roman" w:eastAsia="Times New Roman" w:hAnsi="Times New Roman" w:cs="Times New Roman"/>
          <w:color w:val="auto"/>
        </w:rPr>
        <w:t xml:space="preserve"> task </w:t>
      </w:r>
      <w:r w:rsidR="00510880" w:rsidRPr="00D52EFE">
        <w:rPr>
          <w:rFonts w:ascii="Times New Roman" w:eastAsia="Times New Roman" w:hAnsi="Times New Roman" w:cs="Times New Roman"/>
          <w:color w:val="auto"/>
        </w:rPr>
        <w:t>carried out in the public interest</w:t>
      </w:r>
      <w:r w:rsidR="007278BE">
        <w:rPr>
          <w:rFonts w:ascii="Times New Roman" w:eastAsia="Times New Roman" w:hAnsi="Times New Roman" w:cs="Times New Roman"/>
          <w:color w:val="auto"/>
        </w:rPr>
        <w:t xml:space="preserve"> or the </w:t>
      </w:r>
      <w:r w:rsidR="002F0A55">
        <w:rPr>
          <w:rFonts w:ascii="Times New Roman" w:eastAsia="Times New Roman" w:hAnsi="Times New Roman" w:cs="Times New Roman"/>
          <w:color w:val="auto"/>
        </w:rPr>
        <w:t>pursuance of a legitimate interest</w:t>
      </w:r>
      <w:r w:rsidR="00510880" w:rsidRPr="00D52EFE">
        <w:rPr>
          <w:rFonts w:ascii="Times New Roman" w:eastAsia="Times New Roman" w:hAnsi="Times New Roman" w:cs="Times New Roman"/>
          <w:color w:val="auto"/>
        </w:rPr>
        <w:t xml:space="preserve">. </w:t>
      </w:r>
      <w:r w:rsidR="00810929">
        <w:rPr>
          <w:rFonts w:ascii="Times New Roman" w:eastAsia="Times New Roman" w:hAnsi="Times New Roman" w:cs="Times New Roman"/>
          <w:color w:val="auto"/>
        </w:rPr>
        <w:t xml:space="preserve">It is suggested that a narrow interpretation of the former ground is however preferable from a data subject standpoint. </w:t>
      </w:r>
    </w:p>
    <w:p w14:paraId="23D662A7" w14:textId="77777777" w:rsidR="00B75548" w:rsidRPr="00D52EFE" w:rsidRDefault="00B75548" w:rsidP="00C86397">
      <w:pPr>
        <w:rPr>
          <w:rFonts w:ascii="Times New Roman" w:eastAsia="Times New Roman" w:hAnsi="Times New Roman" w:cs="Times New Roman"/>
          <w:color w:val="auto"/>
        </w:rPr>
      </w:pPr>
    </w:p>
    <w:p w14:paraId="72937975" w14:textId="4F95A2D2" w:rsidR="00B75548" w:rsidRPr="00D52EFE" w:rsidRDefault="00510880"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Finally</w:t>
      </w:r>
      <w:r w:rsidR="00B75548" w:rsidRPr="00D52EFE">
        <w:rPr>
          <w:rFonts w:ascii="Times New Roman" w:eastAsia="Times New Roman" w:hAnsi="Times New Roman" w:cs="Times New Roman"/>
          <w:color w:val="auto"/>
        </w:rPr>
        <w:t xml:space="preserve">, assuming Gov.UK Verify embeds a situation of joint controllership, this would require revising the allocation of responsibilities between the different parties, despite the fact that eIDAS expressly contains a provision on liability in its electronic identification chapter, </w:t>
      </w:r>
      <w:r w:rsidR="00A338CE" w:rsidRPr="00D52EFE">
        <w:rPr>
          <w:rFonts w:ascii="Times New Roman" w:eastAsia="Times New Roman" w:hAnsi="Times New Roman" w:cs="Times New Roman"/>
          <w:i/>
          <w:color w:val="auto"/>
        </w:rPr>
        <w:t>i.e.</w:t>
      </w:r>
      <w:r w:rsidR="00B75548" w:rsidRPr="00D52EFE">
        <w:rPr>
          <w:rFonts w:ascii="Times New Roman" w:eastAsia="Times New Roman" w:hAnsi="Times New Roman" w:cs="Times New Roman"/>
          <w:color w:val="auto"/>
        </w:rPr>
        <w:t xml:space="preserve"> Article 11.</w:t>
      </w:r>
      <w:r w:rsidR="005D6D9B" w:rsidRPr="00D52EFE">
        <w:rPr>
          <w:rStyle w:val="FootnoteReference"/>
          <w:rFonts w:ascii="Times New Roman" w:eastAsia="Times New Roman" w:hAnsi="Times New Roman" w:cs="Times New Roman"/>
          <w:color w:val="auto"/>
        </w:rPr>
        <w:footnoteReference w:id="211"/>
      </w:r>
      <w:r w:rsidR="00B75548" w:rsidRPr="00D52EFE">
        <w:rPr>
          <w:rFonts w:ascii="Times New Roman" w:eastAsia="Times New Roman" w:hAnsi="Times New Roman" w:cs="Times New Roman"/>
          <w:color w:val="auto"/>
        </w:rPr>
        <w:t xml:space="preserve"> Indeed </w:t>
      </w:r>
      <w:r w:rsidR="006E70B0" w:rsidRPr="00D52EFE">
        <w:rPr>
          <w:rFonts w:ascii="Times New Roman" w:eastAsia="Times New Roman" w:hAnsi="Times New Roman" w:cs="Times New Roman"/>
          <w:color w:val="auto"/>
        </w:rPr>
        <w:t xml:space="preserve">as aforementioned </w:t>
      </w:r>
      <w:r w:rsidR="00B75548" w:rsidRPr="00D52EFE">
        <w:rPr>
          <w:rFonts w:ascii="Times New Roman" w:eastAsia="Times New Roman" w:hAnsi="Times New Roman" w:cs="Times New Roman"/>
          <w:color w:val="auto"/>
        </w:rPr>
        <w:t>the GDPR opts for a principle of joint and several liability in its Article 82(4</w:t>
      </w:r>
      <w:r w:rsidR="006F545F" w:rsidRPr="00D52EFE">
        <w:rPr>
          <w:rFonts w:ascii="Times New Roman" w:eastAsia="Times New Roman" w:hAnsi="Times New Roman" w:cs="Times New Roman"/>
          <w:color w:val="auto"/>
        </w:rPr>
        <w:t>-5)</w:t>
      </w:r>
      <w:r w:rsidR="00B75548" w:rsidRPr="00D52EFE">
        <w:rPr>
          <w:rFonts w:ascii="Times New Roman" w:eastAsia="Times New Roman" w:hAnsi="Times New Roman" w:cs="Times New Roman"/>
          <w:color w:val="auto"/>
        </w:rPr>
        <w:t xml:space="preserve"> to be read together with Article 26(3)</w:t>
      </w:r>
      <w:r w:rsidR="00AE69E6" w:rsidRPr="00D52EFE">
        <w:rPr>
          <w:rFonts w:ascii="Times New Roman" w:eastAsia="Times New Roman" w:hAnsi="Times New Roman" w:cs="Times New Roman"/>
          <w:color w:val="auto"/>
        </w:rPr>
        <w:t>, which seems to be incompatible with eIDAS Article 11</w:t>
      </w:r>
      <w:r w:rsidRPr="00D52EFE">
        <w:rPr>
          <w:rFonts w:ascii="Times New Roman" w:eastAsia="Times New Roman" w:hAnsi="Times New Roman" w:cs="Times New Roman"/>
          <w:color w:val="auto"/>
        </w:rPr>
        <w:t>, which is premised on the principle of several liability</w:t>
      </w:r>
      <w:r w:rsidR="00B75548" w:rsidRPr="00D52EFE">
        <w:rPr>
          <w:rFonts w:ascii="Times New Roman" w:eastAsia="Times New Roman" w:hAnsi="Times New Roman" w:cs="Times New Roman"/>
          <w:color w:val="auto"/>
        </w:rPr>
        <w:t xml:space="preserve">. </w:t>
      </w:r>
    </w:p>
    <w:p w14:paraId="5D4A8B9D" w14:textId="77777777" w:rsidR="00365C3A" w:rsidRPr="00D52EFE" w:rsidRDefault="00365C3A" w:rsidP="00C86397">
      <w:pPr>
        <w:rPr>
          <w:rFonts w:ascii="Times New Roman" w:eastAsia="Times New Roman" w:hAnsi="Times New Roman" w:cs="Times New Roman"/>
          <w:color w:val="auto"/>
        </w:rPr>
      </w:pPr>
    </w:p>
    <w:p w14:paraId="710EF0DB" w14:textId="77777777" w:rsidR="00D70F60" w:rsidRPr="00D52EFE" w:rsidRDefault="00D70F60" w:rsidP="00C86397">
      <w:pPr>
        <w:rPr>
          <w:rFonts w:ascii="Times New Roman" w:eastAsia="Times New Roman" w:hAnsi="Times New Roman" w:cs="Times New Roman"/>
          <w:color w:val="auto"/>
        </w:rPr>
      </w:pPr>
      <w:bookmarkStart w:id="59" w:name="_f1km4h4jv0aw" w:colFirst="0" w:colLast="0"/>
      <w:bookmarkStart w:id="60" w:name="_f5hzehpqlbmh" w:colFirst="0" w:colLast="0"/>
      <w:bookmarkEnd w:id="59"/>
      <w:bookmarkEnd w:id="60"/>
    </w:p>
    <w:p w14:paraId="6687F1DB" w14:textId="3FB385CA" w:rsidR="00B85C3A" w:rsidRPr="00D52EFE" w:rsidRDefault="00036ABA" w:rsidP="00036ABA">
      <w:pPr>
        <w:pStyle w:val="Heading1"/>
        <w:numPr>
          <w:ilvl w:val="0"/>
          <w:numId w:val="0"/>
        </w:numPr>
        <w:ind w:left="720"/>
      </w:pPr>
      <w:bookmarkStart w:id="61" w:name="_Toc495075261"/>
      <w:bookmarkStart w:id="62" w:name="_Toc495674487"/>
      <w:r>
        <w:t>5.</w:t>
      </w:r>
      <w:r w:rsidR="007C694F" w:rsidRPr="00D52EFE">
        <w:tab/>
      </w:r>
      <w:r w:rsidR="00B85C3A" w:rsidRPr="00D52EFE">
        <w:t>Conclusion</w:t>
      </w:r>
      <w:bookmarkEnd w:id="61"/>
      <w:bookmarkEnd w:id="62"/>
      <w:r w:rsidR="00B85C3A" w:rsidRPr="00D52EFE">
        <w:t xml:space="preserve"> </w:t>
      </w:r>
    </w:p>
    <w:p w14:paraId="21A8A37C" w14:textId="3A70F598" w:rsidR="005B4194" w:rsidRPr="00D52EFE" w:rsidRDefault="005B4194"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To conclude, this article suggests that due to the way in which the GDPR strengthens both the rights of data subjects (</w:t>
      </w:r>
      <w:r w:rsidR="00A338CE" w:rsidRPr="00D52EFE">
        <w:rPr>
          <w:rFonts w:ascii="Times New Roman" w:eastAsia="Times New Roman" w:hAnsi="Times New Roman" w:cs="Times New Roman"/>
          <w:i/>
          <w:color w:val="auto"/>
        </w:rPr>
        <w:t>e.g.</w:t>
      </w:r>
      <w:r w:rsidRPr="00D52EFE">
        <w:rPr>
          <w:rFonts w:ascii="Times New Roman" w:eastAsia="Times New Roman" w:hAnsi="Times New Roman" w:cs="Times New Roman"/>
          <w:color w:val="auto"/>
        </w:rPr>
        <w:t xml:space="preserve"> through granting a right to compensation based upon a presumption of liability), and revisits the status of data </w:t>
      </w:r>
      <w:r w:rsidR="00510880" w:rsidRPr="00D52EFE">
        <w:rPr>
          <w:rFonts w:ascii="Times New Roman" w:eastAsia="Times New Roman" w:hAnsi="Times New Roman" w:cs="Times New Roman"/>
          <w:color w:val="auto"/>
        </w:rPr>
        <w:t xml:space="preserve">controllers, data </w:t>
      </w:r>
      <w:r w:rsidRPr="00D52EFE">
        <w:rPr>
          <w:rFonts w:ascii="Times New Roman" w:eastAsia="Times New Roman" w:hAnsi="Times New Roman" w:cs="Times New Roman"/>
          <w:color w:val="auto"/>
        </w:rPr>
        <w:t xml:space="preserve">processors as well as narrows down the remit of the legal basis based on consent, it </w:t>
      </w:r>
      <w:r w:rsidR="00510880" w:rsidRPr="00D52EFE">
        <w:rPr>
          <w:rFonts w:ascii="Times New Roman" w:eastAsia="Times New Roman" w:hAnsi="Times New Roman" w:cs="Times New Roman"/>
          <w:color w:val="auto"/>
        </w:rPr>
        <w:t>should</w:t>
      </w:r>
      <w:r w:rsidRPr="00D52EFE">
        <w:rPr>
          <w:rFonts w:ascii="Times New Roman" w:eastAsia="Times New Roman" w:hAnsi="Times New Roman" w:cs="Times New Roman"/>
          <w:color w:val="auto"/>
        </w:rPr>
        <w:t xml:space="preserve"> have a </w:t>
      </w:r>
      <w:r w:rsidR="00510880" w:rsidRPr="00D52EFE">
        <w:rPr>
          <w:rFonts w:ascii="Times New Roman" w:eastAsia="Times New Roman" w:hAnsi="Times New Roman" w:cs="Times New Roman"/>
          <w:color w:val="auto"/>
        </w:rPr>
        <w:t>significant</w:t>
      </w:r>
      <w:r w:rsidRPr="00D52EFE">
        <w:rPr>
          <w:rFonts w:ascii="Times New Roman" w:eastAsia="Times New Roman" w:hAnsi="Times New Roman" w:cs="Times New Roman"/>
          <w:color w:val="auto"/>
        </w:rPr>
        <w:t xml:space="preserve"> impact in the field of electronic identification as in many other sectors. One conclusion that can be drawn from this </w:t>
      </w:r>
      <w:r w:rsidR="00510880" w:rsidRPr="00D52EFE">
        <w:rPr>
          <w:rFonts w:ascii="Times New Roman" w:eastAsia="Times New Roman" w:hAnsi="Times New Roman" w:cs="Times New Roman"/>
          <w:color w:val="auto"/>
        </w:rPr>
        <w:t>observation</w:t>
      </w:r>
      <w:r w:rsidRPr="00D52EFE">
        <w:rPr>
          <w:rFonts w:ascii="Times New Roman" w:eastAsia="Times New Roman" w:hAnsi="Times New Roman" w:cs="Times New Roman"/>
          <w:color w:val="auto"/>
        </w:rPr>
        <w:t xml:space="preserve"> is, therefore, that data protection impact assessments performed at the time of the DPD should b</w:t>
      </w:r>
      <w:r w:rsidR="00ED2A5D" w:rsidRPr="00D52EFE">
        <w:rPr>
          <w:rFonts w:ascii="Times New Roman" w:eastAsia="Times New Roman" w:hAnsi="Times New Roman" w:cs="Times New Roman"/>
          <w:color w:val="auto"/>
        </w:rPr>
        <w:t>e re-conducted in order to</w:t>
      </w:r>
      <w:r w:rsidRPr="00D52EFE">
        <w:rPr>
          <w:rFonts w:ascii="Times New Roman" w:eastAsia="Times New Roman" w:hAnsi="Times New Roman" w:cs="Times New Roman"/>
          <w:color w:val="auto"/>
        </w:rPr>
        <w:t xml:space="preserve"> take </w:t>
      </w:r>
      <w:r w:rsidR="00ED2A5D" w:rsidRPr="00D52EFE">
        <w:rPr>
          <w:rFonts w:ascii="Times New Roman" w:eastAsia="Times New Roman" w:hAnsi="Times New Roman" w:cs="Times New Roman"/>
          <w:color w:val="auto"/>
        </w:rPr>
        <w:t xml:space="preserve">fully </w:t>
      </w:r>
      <w:r w:rsidRPr="00D52EFE">
        <w:rPr>
          <w:rFonts w:ascii="Times New Roman" w:eastAsia="Times New Roman" w:hAnsi="Times New Roman" w:cs="Times New Roman"/>
          <w:color w:val="auto"/>
        </w:rPr>
        <w:t xml:space="preserve">into account the novelties brought about by the GDPR. Critically, the </w:t>
      </w:r>
      <w:r w:rsidR="00510880" w:rsidRPr="00D52EFE">
        <w:rPr>
          <w:rFonts w:ascii="Times New Roman" w:eastAsia="Times New Roman" w:hAnsi="Times New Roman" w:cs="Times New Roman"/>
          <w:color w:val="auto"/>
        </w:rPr>
        <w:t xml:space="preserve">Verify </w:t>
      </w:r>
      <w:r w:rsidRPr="00D52EFE">
        <w:rPr>
          <w:rFonts w:ascii="Times New Roman" w:eastAsia="Times New Roman" w:hAnsi="Times New Roman" w:cs="Times New Roman"/>
          <w:color w:val="auto"/>
        </w:rPr>
        <w:t>DPIA</w:t>
      </w:r>
      <w:r w:rsidR="00510880" w:rsidRPr="00D52EFE">
        <w:rPr>
          <w:rFonts w:ascii="Times New Roman" w:eastAsia="Times New Roman" w:hAnsi="Times New Roman" w:cs="Times New Roman"/>
          <w:color w:val="auto"/>
        </w:rPr>
        <w:t xml:space="preserve"> conducted</w:t>
      </w:r>
      <w:r w:rsidRPr="00D52EFE">
        <w:rPr>
          <w:rFonts w:ascii="Times New Roman" w:eastAsia="Times New Roman" w:hAnsi="Times New Roman" w:cs="Times New Roman"/>
          <w:color w:val="auto"/>
        </w:rPr>
        <w:t xml:space="preserve"> for </w:t>
      </w:r>
      <w:r w:rsidR="00510880" w:rsidRPr="00D52EFE">
        <w:rPr>
          <w:rFonts w:ascii="Times New Roman" w:eastAsia="Times New Roman" w:hAnsi="Times New Roman" w:cs="Times New Roman"/>
          <w:color w:val="auto"/>
        </w:rPr>
        <w:t xml:space="preserve">the purposes of establishing </w:t>
      </w:r>
      <w:r w:rsidRPr="00D52EFE">
        <w:rPr>
          <w:rFonts w:ascii="Times New Roman" w:eastAsia="Times New Roman" w:hAnsi="Times New Roman" w:cs="Times New Roman"/>
          <w:color w:val="auto"/>
        </w:rPr>
        <w:t>GOV.UK Verify, the UK eID scheme, should be conducted afresh</w:t>
      </w:r>
      <w:r w:rsidR="005A2CA7">
        <w:rPr>
          <w:rFonts w:ascii="Times New Roman" w:eastAsia="Times New Roman" w:hAnsi="Times New Roman" w:cs="Times New Roman"/>
          <w:color w:val="auto"/>
        </w:rPr>
        <w:t>,</w:t>
      </w:r>
      <w:r w:rsidRPr="00D52EFE">
        <w:rPr>
          <w:rFonts w:ascii="Times New Roman" w:eastAsia="Times New Roman" w:hAnsi="Times New Roman" w:cs="Times New Roman"/>
          <w:color w:val="auto"/>
        </w:rPr>
        <w:t xml:space="preserve"> </w:t>
      </w:r>
      <w:r w:rsidR="005A2CA7" w:rsidRPr="00D52EFE">
        <w:rPr>
          <w:rFonts w:ascii="Times New Roman" w:eastAsia="Times New Roman" w:hAnsi="Times New Roman" w:cs="Times New Roman"/>
          <w:color w:val="auto"/>
        </w:rPr>
        <w:t>as its development to date has seemingly been premised upon a DPIA that is now worryingly outdated</w:t>
      </w:r>
      <w:r w:rsidR="005A2CA7">
        <w:rPr>
          <w:rFonts w:ascii="Times New Roman" w:eastAsia="Times New Roman" w:hAnsi="Times New Roman" w:cs="Times New Roman"/>
          <w:color w:val="auto"/>
        </w:rPr>
        <w:t>, and</w:t>
      </w:r>
      <w:r w:rsidR="005A2CA7"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t>as matter of urgency</w:t>
      </w:r>
      <w:r w:rsidR="00810929">
        <w:rPr>
          <w:rFonts w:ascii="Times New Roman" w:eastAsia="Times New Roman" w:hAnsi="Times New Roman" w:cs="Times New Roman"/>
          <w:color w:val="auto"/>
        </w:rPr>
        <w:t>,</w:t>
      </w:r>
      <w:r w:rsidR="005A2CA7">
        <w:rPr>
          <w:rFonts w:ascii="Times New Roman" w:eastAsia="Times New Roman" w:hAnsi="Times New Roman" w:cs="Times New Roman"/>
          <w:color w:val="auto"/>
        </w:rPr>
        <w:t xml:space="preserve"> to engineer data protection principles</w:t>
      </w:r>
      <w:r w:rsidR="00810929">
        <w:rPr>
          <w:rFonts w:ascii="Times New Roman" w:eastAsia="Times New Roman" w:hAnsi="Times New Roman" w:cs="Times New Roman"/>
          <w:color w:val="auto"/>
        </w:rPr>
        <w:t xml:space="preserve"> as early as possible</w:t>
      </w:r>
      <w:r w:rsidRPr="00D52EFE">
        <w:rPr>
          <w:rFonts w:ascii="Times New Roman" w:eastAsia="Times New Roman" w:hAnsi="Times New Roman" w:cs="Times New Roman"/>
          <w:color w:val="auto"/>
        </w:rPr>
        <w:t xml:space="preserve">. As a </w:t>
      </w:r>
      <w:r w:rsidRPr="00D52EFE">
        <w:rPr>
          <w:rFonts w:ascii="Times New Roman" w:eastAsia="Times New Roman" w:hAnsi="Times New Roman" w:cs="Times New Roman"/>
          <w:color w:val="auto"/>
        </w:rPr>
        <w:lastRenderedPageBreak/>
        <w:t>means of supporting this position, this article has highlighted and analysed several apparent flaws in GOV.UK Verify’s DPIA, the most significant and notable of which being the identification of an erroneo</w:t>
      </w:r>
      <w:r w:rsidR="005D6D9B" w:rsidRPr="00D52EFE">
        <w:rPr>
          <w:rFonts w:ascii="Times New Roman" w:eastAsia="Times New Roman" w:hAnsi="Times New Roman" w:cs="Times New Roman"/>
          <w:color w:val="auto"/>
        </w:rPr>
        <w:t>us selection of legal bases. In addition, the</w:t>
      </w:r>
      <w:r w:rsidRPr="00D52EFE">
        <w:rPr>
          <w:rFonts w:ascii="Times New Roman" w:eastAsia="Times New Roman" w:hAnsi="Times New Roman" w:cs="Times New Roman"/>
          <w:color w:val="auto"/>
        </w:rPr>
        <w:t xml:space="preserve"> set of liability stipulations would </w:t>
      </w:r>
      <w:r w:rsidR="005D6D9B" w:rsidRPr="00D52EFE">
        <w:rPr>
          <w:rFonts w:ascii="Times New Roman" w:eastAsia="Times New Roman" w:hAnsi="Times New Roman" w:cs="Times New Roman"/>
          <w:color w:val="auto"/>
        </w:rPr>
        <w:t xml:space="preserve">also </w:t>
      </w:r>
      <w:r w:rsidRPr="00D52EFE">
        <w:rPr>
          <w:rFonts w:ascii="Times New Roman" w:eastAsia="Times New Roman" w:hAnsi="Times New Roman" w:cs="Times New Roman"/>
          <w:color w:val="auto"/>
        </w:rPr>
        <w:t>appear to be incompatible with the substantive provisions of the GDPR</w:t>
      </w:r>
      <w:r w:rsidR="005D6D9B" w:rsidRPr="00D52EFE">
        <w:rPr>
          <w:rFonts w:ascii="Times New Roman" w:eastAsia="Times New Roman" w:hAnsi="Times New Roman" w:cs="Times New Roman"/>
          <w:color w:val="auto"/>
        </w:rPr>
        <w:t xml:space="preserve"> and in particular its Article 82</w:t>
      </w:r>
      <w:r w:rsidRPr="00D52EFE">
        <w:rPr>
          <w:rFonts w:ascii="Times New Roman" w:eastAsia="Times New Roman" w:hAnsi="Times New Roman" w:cs="Times New Roman"/>
          <w:color w:val="auto"/>
        </w:rPr>
        <w:t xml:space="preserve">. </w:t>
      </w:r>
    </w:p>
    <w:p w14:paraId="5D949613" w14:textId="77777777" w:rsidR="005B4194" w:rsidRPr="00D52EFE" w:rsidRDefault="005B4194" w:rsidP="00C86397">
      <w:pPr>
        <w:rPr>
          <w:rFonts w:ascii="Times New Roman" w:eastAsia="Times New Roman" w:hAnsi="Times New Roman" w:cs="Times New Roman"/>
          <w:color w:val="auto"/>
        </w:rPr>
      </w:pPr>
    </w:p>
    <w:p w14:paraId="2D47B52A" w14:textId="15C52C29" w:rsidR="00353BA5" w:rsidRPr="00D52EFE" w:rsidRDefault="005B4194" w:rsidP="00C86397">
      <w:pPr>
        <w:rPr>
          <w:rFonts w:ascii="Times New Roman" w:eastAsia="Times New Roman" w:hAnsi="Times New Roman" w:cs="Times New Roman"/>
          <w:color w:val="auto"/>
        </w:rPr>
      </w:pPr>
      <w:r w:rsidRPr="00D52EFE">
        <w:rPr>
          <w:rFonts w:ascii="Times New Roman" w:eastAsia="Times New Roman" w:hAnsi="Times New Roman" w:cs="Times New Roman"/>
          <w:color w:val="auto"/>
        </w:rPr>
        <w:t>More specifically, the article has argued that</w:t>
      </w:r>
      <w:r w:rsidR="00C94E13" w:rsidRPr="00D52EFE">
        <w:rPr>
          <w:rFonts w:ascii="Times New Roman" w:eastAsia="Times New Roman" w:hAnsi="Times New Roman" w:cs="Times New Roman"/>
          <w:color w:val="auto"/>
        </w:rPr>
        <w:t xml:space="preserve"> </w:t>
      </w:r>
      <w:r w:rsidRPr="00D52EFE">
        <w:rPr>
          <w:rFonts w:ascii="Times New Roman" w:eastAsia="Times New Roman" w:hAnsi="Times New Roman" w:cs="Times New Roman"/>
          <w:color w:val="auto"/>
        </w:rPr>
        <w:t xml:space="preserve">identifying the appropriate legal basis for the processing of personal data requires a prior understanding and characterisation of the relationship between the different actors </w:t>
      </w:r>
      <w:r w:rsidR="005773EC">
        <w:rPr>
          <w:rFonts w:ascii="Times New Roman" w:eastAsia="Times New Roman" w:hAnsi="Times New Roman" w:cs="Times New Roman"/>
          <w:color w:val="auto"/>
        </w:rPr>
        <w:t>in a holistic way</w:t>
      </w:r>
      <w:r w:rsidR="00C94E13" w:rsidRPr="00D52EFE">
        <w:rPr>
          <w:rFonts w:ascii="Times New Roman" w:eastAsia="Times New Roman" w:hAnsi="Times New Roman" w:cs="Times New Roman"/>
          <w:color w:val="auto"/>
        </w:rPr>
        <w:t>. This is because,</w:t>
      </w:r>
      <w:r w:rsidRPr="00D52EFE">
        <w:rPr>
          <w:rFonts w:ascii="Times New Roman" w:eastAsia="Times New Roman" w:hAnsi="Times New Roman" w:cs="Times New Roman"/>
          <w:color w:val="auto"/>
        </w:rPr>
        <w:t xml:space="preserve"> </w:t>
      </w:r>
      <w:r w:rsidR="00C94E13" w:rsidRPr="00D52EFE">
        <w:rPr>
          <w:rFonts w:ascii="Times New Roman" w:eastAsia="Times New Roman" w:hAnsi="Times New Roman" w:cs="Times New Roman"/>
          <w:color w:val="auto"/>
        </w:rPr>
        <w:t>given the involvement of stronger parties, such as public authorities, it may be that some legal bases should be excluded from the very beginning</w:t>
      </w:r>
      <w:r w:rsidRPr="00D52EFE">
        <w:rPr>
          <w:rFonts w:ascii="Times New Roman" w:eastAsia="Times New Roman" w:hAnsi="Times New Roman" w:cs="Times New Roman"/>
          <w:color w:val="auto"/>
        </w:rPr>
        <w:t xml:space="preserve">. Furthermore, </w:t>
      </w:r>
      <w:r w:rsidR="00841B9A" w:rsidRPr="00D52EFE">
        <w:rPr>
          <w:rFonts w:ascii="Times New Roman" w:eastAsia="Times New Roman" w:hAnsi="Times New Roman" w:cs="Times New Roman"/>
          <w:color w:val="auto"/>
        </w:rPr>
        <w:t>it is suggested that</w:t>
      </w:r>
      <w:r w:rsidRPr="00D52EFE">
        <w:rPr>
          <w:rFonts w:ascii="Times New Roman" w:eastAsia="Times New Roman" w:hAnsi="Times New Roman" w:cs="Times New Roman"/>
          <w:color w:val="auto"/>
        </w:rPr>
        <w:t xml:space="preserve"> the characterisation of a situation of joint controllership </w:t>
      </w:r>
      <w:r w:rsidR="005773EC">
        <w:rPr>
          <w:rFonts w:ascii="Times New Roman" w:eastAsia="Times New Roman" w:hAnsi="Times New Roman" w:cs="Times New Roman"/>
          <w:color w:val="auto"/>
        </w:rPr>
        <w:t xml:space="preserve">as much as a processor-controller relationship </w:t>
      </w:r>
      <w:r w:rsidRPr="00D52EFE">
        <w:rPr>
          <w:rFonts w:ascii="Times New Roman" w:eastAsia="Times New Roman" w:hAnsi="Times New Roman" w:cs="Times New Roman"/>
          <w:color w:val="auto"/>
        </w:rPr>
        <w:t>requires taking a holistic approach to the set of processing activities intended to achieve a specifi</w:t>
      </w:r>
      <w:r w:rsidR="003C660C" w:rsidRPr="00D52EFE">
        <w:rPr>
          <w:rFonts w:ascii="Times New Roman" w:eastAsia="Times New Roman" w:hAnsi="Times New Roman" w:cs="Times New Roman"/>
          <w:color w:val="auto"/>
        </w:rPr>
        <w:t>ed and/or specific purpose. The foregoing</w:t>
      </w:r>
      <w:r w:rsidRPr="00D52EFE">
        <w:rPr>
          <w:rFonts w:ascii="Times New Roman" w:eastAsia="Times New Roman" w:hAnsi="Times New Roman" w:cs="Times New Roman"/>
          <w:color w:val="auto"/>
        </w:rPr>
        <w:t xml:space="preserve"> is </w:t>
      </w:r>
      <w:r w:rsidR="00841B9A" w:rsidRPr="00D52EFE">
        <w:rPr>
          <w:rFonts w:ascii="Times New Roman" w:eastAsia="Times New Roman" w:hAnsi="Times New Roman" w:cs="Times New Roman"/>
          <w:color w:val="auto"/>
        </w:rPr>
        <w:t xml:space="preserve">to ensure data subjects’ expectations are taken into account and </w:t>
      </w:r>
      <w:r w:rsidRPr="00D52EFE">
        <w:rPr>
          <w:rFonts w:ascii="Times New Roman" w:eastAsia="Times New Roman" w:hAnsi="Times New Roman" w:cs="Times New Roman"/>
          <w:color w:val="auto"/>
        </w:rPr>
        <w:t>ensure the full effects of Article 82 of the GDPR.</w:t>
      </w:r>
      <w:r w:rsidR="005D6D9B" w:rsidRPr="00D52EFE">
        <w:rPr>
          <w:rFonts w:ascii="Times New Roman" w:eastAsia="Times New Roman" w:hAnsi="Times New Roman" w:cs="Times New Roman"/>
          <w:color w:val="auto"/>
        </w:rPr>
        <w:t xml:space="preserve"> In the context of GOV.UK Verify this would mean that</w:t>
      </w:r>
      <w:r w:rsidR="005773EC">
        <w:rPr>
          <w:rFonts w:ascii="Times New Roman" w:eastAsia="Times New Roman" w:hAnsi="Times New Roman" w:cs="Times New Roman"/>
          <w:color w:val="auto"/>
        </w:rPr>
        <w:t xml:space="preserve"> one legal basis should ground the processing of three actors</w:t>
      </w:r>
      <w:r w:rsidR="005D6D9B" w:rsidRPr="00D52EFE">
        <w:rPr>
          <w:rFonts w:ascii="Times New Roman" w:eastAsia="Times New Roman" w:hAnsi="Times New Roman" w:cs="Times New Roman"/>
          <w:color w:val="auto"/>
        </w:rPr>
        <w:t>: the identity providers, GDS and the (government) service providers</w:t>
      </w:r>
      <w:r w:rsidR="00340BD8">
        <w:rPr>
          <w:rFonts w:ascii="Times New Roman" w:eastAsia="Times New Roman" w:hAnsi="Times New Roman" w:cs="Times New Roman"/>
          <w:color w:val="auto"/>
        </w:rPr>
        <w:t xml:space="preserve">, which should be </w:t>
      </w:r>
      <w:r w:rsidR="009713C3">
        <w:rPr>
          <w:rFonts w:ascii="Times New Roman" w:eastAsia="Times New Roman" w:hAnsi="Times New Roman" w:cs="Times New Roman"/>
          <w:color w:val="auto"/>
        </w:rPr>
        <w:t>characterised</w:t>
      </w:r>
      <w:r w:rsidR="00340BD8">
        <w:rPr>
          <w:rFonts w:ascii="Times New Roman" w:eastAsia="Times New Roman" w:hAnsi="Times New Roman" w:cs="Times New Roman"/>
          <w:color w:val="auto"/>
        </w:rPr>
        <w:t xml:space="preserve"> as joint controllers</w:t>
      </w:r>
      <w:r w:rsidR="005D6D9B" w:rsidRPr="00D52EFE">
        <w:rPr>
          <w:rFonts w:ascii="Times New Roman" w:eastAsia="Times New Roman" w:hAnsi="Times New Roman" w:cs="Times New Roman"/>
          <w:color w:val="auto"/>
        </w:rPr>
        <w:t>. This should have implications for</w:t>
      </w:r>
      <w:r w:rsidR="006943F7" w:rsidRPr="00D52EFE">
        <w:rPr>
          <w:rFonts w:ascii="Times New Roman" w:eastAsia="Times New Roman" w:hAnsi="Times New Roman" w:cs="Times New Roman"/>
          <w:color w:val="auto"/>
        </w:rPr>
        <w:t xml:space="preserve"> both</w:t>
      </w:r>
      <w:r w:rsidR="005D6D9B" w:rsidRPr="00D52EFE">
        <w:rPr>
          <w:rFonts w:ascii="Times New Roman" w:eastAsia="Times New Roman" w:hAnsi="Times New Roman" w:cs="Times New Roman"/>
          <w:color w:val="auto"/>
        </w:rPr>
        <w:t xml:space="preserve"> the scope </w:t>
      </w:r>
      <w:r w:rsidR="006943F7" w:rsidRPr="00D52EFE">
        <w:rPr>
          <w:rFonts w:ascii="Times New Roman" w:eastAsia="Times New Roman" w:hAnsi="Times New Roman" w:cs="Times New Roman"/>
          <w:color w:val="auto"/>
        </w:rPr>
        <w:t xml:space="preserve">and content </w:t>
      </w:r>
      <w:r w:rsidR="005D6D9B" w:rsidRPr="00D52EFE">
        <w:rPr>
          <w:rFonts w:ascii="Times New Roman" w:eastAsia="Times New Roman" w:hAnsi="Times New Roman" w:cs="Times New Roman"/>
          <w:color w:val="auto"/>
        </w:rPr>
        <w:t>of the next version of the data protection impact assessment</w:t>
      </w:r>
      <w:r w:rsidR="006943F7" w:rsidRPr="00D52EFE">
        <w:rPr>
          <w:rFonts w:ascii="Times New Roman" w:eastAsia="Times New Roman" w:hAnsi="Times New Roman" w:cs="Times New Roman"/>
          <w:color w:val="auto"/>
        </w:rPr>
        <w:t xml:space="preserve"> </w:t>
      </w:r>
      <w:r w:rsidR="005773EC">
        <w:rPr>
          <w:rFonts w:ascii="Times New Roman" w:eastAsia="Times New Roman" w:hAnsi="Times New Roman" w:cs="Times New Roman"/>
          <w:color w:val="auto"/>
        </w:rPr>
        <w:t>assuming</w:t>
      </w:r>
      <w:r w:rsidR="006943F7" w:rsidRPr="00D52EFE">
        <w:rPr>
          <w:rFonts w:ascii="Times New Roman" w:eastAsia="Times New Roman" w:hAnsi="Times New Roman" w:cs="Times New Roman"/>
          <w:color w:val="auto"/>
        </w:rPr>
        <w:t xml:space="preserve"> GOV.UK Verify</w:t>
      </w:r>
      <w:r w:rsidR="005D6D9B" w:rsidRPr="00D52EFE">
        <w:rPr>
          <w:rFonts w:ascii="Times New Roman" w:eastAsia="Times New Roman" w:hAnsi="Times New Roman" w:cs="Times New Roman"/>
          <w:color w:val="auto"/>
        </w:rPr>
        <w:t xml:space="preserve"> </w:t>
      </w:r>
      <w:r w:rsidR="006943F7" w:rsidRPr="00D52EFE">
        <w:rPr>
          <w:rFonts w:ascii="Times New Roman" w:eastAsia="Times New Roman" w:hAnsi="Times New Roman" w:cs="Times New Roman"/>
          <w:color w:val="auto"/>
        </w:rPr>
        <w:t xml:space="preserve">is pushed forward, as well for data subject rights, such as the right to compensation. </w:t>
      </w:r>
      <w:bookmarkStart w:id="63" w:name="_9mm8igr8927g" w:colFirst="0" w:colLast="0"/>
      <w:bookmarkStart w:id="64" w:name="_zgtk6t3tb3j7" w:colFirst="0" w:colLast="0"/>
      <w:bookmarkStart w:id="65" w:name="_r6aj1532162q" w:colFirst="0" w:colLast="0"/>
      <w:bookmarkEnd w:id="63"/>
      <w:bookmarkEnd w:id="64"/>
      <w:bookmarkEnd w:id="65"/>
    </w:p>
    <w:p w14:paraId="22F9852A" w14:textId="22B6DB29" w:rsidR="00D70F60" w:rsidRPr="00D52EFE" w:rsidRDefault="00D70F60" w:rsidP="00C86397">
      <w:pPr>
        <w:tabs>
          <w:tab w:val="left" w:pos="1343"/>
        </w:tabs>
        <w:rPr>
          <w:rFonts w:ascii="Times New Roman" w:eastAsia="Times New Roman" w:hAnsi="Times New Roman" w:cs="Times New Roman"/>
          <w:color w:val="auto"/>
        </w:rPr>
      </w:pPr>
    </w:p>
    <w:p w14:paraId="0F2BC1CD" w14:textId="77777777" w:rsidR="00AE69E6" w:rsidRPr="00D52EFE" w:rsidRDefault="00AE69E6" w:rsidP="00C86397">
      <w:pPr>
        <w:tabs>
          <w:tab w:val="left" w:pos="1343"/>
        </w:tabs>
        <w:rPr>
          <w:rFonts w:ascii="Times New Roman" w:eastAsia="Times New Roman" w:hAnsi="Times New Roman" w:cs="Times New Roman"/>
          <w:color w:val="auto"/>
        </w:rPr>
      </w:pPr>
    </w:p>
    <w:p w14:paraId="088F6335" w14:textId="336458FA" w:rsidR="007D29F6" w:rsidRPr="00D52EFE" w:rsidRDefault="007D29F6" w:rsidP="00C94E13">
      <w:pPr>
        <w:rPr>
          <w:rFonts w:ascii="Times New Roman" w:eastAsia="Times New Roman" w:hAnsi="Times New Roman" w:cs="Times New Roman"/>
          <w:color w:val="auto"/>
        </w:rPr>
      </w:pPr>
    </w:p>
    <w:p w14:paraId="7FDD9CB3" w14:textId="521F4D0E" w:rsidR="007D29F6" w:rsidRDefault="00CE7E9C" w:rsidP="007532DB">
      <w:pPr>
        <w:rPr>
          <w:rFonts w:ascii="Times New Roman" w:eastAsia="Times New Roman" w:hAnsi="Times New Roman" w:cs="Times New Roman"/>
          <w:color w:val="auto"/>
        </w:rPr>
      </w:pPr>
      <w:r>
        <w:rPr>
          <w:rFonts w:ascii="Times New Roman" w:eastAsia="Times New Roman" w:hAnsi="Times New Roman" w:cs="Times New Roman"/>
          <w:color w:val="auto"/>
        </w:rPr>
        <w:t xml:space="preserve">Acknowledgement </w:t>
      </w:r>
    </w:p>
    <w:p w14:paraId="15DBFA17" w14:textId="63D66594" w:rsidR="00CE7E9C" w:rsidRPr="00D52EFE" w:rsidRDefault="00CE7E9C" w:rsidP="007532DB">
      <w:pPr>
        <w:rPr>
          <w:rFonts w:ascii="Times New Roman" w:eastAsia="Times New Roman" w:hAnsi="Times New Roman" w:cs="Times New Roman"/>
          <w:color w:val="auto"/>
        </w:rPr>
      </w:pPr>
      <w:r w:rsidRPr="00CE7E9C">
        <w:rPr>
          <w:rFonts w:ascii="Times New Roman" w:eastAsia="Times New Roman" w:hAnsi="Times New Roman" w:cs="Times New Roman"/>
          <w:color w:val="auto"/>
        </w:rPr>
        <w:t>This research was fun</w:t>
      </w:r>
      <w:r>
        <w:rPr>
          <w:rFonts w:ascii="Times New Roman" w:eastAsia="Times New Roman" w:hAnsi="Times New Roman" w:cs="Times New Roman"/>
          <w:color w:val="auto"/>
        </w:rPr>
        <w:t xml:space="preserve">ded by the Research Councils UK </w:t>
      </w:r>
      <w:r w:rsidRPr="00CE7E9C">
        <w:rPr>
          <w:rFonts w:ascii="Times New Roman" w:eastAsia="Times New Roman" w:hAnsi="Times New Roman" w:cs="Times New Roman"/>
          <w:color w:val="auto"/>
        </w:rPr>
        <w:t>Digital Economy Programme</w:t>
      </w:r>
      <w:r>
        <w:rPr>
          <w:rFonts w:ascii="Times New Roman" w:eastAsia="Times New Roman" w:hAnsi="Times New Roman" w:cs="Times New Roman"/>
          <w:color w:val="auto"/>
        </w:rPr>
        <w:t xml:space="preserve">, Web Science Doctoral Training </w:t>
      </w:r>
      <w:r w:rsidRPr="00CE7E9C">
        <w:rPr>
          <w:rFonts w:ascii="Times New Roman" w:eastAsia="Times New Roman" w:hAnsi="Times New Roman" w:cs="Times New Roman"/>
          <w:color w:val="auto"/>
        </w:rPr>
        <w:t>Centre, Universit</w:t>
      </w:r>
      <w:r>
        <w:rPr>
          <w:rFonts w:ascii="Times New Roman" w:eastAsia="Times New Roman" w:hAnsi="Times New Roman" w:cs="Times New Roman"/>
          <w:color w:val="auto"/>
        </w:rPr>
        <w:t>y of Southampton, EP/L016117/1</w:t>
      </w:r>
      <w:r w:rsidRPr="00CE7E9C">
        <w:rPr>
          <w:rFonts w:ascii="Times New Roman" w:eastAsia="Times New Roman" w:hAnsi="Times New Roman" w:cs="Times New Roman"/>
          <w:color w:val="auto"/>
        </w:rPr>
        <w:t xml:space="preserve">, and </w:t>
      </w:r>
      <w:r>
        <w:rPr>
          <w:rFonts w:ascii="Times New Roman" w:eastAsia="Times New Roman" w:hAnsi="Times New Roman" w:cs="Times New Roman"/>
          <w:color w:val="auto"/>
        </w:rPr>
        <w:t xml:space="preserve">the European </w:t>
      </w:r>
      <w:r w:rsidRPr="00CE7E9C">
        <w:rPr>
          <w:rFonts w:ascii="Times New Roman" w:eastAsia="Times New Roman" w:hAnsi="Times New Roman" w:cs="Times New Roman"/>
          <w:color w:val="auto"/>
        </w:rPr>
        <w:t>Union's Horizon 2020 re</w:t>
      </w:r>
      <w:r>
        <w:rPr>
          <w:rFonts w:ascii="Times New Roman" w:eastAsia="Times New Roman" w:hAnsi="Times New Roman" w:cs="Times New Roman"/>
          <w:color w:val="auto"/>
        </w:rPr>
        <w:t xml:space="preserve">search and innovation programme </w:t>
      </w:r>
      <w:r w:rsidRPr="00CE7E9C">
        <w:rPr>
          <w:rFonts w:ascii="Times New Roman" w:eastAsia="Times New Roman" w:hAnsi="Times New Roman" w:cs="Times New Roman"/>
          <w:color w:val="auto"/>
        </w:rPr>
        <w:t>under grant agr</w:t>
      </w:r>
      <w:r>
        <w:rPr>
          <w:rFonts w:ascii="Times New Roman" w:eastAsia="Times New Roman" w:hAnsi="Times New Roman" w:cs="Times New Roman"/>
          <w:color w:val="auto"/>
        </w:rPr>
        <w:t xml:space="preserve">eement No 700542. This paper reflects only </w:t>
      </w:r>
      <w:r w:rsidRPr="00CE7E9C">
        <w:rPr>
          <w:rFonts w:ascii="Times New Roman" w:eastAsia="Times New Roman" w:hAnsi="Times New Roman" w:cs="Times New Roman"/>
          <w:color w:val="auto"/>
        </w:rPr>
        <w:t>the authors' views; the Co</w:t>
      </w:r>
      <w:r>
        <w:rPr>
          <w:rFonts w:ascii="Times New Roman" w:eastAsia="Times New Roman" w:hAnsi="Times New Roman" w:cs="Times New Roman"/>
          <w:color w:val="auto"/>
        </w:rPr>
        <w:t xml:space="preserve">mmission is not responsible for </w:t>
      </w:r>
      <w:r w:rsidRPr="00CE7E9C">
        <w:rPr>
          <w:rFonts w:ascii="Times New Roman" w:eastAsia="Times New Roman" w:hAnsi="Times New Roman" w:cs="Times New Roman"/>
          <w:color w:val="auto"/>
        </w:rPr>
        <w:t>any use that may be made of the information it contains.</w:t>
      </w:r>
    </w:p>
    <w:p w14:paraId="533B4112" w14:textId="3C3F8ECE" w:rsidR="007D29F6" w:rsidRPr="00D52EFE" w:rsidRDefault="007D29F6" w:rsidP="00C86397">
      <w:pPr>
        <w:rPr>
          <w:rFonts w:ascii="Times New Roman" w:hAnsi="Times New Roman" w:cs="Times New Roman"/>
          <w:i/>
          <w:noProof/>
          <w:color w:val="auto"/>
        </w:rPr>
      </w:pPr>
    </w:p>
    <w:sectPr w:rsidR="007D29F6" w:rsidRPr="00D52EFE">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692FA" w14:textId="77777777" w:rsidR="00F560CA" w:rsidRDefault="00F560CA">
      <w:pPr>
        <w:spacing w:line="240" w:lineRule="auto"/>
      </w:pPr>
      <w:r>
        <w:separator/>
      </w:r>
    </w:p>
  </w:endnote>
  <w:endnote w:type="continuationSeparator" w:id="0">
    <w:p w14:paraId="05DF874D" w14:textId="77777777" w:rsidR="00F560CA" w:rsidRDefault="00F560CA">
      <w:pPr>
        <w:spacing w:line="240" w:lineRule="auto"/>
      </w:pPr>
      <w:r>
        <w:continuationSeparator/>
      </w:r>
    </w:p>
  </w:endnote>
  <w:endnote w:type="continuationNotice" w:id="1">
    <w:p w14:paraId="67711D98" w14:textId="77777777" w:rsidR="00F560CA" w:rsidRDefault="00F560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951B" w14:textId="23736E43" w:rsidR="00F560CA" w:rsidRDefault="00F560CA">
    <w:pPr>
      <w:jc w:val="right"/>
    </w:pPr>
    <w:r>
      <w:fldChar w:fldCharType="begin"/>
    </w:r>
    <w:r>
      <w:instrText>PAGE</w:instrText>
    </w:r>
    <w:r>
      <w:fldChar w:fldCharType="separate"/>
    </w:r>
    <w:r w:rsidR="00C66F6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37DD8" w14:textId="77777777" w:rsidR="00F560CA" w:rsidRDefault="00F560CA">
      <w:pPr>
        <w:spacing w:line="240" w:lineRule="auto"/>
      </w:pPr>
      <w:r>
        <w:separator/>
      </w:r>
    </w:p>
  </w:footnote>
  <w:footnote w:type="continuationSeparator" w:id="0">
    <w:p w14:paraId="37B7B128" w14:textId="77777777" w:rsidR="00F560CA" w:rsidRDefault="00F560CA">
      <w:pPr>
        <w:spacing w:line="240" w:lineRule="auto"/>
      </w:pPr>
      <w:r>
        <w:continuationSeparator/>
      </w:r>
    </w:p>
  </w:footnote>
  <w:footnote w:type="continuationNotice" w:id="1">
    <w:p w14:paraId="288E91B6" w14:textId="77777777" w:rsidR="00F560CA" w:rsidRDefault="00F560CA">
      <w:pPr>
        <w:spacing w:line="240" w:lineRule="auto"/>
      </w:pPr>
    </w:p>
  </w:footnote>
  <w:footnote w:id="2">
    <w:p w14:paraId="3B73E777" w14:textId="097F442C" w:rsidR="00F560CA" w:rsidRDefault="00F560CA">
      <w:pPr>
        <w:pStyle w:val="FootnoteText"/>
        <w:rPr>
          <w:rFonts w:ascii="Times New Roman" w:hAnsi="Times New Roman" w:cs="Times New Roman"/>
        </w:rPr>
      </w:pPr>
      <w:r w:rsidRPr="00C86397">
        <w:rPr>
          <w:rStyle w:val="FootnoteReference"/>
        </w:rPr>
        <w:sym w:font="Symbol" w:char="F02A"/>
      </w:r>
      <w:r>
        <w:t xml:space="preserve"> </w:t>
      </w:r>
      <w:r w:rsidRPr="005871E5">
        <w:rPr>
          <w:rFonts w:ascii="Times New Roman" w:hAnsi="Times New Roman" w:cs="Times New Roman"/>
        </w:rPr>
        <w:t xml:space="preserve">Corresponding author. </w:t>
      </w:r>
      <w:r>
        <w:rPr>
          <w:rFonts w:ascii="Times New Roman" w:hAnsi="Times New Roman" w:cs="Times New Roman"/>
        </w:rPr>
        <w:t xml:space="preserve">The </w:t>
      </w:r>
      <w:r w:rsidRPr="005871E5">
        <w:rPr>
          <w:rFonts w:ascii="Times New Roman" w:hAnsi="Times New Roman" w:cs="Times New Roman"/>
        </w:rPr>
        <w:t xml:space="preserve">Institute for Law and the Web, Faculty of Business, Law and Art, </w:t>
      </w:r>
      <w:r w:rsidRPr="00637087">
        <w:rPr>
          <w:rFonts w:ascii="Times New Roman" w:hAnsi="Times New Roman" w:cs="Times New Roman"/>
        </w:rPr>
        <w:t>University of Southampton</w:t>
      </w:r>
      <w:r>
        <w:rPr>
          <w:rFonts w:ascii="Times New Roman" w:hAnsi="Times New Roman" w:cs="Times New Roman"/>
        </w:rPr>
        <w:t xml:space="preserve">, </w:t>
      </w:r>
      <w:r w:rsidRPr="00637087">
        <w:rPr>
          <w:rFonts w:ascii="Times New Roman" w:hAnsi="Times New Roman" w:cs="Times New Roman"/>
        </w:rPr>
        <w:t>University Road</w:t>
      </w:r>
      <w:r>
        <w:rPr>
          <w:rFonts w:ascii="Times New Roman" w:hAnsi="Times New Roman" w:cs="Times New Roman"/>
        </w:rPr>
        <w:t xml:space="preserve">, </w:t>
      </w:r>
      <w:r w:rsidRPr="00637087">
        <w:rPr>
          <w:rFonts w:ascii="Times New Roman" w:hAnsi="Times New Roman" w:cs="Times New Roman"/>
        </w:rPr>
        <w:t>Southampton</w:t>
      </w:r>
      <w:r>
        <w:rPr>
          <w:rFonts w:ascii="Times New Roman" w:hAnsi="Times New Roman" w:cs="Times New Roman"/>
        </w:rPr>
        <w:t xml:space="preserve">, </w:t>
      </w:r>
      <w:r w:rsidRPr="00637087">
        <w:rPr>
          <w:rFonts w:ascii="Times New Roman" w:hAnsi="Times New Roman" w:cs="Times New Roman"/>
        </w:rPr>
        <w:t>SO17 1BJ</w:t>
      </w:r>
      <w:r>
        <w:rPr>
          <w:rFonts w:ascii="Times New Roman" w:hAnsi="Times New Roman" w:cs="Times New Roman"/>
        </w:rPr>
        <w:t xml:space="preserve">, </w:t>
      </w:r>
      <w:r w:rsidRPr="00637087">
        <w:rPr>
          <w:rFonts w:ascii="Times New Roman" w:hAnsi="Times New Roman" w:cs="Times New Roman"/>
        </w:rPr>
        <w:t>United Kingdom</w:t>
      </w:r>
    </w:p>
    <w:p w14:paraId="4D7DEE90" w14:textId="01BBD8A2" w:rsidR="00F560CA" w:rsidRPr="005871E5" w:rsidRDefault="00F560CA">
      <w:pPr>
        <w:pStyle w:val="FootnoteText"/>
        <w:rPr>
          <w:rFonts w:ascii="Times New Roman" w:hAnsi="Times New Roman" w:cs="Times New Roman"/>
        </w:rPr>
      </w:pPr>
      <w:r>
        <w:rPr>
          <w:rFonts w:ascii="Times New Roman" w:hAnsi="Times New Roman" w:cs="Times New Roman"/>
        </w:rPr>
        <w:t xml:space="preserve">Email address: </w:t>
      </w:r>
      <w:r w:rsidRPr="005871E5">
        <w:rPr>
          <w:rFonts w:ascii="Times New Roman" w:hAnsi="Times New Roman" w:cs="Times New Roman"/>
        </w:rPr>
        <w:t>Stalla-Bourdillon S. (S.Stalla-Bourdillon@soton.ac.uk)</w:t>
      </w:r>
    </w:p>
  </w:footnote>
  <w:footnote w:id="3">
    <w:p w14:paraId="60DA9905" w14:textId="271C410C"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 OJ L 119/1</w:t>
      </w:r>
      <w:r w:rsidRPr="00C86397">
        <w:rPr>
          <w:rFonts w:ascii="Times New Roman" w:eastAsia="Times New Roman" w:hAnsi="Times New Roman" w:cs="Times New Roman"/>
          <w:i/>
          <w:sz w:val="20"/>
          <w:szCs w:val="20"/>
        </w:rPr>
        <w:t xml:space="preserve">. </w:t>
      </w:r>
    </w:p>
  </w:footnote>
  <w:footnote w:id="4">
    <w:p w14:paraId="3D2D50E6" w14:textId="678F04D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Directive 95/46/EC of the European Parliament and of the Council of 24 October 1995 on the Protection of Individuals with Regard to the Processing of Personal Data and on the Free Movement of Such Data [1995] OJ L 281/31</w:t>
      </w:r>
      <w:r w:rsidRPr="00C86397">
        <w:rPr>
          <w:rFonts w:ascii="Times New Roman" w:eastAsia="Times New Roman" w:hAnsi="Times New Roman" w:cs="Times New Roman"/>
          <w:sz w:val="20"/>
          <w:szCs w:val="20"/>
        </w:rPr>
        <w:t>.</w:t>
      </w:r>
    </w:p>
  </w:footnote>
  <w:footnote w:id="5">
    <w:p w14:paraId="50BE2323" w14:textId="11F621F4" w:rsidR="00F560CA" w:rsidRPr="00C86397" w:rsidRDefault="00F560CA" w:rsidP="00C86397">
      <w:pPr>
        <w:pStyle w:val="FootnoteText"/>
        <w:rPr>
          <w:rFonts w:ascii="Times New Roman" w:eastAsia="Times New Roman" w:hAnsi="Times New Roman" w:cs="Times New Roman"/>
          <w:noProof/>
        </w:rPr>
      </w:pPr>
      <w:r w:rsidRPr="00C86397">
        <w:rPr>
          <w:rFonts w:ascii="Times New Roman" w:hAnsi="Times New Roman" w:cs="Times New Roman"/>
          <w:vertAlign w:val="superscript"/>
        </w:rPr>
        <w:footnoteRef/>
      </w:r>
      <w:r w:rsidRPr="00C86397">
        <w:rPr>
          <w:rFonts w:ascii="Times New Roman" w:eastAsia="Times New Roman" w:hAnsi="Times New Roman" w:cs="Times New Roman"/>
          <w:noProof/>
        </w:rPr>
        <w:t xml:space="preserve"> NHS foundation trusts are not-for-profit, public benefit corporations.</w:t>
      </w:r>
    </w:p>
  </w:footnote>
  <w:footnote w:id="6">
    <w:p w14:paraId="740C72A5" w14:textId="6C94BEC1"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eastAsia="Times New Roman" w:hAnsi="Times New Roman" w:cs="Times New Roman"/>
          <w:sz w:val="20"/>
          <w:szCs w:val="20"/>
        </w:rPr>
        <w:t xml:space="preserve"> </w:t>
      </w:r>
      <w:r w:rsidRPr="00C86397">
        <w:rPr>
          <w:rFonts w:ascii="Times New Roman" w:eastAsia="Times New Roman" w:hAnsi="Times New Roman" w:cs="Times New Roman"/>
          <w:noProof/>
          <w:sz w:val="20"/>
          <w:szCs w:val="20"/>
        </w:rPr>
        <w:t>Letter from Elisabeth Denam,Information Commissioner, to Sir David Solma (3 July 2017) &lt;https://ico.org.uk/media/action-weve-taken/undertakings/2014353/undertaking-cover-letter-revised-04072017-to-first-person.pdf&gt; accessed 26 April 2018</w:t>
      </w:r>
      <w:r w:rsidRPr="00C863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Streams application aims</w:t>
      </w:r>
      <w:r w:rsidRPr="002B79DA">
        <w:rPr>
          <w:rFonts w:ascii="Times New Roman" w:eastAsia="Times New Roman" w:hAnsi="Times New Roman" w:cs="Times New Roman"/>
          <w:sz w:val="20"/>
          <w:szCs w:val="20"/>
        </w:rPr>
        <w:t xml:space="preserve"> to detect signs of kidney failure</w:t>
      </w:r>
      <w:r>
        <w:rPr>
          <w:rFonts w:ascii="Times New Roman" w:eastAsia="Times New Roman" w:hAnsi="Times New Roman" w:cs="Times New Roman"/>
          <w:sz w:val="20"/>
          <w:szCs w:val="20"/>
        </w:rPr>
        <w:t xml:space="preserve"> at an early stage. </w:t>
      </w:r>
    </w:p>
  </w:footnote>
  <w:footnote w:id="7">
    <w:p w14:paraId="2CCB3ED1" w14:textId="23C2CE0C"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Regulation (EU) No 910/2014 of 23 July 2014 on electronic identification and trust services for electronic transactions in the internal market and repealing Directive 1999/93/EC [2014] OJ L257/73</w:t>
      </w:r>
      <w:r w:rsidRPr="00C86397">
        <w:rPr>
          <w:rFonts w:ascii="Times New Roman" w:eastAsia="Times New Roman" w:hAnsi="Times New Roman" w:cs="Times New Roman"/>
          <w:sz w:val="20"/>
          <w:szCs w:val="20"/>
        </w:rPr>
        <w:t xml:space="preserve">. </w:t>
      </w:r>
    </w:p>
  </w:footnote>
  <w:footnote w:id="8">
    <w:p w14:paraId="60E3D6E0" w14:textId="0C4657B6"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In contrast, </w:t>
      </w:r>
      <w:r>
        <w:rPr>
          <w:rFonts w:ascii="Times New Roman" w:hAnsi="Times New Roman" w:cs="Times New Roman"/>
        </w:rPr>
        <w:t xml:space="preserve">mutual </w:t>
      </w:r>
      <w:r w:rsidRPr="00C86397">
        <w:rPr>
          <w:rFonts w:ascii="Times New Roman" w:hAnsi="Times New Roman" w:cs="Times New Roman"/>
        </w:rPr>
        <w:t xml:space="preserve">recognition of trust services from third countries is </w:t>
      </w:r>
      <w:r>
        <w:rPr>
          <w:rFonts w:ascii="Times New Roman" w:hAnsi="Times New Roman" w:cs="Times New Roman"/>
        </w:rPr>
        <w:t>possible</w:t>
      </w:r>
      <w:r w:rsidRPr="00C86397">
        <w:rPr>
          <w:rFonts w:ascii="Times New Roman" w:hAnsi="Times New Roman" w:cs="Times New Roman"/>
        </w:rPr>
        <w:t xml:space="preserve"> under eIDAS Art. 14.</w:t>
      </w:r>
    </w:p>
  </w:footnote>
  <w:footnote w:id="9">
    <w:p w14:paraId="0259C004" w14:textId="5A0F8641"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noProof/>
        </w:rPr>
        <w:t>European Union (Withdrawal) Bill 2017-19 HL Bill 79</w:t>
      </w:r>
      <w:r w:rsidRPr="00C86397">
        <w:rPr>
          <w:rFonts w:ascii="Times New Roman" w:hAnsi="Times New Roman" w:cs="Times New Roman"/>
        </w:rPr>
        <w:t xml:space="preserve"> at 40.</w:t>
      </w:r>
    </w:p>
  </w:footnote>
  <w:footnote w:id="10">
    <w:p w14:paraId="6753878A" w14:textId="4F775269"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See also fn. </w:t>
      </w:r>
      <w:r w:rsidRPr="00C86397">
        <w:rPr>
          <w:rFonts w:ascii="Times New Roman" w:hAnsi="Times New Roman" w:cs="Times New Roman"/>
        </w:rPr>
        <w:fldChar w:fldCharType="begin"/>
      </w:r>
      <w:r w:rsidRPr="00C86397">
        <w:rPr>
          <w:rFonts w:ascii="Times New Roman" w:hAnsi="Times New Roman" w:cs="Times New Roman"/>
        </w:rPr>
        <w:instrText xml:space="preserve"> NOTEREF _Ref512003665 \h  \* MERGEFORMAT </w:instrText>
      </w:r>
      <w:r w:rsidRPr="00C86397">
        <w:rPr>
          <w:rFonts w:ascii="Times New Roman" w:hAnsi="Times New Roman" w:cs="Times New Roman"/>
        </w:rPr>
      </w:r>
      <w:r w:rsidRPr="00C86397">
        <w:rPr>
          <w:rFonts w:ascii="Times New Roman" w:hAnsi="Times New Roman" w:cs="Times New Roman"/>
        </w:rPr>
        <w:fldChar w:fldCharType="separate"/>
      </w:r>
      <w:r>
        <w:rPr>
          <w:rFonts w:ascii="Times New Roman" w:hAnsi="Times New Roman" w:cs="Times New Roman"/>
        </w:rPr>
        <w:t>77</w:t>
      </w:r>
      <w:r w:rsidRPr="00C86397">
        <w:rPr>
          <w:rFonts w:ascii="Times New Roman" w:hAnsi="Times New Roman" w:cs="Times New Roman"/>
        </w:rPr>
        <w:fldChar w:fldCharType="end"/>
      </w:r>
      <w:r w:rsidRPr="00C86397">
        <w:rPr>
          <w:rFonts w:ascii="Times New Roman" w:hAnsi="Times New Roman" w:cs="Times New Roman"/>
        </w:rPr>
        <w:t xml:space="preserve"> and related discussion.</w:t>
      </w:r>
    </w:p>
  </w:footnote>
  <w:footnote w:id="11">
    <w:p w14:paraId="0C35918D" w14:textId="20CB9F0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eIDAS, Art. 5(1). </w:t>
      </w:r>
    </w:p>
  </w:footnote>
  <w:footnote w:id="12">
    <w:p w14:paraId="7E1D757B" w14:textId="74AA0FFD"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 xml:space="preserve">Generally speaking, the term “Privacy by Design” refers to an approach to the construction of technological communications systems, data processing technologies, and computer networks in which privacy is taken into account at all stages of the design process. On this topic, see </w:t>
      </w:r>
      <w:r w:rsidRPr="00C86397">
        <w:rPr>
          <w:rFonts w:ascii="Times New Roman" w:eastAsia="Times New Roman" w:hAnsi="Times New Roman" w:cs="Times New Roman"/>
          <w:noProof/>
          <w:sz w:val="20"/>
          <w:szCs w:val="20"/>
        </w:rPr>
        <w:t>Ann Cavoukian, 'Privacy by Design' (</w:t>
      </w:r>
      <w:r w:rsidRPr="00C86397">
        <w:rPr>
          <w:rFonts w:ascii="Times New Roman" w:eastAsia="Times New Roman" w:hAnsi="Times New Roman" w:cs="Times New Roman"/>
          <w:i/>
          <w:noProof/>
          <w:sz w:val="20"/>
          <w:szCs w:val="20"/>
        </w:rPr>
        <w:t>Information &amp; Privacy Commissioner of Ontario,</w:t>
      </w:r>
      <w:r w:rsidRPr="00C86397">
        <w:rPr>
          <w:rFonts w:ascii="Times New Roman" w:eastAsia="Times New Roman" w:hAnsi="Times New Roman" w:cs="Times New Roman"/>
          <w:noProof/>
          <w:sz w:val="20"/>
          <w:szCs w:val="20"/>
        </w:rPr>
        <w:t xml:space="preserve"> 2009) &lt;https://www.ipc.on.ca/wp-content/uploads/2013/09/pbd-primer.pdf&gt;  accessed 26 April 2018</w:t>
      </w:r>
      <w:r w:rsidRPr="00C86397">
        <w:rPr>
          <w:rFonts w:ascii="Times New Roman" w:eastAsia="Times New Roman" w:hAnsi="Times New Roman" w:cs="Times New Roman"/>
          <w:sz w:val="20"/>
          <w:szCs w:val="20"/>
        </w:rPr>
        <w:t>.</w:t>
      </w:r>
    </w:p>
  </w:footnote>
  <w:footnote w:id="13">
    <w:p w14:paraId="4B30F6C7" w14:textId="5898591D"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eastAsia="Times New Roman" w:hAnsi="Times New Roman" w:cs="Times New Roman"/>
          <w:sz w:val="20"/>
          <w:szCs w:val="20"/>
        </w:rPr>
        <w:t xml:space="preserve"> </w:t>
      </w:r>
      <w:r w:rsidRPr="00C86397">
        <w:rPr>
          <w:rFonts w:ascii="Times New Roman" w:eastAsia="Times New Roman" w:hAnsi="Times New Roman" w:cs="Times New Roman"/>
          <w:noProof/>
          <w:sz w:val="20"/>
          <w:szCs w:val="20"/>
        </w:rPr>
        <w:t xml:space="preserve"> 'GDPR will come into force in the UK in 2018, minister confirms' (</w:t>
      </w:r>
      <w:r w:rsidRPr="00C86397">
        <w:rPr>
          <w:rFonts w:ascii="Times New Roman" w:eastAsia="Times New Roman" w:hAnsi="Times New Roman" w:cs="Times New Roman"/>
          <w:i/>
          <w:noProof/>
          <w:sz w:val="20"/>
          <w:szCs w:val="20"/>
        </w:rPr>
        <w:t>Out-Law.com,</w:t>
      </w:r>
      <w:r w:rsidRPr="00C86397">
        <w:rPr>
          <w:rFonts w:ascii="Times New Roman" w:eastAsia="Times New Roman" w:hAnsi="Times New Roman" w:cs="Times New Roman"/>
          <w:noProof/>
          <w:sz w:val="20"/>
          <w:szCs w:val="20"/>
        </w:rPr>
        <w:t xml:space="preserve"> 9 November 2016) &lt;https://www.out-law.com/en/articles/2016/november/gdpr-will-come-into-force-in-the-uk-in-2018-minister-confirms/&gt;  accessed 26 April 2018</w:t>
      </w:r>
      <w:r w:rsidRPr="00C86397">
        <w:rPr>
          <w:rFonts w:ascii="Times New Roman" w:eastAsia="Times New Roman" w:hAnsi="Times New Roman" w:cs="Times New Roman"/>
          <w:sz w:val="20"/>
          <w:szCs w:val="20"/>
        </w:rPr>
        <w:t xml:space="preserve">. </w:t>
      </w:r>
    </w:p>
  </w:footnote>
  <w:footnote w:id="14">
    <w:p w14:paraId="30781D51" w14:textId="7F043750"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Department for Digital, Culture, Media &amp; Sport and The Rt Hon Matt Hancock MP, 'Government to strengthen UK data protection law' (</w:t>
      </w:r>
      <w:r w:rsidRPr="00C86397">
        <w:rPr>
          <w:rFonts w:ascii="Times New Roman" w:hAnsi="Times New Roman" w:cs="Times New Roman"/>
          <w:i/>
          <w:noProof/>
          <w:sz w:val="20"/>
          <w:szCs w:val="20"/>
        </w:rPr>
        <w:t>Gov.UK,</w:t>
      </w:r>
      <w:r w:rsidRPr="00C86397">
        <w:rPr>
          <w:rFonts w:ascii="Times New Roman" w:hAnsi="Times New Roman" w:cs="Times New Roman"/>
          <w:noProof/>
          <w:sz w:val="20"/>
          <w:szCs w:val="20"/>
        </w:rPr>
        <w:t xml:space="preserve"> 7 August 2017) &lt;https://www.gov.uk/government/news/government-to-strengthen-uk-data-protection-law&gt;  accessed 26 April 2018</w:t>
      </w:r>
      <w:r w:rsidRPr="00C86397">
        <w:rPr>
          <w:rFonts w:ascii="Times New Roman" w:eastAsia="Times New Roman" w:hAnsi="Times New Roman" w:cs="Times New Roman"/>
          <w:sz w:val="20"/>
          <w:szCs w:val="20"/>
        </w:rPr>
        <w:t xml:space="preserve">. The Data Protection Bill was introduced to the House of Lords on 13 September 2017, </w:t>
      </w:r>
      <w:r w:rsidRPr="00C86397">
        <w:rPr>
          <w:rFonts w:ascii="Times New Roman" w:eastAsia="Times New Roman" w:hAnsi="Times New Roman" w:cs="Times New Roman"/>
          <w:noProof/>
          <w:sz w:val="20"/>
          <w:szCs w:val="20"/>
        </w:rPr>
        <w:t>ibid</w:t>
      </w:r>
      <w:r w:rsidRPr="00C86397">
        <w:rPr>
          <w:rFonts w:ascii="Times New Roman" w:eastAsia="Times New Roman" w:hAnsi="Times New Roman" w:cs="Times New Roman"/>
          <w:sz w:val="20"/>
          <w:szCs w:val="20"/>
        </w:rPr>
        <w:t xml:space="preserve">. </w:t>
      </w:r>
    </w:p>
  </w:footnote>
  <w:footnote w:id="15">
    <w:p w14:paraId="0B096AEB" w14:textId="3E9F9652"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GDPR, Art. 83(5). </w:t>
      </w:r>
    </w:p>
  </w:footnote>
  <w:footnote w:id="16">
    <w:p w14:paraId="03577F95" w14:textId="06B8C114"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Pr>
          <w:rFonts w:ascii="Times New Roman" w:hAnsi="Times New Roman" w:cs="Times New Roman"/>
          <w:sz w:val="20"/>
          <w:szCs w:val="20"/>
        </w:rPr>
        <w:t>Of note,</w:t>
      </w:r>
      <w:r w:rsidRPr="00C86397">
        <w:rPr>
          <w:rFonts w:ascii="Times New Roman" w:hAnsi="Times New Roman" w:cs="Times New Roman"/>
          <w:sz w:val="20"/>
          <w:szCs w:val="20"/>
        </w:rPr>
        <w:t xml:space="preserve"> the ICO decided to assess Deep Mind’s practices on the basis that Deep Mind was only a processor</w:t>
      </w:r>
      <w:r>
        <w:rPr>
          <w:rFonts w:ascii="Times New Roman" w:hAnsi="Times New Roman" w:cs="Times New Roman"/>
          <w:sz w:val="20"/>
          <w:szCs w:val="20"/>
        </w:rPr>
        <w:t xml:space="preserve"> and not a data controller. See</w:t>
      </w:r>
      <w:r w:rsidRPr="00C86397">
        <w:rPr>
          <w:rFonts w:ascii="Times New Roman" w:hAnsi="Times New Roman" w:cs="Times New Roman"/>
          <w:noProof/>
          <w:sz w:val="20"/>
          <w:szCs w:val="20"/>
        </w:rPr>
        <w:t xml:space="preserve"> 'Collection: Data Protection Bill 2017' (</w:t>
      </w:r>
      <w:r w:rsidRPr="00C86397">
        <w:rPr>
          <w:rFonts w:ascii="Times New Roman" w:hAnsi="Times New Roman" w:cs="Times New Roman"/>
          <w:i/>
          <w:noProof/>
          <w:sz w:val="20"/>
          <w:szCs w:val="20"/>
        </w:rPr>
        <w:t>Gov.UK,</w:t>
      </w:r>
      <w:r w:rsidRPr="00C86397">
        <w:rPr>
          <w:rFonts w:ascii="Times New Roman" w:hAnsi="Times New Roman" w:cs="Times New Roman"/>
          <w:noProof/>
          <w:sz w:val="20"/>
          <w:szCs w:val="20"/>
        </w:rPr>
        <w:t xml:space="preserve"> 14 September 2017) &lt;https://www.gov.uk/government/collections/data-protection-bill-2017&gt;  accessed 26 April 2018</w:t>
      </w:r>
      <w:r w:rsidRPr="00C86397">
        <w:rPr>
          <w:rFonts w:ascii="Times New Roman" w:hAnsi="Times New Roman" w:cs="Times New Roman"/>
          <w:sz w:val="20"/>
          <w:szCs w:val="20"/>
        </w:rPr>
        <w:t xml:space="preserve">. </w:t>
      </w:r>
    </w:p>
  </w:footnote>
  <w:footnote w:id="17">
    <w:p w14:paraId="247FA0EC" w14:textId="5B44F949"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Cabinet Office, 'Government Digital Strategy: December 2013' (</w:t>
      </w:r>
      <w:r w:rsidRPr="00C86397">
        <w:rPr>
          <w:rFonts w:ascii="Times New Roman" w:hAnsi="Times New Roman" w:cs="Times New Roman"/>
          <w:i/>
          <w:noProof/>
          <w:sz w:val="20"/>
          <w:szCs w:val="20"/>
        </w:rPr>
        <w:t>Gov.UK,</w:t>
      </w:r>
      <w:r w:rsidRPr="00C86397">
        <w:rPr>
          <w:rFonts w:ascii="Times New Roman" w:hAnsi="Times New Roman" w:cs="Times New Roman"/>
          <w:noProof/>
          <w:sz w:val="20"/>
          <w:szCs w:val="20"/>
        </w:rPr>
        <w:t xml:space="preserve"> 10 December 2013) &lt;https://www.gov.uk/government/publications/government-digital-strategy/government-digital-strategy&gt;  accessed 26 April 2018</w:t>
      </w:r>
      <w:r w:rsidRPr="00C86397">
        <w:rPr>
          <w:rFonts w:ascii="Times New Roman" w:hAnsi="Times New Roman" w:cs="Times New Roman"/>
          <w:sz w:val="20"/>
          <w:szCs w:val="20"/>
        </w:rPr>
        <w:t xml:space="preserve"> “Digital by default means digital services which are so straightforward and convenient that all those who can use digital services will choose to do so, while those who can’t are not excluded.”</w:t>
      </w:r>
    </w:p>
  </w:footnote>
  <w:footnote w:id="18">
    <w:p w14:paraId="4F4D3688" w14:textId="133860A2"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Action 11.</w:t>
      </w:r>
    </w:p>
  </w:footnote>
  <w:footnote w:id="19">
    <w:p w14:paraId="6031CD1B" w14:textId="48AF33C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Identity Cards Act 2006, c 15</w:t>
      </w:r>
      <w:r w:rsidRPr="00C86397">
        <w:rPr>
          <w:rFonts w:ascii="Times New Roman" w:hAnsi="Times New Roman" w:cs="Times New Roman"/>
          <w:sz w:val="20"/>
          <w:szCs w:val="20"/>
        </w:rPr>
        <w:t>, s. 1.</w:t>
      </w:r>
    </w:p>
  </w:footnote>
  <w:footnote w:id="20">
    <w:p w14:paraId="71966C82" w14:textId="4883D7AD"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Identity Documents Act 2010, c 40</w:t>
      </w:r>
      <w:r w:rsidRPr="00C86397">
        <w:rPr>
          <w:rFonts w:ascii="Times New Roman" w:hAnsi="Times New Roman" w:cs="Times New Roman"/>
          <w:sz w:val="20"/>
          <w:szCs w:val="20"/>
        </w:rPr>
        <w:t>, ss. 1-3.</w:t>
      </w:r>
    </w:p>
  </w:footnote>
  <w:footnote w:id="21">
    <w:p w14:paraId="32CDA00D" w14:textId="677E3301"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 'What is the Government Gateway?' (</w:t>
      </w:r>
      <w:r w:rsidRPr="00C86397">
        <w:rPr>
          <w:rFonts w:ascii="Times New Roman" w:hAnsi="Times New Roman" w:cs="Times New Roman"/>
          <w:i/>
          <w:noProof/>
          <w:sz w:val="20"/>
          <w:szCs w:val="20"/>
        </w:rPr>
        <w:t>Government Gateway Help Desk</w:t>
      </w:r>
      <w:r w:rsidRPr="00C86397">
        <w:rPr>
          <w:rFonts w:ascii="Times New Roman" w:hAnsi="Times New Roman" w:cs="Times New Roman"/>
          <w:noProof/>
          <w:sz w:val="20"/>
          <w:szCs w:val="20"/>
        </w:rPr>
        <w:t>) &lt;http://www.gateway.gov.uk/Help/Help.aspx?content=help_more_info_gateway.htm&amp;languageid=0&gt;  accessed 26 April 2018</w:t>
      </w:r>
      <w:r w:rsidRPr="00C86397">
        <w:rPr>
          <w:rFonts w:ascii="Times New Roman" w:hAnsi="Times New Roman" w:cs="Times New Roman"/>
          <w:sz w:val="20"/>
          <w:szCs w:val="20"/>
        </w:rPr>
        <w:t>.</w:t>
      </w:r>
    </w:p>
  </w:footnote>
  <w:footnote w:id="22">
    <w:p w14:paraId="1581F10F" w14:textId="7ECC01DC"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Department for Digital, Culture, Media &amp; Sport, 'UK Digital Strategy 2017' (1 March 2017) &lt;https://www.gov.uk/government/publications/uk-digital-strategy/uk-digital-strategy&gt;  accessed 26 April 2018</w:t>
      </w:r>
      <w:r w:rsidRPr="00C86397">
        <w:rPr>
          <w:rFonts w:ascii="Times New Roman" w:hAnsi="Times New Roman" w:cs="Times New Roman"/>
          <w:sz w:val="20"/>
          <w:szCs w:val="20"/>
        </w:rPr>
        <w:t>, ch. 6.</w:t>
      </w:r>
    </w:p>
  </w:footnote>
  <w:footnote w:id="23">
    <w:p w14:paraId="35099A3A" w14:textId="3944A9F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noProof/>
          <w:sz w:val="20"/>
          <w:szCs w:val="20"/>
        </w:rPr>
        <w:t xml:space="preserve"> Privacy and Consumer Advisory Group, Identity Assurance Principles (v31, 2014) &lt;https://www.gov.uk/government/uploads/system/uploads/attachment_data/file/361496/PCAG_IDA_Principles_3.1__4_.pdf&gt; accessed 26 April 2018</w:t>
      </w:r>
      <w:r w:rsidRPr="00C86397">
        <w:rPr>
          <w:rFonts w:ascii="Times New Roman" w:hAnsi="Times New Roman" w:cs="Times New Roman"/>
          <w:sz w:val="20"/>
          <w:szCs w:val="20"/>
        </w:rPr>
        <w:t>.</w:t>
      </w:r>
    </w:p>
  </w:footnote>
  <w:footnote w:id="24">
    <w:p w14:paraId="4C6E6B60" w14:textId="6FA8B67E"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Ibid</w:t>
      </w:r>
      <w:r w:rsidRPr="00C86397">
        <w:rPr>
          <w:rFonts w:ascii="Times New Roman" w:hAnsi="Times New Roman" w:cs="Times New Roman"/>
          <w:i/>
          <w:sz w:val="20"/>
          <w:szCs w:val="20"/>
        </w:rPr>
        <w:t xml:space="preserve"> </w:t>
      </w:r>
      <w:r w:rsidRPr="00C86397">
        <w:rPr>
          <w:rFonts w:ascii="Times New Roman" w:hAnsi="Times New Roman" w:cs="Times New Roman"/>
          <w:sz w:val="20"/>
          <w:szCs w:val="20"/>
        </w:rPr>
        <w:t>3.</w:t>
      </w:r>
    </w:p>
  </w:footnote>
  <w:footnote w:id="25">
    <w:p w14:paraId="431A2694" w14:textId="31DA2FFC"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 'Privacy and Consumer Advisory Group' (</w:t>
      </w:r>
      <w:r w:rsidRPr="00C86397">
        <w:rPr>
          <w:rFonts w:ascii="Times New Roman" w:hAnsi="Times New Roman" w:cs="Times New Roman"/>
          <w:i/>
          <w:noProof/>
          <w:sz w:val="20"/>
          <w:szCs w:val="20"/>
        </w:rPr>
        <w:t>Gov.UK</w:t>
      </w:r>
      <w:r w:rsidRPr="00C86397">
        <w:rPr>
          <w:rFonts w:ascii="Times New Roman" w:hAnsi="Times New Roman" w:cs="Times New Roman"/>
          <w:noProof/>
          <w:sz w:val="20"/>
          <w:szCs w:val="20"/>
        </w:rPr>
        <w:t>) &lt;https://www.gov.uk/government/groups/privacy-and-consumer-advisory-group&gt;  accessed 26 April 2018</w:t>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“PCAG aims to ensure: users are in control of their information[;] information isn’t centralised[;] users have a choice of who provides services on their behalf.”</w:t>
      </w:r>
    </w:p>
  </w:footnote>
  <w:footnote w:id="26">
    <w:p w14:paraId="55652B93" w14:textId="6089AE93"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(1) The User Control Principle; (2) the Transparency Principle; (3) the Multiplicity Principle; (4) the Data Minimisation Principle; (5) the Data Quality Principle; (6) the Service-User Access and Portability Principle; (7) the Governance/Certification Principle; (8) the Problem Resolution Principle; (9) the Exceptional Circumstances Principle. </w:t>
      </w:r>
      <w:r w:rsidRPr="00C86397">
        <w:rPr>
          <w:rFonts w:ascii="Times New Roman" w:hAnsi="Times New Roman" w:cs="Times New Roman"/>
          <w:i/>
          <w:sz w:val="20"/>
          <w:szCs w:val="20"/>
        </w:rPr>
        <w:t xml:space="preserve">See </w:t>
      </w:r>
      <w:r w:rsidRPr="00C86397">
        <w:rPr>
          <w:rFonts w:ascii="Times New Roman" w:hAnsi="Times New Roman" w:cs="Times New Roman"/>
          <w:noProof/>
          <w:sz w:val="20"/>
          <w:szCs w:val="20"/>
        </w:rPr>
        <w:t xml:space="preserve">Privacy and Consumer Advisory Group, </w:t>
      </w:r>
      <w:r w:rsidRPr="00C86397">
        <w:rPr>
          <w:rFonts w:ascii="Times New Roman" w:hAnsi="Times New Roman" w:cs="Times New Roman"/>
          <w:i/>
          <w:noProof/>
          <w:sz w:val="20"/>
          <w:szCs w:val="20"/>
        </w:rPr>
        <w:t xml:space="preserve">Identity Assurance Principles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_Ref494985431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21</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w:t>
      </w:r>
      <w:r w:rsidRPr="00C86397">
        <w:rPr>
          <w:rFonts w:ascii="Times New Roman" w:hAnsi="Times New Roman" w:cs="Times New Roman"/>
          <w:i/>
          <w:sz w:val="20"/>
          <w:szCs w:val="20"/>
        </w:rPr>
        <w:t>.</w:t>
      </w:r>
    </w:p>
  </w:footnote>
  <w:footnote w:id="27">
    <w:p w14:paraId="25458C9C" w14:textId="5BEBE3B3"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noProof/>
          <w:sz w:val="20"/>
          <w:szCs w:val="20"/>
        </w:rPr>
        <w:t>Ibid</w:t>
      </w:r>
      <w:r w:rsidRPr="00C86397">
        <w:rPr>
          <w:rFonts w:ascii="Times New Roman" w:hAnsi="Times New Roman" w:cs="Times New Roman"/>
          <w:sz w:val="20"/>
          <w:szCs w:val="20"/>
        </w:rPr>
        <w:t xml:space="preserve">, the Multiplicity Principle: </w:t>
      </w:r>
      <w:r w:rsidRPr="00C86397">
        <w:rPr>
          <w:rFonts w:ascii="Times New Roman" w:hAnsi="Times New Roman" w:cs="Times New Roman"/>
          <w:i/>
          <w:sz w:val="20"/>
          <w:szCs w:val="20"/>
        </w:rPr>
        <w:t>“I can use and choose as many different identifiers or identity providers as I want to.”</w:t>
      </w:r>
    </w:p>
  </w:footnote>
  <w:footnote w:id="28">
    <w:p w14:paraId="782FFDDB" w14:textId="0ED16BF5"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Ibid</w:t>
      </w:r>
      <w:r w:rsidRPr="00C86397">
        <w:rPr>
          <w:rFonts w:ascii="Times New Roman" w:hAnsi="Times New Roman" w:cs="Times New Roman"/>
          <w:sz w:val="20"/>
          <w:szCs w:val="20"/>
        </w:rPr>
        <w:t>, p. 10.</w:t>
      </w:r>
    </w:p>
  </w:footnote>
  <w:footnote w:id="29">
    <w:p w14:paraId="642ABBCF" w14:textId="09769F65"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Cabinet Office, Framework Agreement and Schedules (Draft v0,9, 20 December 2014) &lt;http://data.gov.uk/data/contracts-finder-archive/contract/1690273/&gt; accessed 26 April 2018</w:t>
      </w:r>
      <w:r w:rsidRPr="00C86397">
        <w:rPr>
          <w:rFonts w:ascii="Times New Roman" w:hAnsi="Times New Roman" w:cs="Times New Roman"/>
          <w:sz w:val="20"/>
          <w:szCs w:val="20"/>
        </w:rPr>
        <w:t>, p. 18.</w:t>
      </w:r>
    </w:p>
  </w:footnote>
  <w:footnote w:id="30">
    <w:p w14:paraId="5673DAC6" w14:textId="2201F00B" w:rsidR="00F560CA" w:rsidRPr="00C86397" w:rsidRDefault="00F560CA" w:rsidP="00C86397">
      <w:pPr>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The Framework mentions ISO 27001 and ISO 15489-1, but accepts other equivalent standards: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s. 8.10(g) and sch. 5(a)(2)(b).</w:t>
      </w:r>
    </w:p>
  </w:footnote>
  <w:footnote w:id="31">
    <w:p w14:paraId="359CD152" w14:textId="424C381D"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s. 8.10(f)j and sch. 5(a)(2)(a)(i).</w:t>
      </w:r>
    </w:p>
  </w:footnote>
  <w:footnote w:id="32">
    <w:p w14:paraId="5C170623" w14:textId="166CB3C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sch. 5(a)(2)(d).</w:t>
      </w:r>
    </w:p>
  </w:footnote>
  <w:footnote w:id="33">
    <w:p w14:paraId="7A535443" w14:textId="33612D2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 xml:space="preserve">83, although the government retains the right to change the certification body in the future: </w:t>
      </w:r>
      <w:r w:rsidRPr="00C86397">
        <w:rPr>
          <w:rFonts w:ascii="Times New Roman" w:hAnsi="Times New Roman" w:cs="Times New Roman"/>
          <w:i/>
          <w:sz w:val="20"/>
          <w:szCs w:val="20"/>
        </w:rPr>
        <w:t>“any organisation that has been approved for the assessment of trust services to the satisfaction of the Authority and that has been notified by the Authority as a Certification Body from time to time.”</w:t>
      </w:r>
    </w:p>
  </w:footnote>
  <w:footnote w:id="34">
    <w:p w14:paraId="69D48F97" w14:textId="3737E6C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Department for Business, Energy and Industrial Strategy, Electronic Signatures and Trust Services (Guide, August 2016) &lt;https://www.gov.uk/government/uploads/system/uploads/attachment_data/file/545098/beis-16-15-electronic-signatures-guidance.pdf&gt; accessed 26 April 2018</w:t>
      </w:r>
      <w:r w:rsidRPr="00C86397">
        <w:rPr>
          <w:rFonts w:ascii="Times New Roman" w:hAnsi="Times New Roman" w:cs="Times New Roman"/>
          <w:sz w:val="20"/>
          <w:szCs w:val="20"/>
        </w:rPr>
        <w:t>, 9.</w:t>
      </w:r>
    </w:p>
  </w:footnote>
  <w:footnote w:id="35">
    <w:p w14:paraId="1A957A6F" w14:textId="08E8BABC"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 'UK's Trusted List' (</w:t>
      </w:r>
      <w:r w:rsidRPr="00C86397">
        <w:rPr>
          <w:rFonts w:ascii="Times New Roman" w:hAnsi="Times New Roman" w:cs="Times New Roman"/>
          <w:i/>
          <w:noProof/>
          <w:sz w:val="20"/>
          <w:szCs w:val="20"/>
        </w:rPr>
        <w:t>tScheme,</w:t>
      </w:r>
      <w:r w:rsidRPr="00C86397">
        <w:rPr>
          <w:rFonts w:ascii="Times New Roman" w:hAnsi="Times New Roman" w:cs="Times New Roman"/>
          <w:noProof/>
          <w:sz w:val="20"/>
          <w:szCs w:val="20"/>
        </w:rPr>
        <w:t xml:space="preserve"> 2017) &lt;http://www.tscheme.org/UK_TSL/index.html&gt;  accessed 26 April 2018</w:t>
      </w:r>
      <w:r w:rsidRPr="00C86397">
        <w:rPr>
          <w:rFonts w:ascii="Times New Roman" w:hAnsi="Times New Roman" w:cs="Times New Roman"/>
          <w:sz w:val="20"/>
          <w:szCs w:val="20"/>
        </w:rPr>
        <w:t>.</w:t>
      </w:r>
    </w:p>
  </w:footnote>
  <w:footnote w:id="36">
    <w:p w14:paraId="7386C159" w14:textId="1FAB104B"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Base Approval Profile (tSd0111); Profile for Identity Registration (tSd0108); Profile for Credential Validation (tSd0109); Profile for Attribute Registration (tSd0110); Profile for an Identity Provider (tSd0112); Profile for Credential Management (tSd0113): </w:t>
      </w:r>
      <w:r w:rsidRPr="00C86397">
        <w:rPr>
          <w:rFonts w:ascii="Times New Roman" w:hAnsi="Times New Roman" w:cs="Times New Roman"/>
          <w:noProof/>
          <w:sz w:val="20"/>
          <w:szCs w:val="20"/>
        </w:rPr>
        <w:t xml:space="preserve"> 'Digests of Approval Profiles for IdP-related Services' (</w:t>
      </w:r>
      <w:r w:rsidRPr="00C86397">
        <w:rPr>
          <w:rFonts w:ascii="Times New Roman" w:hAnsi="Times New Roman" w:cs="Times New Roman"/>
          <w:i/>
          <w:noProof/>
          <w:sz w:val="20"/>
          <w:szCs w:val="20"/>
        </w:rPr>
        <w:t>tScheme,</w:t>
      </w:r>
      <w:r w:rsidRPr="00C86397">
        <w:rPr>
          <w:rFonts w:ascii="Times New Roman" w:hAnsi="Times New Roman" w:cs="Times New Roman"/>
          <w:noProof/>
          <w:sz w:val="20"/>
          <w:szCs w:val="20"/>
        </w:rPr>
        <w:t xml:space="preserve"> 2010) &lt;http://www.tscheme.org/profiles/IdP_digest_2.html&gt;  accessed 26 April 2018</w:t>
      </w:r>
      <w:r w:rsidRPr="00C86397">
        <w:rPr>
          <w:rFonts w:ascii="Times New Roman" w:hAnsi="Times New Roman" w:cs="Times New Roman"/>
          <w:sz w:val="20"/>
          <w:szCs w:val="20"/>
        </w:rPr>
        <w:t>.</w:t>
      </w:r>
    </w:p>
  </w:footnote>
  <w:footnote w:id="37">
    <w:p w14:paraId="13B4690C" w14:textId="0B633CEE"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See for example Experian’s Grant of Approval who satisfies four (</w:t>
      </w:r>
      <w:r w:rsidRPr="00C86397">
        <w:rPr>
          <w:rFonts w:ascii="Times New Roman" w:hAnsi="Times New Roman" w:cs="Times New Roman"/>
          <w:noProof/>
          <w:sz w:val="20"/>
          <w:szCs w:val="20"/>
        </w:rPr>
        <w:t xml:space="preserve"> 'IDaaS service from Experian Limited: Grant of Approval' (</w:t>
      </w:r>
      <w:r w:rsidRPr="00C86397">
        <w:rPr>
          <w:rFonts w:ascii="Times New Roman" w:hAnsi="Times New Roman" w:cs="Times New Roman"/>
          <w:i/>
          <w:noProof/>
          <w:sz w:val="20"/>
          <w:szCs w:val="20"/>
        </w:rPr>
        <w:t>tScheme,</w:t>
      </w:r>
      <w:r w:rsidRPr="00C86397">
        <w:rPr>
          <w:rFonts w:ascii="Times New Roman" w:hAnsi="Times New Roman" w:cs="Times New Roman"/>
          <w:noProof/>
          <w:sz w:val="20"/>
          <w:szCs w:val="20"/>
        </w:rPr>
        <w:t xml:space="preserve"> October 2016) &lt;http://www.tscheme.org/directory/EXPN_IDaaS/index.html&gt;  accessed 26 April 2018</w:t>
      </w:r>
      <w:r w:rsidRPr="00C86397">
        <w:rPr>
          <w:rFonts w:ascii="Times New Roman" w:hAnsi="Times New Roman" w:cs="Times New Roman"/>
          <w:sz w:val="20"/>
          <w:szCs w:val="20"/>
        </w:rPr>
        <w:t>) compared to Barclays’ which satisfies five (</w:t>
      </w:r>
      <w:r w:rsidRPr="00C86397">
        <w:rPr>
          <w:rFonts w:ascii="Times New Roman" w:hAnsi="Times New Roman" w:cs="Times New Roman"/>
          <w:noProof/>
          <w:sz w:val="20"/>
          <w:szCs w:val="20"/>
        </w:rPr>
        <w:t xml:space="preserve"> 'Barclays Identity service from Barclays Bank Plc: Grant of Approval' (</w:t>
      </w:r>
      <w:r w:rsidRPr="00C86397">
        <w:rPr>
          <w:rFonts w:ascii="Times New Roman" w:hAnsi="Times New Roman" w:cs="Times New Roman"/>
          <w:i/>
          <w:noProof/>
          <w:sz w:val="20"/>
          <w:szCs w:val="20"/>
        </w:rPr>
        <w:t>tScheme,</w:t>
      </w:r>
      <w:r w:rsidRPr="00C86397">
        <w:rPr>
          <w:rFonts w:ascii="Times New Roman" w:hAnsi="Times New Roman" w:cs="Times New Roman"/>
          <w:noProof/>
          <w:sz w:val="20"/>
          <w:szCs w:val="20"/>
        </w:rPr>
        <w:t xml:space="preserve"> 30 June 2016) &lt;http://www.tscheme.org/directory/Barclays/index.html&gt;  accessed 26 April 2018</w:t>
      </w:r>
      <w:r w:rsidRPr="00C86397">
        <w:rPr>
          <w:rFonts w:ascii="Times New Roman" w:hAnsi="Times New Roman" w:cs="Times New Roman"/>
          <w:sz w:val="20"/>
          <w:szCs w:val="20"/>
        </w:rPr>
        <w:t>).</w:t>
      </w:r>
    </w:p>
  </w:footnote>
  <w:footnote w:id="38">
    <w:p w14:paraId="0B2EB2A0" w14:textId="242C624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GDS justifies this omission by explaining that the Post Office uses the system of another provider to offer its services and therefore the certification of the other provider is deemed enough: </w:t>
      </w:r>
      <w:r w:rsidRPr="00C86397">
        <w:rPr>
          <w:rFonts w:ascii="Times New Roman" w:hAnsi="Times New Roman" w:cs="Times New Roman"/>
          <w:noProof/>
          <w:sz w:val="20"/>
          <w:szCs w:val="20"/>
        </w:rPr>
        <w:t>Comment from Janet Hughes to Mark (5 January 2016) &lt;https://identityassurance.blog.gov.uk/2015/12/03/working-with-identity-providers-as-they-become-certified-companies/#comment-41610&gt; accessed 26 April 2018</w:t>
      </w:r>
      <w:r w:rsidRPr="00C86397">
        <w:rPr>
          <w:rFonts w:ascii="Times New Roman" w:hAnsi="Times New Roman" w:cs="Times New Roman"/>
          <w:sz w:val="20"/>
          <w:szCs w:val="20"/>
        </w:rPr>
        <w:t>.</w:t>
      </w:r>
    </w:p>
  </w:footnote>
  <w:footnote w:id="39">
    <w:p w14:paraId="19875F9F" w14:textId="0DA0E084"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Alastair Williamson-Pound, 'Becoming a GOV.UK Verify certified company' (</w:t>
      </w:r>
      <w:r w:rsidRPr="00C86397">
        <w:rPr>
          <w:rFonts w:ascii="Times New Roman" w:hAnsi="Times New Roman" w:cs="Times New Roman"/>
          <w:i/>
          <w:noProof/>
          <w:sz w:val="20"/>
          <w:szCs w:val="20"/>
        </w:rPr>
        <w:t>Gov.UK Verify Blog,</w:t>
      </w:r>
      <w:r w:rsidRPr="00C86397">
        <w:rPr>
          <w:rFonts w:ascii="Times New Roman" w:hAnsi="Times New Roman" w:cs="Times New Roman"/>
          <w:noProof/>
          <w:sz w:val="20"/>
          <w:szCs w:val="20"/>
        </w:rPr>
        <w:t xml:space="preserve"> 2016) &lt;https://identityassurance.blog.gov.uk/2016/02/25/becoming-a-gov-uk-verify-certified-company/&gt;  accessed 26 April 2018</w:t>
      </w:r>
      <w:r w:rsidRPr="00C86397">
        <w:rPr>
          <w:rFonts w:ascii="Times New Roman" w:hAnsi="Times New Roman" w:cs="Times New Roman"/>
          <w:sz w:val="20"/>
          <w:szCs w:val="20"/>
        </w:rPr>
        <w:t>.</w:t>
      </w:r>
    </w:p>
  </w:footnote>
  <w:footnote w:id="40">
    <w:p w14:paraId="796C12C7" w14:textId="639EFCD1"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Government Digital Service, 'Gov.UK Verify Technical Guide' (</w:t>
      </w:r>
      <w:r w:rsidRPr="00C86397">
        <w:rPr>
          <w:rFonts w:ascii="Times New Roman" w:hAnsi="Times New Roman" w:cs="Times New Roman"/>
          <w:i/>
          <w:noProof/>
          <w:sz w:val="20"/>
          <w:szCs w:val="20"/>
        </w:rPr>
        <w:t>Gov.UK Verify Technical Guide documentation,</w:t>
      </w:r>
      <w:r w:rsidRPr="00C86397">
        <w:rPr>
          <w:rFonts w:ascii="Times New Roman" w:hAnsi="Times New Roman" w:cs="Times New Roman"/>
          <w:noProof/>
          <w:sz w:val="20"/>
          <w:szCs w:val="20"/>
        </w:rPr>
        <w:t xml:space="preserve"> 2014) &lt;http://alphagov.github.io/rp-onboarding-tech-docs/index.html&gt;  accessed 26 April 2018</w:t>
      </w:r>
      <w:r w:rsidRPr="00C86397">
        <w:rPr>
          <w:rFonts w:ascii="Times New Roman" w:hAnsi="Times New Roman" w:cs="Times New Roman"/>
          <w:sz w:val="20"/>
          <w:szCs w:val="20"/>
        </w:rPr>
        <w:t>, Glossary of terms.</w:t>
      </w:r>
    </w:p>
  </w:footnote>
  <w:footnote w:id="41">
    <w:p w14:paraId="42194917" w14:textId="00E64B22"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p>
  </w:footnote>
  <w:footnote w:id="42">
    <w:p w14:paraId="5F15C74D" w14:textId="5FB3BE08" w:rsidR="00F560CA" w:rsidRPr="002C12E8" w:rsidRDefault="00F560CA" w:rsidP="002C12E8">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Cabinet Office, Identity Assurance Hub Service SAML 2.0 Profile v1.2a (August 7 2015) &lt;https://www.gov.uk/government/uploads/system/uploads/attachment_data/file/279643/Identity_Assurance_Hub_Service_Profile_v1.2a.pdf&gt; accessed 26 April 2018</w:t>
      </w:r>
      <w:r w:rsidRPr="00C86397">
        <w:rPr>
          <w:rFonts w:ascii="Times New Roman" w:hAnsi="Times New Roman" w:cs="Times New Roman"/>
          <w:sz w:val="20"/>
          <w:szCs w:val="20"/>
        </w:rPr>
        <w:t>.</w:t>
      </w:r>
      <w:r>
        <w:rPr>
          <w:rFonts w:ascii="Times New Roman" w:hAnsi="Times New Roman" w:cs="Times New Roman"/>
          <w:sz w:val="20"/>
          <w:szCs w:val="20"/>
        </w:rPr>
        <w:t xml:space="preserve"> Nevertheless, discussion about moving away from SAML has taken place in the context of t</w:t>
      </w:r>
      <w:r w:rsidRPr="00962D38">
        <w:rPr>
          <w:rFonts w:ascii="Times New Roman" w:hAnsi="Times New Roman" w:cs="Times New Roman"/>
          <w:sz w:val="20"/>
          <w:szCs w:val="20"/>
        </w:rPr>
        <w:t>he Open Identity Exchange (OIX)</w:t>
      </w:r>
      <w:r>
        <w:rPr>
          <w:rFonts w:ascii="Times New Roman" w:hAnsi="Times New Roman" w:cs="Times New Roman"/>
          <w:sz w:val="20"/>
          <w:szCs w:val="20"/>
        </w:rPr>
        <w:t xml:space="preserve">, a non-profit organisation comprising industry leaders from different </w:t>
      </w:r>
      <w:r w:rsidRPr="002C12E8">
        <w:rPr>
          <w:rFonts w:ascii="Times New Roman" w:hAnsi="Times New Roman" w:cs="Times New Roman"/>
          <w:sz w:val="20"/>
          <w:szCs w:val="20"/>
        </w:rPr>
        <w:t>sectors</w:t>
      </w:r>
      <w:r>
        <w:rPr>
          <w:rFonts w:ascii="Times New Roman" w:hAnsi="Times New Roman" w:cs="Times New Roman"/>
          <w:sz w:val="20"/>
          <w:szCs w:val="20"/>
        </w:rPr>
        <w:t xml:space="preserve"> working on</w:t>
      </w:r>
      <w:r w:rsidRPr="002C12E8">
        <w:rPr>
          <w:rFonts w:ascii="Times New Roman" w:hAnsi="Times New Roman" w:cs="Times New Roman"/>
          <w:sz w:val="20"/>
          <w:szCs w:val="20"/>
        </w:rPr>
        <w:t xml:space="preserve"> </w:t>
      </w:r>
      <w:r>
        <w:rPr>
          <w:rFonts w:ascii="Times New Roman" w:hAnsi="Times New Roman" w:cs="Times New Roman"/>
          <w:sz w:val="20"/>
          <w:szCs w:val="20"/>
        </w:rPr>
        <w:t>promoting</w:t>
      </w:r>
      <w:r w:rsidRPr="002C12E8">
        <w:rPr>
          <w:rFonts w:ascii="Times New Roman" w:hAnsi="Times New Roman" w:cs="Times New Roman"/>
          <w:sz w:val="20"/>
          <w:szCs w:val="20"/>
        </w:rPr>
        <w:t xml:space="preserve"> the adoption </w:t>
      </w:r>
      <w:r>
        <w:rPr>
          <w:rFonts w:ascii="Times New Roman" w:hAnsi="Times New Roman" w:cs="Times New Roman"/>
          <w:sz w:val="20"/>
          <w:szCs w:val="20"/>
        </w:rPr>
        <w:t xml:space="preserve">and expansion of digital identity services. </w:t>
      </w:r>
    </w:p>
  </w:footnote>
  <w:footnote w:id="43">
    <w:p w14:paraId="618BCDE8" w14:textId="24D12CD4"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Identity Assurance Team, Identity Assurance Documentation (Release, November 13 2015) &lt;https://media.readthedocs.org/pdf/random/latest/random.pdf&gt; accessed 26 April 2018</w:t>
      </w:r>
      <w:r w:rsidRPr="00C86397">
        <w:rPr>
          <w:rFonts w:ascii="Times New Roman" w:hAnsi="Times New Roman" w:cs="Times New Roman"/>
          <w:sz w:val="20"/>
          <w:szCs w:val="20"/>
        </w:rPr>
        <w:t>, 50.</w:t>
      </w:r>
    </w:p>
  </w:footnote>
  <w:footnote w:id="44">
    <w:p w14:paraId="4DE606D0" w14:textId="2AC2FE05"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ibid, Architecture.</w:t>
      </w:r>
    </w:p>
  </w:footnote>
  <w:footnote w:id="45">
    <w:p w14:paraId="0CA029D0" w14:textId="7DA2CAC1"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ibid, Glossary ‘Relying party’.</w:t>
      </w:r>
    </w:p>
  </w:footnote>
  <w:footnote w:id="46">
    <w:p w14:paraId="7770D8A4" w14:textId="3EEE4A83"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Government Digital Service, Gov.UK Verify Data Protection Impact Assessment (18th May 2016) &lt;https://identityassurance.blog.gov.uk/wp-content/uploads/sites/36/2016/05/GOV-UK-Verify-DPIA-v1.0.pdf&gt; accessed 26 April 2018</w:t>
      </w:r>
      <w:r w:rsidRPr="00C86397">
        <w:rPr>
          <w:rFonts w:ascii="Times New Roman" w:hAnsi="Times New Roman" w:cs="Times New Roman"/>
          <w:sz w:val="20"/>
          <w:szCs w:val="20"/>
        </w:rPr>
        <w:t>, p. 10.</w:t>
      </w:r>
    </w:p>
  </w:footnote>
  <w:footnote w:id="47">
    <w:p w14:paraId="3F3401BE" w14:textId="41C7784C"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David Black, 'Validating identity information against an authoritative source' (10 October 2014) &lt;https://identityassurance.blog.gov.uk/2014/10/10/introducing-the-document-checking-service/&gt;  accessed 26 April 2018</w:t>
      </w:r>
      <w:r w:rsidRPr="00C86397">
        <w:rPr>
          <w:rFonts w:ascii="Times New Roman" w:hAnsi="Times New Roman" w:cs="Times New Roman"/>
          <w:sz w:val="20"/>
          <w:szCs w:val="20"/>
        </w:rPr>
        <w:t>.</w:t>
      </w:r>
    </w:p>
  </w:footnote>
  <w:footnote w:id="48">
    <w:p w14:paraId="49339ABC" w14:textId="7D912A0C"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GDS has announced its intention to expand on the sources used for the Document Checking Service, but further information has not yet been published: </w:t>
      </w:r>
      <w:r w:rsidRPr="00C86397">
        <w:rPr>
          <w:rFonts w:ascii="Times New Roman" w:hAnsi="Times New Roman" w:cs="Times New Roman"/>
          <w:noProof/>
          <w:sz w:val="20"/>
          <w:szCs w:val="20"/>
        </w:rPr>
        <w:t>Janet Hughes, 'How we’re working to increase the range of data sources available for GOV.UK Verify' (</w:t>
      </w:r>
      <w:r w:rsidRPr="00C86397">
        <w:rPr>
          <w:rFonts w:ascii="Times New Roman" w:hAnsi="Times New Roman" w:cs="Times New Roman"/>
          <w:i/>
          <w:noProof/>
          <w:sz w:val="20"/>
          <w:szCs w:val="20"/>
        </w:rPr>
        <w:t>Gov.UK Verify Blog,</w:t>
      </w:r>
      <w:r w:rsidRPr="00C86397">
        <w:rPr>
          <w:rFonts w:ascii="Times New Roman" w:hAnsi="Times New Roman" w:cs="Times New Roman"/>
          <w:noProof/>
          <w:sz w:val="20"/>
          <w:szCs w:val="20"/>
        </w:rPr>
        <w:t xml:space="preserve"> 1 December 2014) &lt;https://identityassurance.blog.gov.uk/2014/12/01/data-sources/&gt;  accessed 26 April 2018</w:t>
      </w:r>
      <w:r w:rsidRPr="00C86397">
        <w:rPr>
          <w:rFonts w:ascii="Times New Roman" w:hAnsi="Times New Roman" w:cs="Times New Roman"/>
          <w:sz w:val="20"/>
          <w:szCs w:val="20"/>
        </w:rPr>
        <w:t>.</w:t>
      </w:r>
    </w:p>
  </w:footnote>
  <w:footnote w:id="49">
    <w:p w14:paraId="0592253B" w14:textId="6A01DCD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Government Digital Service, 'Gov.UK Verify Technical Guide' (n.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_Ref494992452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38</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‘Architecture.’</w:t>
      </w:r>
    </w:p>
  </w:footnote>
  <w:footnote w:id="50">
    <w:p w14:paraId="52AAF9BC" w14:textId="214CF1FD"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ibid, ‘How SAML works with Gov.UK Verify.’</w:t>
      </w:r>
    </w:p>
  </w:footnote>
  <w:footnote w:id="51">
    <w:p w14:paraId="043B8F12" w14:textId="5C2082AF"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ibid, Glossary ‘Matching dataset.’</w:t>
      </w:r>
    </w:p>
  </w:footnote>
  <w:footnote w:id="52">
    <w:p w14:paraId="7BEC5CFC" w14:textId="7657B79C"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ibid, Glossary ‘Persistent identifier (PID).’</w:t>
      </w:r>
    </w:p>
  </w:footnote>
  <w:footnote w:id="53">
    <w:p w14:paraId="35B81946" w14:textId="55452095"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ibid, Glossary ‘Hashed persistent identifier (PID)’: “This ensures that identifiers for user identity are unique to specific services and can’t be used across multiple services.”</w:t>
      </w:r>
    </w:p>
  </w:footnote>
  <w:footnote w:id="54">
    <w:p w14:paraId="72AE514B" w14:textId="370EE9E3" w:rsidR="00F560CA" w:rsidRPr="00C86397" w:rsidRDefault="00F560CA" w:rsidP="002F0A55">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The first version of the data protection impact assessment is dated 27 January 2015. The document was then modified on 15 February 2015, 31 March 2016, and several times in May 2016 (13 May 2016, 16 May 2016 and 18 May 2016). An initial data protection impact assessment had been conducted in September 2014 for project approval purposes. </w:t>
      </w:r>
      <w:r>
        <w:rPr>
          <w:rFonts w:ascii="Times New Roman" w:hAnsi="Times New Roman" w:cs="Times New Roman"/>
          <w:sz w:val="20"/>
          <w:szCs w:val="20"/>
        </w:rPr>
        <w:t xml:space="preserve">Of note, the assessment for the beta </w:t>
      </w:r>
      <w:r w:rsidRPr="002F0A55">
        <w:rPr>
          <w:rFonts w:ascii="Times New Roman" w:hAnsi="Times New Roman" w:cs="Times New Roman"/>
          <w:sz w:val="20"/>
          <w:szCs w:val="20"/>
        </w:rPr>
        <w:t xml:space="preserve">system was </w:t>
      </w:r>
      <w:r>
        <w:rPr>
          <w:rFonts w:ascii="Times New Roman" w:hAnsi="Times New Roman" w:cs="Times New Roman"/>
          <w:sz w:val="20"/>
          <w:szCs w:val="20"/>
        </w:rPr>
        <w:t>released very late,</w:t>
      </w:r>
      <w:r w:rsidRPr="002F0A55">
        <w:rPr>
          <w:rFonts w:ascii="Times New Roman" w:hAnsi="Times New Roman" w:cs="Times New Roman"/>
          <w:sz w:val="20"/>
          <w:szCs w:val="20"/>
        </w:rPr>
        <w:t xml:space="preserve"> </w:t>
      </w:r>
      <w:r>
        <w:rPr>
          <w:rFonts w:ascii="Times New Roman" w:hAnsi="Times New Roman" w:cs="Times New Roman"/>
          <w:sz w:val="20"/>
          <w:szCs w:val="20"/>
        </w:rPr>
        <w:t xml:space="preserve">when the system was finally declared live, although the private beta phase had started two years earlier. </w:t>
      </w:r>
    </w:p>
  </w:footnote>
  <w:footnote w:id="55">
    <w:p w14:paraId="2471934C" w14:textId="4227092D"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Government Digital Service, </w:t>
      </w:r>
      <w:r w:rsidRPr="00C86397">
        <w:rPr>
          <w:rFonts w:ascii="Times New Roman" w:hAnsi="Times New Roman" w:cs="Times New Roman"/>
          <w:i/>
          <w:noProof/>
          <w:sz w:val="20"/>
          <w:szCs w:val="20"/>
        </w:rPr>
        <w:t xml:space="preserve">Gov.UK Verify Data Protection Impact Assessment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_Ref494993330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44</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xml:space="preserve">) 6. </w:t>
      </w:r>
    </w:p>
  </w:footnote>
  <w:footnote w:id="56">
    <w:p w14:paraId="342C9790" w14:textId="34BF0929"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Ibid</w:t>
      </w:r>
      <w:r w:rsidRPr="00C86397">
        <w:rPr>
          <w:rFonts w:ascii="Times New Roman" w:hAnsi="Times New Roman" w:cs="Times New Roman"/>
          <w:sz w:val="20"/>
          <w:szCs w:val="20"/>
        </w:rPr>
        <w:t xml:space="preserve"> 7. </w:t>
      </w:r>
    </w:p>
  </w:footnote>
  <w:footnote w:id="57">
    <w:p w14:paraId="26B0526C" w14:textId="30BB3ADE"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noProof/>
        </w:rPr>
        <w:t>ICO, Conducting Privacy Impact Assessments: Code of Practice (Version 1,0, February, 2014)</w:t>
      </w:r>
      <w:r w:rsidRPr="00C86397">
        <w:rPr>
          <w:rFonts w:ascii="Times New Roman" w:hAnsi="Times New Roman" w:cs="Times New Roman"/>
        </w:rPr>
        <w:t xml:space="preserve">; notice that the ICO has recently conducted a public consultation on an updated guidance for DPIAs, which ended on 13 April 2018. The results of the consultation have not been published yet. See </w:t>
      </w:r>
      <w:r w:rsidRPr="00C86397">
        <w:rPr>
          <w:rFonts w:ascii="Times New Roman" w:hAnsi="Times New Roman" w:cs="Times New Roman"/>
          <w:noProof/>
        </w:rPr>
        <w:t>ICO, Consultation: GDPR DPIA guidance (v 0,6, 22 February, 2018) &lt;https://ico.org.uk/media/about-the-ico/consultations/2258459/dpia-guidance-v08-post-comms-review-20180208.pdf&gt; accessed 14 April 2018; ICO, Sample DPIA template (v 0,3, 9 February, 2018) &lt;https://ico.org.uk/media/about-the-ico/consultations/2258461/dpia-template-v04-post-comms-review-20180308.pdf&gt; accessed 15 April 2018</w:t>
      </w:r>
      <w:r w:rsidRPr="00C86397">
        <w:rPr>
          <w:rFonts w:ascii="Times New Roman" w:hAnsi="Times New Roman" w:cs="Times New Roman"/>
        </w:rPr>
        <w:t>.</w:t>
      </w:r>
    </w:p>
  </w:footnote>
  <w:footnote w:id="58">
    <w:p w14:paraId="2DBF37B2" w14:textId="52835251"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Government Digital Service, </w:t>
      </w:r>
      <w:r w:rsidRPr="00C86397">
        <w:rPr>
          <w:rFonts w:ascii="Times New Roman" w:hAnsi="Times New Roman" w:cs="Times New Roman"/>
          <w:i/>
          <w:noProof/>
          <w:sz w:val="20"/>
          <w:szCs w:val="20"/>
        </w:rPr>
        <w:t xml:space="preserve">Gov.UK Verify Data Protection Impact Assessment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_Ref494993330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44</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xml:space="preserve">) 6. </w:t>
      </w:r>
    </w:p>
  </w:footnote>
  <w:footnote w:id="59">
    <w:p w14:paraId="1BC86CFA" w14:textId="3B8A7088"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Ibid</w:t>
      </w:r>
      <w:r w:rsidRPr="00C86397">
        <w:rPr>
          <w:rFonts w:ascii="Times New Roman" w:hAnsi="Times New Roman" w:cs="Times New Roman"/>
          <w:sz w:val="20"/>
          <w:szCs w:val="20"/>
        </w:rPr>
        <w:t xml:space="preserve"> 7. Note that since the updated </w:t>
      </w:r>
      <w:r w:rsidRPr="00C86397">
        <w:rPr>
          <w:rFonts w:ascii="Times New Roman" w:hAnsi="Times New Roman" w:cs="Times New Roman"/>
          <w:noProof/>
          <w:sz w:val="20"/>
          <w:szCs w:val="20"/>
        </w:rPr>
        <w:t>ISO/IEC 29100:2011 -- Information technology -- Security techniques -- Privacy framework (International Organization for Standardization, Geneva, Switzerland, 2011)</w:t>
      </w:r>
      <w:r w:rsidRPr="00C86397">
        <w:rPr>
          <w:rFonts w:ascii="Times New Roman" w:hAnsi="Times New Roman" w:cs="Times New Roman"/>
          <w:sz w:val="20"/>
          <w:szCs w:val="20"/>
        </w:rPr>
        <w:t xml:space="preserve"> and </w:t>
      </w:r>
      <w:r w:rsidRPr="00C86397">
        <w:rPr>
          <w:rFonts w:ascii="Times New Roman" w:hAnsi="Times New Roman" w:cs="Times New Roman"/>
          <w:noProof/>
          <w:sz w:val="20"/>
          <w:szCs w:val="20"/>
        </w:rPr>
        <w:t>ISO/IEC 29134:2017 Information technology -- Security techniques -- Guidelines for privacy impact assessment (International Organization for Standardization, Geneva, Switzerland, 2017)</w:t>
      </w:r>
      <w:r w:rsidRPr="00C86397">
        <w:rPr>
          <w:rFonts w:ascii="Times New Roman" w:hAnsi="Times New Roman" w:cs="Times New Roman"/>
          <w:sz w:val="20"/>
          <w:szCs w:val="20"/>
        </w:rPr>
        <w:t xml:space="preserve"> have been published, to conform with the new requirements of the GDPR.</w:t>
      </w:r>
    </w:p>
  </w:footnote>
  <w:footnote w:id="60">
    <w:p w14:paraId="730966F8" w14:textId="66B1BF8F"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Government Digital Service, </w:t>
      </w:r>
      <w:r w:rsidRPr="00C86397">
        <w:rPr>
          <w:rFonts w:ascii="Times New Roman" w:hAnsi="Times New Roman" w:cs="Times New Roman"/>
          <w:i/>
          <w:noProof/>
          <w:sz w:val="20"/>
          <w:szCs w:val="20"/>
        </w:rPr>
        <w:t xml:space="preserve">Gov.UK Verify Data Protection Impact Assessment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t xml:space="preserve">10. See also Table 2: stakeholder analysis, 17. </w:t>
      </w:r>
    </w:p>
  </w:footnote>
  <w:footnote w:id="61">
    <w:p w14:paraId="1473352A" w14:textId="4858C8AE"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GDPR Art. 4(7). See also DPD Art. 2(d). </w:t>
      </w:r>
    </w:p>
  </w:footnote>
  <w:footnote w:id="62">
    <w:p w14:paraId="4AC0221E" w14:textId="1438C38D"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Government Digital Service, </w:t>
      </w:r>
      <w:r w:rsidRPr="00C86397">
        <w:rPr>
          <w:rFonts w:ascii="Times New Roman" w:hAnsi="Times New Roman" w:cs="Times New Roman"/>
          <w:i/>
          <w:noProof/>
          <w:sz w:val="20"/>
          <w:szCs w:val="20"/>
        </w:rPr>
        <w:t xml:space="preserve">Gov.UK Verify Data Protection Impact Assessment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_Ref494993330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44</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xml:space="preserve">) 10. </w:t>
      </w:r>
    </w:p>
  </w:footnote>
  <w:footnote w:id="63">
    <w:p w14:paraId="47E9B3A3" w14:textId="094E73B8"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noProof/>
          <w:sz w:val="20"/>
          <w:szCs w:val="20"/>
        </w:rPr>
        <w:t>Ibid</w:t>
      </w:r>
      <w:r w:rsidRPr="00C86397">
        <w:rPr>
          <w:rFonts w:ascii="Times New Roman" w:hAnsi="Times New Roman" w:cs="Times New Roman"/>
          <w:i/>
          <w:sz w:val="20"/>
          <w:szCs w:val="20"/>
        </w:rPr>
        <w:t xml:space="preserve"> </w:t>
      </w:r>
      <w:r w:rsidRPr="00C86397">
        <w:rPr>
          <w:rFonts w:ascii="Times New Roman" w:hAnsi="Times New Roman" w:cs="Times New Roman"/>
          <w:sz w:val="20"/>
          <w:szCs w:val="20"/>
        </w:rPr>
        <w:t xml:space="preserve">10. </w:t>
      </w:r>
    </w:p>
  </w:footnote>
  <w:footnote w:id="64">
    <w:p w14:paraId="6B9D4CC7" w14:textId="406F0F5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Privacy and Consumer Advisory Group, </w:t>
      </w:r>
      <w:r w:rsidRPr="00C86397">
        <w:rPr>
          <w:rFonts w:ascii="Times New Roman" w:hAnsi="Times New Roman" w:cs="Times New Roman"/>
          <w:i/>
          <w:noProof/>
          <w:sz w:val="20"/>
          <w:szCs w:val="20"/>
        </w:rPr>
        <w:t xml:space="preserve">Identity Assurance Principles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_Ref494985431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21</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xml:space="preserve">) 8. </w:t>
      </w:r>
    </w:p>
  </w:footnote>
  <w:footnote w:id="65">
    <w:p w14:paraId="0C9762F6" w14:textId="5B922A7F"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Ibid</w:t>
      </w:r>
      <w:r w:rsidRPr="00C86397">
        <w:rPr>
          <w:rFonts w:ascii="Times New Roman" w:hAnsi="Times New Roman" w:cs="Times New Roman"/>
          <w:sz w:val="20"/>
          <w:szCs w:val="20"/>
        </w:rPr>
        <w:t xml:space="preserve"> 14.</w:t>
      </w:r>
    </w:p>
  </w:footnote>
  <w:footnote w:id="66">
    <w:p w14:paraId="26BC23CD" w14:textId="5AE49301"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Ibid</w:t>
      </w:r>
      <w:r w:rsidRPr="00C86397">
        <w:rPr>
          <w:rFonts w:ascii="Times New Roman" w:hAnsi="Times New Roman" w:cs="Times New Roman"/>
          <w:i/>
          <w:sz w:val="20"/>
          <w:szCs w:val="20"/>
        </w:rPr>
        <w:t xml:space="preserve">. </w:t>
      </w:r>
    </w:p>
  </w:footnote>
  <w:footnote w:id="67">
    <w:p w14:paraId="042861FC" w14:textId="007A10E4" w:rsidR="00F560CA" w:rsidRPr="00C86397" w:rsidRDefault="00F560CA" w:rsidP="00C86397">
      <w:pPr>
        <w:pStyle w:val="FootnoteText"/>
        <w:rPr>
          <w:rFonts w:ascii="Times New Roman" w:hAnsi="Times New Roman" w:cs="Times New Roman"/>
        </w:rPr>
      </w:pPr>
      <w:r w:rsidRPr="00C86397">
        <w:rPr>
          <w:rFonts w:ascii="Times New Roman" w:hAnsi="Times New Roman" w:cs="Times New Roman"/>
          <w:vertAlign w:val="superscript"/>
        </w:rPr>
        <w:footnoteRef/>
      </w:r>
      <w:r w:rsidRPr="00C86397">
        <w:rPr>
          <w:rFonts w:ascii="Times New Roman" w:hAnsi="Times New Roman" w:cs="Times New Roman"/>
        </w:rPr>
        <w:t xml:space="preserve"> </w:t>
      </w:r>
      <w:r w:rsidRPr="00C86397">
        <w:rPr>
          <w:rFonts w:ascii="Times New Roman" w:hAnsi="Times New Roman" w:cs="Times New Roman"/>
          <w:noProof/>
        </w:rPr>
        <w:t xml:space="preserve">Other legal bases such </w:t>
      </w:r>
      <w:r w:rsidRPr="00C86397">
        <w:rPr>
          <w:rFonts w:ascii="Times New Roman" w:hAnsi="Times New Roman" w:cs="Times New Roman"/>
          <w:i/>
          <w:noProof/>
        </w:rPr>
        <w:t>as “processing is necessary for compliance with a legal obligation to which the controller is subject”</w:t>
      </w:r>
      <w:r w:rsidRPr="00C86397">
        <w:rPr>
          <w:rFonts w:ascii="Times New Roman" w:hAnsi="Times New Roman" w:cs="Times New Roman"/>
          <w:noProof/>
        </w:rPr>
        <w:t xml:space="preserve"> and </w:t>
      </w:r>
      <w:r w:rsidRPr="00C86397">
        <w:rPr>
          <w:rFonts w:ascii="Times New Roman" w:hAnsi="Times New Roman" w:cs="Times New Roman"/>
          <w:i/>
          <w:noProof/>
        </w:rPr>
        <w:t>“processing is necessary in order to protect the vital interests of the data subject or of another natural person”</w:t>
      </w:r>
      <w:r w:rsidRPr="00C86397">
        <w:rPr>
          <w:rFonts w:ascii="Times New Roman" w:hAnsi="Times New Roman" w:cs="Times New Roman"/>
          <w:noProof/>
        </w:rPr>
        <w:t xml:space="preserve"> as per DPD Art.7 (c) and (d) and GDPR Art. 6(c) and (d) are excluded from the scope of the analysis as they are not directly relevant for the context at hand.</w:t>
      </w:r>
      <w:r w:rsidRPr="00C86397">
        <w:rPr>
          <w:rFonts w:ascii="Times New Roman" w:hAnsi="Times New Roman" w:cs="Times New Roman"/>
        </w:rPr>
        <w:t xml:space="preserve"> </w:t>
      </w:r>
    </w:p>
    <w:p w14:paraId="67414DBB" w14:textId="77777777" w:rsidR="00F560CA" w:rsidRPr="00C86397" w:rsidRDefault="00F560CA" w:rsidP="00C86397">
      <w:pPr>
        <w:rPr>
          <w:rFonts w:ascii="Times New Roman" w:hAnsi="Times New Roman" w:cs="Times New Roman"/>
          <w:vanish/>
          <w:sz w:val="20"/>
          <w:szCs w:val="20"/>
        </w:rPr>
      </w:pPr>
    </w:p>
    <w:p w14:paraId="182FFD45" w14:textId="02BCDE24" w:rsidR="00F560CA" w:rsidRPr="00C86397" w:rsidRDefault="00F560CA" w:rsidP="00C86397">
      <w:pPr>
        <w:pStyle w:val="FootnoteText"/>
        <w:rPr>
          <w:rFonts w:ascii="Times New Roman" w:hAnsi="Times New Roman" w:cs="Times New Roman"/>
        </w:rPr>
      </w:pPr>
    </w:p>
  </w:footnote>
  <w:footnote w:id="68">
    <w:p w14:paraId="1AB63E4D" w14:textId="36BB1FC1"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See DPD Art. 2(a) and GDPR Art. 4(1).</w:t>
      </w:r>
    </w:p>
  </w:footnote>
  <w:footnote w:id="69">
    <w:p w14:paraId="5C80C6BE" w14:textId="37D23F54"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 xml:space="preserve">See DPD Art. 2(b) and GDPR Art. 4(2); </w:t>
      </w:r>
      <w:r w:rsidRPr="00C86397">
        <w:rPr>
          <w:rFonts w:ascii="Times New Roman" w:eastAsia="Times New Roman" w:hAnsi="Times New Roman" w:cs="Times New Roman"/>
          <w:i/>
          <w:noProof/>
          <w:sz w:val="20"/>
          <w:szCs w:val="20"/>
        </w:rPr>
        <w:t>Criminal proceedings against Bodil Lindqvist</w:t>
      </w:r>
      <w:r w:rsidRPr="00C86397">
        <w:rPr>
          <w:rFonts w:ascii="Times New Roman" w:eastAsia="Times New Roman" w:hAnsi="Times New Roman" w:cs="Times New Roman"/>
          <w:noProof/>
          <w:sz w:val="20"/>
          <w:szCs w:val="20"/>
        </w:rPr>
        <w:t xml:space="preserve">, Case C-101/01, [2003] ECR I-12971 (EU:C:2003:596); </w:t>
      </w:r>
      <w:r w:rsidRPr="00C86397">
        <w:rPr>
          <w:rFonts w:ascii="Times New Roman" w:eastAsia="Times New Roman" w:hAnsi="Times New Roman" w:cs="Times New Roman"/>
          <w:i/>
          <w:noProof/>
          <w:sz w:val="20"/>
          <w:szCs w:val="20"/>
        </w:rPr>
        <w:t>Bonnier Audi AB and others v Perfect Communication Sweden</w:t>
      </w:r>
      <w:r w:rsidRPr="00C86397">
        <w:rPr>
          <w:rFonts w:ascii="Times New Roman" w:eastAsia="Times New Roman" w:hAnsi="Times New Roman" w:cs="Times New Roman"/>
          <w:noProof/>
          <w:sz w:val="20"/>
          <w:szCs w:val="20"/>
        </w:rPr>
        <w:t>, Case C</w:t>
      </w:r>
      <w:r w:rsidRPr="00C86397">
        <w:rPr>
          <w:rFonts w:ascii="Cambria Math" w:eastAsia="Calibri" w:hAnsi="Cambria Math" w:cs="Cambria Math"/>
          <w:noProof/>
          <w:sz w:val="20"/>
          <w:szCs w:val="20"/>
        </w:rPr>
        <w:t>‑</w:t>
      </w:r>
      <w:r w:rsidRPr="00C86397">
        <w:rPr>
          <w:rFonts w:ascii="Times New Roman" w:eastAsia="Times New Roman" w:hAnsi="Times New Roman" w:cs="Times New Roman"/>
          <w:noProof/>
          <w:sz w:val="20"/>
          <w:szCs w:val="20"/>
        </w:rPr>
        <w:t xml:space="preserve">461/10, [2012] (EU:C:2012:219); </w:t>
      </w:r>
      <w:r w:rsidRPr="00C86397">
        <w:rPr>
          <w:rFonts w:ascii="Times New Roman" w:eastAsia="Times New Roman" w:hAnsi="Times New Roman" w:cs="Times New Roman"/>
          <w:i/>
          <w:noProof/>
          <w:sz w:val="20"/>
          <w:szCs w:val="20"/>
        </w:rPr>
        <w:t>Michael Schwarz v Stadt Bochum</w:t>
      </w:r>
      <w:r w:rsidRPr="00C86397">
        <w:rPr>
          <w:rFonts w:ascii="Times New Roman" w:eastAsia="Times New Roman" w:hAnsi="Times New Roman" w:cs="Times New Roman"/>
          <w:noProof/>
          <w:sz w:val="20"/>
          <w:szCs w:val="20"/>
        </w:rPr>
        <w:t>, Case C</w:t>
      </w:r>
      <w:r w:rsidRPr="00C86397">
        <w:rPr>
          <w:rFonts w:ascii="Cambria Math" w:eastAsia="Calibri" w:hAnsi="Cambria Math" w:cs="Cambria Math"/>
          <w:noProof/>
          <w:sz w:val="20"/>
          <w:szCs w:val="20"/>
        </w:rPr>
        <w:t>‑</w:t>
      </w:r>
      <w:r w:rsidRPr="00C86397">
        <w:rPr>
          <w:rFonts w:ascii="Times New Roman" w:eastAsia="Times New Roman" w:hAnsi="Times New Roman" w:cs="Times New Roman"/>
          <w:noProof/>
          <w:sz w:val="20"/>
          <w:szCs w:val="20"/>
        </w:rPr>
        <w:t>291/12, [2013] WLR(D) 386 (EU:C:2013:670)</w:t>
      </w:r>
      <w:r w:rsidRPr="00C86397">
        <w:rPr>
          <w:rFonts w:ascii="Times New Roman" w:eastAsia="Times New Roman" w:hAnsi="Times New Roman" w:cs="Times New Roman"/>
          <w:sz w:val="20"/>
          <w:szCs w:val="20"/>
        </w:rPr>
        <w:t>.</w:t>
      </w:r>
    </w:p>
  </w:footnote>
  <w:footnote w:id="70">
    <w:p w14:paraId="62B94961" w14:textId="77777777" w:rsidR="00F560CA" w:rsidRPr="00C86397" w:rsidRDefault="00F560CA" w:rsidP="00944F3E">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DPD </w:t>
      </w:r>
      <w:r w:rsidRPr="00C86397">
        <w:rPr>
          <w:rFonts w:ascii="Times New Roman" w:eastAsia="Times New Roman" w:hAnsi="Times New Roman" w:cs="Times New Roman"/>
          <w:sz w:val="20"/>
          <w:szCs w:val="20"/>
        </w:rPr>
        <w:t>Art. 7 and GDPR Art. 6.</w:t>
      </w:r>
    </w:p>
  </w:footnote>
  <w:footnote w:id="71">
    <w:p w14:paraId="0D211C5C" w14:textId="094F3EA2"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Nadezhda Purtova, 'Between GDPR and the Police Directive: Navigating Through the Maze of Information Sharing in Public-Private Partnerships' (2017) [pending] International Data Privacy Law ipx021 &lt;https://academic.oup.com/idpl/advance-article-abstract/doi/10.1093/idpl/ipx021/4822279&gt; accessed 16 August 2017</w:t>
      </w:r>
      <w:r w:rsidRPr="00C86397">
        <w:rPr>
          <w:rFonts w:ascii="Times New Roman" w:eastAsia="Times New Roman" w:hAnsi="Times New Roman" w:cs="Times New Roman"/>
          <w:sz w:val="20"/>
          <w:szCs w:val="20"/>
          <w:highlight w:val="white"/>
        </w:rPr>
        <w:t xml:space="preserve">; </w:t>
      </w:r>
      <w:r w:rsidRPr="00C86397">
        <w:rPr>
          <w:rFonts w:ascii="Times New Roman" w:eastAsia="Times New Roman" w:hAnsi="Times New Roman" w:cs="Times New Roman"/>
          <w:noProof/>
          <w:sz w:val="20"/>
          <w:szCs w:val="20"/>
          <w:highlight w:val="white"/>
        </w:rPr>
        <w:t>A. M. Klingenberg, 'Catches to the right to be forgotten, looking from an administrative law perspective to data processing by public authorities' (2016) 30 International Review of Law, Computers &amp; Technology 67</w:t>
      </w:r>
      <w:r w:rsidRPr="00C86397">
        <w:rPr>
          <w:rFonts w:ascii="Times New Roman" w:eastAsia="Times New Roman" w:hAnsi="Times New Roman" w:cs="Times New Roman"/>
          <w:sz w:val="20"/>
          <w:szCs w:val="20"/>
          <w:highlight w:val="white"/>
        </w:rPr>
        <w:t xml:space="preserve">. See also </w:t>
      </w:r>
      <w:r w:rsidRPr="00C86397">
        <w:rPr>
          <w:rFonts w:ascii="Times New Roman" w:eastAsia="Times New Roman" w:hAnsi="Times New Roman" w:cs="Times New Roman"/>
          <w:noProof/>
          <w:sz w:val="20"/>
          <w:szCs w:val="20"/>
          <w:highlight w:val="white"/>
        </w:rPr>
        <w:t>Article 29 Data Protection Working Party, Opinion 06/2013 on open data and public sector information ('PSI') reuse (WP 207, 5 June 2013);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OJ 2016 L 119/89</w:t>
      </w:r>
      <w:r w:rsidRPr="00C86397">
        <w:rPr>
          <w:rFonts w:ascii="Times New Roman" w:eastAsia="Times New Roman" w:hAnsi="Times New Roman" w:cs="Times New Roman"/>
          <w:sz w:val="20"/>
          <w:szCs w:val="20"/>
          <w:highlight w:val="white"/>
        </w:rPr>
        <w:t xml:space="preserve">. </w:t>
      </w:r>
    </w:p>
  </w:footnote>
  <w:footnote w:id="72">
    <w:p w14:paraId="4A49ADC5" w14:textId="118AC27F"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Emanuel S Savas, </w:t>
      </w:r>
      <w:r w:rsidRPr="00C86397">
        <w:rPr>
          <w:rFonts w:ascii="Times New Roman" w:hAnsi="Times New Roman" w:cs="Times New Roman"/>
          <w:i/>
          <w:noProof/>
          <w:sz w:val="20"/>
          <w:szCs w:val="20"/>
        </w:rPr>
        <w:t>Privatization And Public-Private Partnerships</w:t>
      </w:r>
      <w:r w:rsidRPr="00C86397">
        <w:rPr>
          <w:rFonts w:ascii="Times New Roman" w:hAnsi="Times New Roman" w:cs="Times New Roman"/>
          <w:noProof/>
          <w:sz w:val="20"/>
          <w:szCs w:val="20"/>
        </w:rPr>
        <w:t xml:space="preserve"> (Chatham House 2000)</w:t>
      </w:r>
      <w:r w:rsidRPr="00C86397">
        <w:rPr>
          <w:rFonts w:ascii="Times New Roman" w:eastAsia="Times New Roman" w:hAnsi="Times New Roman" w:cs="Times New Roman"/>
          <w:sz w:val="20"/>
          <w:szCs w:val="20"/>
        </w:rPr>
        <w:t xml:space="preserve">, 4 (As adapted from </w:t>
      </w:r>
      <w:r w:rsidRPr="00C86397">
        <w:rPr>
          <w:rFonts w:ascii="Times New Roman" w:eastAsia="Times New Roman" w:hAnsi="Times New Roman" w:cs="Times New Roman"/>
          <w:noProof/>
          <w:sz w:val="20"/>
          <w:szCs w:val="20"/>
        </w:rPr>
        <w:t xml:space="preserve">Emanuel S Savas, </w:t>
      </w:r>
      <w:r w:rsidRPr="00C86397">
        <w:rPr>
          <w:rFonts w:ascii="Times New Roman" w:eastAsia="Times New Roman" w:hAnsi="Times New Roman" w:cs="Times New Roman"/>
          <w:i/>
          <w:noProof/>
          <w:sz w:val="20"/>
          <w:szCs w:val="20"/>
        </w:rPr>
        <w:t>Privatization In the City: Successes, Failures, Lessons</w:t>
      </w:r>
      <w:r w:rsidRPr="00C86397">
        <w:rPr>
          <w:rFonts w:ascii="Times New Roman" w:eastAsia="Times New Roman" w:hAnsi="Times New Roman" w:cs="Times New Roman"/>
          <w:noProof/>
          <w:sz w:val="20"/>
          <w:szCs w:val="20"/>
        </w:rPr>
        <w:t xml:space="preserve"> (CQ Press 2005)</w:t>
      </w:r>
      <w:r w:rsidRPr="00C86397">
        <w:rPr>
          <w:rFonts w:ascii="Times New Roman" w:eastAsia="Times New Roman" w:hAnsi="Times New Roman" w:cs="Times New Roman"/>
          <w:sz w:val="20"/>
          <w:szCs w:val="20"/>
        </w:rPr>
        <w:t>, p. 14).</w:t>
      </w:r>
    </w:p>
  </w:footnote>
  <w:footnote w:id="73">
    <w:p w14:paraId="079C28D3" w14:textId="0F833BDA"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Purtova, 'Between GDPR and the Police Directive: Navigating Through the Maze of Information Sharing in Public-Private Partnerships' (n.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_Ref494995491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69</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w:t>
      </w:r>
      <w:r w:rsidRPr="00C86397">
        <w:rPr>
          <w:rFonts w:ascii="Times New Roman" w:eastAsia="Times New Roman" w:hAnsi="Times New Roman" w:cs="Times New Roman"/>
          <w:sz w:val="20"/>
          <w:szCs w:val="20"/>
        </w:rPr>
        <w:t>.</w:t>
      </w:r>
    </w:p>
  </w:footnote>
  <w:footnote w:id="74">
    <w:p w14:paraId="0CD6DA5B" w14:textId="4B9897E1"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eIDAS (n.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_Ref494995563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5</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w:t>
      </w:r>
      <w:r w:rsidRPr="00C86397">
        <w:rPr>
          <w:rFonts w:ascii="Times New Roman" w:eastAsia="Times New Roman" w:hAnsi="Times New Roman" w:cs="Times New Roman"/>
          <w:sz w:val="20"/>
          <w:szCs w:val="20"/>
        </w:rPr>
        <w:t>.</w:t>
      </w:r>
    </w:p>
  </w:footnote>
  <w:footnote w:id="75">
    <w:p w14:paraId="29839546" w14:textId="1988B3F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eIDAS Arts. 7 and 9.</w:t>
      </w:r>
    </w:p>
  </w:footnote>
  <w:footnote w:id="76">
    <w:p w14:paraId="38026B75" w14:textId="561FD35F"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Niko Tsakalakis, Kieron O'Hara and Sophie Stalla-Bourdillon, 'Identity assurance in the UK: technical implementation and legal implications under the eIDAS regulation' (Proceedings of the 8th ACM Conference on Web Science (WebSci'16), Hannover, Germany, May 2016) &lt;https://doi.org/10.1145/2908131.2908152&gt; accessed 26 April 2018</w:t>
      </w:r>
      <w:r w:rsidRPr="00C86397">
        <w:rPr>
          <w:rFonts w:ascii="Times New Roman" w:eastAsia="Times New Roman" w:hAnsi="Times New Roman" w:cs="Times New Roman"/>
          <w:sz w:val="20"/>
          <w:szCs w:val="20"/>
        </w:rPr>
        <w:t>, 55-65.</w:t>
      </w:r>
    </w:p>
  </w:footnote>
  <w:footnote w:id="77">
    <w:p w14:paraId="4FE136DA" w14:textId="4449466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eIDAS </w:t>
      </w:r>
      <w:r w:rsidRPr="00C86397">
        <w:rPr>
          <w:rFonts w:ascii="Times New Roman" w:eastAsia="Times New Roman" w:hAnsi="Times New Roman" w:cs="Times New Roman"/>
          <w:sz w:val="20"/>
          <w:szCs w:val="20"/>
        </w:rPr>
        <w:t>Art. 6.</w:t>
      </w:r>
    </w:p>
  </w:footnote>
  <w:footnote w:id="78">
    <w:p w14:paraId="0E0230C0" w14:textId="69D4311E"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eIDAS </w:t>
      </w:r>
      <w:r w:rsidRPr="00C86397">
        <w:rPr>
          <w:rFonts w:ascii="Times New Roman" w:eastAsia="Times New Roman" w:hAnsi="Times New Roman" w:cs="Times New Roman"/>
          <w:sz w:val="20"/>
          <w:szCs w:val="20"/>
        </w:rPr>
        <w:t>Rec. 11 and Art. 12.</w:t>
      </w:r>
    </w:p>
  </w:footnote>
  <w:footnote w:id="79">
    <w:p w14:paraId="6F2B48C2" w14:textId="248145AE"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Note that eIDAS does not provide mutual recognition of third-country eID schemes. The European Commission has published a notice in preparation of UK’s exit from the EU, outlining that “[a]s of the withdrawal date, electronic identification schemes which may have been notified by the United Kingdom before the withdrawal date pursuant to Article 9 of Regulation (EU) No 910/2014 will no longer be recognised by EU-27 Member States pursuant to Article 6 of Regulation (EU) No 910/2014.”: </w:t>
      </w:r>
      <w:r w:rsidRPr="00C86397">
        <w:rPr>
          <w:rFonts w:ascii="Times New Roman" w:hAnsi="Times New Roman" w:cs="Times New Roman"/>
          <w:noProof/>
        </w:rPr>
        <w:t>European Commission, Notice to Stakeholders: Withdrawal of the United Kingdom and EU Rules in the Field of Electronic Identification and Trust Services for Electronic Transactions (Brussels, 21 March, 2018) &lt;https://ec.europa.eu/info/sites/info/files/notice_to_stakeholders_brexit_e_signature_final.pdf&gt; accessed 14 April 2018</w:t>
      </w:r>
      <w:r w:rsidRPr="00C86397">
        <w:rPr>
          <w:rFonts w:ascii="Times New Roman" w:hAnsi="Times New Roman" w:cs="Times New Roman"/>
        </w:rPr>
        <w:t>, p. 2.</w:t>
      </w:r>
    </w:p>
  </w:footnote>
  <w:footnote w:id="80">
    <w:p w14:paraId="0514EA47" w14:textId="132A556B"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Tsakalakis, O'Hara and Stalla-Bourdillon, 'Identity assurance in the UK: technical implementation and legal implications under the eIDAS regulation' (n.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_Ref495054777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74</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w:t>
      </w:r>
      <w:r w:rsidRPr="00C86397">
        <w:rPr>
          <w:rFonts w:ascii="Times New Roman" w:eastAsia="Times New Roman" w:hAnsi="Times New Roman" w:cs="Times New Roman"/>
          <w:sz w:val="20"/>
          <w:szCs w:val="20"/>
        </w:rPr>
        <w:t xml:space="preserve"> 61.</w:t>
      </w:r>
    </w:p>
  </w:footnote>
  <w:footnote w:id="81">
    <w:p w14:paraId="0E6C65EF" w14:textId="2F0F144B"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Toby Stevens, 'GOV.UK Verify: privacy and consent' (</w:t>
      </w:r>
      <w:r w:rsidRPr="00C86397">
        <w:rPr>
          <w:rFonts w:ascii="Times New Roman" w:hAnsi="Times New Roman" w:cs="Times New Roman"/>
          <w:i/>
          <w:noProof/>
          <w:sz w:val="20"/>
          <w:szCs w:val="20"/>
        </w:rPr>
        <w:t>Gov.UK Verify Blog,</w:t>
      </w:r>
      <w:r w:rsidRPr="00C86397">
        <w:rPr>
          <w:rFonts w:ascii="Times New Roman" w:hAnsi="Times New Roman" w:cs="Times New Roman"/>
          <w:noProof/>
          <w:sz w:val="20"/>
          <w:szCs w:val="20"/>
        </w:rPr>
        <w:t xml:space="preserve"> 30 July 2015) &lt;https://identityassurance.blog.gov.uk/2015/07/30/gov-uk-verify-privacy-and-consent/&gt;  accessed 26 April 2018</w:t>
      </w:r>
      <w:r w:rsidRPr="00C86397">
        <w:rPr>
          <w:rFonts w:ascii="Times New Roman" w:hAnsi="Times New Roman" w:cs="Times New Roman"/>
          <w:sz w:val="20"/>
          <w:szCs w:val="20"/>
        </w:rPr>
        <w:t>.</w:t>
      </w:r>
    </w:p>
  </w:footnote>
  <w:footnote w:id="82">
    <w:p w14:paraId="6F8F47E1" w14:textId="3BF31B93"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DPD Art. 2(h).</w:t>
      </w:r>
    </w:p>
  </w:footnote>
  <w:footnote w:id="83">
    <w:p w14:paraId="66C57C92" w14:textId="7FA9358F"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Explicit consent, a term which is not defined by the Directive, is required for the processing of data relating to the racial or ethnic origins, political opinions, religious or philosophical beliefs, trade-union membership, or the health or sex life of the data subject: DPD Art. 8(2)(a).</w:t>
      </w:r>
    </w:p>
  </w:footnote>
  <w:footnote w:id="84">
    <w:p w14:paraId="4148D45E" w14:textId="1D7FEC4E"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Christopher Kuner, </w:t>
      </w:r>
      <w:r w:rsidRPr="00C86397">
        <w:rPr>
          <w:rFonts w:ascii="Times New Roman" w:hAnsi="Times New Roman" w:cs="Times New Roman"/>
          <w:i/>
          <w:noProof/>
          <w:sz w:val="20"/>
          <w:szCs w:val="20"/>
        </w:rPr>
        <w:t>European Data Protection Law: Corporate Compliance and Regulation</w:t>
      </w:r>
      <w:r w:rsidRPr="00C86397">
        <w:rPr>
          <w:rFonts w:ascii="Times New Roman" w:hAnsi="Times New Roman" w:cs="Times New Roman"/>
          <w:noProof/>
          <w:sz w:val="20"/>
          <w:szCs w:val="20"/>
        </w:rPr>
        <w:t xml:space="preserve"> (2nd edn, Oxford University Press 2007)</w:t>
      </w:r>
      <w:r w:rsidRPr="00C86397">
        <w:rPr>
          <w:rFonts w:ascii="Times New Roman" w:eastAsia="Times New Roman" w:hAnsi="Times New Roman" w:cs="Times New Roman"/>
          <w:sz w:val="20"/>
          <w:szCs w:val="20"/>
        </w:rPr>
        <w:t>, 67.</w:t>
      </w:r>
    </w:p>
  </w:footnote>
  <w:footnote w:id="85">
    <w:p w14:paraId="2207E022" w14:textId="254C13F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The Article 29 Working Party has suggested, however, that in certain situations an opt-in approach may be required. In an “Opinion on unsolicited communications for marketing purposes” it stated that “</w:t>
      </w:r>
      <w:r w:rsidRPr="00C86397">
        <w:rPr>
          <w:rFonts w:ascii="Times New Roman" w:eastAsia="Times New Roman" w:hAnsi="Times New Roman" w:cs="Times New Roman"/>
          <w:i/>
          <w:sz w:val="20"/>
          <w:szCs w:val="20"/>
        </w:rPr>
        <w:t xml:space="preserve">Implied consent to receive such mails is not compatible with the requirement of consent being the indication of someone’s wishes, including where this would be done ‘unless opposition is made’ </w:t>
      </w:r>
      <w:r w:rsidRPr="00C86397">
        <w:rPr>
          <w:rFonts w:ascii="Times New Roman" w:eastAsia="Times New Roman" w:hAnsi="Times New Roman" w:cs="Times New Roman"/>
          <w:sz w:val="20"/>
          <w:szCs w:val="20"/>
        </w:rPr>
        <w:t>[…]</w:t>
      </w:r>
      <w:r w:rsidRPr="00C86397">
        <w:rPr>
          <w:rFonts w:ascii="Times New Roman" w:eastAsia="Times New Roman" w:hAnsi="Times New Roman" w:cs="Times New Roman"/>
          <w:i/>
          <w:sz w:val="20"/>
          <w:szCs w:val="20"/>
        </w:rPr>
        <w:t xml:space="preserve"> Similarly, pre-ticked boxes, e.g., on websites are not compatible with the definition of the Directive either”</w:t>
      </w:r>
      <w:r w:rsidRPr="00C86397">
        <w:rPr>
          <w:rFonts w:ascii="Times New Roman" w:eastAsia="Times New Roman" w:hAnsi="Times New Roman" w:cs="Times New Roman"/>
          <w:sz w:val="20"/>
          <w:szCs w:val="20"/>
        </w:rPr>
        <w:t xml:space="preserve">. See </w:t>
      </w:r>
      <w:r w:rsidRPr="00C86397">
        <w:rPr>
          <w:rFonts w:ascii="Times New Roman" w:eastAsia="Times New Roman" w:hAnsi="Times New Roman" w:cs="Times New Roman"/>
          <w:noProof/>
          <w:sz w:val="20"/>
          <w:szCs w:val="20"/>
        </w:rPr>
        <w:t>Article 29 Data Protection Working Party, Opinion 5/2004 on unsolicited communications for marketing purposes under Article 13 of Directive 2002/58/EC (WP 90, 27 February 2004)</w:t>
      </w:r>
      <w:r w:rsidRPr="00C86397">
        <w:rPr>
          <w:rFonts w:ascii="Times New Roman" w:eastAsia="Times New Roman" w:hAnsi="Times New Roman" w:cs="Times New Roman"/>
          <w:sz w:val="20"/>
          <w:szCs w:val="20"/>
        </w:rPr>
        <w:t>, 5</w:t>
      </w:r>
      <w:r w:rsidRPr="00C86397">
        <w:rPr>
          <w:rFonts w:ascii="Times New Roman" w:eastAsia="Times New Roman" w:hAnsi="Times New Roman" w:cs="Times New Roman"/>
          <w:sz w:val="20"/>
          <w:szCs w:val="20"/>
          <w:highlight w:val="white"/>
        </w:rPr>
        <w:t xml:space="preserve">. </w:t>
      </w:r>
      <w:r w:rsidRPr="00C86397">
        <w:rPr>
          <w:rFonts w:ascii="Times New Roman" w:eastAsia="Times New Roman" w:hAnsi="Times New Roman" w:cs="Times New Roman"/>
          <w:sz w:val="20"/>
          <w:szCs w:val="20"/>
        </w:rPr>
        <w:t xml:space="preserve">Nevertheless, in certain jurisdictions, notably the United Kingdom, opt-out approaches to consent have previously on occasion been considered acceptable. See </w:t>
      </w:r>
      <w:r w:rsidRPr="00C86397">
        <w:rPr>
          <w:rFonts w:ascii="Times New Roman" w:eastAsia="Times New Roman" w:hAnsi="Times New Roman" w:cs="Times New Roman"/>
          <w:i/>
          <w:noProof/>
          <w:sz w:val="20"/>
          <w:szCs w:val="20"/>
        </w:rPr>
        <w:t>Linguaphone Institute v Data Protection Registrar</w:t>
      </w:r>
      <w:r w:rsidRPr="00C86397">
        <w:rPr>
          <w:rFonts w:ascii="Times New Roman" w:eastAsia="Times New Roman" w:hAnsi="Times New Roman" w:cs="Times New Roman"/>
          <w:noProof/>
          <w:sz w:val="20"/>
          <w:szCs w:val="20"/>
        </w:rPr>
        <w:t xml:space="preserve"> [1995] (Case DA/94 31/49/1)</w:t>
      </w:r>
      <w:r w:rsidRPr="00C86397">
        <w:rPr>
          <w:rFonts w:ascii="Times New Roman" w:eastAsia="Times New Roman" w:hAnsi="Times New Roman" w:cs="Times New Roman"/>
          <w:sz w:val="20"/>
          <w:szCs w:val="20"/>
        </w:rPr>
        <w:t>.</w:t>
      </w:r>
    </w:p>
  </w:footnote>
  <w:footnote w:id="86">
    <w:p w14:paraId="232E44DB" w14:textId="55A99A3B"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Eleni Kosta, </w:t>
      </w:r>
      <w:r w:rsidRPr="00C86397">
        <w:rPr>
          <w:rFonts w:ascii="Times New Roman" w:hAnsi="Times New Roman" w:cs="Times New Roman"/>
          <w:i/>
          <w:noProof/>
          <w:sz w:val="20"/>
          <w:szCs w:val="20"/>
        </w:rPr>
        <w:t>Consent in European Data Protection Law</w:t>
      </w:r>
      <w:r w:rsidRPr="00C86397">
        <w:rPr>
          <w:rFonts w:ascii="Times New Roman" w:hAnsi="Times New Roman" w:cs="Times New Roman"/>
          <w:noProof/>
          <w:sz w:val="20"/>
          <w:szCs w:val="20"/>
        </w:rPr>
        <w:t xml:space="preserve"> (Brill 2013)</w:t>
      </w:r>
      <w:r w:rsidRPr="00C86397">
        <w:rPr>
          <w:rFonts w:ascii="Times New Roman" w:eastAsia="Times New Roman" w:hAnsi="Times New Roman" w:cs="Times New Roman"/>
          <w:sz w:val="20"/>
          <w:szCs w:val="20"/>
        </w:rPr>
        <w:t>, 109.</w:t>
      </w:r>
    </w:p>
  </w:footnote>
  <w:footnote w:id="87">
    <w:p w14:paraId="41144A7E" w14:textId="72C6161A"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Kuner, </w:t>
      </w:r>
      <w:r w:rsidRPr="00C86397">
        <w:rPr>
          <w:rFonts w:ascii="Times New Roman" w:hAnsi="Times New Roman" w:cs="Times New Roman"/>
          <w:i/>
          <w:noProof/>
          <w:sz w:val="20"/>
          <w:szCs w:val="20"/>
        </w:rPr>
        <w:t xml:space="preserve">European Data Protection Law: Corporate Compliance and Regulation </w:t>
      </w:r>
      <w:r w:rsidRPr="00C86397">
        <w:rPr>
          <w:rFonts w:ascii="Times New Roman" w:hAnsi="Times New Roman" w:cs="Times New Roman"/>
          <w:noProof/>
          <w:sz w:val="20"/>
          <w:szCs w:val="20"/>
        </w:rPr>
        <w:t>(</w:t>
      </w:r>
      <w:r w:rsidRPr="00C86397">
        <w:rPr>
          <w:rFonts w:ascii="Times New Roman" w:hAnsi="Times New Roman" w:cs="Times New Roman"/>
          <w:i/>
          <w:noProof/>
          <w:sz w:val="20"/>
          <w:szCs w:val="20"/>
        </w:rPr>
        <w:t xml:space="preserve">n.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_Ref495056772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82</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w:t>
      </w:r>
      <w:r w:rsidRPr="00C86397">
        <w:rPr>
          <w:rFonts w:ascii="Times New Roman" w:eastAsia="Times New Roman" w:hAnsi="Times New Roman" w:cs="Times New Roman"/>
          <w:sz w:val="20"/>
          <w:szCs w:val="20"/>
        </w:rPr>
        <w:t xml:space="preserve"> 68.</w:t>
      </w:r>
    </w:p>
  </w:footnote>
  <w:footnote w:id="88">
    <w:p w14:paraId="759E5A76" w14:textId="12E9731B"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ICO, The Guide to Data Protection (v2,9,5, 7 July 2017) &lt;https://ico.org.uk/media/for-organisations/guide-to-data-protection-2-9.pdf&gt; accessed 26 April 2018</w:t>
      </w:r>
      <w:r w:rsidRPr="00C86397">
        <w:rPr>
          <w:rFonts w:ascii="Times New Roman" w:eastAsia="Times New Roman" w:hAnsi="Times New Roman" w:cs="Times New Roman"/>
          <w:sz w:val="20"/>
          <w:szCs w:val="20"/>
        </w:rPr>
        <w:t>.</w:t>
      </w:r>
    </w:p>
  </w:footnote>
  <w:footnote w:id="89">
    <w:p w14:paraId="57016005" w14:textId="1C2E078C"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Ibid</w:t>
      </w:r>
      <w:r w:rsidRPr="00C86397">
        <w:rPr>
          <w:rFonts w:ascii="Times New Roman" w:eastAsia="Times New Roman" w:hAnsi="Times New Roman" w:cs="Times New Roman"/>
          <w:i/>
          <w:sz w:val="20"/>
          <w:szCs w:val="20"/>
        </w:rPr>
        <w:t xml:space="preserve">. </w:t>
      </w:r>
    </w:p>
  </w:footnote>
  <w:footnote w:id="90">
    <w:p w14:paraId="6ACD8318" w14:textId="49A6935B"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noProof/>
          <w:sz w:val="20"/>
          <w:szCs w:val="20"/>
        </w:rPr>
        <w:t>British Gas Trading Ltd v Data Protection Registrar</w:t>
      </w:r>
      <w:r w:rsidRPr="00C86397">
        <w:rPr>
          <w:rFonts w:ascii="Times New Roman" w:hAnsi="Times New Roman" w:cs="Times New Roman"/>
          <w:noProof/>
          <w:sz w:val="20"/>
          <w:szCs w:val="20"/>
        </w:rPr>
        <w:t xml:space="preserve"> [1998] 1 Info TLR 393, DPT</w:t>
      </w:r>
      <w:r w:rsidRPr="00C86397">
        <w:rPr>
          <w:rFonts w:ascii="Times New Roman" w:eastAsia="Times New Roman" w:hAnsi="Times New Roman" w:cs="Times New Roman"/>
          <w:sz w:val="20"/>
          <w:szCs w:val="20"/>
        </w:rPr>
        <w:t>.</w:t>
      </w:r>
    </w:p>
  </w:footnote>
  <w:footnote w:id="91">
    <w:p w14:paraId="692B2368" w14:textId="36010097"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 xml:space="preserve">The judgment in this case seemingly echoed the Tribunal’s earlier decision in </w:t>
      </w:r>
      <w:r w:rsidRPr="00C86397">
        <w:rPr>
          <w:rFonts w:ascii="Times New Roman" w:eastAsia="Times New Roman" w:hAnsi="Times New Roman" w:cs="Times New Roman"/>
          <w:i/>
          <w:noProof/>
          <w:sz w:val="20"/>
          <w:szCs w:val="20"/>
        </w:rPr>
        <w:t xml:space="preserve">Linguaphone Institute v Data Protection Registrar </w:t>
      </w:r>
      <w:r w:rsidRPr="00C86397">
        <w:rPr>
          <w:rFonts w:ascii="Times New Roman" w:eastAsia="Times New Roman" w:hAnsi="Times New Roman" w:cs="Times New Roman"/>
          <w:noProof/>
          <w:sz w:val="20"/>
          <w:szCs w:val="20"/>
        </w:rPr>
        <w:t xml:space="preserve">(n. </w:t>
      </w:r>
      <w:r w:rsidRPr="00C86397">
        <w:rPr>
          <w:rFonts w:ascii="Times New Roman" w:eastAsia="Times New Roman" w:hAnsi="Times New Roman" w:cs="Times New Roman"/>
          <w:sz w:val="20"/>
          <w:szCs w:val="20"/>
        </w:rPr>
        <w:fldChar w:fldCharType="begin"/>
      </w:r>
      <w:r w:rsidRPr="00C86397">
        <w:rPr>
          <w:rFonts w:ascii="Times New Roman" w:eastAsia="Times New Roman" w:hAnsi="Times New Roman" w:cs="Times New Roman"/>
          <w:sz w:val="20"/>
          <w:szCs w:val="20"/>
        </w:rPr>
        <w:instrText xml:space="preserve"> NOTEREF _Ref495057925 \h  \* MERGEFORMAT </w:instrText>
      </w:r>
      <w:r w:rsidRPr="00C86397">
        <w:rPr>
          <w:rFonts w:ascii="Times New Roman" w:eastAsia="Times New Roman" w:hAnsi="Times New Roman" w:cs="Times New Roman"/>
          <w:sz w:val="20"/>
          <w:szCs w:val="20"/>
        </w:rPr>
      </w:r>
      <w:r w:rsidRPr="00C86397">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83</w:t>
      </w:r>
      <w:r w:rsidRPr="00C86397">
        <w:rPr>
          <w:rFonts w:ascii="Times New Roman" w:eastAsia="Times New Roman" w:hAnsi="Times New Roman" w:cs="Times New Roman"/>
          <w:sz w:val="20"/>
          <w:szCs w:val="20"/>
        </w:rPr>
        <w:fldChar w:fldCharType="end"/>
      </w:r>
      <w:r w:rsidRPr="00C86397">
        <w:rPr>
          <w:rFonts w:ascii="Times New Roman" w:eastAsia="Times New Roman" w:hAnsi="Times New Roman" w:cs="Times New Roman"/>
          <w:sz w:val="20"/>
          <w:szCs w:val="20"/>
        </w:rPr>
        <w:t>).</w:t>
      </w:r>
    </w:p>
  </w:footnote>
  <w:footnote w:id="92">
    <w:p w14:paraId="36FA3801" w14:textId="7FE21C12"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noProof/>
          <w:sz w:val="20"/>
          <w:szCs w:val="20"/>
        </w:rPr>
        <w:t>Innovations (Mail Order) Ltd v Data Protection Registrar</w:t>
      </w:r>
      <w:r w:rsidRPr="00C86397">
        <w:rPr>
          <w:rFonts w:ascii="Times New Roman" w:hAnsi="Times New Roman" w:cs="Times New Roman"/>
          <w:noProof/>
          <w:sz w:val="20"/>
          <w:szCs w:val="20"/>
        </w:rPr>
        <w:t xml:space="preserve"> [1992] (Case DA/92 31/49/1)</w:t>
      </w:r>
      <w:r w:rsidRPr="00C86397">
        <w:rPr>
          <w:rFonts w:ascii="Times New Roman" w:eastAsia="Times New Roman" w:hAnsi="Times New Roman" w:cs="Times New Roman"/>
          <w:sz w:val="20"/>
          <w:szCs w:val="20"/>
        </w:rPr>
        <w:t>.</w:t>
      </w:r>
    </w:p>
  </w:footnote>
  <w:footnote w:id="93">
    <w:p w14:paraId="3843556E" w14:textId="7E9BF993"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 xml:space="preserve">See for example: </w:t>
      </w:r>
      <w:r w:rsidRPr="00C86397">
        <w:rPr>
          <w:rFonts w:ascii="Times New Roman" w:eastAsia="Times New Roman" w:hAnsi="Times New Roman" w:cs="Times New Roman"/>
          <w:i/>
          <w:noProof/>
          <w:sz w:val="20"/>
          <w:szCs w:val="20"/>
        </w:rPr>
        <w:t>Re Caughey ex p. Ford</w:t>
      </w:r>
      <w:r w:rsidRPr="00C86397">
        <w:rPr>
          <w:rFonts w:ascii="Times New Roman" w:eastAsia="Times New Roman" w:hAnsi="Times New Roman" w:cs="Times New Roman"/>
          <w:noProof/>
          <w:sz w:val="20"/>
          <w:szCs w:val="20"/>
        </w:rPr>
        <w:t xml:space="preserve"> [1876] 1 ChD 521</w:t>
      </w:r>
      <w:r w:rsidRPr="00C86397">
        <w:rPr>
          <w:rFonts w:ascii="Times New Roman" w:eastAsia="Times New Roman" w:hAnsi="Times New Roman" w:cs="Times New Roman"/>
          <w:sz w:val="20"/>
          <w:szCs w:val="20"/>
        </w:rPr>
        <w:t xml:space="preserve">; </w:t>
      </w:r>
      <w:r w:rsidRPr="00C86397">
        <w:rPr>
          <w:rFonts w:ascii="Times New Roman" w:eastAsia="Times New Roman" w:hAnsi="Times New Roman" w:cs="Times New Roman"/>
          <w:i/>
          <w:noProof/>
          <w:sz w:val="20"/>
          <w:szCs w:val="20"/>
        </w:rPr>
        <w:t>A-G's Reference (No 6 of 1980)</w:t>
      </w:r>
      <w:r w:rsidRPr="00C86397">
        <w:rPr>
          <w:rFonts w:ascii="Times New Roman" w:eastAsia="Times New Roman" w:hAnsi="Times New Roman" w:cs="Times New Roman"/>
          <w:noProof/>
          <w:sz w:val="20"/>
          <w:szCs w:val="20"/>
        </w:rPr>
        <w:t xml:space="preserve"> [1981] 2 All ER 1057</w:t>
      </w:r>
      <w:r w:rsidRPr="00C86397">
        <w:rPr>
          <w:rFonts w:ascii="Times New Roman" w:eastAsia="Times New Roman" w:hAnsi="Times New Roman" w:cs="Times New Roman"/>
          <w:sz w:val="20"/>
          <w:szCs w:val="20"/>
        </w:rPr>
        <w:t xml:space="preserve">; </w:t>
      </w:r>
      <w:r w:rsidRPr="00C86397">
        <w:rPr>
          <w:rFonts w:ascii="Times New Roman" w:eastAsia="Times New Roman" w:hAnsi="Times New Roman" w:cs="Times New Roman"/>
          <w:i/>
          <w:noProof/>
          <w:sz w:val="20"/>
          <w:szCs w:val="20"/>
        </w:rPr>
        <w:t>R v Barnes</w:t>
      </w:r>
      <w:r w:rsidRPr="00C86397">
        <w:rPr>
          <w:rFonts w:ascii="Times New Roman" w:eastAsia="Times New Roman" w:hAnsi="Times New Roman" w:cs="Times New Roman"/>
          <w:noProof/>
          <w:sz w:val="20"/>
          <w:szCs w:val="20"/>
        </w:rPr>
        <w:t xml:space="preserve"> [2004] EWCA Crim 3246</w:t>
      </w:r>
      <w:r w:rsidRPr="00C86397">
        <w:rPr>
          <w:rFonts w:ascii="Times New Roman" w:eastAsia="Times New Roman" w:hAnsi="Times New Roman" w:cs="Times New Roman"/>
          <w:sz w:val="20"/>
          <w:szCs w:val="20"/>
        </w:rPr>
        <w:t>.</w:t>
      </w:r>
    </w:p>
  </w:footnote>
  <w:footnote w:id="94">
    <w:p w14:paraId="0A31395A" w14:textId="00E5500B"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 xml:space="preserve">See </w:t>
      </w:r>
      <w:r w:rsidRPr="00C86397">
        <w:rPr>
          <w:rFonts w:ascii="Times New Roman" w:eastAsia="Times New Roman" w:hAnsi="Times New Roman" w:cs="Times New Roman"/>
          <w:i/>
          <w:noProof/>
          <w:sz w:val="20"/>
          <w:szCs w:val="20"/>
        </w:rPr>
        <w:t>Bell v Alfred Franks and Bartlett Co Ltd</w:t>
      </w:r>
      <w:r w:rsidRPr="00C86397">
        <w:rPr>
          <w:rFonts w:ascii="Times New Roman" w:eastAsia="Times New Roman" w:hAnsi="Times New Roman" w:cs="Times New Roman"/>
          <w:noProof/>
          <w:sz w:val="20"/>
          <w:szCs w:val="20"/>
        </w:rPr>
        <w:t xml:space="preserve"> [1980] 1 ALL ER 356</w:t>
      </w:r>
      <w:r w:rsidRPr="00C86397">
        <w:rPr>
          <w:rFonts w:ascii="Times New Roman" w:eastAsia="Times New Roman" w:hAnsi="Times New Roman" w:cs="Times New Roman"/>
          <w:sz w:val="20"/>
          <w:szCs w:val="20"/>
        </w:rPr>
        <w:t>.</w:t>
      </w:r>
    </w:p>
  </w:footnote>
  <w:footnote w:id="95">
    <w:p w14:paraId="1D71E3C0" w14:textId="3DD5991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Article 29 Data Protection Working Party, Opinion 15/2011 on the definiton of consent (WP 187, 13 July 2011)</w:t>
      </w:r>
      <w:r w:rsidRPr="00C86397">
        <w:rPr>
          <w:rFonts w:ascii="Times New Roman" w:eastAsia="Times New Roman" w:hAnsi="Times New Roman" w:cs="Times New Roman"/>
          <w:sz w:val="20"/>
          <w:szCs w:val="20"/>
        </w:rPr>
        <w:t>.</w:t>
      </w:r>
    </w:p>
  </w:footnote>
  <w:footnote w:id="96">
    <w:p w14:paraId="353AFD1D" w14:textId="76ED6BEF"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 xml:space="preserve">This finding echoed an earlier judgment of the CJEU in the </w:t>
      </w:r>
      <w:r w:rsidRPr="00C86397">
        <w:rPr>
          <w:rFonts w:ascii="Times New Roman" w:eastAsia="Times New Roman" w:hAnsi="Times New Roman" w:cs="Times New Roman"/>
          <w:i/>
          <w:sz w:val="20"/>
          <w:szCs w:val="20"/>
        </w:rPr>
        <w:t xml:space="preserve">Bavarian Lager </w:t>
      </w:r>
      <w:r w:rsidRPr="00C86397">
        <w:rPr>
          <w:rFonts w:ascii="Times New Roman" w:eastAsia="Times New Roman" w:hAnsi="Times New Roman" w:cs="Times New Roman"/>
          <w:sz w:val="20"/>
          <w:szCs w:val="20"/>
        </w:rPr>
        <w:t xml:space="preserve">case, where it was held that silence, or a failure to respond, could never form the basis of “free and informed” consent. See </w:t>
      </w:r>
      <w:r w:rsidRPr="00C86397">
        <w:rPr>
          <w:rFonts w:ascii="Times New Roman" w:eastAsia="Times New Roman" w:hAnsi="Times New Roman" w:cs="Times New Roman"/>
          <w:i/>
          <w:noProof/>
          <w:sz w:val="20"/>
          <w:szCs w:val="20"/>
        </w:rPr>
        <w:t>European Commission v The Bavarian Lager Co. Ltd.</w:t>
      </w:r>
      <w:r w:rsidRPr="00C86397">
        <w:rPr>
          <w:rFonts w:ascii="Times New Roman" w:eastAsia="Times New Roman" w:hAnsi="Times New Roman" w:cs="Times New Roman"/>
          <w:noProof/>
          <w:sz w:val="20"/>
          <w:szCs w:val="20"/>
        </w:rPr>
        <w:t>, Case C-28/08 P, [2010] ECR I-06055 (EU:C:2010:378)</w:t>
      </w:r>
      <w:r w:rsidRPr="00C86397">
        <w:rPr>
          <w:rFonts w:ascii="Times New Roman" w:eastAsia="Times New Roman" w:hAnsi="Times New Roman" w:cs="Times New Roman"/>
          <w:sz w:val="20"/>
          <w:szCs w:val="20"/>
        </w:rPr>
        <w:t>.</w:t>
      </w:r>
    </w:p>
  </w:footnote>
  <w:footnote w:id="97">
    <w:p w14:paraId="330D1C80" w14:textId="5D54C2D4"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Article 29 Data Protection Working Party, </w:t>
      </w:r>
      <w:r w:rsidRPr="00C86397">
        <w:rPr>
          <w:rFonts w:ascii="Times New Roman" w:hAnsi="Times New Roman" w:cs="Times New Roman"/>
          <w:i/>
          <w:noProof/>
          <w:sz w:val="20"/>
          <w:szCs w:val="20"/>
        </w:rPr>
        <w:t xml:space="preserve">Opinion 15/2011 on the definiton of consent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_Ref495058897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93</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w:t>
      </w:r>
      <w:r w:rsidRPr="00C86397">
        <w:rPr>
          <w:rFonts w:ascii="Times New Roman" w:eastAsia="Times New Roman" w:hAnsi="Times New Roman" w:cs="Times New Roman"/>
          <w:sz w:val="20"/>
          <w:szCs w:val="20"/>
        </w:rPr>
        <w:t>.</w:t>
      </w:r>
    </w:p>
  </w:footnote>
  <w:footnote w:id="98">
    <w:p w14:paraId="5B151F9C" w14:textId="349FE415"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 'GDPR will come into force in the UK in 2018, minister confirms' (n.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_Ref495059200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11</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w:t>
      </w:r>
    </w:p>
  </w:footnote>
  <w:footnote w:id="99">
    <w:p w14:paraId="546A7784" w14:textId="1946CEB2"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See GDPR Rec. 40 and Art. 6(1).</w:t>
      </w:r>
    </w:p>
  </w:footnote>
  <w:footnote w:id="100">
    <w:p w14:paraId="1377E69C" w14:textId="5E14D0CA"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GDPR </w:t>
      </w:r>
      <w:r w:rsidRPr="00C86397">
        <w:rPr>
          <w:rFonts w:ascii="Times New Roman" w:eastAsia="Times New Roman" w:hAnsi="Times New Roman" w:cs="Times New Roman"/>
          <w:sz w:val="20"/>
          <w:szCs w:val="20"/>
        </w:rPr>
        <w:t>Art. 4(11).</w:t>
      </w:r>
    </w:p>
  </w:footnote>
  <w:footnote w:id="101">
    <w:p w14:paraId="79D6B879" w14:textId="2768E423"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eastAsia="Times New Roman" w:hAnsi="Times New Roman" w:cs="Times New Roman"/>
          <w:sz w:val="20"/>
          <w:szCs w:val="20"/>
        </w:rPr>
        <w:t xml:space="preserve"> See for example </w:t>
      </w:r>
      <w:r w:rsidRPr="00C86397">
        <w:rPr>
          <w:rFonts w:ascii="Times New Roman" w:eastAsia="Times New Roman" w:hAnsi="Times New Roman" w:cs="Times New Roman"/>
          <w:noProof/>
          <w:sz w:val="20"/>
          <w:szCs w:val="20"/>
        </w:rPr>
        <w:t>Bart W. Schermer, Bart Custers and Simone van der Hof, 'The crisis of consent: how stronger legal protection may lead to weaker consent in data protection' (2014) 16 Ethics and Information Technology 171</w:t>
      </w:r>
      <w:r w:rsidRPr="00C86397">
        <w:rPr>
          <w:rFonts w:ascii="Times New Roman" w:eastAsia="Times New Roman" w:hAnsi="Times New Roman" w:cs="Times New Roman"/>
          <w:sz w:val="20"/>
          <w:szCs w:val="20"/>
        </w:rPr>
        <w:t xml:space="preserve">, 171-182; </w:t>
      </w:r>
      <w:r w:rsidRPr="00C86397">
        <w:rPr>
          <w:rFonts w:ascii="Times New Roman" w:eastAsia="Times New Roman" w:hAnsi="Times New Roman" w:cs="Times New Roman"/>
          <w:noProof/>
          <w:sz w:val="20"/>
          <w:szCs w:val="20"/>
        </w:rPr>
        <w:t>Bart van der Sloot, 'Do data protection rules protect the individual and should they? An assessment of the proposed General Data Protection Regulation' (2014) 4 International Data Privacy Law 307</w:t>
      </w:r>
      <w:r w:rsidRPr="00C86397">
        <w:rPr>
          <w:rFonts w:ascii="Times New Roman" w:eastAsia="Times New Roman" w:hAnsi="Times New Roman" w:cs="Times New Roman"/>
          <w:sz w:val="20"/>
          <w:szCs w:val="20"/>
        </w:rPr>
        <w:t xml:space="preserve">, 307-325. </w:t>
      </w:r>
    </w:p>
  </w:footnote>
  <w:footnote w:id="102">
    <w:p w14:paraId="3D6FF6F0" w14:textId="1CB1E3BF"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ICO, Consultation: GDPR consent guidance (2017) &lt;https://ico.org.uk/media/about-the-ico/consultations/2013551/draft-gdpr-consent-guidance-for-consultation-201703.pdf&gt; accessed 26 April 2018</w:t>
      </w:r>
      <w:r w:rsidRPr="00C86397">
        <w:rPr>
          <w:rFonts w:ascii="Times New Roman" w:eastAsia="Times New Roman" w:hAnsi="Times New Roman" w:cs="Times New Roman"/>
          <w:sz w:val="20"/>
          <w:szCs w:val="20"/>
        </w:rPr>
        <w:t>.</w:t>
      </w:r>
    </w:p>
  </w:footnote>
  <w:footnote w:id="103">
    <w:p w14:paraId="0B612E22" w14:textId="579473C9"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i/>
          <w:sz w:val="20"/>
          <w:szCs w:val="20"/>
        </w:rPr>
        <w:t xml:space="preserve">ibid. </w:t>
      </w:r>
      <w:r w:rsidRPr="00C86397">
        <w:rPr>
          <w:rFonts w:ascii="Times New Roman" w:eastAsia="Times New Roman" w:hAnsi="Times New Roman" w:cs="Times New Roman"/>
          <w:sz w:val="20"/>
          <w:szCs w:val="20"/>
        </w:rPr>
        <w:t>14.</w:t>
      </w:r>
    </w:p>
  </w:footnote>
  <w:footnote w:id="104">
    <w:p w14:paraId="2A3372C5" w14:textId="56085717"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 xml:space="preserve">To this end the ICO guidance can be said to correlate with earlier UK jurisprudence regarding the doctrine of inequality of bargaining power. See for example </w:t>
      </w:r>
      <w:r w:rsidRPr="00C86397">
        <w:rPr>
          <w:rFonts w:ascii="Times New Roman" w:eastAsia="Times New Roman" w:hAnsi="Times New Roman" w:cs="Times New Roman"/>
          <w:i/>
          <w:noProof/>
          <w:sz w:val="20"/>
          <w:szCs w:val="20"/>
        </w:rPr>
        <w:t>Schroeder Music Publishing Co Ltd v Macaulay</w:t>
      </w:r>
      <w:r w:rsidRPr="00C86397">
        <w:rPr>
          <w:rFonts w:ascii="Times New Roman" w:eastAsia="Times New Roman" w:hAnsi="Times New Roman" w:cs="Times New Roman"/>
          <w:noProof/>
          <w:sz w:val="20"/>
          <w:szCs w:val="20"/>
        </w:rPr>
        <w:t xml:space="preserve"> [1974] 1 WLR 1308</w:t>
      </w:r>
      <w:r w:rsidRPr="00C86397">
        <w:rPr>
          <w:rFonts w:ascii="Times New Roman" w:eastAsia="Times New Roman" w:hAnsi="Times New Roman" w:cs="Times New Roman"/>
          <w:sz w:val="20"/>
          <w:szCs w:val="20"/>
        </w:rPr>
        <w:t>, 1316.</w:t>
      </w:r>
    </w:p>
  </w:footnote>
  <w:footnote w:id="105">
    <w:p w14:paraId="12C6ADAF" w14:textId="77777777"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Article 3 of Directive 93/13/EEC on unfair contract terms in consumer contracts specifies, for instance, that a contractual term which has not been negotiated shall be regarded as unfair if, contrary to the requirement of good faith, it causes a significant imbalance in the parties’ rights and obligations arising under the contract, to the detriment of the consumer.</w:t>
      </w:r>
    </w:p>
  </w:footnote>
  <w:footnote w:id="106">
    <w:p w14:paraId="6B01DC4D" w14:textId="4C56908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 xml:space="preserve">See for example </w:t>
      </w:r>
      <w:r w:rsidRPr="00C86397">
        <w:rPr>
          <w:rFonts w:ascii="Times New Roman" w:eastAsia="Times New Roman" w:hAnsi="Times New Roman" w:cs="Times New Roman"/>
          <w:noProof/>
          <w:sz w:val="20"/>
          <w:szCs w:val="20"/>
        </w:rPr>
        <w:t>Michael Schillig, 'Inequality of Bargaining Power Versus Market for Lemons: Legal Paradigm Change and the Court of Justice's Jurisprudence on Directive 93/13 on Unfair Contract Terms' (2009) 33 European Law Review 336</w:t>
      </w:r>
      <w:r w:rsidRPr="00C86397">
        <w:rPr>
          <w:rFonts w:ascii="Times New Roman" w:eastAsia="Times New Roman" w:hAnsi="Times New Roman" w:cs="Times New Roman"/>
          <w:sz w:val="20"/>
          <w:szCs w:val="20"/>
        </w:rPr>
        <w:t xml:space="preserve">, 336-358. The ambiguity of the term has also been considered in the context of EU competition law. See </w:t>
      </w:r>
      <w:r w:rsidRPr="00C86397">
        <w:rPr>
          <w:rFonts w:ascii="Times New Roman" w:eastAsia="Times New Roman" w:hAnsi="Times New Roman" w:cs="Times New Roman"/>
          <w:noProof/>
          <w:sz w:val="20"/>
          <w:szCs w:val="20"/>
        </w:rPr>
        <w:t xml:space="preserve">Pinar Akman, </w:t>
      </w:r>
      <w:r w:rsidRPr="00C86397">
        <w:rPr>
          <w:rFonts w:ascii="Times New Roman" w:eastAsia="Times New Roman" w:hAnsi="Times New Roman" w:cs="Times New Roman"/>
          <w:i/>
          <w:noProof/>
          <w:sz w:val="20"/>
          <w:szCs w:val="20"/>
        </w:rPr>
        <w:t>The Concept of Abuse in EU Competition Law: Law and Economic Approaches</w:t>
      </w:r>
      <w:r w:rsidRPr="00C86397">
        <w:rPr>
          <w:rFonts w:ascii="Times New Roman" w:eastAsia="Times New Roman" w:hAnsi="Times New Roman" w:cs="Times New Roman"/>
          <w:noProof/>
          <w:sz w:val="20"/>
          <w:szCs w:val="20"/>
        </w:rPr>
        <w:t xml:space="preserve"> (Hart Publishing 2012)</w:t>
      </w:r>
      <w:r w:rsidRPr="00C86397">
        <w:rPr>
          <w:rFonts w:ascii="Times New Roman" w:eastAsia="Times New Roman" w:hAnsi="Times New Roman" w:cs="Times New Roman"/>
          <w:sz w:val="20"/>
          <w:szCs w:val="20"/>
        </w:rPr>
        <w:t>, 162.</w:t>
      </w:r>
      <w:r w:rsidRPr="00C86397">
        <w:rPr>
          <w:rFonts w:ascii="Times New Roman" w:hAnsi="Times New Roman" w:cs="Times New Roman"/>
          <w:sz w:val="20"/>
          <w:szCs w:val="20"/>
        </w:rPr>
        <w:t xml:space="preserve"> </w:t>
      </w:r>
    </w:p>
  </w:footnote>
  <w:footnote w:id="107">
    <w:p w14:paraId="416D6BFC" w14:textId="4744E42C" w:rsidR="00F560CA" w:rsidRPr="009713C3" w:rsidRDefault="00F560CA" w:rsidP="00C86397">
      <w:pPr>
        <w:spacing w:line="240" w:lineRule="auto"/>
        <w:rPr>
          <w:rFonts w:ascii="Times New Roman" w:hAnsi="Times New Roman" w:cs="Times New Roman"/>
          <w:sz w:val="20"/>
          <w:szCs w:val="20"/>
          <w:lang w:val="fr-FR"/>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lang w:val="fr-FR"/>
        </w:rPr>
        <w:t xml:space="preserve"> </w:t>
      </w:r>
      <w:r w:rsidRPr="00C86397">
        <w:rPr>
          <w:rFonts w:ascii="Times New Roman" w:hAnsi="Times New Roman" w:cs="Times New Roman"/>
          <w:noProof/>
          <w:sz w:val="20"/>
          <w:szCs w:val="20"/>
          <w:lang w:val="fr-FR"/>
        </w:rPr>
        <w:t xml:space="preserve">ICO, </w:t>
      </w:r>
      <w:r w:rsidRPr="00C86397">
        <w:rPr>
          <w:rFonts w:ascii="Times New Roman" w:hAnsi="Times New Roman" w:cs="Times New Roman"/>
          <w:i/>
          <w:noProof/>
          <w:sz w:val="20"/>
          <w:szCs w:val="20"/>
          <w:lang w:val="fr-FR"/>
        </w:rPr>
        <w:t xml:space="preserve">Consultation: GDPR consent guidance </w:t>
      </w:r>
      <w:r w:rsidRPr="00C86397">
        <w:rPr>
          <w:rFonts w:ascii="Times New Roman" w:hAnsi="Times New Roman" w:cs="Times New Roman"/>
          <w:noProof/>
          <w:sz w:val="20"/>
          <w:szCs w:val="20"/>
          <w:lang w:val="fr-FR"/>
        </w:rPr>
        <w:t>(n.</w:t>
      </w:r>
      <w:r w:rsidRPr="00C86397">
        <w:rPr>
          <w:rFonts w:ascii="Times New Roman" w:hAnsi="Times New Roman" w:cs="Times New Roman"/>
          <w:i/>
          <w:noProof/>
          <w:sz w:val="20"/>
          <w:szCs w:val="20"/>
          <w:lang w:val="fr-FR"/>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lang w:val="fr-FR"/>
        </w:rPr>
        <w:instrText xml:space="preserve"> NOTEREF _Ref495061374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sidRPr="009713C3">
        <w:rPr>
          <w:rFonts w:ascii="Times New Roman" w:hAnsi="Times New Roman" w:cs="Times New Roman"/>
          <w:sz w:val="20"/>
          <w:szCs w:val="20"/>
          <w:lang w:val="fr-FR"/>
        </w:rPr>
        <w:t>100</w:t>
      </w:r>
      <w:r w:rsidRPr="00C86397">
        <w:rPr>
          <w:rFonts w:ascii="Times New Roman" w:hAnsi="Times New Roman" w:cs="Times New Roman"/>
          <w:sz w:val="20"/>
          <w:szCs w:val="20"/>
        </w:rPr>
        <w:fldChar w:fldCharType="end"/>
      </w:r>
      <w:r w:rsidRPr="009713C3">
        <w:rPr>
          <w:rFonts w:ascii="Times New Roman" w:hAnsi="Times New Roman" w:cs="Times New Roman"/>
          <w:sz w:val="20"/>
          <w:szCs w:val="20"/>
          <w:lang w:val="fr-FR"/>
        </w:rPr>
        <w:t>)</w:t>
      </w:r>
      <w:r w:rsidRPr="009713C3">
        <w:rPr>
          <w:rFonts w:ascii="Times New Roman" w:eastAsia="Times New Roman" w:hAnsi="Times New Roman" w:cs="Times New Roman"/>
          <w:sz w:val="20"/>
          <w:szCs w:val="20"/>
          <w:lang w:val="fr-FR"/>
        </w:rPr>
        <w:t xml:space="preserve">, </w:t>
      </w:r>
      <w:r w:rsidRPr="009713C3">
        <w:rPr>
          <w:rFonts w:ascii="Times New Roman" w:hAnsi="Times New Roman" w:cs="Times New Roman"/>
          <w:sz w:val="20"/>
          <w:szCs w:val="20"/>
          <w:lang w:val="fr-FR"/>
        </w:rPr>
        <w:t xml:space="preserve">14; GDPR </w:t>
      </w:r>
      <w:r w:rsidRPr="009713C3">
        <w:rPr>
          <w:rFonts w:ascii="Times New Roman" w:eastAsia="Times New Roman" w:hAnsi="Times New Roman" w:cs="Times New Roman"/>
          <w:sz w:val="20"/>
          <w:szCs w:val="20"/>
          <w:lang w:val="fr-FR"/>
        </w:rPr>
        <w:t>Rec. 43</w:t>
      </w:r>
      <w:r w:rsidRPr="009713C3">
        <w:rPr>
          <w:rFonts w:ascii="Times New Roman" w:hAnsi="Times New Roman" w:cs="Times New Roman"/>
          <w:sz w:val="20"/>
          <w:szCs w:val="20"/>
          <w:lang w:val="fr-FR"/>
        </w:rPr>
        <w:t>.</w:t>
      </w:r>
    </w:p>
  </w:footnote>
  <w:footnote w:id="108">
    <w:p w14:paraId="2A72A904" w14:textId="28240D43"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i/>
          <w:noProof/>
        </w:rPr>
        <w:t xml:space="preserve">A. Foster and others v British Gas plc. </w:t>
      </w:r>
      <w:r w:rsidRPr="00C86397">
        <w:rPr>
          <w:rFonts w:ascii="Times New Roman" w:hAnsi="Times New Roman" w:cs="Times New Roman"/>
          <w:noProof/>
        </w:rPr>
        <w:t>, Case C-188/89, [1990] ECR I-03313 (EU:C:1990:313)</w:t>
      </w:r>
      <w:r w:rsidRPr="00C86397">
        <w:rPr>
          <w:rFonts w:ascii="Times New Roman" w:hAnsi="Times New Roman" w:cs="Times New Roman"/>
        </w:rPr>
        <w:t>.</w:t>
      </w:r>
    </w:p>
  </w:footnote>
  <w:footnote w:id="109">
    <w:p w14:paraId="5B483B99" w14:textId="57FDF55E"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i/>
          <w:noProof/>
        </w:rPr>
        <w:t>Fish Legal and Emily Shirley v Information Commissioner and Others</w:t>
      </w:r>
      <w:r w:rsidRPr="00C86397">
        <w:rPr>
          <w:rFonts w:ascii="Times New Roman" w:hAnsi="Times New Roman" w:cs="Times New Roman"/>
          <w:noProof/>
        </w:rPr>
        <w:t>, Case C</w:t>
      </w:r>
      <w:r w:rsidRPr="00C86397">
        <w:rPr>
          <w:rFonts w:ascii="Cambria Math" w:eastAsia="Calibri" w:hAnsi="Cambria Math" w:cs="Cambria Math"/>
          <w:noProof/>
        </w:rPr>
        <w:t>‑</w:t>
      </w:r>
      <w:r w:rsidRPr="00C86397">
        <w:rPr>
          <w:rFonts w:ascii="Times New Roman" w:hAnsi="Times New Roman" w:cs="Times New Roman"/>
          <w:noProof/>
        </w:rPr>
        <w:t>279/12, [2013] (EU:C:2013:853)</w:t>
      </w:r>
      <w:r w:rsidRPr="00C86397">
        <w:rPr>
          <w:rFonts w:ascii="Times New Roman" w:hAnsi="Times New Roman" w:cs="Times New Roman"/>
        </w:rPr>
        <w:t>.</w:t>
      </w:r>
    </w:p>
  </w:footnote>
  <w:footnote w:id="110">
    <w:p w14:paraId="2C4BCF17" w14:textId="6295E254"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noProof/>
        </w:rPr>
        <w:t>Directive 2003/4/EC of the European Parliament and of the Council of 28 January 2003 on public access to environmental information and repealing Council Directive 90/313/EEC [2003] OJ L 41/26</w:t>
      </w:r>
      <w:r w:rsidRPr="00C86397">
        <w:rPr>
          <w:rFonts w:ascii="Times New Roman" w:hAnsi="Times New Roman" w:cs="Times New Roman"/>
        </w:rPr>
        <w:t>.</w:t>
      </w:r>
    </w:p>
  </w:footnote>
  <w:footnote w:id="111">
    <w:p w14:paraId="5B892D7F" w14:textId="429873E0"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i/>
          <w:noProof/>
        </w:rPr>
        <w:t xml:space="preserve">Fish Legal and Emily Shirley v Information Commissioner and Others </w:t>
      </w:r>
      <w:r w:rsidRPr="00C86397">
        <w:rPr>
          <w:rFonts w:ascii="Times New Roman" w:hAnsi="Times New Roman" w:cs="Times New Roman"/>
          <w:noProof/>
        </w:rPr>
        <w:t xml:space="preserve">(n. </w:t>
      </w:r>
      <w:r w:rsidRPr="00C86397">
        <w:rPr>
          <w:rFonts w:ascii="Times New Roman" w:hAnsi="Times New Roman" w:cs="Times New Roman"/>
        </w:rPr>
        <w:fldChar w:fldCharType="begin"/>
      </w:r>
      <w:r w:rsidRPr="00C86397">
        <w:rPr>
          <w:rFonts w:ascii="Times New Roman" w:hAnsi="Times New Roman" w:cs="Times New Roman"/>
        </w:rPr>
        <w:instrText xml:space="preserve"> NOTEREF _Ref512495612 \h  \* MERGEFORMAT </w:instrText>
      </w:r>
      <w:r w:rsidRPr="00C86397">
        <w:rPr>
          <w:rFonts w:ascii="Times New Roman" w:hAnsi="Times New Roman" w:cs="Times New Roman"/>
        </w:rPr>
      </w:r>
      <w:r w:rsidRPr="00C86397">
        <w:rPr>
          <w:rFonts w:ascii="Times New Roman" w:hAnsi="Times New Roman" w:cs="Times New Roman"/>
        </w:rPr>
        <w:fldChar w:fldCharType="separate"/>
      </w:r>
      <w:r>
        <w:rPr>
          <w:rFonts w:ascii="Times New Roman" w:hAnsi="Times New Roman" w:cs="Times New Roman"/>
        </w:rPr>
        <w:t>107</w:t>
      </w:r>
      <w:r w:rsidRPr="00C86397">
        <w:rPr>
          <w:rFonts w:ascii="Times New Roman" w:hAnsi="Times New Roman" w:cs="Times New Roman"/>
        </w:rPr>
        <w:fldChar w:fldCharType="end"/>
      </w:r>
      <w:r w:rsidRPr="00C86397">
        <w:rPr>
          <w:rFonts w:ascii="Times New Roman" w:hAnsi="Times New Roman" w:cs="Times New Roman"/>
        </w:rPr>
        <w:t>) para. 52.</w:t>
      </w:r>
    </w:p>
  </w:footnote>
  <w:footnote w:id="112">
    <w:p w14:paraId="1F83A45D" w14:textId="015F05D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ICO, </w:t>
      </w:r>
      <w:r w:rsidRPr="00C86397">
        <w:rPr>
          <w:rFonts w:ascii="Times New Roman" w:hAnsi="Times New Roman" w:cs="Times New Roman"/>
          <w:i/>
          <w:noProof/>
          <w:sz w:val="20"/>
          <w:szCs w:val="20"/>
        </w:rPr>
        <w:t xml:space="preserve">Consultation: GDPR consent guidance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_Ref495061374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100</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w:t>
      </w:r>
      <w:r w:rsidRPr="00C86397">
        <w:rPr>
          <w:rFonts w:ascii="Times New Roman" w:eastAsia="Times New Roman" w:hAnsi="Times New Roman" w:cs="Times New Roman"/>
          <w:sz w:val="20"/>
          <w:szCs w:val="20"/>
        </w:rPr>
        <w:t>.</w:t>
      </w:r>
    </w:p>
  </w:footnote>
  <w:footnote w:id="113">
    <w:p w14:paraId="15E286CA" w14:textId="522BC0CE"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i/>
          <w:sz w:val="20"/>
          <w:szCs w:val="20"/>
        </w:rPr>
        <w:t xml:space="preserve">ibid. </w:t>
      </w:r>
      <w:r w:rsidRPr="00C86397">
        <w:rPr>
          <w:rFonts w:ascii="Times New Roman" w:eastAsia="Times New Roman" w:hAnsi="Times New Roman" w:cs="Times New Roman"/>
          <w:sz w:val="20"/>
          <w:szCs w:val="20"/>
        </w:rPr>
        <w:t>14.</w:t>
      </w:r>
    </w:p>
  </w:footnote>
  <w:footnote w:id="114">
    <w:p w14:paraId="6965DCFB" w14:textId="5FEA4635"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noProof/>
        </w:rPr>
        <w:t>Article 29 Data Protection Working Party, Guidelines on Consent under Regulation 2016/679 (WP 259, adopted on 28 November, 2017)</w:t>
      </w:r>
      <w:r w:rsidRPr="00C86397">
        <w:rPr>
          <w:rFonts w:ascii="Times New Roman" w:hAnsi="Times New Roman" w:cs="Times New Roman"/>
        </w:rPr>
        <w:t xml:space="preserve">. These guidelines were last revised and adopted on 10 April 2018. </w:t>
      </w:r>
    </w:p>
  </w:footnote>
  <w:footnote w:id="115">
    <w:p w14:paraId="031BB966" w14:textId="6C25C667"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i/>
        </w:rPr>
        <w:t>ibid.</w:t>
      </w:r>
      <w:r w:rsidRPr="00C86397">
        <w:rPr>
          <w:rFonts w:ascii="Times New Roman" w:hAnsi="Times New Roman" w:cs="Times New Roman"/>
        </w:rPr>
        <w:t xml:space="preserve"> 6.</w:t>
      </w:r>
    </w:p>
  </w:footnote>
  <w:footnote w:id="116">
    <w:p w14:paraId="68BCF264" w14:textId="2E7F5692"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i/>
        </w:rPr>
        <w:t>ibid.</w:t>
      </w:r>
      <w:r w:rsidRPr="00C86397">
        <w:rPr>
          <w:rFonts w:ascii="Times New Roman" w:hAnsi="Times New Roman" w:cs="Times New Roman"/>
        </w:rPr>
        <w:t xml:space="preserve"> 6.</w:t>
      </w:r>
    </w:p>
  </w:footnote>
  <w:footnote w:id="117">
    <w:p w14:paraId="2E59A3F0" w14:textId="6DC54EFF"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See DPD Art. 7(b); GDPR Art. 6(1)(b).</w:t>
      </w:r>
    </w:p>
  </w:footnote>
  <w:footnote w:id="118">
    <w:p w14:paraId="3FF2FCA3" w14:textId="2DE7F3DF"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 xml:space="preserve">See for example </w:t>
      </w:r>
      <w:r w:rsidRPr="00C86397">
        <w:rPr>
          <w:rFonts w:ascii="Times New Roman" w:eastAsia="Times New Roman" w:hAnsi="Times New Roman" w:cs="Times New Roman"/>
          <w:noProof/>
          <w:sz w:val="20"/>
          <w:szCs w:val="20"/>
        </w:rPr>
        <w:t xml:space="preserve">Ian Lloyd, </w:t>
      </w:r>
      <w:r w:rsidRPr="00C86397">
        <w:rPr>
          <w:rFonts w:ascii="Times New Roman" w:eastAsia="Times New Roman" w:hAnsi="Times New Roman" w:cs="Times New Roman"/>
          <w:i/>
          <w:noProof/>
          <w:sz w:val="20"/>
          <w:szCs w:val="20"/>
        </w:rPr>
        <w:t>Information Technology Law</w:t>
      </w:r>
      <w:r w:rsidRPr="00C86397">
        <w:rPr>
          <w:rFonts w:ascii="Times New Roman" w:eastAsia="Times New Roman" w:hAnsi="Times New Roman" w:cs="Times New Roman"/>
          <w:noProof/>
          <w:sz w:val="20"/>
          <w:szCs w:val="20"/>
        </w:rPr>
        <w:t xml:space="preserve"> (Oxford University Press 2017)</w:t>
      </w:r>
      <w:r w:rsidRPr="00C86397">
        <w:rPr>
          <w:rFonts w:ascii="Times New Roman" w:eastAsia="Times New Roman" w:hAnsi="Times New Roman" w:cs="Times New Roman"/>
          <w:sz w:val="20"/>
          <w:szCs w:val="20"/>
        </w:rPr>
        <w:t>, 108.</w:t>
      </w:r>
    </w:p>
  </w:footnote>
  <w:footnote w:id="119">
    <w:p w14:paraId="67D2D9DF" w14:textId="1C47CC8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 xml:space="preserve">See for example </w:t>
      </w:r>
      <w:r w:rsidRPr="00C86397">
        <w:rPr>
          <w:rFonts w:ascii="Times New Roman" w:eastAsia="Times New Roman" w:hAnsi="Times New Roman" w:cs="Times New Roman"/>
          <w:i/>
          <w:noProof/>
          <w:sz w:val="20"/>
          <w:szCs w:val="20"/>
        </w:rPr>
        <w:t>Barthold v Germany [1985] 7 EHRR 383</w:t>
      </w:r>
      <w:r w:rsidRPr="00C86397">
        <w:rPr>
          <w:rFonts w:ascii="Times New Roman" w:hAnsi="Times New Roman" w:cs="Times New Roman"/>
          <w:sz w:val="20"/>
          <w:szCs w:val="20"/>
        </w:rPr>
        <w:t>.</w:t>
      </w:r>
    </w:p>
  </w:footnote>
  <w:footnote w:id="120">
    <w:p w14:paraId="1EFD25FE" w14:textId="1C8121FA"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eastAsia="Times New Roman" w:hAnsi="Times New Roman" w:cs="Times New Roman"/>
          <w:sz w:val="20"/>
          <w:szCs w:val="20"/>
        </w:rPr>
        <w:t xml:space="preserve"> See for example </w:t>
      </w:r>
      <w:r w:rsidRPr="00C86397">
        <w:rPr>
          <w:rFonts w:ascii="Times New Roman" w:eastAsia="Times New Roman" w:hAnsi="Times New Roman" w:cs="Times New Roman"/>
          <w:noProof/>
          <w:sz w:val="20"/>
          <w:szCs w:val="20"/>
        </w:rPr>
        <w:t>Article 29 Data Protection Working Party, Working document on a common interpretation of Article 26(1) of Directive 95/46/EC of 24 October 1995 (WP 114, 25 November 2005)</w:t>
      </w:r>
      <w:r w:rsidRPr="00C86397">
        <w:rPr>
          <w:rFonts w:ascii="Times New Roman" w:eastAsia="Times New Roman" w:hAnsi="Times New Roman" w:cs="Times New Roman"/>
          <w:sz w:val="20"/>
          <w:szCs w:val="20"/>
        </w:rPr>
        <w:t>, 12-14.</w:t>
      </w:r>
    </w:p>
  </w:footnote>
  <w:footnote w:id="121">
    <w:p w14:paraId="70A73CEA" w14:textId="72E2BB9D"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Lloyd, </w:t>
      </w:r>
      <w:r w:rsidRPr="00C86397">
        <w:rPr>
          <w:rFonts w:ascii="Times New Roman" w:hAnsi="Times New Roman" w:cs="Times New Roman"/>
          <w:i/>
          <w:noProof/>
          <w:sz w:val="20"/>
          <w:szCs w:val="20"/>
        </w:rPr>
        <w:t xml:space="preserve">Information Technology Law </w:t>
      </w:r>
      <w:r w:rsidRPr="00C86397">
        <w:rPr>
          <w:rFonts w:ascii="Times New Roman" w:hAnsi="Times New Roman" w:cs="Times New Roman"/>
          <w:noProof/>
          <w:sz w:val="20"/>
          <w:szCs w:val="20"/>
        </w:rPr>
        <w:t>(</w:t>
      </w:r>
      <w:r w:rsidRPr="00C86397">
        <w:rPr>
          <w:rFonts w:ascii="Times New Roman" w:hAnsi="Times New Roman" w:cs="Times New Roman"/>
          <w:i/>
          <w:noProof/>
          <w:sz w:val="20"/>
          <w:szCs w:val="20"/>
        </w:rPr>
        <w:t xml:space="preserve">n. </w:t>
      </w:r>
      <w:r w:rsidRPr="00C86397">
        <w:rPr>
          <w:rFonts w:ascii="Times New Roman" w:hAnsi="Times New Roman" w:cs="Times New Roman"/>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_Ref495061804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116</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w:t>
      </w:r>
      <w:r w:rsidRPr="00C86397">
        <w:rPr>
          <w:rFonts w:ascii="Times New Roman" w:eastAsia="Times New Roman" w:hAnsi="Times New Roman" w:cs="Times New Roman"/>
          <w:sz w:val="20"/>
          <w:szCs w:val="20"/>
        </w:rPr>
        <w:t xml:space="preserve"> 108.</w:t>
      </w:r>
    </w:p>
  </w:footnote>
  <w:footnote w:id="122">
    <w:p w14:paraId="5AD8CD53" w14:textId="69EFF780"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Article 29 Data Protection Working Party, Opinion 8/2001 on the processing of personal data in the employment context (WP 48, 13 September 2001)</w:t>
      </w:r>
      <w:r w:rsidRPr="00C86397">
        <w:rPr>
          <w:rFonts w:ascii="Times New Roman" w:eastAsia="Times New Roman" w:hAnsi="Times New Roman" w:cs="Times New Roman"/>
          <w:sz w:val="20"/>
          <w:szCs w:val="20"/>
        </w:rPr>
        <w:t>, 8.</w:t>
      </w:r>
    </w:p>
  </w:footnote>
  <w:footnote w:id="123">
    <w:p w14:paraId="4A49CDC8" w14:textId="7DF21114"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Lloyd, </w:t>
      </w:r>
      <w:r w:rsidRPr="00C86397">
        <w:rPr>
          <w:rFonts w:ascii="Times New Roman" w:hAnsi="Times New Roman" w:cs="Times New Roman"/>
          <w:i/>
          <w:noProof/>
          <w:sz w:val="20"/>
          <w:szCs w:val="20"/>
        </w:rPr>
        <w:t xml:space="preserve">Information Technology Law </w:t>
      </w:r>
      <w:r w:rsidRPr="00C86397">
        <w:rPr>
          <w:rFonts w:ascii="Times New Roman" w:hAnsi="Times New Roman" w:cs="Times New Roman"/>
          <w:noProof/>
          <w:sz w:val="20"/>
          <w:szCs w:val="20"/>
        </w:rPr>
        <w:t>(</w:t>
      </w:r>
      <w:r w:rsidRPr="00C86397">
        <w:rPr>
          <w:rFonts w:ascii="Times New Roman" w:hAnsi="Times New Roman" w:cs="Times New Roman"/>
          <w:i/>
          <w:noProof/>
          <w:sz w:val="20"/>
          <w:szCs w:val="20"/>
        </w:rPr>
        <w:t xml:space="preserve">n. </w:t>
      </w:r>
      <w:r w:rsidRPr="00C86397">
        <w:rPr>
          <w:rFonts w:ascii="Times New Roman" w:hAnsi="Times New Roman" w:cs="Times New Roman"/>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_Ref495061804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116</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w:t>
      </w:r>
      <w:r w:rsidRPr="00C86397">
        <w:rPr>
          <w:rFonts w:ascii="Times New Roman" w:eastAsia="Times New Roman" w:hAnsi="Times New Roman" w:cs="Times New Roman"/>
          <w:sz w:val="20"/>
          <w:szCs w:val="20"/>
        </w:rPr>
        <w:t>, 109.</w:t>
      </w:r>
    </w:p>
  </w:footnote>
  <w:footnote w:id="124">
    <w:p w14:paraId="0C684953" w14:textId="6788E911"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See DPD Recs. 34 and 58; GDPR Rec. 46 and Art. 36(5).</w:t>
      </w:r>
    </w:p>
  </w:footnote>
  <w:footnote w:id="125">
    <w:p w14:paraId="17D1BC90" w14:textId="28A2F1BD"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Article 29 Data Protection Working Party, Guidelines on Data Protection Impact Assessment (DPIA) and determining whether processing is "likely to result in a high risk" for the purposes of Regulation 2016/679 (WP 248, adopted on 4 April 2017)</w:t>
      </w:r>
      <w:r w:rsidRPr="00C86397">
        <w:rPr>
          <w:rFonts w:ascii="Times New Roman" w:eastAsia="Times New Roman" w:hAnsi="Times New Roman" w:cs="Times New Roman"/>
          <w:sz w:val="20"/>
          <w:szCs w:val="20"/>
        </w:rPr>
        <w:t>, 18.</w:t>
      </w:r>
    </w:p>
  </w:footnote>
  <w:footnote w:id="126">
    <w:p w14:paraId="643B97C2" w14:textId="5F83B83E"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noProof/>
          <w:sz w:val="20"/>
          <w:szCs w:val="20"/>
        </w:rPr>
        <w:t>Freedom of Information Act 2000</w:t>
      </w:r>
      <w:r w:rsidRPr="00C86397">
        <w:rPr>
          <w:rFonts w:ascii="Times New Roman" w:eastAsia="Calibri" w:hAnsi="Times New Roman" w:cs="Times New Roman"/>
          <w:sz w:val="20"/>
          <w:szCs w:val="20"/>
        </w:rPr>
        <w:t>.</w:t>
      </w:r>
    </w:p>
  </w:footnote>
  <w:footnote w:id="127">
    <w:p w14:paraId="5D39D733" w14:textId="1A786343"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ICO, The public interest test: Freedom of Information Act (v 2,1, 2017) &lt;https://ico.org.uk/media/for-organisations/documents/1183/the_public_interest_test.pdf&gt; accessed 26 April 2018</w:t>
      </w:r>
      <w:r w:rsidRPr="00C86397">
        <w:rPr>
          <w:rFonts w:ascii="Times New Roman" w:eastAsia="Times New Roman" w:hAnsi="Times New Roman" w:cs="Times New Roman"/>
          <w:sz w:val="20"/>
          <w:szCs w:val="20"/>
        </w:rPr>
        <w:t>.</w:t>
      </w:r>
    </w:p>
  </w:footnote>
  <w:footnote w:id="128">
    <w:p w14:paraId="02461248" w14:textId="75F40544"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noProof/>
        </w:rPr>
        <w:t>ICO, Guide to the General Data Protection Regulation (v 1,0,43, 22 March 2018) &lt;&lt;https://ico.org.uk/media/for-organisations/guide-to-the-general-data-protection-regulation-gdpr-1-0.pdf&gt;&gt; accessed 26 April 2018</w:t>
      </w:r>
      <w:r w:rsidRPr="00C86397">
        <w:rPr>
          <w:rFonts w:ascii="Times New Roman" w:hAnsi="Times New Roman" w:cs="Times New Roman"/>
        </w:rPr>
        <w:t xml:space="preserve">.  </w:t>
      </w:r>
    </w:p>
  </w:footnote>
  <w:footnote w:id="129">
    <w:p w14:paraId="0F01A4AF" w14:textId="671512A6"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 xml:space="preserve">See for example </w:t>
      </w:r>
      <w:r w:rsidRPr="00C86397">
        <w:rPr>
          <w:rFonts w:ascii="Times New Roman" w:eastAsia="Times New Roman" w:hAnsi="Times New Roman" w:cs="Times New Roman"/>
          <w:i/>
          <w:noProof/>
          <w:sz w:val="20"/>
          <w:szCs w:val="20"/>
        </w:rPr>
        <w:t>Rewe-Zentral AG v Bundesmonopolverwaltung für Branntwein</w:t>
      </w:r>
      <w:r w:rsidRPr="00C86397">
        <w:rPr>
          <w:rFonts w:ascii="Times New Roman" w:eastAsia="Times New Roman" w:hAnsi="Times New Roman" w:cs="Times New Roman"/>
          <w:noProof/>
          <w:sz w:val="20"/>
          <w:szCs w:val="20"/>
        </w:rPr>
        <w:t xml:space="preserve">, Case 120/78, [1979] ECR -00649 (EU:C:1979:42); </w:t>
      </w:r>
      <w:r w:rsidRPr="00C86397">
        <w:rPr>
          <w:rFonts w:ascii="Times New Roman" w:eastAsia="Times New Roman" w:hAnsi="Times New Roman" w:cs="Times New Roman"/>
          <w:i/>
          <w:noProof/>
          <w:sz w:val="20"/>
          <w:szCs w:val="20"/>
        </w:rPr>
        <w:t>Stichting Collectieve Antennevoorziening Gouda and others v Commissariaat voor de Media</w:t>
      </w:r>
      <w:r w:rsidRPr="00C86397">
        <w:rPr>
          <w:rFonts w:ascii="Times New Roman" w:eastAsia="Times New Roman" w:hAnsi="Times New Roman" w:cs="Times New Roman"/>
          <w:noProof/>
          <w:sz w:val="20"/>
          <w:szCs w:val="20"/>
        </w:rPr>
        <w:t xml:space="preserve">, Case C-288/89, [1991] I-04007 (EU:C:1991:323); </w:t>
      </w:r>
      <w:r w:rsidRPr="00C86397">
        <w:rPr>
          <w:rFonts w:ascii="Times New Roman" w:eastAsia="Times New Roman" w:hAnsi="Times New Roman" w:cs="Times New Roman"/>
          <w:i/>
          <w:noProof/>
          <w:sz w:val="20"/>
          <w:szCs w:val="20"/>
        </w:rPr>
        <w:t>Reinhard Gebhard v Consiglio dell'Ordine degli Avvocati e Procuratori di Milano</w:t>
      </w:r>
      <w:r w:rsidRPr="00C86397">
        <w:rPr>
          <w:rFonts w:ascii="Times New Roman" w:eastAsia="Times New Roman" w:hAnsi="Times New Roman" w:cs="Times New Roman"/>
          <w:noProof/>
          <w:sz w:val="20"/>
          <w:szCs w:val="20"/>
        </w:rPr>
        <w:t xml:space="preserve">, Case C-55/94, [1995] I-04165 (EU:C:1995:411); </w:t>
      </w:r>
      <w:r w:rsidRPr="00C86397">
        <w:rPr>
          <w:rFonts w:ascii="Times New Roman" w:eastAsia="Times New Roman" w:hAnsi="Times New Roman" w:cs="Times New Roman"/>
          <w:i/>
          <w:noProof/>
          <w:sz w:val="20"/>
          <w:szCs w:val="20"/>
        </w:rPr>
        <w:t>Union royale belge des sociétés de football association ASBL v Jean-Marc Bosman, Royal club liégeois SA v Jean-Marc Bosman and others and Union des associations européennes de football (UEFA) v Jean-Marc Bosman</w:t>
      </w:r>
      <w:r w:rsidRPr="00C86397">
        <w:rPr>
          <w:rFonts w:ascii="Times New Roman" w:eastAsia="Times New Roman" w:hAnsi="Times New Roman" w:cs="Times New Roman"/>
          <w:noProof/>
          <w:sz w:val="20"/>
          <w:szCs w:val="20"/>
        </w:rPr>
        <w:t xml:space="preserve">, Case C-415/93, [1995] ECR I-04921 (EU:C:1995:463); </w:t>
      </w:r>
      <w:r w:rsidRPr="00C86397">
        <w:rPr>
          <w:rFonts w:ascii="Times New Roman" w:eastAsia="Times New Roman" w:hAnsi="Times New Roman" w:cs="Times New Roman"/>
          <w:i/>
          <w:noProof/>
          <w:sz w:val="20"/>
          <w:szCs w:val="20"/>
        </w:rPr>
        <w:t>Vereinigte Familiapress Zeitungsverlags- und vertriebs GmbH v Heinrich Bauer Verlag</w:t>
      </w:r>
      <w:r w:rsidRPr="00C86397">
        <w:rPr>
          <w:rFonts w:ascii="Times New Roman" w:eastAsia="Times New Roman" w:hAnsi="Times New Roman" w:cs="Times New Roman"/>
          <w:noProof/>
          <w:sz w:val="20"/>
          <w:szCs w:val="20"/>
        </w:rPr>
        <w:t xml:space="preserve">, Case C-368/95, [1997] ECR I-03689 (EU:C:1997:325); </w:t>
      </w:r>
      <w:r w:rsidRPr="00C86397">
        <w:rPr>
          <w:rFonts w:ascii="Times New Roman" w:eastAsia="Times New Roman" w:hAnsi="Times New Roman" w:cs="Times New Roman"/>
          <w:i/>
          <w:noProof/>
          <w:sz w:val="20"/>
          <w:szCs w:val="20"/>
        </w:rPr>
        <w:t>Brian Francis Collins v Secretary of State for Work and Pensions</w:t>
      </w:r>
      <w:r w:rsidRPr="00C86397">
        <w:rPr>
          <w:rFonts w:ascii="Times New Roman" w:eastAsia="Times New Roman" w:hAnsi="Times New Roman" w:cs="Times New Roman"/>
          <w:noProof/>
          <w:sz w:val="20"/>
          <w:szCs w:val="20"/>
        </w:rPr>
        <w:t xml:space="preserve">, Case C-138/02, [2004] ECR I-02703 (EU:C:2004:172); </w:t>
      </w:r>
      <w:r w:rsidRPr="00C86397">
        <w:rPr>
          <w:rFonts w:ascii="Times New Roman" w:eastAsia="Times New Roman" w:hAnsi="Times New Roman" w:cs="Times New Roman"/>
          <w:i/>
          <w:noProof/>
          <w:sz w:val="20"/>
          <w:szCs w:val="20"/>
        </w:rPr>
        <w:t>Olympique Lyonnais SASP v Olivier Bernard and Newcastle UFC</w:t>
      </w:r>
      <w:r w:rsidRPr="00C86397">
        <w:rPr>
          <w:rFonts w:ascii="Times New Roman" w:eastAsia="Times New Roman" w:hAnsi="Times New Roman" w:cs="Times New Roman"/>
          <w:noProof/>
          <w:sz w:val="20"/>
          <w:szCs w:val="20"/>
        </w:rPr>
        <w:t xml:space="preserve">, Case C-325/08, [2010] ECR I-02177 (EU:C:2010:143); </w:t>
      </w:r>
      <w:r w:rsidRPr="00C86397">
        <w:rPr>
          <w:rFonts w:ascii="Times New Roman" w:eastAsia="Times New Roman" w:hAnsi="Times New Roman" w:cs="Times New Roman"/>
          <w:i/>
          <w:noProof/>
          <w:sz w:val="20"/>
          <w:szCs w:val="20"/>
        </w:rPr>
        <w:t>European Commission v Portuguese Republic</w:t>
      </w:r>
      <w:r w:rsidRPr="00C86397">
        <w:rPr>
          <w:rFonts w:ascii="Times New Roman" w:eastAsia="Times New Roman" w:hAnsi="Times New Roman" w:cs="Times New Roman"/>
          <w:noProof/>
          <w:sz w:val="20"/>
          <w:szCs w:val="20"/>
        </w:rPr>
        <w:t>, Case C-543/08, [2010] ECR I-11241 (EU:C:2010:669)</w:t>
      </w:r>
      <w:r w:rsidRPr="00C86397">
        <w:rPr>
          <w:rFonts w:ascii="Times New Roman" w:eastAsia="Times New Roman" w:hAnsi="Times New Roman" w:cs="Times New Roman"/>
          <w:sz w:val="20"/>
          <w:szCs w:val="20"/>
        </w:rPr>
        <w:t>.</w:t>
      </w:r>
    </w:p>
  </w:footnote>
  <w:footnote w:id="130">
    <w:p w14:paraId="71FD0FA8" w14:textId="15A768E6"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noProof/>
        </w:rPr>
        <w:t xml:space="preserve">ICO, </w:t>
      </w:r>
      <w:r w:rsidRPr="00C86397">
        <w:rPr>
          <w:rFonts w:ascii="Times New Roman" w:hAnsi="Times New Roman" w:cs="Times New Roman"/>
          <w:i/>
          <w:noProof/>
        </w:rPr>
        <w:t xml:space="preserve">Guide to the General Data Protection Regulation </w:t>
      </w:r>
      <w:r w:rsidRPr="00C86397">
        <w:rPr>
          <w:rFonts w:ascii="Times New Roman" w:hAnsi="Times New Roman" w:cs="Times New Roman"/>
          <w:noProof/>
        </w:rPr>
        <w:t>(n.</w:t>
      </w:r>
      <w:r w:rsidRPr="00C86397">
        <w:rPr>
          <w:rFonts w:ascii="Times New Roman" w:hAnsi="Times New Roman" w:cs="Times New Roman"/>
          <w:i/>
          <w:noProof/>
        </w:rPr>
        <w:t xml:space="preserve"> </w:t>
      </w:r>
      <w:r w:rsidRPr="00C86397">
        <w:rPr>
          <w:rFonts w:ascii="Times New Roman" w:hAnsi="Times New Roman" w:cs="Times New Roman"/>
        </w:rPr>
        <w:fldChar w:fldCharType="begin"/>
      </w:r>
      <w:r w:rsidRPr="00C86397">
        <w:rPr>
          <w:rFonts w:ascii="Times New Roman" w:hAnsi="Times New Roman" w:cs="Times New Roman"/>
        </w:rPr>
        <w:instrText xml:space="preserve"> NOTEREF _Ref512496091 \h  \* MERGEFORMAT </w:instrText>
      </w:r>
      <w:r w:rsidRPr="00C86397">
        <w:rPr>
          <w:rFonts w:ascii="Times New Roman" w:hAnsi="Times New Roman" w:cs="Times New Roman"/>
        </w:rPr>
      </w:r>
      <w:r w:rsidRPr="00C86397">
        <w:rPr>
          <w:rFonts w:ascii="Times New Roman" w:hAnsi="Times New Roman" w:cs="Times New Roman"/>
        </w:rPr>
        <w:fldChar w:fldCharType="separate"/>
      </w:r>
      <w:r>
        <w:rPr>
          <w:rFonts w:ascii="Times New Roman" w:hAnsi="Times New Roman" w:cs="Times New Roman"/>
        </w:rPr>
        <w:t>126</w:t>
      </w:r>
      <w:r w:rsidRPr="00C86397">
        <w:rPr>
          <w:rFonts w:ascii="Times New Roman" w:hAnsi="Times New Roman" w:cs="Times New Roman"/>
        </w:rPr>
        <w:fldChar w:fldCharType="end"/>
      </w:r>
      <w:r w:rsidRPr="00C86397">
        <w:rPr>
          <w:rFonts w:ascii="Times New Roman" w:hAnsi="Times New Roman" w:cs="Times New Roman"/>
        </w:rPr>
        <w:t xml:space="preserve">) 37—38.  </w:t>
      </w:r>
    </w:p>
  </w:footnote>
  <w:footnote w:id="131">
    <w:p w14:paraId="36E49078" w14:textId="01980F1D"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i/>
        </w:rPr>
        <w:t xml:space="preserve">ibid. </w:t>
      </w:r>
      <w:r w:rsidRPr="00C86397">
        <w:rPr>
          <w:rFonts w:ascii="Times New Roman" w:hAnsi="Times New Roman" w:cs="Times New Roman"/>
        </w:rPr>
        <w:t xml:space="preserve">36.  </w:t>
      </w:r>
    </w:p>
  </w:footnote>
  <w:footnote w:id="132">
    <w:p w14:paraId="6CD86776" w14:textId="5E1F44A9"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eastAsia="Times New Roman" w:hAnsi="Times New Roman" w:cs="Times New Roman"/>
        </w:rPr>
        <w:t>See also GDPR Recital 45.</w:t>
      </w:r>
      <w:r w:rsidRPr="00C86397">
        <w:rPr>
          <w:rFonts w:ascii="Times New Roman" w:hAnsi="Times New Roman" w:cs="Times New Roman"/>
        </w:rPr>
        <w:t xml:space="preserve"> </w:t>
      </w:r>
    </w:p>
  </w:footnote>
  <w:footnote w:id="133">
    <w:p w14:paraId="4D17894B" w14:textId="3744D9E5"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See GDPR Recital 69 and Art. 6(1)(f).</w:t>
      </w:r>
    </w:p>
  </w:footnote>
  <w:footnote w:id="134">
    <w:p w14:paraId="1AFAD32C" w14:textId="2E5EF9FE"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See DPD Art. 7(f) and GDPR Art. 6(1)(f).</w:t>
      </w:r>
    </w:p>
  </w:footnote>
  <w:footnote w:id="135">
    <w:p w14:paraId="2383F90E" w14:textId="77777777"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The possibility of individual data subjects objecting to their personal data being processed on the basis of the legitimate interests of a data controller is also explicitly mentioned by Recital 69 of the GDPR.</w:t>
      </w:r>
    </w:p>
  </w:footnote>
  <w:footnote w:id="136">
    <w:p w14:paraId="18F65F29" w14:textId="102BE41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Article 29 Data Protection Working Party, Opinion 06/2014 on the notion of legitimate interests of the data controller under Article 7 of Directive 95/46/EC (WP 217, 9 April 2014)</w:t>
      </w:r>
      <w:r w:rsidRPr="00C86397">
        <w:rPr>
          <w:rFonts w:ascii="Times New Roman" w:eastAsia="Times New Roman" w:hAnsi="Times New Roman" w:cs="Times New Roman"/>
          <w:sz w:val="20"/>
          <w:szCs w:val="20"/>
        </w:rPr>
        <w:t>, 24.</w:t>
      </w:r>
    </w:p>
  </w:footnote>
  <w:footnote w:id="137">
    <w:p w14:paraId="3EAD6FE7" w14:textId="09EDC574"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i/>
          <w:sz w:val="20"/>
          <w:szCs w:val="20"/>
        </w:rPr>
        <w:t xml:space="preserve">ibid. </w:t>
      </w:r>
      <w:r w:rsidRPr="00C86397">
        <w:rPr>
          <w:rFonts w:ascii="Times New Roman" w:eastAsia="Times New Roman" w:hAnsi="Times New Roman" w:cs="Times New Roman"/>
          <w:sz w:val="20"/>
          <w:szCs w:val="20"/>
        </w:rPr>
        <w:t>25.</w:t>
      </w:r>
    </w:p>
  </w:footnote>
  <w:footnote w:id="138">
    <w:p w14:paraId="1EAAB9C0" w14:textId="3C3CD97C"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i/>
          <w:sz w:val="20"/>
          <w:szCs w:val="20"/>
        </w:rPr>
        <w:t xml:space="preserve">ibid. </w:t>
      </w:r>
    </w:p>
  </w:footnote>
  <w:footnote w:id="139">
    <w:p w14:paraId="16A4C382" w14:textId="40A3F039"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i/>
          <w:sz w:val="20"/>
          <w:szCs w:val="20"/>
        </w:rPr>
        <w:t xml:space="preserve">ibid. </w:t>
      </w:r>
      <w:r w:rsidRPr="00C86397">
        <w:rPr>
          <w:rFonts w:ascii="Times New Roman" w:eastAsia="Times New Roman" w:hAnsi="Times New Roman" w:cs="Times New Roman"/>
          <w:sz w:val="20"/>
          <w:szCs w:val="20"/>
        </w:rPr>
        <w:t>49.</w:t>
      </w:r>
    </w:p>
  </w:footnote>
  <w:footnote w:id="140">
    <w:p w14:paraId="49ED1403" w14:textId="78DA22B1"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i/>
          <w:sz w:val="20"/>
          <w:szCs w:val="20"/>
        </w:rPr>
        <w:t xml:space="preserve">ibid. </w:t>
      </w:r>
      <w:r w:rsidRPr="00C86397">
        <w:rPr>
          <w:rFonts w:ascii="Times New Roman" w:eastAsia="Times New Roman" w:hAnsi="Times New Roman" w:cs="Times New Roman"/>
          <w:sz w:val="20"/>
          <w:szCs w:val="20"/>
        </w:rPr>
        <w:t>33.</w:t>
      </w:r>
    </w:p>
  </w:footnote>
  <w:footnote w:id="141">
    <w:p w14:paraId="2725A35D" w14:textId="2E3BAB5B"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ICO, Big data, artificial intelligence, machine learning and data protection (v 2,2, 4 September 2017) &lt;https://ico.org.uk/media/for-organisations/documents/2013559/big-data-ai-ml-and-data-protection.pdf&gt; accessed 26 April 2018</w:t>
      </w:r>
      <w:r w:rsidRPr="00C86397">
        <w:rPr>
          <w:rFonts w:ascii="Times New Roman" w:eastAsia="Times New Roman" w:hAnsi="Times New Roman" w:cs="Times New Roman"/>
          <w:sz w:val="20"/>
          <w:szCs w:val="20"/>
        </w:rPr>
        <w:t>.</w:t>
      </w:r>
    </w:p>
  </w:footnote>
  <w:footnote w:id="142">
    <w:p w14:paraId="69F8EC51" w14:textId="3E05E536"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noProof/>
          <w:sz w:val="20"/>
          <w:szCs w:val="20"/>
        </w:rPr>
        <w:t>Valsts policijas Rīgas reģiona pārvaldes Kārtības policijas pārvalde v Rīgas pašvaldības SIA "Rīgas satiksme", Case C-13/16, [2017] (EU:C:2017:336)</w:t>
      </w:r>
      <w:r w:rsidRPr="00C86397">
        <w:rPr>
          <w:rFonts w:ascii="Times New Roman" w:eastAsia="Times New Roman" w:hAnsi="Times New Roman" w:cs="Times New Roman"/>
          <w:sz w:val="20"/>
          <w:szCs w:val="20"/>
        </w:rPr>
        <w:t>.</w:t>
      </w:r>
    </w:p>
  </w:footnote>
  <w:footnote w:id="143">
    <w:p w14:paraId="0D8ECED9" w14:textId="1FD8E7FA"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i/>
          <w:sz w:val="20"/>
          <w:szCs w:val="20"/>
        </w:rPr>
        <w:t xml:space="preserve">ibid. </w:t>
      </w:r>
      <w:r w:rsidRPr="00C86397">
        <w:rPr>
          <w:rFonts w:ascii="Times New Roman" w:eastAsia="Times New Roman" w:hAnsi="Times New Roman" w:cs="Times New Roman"/>
          <w:sz w:val="20"/>
          <w:szCs w:val="20"/>
        </w:rPr>
        <w:t>at para. 65.</w:t>
      </w:r>
    </w:p>
  </w:footnote>
  <w:footnote w:id="144">
    <w:p w14:paraId="3AA21221" w14:textId="707BFBB2"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i/>
          <w:sz w:val="20"/>
          <w:szCs w:val="20"/>
        </w:rPr>
        <w:t xml:space="preserve">ibid. </w:t>
      </w:r>
      <w:r w:rsidRPr="00C86397">
        <w:rPr>
          <w:rFonts w:ascii="Times New Roman" w:eastAsia="Times New Roman" w:hAnsi="Times New Roman" w:cs="Times New Roman"/>
          <w:sz w:val="20"/>
          <w:szCs w:val="20"/>
        </w:rPr>
        <w:t>at para. 69.</w:t>
      </w:r>
    </w:p>
  </w:footnote>
  <w:footnote w:id="145">
    <w:p w14:paraId="769E57C6" w14:textId="76E6F216"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i/>
          <w:sz w:val="20"/>
          <w:szCs w:val="20"/>
        </w:rPr>
        <w:t xml:space="preserve">ibid. </w:t>
      </w:r>
      <w:r w:rsidRPr="00C86397">
        <w:rPr>
          <w:rFonts w:ascii="Times New Roman" w:eastAsia="Times New Roman" w:hAnsi="Times New Roman" w:cs="Times New Roman"/>
          <w:sz w:val="20"/>
          <w:szCs w:val="20"/>
        </w:rPr>
        <w:t>at para. 98.</w:t>
      </w:r>
    </w:p>
  </w:footnote>
  <w:footnote w:id="146">
    <w:p w14:paraId="339A3453" w14:textId="4665DD31"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Alison Knight, 'CJEU Advocate General Opines on the ‘Legitimate Interest’ Concept' (</w:t>
      </w:r>
      <w:r w:rsidRPr="00C86397">
        <w:rPr>
          <w:rFonts w:ascii="Times New Roman" w:hAnsi="Times New Roman" w:cs="Times New Roman"/>
          <w:i/>
          <w:noProof/>
          <w:sz w:val="20"/>
          <w:szCs w:val="20"/>
        </w:rPr>
        <w:t>Inforrm's Blog,</w:t>
      </w:r>
      <w:r w:rsidRPr="00C86397">
        <w:rPr>
          <w:rFonts w:ascii="Times New Roman" w:hAnsi="Times New Roman" w:cs="Times New Roman"/>
          <w:noProof/>
          <w:sz w:val="20"/>
          <w:szCs w:val="20"/>
        </w:rPr>
        <w:t xml:space="preserve"> 5 February 2017) &lt;https://inforrm.wordpress.com/2017/02/05/cjeu-advocate-general-opines-on-the-legitimate-interest-concept-alison-knight/&gt;  accessed 26 April 2018</w:t>
      </w:r>
      <w:r w:rsidRPr="00C86397">
        <w:rPr>
          <w:rFonts w:ascii="Times New Roman" w:eastAsia="Times New Roman" w:hAnsi="Times New Roman" w:cs="Times New Roman"/>
          <w:sz w:val="20"/>
          <w:szCs w:val="20"/>
        </w:rPr>
        <w:t>.</w:t>
      </w:r>
    </w:p>
  </w:footnote>
  <w:footnote w:id="147">
    <w:p w14:paraId="6FC3C4F9" w14:textId="4F9F6355"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noProof/>
        </w:rPr>
        <w:t>ICO, Lawful basis for processing – Legitimate interests (v 1,0,0, 22 March 2018) &lt;https://ico.org.uk/for-organisations/guide-to-the-general-data-protection-regulation-gdpr/lawful-basis-for-processing/legitimate-interests/&gt; accessed 26 April 2018</w:t>
      </w:r>
      <w:r w:rsidRPr="00C86397">
        <w:rPr>
          <w:rFonts w:ascii="Times New Roman" w:hAnsi="Times New Roman" w:cs="Times New Roman"/>
        </w:rPr>
        <w:t xml:space="preserve">. </w:t>
      </w:r>
    </w:p>
  </w:footnote>
  <w:footnote w:id="148">
    <w:p w14:paraId="6D70B29F" w14:textId="7A374146"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i/>
        </w:rPr>
        <w:t>ibid</w:t>
      </w:r>
      <w:r w:rsidRPr="00C86397">
        <w:rPr>
          <w:rFonts w:ascii="Times New Roman" w:hAnsi="Times New Roman" w:cs="Times New Roman"/>
        </w:rPr>
        <w:t xml:space="preserve">. 22. </w:t>
      </w:r>
    </w:p>
  </w:footnote>
  <w:footnote w:id="149">
    <w:p w14:paraId="3DD6357C" w14:textId="2DFBD25C"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Government Digital Service, </w:t>
      </w:r>
      <w:r w:rsidRPr="00C86397">
        <w:rPr>
          <w:rFonts w:ascii="Times New Roman" w:hAnsi="Times New Roman" w:cs="Times New Roman"/>
          <w:i/>
          <w:noProof/>
          <w:sz w:val="20"/>
          <w:szCs w:val="20"/>
        </w:rPr>
        <w:t xml:space="preserve">Gov.UK Verify Data Protection Impact Assessment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_Ref494993330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44</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10 and 25.</w:t>
      </w:r>
    </w:p>
  </w:footnote>
  <w:footnote w:id="150">
    <w:p w14:paraId="5CF68C5E" w14:textId="1AF4524C"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Cabinet Office, </w:t>
      </w:r>
      <w:r w:rsidRPr="00C86397">
        <w:rPr>
          <w:rFonts w:ascii="Times New Roman" w:hAnsi="Times New Roman" w:cs="Times New Roman"/>
          <w:i/>
          <w:noProof/>
          <w:sz w:val="20"/>
          <w:szCs w:val="20"/>
        </w:rPr>
        <w:t xml:space="preserve">Framework Agreement and Schedules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_Ref495064857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27</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sch. 5(a)(2) and sub-clause 8.10(f)(ii).</w:t>
      </w:r>
    </w:p>
  </w:footnote>
  <w:footnote w:id="151">
    <w:p w14:paraId="7973E5D6" w14:textId="77F7E152"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 xml:space="preserve">section D. </w:t>
      </w:r>
    </w:p>
  </w:footnote>
  <w:footnote w:id="152">
    <w:p w14:paraId="6E452DF6" w14:textId="4798BD23"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section C(20).</w:t>
      </w:r>
    </w:p>
  </w:footnote>
  <w:footnote w:id="153">
    <w:p w14:paraId="2D1F326C" w14:textId="41046918"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For a full list of national eID means, see </w:t>
      </w:r>
      <w:r w:rsidRPr="00C86397">
        <w:rPr>
          <w:rFonts w:ascii="Times New Roman" w:hAnsi="Times New Roman" w:cs="Times New Roman"/>
          <w:noProof/>
        </w:rPr>
        <w:t>PBLQ, International Comparison eID Means (Final report, version 1,0, 10 April, 2015) &lt;https://kennisopenbaarbestuur.nl/rapporten-publicaties/international-comparison-eid-means/&gt; accessed 26 April 2018</w:t>
      </w:r>
      <w:r w:rsidRPr="00C86397">
        <w:rPr>
          <w:rFonts w:ascii="Times New Roman" w:hAnsi="Times New Roman" w:cs="Times New Roman"/>
        </w:rPr>
        <w:t>, 14-18.</w:t>
      </w:r>
    </w:p>
  </w:footnote>
  <w:footnote w:id="154">
    <w:p w14:paraId="5FE6ED2C" w14:textId="3B72EECB"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eastAsia="Times New Roman" w:hAnsi="Times New Roman" w:cs="Times New Roman"/>
        </w:rPr>
        <w:t xml:space="preserve">Countries like the UK and Denmark have opted for exclusively private-sector eID operators (due in part to the lack of governmental ID cards). </w:t>
      </w:r>
      <w:r w:rsidRPr="00C86397">
        <w:rPr>
          <w:rFonts w:ascii="Times New Roman" w:hAnsi="Times New Roman" w:cs="Times New Roman"/>
        </w:rPr>
        <w:t xml:space="preserve">See also recent decision of Italy to notify an eID led by the private sector: </w:t>
      </w:r>
      <w:r w:rsidRPr="00C86397">
        <w:rPr>
          <w:rFonts w:ascii="Times New Roman" w:hAnsi="Times New Roman" w:cs="Times New Roman"/>
          <w:noProof/>
        </w:rPr>
        <w:t xml:space="preserve"> 'First private sector eID scheme pre-notified by Italy under eIDAS' (</w:t>
      </w:r>
      <w:r w:rsidRPr="00C86397">
        <w:rPr>
          <w:rFonts w:ascii="Times New Roman" w:hAnsi="Times New Roman" w:cs="Times New Roman"/>
          <w:i/>
          <w:noProof/>
        </w:rPr>
        <w:t>European Commission,</w:t>
      </w:r>
      <w:r w:rsidRPr="00C86397">
        <w:rPr>
          <w:rFonts w:ascii="Times New Roman" w:hAnsi="Times New Roman" w:cs="Times New Roman"/>
          <w:noProof/>
        </w:rPr>
        <w:t xml:space="preserve"> 7 December 2017) &lt;https://ec.europa.eu/digital-single-market/en/news/first-private-sector-eid-scheme-pre-notified-italy-under-eidas&gt;  accessed 26 April 2018</w:t>
      </w:r>
      <w:r w:rsidRPr="00C86397">
        <w:rPr>
          <w:rFonts w:ascii="Times New Roman" w:hAnsi="Times New Roman" w:cs="Times New Roman"/>
        </w:rPr>
        <w:t>.</w:t>
      </w:r>
    </w:p>
  </w:footnote>
  <w:footnote w:id="155">
    <w:p w14:paraId="1C2FD572" w14:textId="42CECA2B"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Government Digital Service, </w:t>
      </w:r>
      <w:r w:rsidRPr="00C86397">
        <w:rPr>
          <w:rFonts w:ascii="Times New Roman" w:hAnsi="Times New Roman" w:cs="Times New Roman"/>
          <w:i/>
          <w:noProof/>
          <w:sz w:val="20"/>
          <w:szCs w:val="20"/>
        </w:rPr>
        <w:t xml:space="preserve">Gov.UK Verify Data Protection Impact Assessment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_Ref494993330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44</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14.</w:t>
      </w:r>
    </w:p>
  </w:footnote>
  <w:footnote w:id="156">
    <w:p w14:paraId="721C2B63" w14:textId="2088D5EE" w:rsidR="00F560CA" w:rsidRPr="00C86397" w:rsidRDefault="00F560CA" w:rsidP="00C86397">
      <w:pPr>
        <w:spacing w:line="240" w:lineRule="auto"/>
        <w:rPr>
          <w:rFonts w:ascii="Times New Roman" w:hAnsi="Times New Roman" w:cs="Times New Roman"/>
          <w:i/>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p>
  </w:footnote>
  <w:footnote w:id="157">
    <w:p w14:paraId="3DB95EEA" w14:textId="43A14986"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Article 29 Data Protection Working Party, Opinion 1/2010 on the concepts of "controller" and "processor" (WP 169, 16 February 2010)</w:t>
      </w:r>
      <w:r w:rsidRPr="00C86397">
        <w:rPr>
          <w:rFonts w:ascii="Times New Roman" w:hAnsi="Times New Roman" w:cs="Times New Roman"/>
          <w:sz w:val="20"/>
          <w:szCs w:val="20"/>
        </w:rPr>
        <w:t xml:space="preserve">. </w:t>
      </w:r>
    </w:p>
  </w:footnote>
  <w:footnote w:id="158">
    <w:p w14:paraId="0B7B0ADB" w14:textId="26044611"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18.</w:t>
      </w:r>
    </w:p>
  </w:footnote>
  <w:footnote w:id="159">
    <w:p w14:paraId="0A5C30DB" w14:textId="7200C413"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 xml:space="preserve">18. </w:t>
      </w:r>
    </w:p>
  </w:footnote>
  <w:footnote w:id="160">
    <w:p w14:paraId="0DCAE501" w14:textId="15D5BEE8"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 xml:space="preserve">19. </w:t>
      </w:r>
    </w:p>
  </w:footnote>
  <w:footnote w:id="161">
    <w:p w14:paraId="3BC0079E" w14:textId="7B7F5364"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As has been noted elsewhere, however, the Working Party’s distinction between “essential” and “non-essential” means appears to conflict with the definition of “Controller” found in Article 2(d) of the DPD. See </w:t>
      </w:r>
      <w:r w:rsidRPr="00C86397">
        <w:rPr>
          <w:rFonts w:ascii="Times New Roman" w:hAnsi="Times New Roman" w:cs="Times New Roman"/>
          <w:noProof/>
          <w:sz w:val="20"/>
          <w:szCs w:val="20"/>
        </w:rPr>
        <w:t>Patrick Van Eecke and Maarten Truyens, 'Privacy and social networks' (2010) 26 Computer Law &amp; Security Review 535</w:t>
      </w:r>
      <w:r w:rsidRPr="00C86397">
        <w:rPr>
          <w:rFonts w:ascii="Times New Roman" w:hAnsi="Times New Roman" w:cs="Times New Roman"/>
          <w:sz w:val="20"/>
          <w:szCs w:val="20"/>
        </w:rPr>
        <w:t>, 539.</w:t>
      </w:r>
    </w:p>
  </w:footnote>
  <w:footnote w:id="162">
    <w:p w14:paraId="50F11156" w14:textId="220F4D12"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noProof/>
          <w:sz w:val="20"/>
          <w:szCs w:val="20"/>
        </w:rPr>
        <w:t xml:space="preserve"> Article 29 Data Protection Working Party, </w:t>
      </w:r>
      <w:r w:rsidRPr="00C86397">
        <w:rPr>
          <w:rFonts w:ascii="Times New Roman" w:hAnsi="Times New Roman" w:cs="Times New Roman"/>
          <w:i/>
          <w:noProof/>
          <w:sz w:val="20"/>
          <w:szCs w:val="20"/>
        </w:rPr>
        <w:t xml:space="preserve">Opinion 1/2010 on the concepts of "controller" and "processor"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_Ref495070999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155</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xml:space="preserve">) 19. </w:t>
      </w:r>
    </w:p>
  </w:footnote>
  <w:footnote w:id="163">
    <w:p w14:paraId="4B330162" w14:textId="3F1B3FC1"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 xml:space="preserve">19. </w:t>
      </w:r>
    </w:p>
  </w:footnote>
  <w:footnote w:id="164">
    <w:p w14:paraId="7EC8F114" w14:textId="0447338C"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noProof/>
          <w:sz w:val="20"/>
          <w:szCs w:val="20"/>
        </w:rPr>
        <w:t>ibid</w:t>
      </w:r>
      <w:r w:rsidRPr="00C86397">
        <w:rPr>
          <w:rFonts w:ascii="Times New Roman" w:hAnsi="Times New Roman" w:cs="Times New Roman"/>
          <w:sz w:val="20"/>
          <w:szCs w:val="20"/>
        </w:rPr>
        <w:t xml:space="preserve"> 20. </w:t>
      </w:r>
    </w:p>
  </w:footnote>
  <w:footnote w:id="165">
    <w:p w14:paraId="7DD57C5B" w14:textId="58677A5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Thomas Olsen and Tobias Mahler, Privacy - Identity Management Data Protection Issues in Relation to Networked Organisations Utilizing Identity Management Systems (LEGAL IST: Legal Issues for the Advancement of Information Society Technologies, Deliverable D11, 2005)</w:t>
      </w:r>
      <w:r w:rsidRPr="00C86397">
        <w:rPr>
          <w:rFonts w:ascii="Times New Roman" w:hAnsi="Times New Roman" w:cs="Times New Roman"/>
          <w:sz w:val="20"/>
          <w:szCs w:val="20"/>
        </w:rPr>
        <w:t>, 40-47.</w:t>
      </w:r>
    </w:p>
  </w:footnote>
  <w:footnote w:id="166">
    <w:p w14:paraId="0210A513" w14:textId="3A28EB16"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 xml:space="preserve">This clarification aside, however, some observers have suggested that the notion of joint controllership remains a vague and confusing concept, particularly in certain contexts. See e.g. </w:t>
      </w:r>
      <w:r w:rsidRPr="00C86397">
        <w:rPr>
          <w:rFonts w:ascii="Times New Roman" w:hAnsi="Times New Roman" w:cs="Times New Roman"/>
          <w:noProof/>
          <w:sz w:val="20"/>
          <w:szCs w:val="20"/>
        </w:rPr>
        <w:t>Jenna Mäkinen, 'Data quality, sensitive data and joint controllership as examples of grey areas in the existing data protection framework for the Internet of Things' (2015) 24 Information &amp; Communications Technology Law 262</w:t>
      </w:r>
      <w:r w:rsidRPr="00C86397">
        <w:rPr>
          <w:rFonts w:ascii="Times New Roman" w:hAnsi="Times New Roman" w:cs="Times New Roman"/>
          <w:sz w:val="20"/>
          <w:szCs w:val="20"/>
        </w:rPr>
        <w:t>, 262-277.</w:t>
      </w:r>
    </w:p>
  </w:footnote>
  <w:footnote w:id="167">
    <w:p w14:paraId="42EA3E39" w14:textId="36D9804A"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Article 29 Data Protection Working Party, </w:t>
      </w:r>
      <w:r w:rsidRPr="00C86397">
        <w:rPr>
          <w:rFonts w:ascii="Times New Roman" w:hAnsi="Times New Roman" w:cs="Times New Roman"/>
          <w:i/>
          <w:noProof/>
          <w:sz w:val="20"/>
          <w:szCs w:val="20"/>
        </w:rPr>
        <w:t xml:space="preserve">Opinion 1/2010 on the concepts of "controller" and "processor"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_Ref495070999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155</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xml:space="preserve">), 21. </w:t>
      </w:r>
    </w:p>
  </w:footnote>
  <w:footnote w:id="168">
    <w:p w14:paraId="2F61E53A" w14:textId="627AE352"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In its 2011 report, the OECD notes that out of the 16 countries examined, 12 were operating centralised registration eID policies: </w:t>
      </w:r>
      <w:r w:rsidRPr="00C86397">
        <w:rPr>
          <w:rFonts w:ascii="Times New Roman" w:hAnsi="Times New Roman" w:cs="Times New Roman"/>
          <w:noProof/>
          <w:sz w:val="20"/>
          <w:szCs w:val="20"/>
        </w:rPr>
        <w:t>OECD, Digital Identity Management: Enabling Innovation and Trust in the Internet Economy (2011) &lt;http://www.oecd.org/sti/ieconomy/49338380.pdf&gt; accessed 26 April 2018</w:t>
      </w:r>
      <w:r w:rsidRPr="00C86397">
        <w:rPr>
          <w:rFonts w:ascii="Times New Roman" w:hAnsi="Times New Roman" w:cs="Times New Roman"/>
          <w:sz w:val="20"/>
          <w:szCs w:val="20"/>
        </w:rPr>
        <w:t>, 44.</w:t>
      </w:r>
    </w:p>
  </w:footnote>
  <w:footnote w:id="169">
    <w:p w14:paraId="59A3B7B6" w14:textId="21D7BC6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Article 29 Data Protection Working Party, </w:t>
      </w:r>
      <w:r w:rsidRPr="00C86397">
        <w:rPr>
          <w:rFonts w:ascii="Times New Roman" w:hAnsi="Times New Roman" w:cs="Times New Roman"/>
          <w:i/>
          <w:noProof/>
          <w:sz w:val="20"/>
          <w:szCs w:val="20"/>
        </w:rPr>
        <w:t xml:space="preserve">Opinion 1/2010 on the concepts of "controller" and "processor"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_Ref495070999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155</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xml:space="preserve">) 22. </w:t>
      </w:r>
    </w:p>
  </w:footnote>
  <w:footnote w:id="170">
    <w:p w14:paraId="78CBB28E" w14:textId="529195C4"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 xml:space="preserve">24. </w:t>
      </w:r>
    </w:p>
  </w:footnote>
  <w:footnote w:id="171">
    <w:p w14:paraId="398DF1F0" w14:textId="1A0CD2B3"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eastAsia="Times New Roman" w:hAnsi="Times New Roman" w:cs="Times New Roman"/>
          <w:sz w:val="20"/>
          <w:szCs w:val="20"/>
        </w:rPr>
        <w:t xml:space="preserve">See </w:t>
      </w:r>
      <w:r w:rsidRPr="00C86397">
        <w:rPr>
          <w:rFonts w:ascii="Times New Roman" w:eastAsia="Times New Roman" w:hAnsi="Times New Roman" w:cs="Times New Roman"/>
          <w:noProof/>
          <w:sz w:val="20"/>
          <w:szCs w:val="20"/>
        </w:rPr>
        <w:t xml:space="preserve">ICO, </w:t>
      </w:r>
      <w:r w:rsidRPr="00C86397">
        <w:rPr>
          <w:rFonts w:ascii="Times New Roman" w:eastAsia="Times New Roman" w:hAnsi="Times New Roman" w:cs="Times New Roman"/>
          <w:i/>
          <w:noProof/>
          <w:sz w:val="20"/>
          <w:szCs w:val="20"/>
        </w:rPr>
        <w:t xml:space="preserve">The Guide to Data Protection </w:t>
      </w:r>
      <w:r w:rsidRPr="00C86397">
        <w:rPr>
          <w:rFonts w:ascii="Times New Roman" w:eastAsia="Times New Roman" w:hAnsi="Times New Roman" w:cs="Times New Roman"/>
          <w:noProof/>
          <w:sz w:val="20"/>
          <w:szCs w:val="20"/>
        </w:rPr>
        <w:t>(n.</w:t>
      </w:r>
      <w:r w:rsidRPr="00C86397">
        <w:rPr>
          <w:rFonts w:ascii="Times New Roman" w:eastAsia="Times New Roman" w:hAnsi="Times New Roman" w:cs="Times New Roman"/>
          <w:i/>
          <w:noProof/>
          <w:sz w:val="20"/>
          <w:szCs w:val="20"/>
        </w:rPr>
        <w:t xml:space="preserve"> </w:t>
      </w:r>
      <w:r w:rsidRPr="00C86397">
        <w:rPr>
          <w:rFonts w:ascii="Times New Roman" w:eastAsia="Times New Roman" w:hAnsi="Times New Roman" w:cs="Times New Roman"/>
          <w:sz w:val="20"/>
          <w:szCs w:val="20"/>
        </w:rPr>
        <w:fldChar w:fldCharType="begin"/>
      </w:r>
      <w:r w:rsidRPr="00C86397">
        <w:rPr>
          <w:rFonts w:ascii="Times New Roman" w:eastAsia="Times New Roman" w:hAnsi="Times New Roman" w:cs="Times New Roman"/>
          <w:sz w:val="20"/>
          <w:szCs w:val="20"/>
        </w:rPr>
        <w:instrText xml:space="preserve"> NOTEREF _Ref495072091 \h  \* MERGEFORMAT </w:instrText>
      </w:r>
      <w:r w:rsidRPr="00C86397">
        <w:rPr>
          <w:rFonts w:ascii="Times New Roman" w:eastAsia="Times New Roman" w:hAnsi="Times New Roman" w:cs="Times New Roman"/>
          <w:sz w:val="20"/>
          <w:szCs w:val="20"/>
        </w:rPr>
      </w:r>
      <w:r w:rsidRPr="00C86397">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86</w:t>
      </w:r>
      <w:r w:rsidRPr="00C86397">
        <w:rPr>
          <w:rFonts w:ascii="Times New Roman" w:eastAsia="Times New Roman" w:hAnsi="Times New Roman" w:cs="Times New Roman"/>
          <w:sz w:val="20"/>
          <w:szCs w:val="20"/>
        </w:rPr>
        <w:fldChar w:fldCharType="end"/>
      </w:r>
      <w:r w:rsidRPr="00C86397">
        <w:rPr>
          <w:rFonts w:ascii="Times New Roman" w:eastAsia="Times New Roman" w:hAnsi="Times New Roman" w:cs="Times New Roman"/>
          <w:sz w:val="20"/>
          <w:szCs w:val="20"/>
        </w:rPr>
        <w:t xml:space="preserve">) 8-9; </w:t>
      </w:r>
      <w:r w:rsidRPr="00C86397">
        <w:rPr>
          <w:rFonts w:ascii="Times New Roman" w:eastAsia="Times New Roman" w:hAnsi="Times New Roman" w:cs="Times New Roman"/>
          <w:noProof/>
          <w:sz w:val="20"/>
          <w:szCs w:val="20"/>
        </w:rPr>
        <w:t>ICO, Data Controllers and Data Processors: What the Difference is and What the Governance Implications Are (Guidance, 06 May 2014) &lt;https://ico.org.uk/media/for-organisations/documents/1546/data-controllers-and-data-processors-dp-guidance.pdf&gt; accessed 26 April 2018</w:t>
      </w:r>
      <w:r w:rsidRPr="00C86397">
        <w:rPr>
          <w:rFonts w:ascii="Times New Roman" w:eastAsia="Times New Roman" w:hAnsi="Times New Roman" w:cs="Times New Roman"/>
          <w:sz w:val="20"/>
          <w:szCs w:val="20"/>
        </w:rPr>
        <w:t>, 6.</w:t>
      </w:r>
    </w:p>
  </w:footnote>
  <w:footnote w:id="172">
    <w:p w14:paraId="158763E0" w14:textId="1E15F559"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GDPR Art. 26(1). </w:t>
      </w:r>
    </w:p>
  </w:footnote>
  <w:footnote w:id="173">
    <w:p w14:paraId="75B40F96" w14:textId="08289AF9"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noProof/>
        </w:rPr>
        <w:t>Article 29 Data Protection Working Party, Guidelines on transparency under Regulation 2016/679 (WP 260 rev 01, adopted on 29 November 2017, as last revised and adopted on 11 April 2018)</w:t>
      </w:r>
      <w:r w:rsidRPr="00C86397">
        <w:rPr>
          <w:rFonts w:ascii="Times New Roman" w:hAnsi="Times New Roman" w:cs="Times New Roman"/>
        </w:rPr>
        <w:t xml:space="preserve">, at para. 44. </w:t>
      </w:r>
    </w:p>
  </w:footnote>
  <w:footnote w:id="174">
    <w:p w14:paraId="060F3A22" w14:textId="71D65B6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Article 29 Data Protection Working Party, </w:t>
      </w:r>
      <w:r w:rsidRPr="00C86397">
        <w:rPr>
          <w:rFonts w:ascii="Times New Roman" w:hAnsi="Times New Roman" w:cs="Times New Roman"/>
          <w:i/>
          <w:noProof/>
          <w:sz w:val="20"/>
          <w:szCs w:val="20"/>
        </w:rPr>
        <w:t xml:space="preserve">Opinion 1/2010 on the concepts of "controller" and "processor"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_Ref495070999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155</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25.</w:t>
      </w:r>
    </w:p>
  </w:footnote>
  <w:footnote w:id="175">
    <w:p w14:paraId="1135CED8" w14:textId="3A047454"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noProof/>
          <w:sz w:val="20"/>
          <w:szCs w:val="20"/>
        </w:rPr>
        <w:t xml:space="preserve">Ibid. </w:t>
      </w:r>
      <w:r w:rsidRPr="00C86397">
        <w:rPr>
          <w:rFonts w:ascii="Times New Roman" w:hAnsi="Times New Roman" w:cs="Times New Roman"/>
          <w:sz w:val="20"/>
          <w:szCs w:val="20"/>
        </w:rPr>
        <w:t>28.</w:t>
      </w:r>
    </w:p>
  </w:footnote>
  <w:footnote w:id="176">
    <w:p w14:paraId="584CF98D" w14:textId="1E9F4746"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29.</w:t>
      </w:r>
    </w:p>
  </w:footnote>
  <w:footnote w:id="177">
    <w:p w14:paraId="1C0E8232" w14:textId="020184C1"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30.</w:t>
      </w:r>
    </w:p>
  </w:footnote>
  <w:footnote w:id="178">
    <w:p w14:paraId="2FAA3B6C" w14:textId="379081FB"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Opinion of Advocate General Bot in </w:t>
      </w:r>
      <w:r w:rsidRPr="00C86397">
        <w:rPr>
          <w:rFonts w:ascii="Times New Roman" w:hAnsi="Times New Roman" w:cs="Times New Roman"/>
          <w:i/>
          <w:noProof/>
        </w:rPr>
        <w:t>Wirtschaftsakademie Schleswig-Holstein</w:t>
      </w:r>
      <w:r w:rsidRPr="00C86397">
        <w:rPr>
          <w:rFonts w:ascii="Times New Roman" w:hAnsi="Times New Roman" w:cs="Times New Roman"/>
          <w:noProof/>
        </w:rPr>
        <w:t>, Case C-210/16, [2017] (EU:C:2017:796)</w:t>
      </w:r>
      <w:r w:rsidRPr="00C86397">
        <w:rPr>
          <w:rFonts w:ascii="Times New Roman" w:hAnsi="Times New Roman" w:cs="Times New Roman"/>
        </w:rPr>
        <w:t>.</w:t>
      </w:r>
    </w:p>
  </w:footnote>
  <w:footnote w:id="179">
    <w:p w14:paraId="0AE9D677" w14:textId="55E2699F"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i/>
        </w:rPr>
        <w:t xml:space="preserve">ibid. </w:t>
      </w:r>
      <w:r w:rsidRPr="00C86397">
        <w:rPr>
          <w:rFonts w:ascii="Times New Roman" w:hAnsi="Times New Roman" w:cs="Times New Roman"/>
        </w:rPr>
        <w:t>47.</w:t>
      </w:r>
    </w:p>
  </w:footnote>
  <w:footnote w:id="180">
    <w:p w14:paraId="27A189DB" w14:textId="589616C9"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i/>
        </w:rPr>
        <w:t xml:space="preserve">ibid. </w:t>
      </w:r>
      <w:r w:rsidRPr="00C86397">
        <w:rPr>
          <w:rFonts w:ascii="Times New Roman" w:hAnsi="Times New Roman" w:cs="Times New Roman"/>
        </w:rPr>
        <w:t>64.</w:t>
      </w:r>
    </w:p>
  </w:footnote>
  <w:footnote w:id="181">
    <w:p w14:paraId="4AB0D408" w14:textId="0C667872" w:rsidR="00F560CA" w:rsidRPr="00C86397" w:rsidRDefault="00F560CA" w:rsidP="00C86397">
      <w:pPr>
        <w:spacing w:line="240" w:lineRule="auto"/>
        <w:rPr>
          <w:rFonts w:ascii="Times New Roman" w:eastAsia="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This is a proposition that has been alluded to in the data protection literature, with some observers suggesting that the blurring of boundaries between data controllers and data processors caused by technological evolution could lead to the emergence of a “confused” approach to data protection. </w:t>
      </w:r>
      <w:r w:rsidRPr="00C86397">
        <w:rPr>
          <w:rFonts w:ascii="Times New Roman" w:eastAsia="Times New Roman" w:hAnsi="Times New Roman" w:cs="Times New Roman"/>
          <w:sz w:val="20"/>
          <w:szCs w:val="20"/>
        </w:rPr>
        <w:t xml:space="preserve">See for example </w:t>
      </w:r>
      <w:r w:rsidRPr="00C86397">
        <w:rPr>
          <w:rFonts w:ascii="Times New Roman" w:eastAsia="Times New Roman" w:hAnsi="Times New Roman" w:cs="Times New Roman"/>
          <w:noProof/>
          <w:sz w:val="20"/>
          <w:szCs w:val="20"/>
        </w:rPr>
        <w:t>Peter Blume, 'Controller and processor: is there a risk of confusion?' (2013) 3 International Data Privacy Law 140</w:t>
      </w:r>
      <w:r w:rsidRPr="00C86397">
        <w:rPr>
          <w:rFonts w:ascii="Times New Roman" w:eastAsia="Times New Roman" w:hAnsi="Times New Roman" w:cs="Times New Roman"/>
          <w:sz w:val="20"/>
          <w:szCs w:val="20"/>
        </w:rPr>
        <w:t xml:space="preserve">, 140-145. See also </w:t>
      </w:r>
      <w:r w:rsidRPr="00C86397">
        <w:rPr>
          <w:rFonts w:ascii="Times New Roman" w:eastAsia="Times New Roman" w:hAnsi="Times New Roman" w:cs="Times New Roman"/>
          <w:noProof/>
          <w:sz w:val="20"/>
          <w:szCs w:val="20"/>
        </w:rPr>
        <w:t>W. Kuan Hon, Christopher Millard and Ian Walden, 'Who is responsible for ‘personal data’ in cloud computing?—The cloud of unknowing, Part 2' (2012) 2 International Data Privacy Law 3</w:t>
      </w:r>
      <w:r w:rsidRPr="00C86397">
        <w:rPr>
          <w:rFonts w:ascii="Times New Roman" w:eastAsia="Times New Roman" w:hAnsi="Times New Roman" w:cs="Times New Roman"/>
          <w:sz w:val="20"/>
          <w:szCs w:val="20"/>
        </w:rPr>
        <w:t>, 3-18.</w:t>
      </w:r>
    </w:p>
  </w:footnote>
  <w:footnote w:id="182">
    <w:p w14:paraId="7EFFB7F9" w14:textId="08E9E0C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Article 29 Data Protection Working Party, </w:t>
      </w:r>
      <w:r w:rsidRPr="00C86397">
        <w:rPr>
          <w:rFonts w:ascii="Times New Roman" w:hAnsi="Times New Roman" w:cs="Times New Roman"/>
          <w:i/>
          <w:noProof/>
          <w:sz w:val="20"/>
          <w:szCs w:val="20"/>
        </w:rPr>
        <w:t xml:space="preserve">Opinion 1/2010 on the concepts of "controller" and "processor"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_Ref495070999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155</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22.</w:t>
      </w:r>
    </w:p>
  </w:footnote>
  <w:footnote w:id="183">
    <w:p w14:paraId="3341D374" w14:textId="7501CA92"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GDPR Art. 82(3).</w:t>
      </w:r>
    </w:p>
  </w:footnote>
  <w:footnote w:id="184">
    <w:p w14:paraId="306672FA" w14:textId="0813B17B" w:rsidR="00F560CA" w:rsidRPr="00C86397" w:rsidRDefault="00F560CA" w:rsidP="00C86397">
      <w:pPr>
        <w:spacing w:line="240" w:lineRule="auto"/>
        <w:rPr>
          <w:rFonts w:ascii="Times New Roman" w:hAnsi="Times New Roman" w:cs="Times New Roman"/>
          <w:i/>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eIDAS Art. 12(3)(a) provides that the interoperability framework aims </w:t>
      </w:r>
      <w:r w:rsidRPr="00C86397">
        <w:rPr>
          <w:rFonts w:ascii="Times New Roman" w:hAnsi="Times New Roman" w:cs="Times New Roman"/>
          <w:i/>
          <w:sz w:val="20"/>
          <w:szCs w:val="20"/>
        </w:rPr>
        <w:t>“to be technology neutral and does not discriminate between any specific national technical solutions for electronic identification within a Member State.”</w:t>
      </w:r>
    </w:p>
  </w:footnote>
  <w:footnote w:id="185">
    <w:p w14:paraId="6555BD0E" w14:textId="12D42FCE"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European Commission, Feasibility study on an electronic identification, authentication and signature policy (IAS) (Final Version (D11b), Ref Ares(2013)2869715, 13 August 2013) &lt;http://ec.europa.eu/newsroom/dae/document.cfm?doc_id=2794&gt; accessed 26 April 2018</w:t>
      </w:r>
      <w:r w:rsidRPr="00C86397">
        <w:rPr>
          <w:rFonts w:ascii="Times New Roman" w:hAnsi="Times New Roman" w:cs="Times New Roman"/>
          <w:sz w:val="20"/>
          <w:szCs w:val="20"/>
        </w:rPr>
        <w:t>, 171.</w:t>
      </w:r>
    </w:p>
  </w:footnote>
  <w:footnote w:id="186">
    <w:p w14:paraId="2542B2EE" w14:textId="22C5CF8B"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noProof/>
          <w:sz w:val="20"/>
          <w:szCs w:val="20"/>
        </w:rPr>
        <w:t xml:space="preserve">Ibid. </w:t>
      </w:r>
      <w:r w:rsidRPr="00C86397">
        <w:rPr>
          <w:rFonts w:ascii="Times New Roman" w:hAnsi="Times New Roman" w:cs="Times New Roman"/>
          <w:sz w:val="20"/>
          <w:szCs w:val="20"/>
        </w:rPr>
        <w:t>172.</w:t>
      </w:r>
    </w:p>
  </w:footnote>
  <w:footnote w:id="187">
    <w:p w14:paraId="0AD71D12" w14:textId="3898339D"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p>
  </w:footnote>
  <w:footnote w:id="188">
    <w:p w14:paraId="7982EF63" w14:textId="3D6DD436"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European Commission, Impact Assessment Accompanying the Proposal for a Regulation of the European Parliament and of the Council on Electronic Identification and Trust Services for Electronic Transactions in the Internal Market (COM(2012) 238 final, 4 June 2012) &lt;https://eur-lex.europa.eu/legal-content/EN/TXT/PDF/?uri=CELEX:52012SC0136&amp;from=EN&gt; accessed 26 April 2018</w:t>
      </w:r>
      <w:r w:rsidRPr="00C86397">
        <w:rPr>
          <w:rFonts w:ascii="Times New Roman" w:hAnsi="Times New Roman" w:cs="Times New Roman"/>
          <w:sz w:val="20"/>
          <w:szCs w:val="20"/>
        </w:rPr>
        <w:t>, 10.</w:t>
      </w:r>
    </w:p>
  </w:footnote>
  <w:footnote w:id="189">
    <w:p w14:paraId="2F269D7B" w14:textId="5639E08A"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There have been arguments against the requirement of a Minimum Dataset (</w:t>
      </w:r>
      <w:r w:rsidRPr="00C86397">
        <w:rPr>
          <w:rFonts w:ascii="Times New Roman" w:hAnsi="Times New Roman" w:cs="Times New Roman"/>
          <w:noProof/>
          <w:sz w:val="20"/>
          <w:szCs w:val="20"/>
        </w:rPr>
        <w:t>Commission Implementing Regulation (EU) 2015/1501 of 8 September 2015 on the interoperability framework pursuant to Article 12(8) of Regulation (EU) No 910/2014 of the European Parliament and of the Council on electronic identification and trust services for electronic transactions in the internal market (Text with EEA relevance) [2015] OJ L 235/1</w:t>
      </w:r>
      <w:r w:rsidRPr="00C86397">
        <w:rPr>
          <w:rFonts w:ascii="Times New Roman" w:hAnsi="Times New Roman" w:cs="Times New Roman"/>
          <w:sz w:val="20"/>
          <w:szCs w:val="20"/>
        </w:rPr>
        <w:t xml:space="preserve">, ANNEX) as well as a technical specification that would best serve central deployments and does not lend itself to newer technologies, such as zero-knowledge-credentials. See for example </w:t>
      </w:r>
      <w:r w:rsidRPr="00C86397">
        <w:rPr>
          <w:rFonts w:ascii="Times New Roman" w:hAnsi="Times New Roman" w:cs="Times New Roman"/>
          <w:noProof/>
          <w:sz w:val="20"/>
          <w:szCs w:val="20"/>
        </w:rPr>
        <w:t>ABC4Trust Position Paper, Privacy-ABCs and the eID Regulation (2014) &lt;https://abc4trust.eu/download/documents/ABC4Trust-eID-Regulation.pdf&gt; accessed 26 April 2018</w:t>
      </w:r>
      <w:r w:rsidRPr="00C86397">
        <w:rPr>
          <w:rFonts w:ascii="Times New Roman" w:hAnsi="Times New Roman" w:cs="Times New Roman"/>
          <w:sz w:val="20"/>
          <w:szCs w:val="20"/>
        </w:rPr>
        <w:t xml:space="preserve">, 2; </w:t>
      </w:r>
      <w:r w:rsidRPr="00C86397">
        <w:rPr>
          <w:rFonts w:ascii="Times New Roman" w:hAnsi="Times New Roman" w:cs="Times New Roman"/>
          <w:noProof/>
          <w:sz w:val="20"/>
          <w:szCs w:val="20"/>
        </w:rPr>
        <w:t>Fabio Massacci and Olga Gadyatskaya, How to get better EID and Trust Services by leveraging eIDAS legislation on EU funded research results (White Paper, October 2013, 2013) &lt;http://www.cspforum.eu/Seccord_eidas_whitepaper_2013.pdf&gt; accessed 26 April 2018</w:t>
      </w:r>
      <w:r w:rsidRPr="00C86397">
        <w:rPr>
          <w:rFonts w:ascii="Times New Roman" w:hAnsi="Times New Roman" w:cs="Times New Roman"/>
          <w:sz w:val="20"/>
          <w:szCs w:val="20"/>
        </w:rPr>
        <w:t xml:space="preserve">, 3-4; </w:t>
      </w:r>
      <w:r w:rsidRPr="00C86397">
        <w:rPr>
          <w:rFonts w:ascii="Times New Roman" w:hAnsi="Times New Roman" w:cs="Times New Roman"/>
          <w:noProof/>
          <w:sz w:val="20"/>
          <w:szCs w:val="20"/>
        </w:rPr>
        <w:t>Harald Zwingelberg and Jan Schallaböck, H2.4 The Proposal for a Regulation on Electronic Identification and Trust Services under a Privacy and ABC4Trust Perspective (Opinion Paper, ABC4Trust EU Project, 31 October 2013) &lt;https://abc4trust.eu/index.php/pub/deliverables/176-h2-4&gt; accessed 26 April 2018</w:t>
      </w:r>
      <w:r w:rsidRPr="00C86397">
        <w:rPr>
          <w:rFonts w:ascii="Times New Roman" w:hAnsi="Times New Roman" w:cs="Times New Roman"/>
          <w:sz w:val="20"/>
          <w:szCs w:val="20"/>
        </w:rPr>
        <w:t>, 9-10.</w:t>
      </w:r>
    </w:p>
  </w:footnote>
  <w:footnote w:id="190">
    <w:p w14:paraId="6FCEA509" w14:textId="19D95B2C"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eIDAS Art. 3(1). </w:t>
      </w:r>
    </w:p>
  </w:footnote>
  <w:footnote w:id="191">
    <w:p w14:paraId="659E327E" w14:textId="0EEF3F73"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eIDAS Art. 3(5). </w:t>
      </w:r>
    </w:p>
  </w:footnote>
  <w:footnote w:id="192">
    <w:p w14:paraId="77743C8A" w14:textId="20A7FB42"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eIDAS Art. 7(d).</w:t>
      </w:r>
    </w:p>
  </w:footnote>
  <w:footnote w:id="193">
    <w:p w14:paraId="544EABD9" w14:textId="03928283"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eIDAS Art. 7(f). </w:t>
      </w:r>
    </w:p>
  </w:footnote>
  <w:footnote w:id="194">
    <w:p w14:paraId="69238A2F" w14:textId="70A0DB1D"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eIDAS Art. 7(f). </w:t>
      </w:r>
    </w:p>
  </w:footnote>
  <w:footnote w:id="195">
    <w:p w14:paraId="13790B90" w14:textId="7C3AE0E4"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eIDAS Art. 7(e). </w:t>
      </w:r>
    </w:p>
  </w:footnote>
  <w:footnote w:id="196">
    <w:p w14:paraId="286E4A47" w14:textId="167204AD"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Government Digital Service, </w:t>
      </w:r>
      <w:r w:rsidRPr="00C86397">
        <w:rPr>
          <w:rFonts w:ascii="Times New Roman" w:hAnsi="Times New Roman" w:cs="Times New Roman"/>
          <w:i/>
          <w:noProof/>
          <w:sz w:val="20"/>
          <w:szCs w:val="20"/>
        </w:rPr>
        <w:t xml:space="preserve">Gov.UK Verify Data Protection Impact Assessment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_Ref494993330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44</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24.</w:t>
      </w:r>
    </w:p>
  </w:footnote>
  <w:footnote w:id="197">
    <w:p w14:paraId="2A2446AF" w14:textId="3542AB4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noProof/>
          <w:sz w:val="20"/>
          <w:szCs w:val="20"/>
        </w:rPr>
        <w:t xml:space="preserve">Ibid. </w:t>
      </w:r>
      <w:r w:rsidRPr="00C86397">
        <w:rPr>
          <w:rFonts w:ascii="Times New Roman" w:hAnsi="Times New Roman" w:cs="Times New Roman"/>
          <w:sz w:val="20"/>
          <w:szCs w:val="20"/>
        </w:rPr>
        <w:t xml:space="preserve">24-25. </w:t>
      </w:r>
    </w:p>
  </w:footnote>
  <w:footnote w:id="198">
    <w:p w14:paraId="4CB86697" w14:textId="7EECC834"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Article 29 Data Protection Working Party, </w:t>
      </w:r>
      <w:r w:rsidRPr="00C86397">
        <w:rPr>
          <w:rFonts w:ascii="Times New Roman" w:hAnsi="Times New Roman" w:cs="Times New Roman"/>
          <w:i/>
          <w:noProof/>
          <w:sz w:val="20"/>
          <w:szCs w:val="20"/>
        </w:rPr>
        <w:t xml:space="preserve">Opinion 1/2010 on the concepts of "controller" and "processor"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_Ref495070999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155</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xml:space="preserve">) 18. </w:t>
      </w:r>
    </w:p>
  </w:footnote>
  <w:footnote w:id="199">
    <w:p w14:paraId="59447F7A" w14:textId="398D37CE"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Cabinet Office, </w:t>
      </w:r>
      <w:r w:rsidRPr="00C86397">
        <w:rPr>
          <w:rFonts w:ascii="Times New Roman" w:hAnsi="Times New Roman" w:cs="Times New Roman"/>
          <w:i/>
          <w:noProof/>
          <w:sz w:val="20"/>
          <w:szCs w:val="20"/>
        </w:rPr>
        <w:t xml:space="preserve">Framework Agreement and Schedules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_Ref495064857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27</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sch. 2 (part 2(A1)). See also clause 13.1.</w:t>
      </w:r>
    </w:p>
  </w:footnote>
  <w:footnote w:id="200">
    <w:p w14:paraId="33DB563E" w14:textId="0999F52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noProof/>
          <w:sz w:val="20"/>
          <w:szCs w:val="20"/>
        </w:rPr>
        <w:t xml:space="preserve">Ibid. </w:t>
      </w:r>
      <w:r w:rsidRPr="00C86397">
        <w:rPr>
          <w:rFonts w:ascii="Times New Roman" w:hAnsi="Times New Roman" w:cs="Times New Roman"/>
          <w:sz w:val="20"/>
          <w:szCs w:val="20"/>
        </w:rPr>
        <w:t>clause 17.4.</w:t>
      </w:r>
    </w:p>
  </w:footnote>
  <w:footnote w:id="201">
    <w:p w14:paraId="00886A16" w14:textId="32740E86"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clause 17.4.</w:t>
      </w:r>
    </w:p>
  </w:footnote>
  <w:footnote w:id="202">
    <w:p w14:paraId="0C5A6E24" w14:textId="17BAAA2A"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clause 17.5.</w:t>
      </w:r>
    </w:p>
  </w:footnote>
  <w:footnote w:id="203">
    <w:p w14:paraId="04400BA3" w14:textId="08D2099D"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clause 17.6.</w:t>
      </w:r>
    </w:p>
  </w:footnote>
  <w:footnote w:id="204">
    <w:p w14:paraId="280B1FCE" w14:textId="0A79AD0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section F(23).</w:t>
      </w:r>
    </w:p>
  </w:footnote>
  <w:footnote w:id="205">
    <w:p w14:paraId="4DCFEAC7" w14:textId="1A38AD37"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section F(22).</w:t>
      </w:r>
    </w:p>
  </w:footnote>
  <w:footnote w:id="206">
    <w:p w14:paraId="3C6EBAAF" w14:textId="120B95E6"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section E(20).</w:t>
      </w:r>
    </w:p>
  </w:footnote>
  <w:footnote w:id="207">
    <w:p w14:paraId="7EFC9A65" w14:textId="71AE6733"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noProof/>
          <w:sz w:val="20"/>
          <w:szCs w:val="20"/>
        </w:rPr>
        <w:t xml:space="preserve">Government Digital Service, </w:t>
      </w:r>
      <w:r w:rsidRPr="00C86397">
        <w:rPr>
          <w:rFonts w:ascii="Times New Roman" w:hAnsi="Times New Roman" w:cs="Times New Roman"/>
          <w:i/>
          <w:noProof/>
          <w:sz w:val="20"/>
          <w:szCs w:val="20"/>
        </w:rPr>
        <w:t xml:space="preserve">Gov.UK Verify Data Protection Impact Assessment </w:t>
      </w:r>
      <w:r w:rsidRPr="00C86397">
        <w:rPr>
          <w:rFonts w:ascii="Times New Roman" w:hAnsi="Times New Roman" w:cs="Times New Roman"/>
          <w:noProof/>
          <w:sz w:val="20"/>
          <w:szCs w:val="20"/>
        </w:rPr>
        <w:t>(n.</w:t>
      </w:r>
      <w:r w:rsidRPr="00C86397">
        <w:rPr>
          <w:rFonts w:ascii="Times New Roman" w:hAnsi="Times New Roman" w:cs="Times New Roman"/>
          <w:i/>
          <w:noProof/>
          <w:sz w:val="20"/>
          <w:szCs w:val="20"/>
        </w:rPr>
        <w:t xml:space="preserve"> </w:t>
      </w:r>
      <w:r w:rsidRPr="00C86397">
        <w:rPr>
          <w:rFonts w:ascii="Times New Roman" w:hAnsi="Times New Roman" w:cs="Times New Roman"/>
          <w:sz w:val="20"/>
          <w:szCs w:val="20"/>
        </w:rPr>
        <w:fldChar w:fldCharType="begin"/>
      </w:r>
      <w:r w:rsidRPr="00C86397">
        <w:rPr>
          <w:rFonts w:ascii="Times New Roman" w:hAnsi="Times New Roman" w:cs="Times New Roman"/>
          <w:sz w:val="20"/>
          <w:szCs w:val="20"/>
        </w:rPr>
        <w:instrText xml:space="preserve"> NOTEREF _Ref494993330 \h  \* MERGEFORMAT </w:instrText>
      </w:r>
      <w:r w:rsidRPr="00C86397">
        <w:rPr>
          <w:rFonts w:ascii="Times New Roman" w:hAnsi="Times New Roman" w:cs="Times New Roman"/>
          <w:sz w:val="20"/>
          <w:szCs w:val="20"/>
        </w:rPr>
      </w:r>
      <w:r w:rsidRPr="00C86397">
        <w:rPr>
          <w:rFonts w:ascii="Times New Roman" w:hAnsi="Times New Roman" w:cs="Times New Roman"/>
          <w:sz w:val="20"/>
          <w:szCs w:val="20"/>
        </w:rPr>
        <w:fldChar w:fldCharType="separate"/>
      </w:r>
      <w:r>
        <w:rPr>
          <w:rFonts w:ascii="Times New Roman" w:hAnsi="Times New Roman" w:cs="Times New Roman"/>
          <w:sz w:val="20"/>
          <w:szCs w:val="20"/>
        </w:rPr>
        <w:t>44</w:t>
      </w:r>
      <w:r w:rsidRPr="00C86397">
        <w:rPr>
          <w:rFonts w:ascii="Times New Roman" w:hAnsi="Times New Roman" w:cs="Times New Roman"/>
          <w:sz w:val="20"/>
          <w:szCs w:val="20"/>
        </w:rPr>
        <w:fldChar w:fldCharType="end"/>
      </w:r>
      <w:r w:rsidRPr="00C86397">
        <w:rPr>
          <w:rFonts w:ascii="Times New Roman" w:hAnsi="Times New Roman" w:cs="Times New Roman"/>
          <w:sz w:val="20"/>
          <w:szCs w:val="20"/>
        </w:rPr>
        <w:t xml:space="preserve">) 11. </w:t>
      </w:r>
    </w:p>
  </w:footnote>
  <w:footnote w:id="208">
    <w:p w14:paraId="3BBC1831" w14:textId="56EDABA0"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19.</w:t>
      </w:r>
    </w:p>
  </w:footnote>
  <w:footnote w:id="209">
    <w:p w14:paraId="39F8E140" w14:textId="3F67D53E"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19.</w:t>
      </w:r>
    </w:p>
  </w:footnote>
  <w:footnote w:id="210">
    <w:p w14:paraId="1BE618BD" w14:textId="745E7B2B" w:rsidR="00F560CA" w:rsidRPr="00C86397" w:rsidRDefault="00F560CA" w:rsidP="00C86397">
      <w:pPr>
        <w:spacing w:line="240" w:lineRule="auto"/>
        <w:rPr>
          <w:rFonts w:ascii="Times New Roman" w:hAnsi="Times New Roman" w:cs="Times New Roman"/>
          <w:sz w:val="20"/>
          <w:szCs w:val="20"/>
        </w:rPr>
      </w:pPr>
      <w:r w:rsidRPr="00C86397">
        <w:rPr>
          <w:rFonts w:ascii="Times New Roman" w:hAnsi="Times New Roman" w:cs="Times New Roman"/>
          <w:sz w:val="20"/>
          <w:szCs w:val="20"/>
          <w:vertAlign w:val="superscript"/>
        </w:rPr>
        <w:footnoteRef/>
      </w:r>
      <w:r w:rsidRPr="00C86397">
        <w:rPr>
          <w:rFonts w:ascii="Times New Roman" w:hAnsi="Times New Roman" w:cs="Times New Roman"/>
          <w:sz w:val="20"/>
          <w:szCs w:val="20"/>
        </w:rPr>
        <w:t xml:space="preserve"> </w:t>
      </w:r>
      <w:r w:rsidRPr="00C86397">
        <w:rPr>
          <w:rFonts w:ascii="Times New Roman" w:hAnsi="Times New Roman" w:cs="Times New Roman"/>
          <w:i/>
          <w:sz w:val="20"/>
          <w:szCs w:val="20"/>
        </w:rPr>
        <w:t xml:space="preserve">ibid. </w:t>
      </w:r>
      <w:r w:rsidRPr="00C86397">
        <w:rPr>
          <w:rFonts w:ascii="Times New Roman" w:hAnsi="Times New Roman" w:cs="Times New Roman"/>
          <w:sz w:val="20"/>
          <w:szCs w:val="20"/>
        </w:rPr>
        <w:t xml:space="preserve">23. The reason given is that these companies are covered by separate contractual and legal obligations. </w:t>
      </w:r>
    </w:p>
  </w:footnote>
  <w:footnote w:id="211">
    <w:p w14:paraId="1F0D67A1" w14:textId="0125A7E4" w:rsidR="00F560CA" w:rsidRPr="00C86397" w:rsidRDefault="00F560CA" w:rsidP="00C86397">
      <w:pPr>
        <w:pStyle w:val="FootnoteText"/>
        <w:rPr>
          <w:rFonts w:ascii="Times New Roman" w:hAnsi="Times New Roman" w:cs="Times New Roman"/>
        </w:rPr>
      </w:pPr>
      <w:r w:rsidRPr="00C86397">
        <w:rPr>
          <w:rStyle w:val="FootnoteReference"/>
          <w:rFonts w:ascii="Times New Roman" w:hAnsi="Times New Roman" w:cs="Times New Roman"/>
        </w:rPr>
        <w:footnoteRef/>
      </w:r>
      <w:r w:rsidRPr="00C86397">
        <w:rPr>
          <w:rFonts w:ascii="Times New Roman" w:hAnsi="Times New Roman" w:cs="Times New Roman"/>
        </w:rPr>
        <w:t xml:space="preserve"> </w:t>
      </w:r>
      <w:r w:rsidRPr="00C86397">
        <w:rPr>
          <w:rFonts w:ascii="Times New Roman" w:hAnsi="Times New Roman" w:cs="Times New Roman"/>
          <w:noProof/>
        </w:rPr>
        <w:t>eIDAS Article 11 could be seen to be in conflict with GDPR Article 82 as there is no presumption of liability.</w:t>
      </w:r>
      <w:r w:rsidRPr="00C86397">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B343E"/>
    <w:multiLevelType w:val="multilevel"/>
    <w:tmpl w:val="F806BD42"/>
    <w:lvl w:ilvl="0">
      <w:start w:val="1"/>
      <w:numFmt w:val="upperRoman"/>
      <w:lvlText w:val="%1."/>
      <w:lvlJc w:val="left"/>
      <w:pPr>
        <w:ind w:left="0" w:firstLine="0"/>
      </w:pPr>
      <w:rPr>
        <w:rFonts w:hint="default"/>
        <w:b w:val="0"/>
        <w:i w:val="0"/>
        <w:color w:val="767171" w:themeColor="background2" w:themeShade="80"/>
        <w:sz w:val="24"/>
      </w:rPr>
    </w:lvl>
    <w:lvl w:ilvl="1">
      <w:start w:val="1"/>
      <w:numFmt w:val="none"/>
      <w:lvlText w:val=""/>
      <w:lvlJc w:val="left"/>
      <w:pPr>
        <w:ind w:left="72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14343576"/>
    <w:multiLevelType w:val="multilevel"/>
    <w:tmpl w:val="413E6E4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 w15:restartNumberingAfterBreak="0">
    <w:nsid w:val="234A7B72"/>
    <w:multiLevelType w:val="multilevel"/>
    <w:tmpl w:val="D8641C58"/>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7500EF"/>
    <w:multiLevelType w:val="hybridMultilevel"/>
    <w:tmpl w:val="F9BEA6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BA0839"/>
    <w:multiLevelType w:val="hybridMultilevel"/>
    <w:tmpl w:val="44BE7BE0"/>
    <w:lvl w:ilvl="0" w:tplc="911C5850">
      <w:start w:val="1"/>
      <w:numFmt w:val="upperRoman"/>
      <w:lvlText w:val="%1."/>
      <w:lvlJc w:val="right"/>
      <w:pPr>
        <w:ind w:left="1080" w:hanging="18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A50C6C"/>
    <w:multiLevelType w:val="multilevel"/>
    <w:tmpl w:val="5EEAC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CF5398"/>
    <w:multiLevelType w:val="multilevel"/>
    <w:tmpl w:val="69182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D2404A"/>
    <w:multiLevelType w:val="multilevel"/>
    <w:tmpl w:val="0DCCA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92149B"/>
    <w:multiLevelType w:val="hybridMultilevel"/>
    <w:tmpl w:val="62A6F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4528F"/>
    <w:multiLevelType w:val="hybridMultilevel"/>
    <w:tmpl w:val="85349604"/>
    <w:lvl w:ilvl="0" w:tplc="71F8D4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733FA3"/>
    <w:multiLevelType w:val="multilevel"/>
    <w:tmpl w:val="E7EA90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0E7D1F"/>
    <w:multiLevelType w:val="multilevel"/>
    <w:tmpl w:val="DA382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0B659E"/>
    <w:multiLevelType w:val="hybridMultilevel"/>
    <w:tmpl w:val="7BBC4844"/>
    <w:lvl w:ilvl="0" w:tplc="6B16A09E">
      <w:start w:val="3"/>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5602F"/>
    <w:multiLevelType w:val="multilevel"/>
    <w:tmpl w:val="04FA24BC"/>
    <w:lvl w:ilvl="0">
      <w:start w:val="1"/>
      <w:numFmt w:val="upperRoman"/>
      <w:lvlText w:val="%1."/>
      <w:lvlJc w:val="right"/>
      <w:pPr>
        <w:ind w:left="540" w:hanging="180"/>
      </w:pPr>
      <w:rPr>
        <w:rFonts w:ascii="Times New Roman" w:hAnsi="Times New Roman"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9D1C29"/>
    <w:multiLevelType w:val="hybridMultilevel"/>
    <w:tmpl w:val="AAEE0710"/>
    <w:lvl w:ilvl="0" w:tplc="083644AA">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E0F6B"/>
    <w:multiLevelType w:val="multilevel"/>
    <w:tmpl w:val="69182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C091C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166617"/>
    <w:multiLevelType w:val="hybridMultilevel"/>
    <w:tmpl w:val="C6461934"/>
    <w:lvl w:ilvl="0" w:tplc="0BEA64DC">
      <w:start w:val="3"/>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48004A"/>
    <w:multiLevelType w:val="hybridMultilevel"/>
    <w:tmpl w:val="AE12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744C4"/>
    <w:multiLevelType w:val="multilevel"/>
    <w:tmpl w:val="CCFC7B2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1" w15:restartNumberingAfterBreak="0">
    <w:nsid w:val="734F5D5D"/>
    <w:multiLevelType w:val="multilevel"/>
    <w:tmpl w:val="6EC86712"/>
    <w:lvl w:ilvl="0">
      <w:start w:val="4"/>
      <w:numFmt w:val="decimal"/>
      <w:pStyle w:val="Heading1"/>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74AF3D7B"/>
    <w:multiLevelType w:val="hybridMultilevel"/>
    <w:tmpl w:val="0450AEBA"/>
    <w:lvl w:ilvl="0" w:tplc="84FE94DA">
      <w:start w:val="3"/>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0399C"/>
    <w:multiLevelType w:val="hybridMultilevel"/>
    <w:tmpl w:val="AE64BD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2972D4"/>
    <w:multiLevelType w:val="hybridMultilevel"/>
    <w:tmpl w:val="1558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7"/>
  </w:num>
  <w:num w:numId="4">
    <w:abstractNumId w:val="8"/>
  </w:num>
  <w:num w:numId="5">
    <w:abstractNumId w:val="2"/>
  </w:num>
  <w:num w:numId="6">
    <w:abstractNumId w:val="12"/>
  </w:num>
  <w:num w:numId="7">
    <w:abstractNumId w:val="0"/>
  </w:num>
  <w:num w:numId="8">
    <w:abstractNumId w:val="4"/>
  </w:num>
  <w:num w:numId="9">
    <w:abstractNumId w:val="16"/>
  </w:num>
  <w:num w:numId="10">
    <w:abstractNumId w:val="23"/>
  </w:num>
  <w:num w:numId="11">
    <w:abstractNumId w:val="1"/>
  </w:num>
  <w:num w:numId="12">
    <w:abstractNumId w:val="9"/>
  </w:num>
  <w:num w:numId="13">
    <w:abstractNumId w:val="22"/>
  </w:num>
  <w:num w:numId="14">
    <w:abstractNumId w:val="13"/>
  </w:num>
  <w:num w:numId="15">
    <w:abstractNumId w:val="19"/>
  </w:num>
  <w:num w:numId="16">
    <w:abstractNumId w:val="5"/>
  </w:num>
  <w:num w:numId="17">
    <w:abstractNumId w:val="11"/>
  </w:num>
  <w:num w:numId="18">
    <w:abstractNumId w:val="3"/>
  </w:num>
  <w:num w:numId="19">
    <w:abstractNumId w:val="17"/>
  </w:num>
  <w:num w:numId="20">
    <w:abstractNumId w:val="10"/>
  </w:num>
  <w:num w:numId="21">
    <w:abstractNumId w:val="1"/>
    <w:lvlOverride w:ilvl="0">
      <w:startOverride w:val="1"/>
    </w:lvlOverride>
  </w:num>
  <w:num w:numId="22">
    <w:abstractNumId w:val="14"/>
  </w:num>
  <w:num w:numId="23">
    <w:abstractNumId w:val="1"/>
    <w:lvlOverride w:ilvl="0">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24"/>
  </w:num>
  <w:num w:numId="30">
    <w:abstractNumId w:val="1"/>
  </w:num>
  <w:num w:numId="31">
    <w:abstractNumId w:val="21"/>
  </w:num>
  <w:num w:numId="3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DPL&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zpfdr5sru2t5sae0t2lp5se2rfxaaa02tat2&quot;&gt;F.Main_backup&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record-ids&gt;&lt;/item&gt;&lt;/Libraries&gt;"/>
  </w:docVars>
  <w:rsids>
    <w:rsidRoot w:val="00D70F60"/>
    <w:rsid w:val="00001695"/>
    <w:rsid w:val="000022A2"/>
    <w:rsid w:val="0000734D"/>
    <w:rsid w:val="0001070B"/>
    <w:rsid w:val="0001786A"/>
    <w:rsid w:val="00036ABA"/>
    <w:rsid w:val="00041B8D"/>
    <w:rsid w:val="0004216F"/>
    <w:rsid w:val="00042CD2"/>
    <w:rsid w:val="00043309"/>
    <w:rsid w:val="0004521E"/>
    <w:rsid w:val="000511E0"/>
    <w:rsid w:val="00053F33"/>
    <w:rsid w:val="00057BCF"/>
    <w:rsid w:val="00063AEA"/>
    <w:rsid w:val="000673E5"/>
    <w:rsid w:val="00067DF4"/>
    <w:rsid w:val="00075C49"/>
    <w:rsid w:val="000762FE"/>
    <w:rsid w:val="000800BB"/>
    <w:rsid w:val="000855BC"/>
    <w:rsid w:val="000A4E46"/>
    <w:rsid w:val="000A78C3"/>
    <w:rsid w:val="000B12D2"/>
    <w:rsid w:val="000B5581"/>
    <w:rsid w:val="000E0C01"/>
    <w:rsid w:val="000E1CC3"/>
    <w:rsid w:val="000E3B91"/>
    <w:rsid w:val="000E585A"/>
    <w:rsid w:val="001051CA"/>
    <w:rsid w:val="001109FB"/>
    <w:rsid w:val="00115C7F"/>
    <w:rsid w:val="00116A43"/>
    <w:rsid w:val="00122D36"/>
    <w:rsid w:val="00126962"/>
    <w:rsid w:val="0014207F"/>
    <w:rsid w:val="00144B48"/>
    <w:rsid w:val="0015140A"/>
    <w:rsid w:val="0015329C"/>
    <w:rsid w:val="0016263A"/>
    <w:rsid w:val="00164994"/>
    <w:rsid w:val="001729F1"/>
    <w:rsid w:val="0017633B"/>
    <w:rsid w:val="001912EA"/>
    <w:rsid w:val="001A1284"/>
    <w:rsid w:val="001A3C68"/>
    <w:rsid w:val="001A3F5F"/>
    <w:rsid w:val="001A50B3"/>
    <w:rsid w:val="001C6D2C"/>
    <w:rsid w:val="001C72D0"/>
    <w:rsid w:val="001D03D7"/>
    <w:rsid w:val="001D1D17"/>
    <w:rsid w:val="001D1E6C"/>
    <w:rsid w:val="001E2CAA"/>
    <w:rsid w:val="001E319A"/>
    <w:rsid w:val="001E3B1B"/>
    <w:rsid w:val="001E5796"/>
    <w:rsid w:val="001E6D40"/>
    <w:rsid w:val="001E6DF9"/>
    <w:rsid w:val="001F335A"/>
    <w:rsid w:val="001F4728"/>
    <w:rsid w:val="001F603F"/>
    <w:rsid w:val="002059A5"/>
    <w:rsid w:val="0021149E"/>
    <w:rsid w:val="0021156A"/>
    <w:rsid w:val="00217F49"/>
    <w:rsid w:val="00220D22"/>
    <w:rsid w:val="00234B41"/>
    <w:rsid w:val="00235465"/>
    <w:rsid w:val="002367FF"/>
    <w:rsid w:val="0024015C"/>
    <w:rsid w:val="002404BF"/>
    <w:rsid w:val="002432ED"/>
    <w:rsid w:val="0024785F"/>
    <w:rsid w:val="00251039"/>
    <w:rsid w:val="002569B2"/>
    <w:rsid w:val="0027187A"/>
    <w:rsid w:val="0027742E"/>
    <w:rsid w:val="00282820"/>
    <w:rsid w:val="00284A88"/>
    <w:rsid w:val="00286779"/>
    <w:rsid w:val="00287960"/>
    <w:rsid w:val="002928C1"/>
    <w:rsid w:val="002929AF"/>
    <w:rsid w:val="0029358C"/>
    <w:rsid w:val="002945ED"/>
    <w:rsid w:val="002946D3"/>
    <w:rsid w:val="002A226D"/>
    <w:rsid w:val="002B268A"/>
    <w:rsid w:val="002B4A00"/>
    <w:rsid w:val="002B79DA"/>
    <w:rsid w:val="002C0172"/>
    <w:rsid w:val="002C0A55"/>
    <w:rsid w:val="002C12E8"/>
    <w:rsid w:val="002C13A1"/>
    <w:rsid w:val="002C1906"/>
    <w:rsid w:val="002C2E66"/>
    <w:rsid w:val="002D23B2"/>
    <w:rsid w:val="002D3F6E"/>
    <w:rsid w:val="002D5B6C"/>
    <w:rsid w:val="002D5D96"/>
    <w:rsid w:val="002D6C43"/>
    <w:rsid w:val="002F0A55"/>
    <w:rsid w:val="002F38CC"/>
    <w:rsid w:val="00300855"/>
    <w:rsid w:val="00311557"/>
    <w:rsid w:val="00323973"/>
    <w:rsid w:val="00331F62"/>
    <w:rsid w:val="00340BD8"/>
    <w:rsid w:val="00342347"/>
    <w:rsid w:val="00351551"/>
    <w:rsid w:val="00353BA5"/>
    <w:rsid w:val="00365C3A"/>
    <w:rsid w:val="0036634E"/>
    <w:rsid w:val="0036739B"/>
    <w:rsid w:val="0037034A"/>
    <w:rsid w:val="003703C4"/>
    <w:rsid w:val="003741A6"/>
    <w:rsid w:val="00377A4F"/>
    <w:rsid w:val="00380C48"/>
    <w:rsid w:val="00385B71"/>
    <w:rsid w:val="0039025D"/>
    <w:rsid w:val="00392C0E"/>
    <w:rsid w:val="00392E36"/>
    <w:rsid w:val="00393341"/>
    <w:rsid w:val="0039377E"/>
    <w:rsid w:val="00394FAD"/>
    <w:rsid w:val="003964EB"/>
    <w:rsid w:val="00397C7A"/>
    <w:rsid w:val="003A5118"/>
    <w:rsid w:val="003B0793"/>
    <w:rsid w:val="003B6854"/>
    <w:rsid w:val="003C2B65"/>
    <w:rsid w:val="003C660C"/>
    <w:rsid w:val="003D1CA4"/>
    <w:rsid w:val="003D7C89"/>
    <w:rsid w:val="003F5A59"/>
    <w:rsid w:val="0040111A"/>
    <w:rsid w:val="00413A89"/>
    <w:rsid w:val="00420ABA"/>
    <w:rsid w:val="00423FBB"/>
    <w:rsid w:val="00425896"/>
    <w:rsid w:val="00425E72"/>
    <w:rsid w:val="00427D1C"/>
    <w:rsid w:val="004313D1"/>
    <w:rsid w:val="00433DB5"/>
    <w:rsid w:val="0043429B"/>
    <w:rsid w:val="00437584"/>
    <w:rsid w:val="00440AEE"/>
    <w:rsid w:val="004427D5"/>
    <w:rsid w:val="004510CB"/>
    <w:rsid w:val="004540CE"/>
    <w:rsid w:val="004551E9"/>
    <w:rsid w:val="00455ABD"/>
    <w:rsid w:val="0046532E"/>
    <w:rsid w:val="00467F23"/>
    <w:rsid w:val="00475BA8"/>
    <w:rsid w:val="00476B88"/>
    <w:rsid w:val="00477DD5"/>
    <w:rsid w:val="00487B73"/>
    <w:rsid w:val="00490F19"/>
    <w:rsid w:val="00496696"/>
    <w:rsid w:val="0049794F"/>
    <w:rsid w:val="004A01B1"/>
    <w:rsid w:val="004A2F9C"/>
    <w:rsid w:val="004B3FA8"/>
    <w:rsid w:val="004B538E"/>
    <w:rsid w:val="004B5B89"/>
    <w:rsid w:val="004C31F3"/>
    <w:rsid w:val="004C7E10"/>
    <w:rsid w:val="004D4223"/>
    <w:rsid w:val="004D533B"/>
    <w:rsid w:val="004D7D3D"/>
    <w:rsid w:val="004E00A2"/>
    <w:rsid w:val="004E3CB1"/>
    <w:rsid w:val="004F09AB"/>
    <w:rsid w:val="004F3072"/>
    <w:rsid w:val="004F5A1F"/>
    <w:rsid w:val="00500C9C"/>
    <w:rsid w:val="005012A6"/>
    <w:rsid w:val="005041B0"/>
    <w:rsid w:val="00505B41"/>
    <w:rsid w:val="005069E6"/>
    <w:rsid w:val="00507DFC"/>
    <w:rsid w:val="00510880"/>
    <w:rsid w:val="005111A8"/>
    <w:rsid w:val="00511594"/>
    <w:rsid w:val="0051547C"/>
    <w:rsid w:val="00534501"/>
    <w:rsid w:val="00534692"/>
    <w:rsid w:val="00534F5C"/>
    <w:rsid w:val="005437C2"/>
    <w:rsid w:val="005524FC"/>
    <w:rsid w:val="0055616E"/>
    <w:rsid w:val="00566921"/>
    <w:rsid w:val="00572813"/>
    <w:rsid w:val="00574933"/>
    <w:rsid w:val="00576DDE"/>
    <w:rsid w:val="005773EC"/>
    <w:rsid w:val="00583C0A"/>
    <w:rsid w:val="005871E5"/>
    <w:rsid w:val="00593342"/>
    <w:rsid w:val="005A2CA7"/>
    <w:rsid w:val="005A385C"/>
    <w:rsid w:val="005A71C2"/>
    <w:rsid w:val="005B4194"/>
    <w:rsid w:val="005C4869"/>
    <w:rsid w:val="005C6AC0"/>
    <w:rsid w:val="005D6D9B"/>
    <w:rsid w:val="005E17E9"/>
    <w:rsid w:val="005E5FCF"/>
    <w:rsid w:val="005E70D4"/>
    <w:rsid w:val="005E71CD"/>
    <w:rsid w:val="005F091B"/>
    <w:rsid w:val="0060270E"/>
    <w:rsid w:val="00606799"/>
    <w:rsid w:val="006169B7"/>
    <w:rsid w:val="006227F4"/>
    <w:rsid w:val="00622E74"/>
    <w:rsid w:val="00630963"/>
    <w:rsid w:val="00631427"/>
    <w:rsid w:val="0063209F"/>
    <w:rsid w:val="00633CE0"/>
    <w:rsid w:val="00633E69"/>
    <w:rsid w:val="00637087"/>
    <w:rsid w:val="00654037"/>
    <w:rsid w:val="00654EFC"/>
    <w:rsid w:val="006643F3"/>
    <w:rsid w:val="00665A3E"/>
    <w:rsid w:val="006660A0"/>
    <w:rsid w:val="00667310"/>
    <w:rsid w:val="0067781D"/>
    <w:rsid w:val="006813AE"/>
    <w:rsid w:val="006831A6"/>
    <w:rsid w:val="00683D9B"/>
    <w:rsid w:val="0068590A"/>
    <w:rsid w:val="00690BFF"/>
    <w:rsid w:val="0069414B"/>
    <w:rsid w:val="006943F7"/>
    <w:rsid w:val="0069722A"/>
    <w:rsid w:val="00697238"/>
    <w:rsid w:val="00697B59"/>
    <w:rsid w:val="006A2809"/>
    <w:rsid w:val="006A6F13"/>
    <w:rsid w:val="006B0A80"/>
    <w:rsid w:val="006B0AE0"/>
    <w:rsid w:val="006B12E9"/>
    <w:rsid w:val="006B1D36"/>
    <w:rsid w:val="006B41FB"/>
    <w:rsid w:val="006C6F09"/>
    <w:rsid w:val="006D1164"/>
    <w:rsid w:val="006D34FA"/>
    <w:rsid w:val="006D51AE"/>
    <w:rsid w:val="006D6D76"/>
    <w:rsid w:val="006D795F"/>
    <w:rsid w:val="006E3FD5"/>
    <w:rsid w:val="006E4781"/>
    <w:rsid w:val="006E6084"/>
    <w:rsid w:val="006E70B0"/>
    <w:rsid w:val="006E7D07"/>
    <w:rsid w:val="006E7DB2"/>
    <w:rsid w:val="006F545F"/>
    <w:rsid w:val="00714FDF"/>
    <w:rsid w:val="007203E4"/>
    <w:rsid w:val="00724AFE"/>
    <w:rsid w:val="007278BE"/>
    <w:rsid w:val="0072797C"/>
    <w:rsid w:val="0073219D"/>
    <w:rsid w:val="00737A4B"/>
    <w:rsid w:val="00744EFE"/>
    <w:rsid w:val="0074743D"/>
    <w:rsid w:val="00751734"/>
    <w:rsid w:val="00751A80"/>
    <w:rsid w:val="007532DB"/>
    <w:rsid w:val="00757B41"/>
    <w:rsid w:val="00764937"/>
    <w:rsid w:val="00774920"/>
    <w:rsid w:val="00776C4E"/>
    <w:rsid w:val="00781D05"/>
    <w:rsid w:val="00784A43"/>
    <w:rsid w:val="00786C85"/>
    <w:rsid w:val="00792AAB"/>
    <w:rsid w:val="00795D6B"/>
    <w:rsid w:val="00797DB6"/>
    <w:rsid w:val="007A6A09"/>
    <w:rsid w:val="007B4F1E"/>
    <w:rsid w:val="007C3243"/>
    <w:rsid w:val="007C694F"/>
    <w:rsid w:val="007C7670"/>
    <w:rsid w:val="007D29F6"/>
    <w:rsid w:val="007E46FC"/>
    <w:rsid w:val="007F1C68"/>
    <w:rsid w:val="007F1E93"/>
    <w:rsid w:val="0080110E"/>
    <w:rsid w:val="00801396"/>
    <w:rsid w:val="00807B18"/>
    <w:rsid w:val="00810929"/>
    <w:rsid w:val="00811D36"/>
    <w:rsid w:val="00817FFA"/>
    <w:rsid w:val="00821342"/>
    <w:rsid w:val="008222A5"/>
    <w:rsid w:val="00826D02"/>
    <w:rsid w:val="008303FF"/>
    <w:rsid w:val="00835875"/>
    <w:rsid w:val="0083739F"/>
    <w:rsid w:val="00837F1D"/>
    <w:rsid w:val="00840AEA"/>
    <w:rsid w:val="00841B9A"/>
    <w:rsid w:val="00842E4F"/>
    <w:rsid w:val="008501B6"/>
    <w:rsid w:val="0085130F"/>
    <w:rsid w:val="0085182D"/>
    <w:rsid w:val="0085300B"/>
    <w:rsid w:val="00854465"/>
    <w:rsid w:val="00855C7F"/>
    <w:rsid w:val="00856AE6"/>
    <w:rsid w:val="00862E81"/>
    <w:rsid w:val="0086413B"/>
    <w:rsid w:val="0087093F"/>
    <w:rsid w:val="00876DC3"/>
    <w:rsid w:val="00882405"/>
    <w:rsid w:val="00886AFB"/>
    <w:rsid w:val="00890C4B"/>
    <w:rsid w:val="00896FA9"/>
    <w:rsid w:val="00897851"/>
    <w:rsid w:val="008A60E1"/>
    <w:rsid w:val="008A743F"/>
    <w:rsid w:val="008A7ACB"/>
    <w:rsid w:val="008D5BB7"/>
    <w:rsid w:val="008D5D9F"/>
    <w:rsid w:val="008E2C11"/>
    <w:rsid w:val="008E6C0A"/>
    <w:rsid w:val="008E7DBB"/>
    <w:rsid w:val="008F0B6C"/>
    <w:rsid w:val="008F3EB3"/>
    <w:rsid w:val="00902563"/>
    <w:rsid w:val="00903DE1"/>
    <w:rsid w:val="0091210C"/>
    <w:rsid w:val="00916D4A"/>
    <w:rsid w:val="00922839"/>
    <w:rsid w:val="00924BAA"/>
    <w:rsid w:val="00925B01"/>
    <w:rsid w:val="00935852"/>
    <w:rsid w:val="00944737"/>
    <w:rsid w:val="00944F3E"/>
    <w:rsid w:val="00951BEC"/>
    <w:rsid w:val="00953BA6"/>
    <w:rsid w:val="00954D0F"/>
    <w:rsid w:val="009605C6"/>
    <w:rsid w:val="00961451"/>
    <w:rsid w:val="00962D38"/>
    <w:rsid w:val="00967835"/>
    <w:rsid w:val="009713C3"/>
    <w:rsid w:val="00972D5F"/>
    <w:rsid w:val="00973BC6"/>
    <w:rsid w:val="00977B99"/>
    <w:rsid w:val="0098218B"/>
    <w:rsid w:val="00983EB4"/>
    <w:rsid w:val="00985460"/>
    <w:rsid w:val="00994738"/>
    <w:rsid w:val="00994EB3"/>
    <w:rsid w:val="00996393"/>
    <w:rsid w:val="009A2833"/>
    <w:rsid w:val="009A7DC1"/>
    <w:rsid w:val="009B0E2C"/>
    <w:rsid w:val="009B3AF1"/>
    <w:rsid w:val="009B46DE"/>
    <w:rsid w:val="009B7C77"/>
    <w:rsid w:val="009C2646"/>
    <w:rsid w:val="009D39EB"/>
    <w:rsid w:val="009D5A1F"/>
    <w:rsid w:val="009E1270"/>
    <w:rsid w:val="009E4841"/>
    <w:rsid w:val="009E5152"/>
    <w:rsid w:val="009F0E48"/>
    <w:rsid w:val="009F3558"/>
    <w:rsid w:val="009F3E26"/>
    <w:rsid w:val="009F5412"/>
    <w:rsid w:val="009F5744"/>
    <w:rsid w:val="00A00AA1"/>
    <w:rsid w:val="00A01427"/>
    <w:rsid w:val="00A02E07"/>
    <w:rsid w:val="00A02FEA"/>
    <w:rsid w:val="00A0470C"/>
    <w:rsid w:val="00A07028"/>
    <w:rsid w:val="00A10C0B"/>
    <w:rsid w:val="00A12D6E"/>
    <w:rsid w:val="00A134EA"/>
    <w:rsid w:val="00A23B56"/>
    <w:rsid w:val="00A30623"/>
    <w:rsid w:val="00A31870"/>
    <w:rsid w:val="00A338CE"/>
    <w:rsid w:val="00A35478"/>
    <w:rsid w:val="00A35D68"/>
    <w:rsid w:val="00A42DB7"/>
    <w:rsid w:val="00A50328"/>
    <w:rsid w:val="00A51F55"/>
    <w:rsid w:val="00A57338"/>
    <w:rsid w:val="00A732C2"/>
    <w:rsid w:val="00A7340F"/>
    <w:rsid w:val="00A931CF"/>
    <w:rsid w:val="00AA4131"/>
    <w:rsid w:val="00AB3296"/>
    <w:rsid w:val="00AB7BBC"/>
    <w:rsid w:val="00AC233B"/>
    <w:rsid w:val="00AD0FAD"/>
    <w:rsid w:val="00AD1D90"/>
    <w:rsid w:val="00AD26B3"/>
    <w:rsid w:val="00AD6231"/>
    <w:rsid w:val="00AD73FC"/>
    <w:rsid w:val="00AE046B"/>
    <w:rsid w:val="00AE22A1"/>
    <w:rsid w:val="00AE50AF"/>
    <w:rsid w:val="00AE69E6"/>
    <w:rsid w:val="00AF37C2"/>
    <w:rsid w:val="00AF601E"/>
    <w:rsid w:val="00AF6104"/>
    <w:rsid w:val="00B07281"/>
    <w:rsid w:val="00B20E5D"/>
    <w:rsid w:val="00B25646"/>
    <w:rsid w:val="00B3581E"/>
    <w:rsid w:val="00B42ADD"/>
    <w:rsid w:val="00B45514"/>
    <w:rsid w:val="00B5240A"/>
    <w:rsid w:val="00B546A4"/>
    <w:rsid w:val="00B60C47"/>
    <w:rsid w:val="00B6511C"/>
    <w:rsid w:val="00B75548"/>
    <w:rsid w:val="00B763EF"/>
    <w:rsid w:val="00B806E1"/>
    <w:rsid w:val="00B80CA7"/>
    <w:rsid w:val="00B82FEE"/>
    <w:rsid w:val="00B8302C"/>
    <w:rsid w:val="00B85C3A"/>
    <w:rsid w:val="00B876EC"/>
    <w:rsid w:val="00B94739"/>
    <w:rsid w:val="00BA01AD"/>
    <w:rsid w:val="00BA0F1A"/>
    <w:rsid w:val="00BA4E60"/>
    <w:rsid w:val="00BA6A85"/>
    <w:rsid w:val="00BB2078"/>
    <w:rsid w:val="00BB23F1"/>
    <w:rsid w:val="00BB2BC7"/>
    <w:rsid w:val="00BB6C51"/>
    <w:rsid w:val="00BD0664"/>
    <w:rsid w:val="00BE331E"/>
    <w:rsid w:val="00BF30D8"/>
    <w:rsid w:val="00BF356D"/>
    <w:rsid w:val="00BF7C8C"/>
    <w:rsid w:val="00C00270"/>
    <w:rsid w:val="00C00E35"/>
    <w:rsid w:val="00C01D9F"/>
    <w:rsid w:val="00C02AE2"/>
    <w:rsid w:val="00C04B42"/>
    <w:rsid w:val="00C06165"/>
    <w:rsid w:val="00C07206"/>
    <w:rsid w:val="00C10449"/>
    <w:rsid w:val="00C10777"/>
    <w:rsid w:val="00C108A8"/>
    <w:rsid w:val="00C13315"/>
    <w:rsid w:val="00C1427A"/>
    <w:rsid w:val="00C25FEF"/>
    <w:rsid w:val="00C265B9"/>
    <w:rsid w:val="00C26E19"/>
    <w:rsid w:val="00C32CDC"/>
    <w:rsid w:val="00C344C7"/>
    <w:rsid w:val="00C433E9"/>
    <w:rsid w:val="00C4342B"/>
    <w:rsid w:val="00C440D8"/>
    <w:rsid w:val="00C4552F"/>
    <w:rsid w:val="00C539F0"/>
    <w:rsid w:val="00C569AA"/>
    <w:rsid w:val="00C56F64"/>
    <w:rsid w:val="00C579CE"/>
    <w:rsid w:val="00C6127C"/>
    <w:rsid w:val="00C65FC7"/>
    <w:rsid w:val="00C66F65"/>
    <w:rsid w:val="00C7563D"/>
    <w:rsid w:val="00C767BB"/>
    <w:rsid w:val="00C76C91"/>
    <w:rsid w:val="00C76D4B"/>
    <w:rsid w:val="00C850BD"/>
    <w:rsid w:val="00C86397"/>
    <w:rsid w:val="00C9375E"/>
    <w:rsid w:val="00C94E13"/>
    <w:rsid w:val="00C967C0"/>
    <w:rsid w:val="00C97B03"/>
    <w:rsid w:val="00CA1C85"/>
    <w:rsid w:val="00CA1CA7"/>
    <w:rsid w:val="00CA33C8"/>
    <w:rsid w:val="00CB27D1"/>
    <w:rsid w:val="00CB7829"/>
    <w:rsid w:val="00CC2267"/>
    <w:rsid w:val="00CD1A51"/>
    <w:rsid w:val="00CD1E1C"/>
    <w:rsid w:val="00CD2BCA"/>
    <w:rsid w:val="00CD5140"/>
    <w:rsid w:val="00CE01AF"/>
    <w:rsid w:val="00CE5DE7"/>
    <w:rsid w:val="00CE709A"/>
    <w:rsid w:val="00CE7E9C"/>
    <w:rsid w:val="00CF153D"/>
    <w:rsid w:val="00CF3963"/>
    <w:rsid w:val="00CF5320"/>
    <w:rsid w:val="00D02B7D"/>
    <w:rsid w:val="00D03A50"/>
    <w:rsid w:val="00D049A5"/>
    <w:rsid w:val="00D10062"/>
    <w:rsid w:val="00D15992"/>
    <w:rsid w:val="00D15FDA"/>
    <w:rsid w:val="00D17BF1"/>
    <w:rsid w:val="00D17CFA"/>
    <w:rsid w:val="00D2120B"/>
    <w:rsid w:val="00D22333"/>
    <w:rsid w:val="00D41AAB"/>
    <w:rsid w:val="00D433A3"/>
    <w:rsid w:val="00D44B5D"/>
    <w:rsid w:val="00D52EFE"/>
    <w:rsid w:val="00D53C38"/>
    <w:rsid w:val="00D53ED8"/>
    <w:rsid w:val="00D612E7"/>
    <w:rsid w:val="00D634B0"/>
    <w:rsid w:val="00D6360D"/>
    <w:rsid w:val="00D70AD8"/>
    <w:rsid w:val="00D70F60"/>
    <w:rsid w:val="00D72034"/>
    <w:rsid w:val="00D739F0"/>
    <w:rsid w:val="00D83DDC"/>
    <w:rsid w:val="00D84752"/>
    <w:rsid w:val="00D90994"/>
    <w:rsid w:val="00D926EF"/>
    <w:rsid w:val="00DA101B"/>
    <w:rsid w:val="00DA1CAF"/>
    <w:rsid w:val="00DA36A7"/>
    <w:rsid w:val="00DA39A5"/>
    <w:rsid w:val="00DA610E"/>
    <w:rsid w:val="00DB312C"/>
    <w:rsid w:val="00DB6E61"/>
    <w:rsid w:val="00DB7F10"/>
    <w:rsid w:val="00DC1A25"/>
    <w:rsid w:val="00DC2BF9"/>
    <w:rsid w:val="00DC2F98"/>
    <w:rsid w:val="00DC4F3A"/>
    <w:rsid w:val="00DC59DB"/>
    <w:rsid w:val="00DC7763"/>
    <w:rsid w:val="00DD03B8"/>
    <w:rsid w:val="00DD1196"/>
    <w:rsid w:val="00DD4080"/>
    <w:rsid w:val="00DE121A"/>
    <w:rsid w:val="00DE37C6"/>
    <w:rsid w:val="00DE3ACA"/>
    <w:rsid w:val="00DE4D67"/>
    <w:rsid w:val="00DE6C1A"/>
    <w:rsid w:val="00DF7412"/>
    <w:rsid w:val="00E01D83"/>
    <w:rsid w:val="00E15952"/>
    <w:rsid w:val="00E167A8"/>
    <w:rsid w:val="00E17C2E"/>
    <w:rsid w:val="00E230F9"/>
    <w:rsid w:val="00E25C51"/>
    <w:rsid w:val="00E33CBF"/>
    <w:rsid w:val="00E37865"/>
    <w:rsid w:val="00E4060A"/>
    <w:rsid w:val="00E4412E"/>
    <w:rsid w:val="00E5184C"/>
    <w:rsid w:val="00E5380B"/>
    <w:rsid w:val="00E5386D"/>
    <w:rsid w:val="00E62686"/>
    <w:rsid w:val="00E63C08"/>
    <w:rsid w:val="00E672B3"/>
    <w:rsid w:val="00E673D9"/>
    <w:rsid w:val="00E70AB1"/>
    <w:rsid w:val="00E7452A"/>
    <w:rsid w:val="00E824D4"/>
    <w:rsid w:val="00E82CC7"/>
    <w:rsid w:val="00E82EC9"/>
    <w:rsid w:val="00E8302F"/>
    <w:rsid w:val="00E90BEF"/>
    <w:rsid w:val="00E92837"/>
    <w:rsid w:val="00E959F1"/>
    <w:rsid w:val="00EA00D5"/>
    <w:rsid w:val="00EB0F98"/>
    <w:rsid w:val="00EB536E"/>
    <w:rsid w:val="00EC2697"/>
    <w:rsid w:val="00EC3417"/>
    <w:rsid w:val="00EC65E1"/>
    <w:rsid w:val="00EC66A6"/>
    <w:rsid w:val="00ED0519"/>
    <w:rsid w:val="00ED2A5D"/>
    <w:rsid w:val="00ED332A"/>
    <w:rsid w:val="00EE3E36"/>
    <w:rsid w:val="00EF29E0"/>
    <w:rsid w:val="00EF324A"/>
    <w:rsid w:val="00EF6A9A"/>
    <w:rsid w:val="00F006D1"/>
    <w:rsid w:val="00F049FE"/>
    <w:rsid w:val="00F10223"/>
    <w:rsid w:val="00F1509F"/>
    <w:rsid w:val="00F15AFC"/>
    <w:rsid w:val="00F30C69"/>
    <w:rsid w:val="00F342DB"/>
    <w:rsid w:val="00F36E62"/>
    <w:rsid w:val="00F5047A"/>
    <w:rsid w:val="00F560CA"/>
    <w:rsid w:val="00F570BD"/>
    <w:rsid w:val="00F640D2"/>
    <w:rsid w:val="00F659B5"/>
    <w:rsid w:val="00F743AC"/>
    <w:rsid w:val="00F80B51"/>
    <w:rsid w:val="00F873FC"/>
    <w:rsid w:val="00F92714"/>
    <w:rsid w:val="00F951B5"/>
    <w:rsid w:val="00F973DB"/>
    <w:rsid w:val="00FB2301"/>
    <w:rsid w:val="00FC6277"/>
    <w:rsid w:val="00FC79CE"/>
    <w:rsid w:val="00FD43D1"/>
    <w:rsid w:val="00FD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88DE952"/>
  <w15:docId w15:val="{2E8AFE9F-EB12-4926-8D5B-83239F8A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next w:val="Normal"/>
    <w:autoRedefine/>
    <w:rsid w:val="00036ABA"/>
    <w:pPr>
      <w:numPr>
        <w:numId w:val="31"/>
      </w:numPr>
      <w:outlineLvl w:val="0"/>
    </w:pPr>
    <w:rPr>
      <w:rFonts w:ascii="Times New Roman" w:eastAsia="Times New Roman" w:hAnsi="Times New Roman" w:cs="Times New Roman"/>
      <w:b/>
      <w:smallCaps/>
      <w:color w:val="auto"/>
    </w:rPr>
  </w:style>
  <w:style w:type="paragraph" w:styleId="Heading2">
    <w:name w:val="heading 2"/>
    <w:next w:val="Normal"/>
    <w:rsid w:val="00F973DB"/>
    <w:pPr>
      <w:outlineLvl w:val="1"/>
    </w:pPr>
    <w:rPr>
      <w:rFonts w:ascii="Times New Roman" w:eastAsia="Times New Roman" w:hAnsi="Times New Roman" w:cs="Times New Roman"/>
      <w:i/>
      <w:color w:val="666666"/>
      <w:sz w:val="24"/>
      <w:szCs w:val="24"/>
    </w:rPr>
  </w:style>
  <w:style w:type="paragraph" w:styleId="Heading3">
    <w:name w:val="heading 3"/>
    <w:next w:val="Normal"/>
    <w:rsid w:val="00413A89"/>
    <w:pPr>
      <w:numPr>
        <w:ilvl w:val="2"/>
        <w:numId w:val="11"/>
      </w:numPr>
      <w:jc w:val="both"/>
      <w:outlineLvl w:val="2"/>
    </w:pPr>
    <w:rPr>
      <w:rFonts w:ascii="Times New Roman" w:eastAsia="Times New Roman" w:hAnsi="Times New Roman" w:cs="Times New Roman"/>
      <w:i/>
      <w:color w:val="666666"/>
      <w:sz w:val="24"/>
      <w:szCs w:val="24"/>
    </w:rPr>
  </w:style>
  <w:style w:type="paragraph" w:styleId="Heading4">
    <w:name w:val="heading 4"/>
    <w:basedOn w:val="Normal"/>
    <w:next w:val="Normal"/>
    <w:pPr>
      <w:keepNext/>
      <w:keepLines/>
      <w:numPr>
        <w:ilvl w:val="3"/>
        <w:numId w:val="11"/>
      </w:numPr>
      <w:spacing w:before="280" w:after="80"/>
      <w:outlineLvl w:val="3"/>
    </w:pPr>
    <w:rPr>
      <w:color w:val="666666"/>
      <w:sz w:val="24"/>
      <w:szCs w:val="24"/>
    </w:rPr>
  </w:style>
  <w:style w:type="paragraph" w:styleId="Heading5">
    <w:name w:val="heading 5"/>
    <w:basedOn w:val="Normal"/>
    <w:next w:val="Normal"/>
    <w:pPr>
      <w:keepNext/>
      <w:keepLines/>
      <w:numPr>
        <w:ilvl w:val="4"/>
        <w:numId w:val="11"/>
      </w:numPr>
      <w:spacing w:before="240" w:after="80"/>
      <w:outlineLvl w:val="4"/>
    </w:pPr>
    <w:rPr>
      <w:color w:val="666666"/>
    </w:rPr>
  </w:style>
  <w:style w:type="paragraph" w:styleId="Heading6">
    <w:name w:val="heading 6"/>
    <w:basedOn w:val="Normal"/>
    <w:next w:val="Normal"/>
    <w:pPr>
      <w:keepNext/>
      <w:keepLines/>
      <w:numPr>
        <w:ilvl w:val="5"/>
        <w:numId w:val="11"/>
      </w:numPr>
      <w:spacing w:before="240" w:after="80"/>
      <w:outlineLvl w:val="5"/>
    </w:pPr>
    <w:rPr>
      <w:i/>
      <w:color w:val="666666"/>
    </w:rPr>
  </w:style>
  <w:style w:type="paragraph" w:styleId="Heading7">
    <w:name w:val="heading 7"/>
    <w:basedOn w:val="Normal"/>
    <w:next w:val="Normal"/>
    <w:link w:val="Heading7Char"/>
    <w:uiPriority w:val="9"/>
    <w:unhideWhenUsed/>
    <w:qFormat/>
    <w:rsid w:val="00B85C3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65C3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73DB"/>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D3F6E"/>
    <w:rPr>
      <w:rFonts w:ascii="Times New Roman" w:eastAsia="Times New Roman" w:hAnsi="Times New Roman" w:cs="Times New Roman"/>
      <w:b/>
      <w:caps/>
      <w:sz w:val="28"/>
      <w:szCs w:val="28"/>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5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81"/>
    <w:rPr>
      <w:rFonts w:ascii="Segoe UI" w:hAnsi="Segoe UI" w:cs="Segoe UI"/>
      <w:sz w:val="18"/>
      <w:szCs w:val="18"/>
    </w:rPr>
  </w:style>
  <w:style w:type="character" w:styleId="Hyperlink">
    <w:name w:val="Hyperlink"/>
    <w:basedOn w:val="DefaultParagraphFont"/>
    <w:uiPriority w:val="99"/>
    <w:unhideWhenUsed/>
    <w:rsid w:val="006B0A8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35D68"/>
    <w:rPr>
      <w:b/>
      <w:bCs/>
    </w:rPr>
  </w:style>
  <w:style w:type="character" w:customStyle="1" w:styleId="CommentSubjectChar">
    <w:name w:val="Comment Subject Char"/>
    <w:basedOn w:val="CommentTextChar"/>
    <w:link w:val="CommentSubject"/>
    <w:uiPriority w:val="99"/>
    <w:semiHidden/>
    <w:rsid w:val="00A35D68"/>
    <w:rPr>
      <w:b/>
      <w:bCs/>
      <w:sz w:val="20"/>
      <w:szCs w:val="20"/>
    </w:rPr>
  </w:style>
  <w:style w:type="paragraph" w:styleId="FootnoteText">
    <w:name w:val="footnote text"/>
    <w:basedOn w:val="Normal"/>
    <w:link w:val="FootnoteTextChar"/>
    <w:uiPriority w:val="99"/>
    <w:unhideWhenUsed/>
    <w:rsid w:val="00FD43D1"/>
    <w:pPr>
      <w:spacing w:line="240" w:lineRule="auto"/>
    </w:pPr>
    <w:rPr>
      <w:sz w:val="20"/>
      <w:szCs w:val="20"/>
    </w:rPr>
  </w:style>
  <w:style w:type="character" w:customStyle="1" w:styleId="FootnoteTextChar">
    <w:name w:val="Footnote Text Char"/>
    <w:basedOn w:val="DefaultParagraphFont"/>
    <w:link w:val="FootnoteText"/>
    <w:uiPriority w:val="99"/>
    <w:rsid w:val="00FD43D1"/>
    <w:rPr>
      <w:sz w:val="20"/>
      <w:szCs w:val="20"/>
    </w:rPr>
  </w:style>
  <w:style w:type="character" w:styleId="FootnoteReference">
    <w:name w:val="footnote reference"/>
    <w:basedOn w:val="DefaultParagraphFont"/>
    <w:uiPriority w:val="99"/>
    <w:unhideWhenUsed/>
    <w:rsid w:val="00FD43D1"/>
    <w:rPr>
      <w:vertAlign w:val="superscript"/>
    </w:rPr>
  </w:style>
  <w:style w:type="character" w:customStyle="1" w:styleId="Heading7Char">
    <w:name w:val="Heading 7 Char"/>
    <w:basedOn w:val="DefaultParagraphFont"/>
    <w:link w:val="Heading7"/>
    <w:uiPriority w:val="9"/>
    <w:rsid w:val="00B85C3A"/>
    <w:rPr>
      <w:rFonts w:asciiTheme="majorHAnsi" w:eastAsiaTheme="majorEastAsia" w:hAnsiTheme="majorHAnsi" w:cstheme="majorBidi"/>
      <w:i/>
      <w:iCs/>
      <w:color w:val="1F4D78" w:themeColor="accent1" w:themeShade="7F"/>
    </w:rPr>
  </w:style>
  <w:style w:type="paragraph" w:styleId="NoSpacing">
    <w:name w:val="No Spacing"/>
    <w:uiPriority w:val="1"/>
    <w:qFormat/>
    <w:rsid w:val="00B85C3A"/>
    <w:pPr>
      <w:spacing w:line="240" w:lineRule="auto"/>
    </w:pPr>
  </w:style>
  <w:style w:type="paragraph" w:customStyle="1" w:styleId="EndNoteBibliographyTitle">
    <w:name w:val="EndNote Bibliography Title"/>
    <w:basedOn w:val="Normal"/>
    <w:rsid w:val="00925B01"/>
    <w:pPr>
      <w:jc w:val="center"/>
    </w:pPr>
    <w:rPr>
      <w:rFonts w:ascii="Times New Roman" w:hAnsi="Times New Roman" w:cs="Times New Roman"/>
    </w:rPr>
  </w:style>
  <w:style w:type="paragraph" w:customStyle="1" w:styleId="EndNoteBibliography">
    <w:name w:val="EndNote Bibliography"/>
    <w:basedOn w:val="Normal"/>
    <w:rsid w:val="00925B01"/>
    <w:pPr>
      <w:spacing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251039"/>
    <w:rPr>
      <w:color w:val="954F72" w:themeColor="followedHyperlink"/>
      <w:u w:val="single"/>
    </w:rPr>
  </w:style>
  <w:style w:type="paragraph" w:styleId="Caption">
    <w:name w:val="caption"/>
    <w:basedOn w:val="Normal"/>
    <w:next w:val="Normal"/>
    <w:uiPriority w:val="35"/>
    <w:unhideWhenUsed/>
    <w:qFormat/>
    <w:rsid w:val="00C10777"/>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9D39EB"/>
    <w:pPr>
      <w:spacing w:before="120"/>
    </w:pPr>
    <w:rPr>
      <w:rFonts w:asciiTheme="minorHAnsi" w:hAnsiTheme="minorHAnsi"/>
      <w:b/>
      <w:bCs/>
    </w:rPr>
  </w:style>
  <w:style w:type="paragraph" w:styleId="TOC2">
    <w:name w:val="toc 2"/>
    <w:basedOn w:val="Normal"/>
    <w:next w:val="Normal"/>
    <w:autoRedefine/>
    <w:uiPriority w:val="39"/>
    <w:unhideWhenUsed/>
    <w:rsid w:val="009D39EB"/>
    <w:pPr>
      <w:ind w:left="220"/>
    </w:pPr>
    <w:rPr>
      <w:rFonts w:asciiTheme="minorHAnsi" w:hAnsiTheme="minorHAnsi"/>
      <w:i/>
      <w:iCs/>
    </w:rPr>
  </w:style>
  <w:style w:type="paragraph" w:styleId="TOC3">
    <w:name w:val="toc 3"/>
    <w:basedOn w:val="Normal"/>
    <w:next w:val="Normal"/>
    <w:autoRedefine/>
    <w:uiPriority w:val="39"/>
    <w:unhideWhenUsed/>
    <w:rsid w:val="009D39EB"/>
    <w:pPr>
      <w:ind w:left="440"/>
    </w:pPr>
    <w:rPr>
      <w:rFonts w:asciiTheme="minorHAnsi" w:hAnsiTheme="minorHAnsi"/>
    </w:rPr>
  </w:style>
  <w:style w:type="paragraph" w:styleId="TOC4">
    <w:name w:val="toc 4"/>
    <w:basedOn w:val="Normal"/>
    <w:next w:val="Normal"/>
    <w:autoRedefine/>
    <w:uiPriority w:val="39"/>
    <w:unhideWhenUsed/>
    <w:rsid w:val="009D39EB"/>
    <w:pPr>
      <w:ind w:left="660"/>
    </w:pPr>
    <w:rPr>
      <w:rFonts w:asciiTheme="minorHAnsi" w:hAnsiTheme="minorHAnsi"/>
      <w:sz w:val="20"/>
      <w:szCs w:val="20"/>
    </w:rPr>
  </w:style>
  <w:style w:type="paragraph" w:styleId="TOC5">
    <w:name w:val="toc 5"/>
    <w:basedOn w:val="Normal"/>
    <w:next w:val="Normal"/>
    <w:autoRedefine/>
    <w:uiPriority w:val="39"/>
    <w:unhideWhenUsed/>
    <w:rsid w:val="009D39EB"/>
    <w:pPr>
      <w:ind w:left="880"/>
    </w:pPr>
    <w:rPr>
      <w:rFonts w:asciiTheme="minorHAnsi" w:hAnsiTheme="minorHAnsi"/>
      <w:sz w:val="20"/>
      <w:szCs w:val="20"/>
    </w:rPr>
  </w:style>
  <w:style w:type="paragraph" w:styleId="TOC6">
    <w:name w:val="toc 6"/>
    <w:basedOn w:val="Normal"/>
    <w:next w:val="Normal"/>
    <w:autoRedefine/>
    <w:uiPriority w:val="39"/>
    <w:unhideWhenUsed/>
    <w:rsid w:val="009D39EB"/>
    <w:pPr>
      <w:ind w:left="1100"/>
    </w:pPr>
    <w:rPr>
      <w:rFonts w:asciiTheme="minorHAnsi" w:hAnsiTheme="minorHAnsi"/>
      <w:sz w:val="20"/>
      <w:szCs w:val="20"/>
    </w:rPr>
  </w:style>
  <w:style w:type="paragraph" w:styleId="TOC7">
    <w:name w:val="toc 7"/>
    <w:basedOn w:val="Normal"/>
    <w:next w:val="Normal"/>
    <w:autoRedefine/>
    <w:uiPriority w:val="39"/>
    <w:unhideWhenUsed/>
    <w:rsid w:val="009D39EB"/>
    <w:pPr>
      <w:ind w:left="1320"/>
    </w:pPr>
    <w:rPr>
      <w:rFonts w:asciiTheme="minorHAnsi" w:hAnsiTheme="minorHAnsi"/>
      <w:sz w:val="20"/>
      <w:szCs w:val="20"/>
    </w:rPr>
  </w:style>
  <w:style w:type="paragraph" w:styleId="TOC8">
    <w:name w:val="toc 8"/>
    <w:basedOn w:val="Normal"/>
    <w:next w:val="Normal"/>
    <w:autoRedefine/>
    <w:uiPriority w:val="39"/>
    <w:unhideWhenUsed/>
    <w:rsid w:val="009D39EB"/>
    <w:pPr>
      <w:ind w:left="1540"/>
    </w:pPr>
    <w:rPr>
      <w:rFonts w:asciiTheme="minorHAnsi" w:hAnsiTheme="minorHAnsi"/>
      <w:sz w:val="20"/>
      <w:szCs w:val="20"/>
    </w:rPr>
  </w:style>
  <w:style w:type="paragraph" w:styleId="TOC9">
    <w:name w:val="toc 9"/>
    <w:basedOn w:val="Normal"/>
    <w:next w:val="Normal"/>
    <w:autoRedefine/>
    <w:uiPriority w:val="39"/>
    <w:unhideWhenUsed/>
    <w:rsid w:val="009D39EB"/>
    <w:pPr>
      <w:ind w:left="1760"/>
    </w:pPr>
    <w:rPr>
      <w:rFonts w:asciiTheme="minorHAnsi" w:hAnsiTheme="minorHAnsi"/>
      <w:sz w:val="20"/>
      <w:szCs w:val="20"/>
    </w:rPr>
  </w:style>
  <w:style w:type="paragraph" w:styleId="TOCHeading">
    <w:name w:val="TOC Heading"/>
    <w:basedOn w:val="Heading1"/>
    <w:next w:val="Normal"/>
    <w:uiPriority w:val="39"/>
    <w:unhideWhenUsed/>
    <w:qFormat/>
    <w:rsid w:val="009D39EB"/>
    <w:pPr>
      <w:pBdr>
        <w:top w:val="none" w:sz="0" w:space="0" w:color="auto"/>
        <w:left w:val="none" w:sz="0" w:space="0" w:color="auto"/>
        <w:bottom w:val="none" w:sz="0" w:space="0" w:color="auto"/>
        <w:right w:val="none" w:sz="0" w:space="0" w:color="auto"/>
        <w:between w:val="none" w:sz="0" w:space="0" w:color="auto"/>
      </w:pBdr>
      <w:spacing w:before="480"/>
      <w:outlineLvl w:val="9"/>
    </w:pPr>
    <w:rPr>
      <w:rFonts w:asciiTheme="majorHAnsi" w:eastAsiaTheme="majorEastAsia" w:hAnsiTheme="majorHAnsi" w:cstheme="majorBidi"/>
      <w:b w:val="0"/>
      <w:bCs/>
      <w:color w:val="2E74B5" w:themeColor="accent1" w:themeShade="BF"/>
      <w:sz w:val="28"/>
      <w:szCs w:val="28"/>
      <w:lang w:val="en-US" w:eastAsia="en-US"/>
    </w:rPr>
  </w:style>
  <w:style w:type="paragraph" w:styleId="ListParagraph">
    <w:name w:val="List Paragraph"/>
    <w:basedOn w:val="Normal"/>
    <w:uiPriority w:val="34"/>
    <w:qFormat/>
    <w:rsid w:val="00667310"/>
    <w:pPr>
      <w:ind w:left="720"/>
      <w:contextualSpacing/>
    </w:pPr>
  </w:style>
  <w:style w:type="paragraph" w:styleId="DocumentMap">
    <w:name w:val="Document Map"/>
    <w:basedOn w:val="Normal"/>
    <w:link w:val="DocumentMapChar"/>
    <w:uiPriority w:val="99"/>
    <w:semiHidden/>
    <w:unhideWhenUsed/>
    <w:rsid w:val="00487B73"/>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87B73"/>
    <w:rPr>
      <w:rFonts w:ascii="Times New Roman" w:hAnsi="Times New Roman" w:cs="Times New Roman"/>
      <w:sz w:val="24"/>
      <w:szCs w:val="24"/>
    </w:rPr>
  </w:style>
  <w:style w:type="paragraph" w:styleId="Revision">
    <w:name w:val="Revision"/>
    <w:hidden/>
    <w:uiPriority w:val="99"/>
    <w:semiHidden/>
    <w:rsid w:val="00BF7C8C"/>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Heading8Char">
    <w:name w:val="Heading 8 Char"/>
    <w:basedOn w:val="DefaultParagraphFont"/>
    <w:link w:val="Heading8"/>
    <w:uiPriority w:val="9"/>
    <w:rsid w:val="00365C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73DB"/>
    <w:rPr>
      <w:rFonts w:asciiTheme="majorHAnsi" w:eastAsiaTheme="majorEastAsia" w:hAnsiTheme="majorHAnsi" w:cstheme="majorBidi"/>
      <w:i/>
      <w:iCs/>
      <w:color w:val="272727" w:themeColor="text1" w:themeTint="D8"/>
      <w:sz w:val="21"/>
      <w:szCs w:val="21"/>
    </w:rPr>
  </w:style>
  <w:style w:type="paragraph" w:customStyle="1" w:styleId="Normal1">
    <w:name w:val="Normal1"/>
    <w:basedOn w:val="Normal"/>
    <w:rsid w:val="009B46D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D42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orbel" w:hAnsi="Corbel" w:cs="Corbel"/>
      <w:sz w:val="24"/>
      <w:szCs w:val="24"/>
    </w:rPr>
  </w:style>
  <w:style w:type="paragraph" w:styleId="Header">
    <w:name w:val="header"/>
    <w:basedOn w:val="Normal"/>
    <w:link w:val="HeaderChar"/>
    <w:uiPriority w:val="99"/>
    <w:semiHidden/>
    <w:unhideWhenUsed/>
    <w:rsid w:val="00C539F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539F0"/>
  </w:style>
  <w:style w:type="paragraph" w:styleId="Footer">
    <w:name w:val="footer"/>
    <w:basedOn w:val="Normal"/>
    <w:link w:val="FooterChar"/>
    <w:uiPriority w:val="99"/>
    <w:semiHidden/>
    <w:unhideWhenUsed/>
    <w:rsid w:val="00C539F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539F0"/>
  </w:style>
  <w:style w:type="paragraph" w:styleId="NormalWeb">
    <w:name w:val="Normal (Web)"/>
    <w:basedOn w:val="Normal"/>
    <w:uiPriority w:val="99"/>
    <w:unhideWhenUsed/>
    <w:rsid w:val="004F09A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3195">
      <w:bodyDiv w:val="1"/>
      <w:marLeft w:val="0"/>
      <w:marRight w:val="0"/>
      <w:marTop w:val="0"/>
      <w:marBottom w:val="0"/>
      <w:divBdr>
        <w:top w:val="none" w:sz="0" w:space="0" w:color="auto"/>
        <w:left w:val="none" w:sz="0" w:space="0" w:color="auto"/>
        <w:bottom w:val="none" w:sz="0" w:space="0" w:color="auto"/>
        <w:right w:val="none" w:sz="0" w:space="0" w:color="auto"/>
      </w:divBdr>
      <w:divsChild>
        <w:div w:id="733819854">
          <w:marLeft w:val="0"/>
          <w:marRight w:val="0"/>
          <w:marTop w:val="0"/>
          <w:marBottom w:val="0"/>
          <w:divBdr>
            <w:top w:val="none" w:sz="0" w:space="0" w:color="auto"/>
            <w:left w:val="none" w:sz="0" w:space="0" w:color="auto"/>
            <w:bottom w:val="none" w:sz="0" w:space="0" w:color="auto"/>
            <w:right w:val="none" w:sz="0" w:space="0" w:color="auto"/>
          </w:divBdr>
        </w:div>
        <w:div w:id="1623069305">
          <w:marLeft w:val="0"/>
          <w:marRight w:val="0"/>
          <w:marTop w:val="0"/>
          <w:marBottom w:val="0"/>
          <w:divBdr>
            <w:top w:val="none" w:sz="0" w:space="0" w:color="auto"/>
            <w:left w:val="none" w:sz="0" w:space="0" w:color="auto"/>
            <w:bottom w:val="none" w:sz="0" w:space="0" w:color="auto"/>
            <w:right w:val="none" w:sz="0" w:space="0" w:color="auto"/>
          </w:divBdr>
        </w:div>
        <w:div w:id="1758482847">
          <w:marLeft w:val="0"/>
          <w:marRight w:val="0"/>
          <w:marTop w:val="0"/>
          <w:marBottom w:val="0"/>
          <w:divBdr>
            <w:top w:val="none" w:sz="0" w:space="0" w:color="auto"/>
            <w:left w:val="none" w:sz="0" w:space="0" w:color="auto"/>
            <w:bottom w:val="none" w:sz="0" w:space="0" w:color="auto"/>
            <w:right w:val="none" w:sz="0" w:space="0" w:color="auto"/>
          </w:divBdr>
        </w:div>
      </w:divsChild>
    </w:div>
    <w:div w:id="161358966">
      <w:bodyDiv w:val="1"/>
      <w:marLeft w:val="0"/>
      <w:marRight w:val="0"/>
      <w:marTop w:val="0"/>
      <w:marBottom w:val="0"/>
      <w:divBdr>
        <w:top w:val="none" w:sz="0" w:space="0" w:color="auto"/>
        <w:left w:val="none" w:sz="0" w:space="0" w:color="auto"/>
        <w:bottom w:val="none" w:sz="0" w:space="0" w:color="auto"/>
        <w:right w:val="none" w:sz="0" w:space="0" w:color="auto"/>
      </w:divBdr>
    </w:div>
    <w:div w:id="369453840">
      <w:bodyDiv w:val="1"/>
      <w:marLeft w:val="0"/>
      <w:marRight w:val="0"/>
      <w:marTop w:val="0"/>
      <w:marBottom w:val="0"/>
      <w:divBdr>
        <w:top w:val="none" w:sz="0" w:space="0" w:color="auto"/>
        <w:left w:val="none" w:sz="0" w:space="0" w:color="auto"/>
        <w:bottom w:val="none" w:sz="0" w:space="0" w:color="auto"/>
        <w:right w:val="none" w:sz="0" w:space="0" w:color="auto"/>
      </w:divBdr>
    </w:div>
    <w:div w:id="615210717">
      <w:bodyDiv w:val="1"/>
      <w:marLeft w:val="0"/>
      <w:marRight w:val="0"/>
      <w:marTop w:val="0"/>
      <w:marBottom w:val="0"/>
      <w:divBdr>
        <w:top w:val="none" w:sz="0" w:space="0" w:color="auto"/>
        <w:left w:val="none" w:sz="0" w:space="0" w:color="auto"/>
        <w:bottom w:val="none" w:sz="0" w:space="0" w:color="auto"/>
        <w:right w:val="none" w:sz="0" w:space="0" w:color="auto"/>
      </w:divBdr>
    </w:div>
    <w:div w:id="648441959">
      <w:bodyDiv w:val="1"/>
      <w:marLeft w:val="0"/>
      <w:marRight w:val="0"/>
      <w:marTop w:val="0"/>
      <w:marBottom w:val="0"/>
      <w:divBdr>
        <w:top w:val="none" w:sz="0" w:space="0" w:color="auto"/>
        <w:left w:val="none" w:sz="0" w:space="0" w:color="auto"/>
        <w:bottom w:val="none" w:sz="0" w:space="0" w:color="auto"/>
        <w:right w:val="none" w:sz="0" w:space="0" w:color="auto"/>
      </w:divBdr>
      <w:divsChild>
        <w:div w:id="384069641">
          <w:marLeft w:val="0"/>
          <w:marRight w:val="0"/>
          <w:marTop w:val="0"/>
          <w:marBottom w:val="0"/>
          <w:divBdr>
            <w:top w:val="none" w:sz="0" w:space="0" w:color="auto"/>
            <w:left w:val="none" w:sz="0" w:space="0" w:color="auto"/>
            <w:bottom w:val="none" w:sz="0" w:space="0" w:color="auto"/>
            <w:right w:val="none" w:sz="0" w:space="0" w:color="auto"/>
          </w:divBdr>
        </w:div>
        <w:div w:id="646126962">
          <w:marLeft w:val="0"/>
          <w:marRight w:val="0"/>
          <w:marTop w:val="0"/>
          <w:marBottom w:val="0"/>
          <w:divBdr>
            <w:top w:val="none" w:sz="0" w:space="0" w:color="auto"/>
            <w:left w:val="none" w:sz="0" w:space="0" w:color="auto"/>
            <w:bottom w:val="none" w:sz="0" w:space="0" w:color="auto"/>
            <w:right w:val="none" w:sz="0" w:space="0" w:color="auto"/>
          </w:divBdr>
        </w:div>
        <w:div w:id="785122396">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sChild>
    </w:div>
    <w:div w:id="678309565">
      <w:bodyDiv w:val="1"/>
      <w:marLeft w:val="0"/>
      <w:marRight w:val="0"/>
      <w:marTop w:val="0"/>
      <w:marBottom w:val="0"/>
      <w:divBdr>
        <w:top w:val="none" w:sz="0" w:space="0" w:color="auto"/>
        <w:left w:val="none" w:sz="0" w:space="0" w:color="auto"/>
        <w:bottom w:val="none" w:sz="0" w:space="0" w:color="auto"/>
        <w:right w:val="none" w:sz="0" w:space="0" w:color="auto"/>
      </w:divBdr>
    </w:div>
    <w:div w:id="835614261">
      <w:bodyDiv w:val="1"/>
      <w:marLeft w:val="0"/>
      <w:marRight w:val="0"/>
      <w:marTop w:val="0"/>
      <w:marBottom w:val="0"/>
      <w:divBdr>
        <w:top w:val="none" w:sz="0" w:space="0" w:color="auto"/>
        <w:left w:val="none" w:sz="0" w:space="0" w:color="auto"/>
        <w:bottom w:val="none" w:sz="0" w:space="0" w:color="auto"/>
        <w:right w:val="none" w:sz="0" w:space="0" w:color="auto"/>
      </w:divBdr>
      <w:divsChild>
        <w:div w:id="10226837">
          <w:marLeft w:val="0"/>
          <w:marRight w:val="0"/>
          <w:marTop w:val="0"/>
          <w:marBottom w:val="0"/>
          <w:divBdr>
            <w:top w:val="none" w:sz="0" w:space="0" w:color="auto"/>
            <w:left w:val="none" w:sz="0" w:space="0" w:color="auto"/>
            <w:bottom w:val="none" w:sz="0" w:space="0" w:color="auto"/>
            <w:right w:val="none" w:sz="0" w:space="0" w:color="auto"/>
          </w:divBdr>
        </w:div>
        <w:div w:id="505633638">
          <w:marLeft w:val="0"/>
          <w:marRight w:val="0"/>
          <w:marTop w:val="0"/>
          <w:marBottom w:val="0"/>
          <w:divBdr>
            <w:top w:val="none" w:sz="0" w:space="0" w:color="auto"/>
            <w:left w:val="none" w:sz="0" w:space="0" w:color="auto"/>
            <w:bottom w:val="none" w:sz="0" w:space="0" w:color="auto"/>
            <w:right w:val="none" w:sz="0" w:space="0" w:color="auto"/>
          </w:divBdr>
        </w:div>
      </w:divsChild>
    </w:div>
    <w:div w:id="906956876">
      <w:bodyDiv w:val="1"/>
      <w:marLeft w:val="0"/>
      <w:marRight w:val="0"/>
      <w:marTop w:val="0"/>
      <w:marBottom w:val="0"/>
      <w:divBdr>
        <w:top w:val="none" w:sz="0" w:space="0" w:color="auto"/>
        <w:left w:val="none" w:sz="0" w:space="0" w:color="auto"/>
        <w:bottom w:val="none" w:sz="0" w:space="0" w:color="auto"/>
        <w:right w:val="none" w:sz="0" w:space="0" w:color="auto"/>
      </w:divBdr>
    </w:div>
    <w:div w:id="1481922892">
      <w:bodyDiv w:val="1"/>
      <w:marLeft w:val="0"/>
      <w:marRight w:val="0"/>
      <w:marTop w:val="0"/>
      <w:marBottom w:val="0"/>
      <w:divBdr>
        <w:top w:val="none" w:sz="0" w:space="0" w:color="auto"/>
        <w:left w:val="none" w:sz="0" w:space="0" w:color="auto"/>
        <w:bottom w:val="none" w:sz="0" w:space="0" w:color="auto"/>
        <w:right w:val="none" w:sz="0" w:space="0" w:color="auto"/>
      </w:divBdr>
    </w:div>
    <w:div w:id="1728339966">
      <w:bodyDiv w:val="1"/>
      <w:marLeft w:val="0"/>
      <w:marRight w:val="0"/>
      <w:marTop w:val="0"/>
      <w:marBottom w:val="0"/>
      <w:divBdr>
        <w:top w:val="none" w:sz="0" w:space="0" w:color="auto"/>
        <w:left w:val="none" w:sz="0" w:space="0" w:color="auto"/>
        <w:bottom w:val="none" w:sz="0" w:space="0" w:color="auto"/>
        <w:right w:val="none" w:sz="0" w:space="0" w:color="auto"/>
      </w:divBdr>
    </w:div>
    <w:div w:id="1839223420">
      <w:bodyDiv w:val="1"/>
      <w:marLeft w:val="0"/>
      <w:marRight w:val="0"/>
      <w:marTop w:val="0"/>
      <w:marBottom w:val="0"/>
      <w:divBdr>
        <w:top w:val="none" w:sz="0" w:space="0" w:color="auto"/>
        <w:left w:val="none" w:sz="0" w:space="0" w:color="auto"/>
        <w:bottom w:val="none" w:sz="0" w:space="0" w:color="auto"/>
        <w:right w:val="none" w:sz="0" w:space="0" w:color="auto"/>
      </w:divBdr>
    </w:div>
    <w:div w:id="192638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54A0-21CC-4731-B66F-5C3D11DC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15227</Words>
  <Characters>86799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Stalla-Bourdillon S.</dc:creator>
  <cp:keywords/>
  <dc:description/>
  <cp:lastModifiedBy>Stalla-Bourdillon S.</cp:lastModifiedBy>
  <cp:revision>2</cp:revision>
  <cp:lastPrinted>2018-05-10T18:22:00Z</cp:lastPrinted>
  <dcterms:created xsi:type="dcterms:W3CDTF">2018-05-19T12:29:00Z</dcterms:created>
  <dcterms:modified xsi:type="dcterms:W3CDTF">2018-05-19T12:29:00Z</dcterms:modified>
</cp:coreProperties>
</file>