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FDF5" w14:textId="4C656550" w:rsidR="005D3D23" w:rsidRDefault="00531E08" w:rsidP="005D3D23">
      <w:pPr>
        <w:pStyle w:val="Title"/>
        <w:rPr>
          <w:sz w:val="44"/>
        </w:rPr>
      </w:pPr>
      <w:r w:rsidRPr="00EC2967">
        <w:rPr>
          <w:sz w:val="44"/>
        </w:rPr>
        <w:t>UK podiatrists</w:t>
      </w:r>
      <w:r w:rsidR="00EB3753" w:rsidRPr="00EC2967">
        <w:rPr>
          <w:sz w:val="44"/>
        </w:rPr>
        <w:t>’</w:t>
      </w:r>
      <w:r w:rsidRPr="00EC2967">
        <w:rPr>
          <w:sz w:val="44"/>
        </w:rPr>
        <w:t xml:space="preserve"> </w:t>
      </w:r>
      <w:r w:rsidR="00EB3753" w:rsidRPr="00EC2967">
        <w:rPr>
          <w:sz w:val="44"/>
        </w:rPr>
        <w:t xml:space="preserve">experiences </w:t>
      </w:r>
      <w:r w:rsidRPr="00EC2967">
        <w:rPr>
          <w:sz w:val="44"/>
        </w:rPr>
        <w:t>of podiatry services fo</w:t>
      </w:r>
      <w:r w:rsidR="007F740A" w:rsidRPr="00EC2967">
        <w:rPr>
          <w:sz w:val="44"/>
        </w:rPr>
        <w:t>r people living with arthritis</w:t>
      </w:r>
      <w:r w:rsidR="00EC2967" w:rsidRPr="00EC2967">
        <w:rPr>
          <w:sz w:val="44"/>
        </w:rPr>
        <w:t>: a qualitative investigation</w:t>
      </w:r>
    </w:p>
    <w:p w14:paraId="68EC8893" w14:textId="77777777" w:rsidR="005D3D23" w:rsidRPr="005D3D23" w:rsidRDefault="005D3D23" w:rsidP="005D3D23"/>
    <w:p w14:paraId="1F01E2DD" w14:textId="58E09D28" w:rsidR="00531E08" w:rsidRPr="00EC2967" w:rsidRDefault="00531E08" w:rsidP="005A19A6">
      <w:pPr>
        <w:pStyle w:val="Heading1"/>
        <w:rPr>
          <w:rFonts w:ascii="Arial" w:hAnsi="Arial" w:cs="Arial"/>
          <w:color w:val="auto"/>
        </w:rPr>
      </w:pPr>
      <w:r w:rsidRPr="00EC2967">
        <w:rPr>
          <w:rFonts w:ascii="Arial" w:hAnsi="Arial" w:cs="Arial"/>
          <w:b/>
          <w:color w:val="auto"/>
        </w:rPr>
        <w:t>Authors</w:t>
      </w:r>
    </w:p>
    <w:p w14:paraId="3795895E" w14:textId="7FE35F1A" w:rsidR="001D3645" w:rsidRPr="005A19A6" w:rsidRDefault="001D3645" w:rsidP="00597078">
      <w:pPr>
        <w:shd w:val="clear" w:color="auto" w:fill="FFFFFF"/>
        <w:outlineLvl w:val="2"/>
        <w:rPr>
          <w:rFonts w:eastAsia="Times New Roman" w:cs="Arial"/>
          <w:sz w:val="22"/>
          <w:szCs w:val="22"/>
          <w:lang w:eastAsia="en-GB"/>
        </w:rPr>
      </w:pPr>
      <w:r w:rsidRPr="005A19A6">
        <w:rPr>
          <w:rFonts w:eastAsia="Times New Roman" w:cs="Arial"/>
          <w:sz w:val="22"/>
          <w:szCs w:val="22"/>
          <w:lang w:eastAsia="en-GB"/>
        </w:rPr>
        <w:t>Louise McCulloch</w:t>
      </w:r>
      <w:r w:rsidRPr="005A19A6">
        <w:rPr>
          <w:rFonts w:eastAsia="Times New Roman" w:cs="Arial"/>
          <w:sz w:val="22"/>
          <w:szCs w:val="22"/>
          <w:vertAlign w:val="superscript"/>
          <w:lang w:eastAsia="en-GB"/>
        </w:rPr>
        <w:t>1</w:t>
      </w:r>
      <w:r w:rsidRPr="005A19A6">
        <w:rPr>
          <w:rFonts w:eastAsia="Times New Roman" w:cs="Arial"/>
          <w:sz w:val="22"/>
          <w:szCs w:val="22"/>
          <w:lang w:eastAsia="en-GB"/>
        </w:rPr>
        <w:t>, Alan Borthwick</w:t>
      </w:r>
      <w:r w:rsidRPr="005A19A6">
        <w:rPr>
          <w:rFonts w:eastAsia="Times New Roman" w:cs="Arial"/>
          <w:sz w:val="22"/>
          <w:szCs w:val="22"/>
          <w:vertAlign w:val="superscript"/>
          <w:lang w:eastAsia="en-GB"/>
        </w:rPr>
        <w:t>1</w:t>
      </w:r>
      <w:r w:rsidRPr="005A19A6">
        <w:rPr>
          <w:rFonts w:eastAsia="Times New Roman" w:cs="Arial"/>
          <w:sz w:val="22"/>
          <w:szCs w:val="22"/>
          <w:lang w:eastAsia="en-GB"/>
        </w:rPr>
        <w:t>,</w:t>
      </w:r>
      <w:r w:rsidRPr="005A19A6">
        <w:rPr>
          <w:rFonts w:eastAsia="Times New Roman" w:cs="Arial"/>
          <w:sz w:val="22"/>
          <w:szCs w:val="22"/>
          <w:vertAlign w:val="superscript"/>
          <w:lang w:eastAsia="en-GB"/>
        </w:rPr>
        <w:t xml:space="preserve"> </w:t>
      </w:r>
      <w:r w:rsidRPr="005A19A6">
        <w:rPr>
          <w:rFonts w:eastAsia="Times New Roman" w:cs="Arial"/>
          <w:sz w:val="22"/>
          <w:szCs w:val="22"/>
          <w:lang w:eastAsia="en-GB"/>
        </w:rPr>
        <w:t>Anthony Redmond</w:t>
      </w:r>
      <w:r w:rsidRPr="005A19A6">
        <w:rPr>
          <w:rFonts w:eastAsia="Times New Roman" w:cs="Arial"/>
          <w:sz w:val="22"/>
          <w:szCs w:val="22"/>
          <w:vertAlign w:val="superscript"/>
          <w:lang w:eastAsia="en-GB"/>
        </w:rPr>
        <w:t>2</w:t>
      </w:r>
      <w:r w:rsidRPr="005A19A6">
        <w:rPr>
          <w:rFonts w:eastAsia="Times New Roman" w:cs="Arial"/>
          <w:sz w:val="22"/>
          <w:szCs w:val="22"/>
          <w:lang w:eastAsia="en-GB"/>
        </w:rPr>
        <w:t>, Katherine Edwards</w:t>
      </w:r>
      <w:r w:rsidRPr="005A19A6">
        <w:rPr>
          <w:rFonts w:eastAsia="Times New Roman" w:cs="Arial"/>
          <w:sz w:val="22"/>
          <w:szCs w:val="22"/>
          <w:vertAlign w:val="superscript"/>
          <w:lang w:eastAsia="en-GB"/>
        </w:rPr>
        <w:t>3</w:t>
      </w:r>
      <w:r w:rsidRPr="005A19A6">
        <w:rPr>
          <w:rFonts w:eastAsia="Times New Roman" w:cs="Arial"/>
          <w:sz w:val="22"/>
          <w:szCs w:val="22"/>
          <w:lang w:eastAsia="en-GB"/>
        </w:rPr>
        <w:t>, Rafael Pinedo-</w:t>
      </w:r>
      <w:r w:rsidR="0040670C" w:rsidRPr="0040670C">
        <w:rPr>
          <w:rFonts w:eastAsia="Times New Roman" w:cs="Arial"/>
          <w:sz w:val="22"/>
          <w:szCs w:val="22"/>
          <w:lang w:eastAsia="en-GB"/>
        </w:rPr>
        <w:t>Villanueva</w:t>
      </w:r>
      <w:r w:rsidRPr="005A19A6">
        <w:rPr>
          <w:rFonts w:eastAsia="Times New Roman" w:cs="Arial"/>
          <w:sz w:val="22"/>
          <w:szCs w:val="22"/>
          <w:vertAlign w:val="superscript"/>
          <w:lang w:eastAsia="en-GB"/>
        </w:rPr>
        <w:t>3</w:t>
      </w:r>
      <w:r w:rsidRPr="005A19A6">
        <w:rPr>
          <w:rFonts w:eastAsia="Times New Roman" w:cs="Arial"/>
          <w:sz w:val="22"/>
          <w:szCs w:val="22"/>
          <w:lang w:eastAsia="en-GB"/>
        </w:rPr>
        <w:t xml:space="preserve">, </w:t>
      </w:r>
      <w:r w:rsidRPr="005A19A6">
        <w:rPr>
          <w:rStyle w:val="Hyperlink"/>
          <w:rFonts w:eastAsia="Times New Roman" w:cs="Arial"/>
          <w:color w:val="000000" w:themeColor="text1"/>
          <w:sz w:val="22"/>
          <w:szCs w:val="22"/>
          <w:u w:val="none"/>
          <w:lang w:eastAsia="en-GB"/>
        </w:rPr>
        <w:t>Daniel Prieto-Alhambra</w:t>
      </w:r>
      <w:r w:rsidRPr="005A19A6">
        <w:rPr>
          <w:rFonts w:eastAsia="Times New Roman" w:cs="Arial"/>
          <w:sz w:val="22"/>
          <w:szCs w:val="22"/>
          <w:vertAlign w:val="superscript"/>
          <w:lang w:eastAsia="en-GB"/>
        </w:rPr>
        <w:t>3</w:t>
      </w:r>
      <w:r w:rsidRPr="005A19A6">
        <w:rPr>
          <w:rFonts w:eastAsia="Times New Roman" w:cs="Arial"/>
          <w:sz w:val="22"/>
          <w:szCs w:val="22"/>
          <w:lang w:eastAsia="en-GB"/>
        </w:rPr>
        <w:t xml:space="preserve">, </w:t>
      </w:r>
      <w:r w:rsidRPr="005A19A6">
        <w:rPr>
          <w:rStyle w:val="Hyperlink"/>
          <w:rFonts w:eastAsia="Times New Roman" w:cs="Arial"/>
          <w:color w:val="000000" w:themeColor="text1"/>
          <w:sz w:val="22"/>
          <w:szCs w:val="22"/>
          <w:u w:val="none"/>
          <w:lang w:eastAsia="en-GB"/>
        </w:rPr>
        <w:t>Andrew Judge</w:t>
      </w:r>
      <w:r w:rsidRPr="005A19A6">
        <w:rPr>
          <w:rFonts w:eastAsia="Times New Roman" w:cs="Arial"/>
          <w:sz w:val="22"/>
          <w:szCs w:val="22"/>
          <w:vertAlign w:val="superscript"/>
          <w:lang w:eastAsia="en-GB"/>
        </w:rPr>
        <w:t>3</w:t>
      </w:r>
      <w:r w:rsidRPr="005A19A6">
        <w:rPr>
          <w:rFonts w:eastAsia="Times New Roman" w:cs="Arial"/>
          <w:sz w:val="22"/>
          <w:szCs w:val="22"/>
          <w:lang w:eastAsia="en-GB"/>
        </w:rPr>
        <w:t>, Nigel Arden</w:t>
      </w:r>
      <w:r w:rsidRPr="005A19A6">
        <w:rPr>
          <w:rFonts w:eastAsia="Times New Roman" w:cs="Arial"/>
          <w:sz w:val="22"/>
          <w:szCs w:val="22"/>
          <w:vertAlign w:val="superscript"/>
          <w:lang w:eastAsia="en-GB"/>
        </w:rPr>
        <w:t>3</w:t>
      </w:r>
      <w:r w:rsidRPr="005A19A6">
        <w:rPr>
          <w:rFonts w:eastAsia="Times New Roman" w:cs="Arial"/>
          <w:sz w:val="22"/>
          <w:szCs w:val="22"/>
          <w:lang w:eastAsia="en-GB"/>
        </w:rPr>
        <w:t>, Catherine Bowen</w:t>
      </w:r>
      <w:r w:rsidRPr="005A19A6">
        <w:rPr>
          <w:rFonts w:eastAsia="Times New Roman" w:cs="Arial"/>
          <w:sz w:val="22"/>
          <w:szCs w:val="22"/>
          <w:vertAlign w:val="superscript"/>
          <w:lang w:eastAsia="en-GB"/>
        </w:rPr>
        <w:t>1</w:t>
      </w:r>
    </w:p>
    <w:p w14:paraId="53F6758F" w14:textId="77777777" w:rsidR="001D3645" w:rsidRPr="00D118BA" w:rsidRDefault="001D3645" w:rsidP="00597078">
      <w:pPr>
        <w:rPr>
          <w:rFonts w:cstheme="minorHAnsi"/>
          <w:sz w:val="20"/>
          <w:szCs w:val="22"/>
        </w:rPr>
      </w:pPr>
    </w:p>
    <w:p w14:paraId="2722D039" w14:textId="77777777" w:rsidR="00531E08" w:rsidRPr="00EC2967" w:rsidRDefault="00531E08" w:rsidP="00093458">
      <w:pPr>
        <w:pStyle w:val="Heading1"/>
        <w:rPr>
          <w:b/>
          <w:sz w:val="28"/>
        </w:rPr>
      </w:pPr>
      <w:r w:rsidRPr="00EC2967">
        <w:rPr>
          <w:rFonts w:ascii="Arial" w:hAnsi="Arial" w:cs="Arial"/>
          <w:b/>
          <w:color w:val="auto"/>
        </w:rPr>
        <w:t>Name of department(s) and institution(s) to which the work should be attributed</w:t>
      </w:r>
      <w:r w:rsidRPr="00EC2967">
        <w:rPr>
          <w:b/>
          <w:sz w:val="28"/>
        </w:rPr>
        <w:t xml:space="preserve">: </w:t>
      </w:r>
    </w:p>
    <w:p w14:paraId="7D9ADD8A" w14:textId="6D65C646" w:rsidR="00531E08" w:rsidRPr="00D118BA" w:rsidRDefault="00531E08" w:rsidP="005A19A6">
      <w:pPr>
        <w:pStyle w:val="ListParagraph"/>
        <w:numPr>
          <w:ilvl w:val="0"/>
          <w:numId w:val="7"/>
        </w:numPr>
        <w:rPr>
          <w:sz w:val="22"/>
        </w:rPr>
      </w:pPr>
      <w:r w:rsidRPr="00D118BA">
        <w:rPr>
          <w:sz w:val="22"/>
        </w:rPr>
        <w:t>Faculty of Health Sciences, University of Southampton, UK</w:t>
      </w:r>
    </w:p>
    <w:p w14:paraId="3931F83C" w14:textId="0040AA71" w:rsidR="00531E08" w:rsidRPr="00D118BA" w:rsidRDefault="001D3645" w:rsidP="005A19A6">
      <w:pPr>
        <w:pStyle w:val="ListParagraph"/>
        <w:numPr>
          <w:ilvl w:val="0"/>
          <w:numId w:val="7"/>
        </w:numPr>
        <w:rPr>
          <w:rFonts w:eastAsia="Times New Roman" w:cs="Arial"/>
          <w:sz w:val="22"/>
          <w:lang w:eastAsia="en-GB"/>
        </w:rPr>
      </w:pPr>
      <w:r w:rsidRPr="00D118BA">
        <w:rPr>
          <w:rFonts w:eastAsia="Times New Roman" w:cs="Arial"/>
          <w:sz w:val="22"/>
          <w:lang w:eastAsia="en-GB"/>
        </w:rPr>
        <w:t xml:space="preserve">Faculty of Medicine </w:t>
      </w:r>
      <w:r w:rsidR="00093458">
        <w:rPr>
          <w:rFonts w:eastAsia="Times New Roman" w:cs="Arial"/>
          <w:sz w:val="22"/>
          <w:lang w:eastAsia="en-GB"/>
        </w:rPr>
        <w:t>&amp;</w:t>
      </w:r>
      <w:r w:rsidRPr="00D118BA">
        <w:rPr>
          <w:rFonts w:eastAsia="Times New Roman" w:cs="Arial"/>
          <w:sz w:val="22"/>
          <w:lang w:eastAsia="en-GB"/>
        </w:rPr>
        <w:t xml:space="preserve"> Health, Leeds Institute of Rheumatic </w:t>
      </w:r>
      <w:r w:rsidR="00093458">
        <w:rPr>
          <w:rFonts w:eastAsia="Times New Roman" w:cs="Arial"/>
          <w:sz w:val="22"/>
          <w:lang w:eastAsia="en-GB"/>
        </w:rPr>
        <w:t>&amp;</w:t>
      </w:r>
      <w:r w:rsidRPr="00D118BA">
        <w:rPr>
          <w:rFonts w:eastAsia="Times New Roman" w:cs="Arial"/>
          <w:sz w:val="22"/>
          <w:lang w:eastAsia="en-GB"/>
        </w:rPr>
        <w:t xml:space="preserve"> Musculoskeletal Medicine</w:t>
      </w:r>
      <w:r w:rsidR="00724358" w:rsidRPr="00D118BA">
        <w:rPr>
          <w:rFonts w:eastAsia="Times New Roman" w:cs="Arial"/>
          <w:sz w:val="22"/>
          <w:lang w:eastAsia="en-GB"/>
        </w:rPr>
        <w:t>, UK</w:t>
      </w:r>
      <w:r w:rsidRPr="00D118BA">
        <w:rPr>
          <w:rFonts w:eastAsia="Times New Roman" w:cs="Arial"/>
          <w:sz w:val="22"/>
          <w:lang w:eastAsia="en-GB"/>
        </w:rPr>
        <w:t>.</w:t>
      </w:r>
    </w:p>
    <w:p w14:paraId="5540596D" w14:textId="0EAFBFD8" w:rsidR="005D3D23" w:rsidRDefault="001D3645" w:rsidP="005D3D23">
      <w:pPr>
        <w:pStyle w:val="ListParagraph"/>
        <w:numPr>
          <w:ilvl w:val="0"/>
          <w:numId w:val="7"/>
        </w:numPr>
        <w:rPr>
          <w:rFonts w:eastAsia="Times New Roman" w:cs="Arial"/>
          <w:sz w:val="22"/>
          <w:lang w:eastAsia="en-GB"/>
        </w:rPr>
      </w:pPr>
      <w:r w:rsidRPr="00D118BA">
        <w:rPr>
          <w:rFonts w:eastAsia="Times New Roman" w:cs="Arial"/>
          <w:sz w:val="22"/>
          <w:lang w:eastAsia="en-GB"/>
        </w:rPr>
        <w:t xml:space="preserve">Nuffield Department of Orthopaedics, Rheumatology </w:t>
      </w:r>
      <w:r w:rsidR="00093458">
        <w:rPr>
          <w:rFonts w:eastAsia="Times New Roman" w:cs="Arial"/>
          <w:sz w:val="22"/>
          <w:lang w:eastAsia="en-GB"/>
        </w:rPr>
        <w:t>&amp;</w:t>
      </w:r>
      <w:r w:rsidRPr="00D118BA">
        <w:rPr>
          <w:rFonts w:eastAsia="Times New Roman" w:cs="Arial"/>
          <w:sz w:val="22"/>
          <w:lang w:eastAsia="en-GB"/>
        </w:rPr>
        <w:t xml:space="preserve"> Musculoskeletal </w:t>
      </w:r>
      <w:r w:rsidR="00093458">
        <w:rPr>
          <w:rFonts w:eastAsia="Times New Roman" w:cs="Arial"/>
          <w:sz w:val="22"/>
          <w:lang w:eastAsia="en-GB"/>
        </w:rPr>
        <w:t>S</w:t>
      </w:r>
      <w:r w:rsidRPr="00D118BA">
        <w:rPr>
          <w:rFonts w:eastAsia="Times New Roman" w:cs="Arial"/>
          <w:sz w:val="22"/>
          <w:lang w:eastAsia="en-GB"/>
        </w:rPr>
        <w:t>ciences, University of Oxford</w:t>
      </w:r>
      <w:r w:rsidR="00724358" w:rsidRPr="00D118BA">
        <w:rPr>
          <w:rFonts w:eastAsia="Times New Roman" w:cs="Arial"/>
          <w:sz w:val="22"/>
          <w:lang w:eastAsia="en-GB"/>
        </w:rPr>
        <w:t>, UK.</w:t>
      </w:r>
    </w:p>
    <w:p w14:paraId="075F8608" w14:textId="77777777" w:rsidR="005D3D23" w:rsidRPr="005D3D23" w:rsidRDefault="005D3D23" w:rsidP="005D3D23">
      <w:pPr>
        <w:pStyle w:val="ListParagraph"/>
        <w:rPr>
          <w:rFonts w:eastAsia="Times New Roman" w:cs="Arial"/>
          <w:sz w:val="22"/>
          <w:lang w:eastAsia="en-GB"/>
        </w:rPr>
      </w:pPr>
    </w:p>
    <w:p w14:paraId="042413F6" w14:textId="77777777" w:rsidR="00531E08" w:rsidRPr="00EC2967" w:rsidRDefault="00531E08" w:rsidP="00093458">
      <w:pPr>
        <w:pStyle w:val="Heading1"/>
        <w:rPr>
          <w:rFonts w:ascii="Arial" w:hAnsi="Arial" w:cs="Arial"/>
          <w:b/>
          <w:color w:val="auto"/>
        </w:rPr>
      </w:pPr>
      <w:r w:rsidRPr="00EC2967">
        <w:rPr>
          <w:rFonts w:ascii="Arial" w:hAnsi="Arial" w:cs="Arial"/>
          <w:b/>
          <w:color w:val="auto"/>
        </w:rPr>
        <w:t>Author details</w:t>
      </w:r>
    </w:p>
    <w:p w14:paraId="0340561A" w14:textId="3D91B807" w:rsidR="00724358" w:rsidRPr="005A19A6" w:rsidRDefault="00724358" w:rsidP="00597078">
      <w:pPr>
        <w:shd w:val="clear" w:color="auto" w:fill="FFFFFF"/>
        <w:rPr>
          <w:rFonts w:eastAsia="Times New Roman" w:cs="Arial"/>
          <w:color w:val="000000" w:themeColor="text1"/>
          <w:sz w:val="22"/>
          <w:szCs w:val="22"/>
          <w:lang w:eastAsia="en-GB"/>
        </w:rPr>
      </w:pPr>
      <w:r w:rsidRPr="005A19A6">
        <w:rPr>
          <w:rFonts w:eastAsia="Times New Roman" w:cs="Arial"/>
          <w:color w:val="000000" w:themeColor="text1"/>
          <w:sz w:val="22"/>
          <w:szCs w:val="22"/>
          <w:lang w:eastAsia="en-GB"/>
        </w:rPr>
        <w:t>Louise McCulloch</w:t>
      </w:r>
      <w:r w:rsidR="005A19A6">
        <w:rPr>
          <w:rFonts w:eastAsia="Times New Roman" w:cs="Arial"/>
          <w:color w:val="000000" w:themeColor="text1"/>
          <w:sz w:val="22"/>
          <w:szCs w:val="22"/>
          <w:lang w:eastAsia="en-GB"/>
        </w:rPr>
        <w:t>*</w:t>
      </w:r>
      <w:r w:rsidRPr="005A19A6">
        <w:rPr>
          <w:rFonts w:eastAsia="Times New Roman" w:cs="Arial"/>
          <w:color w:val="000000" w:themeColor="text1"/>
          <w:sz w:val="22"/>
          <w:szCs w:val="22"/>
          <w:lang w:eastAsia="en-GB"/>
        </w:rPr>
        <w:t>:</w:t>
      </w:r>
      <w:r w:rsidRPr="005A19A6">
        <w:rPr>
          <w:color w:val="000000" w:themeColor="text1"/>
          <w:sz w:val="22"/>
          <w:szCs w:val="22"/>
        </w:rPr>
        <w:t xml:space="preserve"> </w:t>
      </w:r>
      <w:r w:rsidR="00A60E63" w:rsidRPr="005A19A6">
        <w:rPr>
          <w:rFonts w:eastAsia="Times New Roman" w:cs="Arial"/>
          <w:color w:val="000000" w:themeColor="text1"/>
          <w:sz w:val="22"/>
          <w:szCs w:val="22"/>
          <w:lang w:eastAsia="en-GB"/>
        </w:rPr>
        <w:t>L.A.McCu</w:t>
      </w:r>
      <w:r w:rsidRPr="005A19A6">
        <w:rPr>
          <w:rFonts w:eastAsia="Times New Roman" w:cs="Arial"/>
          <w:color w:val="000000" w:themeColor="text1"/>
          <w:sz w:val="22"/>
          <w:szCs w:val="22"/>
          <w:lang w:eastAsia="en-GB"/>
        </w:rPr>
        <w:t>lloch@soton.ac.uk</w:t>
      </w:r>
    </w:p>
    <w:p w14:paraId="5633DCFD" w14:textId="09F556BB" w:rsidR="00724358" w:rsidRPr="005A19A6" w:rsidRDefault="00FE6171" w:rsidP="00597078">
      <w:pPr>
        <w:shd w:val="clear" w:color="auto" w:fill="FFFFFF"/>
        <w:rPr>
          <w:rFonts w:eastAsia="Times New Roman" w:cs="Arial"/>
          <w:color w:val="000000" w:themeColor="text1"/>
          <w:sz w:val="22"/>
          <w:szCs w:val="22"/>
          <w:lang w:eastAsia="en-GB"/>
        </w:rPr>
      </w:pPr>
      <w:r>
        <w:rPr>
          <w:rFonts w:eastAsia="Times New Roman" w:cs="Arial"/>
          <w:color w:val="000000" w:themeColor="text1"/>
          <w:sz w:val="22"/>
          <w:szCs w:val="22"/>
          <w:lang w:eastAsia="en-GB"/>
        </w:rPr>
        <w:t>Professor</w:t>
      </w:r>
      <w:r w:rsidR="00724358" w:rsidRPr="005A19A6">
        <w:rPr>
          <w:rFonts w:eastAsia="Times New Roman" w:cs="Arial"/>
          <w:color w:val="000000" w:themeColor="text1"/>
          <w:sz w:val="22"/>
          <w:szCs w:val="22"/>
          <w:lang w:eastAsia="en-GB"/>
        </w:rPr>
        <w:t xml:space="preserve"> Alan Borthwick: </w:t>
      </w:r>
      <w:hyperlink r:id="rId8" w:history="1">
        <w:r w:rsidR="00724358" w:rsidRPr="005A19A6">
          <w:rPr>
            <w:rStyle w:val="Hyperlink"/>
            <w:rFonts w:eastAsia="Times New Roman" w:cs="Arial"/>
            <w:color w:val="000000" w:themeColor="text1"/>
            <w:sz w:val="22"/>
            <w:szCs w:val="22"/>
            <w:u w:val="none"/>
            <w:lang w:eastAsia="en-GB"/>
          </w:rPr>
          <w:t>A.Borthwick@soton.ac.uk</w:t>
        </w:r>
      </w:hyperlink>
    </w:p>
    <w:p w14:paraId="1EB1C2EF" w14:textId="77777777" w:rsidR="00724358" w:rsidRPr="005A19A6" w:rsidRDefault="00724358" w:rsidP="00597078">
      <w:pPr>
        <w:shd w:val="clear" w:color="auto" w:fill="FFFFFF"/>
        <w:rPr>
          <w:rStyle w:val="Hyperlink"/>
          <w:rFonts w:eastAsia="Times New Roman" w:cs="Arial"/>
          <w:color w:val="000000" w:themeColor="text1"/>
          <w:sz w:val="22"/>
          <w:szCs w:val="22"/>
          <w:u w:val="none"/>
          <w:lang w:eastAsia="en-GB"/>
        </w:rPr>
      </w:pPr>
      <w:r w:rsidRPr="005A19A6">
        <w:rPr>
          <w:rFonts w:eastAsia="Times New Roman" w:cs="Arial"/>
          <w:color w:val="000000" w:themeColor="text1"/>
          <w:sz w:val="22"/>
          <w:szCs w:val="22"/>
          <w:lang w:eastAsia="en-GB"/>
        </w:rPr>
        <w:t xml:space="preserve">Professor Anthony Redmond: </w:t>
      </w:r>
      <w:hyperlink r:id="rId9" w:history="1">
        <w:r w:rsidRPr="005A19A6">
          <w:rPr>
            <w:rStyle w:val="Hyperlink"/>
            <w:rFonts w:eastAsia="Times New Roman" w:cs="Arial"/>
            <w:color w:val="000000" w:themeColor="text1"/>
            <w:sz w:val="22"/>
            <w:szCs w:val="22"/>
            <w:u w:val="none"/>
            <w:lang w:eastAsia="en-GB"/>
          </w:rPr>
          <w:t>a.redmond@leeds.ac.uk</w:t>
        </w:r>
      </w:hyperlink>
    </w:p>
    <w:p w14:paraId="7A4BB338" w14:textId="11EE8749" w:rsidR="00724358" w:rsidRPr="005A19A6" w:rsidRDefault="00724358" w:rsidP="00597078">
      <w:pPr>
        <w:shd w:val="clear" w:color="auto" w:fill="FFFFFF"/>
        <w:rPr>
          <w:rFonts w:eastAsia="Times New Roman" w:cs="Arial"/>
          <w:color w:val="000000" w:themeColor="text1"/>
          <w:sz w:val="22"/>
          <w:szCs w:val="22"/>
          <w:lang w:eastAsia="en-GB"/>
        </w:rPr>
      </w:pPr>
      <w:r w:rsidRPr="005A19A6">
        <w:rPr>
          <w:rFonts w:eastAsia="Times New Roman" w:cs="Arial"/>
          <w:color w:val="000000" w:themeColor="text1"/>
          <w:sz w:val="22"/>
          <w:szCs w:val="22"/>
          <w:lang w:eastAsia="en-GB"/>
        </w:rPr>
        <w:t>Katherine Edwards: katherine.edwards@ndorms.ox.ac.uk</w:t>
      </w:r>
    </w:p>
    <w:p w14:paraId="24902052" w14:textId="20E5E86A" w:rsidR="00724358" w:rsidRPr="005A19A6" w:rsidRDefault="00724358" w:rsidP="00597078">
      <w:pPr>
        <w:shd w:val="clear" w:color="auto" w:fill="FFFFFF"/>
        <w:rPr>
          <w:rStyle w:val="Hyperlink"/>
          <w:rFonts w:eastAsia="Times New Roman" w:cs="Arial"/>
          <w:color w:val="000000" w:themeColor="text1"/>
          <w:sz w:val="22"/>
          <w:szCs w:val="22"/>
          <w:u w:val="none"/>
          <w:lang w:val="es-ES_tradnl" w:eastAsia="en-GB"/>
        </w:rPr>
      </w:pPr>
      <w:r w:rsidRPr="005A19A6">
        <w:rPr>
          <w:rFonts w:eastAsia="Times New Roman" w:cs="Arial"/>
          <w:color w:val="000000" w:themeColor="text1"/>
          <w:sz w:val="22"/>
          <w:szCs w:val="22"/>
          <w:lang w:val="es-ES_tradnl" w:eastAsia="en-GB"/>
        </w:rPr>
        <w:t xml:space="preserve">Rafael Pinedo </w:t>
      </w:r>
      <w:r w:rsidR="0040670C" w:rsidRPr="0040670C">
        <w:rPr>
          <w:rFonts w:eastAsia="Times New Roman" w:cs="Arial"/>
          <w:color w:val="000000" w:themeColor="text1"/>
          <w:sz w:val="22"/>
          <w:szCs w:val="22"/>
          <w:lang w:val="es-ES_tradnl" w:eastAsia="en-GB"/>
        </w:rPr>
        <w:t>Villanueva</w:t>
      </w:r>
      <w:r w:rsidRPr="005A19A6">
        <w:rPr>
          <w:rFonts w:eastAsia="Times New Roman" w:cs="Arial"/>
          <w:color w:val="000000" w:themeColor="text1"/>
          <w:sz w:val="22"/>
          <w:szCs w:val="22"/>
          <w:lang w:val="es-ES_tradnl" w:eastAsia="en-GB"/>
        </w:rPr>
        <w:t xml:space="preserve">: </w:t>
      </w:r>
      <w:hyperlink r:id="rId10" w:history="1">
        <w:r w:rsidRPr="005A19A6">
          <w:rPr>
            <w:rStyle w:val="Hyperlink"/>
            <w:rFonts w:eastAsia="Times New Roman" w:cs="Arial"/>
            <w:color w:val="000000" w:themeColor="text1"/>
            <w:sz w:val="22"/>
            <w:szCs w:val="22"/>
            <w:u w:val="none"/>
            <w:lang w:val="es-ES_tradnl" w:eastAsia="en-GB"/>
          </w:rPr>
          <w:t>rafael.pinedo@ndorms.ox.ac.uk</w:t>
        </w:r>
      </w:hyperlink>
    </w:p>
    <w:p w14:paraId="4834A6EE" w14:textId="77777777" w:rsidR="00724358" w:rsidRPr="005A19A6" w:rsidRDefault="00724358" w:rsidP="00597078">
      <w:pPr>
        <w:shd w:val="clear" w:color="auto" w:fill="FFFFFF"/>
        <w:rPr>
          <w:rStyle w:val="Hyperlink"/>
          <w:rFonts w:eastAsia="Times New Roman" w:cs="Arial"/>
          <w:color w:val="000000" w:themeColor="text1"/>
          <w:sz w:val="22"/>
          <w:szCs w:val="22"/>
          <w:u w:val="none"/>
          <w:lang w:val="it-IT" w:eastAsia="en-GB"/>
        </w:rPr>
      </w:pPr>
      <w:r w:rsidRPr="005A19A6">
        <w:rPr>
          <w:rStyle w:val="Hyperlink"/>
          <w:rFonts w:eastAsia="Times New Roman" w:cs="Arial"/>
          <w:color w:val="000000" w:themeColor="text1"/>
          <w:sz w:val="22"/>
          <w:szCs w:val="22"/>
          <w:u w:val="none"/>
          <w:lang w:val="it-IT" w:eastAsia="en-GB"/>
        </w:rPr>
        <w:lastRenderedPageBreak/>
        <w:t>Daniel Prieto-Alhambra: daniel.prietoalhambra@ndorms.ox.ac.uk</w:t>
      </w:r>
    </w:p>
    <w:p w14:paraId="26F4DAB2" w14:textId="77777777" w:rsidR="00724358" w:rsidRPr="005A19A6" w:rsidRDefault="00724358" w:rsidP="00597078">
      <w:pPr>
        <w:shd w:val="clear" w:color="auto" w:fill="FFFFFF"/>
        <w:rPr>
          <w:rFonts w:eastAsia="Times New Roman" w:cs="Arial"/>
          <w:color w:val="000000" w:themeColor="text1"/>
          <w:sz w:val="22"/>
          <w:szCs w:val="22"/>
          <w:lang w:eastAsia="en-GB"/>
        </w:rPr>
      </w:pPr>
      <w:r w:rsidRPr="005A19A6">
        <w:rPr>
          <w:rStyle w:val="Hyperlink"/>
          <w:rFonts w:eastAsia="Times New Roman" w:cs="Arial"/>
          <w:color w:val="000000" w:themeColor="text1"/>
          <w:sz w:val="22"/>
          <w:szCs w:val="22"/>
          <w:u w:val="none"/>
          <w:lang w:eastAsia="en-GB"/>
        </w:rPr>
        <w:t>Andrew Judge: andrew.judge@ndorms.ox.ac.uk</w:t>
      </w:r>
    </w:p>
    <w:p w14:paraId="1A76972A" w14:textId="77777777" w:rsidR="00724358" w:rsidRPr="005A19A6" w:rsidRDefault="00724358" w:rsidP="00597078">
      <w:pPr>
        <w:shd w:val="clear" w:color="auto" w:fill="FFFFFF"/>
        <w:rPr>
          <w:rFonts w:eastAsia="Times New Roman" w:cs="Arial"/>
          <w:color w:val="000000" w:themeColor="text1"/>
          <w:sz w:val="22"/>
          <w:szCs w:val="22"/>
          <w:lang w:eastAsia="en-GB"/>
        </w:rPr>
      </w:pPr>
      <w:r w:rsidRPr="005A19A6">
        <w:rPr>
          <w:rFonts w:eastAsia="Times New Roman" w:cs="Arial"/>
          <w:color w:val="000000" w:themeColor="text1"/>
          <w:sz w:val="22"/>
          <w:szCs w:val="22"/>
          <w:lang w:eastAsia="en-GB"/>
        </w:rPr>
        <w:t xml:space="preserve">Professor Nigel K Arden, </w:t>
      </w:r>
      <w:hyperlink r:id="rId11" w:history="1">
        <w:r w:rsidRPr="005A19A6">
          <w:rPr>
            <w:rStyle w:val="Hyperlink"/>
            <w:rFonts w:eastAsia="Times New Roman" w:cs="Arial"/>
            <w:color w:val="000000" w:themeColor="text1"/>
            <w:sz w:val="22"/>
            <w:szCs w:val="22"/>
            <w:u w:val="none"/>
            <w:lang w:eastAsia="en-GB"/>
          </w:rPr>
          <w:t>Nigel.Arden@ndorms.ox.ac.uk</w:t>
        </w:r>
      </w:hyperlink>
    </w:p>
    <w:p w14:paraId="5291D816" w14:textId="77777777" w:rsidR="00724358" w:rsidRPr="005A19A6" w:rsidRDefault="00724358" w:rsidP="00597078">
      <w:pPr>
        <w:shd w:val="clear" w:color="auto" w:fill="FFFFFF"/>
        <w:rPr>
          <w:rFonts w:eastAsia="Times New Roman" w:cs="Arial"/>
          <w:color w:val="000000" w:themeColor="text1"/>
          <w:sz w:val="22"/>
          <w:szCs w:val="22"/>
          <w:lang w:eastAsia="en-GB"/>
        </w:rPr>
      </w:pPr>
      <w:r w:rsidRPr="005A19A6">
        <w:rPr>
          <w:rFonts w:eastAsia="Times New Roman" w:cs="Arial"/>
          <w:color w:val="000000" w:themeColor="text1"/>
          <w:sz w:val="22"/>
          <w:szCs w:val="22"/>
          <w:lang w:eastAsia="en-GB"/>
        </w:rPr>
        <w:t xml:space="preserve">Professor Catherine J Bowen, </w:t>
      </w:r>
      <w:hyperlink r:id="rId12" w:history="1">
        <w:r w:rsidRPr="005A19A6">
          <w:rPr>
            <w:rStyle w:val="Hyperlink"/>
            <w:rFonts w:eastAsia="Times New Roman" w:cs="Arial"/>
            <w:color w:val="000000" w:themeColor="text1"/>
            <w:sz w:val="22"/>
            <w:szCs w:val="22"/>
            <w:u w:val="none"/>
            <w:lang w:eastAsia="en-GB"/>
          </w:rPr>
          <w:t>C.J.Bowen@soton.ac.uk</w:t>
        </w:r>
      </w:hyperlink>
      <w:r w:rsidRPr="005A19A6">
        <w:rPr>
          <w:rFonts w:eastAsia="Times New Roman" w:cs="Arial"/>
          <w:color w:val="000000" w:themeColor="text1"/>
          <w:sz w:val="22"/>
          <w:szCs w:val="22"/>
          <w:lang w:eastAsia="en-GB"/>
        </w:rPr>
        <w:t xml:space="preserve">, </w:t>
      </w:r>
    </w:p>
    <w:p w14:paraId="3D63C29D" w14:textId="77777777" w:rsidR="00531E08" w:rsidRPr="005A19A6" w:rsidRDefault="00531E08" w:rsidP="00597078">
      <w:pPr>
        <w:rPr>
          <w:rFonts w:cstheme="minorHAnsi"/>
          <w:sz w:val="22"/>
          <w:szCs w:val="22"/>
        </w:rPr>
      </w:pPr>
    </w:p>
    <w:p w14:paraId="372DDC60" w14:textId="335F8958" w:rsidR="00531E08" w:rsidRPr="005A19A6" w:rsidRDefault="005A19A6" w:rsidP="00597078">
      <w:pPr>
        <w:rPr>
          <w:rFonts w:cstheme="minorHAnsi"/>
          <w:sz w:val="22"/>
          <w:szCs w:val="22"/>
        </w:rPr>
      </w:pPr>
      <w:r>
        <w:rPr>
          <w:rFonts w:cstheme="minorHAnsi"/>
          <w:sz w:val="22"/>
          <w:szCs w:val="22"/>
        </w:rPr>
        <w:t>*</w:t>
      </w:r>
      <w:r w:rsidR="00531E08" w:rsidRPr="005A19A6">
        <w:rPr>
          <w:rFonts w:cstheme="minorHAnsi"/>
          <w:sz w:val="22"/>
          <w:szCs w:val="22"/>
        </w:rPr>
        <w:t>Author to whom all correspondence should be addressed:  Louise McCulloch,</w:t>
      </w:r>
    </w:p>
    <w:p w14:paraId="756C1275" w14:textId="32DE9924" w:rsidR="00531E08" w:rsidRPr="005A19A6" w:rsidRDefault="00531E08" w:rsidP="00597078">
      <w:pPr>
        <w:rPr>
          <w:rFonts w:eastAsia="Times New Roman" w:cs="Arial"/>
          <w:color w:val="000000" w:themeColor="text1"/>
          <w:sz w:val="22"/>
          <w:szCs w:val="22"/>
          <w:lang w:val="fr-FR" w:eastAsia="en-GB"/>
        </w:rPr>
      </w:pPr>
      <w:r w:rsidRPr="005A19A6">
        <w:rPr>
          <w:rFonts w:cstheme="minorHAnsi"/>
          <w:sz w:val="22"/>
          <w:szCs w:val="22"/>
        </w:rPr>
        <w:t>Faculty of Health Sciences, University of Southampton, Highfield Campus Building 45, University Road, Southampton, Hampshire, U</w:t>
      </w:r>
      <w:r w:rsidR="00724358" w:rsidRPr="005A19A6">
        <w:rPr>
          <w:rFonts w:cstheme="minorHAnsi"/>
          <w:sz w:val="22"/>
          <w:szCs w:val="22"/>
        </w:rPr>
        <w:t>K, SO17 1BJ.</w:t>
      </w:r>
      <w:r w:rsidR="00724358" w:rsidRPr="005A19A6">
        <w:rPr>
          <w:rFonts w:cstheme="minorHAnsi"/>
          <w:sz w:val="22"/>
          <w:szCs w:val="22"/>
          <w:lang w:val="fr-FR"/>
        </w:rPr>
        <w:t xml:space="preserve"> </w:t>
      </w:r>
      <w:r w:rsidR="005A19A6">
        <w:rPr>
          <w:rFonts w:cstheme="minorHAnsi"/>
          <w:sz w:val="22"/>
          <w:szCs w:val="22"/>
          <w:lang w:val="fr-FR"/>
        </w:rPr>
        <w:t>e-</w:t>
      </w:r>
      <w:r w:rsidRPr="005A19A6">
        <w:rPr>
          <w:rFonts w:cstheme="minorHAnsi"/>
          <w:sz w:val="22"/>
          <w:szCs w:val="22"/>
          <w:lang w:val="fr-FR"/>
        </w:rPr>
        <w:t xml:space="preserve">mail: </w:t>
      </w:r>
      <w:hyperlink r:id="rId13" w:history="1">
        <w:r w:rsidR="00BC3F21" w:rsidRPr="00B22079">
          <w:rPr>
            <w:rStyle w:val="Hyperlink"/>
            <w:rFonts w:eastAsia="Times New Roman" w:cs="Arial"/>
            <w:sz w:val="22"/>
            <w:szCs w:val="22"/>
            <w:lang w:val="fr-FR" w:eastAsia="en-GB"/>
          </w:rPr>
          <w:t>L.A.McCulloch@soton.ac.uk</w:t>
        </w:r>
      </w:hyperlink>
      <w:bookmarkStart w:id="0" w:name="_Toc389169125"/>
    </w:p>
    <w:p w14:paraId="65A7C61A" w14:textId="7EE961E6" w:rsidR="00531E08" w:rsidRPr="00093458" w:rsidRDefault="00531E08" w:rsidP="00093458">
      <w:pPr>
        <w:pStyle w:val="Heading1"/>
        <w:rPr>
          <w:lang w:val="fr-FR"/>
        </w:rPr>
      </w:pPr>
      <w:r w:rsidRPr="00EC2967">
        <w:rPr>
          <w:rFonts w:ascii="Arial" w:hAnsi="Arial" w:cs="Arial"/>
          <w:b/>
          <w:color w:val="auto"/>
        </w:rPr>
        <w:t>Abstract</w:t>
      </w:r>
      <w:bookmarkEnd w:id="0"/>
    </w:p>
    <w:p w14:paraId="593454C2" w14:textId="1F56582D" w:rsidR="00BB6F57" w:rsidRPr="00093458" w:rsidRDefault="00BB6F57" w:rsidP="00093458">
      <w:pPr>
        <w:rPr>
          <w:rFonts w:cstheme="minorHAnsi"/>
          <w:sz w:val="22"/>
          <w:szCs w:val="22"/>
          <w:highlight w:val="yellow"/>
          <w:lang w:val="fr-FR"/>
        </w:rPr>
      </w:pPr>
      <w:r w:rsidRPr="00EC2967">
        <w:rPr>
          <w:rStyle w:val="Heading2Char"/>
          <w:rFonts w:ascii="Arial" w:hAnsi="Arial" w:cs="Arial"/>
          <w:sz w:val="22"/>
          <w:szCs w:val="22"/>
          <w:u w:val="none"/>
        </w:rPr>
        <w:t>Back</w:t>
      </w:r>
      <w:r w:rsidR="009524A2" w:rsidRPr="00EC2967">
        <w:rPr>
          <w:rStyle w:val="Heading2Char"/>
          <w:rFonts w:ascii="Arial" w:hAnsi="Arial" w:cs="Arial"/>
          <w:sz w:val="22"/>
          <w:szCs w:val="22"/>
          <w:u w:val="none"/>
        </w:rPr>
        <w:t>gro</w:t>
      </w:r>
      <w:r w:rsidRPr="00EC2967">
        <w:rPr>
          <w:rStyle w:val="Heading2Char"/>
          <w:rFonts w:ascii="Arial" w:hAnsi="Arial" w:cs="Arial"/>
          <w:sz w:val="22"/>
          <w:szCs w:val="22"/>
          <w:u w:val="none"/>
        </w:rPr>
        <w:t>und</w:t>
      </w:r>
      <w:r w:rsidR="00ED0FE6" w:rsidRPr="00093458">
        <w:rPr>
          <w:sz w:val="22"/>
          <w:szCs w:val="22"/>
        </w:rPr>
        <w:t>: Provision</w:t>
      </w:r>
      <w:r w:rsidRPr="00093458">
        <w:rPr>
          <w:sz w:val="22"/>
          <w:szCs w:val="22"/>
        </w:rPr>
        <w:t xml:space="preserve"> of podiatry services</w:t>
      </w:r>
      <w:r w:rsidR="0089344C">
        <w:rPr>
          <w:sz w:val="22"/>
          <w:szCs w:val="22"/>
        </w:rPr>
        <w:t>, like other therapies in the UK,</w:t>
      </w:r>
      <w:r w:rsidRPr="00093458">
        <w:rPr>
          <w:sz w:val="22"/>
          <w:szCs w:val="22"/>
        </w:rPr>
        <w:t xml:space="preserve"> is an area that lacks guidance by the National Institute for Health and Care Excellence. </w:t>
      </w:r>
      <w:r w:rsidR="0089344C" w:rsidRPr="0089344C">
        <w:rPr>
          <w:sz w:val="22"/>
          <w:szCs w:val="22"/>
        </w:rPr>
        <w:t>Many individuals living with arthritis in the UK are not eligible to access NHS podiatry services</w:t>
      </w:r>
      <w:r w:rsidR="0089344C">
        <w:rPr>
          <w:sz w:val="22"/>
          <w:szCs w:val="22"/>
        </w:rPr>
        <w:t>.</w:t>
      </w:r>
      <w:r w:rsidR="0089344C" w:rsidRPr="0089344C">
        <w:rPr>
          <w:sz w:val="22"/>
          <w:szCs w:val="22"/>
        </w:rPr>
        <w:t xml:space="preserve"> </w:t>
      </w:r>
      <w:r w:rsidRPr="00093458">
        <w:rPr>
          <w:sz w:val="22"/>
          <w:szCs w:val="22"/>
        </w:rPr>
        <w:t>The primary aim of this investigation was to understand the views of podiatry clinicians on their experiences of referral, access, provision and treatment for foot problems for patients who have arthritis.</w:t>
      </w:r>
    </w:p>
    <w:p w14:paraId="2BEA6A0A" w14:textId="77777777" w:rsidR="00BB6F57" w:rsidRPr="00093458" w:rsidRDefault="00BB6F57" w:rsidP="00093458">
      <w:pPr>
        <w:rPr>
          <w:sz w:val="22"/>
          <w:szCs w:val="22"/>
        </w:rPr>
      </w:pPr>
    </w:p>
    <w:p w14:paraId="3968B660" w14:textId="6696303C" w:rsidR="003D5C06" w:rsidRPr="00093458" w:rsidRDefault="000C7F20" w:rsidP="00093458">
      <w:pPr>
        <w:rPr>
          <w:rFonts w:cstheme="minorHAnsi"/>
          <w:sz w:val="22"/>
          <w:szCs w:val="22"/>
        </w:rPr>
      </w:pPr>
      <w:r w:rsidRPr="00EC2967">
        <w:rPr>
          <w:rStyle w:val="Heading2Char"/>
          <w:rFonts w:ascii="Arial" w:hAnsi="Arial" w:cs="Arial"/>
          <w:sz w:val="22"/>
          <w:szCs w:val="22"/>
          <w:u w:val="none"/>
        </w:rPr>
        <w:t>M</w:t>
      </w:r>
      <w:r w:rsidR="003D5C06" w:rsidRPr="00EC2967">
        <w:rPr>
          <w:rStyle w:val="Heading2Char"/>
          <w:rFonts w:ascii="Arial" w:hAnsi="Arial" w:cs="Arial"/>
          <w:sz w:val="22"/>
          <w:szCs w:val="22"/>
          <w:u w:val="none"/>
        </w:rPr>
        <w:t>ethods</w:t>
      </w:r>
      <w:r w:rsidR="003D5C06" w:rsidRPr="00093458">
        <w:rPr>
          <w:sz w:val="22"/>
          <w:szCs w:val="22"/>
        </w:rPr>
        <w:t>:</w:t>
      </w:r>
      <w:r w:rsidR="00BB6F57" w:rsidRPr="00093458">
        <w:rPr>
          <w:sz w:val="22"/>
          <w:szCs w:val="22"/>
        </w:rPr>
        <w:t xml:space="preserve"> </w:t>
      </w:r>
      <w:r w:rsidRPr="00093458">
        <w:rPr>
          <w:sz w:val="22"/>
          <w:szCs w:val="22"/>
        </w:rPr>
        <w:t>Focus</w:t>
      </w:r>
      <w:r w:rsidRPr="00093458">
        <w:rPr>
          <w:rFonts w:cstheme="minorHAnsi"/>
          <w:sz w:val="22"/>
          <w:szCs w:val="22"/>
        </w:rPr>
        <w:t xml:space="preserve"> groups were</w:t>
      </w:r>
      <w:r w:rsidR="00BB6F57" w:rsidRPr="00093458">
        <w:rPr>
          <w:rFonts w:cstheme="minorHAnsi"/>
          <w:sz w:val="22"/>
          <w:szCs w:val="22"/>
        </w:rPr>
        <w:t xml:space="preserve"> undertaken to explore, in-</w:t>
      </w:r>
      <w:r w:rsidR="003D5C06" w:rsidRPr="00093458">
        <w:rPr>
          <w:rFonts w:cstheme="minorHAnsi"/>
          <w:sz w:val="22"/>
          <w:szCs w:val="22"/>
        </w:rPr>
        <w:t>depth</w:t>
      </w:r>
      <w:r w:rsidRPr="00093458">
        <w:rPr>
          <w:rFonts w:cstheme="minorHAnsi"/>
          <w:sz w:val="22"/>
          <w:szCs w:val="22"/>
        </w:rPr>
        <w:t>,</w:t>
      </w:r>
      <w:r w:rsidR="003D5C06" w:rsidRPr="00093458">
        <w:rPr>
          <w:rFonts w:cstheme="minorHAnsi"/>
          <w:sz w:val="22"/>
          <w:szCs w:val="22"/>
        </w:rPr>
        <w:t xml:space="preserve"> individual views of podiatr</w:t>
      </w:r>
      <w:r w:rsidR="00CB50EF">
        <w:rPr>
          <w:rFonts w:cstheme="minorHAnsi"/>
          <w:sz w:val="22"/>
          <w:szCs w:val="22"/>
        </w:rPr>
        <w:t>ists</w:t>
      </w:r>
      <w:r w:rsidR="003D5C06" w:rsidRPr="00093458">
        <w:rPr>
          <w:rFonts w:cstheme="minorHAnsi"/>
          <w:sz w:val="22"/>
          <w:szCs w:val="22"/>
        </w:rPr>
        <w:t xml:space="preserve"> working in the UK to gain feedback on experiences of barriers and facilitators to referral, access, provision and treatment for foot problems for individuals living with arthritis. A purposive sampling strategy was adopted and </w:t>
      </w:r>
      <w:r w:rsidR="00B6447E" w:rsidRPr="00093458">
        <w:rPr>
          <w:sz w:val="22"/>
          <w:szCs w:val="22"/>
        </w:rPr>
        <w:t xml:space="preserve">two, semi-structured, </w:t>
      </w:r>
      <w:r w:rsidR="003D5C06" w:rsidRPr="00093458">
        <w:rPr>
          <w:sz w:val="22"/>
          <w:szCs w:val="22"/>
        </w:rPr>
        <w:t>focus group</w:t>
      </w:r>
      <w:r w:rsidR="00B6447E" w:rsidRPr="00093458">
        <w:rPr>
          <w:sz w:val="22"/>
          <w:szCs w:val="22"/>
        </w:rPr>
        <w:t xml:space="preserve"> interview</w:t>
      </w:r>
      <w:r w:rsidR="003D5C06" w:rsidRPr="00093458">
        <w:rPr>
          <w:sz w:val="22"/>
          <w:szCs w:val="22"/>
        </w:rPr>
        <w:t>s conducted, involving 12 podiatrists from both NHS and independent sectors. To account for geographical variations one focus group took place in each of 2 predetermined ‘zones’ of the UK</w:t>
      </w:r>
      <w:r w:rsidRPr="00093458">
        <w:rPr>
          <w:sz w:val="22"/>
          <w:szCs w:val="22"/>
        </w:rPr>
        <w:t xml:space="preserve">; </w:t>
      </w:r>
      <w:r w:rsidR="003D5C06" w:rsidRPr="00093458">
        <w:rPr>
          <w:sz w:val="22"/>
          <w:szCs w:val="22"/>
        </w:rPr>
        <w:t>Yorkshire and Hampshire</w:t>
      </w:r>
      <w:r w:rsidR="003D5C06" w:rsidRPr="00093458">
        <w:rPr>
          <w:rFonts w:cstheme="minorHAnsi"/>
          <w:sz w:val="22"/>
          <w:szCs w:val="22"/>
        </w:rPr>
        <w:t xml:space="preserve">.  Thematic analysis was employed to identify key meanings and report patterns within the data. </w:t>
      </w:r>
    </w:p>
    <w:p w14:paraId="01294969" w14:textId="77777777" w:rsidR="003D5C06" w:rsidRPr="00093458" w:rsidRDefault="003D5C06" w:rsidP="00093458">
      <w:pPr>
        <w:ind w:left="567"/>
        <w:rPr>
          <w:rFonts w:cstheme="minorHAnsi"/>
          <w:sz w:val="22"/>
          <w:szCs w:val="22"/>
        </w:rPr>
      </w:pPr>
    </w:p>
    <w:p w14:paraId="074554D2" w14:textId="077EF613" w:rsidR="003D5C06" w:rsidRPr="00093458" w:rsidRDefault="003D5C06" w:rsidP="00093458">
      <w:pPr>
        <w:rPr>
          <w:rFonts w:cstheme="minorHAnsi"/>
          <w:sz w:val="22"/>
          <w:szCs w:val="22"/>
        </w:rPr>
      </w:pPr>
      <w:r w:rsidRPr="00EC2967">
        <w:rPr>
          <w:rStyle w:val="Heading2Char"/>
          <w:rFonts w:ascii="Arial" w:hAnsi="Arial" w:cs="Arial"/>
          <w:sz w:val="22"/>
          <w:szCs w:val="22"/>
          <w:u w:val="none"/>
        </w:rPr>
        <w:lastRenderedPageBreak/>
        <w:t>Results</w:t>
      </w:r>
      <w:r w:rsidRPr="00EC2967">
        <w:rPr>
          <w:rFonts w:ascii="Arial" w:hAnsi="Arial" w:cs="Arial"/>
          <w:sz w:val="22"/>
          <w:szCs w:val="22"/>
        </w:rPr>
        <w:t>:</w:t>
      </w:r>
      <w:r w:rsidR="00BB6F57" w:rsidRPr="00093458">
        <w:rPr>
          <w:sz w:val="22"/>
          <w:szCs w:val="22"/>
        </w:rPr>
        <w:t xml:space="preserve"> </w:t>
      </w:r>
      <w:r w:rsidRPr="00093458">
        <w:rPr>
          <w:sz w:val="22"/>
          <w:szCs w:val="22"/>
        </w:rPr>
        <w:t>The key themes derived from the podiatry clinician focus groups suggest a variety of factors influencing demand for, and burden of, fo</w:t>
      </w:r>
      <w:r w:rsidR="00BB6F57" w:rsidRPr="00093458">
        <w:rPr>
          <w:sz w:val="22"/>
          <w:szCs w:val="22"/>
        </w:rPr>
        <w:t>ot pain within the UK. P</w:t>
      </w:r>
      <w:r w:rsidRPr="00093458">
        <w:rPr>
          <w:sz w:val="22"/>
          <w:szCs w:val="22"/>
        </w:rPr>
        <w:t xml:space="preserve">articipants expressed frustration on having a service that accepts and treats patients according to their condition, rather than their complaint. </w:t>
      </w:r>
      <w:r w:rsidR="00BB6F57" w:rsidRPr="00093458">
        <w:rPr>
          <w:sz w:val="22"/>
          <w:szCs w:val="22"/>
        </w:rPr>
        <w:t>Additional</w:t>
      </w:r>
      <w:r w:rsidRPr="00093458">
        <w:rPr>
          <w:sz w:val="22"/>
          <w:szCs w:val="22"/>
        </w:rPr>
        <w:t xml:space="preserve">ly, concern was conveyed over variations in </w:t>
      </w:r>
      <w:r w:rsidR="0089344C">
        <w:rPr>
          <w:sz w:val="22"/>
          <w:szCs w:val="22"/>
        </w:rPr>
        <w:t xml:space="preserve">the understanding of </w:t>
      </w:r>
      <w:r w:rsidRPr="00093458">
        <w:rPr>
          <w:sz w:val="22"/>
          <w:szCs w:val="22"/>
        </w:rPr>
        <w:t xml:space="preserve">stakeholders’ </w:t>
      </w:r>
      <w:r w:rsidR="0089344C">
        <w:rPr>
          <w:sz w:val="22"/>
          <w:szCs w:val="22"/>
        </w:rPr>
        <w:t>views</w:t>
      </w:r>
      <w:r w:rsidR="000C7F20" w:rsidRPr="00093458">
        <w:rPr>
          <w:sz w:val="22"/>
          <w:szCs w:val="22"/>
        </w:rPr>
        <w:t xml:space="preserve"> of what podiatry is and what p</w:t>
      </w:r>
      <w:r w:rsidRPr="00093458">
        <w:rPr>
          <w:sz w:val="22"/>
          <w:szCs w:val="22"/>
        </w:rPr>
        <w:t>odiatrists aim to achieve for patients.</w:t>
      </w:r>
    </w:p>
    <w:p w14:paraId="4723C4AE" w14:textId="77777777" w:rsidR="00597078" w:rsidRPr="00093458" w:rsidRDefault="00597078" w:rsidP="00093458">
      <w:pPr>
        <w:rPr>
          <w:rFonts w:cstheme="minorHAnsi"/>
          <w:sz w:val="22"/>
          <w:szCs w:val="22"/>
        </w:rPr>
      </w:pPr>
    </w:p>
    <w:p w14:paraId="4C123602" w14:textId="01A5BFCA" w:rsidR="00424BC1" w:rsidRPr="00093458" w:rsidRDefault="003D5C06" w:rsidP="00093458">
      <w:pPr>
        <w:rPr>
          <w:sz w:val="22"/>
          <w:szCs w:val="22"/>
          <w:lang w:val="en-US"/>
        </w:rPr>
      </w:pPr>
      <w:r w:rsidRPr="00EC2967">
        <w:rPr>
          <w:rStyle w:val="Heading2Char"/>
          <w:rFonts w:ascii="Arial" w:hAnsi="Arial" w:cs="Arial"/>
          <w:sz w:val="22"/>
          <w:szCs w:val="22"/>
          <w:u w:val="none"/>
        </w:rPr>
        <w:t>Conclusion</w:t>
      </w:r>
      <w:r w:rsidRPr="00093458">
        <w:rPr>
          <w:sz w:val="22"/>
          <w:szCs w:val="22"/>
        </w:rPr>
        <w:t xml:space="preserve">: </w:t>
      </w:r>
      <w:r w:rsidR="00B101CC" w:rsidRPr="00B101CC">
        <w:rPr>
          <w:sz w:val="22"/>
          <w:szCs w:val="22"/>
        </w:rPr>
        <w:t xml:space="preserve">Podiatrists interviewed believed </w:t>
      </w:r>
      <w:r w:rsidR="00B101CC">
        <w:rPr>
          <w:sz w:val="22"/>
          <w:szCs w:val="22"/>
        </w:rPr>
        <w:t xml:space="preserve">that </w:t>
      </w:r>
      <w:r w:rsidR="00B101CC" w:rsidRPr="00B101CC">
        <w:rPr>
          <w:sz w:val="22"/>
          <w:szCs w:val="22"/>
        </w:rPr>
        <w:t xml:space="preserve">many individuals living with arthritis in the UK are not eligible to access NHS podiatry services </w:t>
      </w:r>
      <w:r w:rsidR="00B101CC">
        <w:rPr>
          <w:sz w:val="22"/>
          <w:szCs w:val="22"/>
        </w:rPr>
        <w:t>and that</w:t>
      </w:r>
      <w:r w:rsidRPr="00093458">
        <w:rPr>
          <w:sz w:val="22"/>
          <w:szCs w:val="22"/>
          <w:lang w:val="en-US"/>
        </w:rPr>
        <w:t xml:space="preserve"> this may be</w:t>
      </w:r>
      <w:r w:rsidR="00B101CC">
        <w:rPr>
          <w:sz w:val="22"/>
          <w:szCs w:val="22"/>
          <w:lang w:val="en-US"/>
        </w:rPr>
        <w:t>, in part,</w:t>
      </w:r>
      <w:r w:rsidRPr="00093458">
        <w:rPr>
          <w:sz w:val="22"/>
          <w:szCs w:val="22"/>
          <w:lang w:val="en-US"/>
        </w:rPr>
        <w:t xml:space="preserve"> due to confusion over what is known about podiatry</w:t>
      </w:r>
      <w:r w:rsidR="00C261C2" w:rsidRPr="00093458">
        <w:rPr>
          <w:sz w:val="22"/>
          <w:szCs w:val="22"/>
          <w:lang w:val="en-US"/>
        </w:rPr>
        <w:t xml:space="preserve"> and </w:t>
      </w:r>
      <w:r w:rsidR="00F9779D" w:rsidRPr="00093458">
        <w:rPr>
          <w:sz w:val="22"/>
          <w:szCs w:val="22"/>
          <w:lang w:val="en-US"/>
        </w:rPr>
        <w:t>access criteria</w:t>
      </w:r>
      <w:r w:rsidR="00C261C2" w:rsidRPr="00093458">
        <w:rPr>
          <w:sz w:val="22"/>
          <w:szCs w:val="22"/>
          <w:lang w:val="en-US"/>
        </w:rPr>
        <w:t xml:space="preserve">. Essentially, podiatrists interviewed called for </w:t>
      </w:r>
      <w:r w:rsidR="005C0653" w:rsidRPr="00093458">
        <w:rPr>
          <w:sz w:val="22"/>
          <w:szCs w:val="22"/>
          <w:lang w:val="en-US"/>
        </w:rPr>
        <w:t xml:space="preserve">a </w:t>
      </w:r>
      <w:r w:rsidR="00793920" w:rsidRPr="00093458">
        <w:rPr>
          <w:sz w:val="22"/>
          <w:szCs w:val="22"/>
          <w:lang w:val="en-US"/>
        </w:rPr>
        <w:t>timely re</w:t>
      </w:r>
      <w:r w:rsidR="0002740E" w:rsidRPr="00093458">
        <w:rPr>
          <w:sz w:val="22"/>
          <w:szCs w:val="22"/>
          <w:lang w:val="en-US"/>
        </w:rPr>
        <w:t xml:space="preserve">naissance of </w:t>
      </w:r>
      <w:r w:rsidR="00C261C2" w:rsidRPr="00093458">
        <w:rPr>
          <w:sz w:val="22"/>
          <w:szCs w:val="22"/>
          <w:lang w:val="en-US"/>
        </w:rPr>
        <w:t>current systems</w:t>
      </w:r>
      <w:r w:rsidR="0002740E" w:rsidRPr="00093458">
        <w:rPr>
          <w:sz w:val="22"/>
          <w:szCs w:val="22"/>
          <w:lang w:val="en-US"/>
        </w:rPr>
        <w:t>,</w:t>
      </w:r>
      <w:r w:rsidR="00C261C2" w:rsidRPr="00093458">
        <w:rPr>
          <w:sz w:val="22"/>
          <w:szCs w:val="22"/>
          <w:lang w:val="en-US"/>
        </w:rPr>
        <w:t xml:space="preserve"> to </w:t>
      </w:r>
      <w:r w:rsidR="005C0653" w:rsidRPr="00093458">
        <w:rPr>
          <w:sz w:val="22"/>
          <w:szCs w:val="22"/>
          <w:lang w:val="en-US"/>
        </w:rPr>
        <w:t>newer models of care that meet</w:t>
      </w:r>
      <w:r w:rsidR="00C261C2" w:rsidRPr="00093458">
        <w:rPr>
          <w:sz w:val="22"/>
          <w:szCs w:val="22"/>
          <w:lang w:val="en-US"/>
        </w:rPr>
        <w:t xml:space="preserve"> the foot care needs of individual patients</w:t>
      </w:r>
      <w:r w:rsidR="005C0653" w:rsidRPr="00093458">
        <w:rPr>
          <w:sz w:val="22"/>
          <w:szCs w:val="22"/>
          <w:lang w:val="en-US"/>
        </w:rPr>
        <w:t>’ circumstances and incorporate national multi-disciplinary guidance</w:t>
      </w:r>
      <w:r w:rsidR="00C261C2" w:rsidRPr="00093458">
        <w:rPr>
          <w:sz w:val="22"/>
          <w:szCs w:val="22"/>
          <w:lang w:val="en-US"/>
        </w:rPr>
        <w:t>.</w:t>
      </w:r>
      <w:r w:rsidRPr="00093458">
        <w:rPr>
          <w:sz w:val="22"/>
          <w:szCs w:val="22"/>
          <w:lang w:val="en-US"/>
        </w:rPr>
        <w:t xml:space="preserve"> </w:t>
      </w:r>
      <w:r w:rsidRPr="00093458">
        <w:rPr>
          <w:rFonts w:cs="Arial"/>
          <w:sz w:val="22"/>
          <w:szCs w:val="22"/>
        </w:rPr>
        <w:t xml:space="preserve">Through this project, we have formulated key recommendations that are directed towards improving what </w:t>
      </w:r>
      <w:r w:rsidR="00B101CC">
        <w:rPr>
          <w:rFonts w:cs="Arial"/>
          <w:sz w:val="22"/>
          <w:szCs w:val="22"/>
        </w:rPr>
        <w:t xml:space="preserve">other </w:t>
      </w:r>
      <w:r w:rsidRPr="00093458">
        <w:rPr>
          <w:rFonts w:cs="Arial"/>
          <w:sz w:val="22"/>
          <w:szCs w:val="22"/>
        </w:rPr>
        <w:t>stakeholders</w:t>
      </w:r>
      <w:r w:rsidR="00B101CC">
        <w:rPr>
          <w:rFonts w:cs="Arial"/>
          <w:sz w:val="22"/>
          <w:szCs w:val="22"/>
        </w:rPr>
        <w:t xml:space="preserve"> (</w:t>
      </w:r>
      <w:r w:rsidR="005627EB" w:rsidRPr="00093458">
        <w:rPr>
          <w:rFonts w:cs="Arial"/>
          <w:sz w:val="22"/>
          <w:szCs w:val="22"/>
        </w:rPr>
        <w:t>including</w:t>
      </w:r>
      <w:r w:rsidRPr="00093458">
        <w:rPr>
          <w:rFonts w:cs="Arial"/>
          <w:sz w:val="22"/>
          <w:szCs w:val="22"/>
        </w:rPr>
        <w:t xml:space="preserve"> </w:t>
      </w:r>
      <w:r w:rsidR="00B101CC">
        <w:rPr>
          <w:rFonts w:cs="Arial"/>
          <w:sz w:val="22"/>
          <w:szCs w:val="22"/>
        </w:rPr>
        <w:t xml:space="preserve">GPs, commissioners and </w:t>
      </w:r>
      <w:r w:rsidRPr="00093458">
        <w:rPr>
          <w:rFonts w:cs="Arial"/>
          <w:sz w:val="22"/>
          <w:szCs w:val="22"/>
        </w:rPr>
        <w:t>users of podiatry services</w:t>
      </w:r>
      <w:r w:rsidR="00B101CC">
        <w:rPr>
          <w:rFonts w:cs="Arial"/>
          <w:sz w:val="22"/>
          <w:szCs w:val="22"/>
        </w:rPr>
        <w:t>)</w:t>
      </w:r>
      <w:r w:rsidRPr="00093458">
        <w:rPr>
          <w:rFonts w:cs="Arial"/>
          <w:sz w:val="22"/>
          <w:szCs w:val="22"/>
        </w:rPr>
        <w:t xml:space="preserve"> know about the effectiveness of podiatry</w:t>
      </w:r>
      <w:r w:rsidR="0002740E" w:rsidRPr="00093458">
        <w:rPr>
          <w:rFonts w:cs="Arial"/>
          <w:sz w:val="22"/>
          <w:szCs w:val="22"/>
        </w:rPr>
        <w:t xml:space="preserve"> and</w:t>
      </w:r>
      <w:r w:rsidR="0002740E" w:rsidRPr="00093458">
        <w:rPr>
          <w:sz w:val="22"/>
          <w:szCs w:val="22"/>
          <w:lang w:val="en-US"/>
        </w:rPr>
        <w:t xml:space="preserve"> </w:t>
      </w:r>
      <w:r w:rsidR="00B101CC">
        <w:rPr>
          <w:sz w:val="22"/>
          <w:szCs w:val="22"/>
          <w:lang w:val="en-US"/>
        </w:rPr>
        <w:t xml:space="preserve">also to </w:t>
      </w:r>
      <w:r w:rsidR="0002740E" w:rsidRPr="00093458">
        <w:rPr>
          <w:sz w:val="22"/>
          <w:szCs w:val="22"/>
          <w:lang w:val="en-US"/>
        </w:rPr>
        <w:t>futureproof the profession of podiatry.</w:t>
      </w:r>
    </w:p>
    <w:p w14:paraId="41EEF1E4" w14:textId="77777777" w:rsidR="00D118BA" w:rsidRPr="00093458" w:rsidRDefault="00D118BA" w:rsidP="00093458">
      <w:pPr>
        <w:rPr>
          <w:rFonts w:cs="Arial"/>
          <w:sz w:val="22"/>
          <w:szCs w:val="22"/>
        </w:rPr>
      </w:pPr>
    </w:p>
    <w:p w14:paraId="6F91A835" w14:textId="06C27C64" w:rsidR="00D118BA" w:rsidRDefault="003D5C06" w:rsidP="00093458">
      <w:pPr>
        <w:pStyle w:val="Heading2"/>
        <w:spacing w:before="0"/>
        <w:rPr>
          <w:rFonts w:asciiTheme="minorHAnsi" w:hAnsiTheme="minorHAnsi"/>
          <w:b w:val="0"/>
          <w:sz w:val="22"/>
          <w:szCs w:val="22"/>
          <w:u w:val="none"/>
        </w:rPr>
      </w:pPr>
      <w:r w:rsidRPr="00EC2967">
        <w:rPr>
          <w:rFonts w:ascii="Arial" w:hAnsi="Arial" w:cs="Arial"/>
          <w:sz w:val="22"/>
          <w:szCs w:val="22"/>
          <w:u w:val="none"/>
        </w:rPr>
        <w:t>Keywords</w:t>
      </w:r>
      <w:r w:rsidR="00D118BA" w:rsidRPr="00EC2967">
        <w:rPr>
          <w:rFonts w:ascii="Arial" w:hAnsi="Arial" w:cs="Arial"/>
          <w:sz w:val="22"/>
          <w:szCs w:val="22"/>
          <w:u w:val="none"/>
        </w:rPr>
        <w:t>:</w:t>
      </w:r>
      <w:r w:rsidR="00D118BA" w:rsidRPr="00093458">
        <w:rPr>
          <w:rFonts w:asciiTheme="minorHAnsi" w:hAnsiTheme="minorHAnsi"/>
          <w:b w:val="0"/>
          <w:sz w:val="22"/>
          <w:szCs w:val="22"/>
          <w:u w:val="none"/>
        </w:rPr>
        <w:t xml:space="preserve"> </w:t>
      </w:r>
      <w:r w:rsidRPr="00093458">
        <w:rPr>
          <w:rFonts w:asciiTheme="minorHAnsi" w:hAnsiTheme="minorHAnsi"/>
          <w:b w:val="0"/>
          <w:sz w:val="22"/>
          <w:szCs w:val="22"/>
          <w:u w:val="none"/>
        </w:rPr>
        <w:t xml:space="preserve">arthritis, podiatry, </w:t>
      </w:r>
      <w:proofErr w:type="spellStart"/>
      <w:r w:rsidRPr="00093458">
        <w:rPr>
          <w:rFonts w:asciiTheme="minorHAnsi" w:hAnsiTheme="minorHAnsi"/>
          <w:b w:val="0"/>
          <w:sz w:val="22"/>
          <w:szCs w:val="22"/>
          <w:u w:val="none"/>
        </w:rPr>
        <w:t>footcare</w:t>
      </w:r>
      <w:proofErr w:type="spellEnd"/>
      <w:r w:rsidRPr="00093458">
        <w:rPr>
          <w:rFonts w:asciiTheme="minorHAnsi" w:hAnsiTheme="minorHAnsi"/>
          <w:b w:val="0"/>
          <w:sz w:val="22"/>
          <w:szCs w:val="22"/>
          <w:u w:val="none"/>
        </w:rPr>
        <w:t>, service provision</w:t>
      </w:r>
    </w:p>
    <w:p w14:paraId="7069BD30" w14:textId="77777777" w:rsidR="00F43EDD" w:rsidRPr="00F43EDD" w:rsidRDefault="00F43EDD" w:rsidP="00F43EDD"/>
    <w:p w14:paraId="243FA437" w14:textId="377AC382" w:rsidR="003D5C06" w:rsidRPr="00093458" w:rsidRDefault="003D5C06" w:rsidP="00093458">
      <w:pPr>
        <w:pStyle w:val="Heading1"/>
      </w:pPr>
      <w:bookmarkStart w:id="1" w:name="_GoBack"/>
      <w:bookmarkEnd w:id="1"/>
      <w:r w:rsidRPr="00EC2967">
        <w:rPr>
          <w:rFonts w:ascii="Arial" w:hAnsi="Arial" w:cs="Arial"/>
          <w:b/>
          <w:color w:val="auto"/>
        </w:rPr>
        <w:t>Background</w:t>
      </w:r>
    </w:p>
    <w:p w14:paraId="60B9A643" w14:textId="52DE4136" w:rsidR="002B5D68" w:rsidRPr="00093458" w:rsidRDefault="0054523F" w:rsidP="00093458">
      <w:pPr>
        <w:rPr>
          <w:sz w:val="22"/>
          <w:szCs w:val="22"/>
        </w:rPr>
      </w:pPr>
      <w:r w:rsidRPr="00093458">
        <w:rPr>
          <w:sz w:val="22"/>
          <w:szCs w:val="22"/>
        </w:rPr>
        <w:t>Provision of podiatry services</w:t>
      </w:r>
      <w:r w:rsidR="00B101CC">
        <w:rPr>
          <w:sz w:val="22"/>
          <w:szCs w:val="22"/>
        </w:rPr>
        <w:t>, like other health therapies in the UK,</w:t>
      </w:r>
      <w:r w:rsidRPr="00093458">
        <w:rPr>
          <w:sz w:val="22"/>
          <w:szCs w:val="22"/>
        </w:rPr>
        <w:t xml:space="preserve"> is an area that lacks guidance by the UK National Institute for Health and Care Excellence. There is a</w:t>
      </w:r>
      <w:r w:rsidR="00FF3AB6" w:rsidRPr="00093458">
        <w:rPr>
          <w:sz w:val="22"/>
          <w:szCs w:val="22"/>
        </w:rPr>
        <w:t xml:space="preserve"> </w:t>
      </w:r>
      <w:r w:rsidR="00B6447E" w:rsidRPr="00093458">
        <w:rPr>
          <w:sz w:val="22"/>
          <w:szCs w:val="22"/>
        </w:rPr>
        <w:t>perceived</w:t>
      </w:r>
      <w:r w:rsidR="00FF3AB6" w:rsidRPr="00093458">
        <w:rPr>
          <w:sz w:val="22"/>
          <w:szCs w:val="22"/>
        </w:rPr>
        <w:t xml:space="preserve"> lack of understanding of </w:t>
      </w:r>
      <w:r w:rsidRPr="00093458">
        <w:rPr>
          <w:sz w:val="22"/>
          <w:szCs w:val="22"/>
        </w:rPr>
        <w:t>how to access treatment for foot problems</w:t>
      </w:r>
      <w:r w:rsidR="00B6447E" w:rsidRPr="00093458">
        <w:rPr>
          <w:sz w:val="22"/>
          <w:szCs w:val="22"/>
        </w:rPr>
        <w:t>,</w:t>
      </w:r>
      <w:r w:rsidRPr="00093458">
        <w:rPr>
          <w:sz w:val="22"/>
          <w:szCs w:val="22"/>
        </w:rPr>
        <w:t xml:space="preserve"> and limited understanding of what podiatry services can </w:t>
      </w:r>
      <w:r w:rsidR="00B6447E" w:rsidRPr="00093458">
        <w:rPr>
          <w:sz w:val="22"/>
          <w:szCs w:val="22"/>
        </w:rPr>
        <w:t>offer, by</w:t>
      </w:r>
      <w:r w:rsidRPr="00093458">
        <w:rPr>
          <w:sz w:val="22"/>
          <w:szCs w:val="22"/>
        </w:rPr>
        <w:t xml:space="preserve"> both patients and non-podiatric clinicians</w:t>
      </w:r>
      <w:r w:rsidR="00A062B0">
        <w:rPr>
          <w:sz w:val="22"/>
          <w:szCs w:val="22"/>
        </w:rPr>
        <w:t xml:space="preserve"> [1, 2, 3, 4, 5, 6]</w:t>
      </w:r>
      <w:r w:rsidRPr="00093458">
        <w:rPr>
          <w:sz w:val="22"/>
          <w:szCs w:val="22"/>
        </w:rPr>
        <w:t xml:space="preserve">. Many podiatry departments have recently felt themselves unsettled by job cuts </w:t>
      </w:r>
      <w:r w:rsidR="00FF3AB6" w:rsidRPr="00093458">
        <w:rPr>
          <w:sz w:val="22"/>
          <w:szCs w:val="22"/>
        </w:rPr>
        <w:t xml:space="preserve">and recent changes in how </w:t>
      </w:r>
      <w:r w:rsidRPr="00093458">
        <w:rPr>
          <w:sz w:val="22"/>
          <w:szCs w:val="22"/>
        </w:rPr>
        <w:t xml:space="preserve">services are commissioned has shifted focus towards management of acute wounds, </w:t>
      </w:r>
      <w:r w:rsidR="00FF3AB6" w:rsidRPr="00093458">
        <w:rPr>
          <w:sz w:val="22"/>
          <w:szCs w:val="22"/>
        </w:rPr>
        <w:t>specifically for</w:t>
      </w:r>
      <w:r w:rsidRPr="00093458">
        <w:rPr>
          <w:sz w:val="22"/>
          <w:szCs w:val="22"/>
        </w:rPr>
        <w:t xml:space="preserve"> the management and prevention of limb loss associated with diabetes </w:t>
      </w:r>
      <w:r w:rsidRPr="00093458">
        <w:rPr>
          <w:sz w:val="22"/>
          <w:szCs w:val="22"/>
        </w:rPr>
        <w:fldChar w:fldCharType="begin">
          <w:fldData xml:space="preserve">PEVuZE5vdGU+PENpdGU+PEF1dGhvcj5Ub3duc29uPC9BdXRob3I+PFllYXI+MjAxNDwvWWVhcj48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</w:fldData>
        </w:fldChar>
      </w:r>
      <w:r w:rsidRPr="00093458">
        <w:rPr>
          <w:sz w:val="22"/>
          <w:szCs w:val="22"/>
        </w:rPr>
        <w:instrText xml:space="preserve"> ADDIN EN.CITE </w:instrText>
      </w:r>
      <w:r w:rsidRPr="00093458">
        <w:rPr>
          <w:sz w:val="22"/>
          <w:szCs w:val="22"/>
        </w:rPr>
        <w:fldChar w:fldCharType="begin">
          <w:fldData xml:space="preserve">PEVuZE5vdGU+PENpdGU+PEF1dGhvcj5Ub3duc29uPC9BdXRob3I+PFllYXI+MjAxNDwvWWVhcj48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</w:fldData>
        </w:fldChar>
      </w:r>
      <w:r w:rsidRPr="00093458">
        <w:rPr>
          <w:sz w:val="22"/>
          <w:szCs w:val="22"/>
        </w:rPr>
        <w:instrText xml:space="preserve"> ADDIN EN.CITE.DATA </w:instrText>
      </w:r>
      <w:r w:rsidRPr="00093458">
        <w:rPr>
          <w:sz w:val="22"/>
          <w:szCs w:val="22"/>
        </w:rPr>
      </w:r>
      <w:r w:rsidRPr="00093458">
        <w:rPr>
          <w:sz w:val="22"/>
          <w:szCs w:val="22"/>
        </w:rPr>
        <w:fldChar w:fldCharType="end"/>
      </w:r>
      <w:r w:rsidRPr="00093458">
        <w:rPr>
          <w:sz w:val="22"/>
          <w:szCs w:val="22"/>
        </w:rPr>
      </w:r>
      <w:r w:rsidRPr="00093458">
        <w:rPr>
          <w:sz w:val="22"/>
          <w:szCs w:val="22"/>
        </w:rPr>
        <w:fldChar w:fldCharType="end"/>
      </w:r>
      <w:r w:rsidR="00A062B0">
        <w:rPr>
          <w:sz w:val="22"/>
          <w:szCs w:val="22"/>
        </w:rPr>
        <w:t>[7, 8]</w:t>
      </w:r>
      <w:r w:rsidRPr="00093458">
        <w:rPr>
          <w:sz w:val="22"/>
          <w:szCs w:val="22"/>
        </w:rPr>
        <w:t xml:space="preserve">  The consequent impact of podiatry services reconfiguration of skill mix and services</w:t>
      </w:r>
      <w:r w:rsidR="00FF3AB6" w:rsidRPr="00093458">
        <w:rPr>
          <w:sz w:val="22"/>
          <w:szCs w:val="22"/>
        </w:rPr>
        <w:t>,</w:t>
      </w:r>
      <w:r w:rsidRPr="00093458">
        <w:rPr>
          <w:sz w:val="22"/>
          <w:szCs w:val="22"/>
        </w:rPr>
        <w:t xml:space="preserve"> away from management of foot pain associated with oth</w:t>
      </w:r>
      <w:r w:rsidR="00FF3AB6" w:rsidRPr="00093458">
        <w:rPr>
          <w:sz w:val="22"/>
          <w:szCs w:val="22"/>
        </w:rPr>
        <w:t>er chronic conditions</w:t>
      </w:r>
      <w:r w:rsidRPr="00093458">
        <w:rPr>
          <w:sz w:val="22"/>
          <w:szCs w:val="22"/>
        </w:rPr>
        <w:t xml:space="preserve"> such as rheumatoid arthritis and osteoarthritis, is not known.</w:t>
      </w:r>
      <w:r w:rsidR="00E745A7">
        <w:rPr>
          <w:sz w:val="22"/>
          <w:szCs w:val="22"/>
        </w:rPr>
        <w:t xml:space="preserve"> </w:t>
      </w:r>
      <w:r w:rsidR="00E745A7" w:rsidRPr="00E745A7">
        <w:t xml:space="preserve"> </w:t>
      </w:r>
      <w:r w:rsidR="00E745A7" w:rsidRPr="00E745A7">
        <w:rPr>
          <w:sz w:val="22"/>
          <w:szCs w:val="22"/>
        </w:rPr>
        <w:t>General Practitioners (GPs) are consulted by 15% of the reported 20 million people in the United Kingdom (UK) with symptoms of rheumatic disease each year, formi</w:t>
      </w:r>
      <w:r w:rsidR="00E745A7">
        <w:rPr>
          <w:sz w:val="22"/>
          <w:szCs w:val="22"/>
        </w:rPr>
        <w:t>ng up to 25% of a GPs workload [9]</w:t>
      </w:r>
      <w:r w:rsidR="00E745A7" w:rsidRPr="00E745A7">
        <w:rPr>
          <w:sz w:val="22"/>
          <w:szCs w:val="22"/>
        </w:rPr>
        <w:t xml:space="preserve">; with nearly 30% of the older population in chronic pain due to ‘arthritis’ </w:t>
      </w:r>
      <w:r w:rsidR="00E745A7">
        <w:rPr>
          <w:sz w:val="22"/>
          <w:szCs w:val="22"/>
        </w:rPr>
        <w:t>[10]</w:t>
      </w:r>
      <w:r w:rsidR="00E745A7" w:rsidRPr="00E745A7">
        <w:rPr>
          <w:sz w:val="22"/>
          <w:szCs w:val="22"/>
        </w:rPr>
        <w:t xml:space="preserve"> or a lessened quality of life </w:t>
      </w:r>
      <w:r w:rsidR="00E745A7">
        <w:rPr>
          <w:sz w:val="22"/>
          <w:szCs w:val="22"/>
        </w:rPr>
        <w:t>[11]</w:t>
      </w:r>
      <w:r w:rsidR="00E745A7" w:rsidRPr="00E745A7">
        <w:rPr>
          <w:sz w:val="22"/>
          <w:szCs w:val="22"/>
        </w:rPr>
        <w:t xml:space="preserve">, </w:t>
      </w:r>
      <w:proofErr w:type="spellStart"/>
      <w:r w:rsidR="00E745A7" w:rsidRPr="00E745A7">
        <w:rPr>
          <w:sz w:val="22"/>
          <w:szCs w:val="22"/>
        </w:rPr>
        <w:t>rheumatological</w:t>
      </w:r>
      <w:proofErr w:type="spellEnd"/>
      <w:r w:rsidR="00E745A7" w:rsidRPr="00E745A7">
        <w:rPr>
          <w:sz w:val="22"/>
          <w:szCs w:val="22"/>
        </w:rPr>
        <w:t xml:space="preserve"> disability is predicted to be a major public health concern in the </w:t>
      </w:r>
      <w:r w:rsidR="00E745A7">
        <w:rPr>
          <w:sz w:val="22"/>
          <w:szCs w:val="22"/>
        </w:rPr>
        <w:t>coming years [12]</w:t>
      </w:r>
      <w:r w:rsidR="00E745A7" w:rsidRPr="00E745A7">
        <w:rPr>
          <w:sz w:val="22"/>
          <w:szCs w:val="22"/>
        </w:rPr>
        <w:t>.</w:t>
      </w:r>
      <w:r w:rsidR="00B101CC" w:rsidRPr="00E745A7">
        <w:rPr>
          <w:sz w:val="22"/>
          <w:szCs w:val="22"/>
        </w:rPr>
        <w:t xml:space="preserve"> </w:t>
      </w:r>
      <w:r w:rsidRPr="00E745A7">
        <w:rPr>
          <w:sz w:val="22"/>
          <w:szCs w:val="22"/>
        </w:rPr>
        <w:t xml:space="preserve"> This loss of podiatry</w:t>
      </w:r>
      <w:r w:rsidRPr="00093458">
        <w:rPr>
          <w:sz w:val="22"/>
          <w:szCs w:val="22"/>
        </w:rPr>
        <w:t xml:space="preserve"> services from the </w:t>
      </w:r>
      <w:r w:rsidR="00B656BF" w:rsidRPr="00093458">
        <w:rPr>
          <w:sz w:val="22"/>
          <w:szCs w:val="22"/>
        </w:rPr>
        <w:t xml:space="preserve">UK </w:t>
      </w:r>
      <w:r w:rsidRPr="00093458">
        <w:rPr>
          <w:sz w:val="22"/>
          <w:szCs w:val="22"/>
        </w:rPr>
        <w:t xml:space="preserve">NHS potentially puts the </w:t>
      </w:r>
      <w:proofErr w:type="gramStart"/>
      <w:r w:rsidRPr="00093458">
        <w:rPr>
          <w:sz w:val="22"/>
          <w:szCs w:val="22"/>
        </w:rPr>
        <w:t>most frail</w:t>
      </w:r>
      <w:proofErr w:type="gramEnd"/>
      <w:r w:rsidRPr="00093458">
        <w:rPr>
          <w:sz w:val="22"/>
          <w:szCs w:val="22"/>
        </w:rPr>
        <w:t xml:space="preserve"> and vulnerable people at risk of mobility loss</w:t>
      </w:r>
      <w:r w:rsidR="00A062B0">
        <w:rPr>
          <w:sz w:val="22"/>
          <w:szCs w:val="22"/>
        </w:rPr>
        <w:t xml:space="preserve"> [</w:t>
      </w:r>
      <w:r w:rsidR="00E745A7">
        <w:rPr>
          <w:sz w:val="22"/>
          <w:szCs w:val="22"/>
        </w:rPr>
        <w:t>13,14</w:t>
      </w:r>
      <w:r w:rsidR="00A062B0">
        <w:rPr>
          <w:sz w:val="22"/>
          <w:szCs w:val="22"/>
        </w:rPr>
        <w:t>]</w:t>
      </w:r>
      <w:r w:rsidRPr="00093458">
        <w:rPr>
          <w:sz w:val="22"/>
          <w:szCs w:val="22"/>
        </w:rPr>
        <w:t>. The primary aim of this investigation was to understand the views of podiatr</w:t>
      </w:r>
      <w:r w:rsidR="00CB50EF">
        <w:rPr>
          <w:sz w:val="22"/>
          <w:szCs w:val="22"/>
        </w:rPr>
        <w:t>ists</w:t>
      </w:r>
      <w:r w:rsidRPr="00093458">
        <w:rPr>
          <w:sz w:val="22"/>
          <w:szCs w:val="22"/>
        </w:rPr>
        <w:t xml:space="preserve"> on their experiences of referral, access, provision and treatment for foot problems for patients who have arthritis. Arthritis was selected as the long-term condition to scrutinise due to feedback from our patient and public involvement (PPI) consultations </w:t>
      </w:r>
      <w:r w:rsidR="00CC549C">
        <w:rPr>
          <w:sz w:val="22"/>
          <w:szCs w:val="22"/>
        </w:rPr>
        <w:t xml:space="preserve">as the one that caused the most </w:t>
      </w:r>
      <w:r w:rsidRPr="00093458">
        <w:rPr>
          <w:sz w:val="22"/>
          <w:szCs w:val="22"/>
        </w:rPr>
        <w:t>confusion over access to foot-care.</w:t>
      </w:r>
    </w:p>
    <w:p w14:paraId="3D232B58" w14:textId="6576EA0A" w:rsidR="00A0275D" w:rsidRPr="00A0275D" w:rsidRDefault="00455C4E" w:rsidP="00A0275D">
      <w:pPr>
        <w:pStyle w:val="Heading1"/>
        <w:rPr>
          <w:rFonts w:ascii="Arial" w:hAnsi="Arial" w:cs="Arial"/>
          <w:b/>
          <w:color w:val="auto"/>
        </w:rPr>
      </w:pPr>
      <w:r w:rsidRPr="00EC2967">
        <w:rPr>
          <w:rFonts w:ascii="Arial" w:hAnsi="Arial" w:cs="Arial"/>
          <w:b/>
          <w:color w:val="auto"/>
        </w:rPr>
        <w:t>Methods</w:t>
      </w:r>
    </w:p>
    <w:p w14:paraId="0942B1A7" w14:textId="1A27D481" w:rsidR="00A0275D" w:rsidRPr="00A0275D" w:rsidRDefault="00A0275D" w:rsidP="00A0275D">
      <w:pPr>
        <w:pStyle w:val="Heading1"/>
        <w:rPr>
          <w:rFonts w:asciiTheme="minorHAnsi" w:eastAsiaTheme="minorEastAsia" w:hAnsiTheme="minorHAnsi" w:cstheme="minorBidi"/>
          <w:color w:val="auto"/>
          <w:sz w:val="22"/>
          <w:szCs w:val="22"/>
        </w:rPr>
      </w:pPr>
      <w:r w:rsidRPr="00A0275D">
        <w:rPr>
          <w:rFonts w:asciiTheme="minorHAnsi" w:eastAsiaTheme="minorEastAsia" w:hAnsiTheme="minorHAnsi" w:cstheme="minorBidi"/>
          <w:color w:val="auto"/>
          <w:sz w:val="22"/>
          <w:szCs w:val="22"/>
        </w:rPr>
        <w:t>A qualitative research study design was employed to enable a deep exploration of podiatrists’ views, to gain feedback on experiences of barriers and facilitators to referral, access, provision and treatment for foot problems for individuals living with arthritis.  Focus groups were chosen as the most appropriate approach to capture a large amount of information in a relatively short period of time [15] and allowed us to not only to identify the issues that the podiatrists’ raised, but also allowed for the observation of how podiatrists discussed the issues in a ‘natural’ social setting.  The methods adopted reflected existing standards for robustness in qualitative research, deploying triangulation of data, respondent validation and data saturation, which guided the final sample size [</w:t>
      </w:r>
      <w:r w:rsidR="008A436A">
        <w:rPr>
          <w:rFonts w:asciiTheme="minorHAnsi" w:eastAsiaTheme="minorEastAsia" w:hAnsiTheme="minorHAnsi" w:cstheme="minorBidi"/>
          <w:color w:val="auto"/>
          <w:sz w:val="22"/>
          <w:szCs w:val="22"/>
        </w:rPr>
        <w:t>16, 17, 18].</w:t>
      </w:r>
    </w:p>
    <w:p w14:paraId="5EA60F9C" w14:textId="77777777" w:rsidR="00A0275D" w:rsidRPr="00A0275D" w:rsidRDefault="00A0275D" w:rsidP="00A0275D">
      <w:pPr>
        <w:pStyle w:val="Heading2"/>
        <w:rPr>
          <w:rFonts w:ascii="Arial" w:hAnsi="Arial" w:cs="Arial"/>
          <w:sz w:val="22"/>
          <w:szCs w:val="22"/>
          <w:u w:val="none"/>
        </w:rPr>
      </w:pPr>
      <w:r w:rsidRPr="00A0275D">
        <w:rPr>
          <w:rFonts w:ascii="Arial" w:hAnsi="Arial" w:cs="Arial"/>
          <w:sz w:val="22"/>
          <w:szCs w:val="22"/>
          <w:u w:val="none"/>
        </w:rPr>
        <w:t>Participants</w:t>
      </w:r>
    </w:p>
    <w:p w14:paraId="23B1B980" w14:textId="77777777" w:rsidR="00A0275D" w:rsidRPr="00A0275D" w:rsidRDefault="00A0275D" w:rsidP="00A0275D">
      <w:pPr>
        <w:pStyle w:val="Heading1"/>
        <w:rPr>
          <w:rFonts w:asciiTheme="minorHAnsi" w:eastAsiaTheme="minorEastAsia" w:hAnsiTheme="minorHAnsi" w:cstheme="minorBidi"/>
          <w:color w:val="auto"/>
          <w:sz w:val="22"/>
          <w:szCs w:val="22"/>
        </w:rPr>
      </w:pPr>
      <w:r w:rsidRPr="00A0275D">
        <w:rPr>
          <w:rFonts w:asciiTheme="minorHAnsi" w:eastAsiaTheme="minorEastAsia" w:hAnsiTheme="minorHAnsi" w:cstheme="minorBidi"/>
          <w:color w:val="auto"/>
          <w:sz w:val="22"/>
          <w:szCs w:val="22"/>
        </w:rPr>
        <w:t>Participants were recruited through their membership of the College of Podiatry UK. Potential participants were emailed a brief overview of the study through the Colleges’ newswire. Those interested in joining the study were emailed an information sheet, along with the contact details of the primary investigator (</w:t>
      </w:r>
      <w:proofErr w:type="spellStart"/>
      <w:r w:rsidRPr="00A0275D">
        <w:rPr>
          <w:rFonts w:asciiTheme="minorHAnsi" w:eastAsiaTheme="minorEastAsia" w:hAnsiTheme="minorHAnsi" w:cstheme="minorBidi"/>
          <w:color w:val="auto"/>
          <w:sz w:val="22"/>
          <w:szCs w:val="22"/>
        </w:rPr>
        <w:t>LMc</w:t>
      </w:r>
      <w:proofErr w:type="spellEnd"/>
      <w:r w:rsidRPr="00A0275D">
        <w:rPr>
          <w:rFonts w:asciiTheme="minorHAnsi" w:eastAsiaTheme="minorEastAsia" w:hAnsiTheme="minorHAnsi" w:cstheme="minorBidi"/>
          <w:color w:val="auto"/>
          <w:sz w:val="22"/>
          <w:szCs w:val="22"/>
        </w:rPr>
        <w:t>). Interested podiatrists then contacted the primary investigator (</w:t>
      </w:r>
      <w:proofErr w:type="spellStart"/>
      <w:r w:rsidRPr="00A0275D">
        <w:rPr>
          <w:rFonts w:asciiTheme="minorHAnsi" w:eastAsiaTheme="minorEastAsia" w:hAnsiTheme="minorHAnsi" w:cstheme="minorBidi"/>
          <w:color w:val="auto"/>
          <w:sz w:val="22"/>
          <w:szCs w:val="22"/>
        </w:rPr>
        <w:t>LMc</w:t>
      </w:r>
      <w:proofErr w:type="spellEnd"/>
      <w:r w:rsidRPr="00A0275D">
        <w:rPr>
          <w:rFonts w:asciiTheme="minorHAnsi" w:eastAsiaTheme="minorEastAsia" w:hAnsiTheme="minorHAnsi" w:cstheme="minorBidi"/>
          <w:color w:val="auto"/>
          <w:sz w:val="22"/>
          <w:szCs w:val="22"/>
        </w:rPr>
        <w:t xml:space="preserve">) for additional information, to have any further questions answered and be screened against the project’s criteria. </w:t>
      </w:r>
    </w:p>
    <w:p w14:paraId="74263791" w14:textId="77777777" w:rsidR="00A0275D" w:rsidRPr="00A0275D" w:rsidRDefault="00A0275D" w:rsidP="00A0275D">
      <w:pPr>
        <w:pStyle w:val="Heading1"/>
        <w:rPr>
          <w:rFonts w:asciiTheme="minorHAnsi" w:eastAsiaTheme="minorEastAsia" w:hAnsiTheme="minorHAnsi" w:cstheme="minorBidi"/>
          <w:color w:val="auto"/>
          <w:sz w:val="22"/>
          <w:szCs w:val="22"/>
        </w:rPr>
      </w:pPr>
      <w:r w:rsidRPr="00A0275D">
        <w:rPr>
          <w:rFonts w:asciiTheme="minorHAnsi" w:eastAsiaTheme="minorEastAsia" w:hAnsiTheme="minorHAnsi" w:cstheme="minorBidi"/>
          <w:color w:val="auto"/>
          <w:sz w:val="22"/>
          <w:szCs w:val="22"/>
        </w:rPr>
        <w:t xml:space="preserve">A purposive sampling strategy was undertaken, consistent with the qualitative study design adopted.  Participants were selected according to time since qualification, employer (NHS, independent or academia) and experience of managing foot health for individual’s living with arthritis, to ensure the study would capture insightful and meaningful data from a diversity of experience, employments and perspectives.  To enable a ‘snapshot’ of 2 representative areas of the UK, 2 zones were established; Yorkshire (North England) and Hampshire (South England) and a focus group interview was held in each of the zones. </w:t>
      </w:r>
    </w:p>
    <w:p w14:paraId="792EAE3B" w14:textId="77777777" w:rsidR="00A0275D" w:rsidRPr="00A0275D" w:rsidRDefault="00A0275D" w:rsidP="00A0275D">
      <w:pPr>
        <w:pStyle w:val="Heading2"/>
        <w:rPr>
          <w:u w:val="none"/>
        </w:rPr>
      </w:pPr>
      <w:r w:rsidRPr="00A0275D">
        <w:rPr>
          <w:rFonts w:ascii="Arial" w:hAnsi="Arial" w:cs="Arial"/>
          <w:sz w:val="22"/>
          <w:szCs w:val="22"/>
          <w:u w:val="none"/>
        </w:rPr>
        <w:t>Procedure</w:t>
      </w:r>
    </w:p>
    <w:p w14:paraId="0EDF17AE" w14:textId="5AFDA368" w:rsidR="00A0275D" w:rsidRPr="00A0275D" w:rsidRDefault="00A0275D" w:rsidP="00A0275D">
      <w:pPr>
        <w:pStyle w:val="Heading1"/>
        <w:rPr>
          <w:rFonts w:asciiTheme="minorHAnsi" w:eastAsiaTheme="minorEastAsia" w:hAnsiTheme="minorHAnsi" w:cstheme="minorBidi"/>
          <w:color w:val="auto"/>
          <w:sz w:val="22"/>
          <w:szCs w:val="22"/>
        </w:rPr>
      </w:pPr>
      <w:r w:rsidRPr="00A0275D">
        <w:rPr>
          <w:rFonts w:asciiTheme="minorHAnsi" w:eastAsiaTheme="minorEastAsia" w:hAnsiTheme="minorHAnsi" w:cstheme="minorBidi"/>
          <w:color w:val="auto"/>
          <w:sz w:val="22"/>
          <w:szCs w:val="22"/>
        </w:rPr>
        <w:t>Each focus group was conducted by the main researcher (</w:t>
      </w:r>
      <w:proofErr w:type="spellStart"/>
      <w:r w:rsidRPr="00A0275D">
        <w:rPr>
          <w:rFonts w:asciiTheme="minorHAnsi" w:eastAsiaTheme="minorEastAsia" w:hAnsiTheme="minorHAnsi" w:cstheme="minorBidi"/>
          <w:color w:val="auto"/>
          <w:sz w:val="22"/>
          <w:szCs w:val="22"/>
        </w:rPr>
        <w:t>LMc</w:t>
      </w:r>
      <w:proofErr w:type="spellEnd"/>
      <w:r w:rsidRPr="00A0275D">
        <w:rPr>
          <w:rFonts w:asciiTheme="minorHAnsi" w:eastAsiaTheme="minorEastAsia" w:hAnsiTheme="minorHAnsi" w:cstheme="minorBidi"/>
          <w:color w:val="auto"/>
          <w:sz w:val="22"/>
          <w:szCs w:val="22"/>
        </w:rPr>
        <w:t>) supported by a second investigator (KE in Yorkshire; AB in Hampshire) as note-taker to aid with reflection, transcription and subsequent coding.  General topics for discussion were identified with pre-determined ‘topic guide’ questions written prior to the focus groups. The topic guide was informed by, and constructed from, the findings from analysis of a systematic review of the literature relative to evidence for podiatry and foot care conducted by the team [</w:t>
      </w:r>
      <w:r w:rsidR="00B256D7">
        <w:rPr>
          <w:rFonts w:asciiTheme="minorHAnsi" w:eastAsiaTheme="minorEastAsia" w:hAnsiTheme="minorHAnsi" w:cstheme="minorBidi"/>
          <w:color w:val="auto"/>
          <w:sz w:val="22"/>
          <w:szCs w:val="22"/>
        </w:rPr>
        <w:t>19</w:t>
      </w:r>
      <w:r w:rsidRPr="00A0275D">
        <w:rPr>
          <w:rFonts w:asciiTheme="minorHAnsi" w:eastAsiaTheme="minorEastAsia" w:hAnsiTheme="minorHAnsi" w:cstheme="minorBidi"/>
          <w:color w:val="auto"/>
          <w:sz w:val="22"/>
          <w:szCs w:val="22"/>
        </w:rPr>
        <w:t>].</w:t>
      </w:r>
    </w:p>
    <w:p w14:paraId="6CC13CD8" w14:textId="5592870A" w:rsidR="00A0275D" w:rsidRDefault="00A0275D" w:rsidP="00A0275D">
      <w:pPr>
        <w:pStyle w:val="Heading1"/>
        <w:rPr>
          <w:rFonts w:asciiTheme="minorHAnsi" w:eastAsiaTheme="minorEastAsia" w:hAnsiTheme="minorHAnsi" w:cstheme="minorBidi"/>
          <w:color w:val="auto"/>
          <w:sz w:val="22"/>
          <w:szCs w:val="22"/>
        </w:rPr>
      </w:pPr>
      <w:r w:rsidRPr="00A0275D">
        <w:rPr>
          <w:rFonts w:asciiTheme="minorHAnsi" w:eastAsiaTheme="minorEastAsia" w:hAnsiTheme="minorHAnsi" w:cstheme="minorBidi"/>
          <w:color w:val="auto"/>
          <w:sz w:val="22"/>
          <w:szCs w:val="22"/>
        </w:rPr>
        <w:t>Digital audio-recordings were transcribed, anonymised and imported into a data analysis package (N-Vivo 11). Using this and manual methods, codes were generated by noting recurring comments and used to categorise responses by the researcher (</w:t>
      </w:r>
      <w:proofErr w:type="spellStart"/>
      <w:r w:rsidRPr="00A0275D">
        <w:rPr>
          <w:rFonts w:asciiTheme="minorHAnsi" w:eastAsiaTheme="minorEastAsia" w:hAnsiTheme="minorHAnsi" w:cstheme="minorBidi"/>
          <w:color w:val="auto"/>
          <w:sz w:val="22"/>
          <w:szCs w:val="22"/>
        </w:rPr>
        <w:t>LMc</w:t>
      </w:r>
      <w:proofErr w:type="spellEnd"/>
      <w:r w:rsidRPr="00A0275D">
        <w:rPr>
          <w:rFonts w:asciiTheme="minorHAnsi" w:eastAsiaTheme="minorEastAsia" w:hAnsiTheme="minorHAnsi" w:cstheme="minorBidi"/>
          <w:color w:val="auto"/>
          <w:sz w:val="22"/>
          <w:szCs w:val="22"/>
        </w:rPr>
        <w:t>). The codes were refined, compared and grouped into similar features which served as potential themes. Thematic analysis was identified as a suitable method to search for patterns related to podiatrists’ views on podiatry services for individual’s living with arthritis [1</w:t>
      </w:r>
      <w:r w:rsidR="00B256D7">
        <w:rPr>
          <w:rFonts w:asciiTheme="minorHAnsi" w:eastAsiaTheme="minorEastAsia" w:hAnsiTheme="minorHAnsi" w:cstheme="minorBidi"/>
          <w:color w:val="auto"/>
          <w:sz w:val="22"/>
          <w:szCs w:val="22"/>
        </w:rPr>
        <w:t>6</w:t>
      </w:r>
      <w:r w:rsidR="00330B6C">
        <w:rPr>
          <w:rFonts w:asciiTheme="minorHAnsi" w:eastAsiaTheme="minorEastAsia" w:hAnsiTheme="minorHAnsi" w:cstheme="minorBidi"/>
          <w:color w:val="auto"/>
          <w:sz w:val="22"/>
          <w:szCs w:val="22"/>
        </w:rPr>
        <w:t>, 18</w:t>
      </w:r>
      <w:r w:rsidRPr="00A0275D">
        <w:rPr>
          <w:rFonts w:asciiTheme="minorHAnsi" w:eastAsiaTheme="minorEastAsia" w:hAnsiTheme="minorHAnsi" w:cstheme="minorBidi"/>
          <w:color w:val="auto"/>
          <w:sz w:val="22"/>
          <w:szCs w:val="22"/>
        </w:rPr>
        <w:t>].  Emerging themes were discussed by the wider research team (</w:t>
      </w:r>
      <w:proofErr w:type="spellStart"/>
      <w:r w:rsidRPr="00A0275D">
        <w:rPr>
          <w:rFonts w:asciiTheme="minorHAnsi" w:eastAsiaTheme="minorEastAsia" w:hAnsiTheme="minorHAnsi" w:cstheme="minorBidi"/>
          <w:color w:val="auto"/>
          <w:sz w:val="22"/>
          <w:szCs w:val="22"/>
        </w:rPr>
        <w:t>LMc</w:t>
      </w:r>
      <w:proofErr w:type="spellEnd"/>
      <w:r w:rsidRPr="00A0275D">
        <w:rPr>
          <w:rFonts w:asciiTheme="minorHAnsi" w:eastAsiaTheme="minorEastAsia" w:hAnsiTheme="minorHAnsi" w:cstheme="minorBidi"/>
          <w:color w:val="auto"/>
          <w:sz w:val="22"/>
          <w:szCs w:val="22"/>
        </w:rPr>
        <w:t>, AB, CB) for verification, identification of any additional areas of interest and consensus via discussion of patterns across the data. Potential themes were repeatedly discussed by the research team to identify any alternative interpretations.  The process of verifying themes as a team provided a more rigorous approach, different perspectives and agreement on final themes.</w:t>
      </w:r>
    </w:p>
    <w:p w14:paraId="661F2C68" w14:textId="4482E613" w:rsidR="005D318D" w:rsidRPr="00EC2967" w:rsidRDefault="005D318D" w:rsidP="00A0275D">
      <w:pPr>
        <w:pStyle w:val="Heading1"/>
        <w:rPr>
          <w:rFonts w:ascii="Arial" w:hAnsi="Arial" w:cs="Arial"/>
          <w:b/>
          <w:bCs/>
          <w:color w:val="auto"/>
          <w:u w:val="single"/>
        </w:rPr>
      </w:pPr>
      <w:r w:rsidRPr="00EC2967">
        <w:rPr>
          <w:rFonts w:ascii="Arial" w:hAnsi="Arial" w:cs="Arial"/>
          <w:b/>
          <w:color w:val="auto"/>
        </w:rPr>
        <w:t>Results</w:t>
      </w:r>
    </w:p>
    <w:p w14:paraId="755EBF46" w14:textId="67EE3BEC" w:rsidR="005A19A6" w:rsidRDefault="005D318D" w:rsidP="00093458">
      <w:pPr>
        <w:rPr>
          <w:rFonts w:cs="Times New Roman"/>
          <w:sz w:val="22"/>
          <w:szCs w:val="22"/>
        </w:rPr>
      </w:pPr>
      <w:r w:rsidRPr="00093458">
        <w:rPr>
          <w:sz w:val="22"/>
          <w:szCs w:val="22"/>
        </w:rPr>
        <w:t>The study recru</w:t>
      </w:r>
      <w:r w:rsidR="00067B26" w:rsidRPr="00093458">
        <w:rPr>
          <w:sz w:val="22"/>
          <w:szCs w:val="22"/>
        </w:rPr>
        <w:t xml:space="preserve">ited 12 participants in total, </w:t>
      </w:r>
      <w:r w:rsidR="001961D7">
        <w:rPr>
          <w:sz w:val="22"/>
          <w:szCs w:val="22"/>
        </w:rPr>
        <w:t>six</w:t>
      </w:r>
      <w:r w:rsidRPr="00093458">
        <w:rPr>
          <w:sz w:val="22"/>
          <w:szCs w:val="22"/>
        </w:rPr>
        <w:t xml:space="preserve"> to </w:t>
      </w:r>
      <w:r w:rsidR="002E508E" w:rsidRPr="00093458">
        <w:rPr>
          <w:sz w:val="22"/>
          <w:szCs w:val="22"/>
        </w:rPr>
        <w:t>each</w:t>
      </w:r>
      <w:r w:rsidRPr="00093458">
        <w:rPr>
          <w:sz w:val="22"/>
          <w:szCs w:val="22"/>
        </w:rPr>
        <w:t xml:space="preserve"> focus group.</w:t>
      </w:r>
      <w:r w:rsidR="00146091" w:rsidRPr="00093458">
        <w:rPr>
          <w:sz w:val="22"/>
          <w:szCs w:val="22"/>
        </w:rPr>
        <w:t xml:space="preserve"> </w:t>
      </w:r>
      <w:r w:rsidR="001C33B9" w:rsidRPr="00093458">
        <w:rPr>
          <w:sz w:val="22"/>
          <w:szCs w:val="22"/>
        </w:rPr>
        <w:t xml:space="preserve">Of the clinical podiatrists interviewed, </w:t>
      </w:r>
      <w:r w:rsidR="001961D7">
        <w:rPr>
          <w:sz w:val="22"/>
          <w:szCs w:val="22"/>
        </w:rPr>
        <w:t>three</w:t>
      </w:r>
      <w:r w:rsidR="002E508E" w:rsidRPr="00093458">
        <w:rPr>
          <w:sz w:val="22"/>
          <w:szCs w:val="22"/>
        </w:rPr>
        <w:t xml:space="preserve"> </w:t>
      </w:r>
      <w:r w:rsidR="001C33B9" w:rsidRPr="00093458">
        <w:rPr>
          <w:sz w:val="22"/>
          <w:szCs w:val="22"/>
        </w:rPr>
        <w:t xml:space="preserve">were </w:t>
      </w:r>
      <w:r w:rsidR="002E508E" w:rsidRPr="00093458">
        <w:rPr>
          <w:sz w:val="22"/>
          <w:szCs w:val="22"/>
        </w:rPr>
        <w:t xml:space="preserve">solely </w:t>
      </w:r>
      <w:r w:rsidR="001C33B9" w:rsidRPr="00093458">
        <w:rPr>
          <w:sz w:val="22"/>
          <w:szCs w:val="22"/>
        </w:rPr>
        <w:t>NHS</w:t>
      </w:r>
      <w:r w:rsidR="002E508E" w:rsidRPr="00093458">
        <w:rPr>
          <w:sz w:val="22"/>
          <w:szCs w:val="22"/>
        </w:rPr>
        <w:t xml:space="preserve"> employed, </w:t>
      </w:r>
      <w:r w:rsidR="001961D7">
        <w:rPr>
          <w:sz w:val="22"/>
          <w:szCs w:val="22"/>
        </w:rPr>
        <w:t>three</w:t>
      </w:r>
      <w:r w:rsidR="001C33B9" w:rsidRPr="00093458">
        <w:rPr>
          <w:sz w:val="22"/>
          <w:szCs w:val="22"/>
        </w:rPr>
        <w:t xml:space="preserve"> were </w:t>
      </w:r>
      <w:r w:rsidR="002E508E" w:rsidRPr="00093458">
        <w:rPr>
          <w:sz w:val="22"/>
          <w:szCs w:val="22"/>
        </w:rPr>
        <w:t>solely in private practice</w:t>
      </w:r>
      <w:r w:rsidR="001C33B9" w:rsidRPr="00093458">
        <w:rPr>
          <w:sz w:val="22"/>
          <w:szCs w:val="22"/>
        </w:rPr>
        <w:t xml:space="preserve">, </w:t>
      </w:r>
      <w:r w:rsidR="001961D7">
        <w:rPr>
          <w:sz w:val="22"/>
          <w:szCs w:val="22"/>
        </w:rPr>
        <w:t>six</w:t>
      </w:r>
      <w:r w:rsidR="002E508E" w:rsidRPr="00093458">
        <w:rPr>
          <w:sz w:val="22"/>
          <w:szCs w:val="22"/>
        </w:rPr>
        <w:t xml:space="preserve"> worked in a variety of settings (including </w:t>
      </w:r>
      <w:r w:rsidR="001961D7">
        <w:rPr>
          <w:sz w:val="22"/>
          <w:szCs w:val="22"/>
        </w:rPr>
        <w:t>three</w:t>
      </w:r>
      <w:r w:rsidR="002E508E" w:rsidRPr="00093458">
        <w:rPr>
          <w:sz w:val="22"/>
          <w:szCs w:val="22"/>
        </w:rPr>
        <w:t xml:space="preserve"> working part-time in academia). N</w:t>
      </w:r>
      <w:r w:rsidR="001C33B9" w:rsidRPr="00093458">
        <w:rPr>
          <w:sz w:val="22"/>
          <w:szCs w:val="22"/>
        </w:rPr>
        <w:t>HS bandings (wher</w:t>
      </w:r>
      <w:r w:rsidR="002E508E" w:rsidRPr="00093458">
        <w:rPr>
          <w:sz w:val="22"/>
          <w:szCs w:val="22"/>
        </w:rPr>
        <w:t xml:space="preserve">e applicable) ranged from 5-8. </w:t>
      </w:r>
      <w:r w:rsidR="005A31D8" w:rsidRPr="00093458">
        <w:rPr>
          <w:sz w:val="22"/>
          <w:szCs w:val="22"/>
        </w:rPr>
        <w:t>Fifteen</w:t>
      </w:r>
      <w:r w:rsidR="001C33B9" w:rsidRPr="00093458">
        <w:rPr>
          <w:sz w:val="22"/>
          <w:szCs w:val="22"/>
        </w:rPr>
        <w:t xml:space="preserve"> codes</w:t>
      </w:r>
      <w:r w:rsidR="005A31D8" w:rsidRPr="00093458">
        <w:rPr>
          <w:sz w:val="22"/>
          <w:szCs w:val="22"/>
        </w:rPr>
        <w:t xml:space="preserve"> were</w:t>
      </w:r>
      <w:r w:rsidR="001C33B9" w:rsidRPr="00093458">
        <w:rPr>
          <w:sz w:val="22"/>
          <w:szCs w:val="22"/>
        </w:rPr>
        <w:t xml:space="preserve"> </w:t>
      </w:r>
      <w:r w:rsidR="005B3833" w:rsidRPr="00093458">
        <w:rPr>
          <w:sz w:val="22"/>
          <w:szCs w:val="22"/>
        </w:rPr>
        <w:t xml:space="preserve">initially </w:t>
      </w:r>
      <w:r w:rsidR="001C33B9" w:rsidRPr="00093458">
        <w:rPr>
          <w:sz w:val="22"/>
          <w:szCs w:val="22"/>
        </w:rPr>
        <w:t xml:space="preserve">identified from the 2 focus group interviews. </w:t>
      </w:r>
      <w:r w:rsidR="00012822" w:rsidRPr="00093458">
        <w:rPr>
          <w:rFonts w:cs="Times New Roman"/>
          <w:sz w:val="22"/>
          <w:szCs w:val="22"/>
        </w:rPr>
        <w:t>K</w:t>
      </w:r>
      <w:r w:rsidR="005A31D8" w:rsidRPr="00093458">
        <w:rPr>
          <w:rFonts w:cstheme="minorHAnsi"/>
          <w:sz w:val="22"/>
          <w:szCs w:val="22"/>
        </w:rPr>
        <w:t>ey</w:t>
      </w:r>
      <w:r w:rsidR="005A31D8" w:rsidRPr="00093458">
        <w:rPr>
          <w:rFonts w:cs="Times New Roman"/>
          <w:sz w:val="22"/>
          <w:szCs w:val="22"/>
        </w:rPr>
        <w:t xml:space="preserve"> themes were constructed via abductive analysis</w:t>
      </w:r>
      <w:r w:rsidR="006723D4" w:rsidRPr="00093458">
        <w:rPr>
          <w:rFonts w:cstheme="minorHAnsi"/>
          <w:sz w:val="22"/>
          <w:szCs w:val="22"/>
        </w:rPr>
        <w:t>, and are presented</w:t>
      </w:r>
      <w:r w:rsidR="005A31D8" w:rsidRPr="00093458">
        <w:rPr>
          <w:rFonts w:cstheme="minorHAnsi"/>
          <w:sz w:val="22"/>
          <w:szCs w:val="22"/>
        </w:rPr>
        <w:t xml:space="preserve"> in Table 1 with </w:t>
      </w:r>
      <w:r w:rsidR="006723D4" w:rsidRPr="00093458">
        <w:rPr>
          <w:rFonts w:cstheme="minorHAnsi"/>
          <w:sz w:val="22"/>
          <w:szCs w:val="22"/>
        </w:rPr>
        <w:t xml:space="preserve">the subthemes and </w:t>
      </w:r>
      <w:r w:rsidR="00BA2E85">
        <w:rPr>
          <w:rFonts w:cstheme="minorHAnsi"/>
          <w:sz w:val="22"/>
          <w:szCs w:val="22"/>
        </w:rPr>
        <w:t>one exemplar</w:t>
      </w:r>
      <w:r w:rsidR="005A19A6" w:rsidRPr="00093458">
        <w:rPr>
          <w:rFonts w:cstheme="minorHAnsi"/>
          <w:sz w:val="22"/>
          <w:szCs w:val="22"/>
        </w:rPr>
        <w:t xml:space="preserve"> </w:t>
      </w:r>
      <w:r w:rsidR="005A31D8" w:rsidRPr="00093458">
        <w:rPr>
          <w:rFonts w:cstheme="minorHAnsi"/>
          <w:sz w:val="22"/>
          <w:szCs w:val="22"/>
        </w:rPr>
        <w:t>quote</w:t>
      </w:r>
      <w:r w:rsidR="00067B26" w:rsidRPr="00093458">
        <w:rPr>
          <w:rFonts w:cstheme="minorHAnsi"/>
          <w:sz w:val="22"/>
          <w:szCs w:val="22"/>
        </w:rPr>
        <w:t xml:space="preserve">. </w:t>
      </w:r>
      <w:r w:rsidR="005A31D8" w:rsidRPr="00093458">
        <w:rPr>
          <w:rFonts w:cs="Times New Roman"/>
          <w:sz w:val="22"/>
          <w:szCs w:val="22"/>
        </w:rPr>
        <w:t>An abridged summary, with excerpts of data</w:t>
      </w:r>
      <w:r w:rsidR="005A31D8" w:rsidRPr="00093458">
        <w:rPr>
          <w:rFonts w:cstheme="minorHAnsi"/>
          <w:sz w:val="22"/>
          <w:szCs w:val="22"/>
        </w:rPr>
        <w:t xml:space="preserve"> drawn from the transcripts</w:t>
      </w:r>
      <w:r w:rsidR="005A31D8" w:rsidRPr="00093458">
        <w:rPr>
          <w:rFonts w:cs="Times New Roman"/>
          <w:sz w:val="22"/>
          <w:szCs w:val="22"/>
        </w:rPr>
        <w:t>, is presented below.</w:t>
      </w:r>
      <w:r w:rsidR="005B3833" w:rsidRPr="00093458">
        <w:rPr>
          <w:rFonts w:cstheme="minorHAnsi"/>
          <w:sz w:val="22"/>
          <w:szCs w:val="22"/>
        </w:rPr>
        <w:t xml:space="preserve"> </w:t>
      </w:r>
      <w:r w:rsidR="00A27E04" w:rsidRPr="00093458">
        <w:rPr>
          <w:rFonts w:cstheme="minorHAnsi"/>
          <w:sz w:val="22"/>
          <w:szCs w:val="22"/>
        </w:rPr>
        <w:t>Quotes are allocated alphabetical codes where required, for differentiation</w:t>
      </w:r>
      <w:r w:rsidR="005B3833" w:rsidRPr="00093458">
        <w:rPr>
          <w:rFonts w:cstheme="minorHAnsi"/>
          <w:sz w:val="22"/>
          <w:szCs w:val="22"/>
        </w:rPr>
        <w:t>.</w:t>
      </w:r>
      <w:r w:rsidR="005B3833" w:rsidRPr="00093458">
        <w:rPr>
          <w:rFonts w:cs="Times New Roman"/>
          <w:sz w:val="22"/>
          <w:szCs w:val="22"/>
        </w:rPr>
        <w:t xml:space="preserve"> </w:t>
      </w:r>
    </w:p>
    <w:p w14:paraId="238BC297" w14:textId="77777777" w:rsidR="00F43EDD" w:rsidRDefault="00F43EDD" w:rsidP="00093458">
      <w:pPr>
        <w:rPr>
          <w:rFonts w:cs="Times New Roman"/>
          <w:sz w:val="22"/>
          <w:szCs w:val="22"/>
        </w:rPr>
      </w:pPr>
    </w:p>
    <w:p w14:paraId="43B4E0EA" w14:textId="77777777" w:rsidR="00F43EDD" w:rsidRDefault="00F43EDD" w:rsidP="00093458">
      <w:pPr>
        <w:rPr>
          <w:rFonts w:cs="Times New Roman"/>
          <w:sz w:val="22"/>
          <w:szCs w:val="22"/>
        </w:rPr>
      </w:pPr>
    </w:p>
    <w:p w14:paraId="0D25447B" w14:textId="77777777" w:rsidR="00F43EDD" w:rsidRDefault="00F43EDD" w:rsidP="00093458">
      <w:pPr>
        <w:rPr>
          <w:rFonts w:cs="Times New Roman"/>
          <w:sz w:val="22"/>
          <w:szCs w:val="22"/>
        </w:rPr>
      </w:pPr>
    </w:p>
    <w:p w14:paraId="69C0E37F" w14:textId="77777777" w:rsidR="00F43EDD" w:rsidRDefault="00F43EDD" w:rsidP="00093458">
      <w:pPr>
        <w:rPr>
          <w:rFonts w:cs="Times New Roman"/>
          <w:sz w:val="22"/>
          <w:szCs w:val="22"/>
        </w:rPr>
      </w:pPr>
    </w:p>
    <w:p w14:paraId="27E45D8C" w14:textId="77777777" w:rsidR="00F43EDD" w:rsidRPr="00093458" w:rsidRDefault="00F43EDD" w:rsidP="00093458">
      <w:pPr>
        <w:rPr>
          <w:rFonts w:cs="Times New Roman"/>
          <w:sz w:val="22"/>
          <w:szCs w:val="22"/>
        </w:rPr>
      </w:pPr>
    </w:p>
    <w:p w14:paraId="0FE7E90B" w14:textId="09B3FDF4" w:rsidR="007F740A" w:rsidRDefault="007F740A" w:rsidP="007F740A">
      <w:pPr>
        <w:spacing w:before="240" w:line="240" w:lineRule="auto"/>
        <w:rPr>
          <w:rFonts w:ascii="Calibri" w:hAnsi="Calibri" w:cstheme="minorHAnsi"/>
          <w:b/>
          <w:bCs/>
          <w:sz w:val="20"/>
          <w:szCs w:val="22"/>
        </w:rPr>
      </w:pPr>
      <w:r w:rsidRPr="005A31D8">
        <w:rPr>
          <w:rFonts w:ascii="Calibri" w:hAnsi="Calibri" w:cstheme="minorHAnsi"/>
          <w:b/>
          <w:bCs/>
          <w:sz w:val="20"/>
          <w:szCs w:val="22"/>
        </w:rPr>
        <w:t>Table</w:t>
      </w:r>
      <w:r>
        <w:rPr>
          <w:rFonts w:ascii="Calibri" w:hAnsi="Calibri" w:cstheme="minorHAnsi"/>
          <w:b/>
          <w:bCs/>
          <w:sz w:val="20"/>
          <w:szCs w:val="22"/>
        </w:rPr>
        <w:t xml:space="preserve"> </w:t>
      </w:r>
      <w:r w:rsidRPr="005A31D8">
        <w:rPr>
          <w:rFonts w:ascii="Calibri" w:hAnsi="Calibri" w:cstheme="minorHAnsi"/>
          <w:b/>
          <w:bCs/>
          <w:sz w:val="20"/>
          <w:szCs w:val="22"/>
        </w:rPr>
        <w:t>1</w:t>
      </w:r>
      <w:r>
        <w:rPr>
          <w:rFonts w:ascii="Calibri" w:hAnsi="Calibri" w:cstheme="minorHAnsi"/>
          <w:b/>
          <w:bCs/>
          <w:sz w:val="20"/>
          <w:szCs w:val="22"/>
        </w:rPr>
        <w:t>:</w:t>
      </w:r>
      <w:r w:rsidRPr="005A31D8">
        <w:rPr>
          <w:rFonts w:ascii="Calibri" w:hAnsi="Calibri" w:cstheme="minorHAnsi"/>
          <w:b/>
          <w:bCs/>
          <w:sz w:val="20"/>
          <w:szCs w:val="22"/>
        </w:rPr>
        <w:t xml:space="preserve"> Key themes emergent from </w:t>
      </w:r>
      <w:r>
        <w:rPr>
          <w:rFonts w:ascii="Calibri" w:hAnsi="Calibri" w:cstheme="minorHAnsi"/>
          <w:b/>
          <w:bCs/>
          <w:sz w:val="20"/>
          <w:szCs w:val="22"/>
        </w:rPr>
        <w:t>focus group interviews</w:t>
      </w:r>
    </w:p>
    <w:p w14:paraId="3E97B16D" w14:textId="4EDCDBE9" w:rsidR="005A31D8" w:rsidRPr="00093458" w:rsidRDefault="005B3833" w:rsidP="00093458">
      <w:pPr>
        <w:spacing w:line="276" w:lineRule="auto"/>
        <w:rPr>
          <w:rFonts w:cstheme="minorHAnsi"/>
          <w:sz w:val="22"/>
          <w:szCs w:val="22"/>
        </w:rPr>
      </w:pPr>
      <w:r w:rsidRPr="00093458">
        <w:rPr>
          <w:rFonts w:cs="Times New Roman"/>
          <w:sz w:val="22"/>
          <w:szCs w:val="22"/>
        </w:rPr>
        <w:t xml:space="preserve"> </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381"/>
        <w:gridCol w:w="3629"/>
      </w:tblGrid>
      <w:tr w:rsidR="00067B26" w:rsidRPr="00145003" w14:paraId="7C4F6F53" w14:textId="77777777" w:rsidTr="00EC2967">
        <w:trPr>
          <w:trHeight w:val="538"/>
        </w:trPr>
        <w:tc>
          <w:tcPr>
            <w:tcW w:w="5387" w:type="dxa"/>
            <w:shd w:val="clear" w:color="auto" w:fill="auto"/>
          </w:tcPr>
          <w:p w14:paraId="7404B8EB" w14:textId="3BB6BA44" w:rsidR="00067B26" w:rsidRPr="00145003" w:rsidRDefault="005A31D8" w:rsidP="005A31D8">
            <w:pPr>
              <w:rPr>
                <w:rFonts w:ascii="Calibri" w:hAnsi="Calibri"/>
              </w:rPr>
            </w:pPr>
            <w:r>
              <w:rPr>
                <w:rFonts w:ascii="Calibri" w:hAnsi="Calibri"/>
                <w:b/>
              </w:rPr>
              <w:t>Themes with</w:t>
            </w:r>
            <w:r w:rsidR="00067B26" w:rsidRPr="00145003">
              <w:rPr>
                <w:rFonts w:ascii="Calibri" w:hAnsi="Calibri"/>
                <w:b/>
              </w:rPr>
              <w:t xml:space="preserve"> key quote</w:t>
            </w:r>
          </w:p>
        </w:tc>
        <w:tc>
          <w:tcPr>
            <w:tcW w:w="3633" w:type="dxa"/>
            <w:shd w:val="clear" w:color="auto" w:fill="auto"/>
          </w:tcPr>
          <w:p w14:paraId="7436FB31" w14:textId="6FAAC1CE" w:rsidR="00067B26" w:rsidRPr="00145003" w:rsidRDefault="005B3833" w:rsidP="005B3833">
            <w:pPr>
              <w:rPr>
                <w:rFonts w:ascii="Calibri" w:hAnsi="Calibri"/>
              </w:rPr>
            </w:pPr>
            <w:r>
              <w:rPr>
                <w:rFonts w:ascii="Calibri" w:hAnsi="Calibri"/>
                <w:b/>
              </w:rPr>
              <w:t>Subthemes</w:t>
            </w:r>
          </w:p>
        </w:tc>
      </w:tr>
      <w:tr w:rsidR="00067B26" w:rsidRPr="00145003" w14:paraId="3E36F0D0" w14:textId="77777777" w:rsidTr="00EC2967">
        <w:trPr>
          <w:trHeight w:val="567"/>
        </w:trPr>
        <w:tc>
          <w:tcPr>
            <w:tcW w:w="5387" w:type="dxa"/>
            <w:shd w:val="clear" w:color="auto" w:fill="auto"/>
          </w:tcPr>
          <w:p w14:paraId="0E6EABFB" w14:textId="77777777" w:rsidR="00067B26" w:rsidRPr="00145003" w:rsidRDefault="00067B26" w:rsidP="00146091">
            <w:pPr>
              <w:rPr>
                <w:rFonts w:ascii="Calibri" w:hAnsi="Calibri"/>
                <w:b/>
              </w:rPr>
            </w:pPr>
            <w:r w:rsidRPr="00145003">
              <w:rPr>
                <w:rFonts w:ascii="Calibri" w:hAnsi="Calibri"/>
                <w:b/>
              </w:rPr>
              <w:t xml:space="preserve">Theme 1: </w:t>
            </w:r>
            <w:r w:rsidRPr="00145003">
              <w:rPr>
                <w:rFonts w:ascii="Calibri" w:hAnsi="Calibri"/>
              </w:rPr>
              <w:t>Evolving Professional Culture</w:t>
            </w:r>
          </w:p>
          <w:p w14:paraId="46C87428" w14:textId="77777777" w:rsidR="00067B26" w:rsidRPr="00145003" w:rsidRDefault="00067B26" w:rsidP="00146091">
            <w:pPr>
              <w:rPr>
                <w:rFonts w:ascii="Calibri" w:hAnsi="Calibri"/>
              </w:rPr>
            </w:pPr>
            <w:r w:rsidRPr="00145003">
              <w:rPr>
                <w:rFonts w:ascii="Calibri" w:hAnsi="Calibri"/>
                <w:i/>
              </w:rPr>
              <w:t>“Historically the commissioner’s never quite got around to finishing off writing the specification”</w:t>
            </w:r>
          </w:p>
        </w:tc>
        <w:tc>
          <w:tcPr>
            <w:tcW w:w="3633" w:type="dxa"/>
            <w:shd w:val="clear" w:color="auto" w:fill="auto"/>
          </w:tcPr>
          <w:p w14:paraId="131CF04F" w14:textId="77777777" w:rsidR="00067B26" w:rsidRPr="00145003" w:rsidRDefault="00067B26" w:rsidP="00146091">
            <w:pPr>
              <w:rPr>
                <w:rFonts w:ascii="Calibri" w:hAnsi="Calibri"/>
              </w:rPr>
            </w:pPr>
            <w:r w:rsidRPr="00145003">
              <w:rPr>
                <w:rFonts w:ascii="Calibri" w:hAnsi="Calibri"/>
              </w:rPr>
              <w:t>AHPs understanding of Podiatry</w:t>
            </w:r>
          </w:p>
          <w:p w14:paraId="583BCF01" w14:textId="77777777" w:rsidR="00067B26" w:rsidRPr="00145003" w:rsidRDefault="00067B26" w:rsidP="00146091">
            <w:pPr>
              <w:rPr>
                <w:rFonts w:ascii="Calibri" w:hAnsi="Calibri"/>
              </w:rPr>
            </w:pPr>
            <w:r w:rsidRPr="00145003">
              <w:rPr>
                <w:rFonts w:ascii="Calibri" w:hAnsi="Calibri"/>
              </w:rPr>
              <w:t>Commissioning</w:t>
            </w:r>
          </w:p>
          <w:p w14:paraId="09813E12" w14:textId="77777777" w:rsidR="00067B26" w:rsidRPr="00145003" w:rsidRDefault="00067B26" w:rsidP="00146091">
            <w:pPr>
              <w:rPr>
                <w:rFonts w:ascii="Calibri" w:hAnsi="Calibri"/>
              </w:rPr>
            </w:pPr>
            <w:r w:rsidRPr="00145003">
              <w:rPr>
                <w:rFonts w:ascii="Calibri" w:hAnsi="Calibri"/>
              </w:rPr>
              <w:t>Patients understanding of Podiatry</w:t>
            </w:r>
          </w:p>
        </w:tc>
      </w:tr>
      <w:tr w:rsidR="00067B26" w:rsidRPr="00145003" w14:paraId="72376C58" w14:textId="77777777" w:rsidTr="00EC2967">
        <w:trPr>
          <w:trHeight w:val="538"/>
        </w:trPr>
        <w:tc>
          <w:tcPr>
            <w:tcW w:w="5387" w:type="dxa"/>
            <w:shd w:val="clear" w:color="auto" w:fill="auto"/>
          </w:tcPr>
          <w:p w14:paraId="5CC11ED9" w14:textId="4376F43C" w:rsidR="00067B26" w:rsidRPr="00145003" w:rsidRDefault="00F5125C" w:rsidP="00146091">
            <w:pPr>
              <w:rPr>
                <w:rFonts w:ascii="Calibri" w:hAnsi="Calibri"/>
              </w:rPr>
            </w:pPr>
            <w:r>
              <w:rPr>
                <w:rFonts w:ascii="Calibri" w:hAnsi="Calibri"/>
                <w:b/>
              </w:rPr>
              <w:t xml:space="preserve">Theme 2: </w:t>
            </w:r>
            <w:r>
              <w:rPr>
                <w:rFonts w:ascii="Calibri" w:hAnsi="Calibri"/>
              </w:rPr>
              <w:t>‘Condition vs Complaint’</w:t>
            </w:r>
            <w:r w:rsidR="00067B26" w:rsidRPr="00145003">
              <w:rPr>
                <w:rFonts w:ascii="Calibri" w:hAnsi="Calibri"/>
              </w:rPr>
              <w:t xml:space="preserve"> </w:t>
            </w:r>
          </w:p>
          <w:p w14:paraId="77C94904" w14:textId="5855B425" w:rsidR="00067B26" w:rsidRPr="00145003" w:rsidRDefault="00012822" w:rsidP="00146091">
            <w:pPr>
              <w:rPr>
                <w:rFonts w:ascii="Calibri" w:hAnsi="Calibri"/>
                <w:i/>
              </w:rPr>
            </w:pPr>
            <w:r>
              <w:rPr>
                <w:rFonts w:ascii="Calibri" w:hAnsi="Calibri" w:cs="Times New Roman"/>
                <w:i/>
              </w:rPr>
              <w:t>“I</w:t>
            </w:r>
            <w:r w:rsidRPr="00145003">
              <w:rPr>
                <w:rFonts w:ascii="Calibri" w:hAnsi="Calibri" w:cs="Times New Roman"/>
                <w:i/>
              </w:rPr>
              <w:t>s it about the patient who’s got diabetes or is it that they’ve got di</w:t>
            </w:r>
            <w:r>
              <w:rPr>
                <w:rFonts w:ascii="Calibri" w:hAnsi="Calibri" w:cs="Times New Roman"/>
                <w:i/>
              </w:rPr>
              <w:t>abetic lower limb complications?</w:t>
            </w:r>
            <w:r w:rsidRPr="00145003">
              <w:rPr>
                <w:rFonts w:ascii="Calibri" w:hAnsi="Calibri" w:cs="Times New Roman"/>
                <w:i/>
              </w:rPr>
              <w:t xml:space="preserve"> Becaus</w:t>
            </w:r>
            <w:r>
              <w:rPr>
                <w:rFonts w:ascii="Calibri" w:hAnsi="Calibri" w:cs="Times New Roman"/>
                <w:i/>
              </w:rPr>
              <w:t>e the two are quite different.”</w:t>
            </w:r>
          </w:p>
        </w:tc>
        <w:tc>
          <w:tcPr>
            <w:tcW w:w="3633" w:type="dxa"/>
            <w:shd w:val="clear" w:color="auto" w:fill="auto"/>
          </w:tcPr>
          <w:p w14:paraId="2EE21DDD" w14:textId="1C328EF2" w:rsidR="00012822" w:rsidRPr="00145003" w:rsidRDefault="00012822" w:rsidP="00012822">
            <w:pPr>
              <w:rPr>
                <w:rFonts w:ascii="Calibri" w:hAnsi="Calibri"/>
              </w:rPr>
            </w:pPr>
            <w:r w:rsidRPr="00145003">
              <w:rPr>
                <w:rFonts w:ascii="Calibri" w:hAnsi="Calibri"/>
              </w:rPr>
              <w:t>Inequalities</w:t>
            </w:r>
            <w:r>
              <w:rPr>
                <w:rFonts w:ascii="Calibri" w:hAnsi="Calibri"/>
              </w:rPr>
              <w:t xml:space="preserve"> and e</w:t>
            </w:r>
            <w:r w:rsidRPr="00145003">
              <w:rPr>
                <w:rFonts w:ascii="Calibri" w:hAnsi="Calibri"/>
              </w:rPr>
              <w:t>ligibility</w:t>
            </w:r>
          </w:p>
          <w:p w14:paraId="5AA2915C" w14:textId="3AC5F57B" w:rsidR="00012822" w:rsidRDefault="00012822" w:rsidP="00012822">
            <w:pPr>
              <w:rPr>
                <w:rFonts w:ascii="Calibri" w:hAnsi="Calibri"/>
              </w:rPr>
            </w:pPr>
            <w:r w:rsidRPr="00145003">
              <w:rPr>
                <w:rFonts w:ascii="Calibri" w:hAnsi="Calibri"/>
              </w:rPr>
              <w:t xml:space="preserve">Private </w:t>
            </w:r>
            <w:r w:rsidR="00BC3F21">
              <w:rPr>
                <w:rFonts w:ascii="Calibri" w:hAnsi="Calibri"/>
              </w:rPr>
              <w:t>sector</w:t>
            </w:r>
            <w:r w:rsidRPr="00145003">
              <w:rPr>
                <w:rFonts w:ascii="Calibri" w:hAnsi="Calibri"/>
              </w:rPr>
              <w:t xml:space="preserve"> versus NHS </w:t>
            </w:r>
          </w:p>
          <w:p w14:paraId="33A0688C" w14:textId="29AF6BA6" w:rsidR="00012822" w:rsidRPr="00145003" w:rsidRDefault="00012822" w:rsidP="00012822">
            <w:pPr>
              <w:rPr>
                <w:rFonts w:ascii="Calibri" w:hAnsi="Calibri"/>
              </w:rPr>
            </w:pPr>
            <w:r w:rsidRPr="00145003">
              <w:rPr>
                <w:rFonts w:ascii="Calibri" w:hAnsi="Calibri"/>
              </w:rPr>
              <w:t>The current bandwagon</w:t>
            </w:r>
          </w:p>
          <w:p w14:paraId="53D01EB8" w14:textId="2BD7A4B8" w:rsidR="00067B26" w:rsidRPr="00145003" w:rsidRDefault="00012822" w:rsidP="00012822">
            <w:pPr>
              <w:rPr>
                <w:rFonts w:ascii="Calibri" w:hAnsi="Calibri"/>
              </w:rPr>
            </w:pPr>
            <w:r w:rsidRPr="00145003">
              <w:rPr>
                <w:rFonts w:ascii="Calibri" w:hAnsi="Calibri"/>
              </w:rPr>
              <w:t>Importance of Podiatry in Arthritis</w:t>
            </w:r>
          </w:p>
        </w:tc>
      </w:tr>
      <w:tr w:rsidR="00067B26" w:rsidRPr="00145003" w14:paraId="3D56CAD9" w14:textId="77777777" w:rsidTr="00EC2967">
        <w:trPr>
          <w:trHeight w:val="567"/>
        </w:trPr>
        <w:tc>
          <w:tcPr>
            <w:tcW w:w="5387" w:type="dxa"/>
            <w:shd w:val="clear" w:color="auto" w:fill="auto"/>
          </w:tcPr>
          <w:p w14:paraId="04A3E24C" w14:textId="4472A0E3" w:rsidR="00012822" w:rsidRPr="00145003" w:rsidRDefault="00012822" w:rsidP="00012822">
            <w:pPr>
              <w:rPr>
                <w:rFonts w:ascii="Calibri" w:hAnsi="Calibri"/>
              </w:rPr>
            </w:pPr>
            <w:r>
              <w:rPr>
                <w:rFonts w:ascii="Calibri" w:hAnsi="Calibri"/>
                <w:b/>
              </w:rPr>
              <w:t>T</w:t>
            </w:r>
            <w:r w:rsidRPr="00145003">
              <w:rPr>
                <w:rFonts w:ascii="Calibri" w:hAnsi="Calibri"/>
                <w:b/>
              </w:rPr>
              <w:t xml:space="preserve">heme </w:t>
            </w:r>
            <w:r w:rsidR="00F5125C">
              <w:rPr>
                <w:rFonts w:ascii="Calibri" w:hAnsi="Calibri"/>
                <w:b/>
              </w:rPr>
              <w:t>3</w:t>
            </w:r>
            <w:r w:rsidRPr="00145003">
              <w:rPr>
                <w:rFonts w:ascii="Calibri" w:hAnsi="Calibri"/>
              </w:rPr>
              <w:t>: Transforming and Sustaining Podiatry</w:t>
            </w:r>
          </w:p>
          <w:p w14:paraId="0013E70C" w14:textId="1E2D3C67" w:rsidR="00067B26" w:rsidRPr="00145003" w:rsidRDefault="00012822" w:rsidP="00012822">
            <w:pPr>
              <w:rPr>
                <w:rFonts w:ascii="Calibri" w:hAnsi="Calibri"/>
              </w:rPr>
            </w:pPr>
            <w:r w:rsidRPr="00145003">
              <w:rPr>
                <w:rFonts w:ascii="Calibri" w:eastAsia="Times New Roman" w:hAnsi="Calibri" w:cs="Times New Roman"/>
                <w:i/>
                <w:iCs/>
                <w:color w:val="000000"/>
                <w:lang w:eastAsia="en-GB"/>
              </w:rPr>
              <w:t>“We really need to go to the top and make podiatry the same as dental care, the same as eye care, the same as hearing, audiology, you know, we’re just off the radar.”</w:t>
            </w:r>
          </w:p>
        </w:tc>
        <w:tc>
          <w:tcPr>
            <w:tcW w:w="3633" w:type="dxa"/>
            <w:shd w:val="clear" w:color="auto" w:fill="auto"/>
          </w:tcPr>
          <w:p w14:paraId="0A742045" w14:textId="77777777" w:rsidR="00012822" w:rsidRPr="00145003" w:rsidRDefault="00012822" w:rsidP="00012822">
            <w:pPr>
              <w:rPr>
                <w:rFonts w:ascii="Calibri" w:hAnsi="Calibri"/>
              </w:rPr>
            </w:pPr>
            <w:r w:rsidRPr="00145003">
              <w:rPr>
                <w:rFonts w:ascii="Calibri" w:hAnsi="Calibri"/>
              </w:rPr>
              <w:t>Equipping Podiatrists</w:t>
            </w:r>
          </w:p>
          <w:p w14:paraId="2406B615" w14:textId="77777777" w:rsidR="00012822" w:rsidRPr="00145003" w:rsidRDefault="00012822" w:rsidP="00012822">
            <w:pPr>
              <w:rPr>
                <w:rFonts w:ascii="Calibri" w:hAnsi="Calibri"/>
              </w:rPr>
            </w:pPr>
            <w:r w:rsidRPr="00145003">
              <w:rPr>
                <w:rFonts w:ascii="Calibri" w:hAnsi="Calibri"/>
              </w:rPr>
              <w:t>Building Podiatry</w:t>
            </w:r>
          </w:p>
          <w:p w14:paraId="303A0822" w14:textId="30841441" w:rsidR="00067B26" w:rsidRPr="00145003" w:rsidRDefault="00012822" w:rsidP="00012822">
            <w:pPr>
              <w:rPr>
                <w:rFonts w:ascii="Calibri" w:hAnsi="Calibri"/>
              </w:rPr>
            </w:pPr>
            <w:r w:rsidRPr="00145003">
              <w:rPr>
                <w:rFonts w:ascii="Calibri" w:hAnsi="Calibri"/>
              </w:rPr>
              <w:t>Proposals for future shape of Podiatry</w:t>
            </w:r>
          </w:p>
        </w:tc>
      </w:tr>
    </w:tbl>
    <w:p w14:paraId="0DC6BC0C" w14:textId="77777777" w:rsidR="001B4ED6" w:rsidRPr="00EC2967" w:rsidRDefault="001B4ED6" w:rsidP="00093458">
      <w:pPr>
        <w:pStyle w:val="Heading2"/>
        <w:divId w:val="1009521970"/>
        <w:rPr>
          <w:rFonts w:ascii="Arial" w:hAnsi="Arial" w:cs="Arial"/>
          <w:sz w:val="22"/>
          <w:szCs w:val="22"/>
          <w:u w:val="none"/>
        </w:rPr>
      </w:pPr>
      <w:r w:rsidRPr="00EC2967">
        <w:rPr>
          <w:rFonts w:ascii="Arial" w:hAnsi="Arial" w:cs="Arial"/>
          <w:sz w:val="22"/>
          <w:szCs w:val="22"/>
          <w:u w:val="none"/>
        </w:rPr>
        <w:t>Theme 1: Evolving Professional Culture</w:t>
      </w:r>
    </w:p>
    <w:p w14:paraId="1CEACCDD" w14:textId="742459DE" w:rsidR="0087096D" w:rsidRPr="00093458" w:rsidRDefault="001B4ED6" w:rsidP="00093458">
      <w:pPr>
        <w:spacing w:before="240"/>
        <w:divId w:val="1009521970"/>
        <w:rPr>
          <w:rFonts w:cs="Times New Roman"/>
          <w:sz w:val="22"/>
          <w:szCs w:val="22"/>
        </w:rPr>
      </w:pPr>
      <w:r w:rsidRPr="00093458">
        <w:rPr>
          <w:rFonts w:cs="Times New Roman"/>
          <w:sz w:val="22"/>
          <w:szCs w:val="22"/>
        </w:rPr>
        <w:t xml:space="preserve">This theme presents clinical podiatrist’s perceptions on how podiatry </w:t>
      </w:r>
      <w:r w:rsidR="003B61F8" w:rsidRPr="00093458">
        <w:rPr>
          <w:rFonts w:cs="Times New Roman"/>
          <w:sz w:val="22"/>
          <w:szCs w:val="22"/>
        </w:rPr>
        <w:t xml:space="preserve">has become shaped historically. </w:t>
      </w:r>
      <w:r w:rsidR="0087096D" w:rsidRPr="00093458">
        <w:rPr>
          <w:rFonts w:cs="Times New Roman"/>
          <w:sz w:val="22"/>
          <w:szCs w:val="22"/>
        </w:rPr>
        <w:t>Whilst current podiatry services are well received and valued, participants vocalised a perception that procurement of services can be based on sketchy knowledge and absent evidence</w:t>
      </w:r>
      <w:r w:rsidR="003B61F8" w:rsidRPr="00093458">
        <w:rPr>
          <w:rFonts w:cs="Times New Roman"/>
          <w:sz w:val="22"/>
          <w:szCs w:val="22"/>
        </w:rPr>
        <w:t>:</w:t>
      </w:r>
      <w:r w:rsidR="0087096D" w:rsidRPr="00093458">
        <w:rPr>
          <w:rFonts w:cs="Times New Roman"/>
          <w:sz w:val="22"/>
          <w:szCs w:val="22"/>
        </w:rPr>
        <w:t xml:space="preserve"> </w:t>
      </w:r>
    </w:p>
    <w:p w14:paraId="76C1F9E5" w14:textId="1661262D" w:rsidR="0087096D" w:rsidRPr="00093458" w:rsidRDefault="0087096D" w:rsidP="00093458">
      <w:pPr>
        <w:spacing w:before="240" w:line="276" w:lineRule="auto"/>
        <w:ind w:left="720"/>
        <w:divId w:val="1009521970"/>
        <w:rPr>
          <w:rFonts w:cs="Times New Roman"/>
          <w:i/>
          <w:sz w:val="22"/>
          <w:szCs w:val="22"/>
        </w:rPr>
      </w:pPr>
      <w:r w:rsidRPr="00093458">
        <w:rPr>
          <w:rFonts w:cs="Times New Roman"/>
          <w:i/>
          <w:sz w:val="22"/>
          <w:szCs w:val="22"/>
        </w:rPr>
        <w:t>“I know with my locality, the proposal that was sent by the CCG, it was decided that actually they lacked the understanding about podiatry. And so it was, we would buy our local level and then send back to them, because otherwise they didn’t quite comprehend what we did. And so we were able to divide it into our separate areas, like nail surgery, routine care, diabetes and then send it back to them so that they had more of an understanding of what we actually did. So that is a problem.”</w:t>
      </w:r>
      <w:r w:rsidR="00E63641">
        <w:rPr>
          <w:rFonts w:cs="Times New Roman"/>
          <w:i/>
          <w:sz w:val="22"/>
          <w:szCs w:val="22"/>
        </w:rPr>
        <w:t xml:space="preserve"> [Podiatrist</w:t>
      </w:r>
      <w:r w:rsidR="009E519C">
        <w:rPr>
          <w:rFonts w:cs="Times New Roman"/>
          <w:i/>
          <w:sz w:val="22"/>
          <w:szCs w:val="22"/>
        </w:rPr>
        <w:t>:</w:t>
      </w:r>
      <w:r w:rsidR="00E63641">
        <w:rPr>
          <w:rFonts w:cs="Times New Roman"/>
          <w:i/>
          <w:sz w:val="22"/>
          <w:szCs w:val="22"/>
        </w:rPr>
        <w:t xml:space="preserve"> LB1]</w:t>
      </w:r>
    </w:p>
    <w:p w14:paraId="1C28C804" w14:textId="7AE276D8" w:rsidR="001B4ED6" w:rsidRPr="00093458" w:rsidRDefault="0087096D" w:rsidP="00093458">
      <w:pPr>
        <w:spacing w:before="240"/>
        <w:divId w:val="1009521970"/>
        <w:rPr>
          <w:rFonts w:cs="Times New Roman"/>
          <w:sz w:val="22"/>
          <w:szCs w:val="22"/>
        </w:rPr>
      </w:pPr>
      <w:r w:rsidRPr="00093458">
        <w:rPr>
          <w:rFonts w:cs="Times New Roman"/>
          <w:sz w:val="22"/>
          <w:szCs w:val="22"/>
        </w:rPr>
        <w:t xml:space="preserve">This is confounded by </w:t>
      </w:r>
      <w:r w:rsidR="001B4ED6" w:rsidRPr="00093458">
        <w:rPr>
          <w:rFonts w:cs="Times New Roman"/>
          <w:sz w:val="22"/>
          <w:szCs w:val="22"/>
        </w:rPr>
        <w:t xml:space="preserve">an inherent frustration at </w:t>
      </w:r>
      <w:r w:rsidRPr="00093458">
        <w:rPr>
          <w:rFonts w:cs="Times New Roman"/>
          <w:sz w:val="22"/>
          <w:szCs w:val="22"/>
        </w:rPr>
        <w:t>a continuing</w:t>
      </w:r>
      <w:r w:rsidR="001B4ED6" w:rsidRPr="00093458">
        <w:rPr>
          <w:rFonts w:cs="Times New Roman"/>
          <w:sz w:val="22"/>
          <w:szCs w:val="22"/>
        </w:rPr>
        <w:t xml:space="preserve"> dearth of understanding</w:t>
      </w:r>
      <w:r w:rsidRPr="00093458">
        <w:rPr>
          <w:rFonts w:cs="Times New Roman"/>
          <w:sz w:val="22"/>
          <w:szCs w:val="22"/>
        </w:rPr>
        <w:t>,</w:t>
      </w:r>
      <w:r w:rsidR="001B4ED6" w:rsidRPr="00093458">
        <w:rPr>
          <w:rFonts w:cs="Times New Roman"/>
          <w:sz w:val="22"/>
          <w:szCs w:val="22"/>
        </w:rPr>
        <w:t xml:space="preserve"> of the scope, depth and value of podiatr</w:t>
      </w:r>
      <w:r w:rsidRPr="00093458">
        <w:rPr>
          <w:rFonts w:cs="Times New Roman"/>
          <w:sz w:val="22"/>
          <w:szCs w:val="22"/>
        </w:rPr>
        <w:t>ic practice, by non-podiatrists</w:t>
      </w:r>
      <w:r w:rsidR="001B4ED6" w:rsidRPr="00093458">
        <w:rPr>
          <w:rFonts w:cs="Times New Roman"/>
          <w:sz w:val="22"/>
          <w:szCs w:val="22"/>
        </w:rPr>
        <w:t xml:space="preserve"> including patients:</w:t>
      </w:r>
    </w:p>
    <w:p w14:paraId="638E0902" w14:textId="1A59551E" w:rsidR="001B4ED6" w:rsidRPr="00093458" w:rsidRDefault="001B4ED6" w:rsidP="00093458">
      <w:pPr>
        <w:spacing w:before="240" w:line="276" w:lineRule="auto"/>
        <w:ind w:left="720"/>
        <w:divId w:val="1009521970"/>
        <w:rPr>
          <w:rFonts w:cs="Times New Roman"/>
          <w:i/>
          <w:sz w:val="22"/>
          <w:szCs w:val="22"/>
        </w:rPr>
      </w:pPr>
      <w:r w:rsidRPr="00093458">
        <w:rPr>
          <w:rFonts w:cs="Times New Roman"/>
          <w:i/>
          <w:sz w:val="22"/>
          <w:szCs w:val="22"/>
        </w:rPr>
        <w:t>“</w:t>
      </w:r>
      <w:r w:rsidR="009E519C">
        <w:rPr>
          <w:rFonts w:cs="Times New Roman"/>
          <w:i/>
          <w:sz w:val="22"/>
          <w:szCs w:val="22"/>
        </w:rPr>
        <w:t>[HB1]</w:t>
      </w:r>
      <w:r w:rsidRPr="00093458">
        <w:rPr>
          <w:rFonts w:cs="Times New Roman"/>
          <w:i/>
          <w:sz w:val="22"/>
          <w:szCs w:val="22"/>
        </w:rPr>
        <w:t xml:space="preserve">: I think it’s still fairly common, from feedback from staff for …the start of the consultation with a new patient is actually getting them to understand why you want to know this.  You know, “what’s the medication got to do with you” et cetera.  And that can actually take up some of the initial time that actually when explaining about why it’s important and actually you know “the feet are actually attached to the rest of your body”, that type of conversation.  </w:t>
      </w:r>
    </w:p>
    <w:p w14:paraId="5AFC7D79" w14:textId="34914F11" w:rsidR="001B4ED6" w:rsidRPr="00093458" w:rsidRDefault="009E519C" w:rsidP="00093458">
      <w:pPr>
        <w:spacing w:before="240" w:line="276" w:lineRule="auto"/>
        <w:ind w:left="720"/>
        <w:divId w:val="1009521970"/>
        <w:rPr>
          <w:rFonts w:cs="Times New Roman"/>
          <w:i/>
          <w:sz w:val="22"/>
          <w:szCs w:val="22"/>
        </w:rPr>
      </w:pPr>
      <w:r>
        <w:rPr>
          <w:rFonts w:cs="Times New Roman"/>
          <w:i/>
          <w:sz w:val="22"/>
          <w:szCs w:val="22"/>
        </w:rPr>
        <w:t>[HG2]</w:t>
      </w:r>
      <w:r w:rsidR="001B4ED6" w:rsidRPr="00093458">
        <w:rPr>
          <w:rFonts w:cs="Times New Roman"/>
          <w:i/>
          <w:sz w:val="22"/>
          <w:szCs w:val="22"/>
        </w:rPr>
        <w:t>: That’s the “wha</w:t>
      </w:r>
      <w:r w:rsidR="00AB00C0" w:rsidRPr="00093458">
        <w:rPr>
          <w:rFonts w:cs="Times New Roman"/>
          <w:i/>
          <w:sz w:val="22"/>
          <w:szCs w:val="22"/>
        </w:rPr>
        <w:t>t’s that got to do with my feet?</w:t>
      </w:r>
      <w:r w:rsidR="00E63641">
        <w:rPr>
          <w:rFonts w:cs="Times New Roman"/>
          <w:i/>
          <w:sz w:val="22"/>
          <w:szCs w:val="22"/>
        </w:rPr>
        <w:t xml:space="preserve">” </w:t>
      </w:r>
    </w:p>
    <w:p w14:paraId="23666C71" w14:textId="2F4C1F7F" w:rsidR="001B4ED6" w:rsidRPr="00093458" w:rsidRDefault="009E519C" w:rsidP="00093458">
      <w:pPr>
        <w:spacing w:before="240" w:line="276" w:lineRule="auto"/>
        <w:ind w:left="720"/>
        <w:divId w:val="1009521970"/>
        <w:rPr>
          <w:rFonts w:cs="Times New Roman"/>
          <w:i/>
          <w:sz w:val="22"/>
          <w:szCs w:val="22"/>
        </w:rPr>
      </w:pPr>
      <w:r>
        <w:rPr>
          <w:rFonts w:cs="Times New Roman"/>
          <w:i/>
          <w:sz w:val="22"/>
          <w:szCs w:val="22"/>
        </w:rPr>
        <w:t>[HB1]</w:t>
      </w:r>
      <w:r w:rsidR="001B4ED6" w:rsidRPr="00093458">
        <w:rPr>
          <w:rFonts w:cs="Times New Roman"/>
          <w:i/>
          <w:sz w:val="22"/>
          <w:szCs w:val="22"/>
        </w:rPr>
        <w:t>: Yes</w:t>
      </w:r>
      <w:r w:rsidR="0087096D" w:rsidRPr="00093458">
        <w:rPr>
          <w:rFonts w:cs="Times New Roman"/>
          <w:i/>
          <w:sz w:val="22"/>
          <w:szCs w:val="22"/>
        </w:rPr>
        <w:t>…</w:t>
      </w:r>
      <w:r w:rsidR="001B4ED6" w:rsidRPr="00093458">
        <w:rPr>
          <w:rFonts w:cs="Times New Roman"/>
          <w:i/>
          <w:sz w:val="22"/>
          <w:szCs w:val="22"/>
        </w:rPr>
        <w:t xml:space="preserve"> a big sum of that time is actually about just starting to drill down and set the scene with the patient about what we’re trying to achieve.  And then on to what they want to achieve.  With a bit more understanding why we’re taking medical history and how it’s relevant to what’s happening in their feet.”</w:t>
      </w:r>
    </w:p>
    <w:p w14:paraId="6852474C" w14:textId="0B2608C1" w:rsidR="000E4B69" w:rsidRPr="00093458" w:rsidRDefault="00AB00C0" w:rsidP="00093458">
      <w:pPr>
        <w:spacing w:before="240"/>
        <w:divId w:val="1009521970"/>
        <w:rPr>
          <w:rFonts w:cs="Times New Roman"/>
          <w:sz w:val="22"/>
          <w:szCs w:val="22"/>
        </w:rPr>
      </w:pPr>
      <w:r w:rsidRPr="00093458">
        <w:rPr>
          <w:rFonts w:cs="Times New Roman"/>
          <w:sz w:val="22"/>
          <w:szCs w:val="22"/>
        </w:rPr>
        <w:t>And recent changes and s</w:t>
      </w:r>
      <w:r w:rsidR="000E4B69" w:rsidRPr="00093458">
        <w:rPr>
          <w:rFonts w:cs="Times New Roman"/>
          <w:sz w:val="22"/>
          <w:szCs w:val="22"/>
        </w:rPr>
        <w:t>treamlining of</w:t>
      </w:r>
      <w:r w:rsidR="00735F41" w:rsidRPr="00093458">
        <w:rPr>
          <w:rFonts w:cs="Times New Roman"/>
          <w:sz w:val="22"/>
          <w:szCs w:val="22"/>
        </w:rPr>
        <w:t xml:space="preserve"> </w:t>
      </w:r>
      <w:r w:rsidRPr="00093458">
        <w:rPr>
          <w:rFonts w:cs="Times New Roman"/>
          <w:sz w:val="22"/>
          <w:szCs w:val="22"/>
        </w:rPr>
        <w:t xml:space="preserve">NHS </w:t>
      </w:r>
      <w:r w:rsidR="00735F41" w:rsidRPr="00093458">
        <w:rPr>
          <w:rFonts w:cs="Times New Roman"/>
          <w:sz w:val="22"/>
          <w:szCs w:val="22"/>
        </w:rPr>
        <w:t>management structures was</w:t>
      </w:r>
      <w:r w:rsidR="000E4B69" w:rsidRPr="00093458">
        <w:rPr>
          <w:rFonts w:cs="Times New Roman"/>
          <w:sz w:val="22"/>
          <w:szCs w:val="22"/>
        </w:rPr>
        <w:t xml:space="preserve"> discussed:</w:t>
      </w:r>
    </w:p>
    <w:p w14:paraId="7E0192D0" w14:textId="578FD8B4" w:rsidR="000E4B69" w:rsidRPr="00093458" w:rsidRDefault="000E4B69" w:rsidP="00093458">
      <w:pPr>
        <w:spacing w:before="240" w:line="276" w:lineRule="auto"/>
        <w:ind w:left="720"/>
        <w:divId w:val="1009521970"/>
        <w:rPr>
          <w:rFonts w:cs="Times New Roman"/>
          <w:i/>
          <w:sz w:val="22"/>
          <w:szCs w:val="22"/>
        </w:rPr>
      </w:pPr>
      <w:r w:rsidRPr="00093458">
        <w:rPr>
          <w:rFonts w:cs="Times New Roman"/>
          <w:i/>
          <w:sz w:val="22"/>
          <w:szCs w:val="22"/>
        </w:rPr>
        <w:t>“We’ve lost a lot of that middle-management podiatry managers, we haven’t got anybody really fighting for our service at the moment. And just replying to the comment about NHS practitioners, I’ve never, in the whole time that I’ve practiced podiatry, ever seen such disillusionment. I think that everybody’s burnt out at work, I think that they’re being managed by people that don’t actually understand what’s happening.”</w:t>
      </w:r>
      <w:r w:rsidR="00E63641">
        <w:rPr>
          <w:rFonts w:cs="Times New Roman"/>
          <w:i/>
          <w:sz w:val="22"/>
          <w:szCs w:val="22"/>
        </w:rPr>
        <w:t xml:space="preserve"> [LG1]</w:t>
      </w:r>
    </w:p>
    <w:p w14:paraId="7D107CE1" w14:textId="092DCB60" w:rsidR="001B4ED6" w:rsidRPr="00EC2967" w:rsidRDefault="00F5125C" w:rsidP="00093458">
      <w:pPr>
        <w:pStyle w:val="Heading2"/>
        <w:divId w:val="1009521970"/>
        <w:rPr>
          <w:rFonts w:ascii="Arial" w:hAnsi="Arial" w:cs="Arial"/>
          <w:sz w:val="22"/>
          <w:szCs w:val="22"/>
          <w:u w:val="none"/>
        </w:rPr>
      </w:pPr>
      <w:r w:rsidRPr="00EC2967">
        <w:rPr>
          <w:rFonts w:ascii="Arial" w:hAnsi="Arial" w:cs="Arial"/>
          <w:sz w:val="22"/>
          <w:szCs w:val="22"/>
          <w:u w:val="none"/>
        </w:rPr>
        <w:t>Theme 2: ‘</w:t>
      </w:r>
      <w:r w:rsidR="001B4ED6" w:rsidRPr="00EC2967">
        <w:rPr>
          <w:rFonts w:ascii="Arial" w:hAnsi="Arial" w:cs="Arial"/>
          <w:sz w:val="22"/>
          <w:szCs w:val="22"/>
          <w:u w:val="none"/>
        </w:rPr>
        <w:t>C</w:t>
      </w:r>
      <w:r w:rsidRPr="00EC2967">
        <w:rPr>
          <w:rFonts w:ascii="Arial" w:hAnsi="Arial" w:cs="Arial"/>
          <w:sz w:val="22"/>
          <w:szCs w:val="22"/>
          <w:u w:val="none"/>
        </w:rPr>
        <w:t>ondition vs Complaint’</w:t>
      </w:r>
      <w:r w:rsidR="001B4ED6" w:rsidRPr="00EC2967">
        <w:rPr>
          <w:rFonts w:ascii="Arial" w:hAnsi="Arial" w:cs="Arial"/>
          <w:sz w:val="22"/>
          <w:szCs w:val="22"/>
          <w:u w:val="none"/>
        </w:rPr>
        <w:t xml:space="preserve"> </w:t>
      </w:r>
    </w:p>
    <w:p w14:paraId="7C93BE64" w14:textId="59D0339C" w:rsidR="001B4ED6" w:rsidRPr="00093458" w:rsidRDefault="001B4ED6" w:rsidP="00093458">
      <w:pPr>
        <w:spacing w:before="240"/>
        <w:divId w:val="1009521970"/>
        <w:rPr>
          <w:rFonts w:cs="Times New Roman"/>
          <w:sz w:val="22"/>
          <w:szCs w:val="22"/>
        </w:rPr>
      </w:pPr>
      <w:r w:rsidRPr="00093458">
        <w:rPr>
          <w:rFonts w:cs="Times New Roman"/>
          <w:sz w:val="22"/>
          <w:szCs w:val="22"/>
        </w:rPr>
        <w:t xml:space="preserve">This theme presents </w:t>
      </w:r>
      <w:r w:rsidR="00CB50EF">
        <w:rPr>
          <w:rFonts w:cs="Times New Roman"/>
          <w:sz w:val="22"/>
          <w:szCs w:val="22"/>
        </w:rPr>
        <w:t>podiatrists</w:t>
      </w:r>
      <w:r w:rsidRPr="00093458">
        <w:rPr>
          <w:rFonts w:cs="Times New Roman"/>
          <w:sz w:val="22"/>
          <w:szCs w:val="22"/>
        </w:rPr>
        <w:t xml:space="preserve">’ </w:t>
      </w:r>
      <w:r w:rsidR="00DF77F5" w:rsidRPr="00BA2E85">
        <w:rPr>
          <w:rFonts w:cs="Times New Roman"/>
          <w:sz w:val="22"/>
          <w:szCs w:val="22"/>
        </w:rPr>
        <w:t>unease</w:t>
      </w:r>
      <w:r w:rsidRPr="00BA2E85">
        <w:rPr>
          <w:rFonts w:cs="Times New Roman"/>
          <w:sz w:val="22"/>
          <w:szCs w:val="22"/>
        </w:rPr>
        <w:t xml:space="preserve"> o</w:t>
      </w:r>
      <w:r w:rsidRPr="00093458">
        <w:rPr>
          <w:rFonts w:cs="Times New Roman"/>
          <w:sz w:val="22"/>
          <w:szCs w:val="22"/>
        </w:rPr>
        <w:t xml:space="preserve">n how podiatry </w:t>
      </w:r>
      <w:r w:rsidR="00AB00C0" w:rsidRPr="00093458">
        <w:rPr>
          <w:rFonts w:cs="Times New Roman"/>
          <w:sz w:val="22"/>
          <w:szCs w:val="22"/>
        </w:rPr>
        <w:t>vari</w:t>
      </w:r>
      <w:r w:rsidR="00DF77F5" w:rsidRPr="00093458">
        <w:rPr>
          <w:rFonts w:cs="Times New Roman"/>
          <w:sz w:val="22"/>
          <w:szCs w:val="22"/>
        </w:rPr>
        <w:t>e</w:t>
      </w:r>
      <w:r w:rsidR="0087096D" w:rsidRPr="00093458">
        <w:rPr>
          <w:rFonts w:cs="Times New Roman"/>
          <w:sz w:val="22"/>
          <w:szCs w:val="22"/>
        </w:rPr>
        <w:t>s</w:t>
      </w:r>
      <w:r w:rsidRPr="00093458">
        <w:rPr>
          <w:rFonts w:cs="Times New Roman"/>
          <w:sz w:val="22"/>
          <w:szCs w:val="22"/>
        </w:rPr>
        <w:t xml:space="preserve"> </w:t>
      </w:r>
      <w:r w:rsidR="00DF77F5" w:rsidRPr="00093458">
        <w:rPr>
          <w:rFonts w:cs="Times New Roman"/>
          <w:sz w:val="22"/>
          <w:szCs w:val="22"/>
        </w:rPr>
        <w:t>within current healthcare systems</w:t>
      </w:r>
      <w:r w:rsidRPr="00093458">
        <w:rPr>
          <w:rFonts w:cs="Times New Roman"/>
          <w:sz w:val="22"/>
          <w:szCs w:val="22"/>
        </w:rPr>
        <w:t>, with inco</w:t>
      </w:r>
      <w:r w:rsidR="00DF77F5" w:rsidRPr="00093458">
        <w:rPr>
          <w:rFonts w:cs="Times New Roman"/>
          <w:sz w:val="22"/>
          <w:szCs w:val="22"/>
        </w:rPr>
        <w:t>nsistent</w:t>
      </w:r>
      <w:r w:rsidRPr="00093458">
        <w:rPr>
          <w:rFonts w:cs="Times New Roman"/>
          <w:sz w:val="22"/>
          <w:szCs w:val="22"/>
        </w:rPr>
        <w:t xml:space="preserve"> </w:t>
      </w:r>
      <w:r w:rsidR="00DF77F5" w:rsidRPr="00BA2E85">
        <w:rPr>
          <w:rFonts w:cs="Times New Roman"/>
          <w:sz w:val="22"/>
          <w:szCs w:val="22"/>
        </w:rPr>
        <w:t>approaches</w:t>
      </w:r>
      <w:r w:rsidRPr="00093458">
        <w:rPr>
          <w:rFonts w:cs="Times New Roman"/>
          <w:sz w:val="22"/>
          <w:szCs w:val="22"/>
        </w:rPr>
        <w:t xml:space="preserve"> </w:t>
      </w:r>
      <w:r w:rsidR="0087096D" w:rsidRPr="00093458">
        <w:rPr>
          <w:rFonts w:cs="Times New Roman"/>
          <w:sz w:val="22"/>
          <w:szCs w:val="22"/>
        </w:rPr>
        <w:t>caus</w:t>
      </w:r>
      <w:r w:rsidRPr="00093458">
        <w:rPr>
          <w:rFonts w:cs="Times New Roman"/>
          <w:sz w:val="22"/>
          <w:szCs w:val="22"/>
        </w:rPr>
        <w:t>ing inequality, discrimination and discrepancy. An over reliance on tick boxes</w:t>
      </w:r>
      <w:r w:rsidR="0087096D" w:rsidRPr="00093458">
        <w:rPr>
          <w:rFonts w:cs="Times New Roman"/>
          <w:sz w:val="22"/>
          <w:szCs w:val="22"/>
        </w:rPr>
        <w:t>,</w:t>
      </w:r>
      <w:r w:rsidRPr="00093458">
        <w:rPr>
          <w:rFonts w:cs="Times New Roman"/>
          <w:sz w:val="22"/>
          <w:szCs w:val="22"/>
        </w:rPr>
        <w:t xml:space="preserve"> </w:t>
      </w:r>
      <w:r w:rsidR="00AB00C0" w:rsidRPr="00093458">
        <w:rPr>
          <w:rFonts w:cs="Times New Roman"/>
          <w:sz w:val="22"/>
          <w:szCs w:val="22"/>
        </w:rPr>
        <w:t>and apparent</w:t>
      </w:r>
      <w:r w:rsidRPr="00093458">
        <w:rPr>
          <w:rFonts w:cs="Times New Roman"/>
          <w:sz w:val="22"/>
          <w:szCs w:val="22"/>
        </w:rPr>
        <w:t xml:space="preserve"> detriment of clinical autonomy, mean</w:t>
      </w:r>
      <w:r w:rsidR="00DF77F5" w:rsidRPr="00093458">
        <w:rPr>
          <w:rFonts w:cs="Times New Roman"/>
          <w:sz w:val="22"/>
          <w:szCs w:val="22"/>
        </w:rPr>
        <w:t>s</w:t>
      </w:r>
      <w:r w:rsidRPr="00093458">
        <w:rPr>
          <w:rFonts w:cs="Times New Roman"/>
          <w:sz w:val="22"/>
          <w:szCs w:val="22"/>
        </w:rPr>
        <w:t xml:space="preserve"> that people who are not currently ‘at risk’ (but could potentially be in the future) are able to access podiatry services, however those who </w:t>
      </w:r>
      <w:r w:rsidR="00AB00C0" w:rsidRPr="00093458">
        <w:rPr>
          <w:rFonts w:cs="Times New Roman"/>
          <w:sz w:val="22"/>
          <w:szCs w:val="22"/>
        </w:rPr>
        <w:t>have</w:t>
      </w:r>
      <w:r w:rsidRPr="00093458">
        <w:rPr>
          <w:rFonts w:cs="Times New Roman"/>
          <w:sz w:val="22"/>
          <w:szCs w:val="22"/>
        </w:rPr>
        <w:t xml:space="preserve"> high podiatric risk, but by tick box standards are not classified as such, are thus ‘ineligible’.  </w:t>
      </w:r>
    </w:p>
    <w:p w14:paraId="7C01720F" w14:textId="6888C747" w:rsidR="001B4ED6" w:rsidRPr="00093458" w:rsidRDefault="001B4ED6" w:rsidP="00093458">
      <w:pPr>
        <w:spacing w:before="240" w:line="276" w:lineRule="auto"/>
        <w:ind w:left="720"/>
        <w:divId w:val="1009521970"/>
        <w:rPr>
          <w:rFonts w:cs="Times New Roman"/>
          <w:i/>
          <w:sz w:val="22"/>
          <w:szCs w:val="22"/>
        </w:rPr>
      </w:pPr>
      <w:r w:rsidRPr="00093458">
        <w:rPr>
          <w:rFonts w:cs="Times New Roman"/>
          <w:i/>
          <w:sz w:val="22"/>
          <w:szCs w:val="22"/>
        </w:rPr>
        <w:t xml:space="preserve"> </w:t>
      </w:r>
      <w:r w:rsidR="009D26D9" w:rsidRPr="00093458">
        <w:rPr>
          <w:rFonts w:cs="Times New Roman"/>
          <w:i/>
          <w:sz w:val="22"/>
          <w:szCs w:val="22"/>
        </w:rPr>
        <w:t>“</w:t>
      </w:r>
      <w:r w:rsidRPr="00093458">
        <w:rPr>
          <w:rFonts w:cs="Times New Roman"/>
          <w:i/>
          <w:sz w:val="22"/>
          <w:szCs w:val="22"/>
        </w:rPr>
        <w:t>I’m really reluctant to do that because a) you’ve got people with multi-pathologies and b) is it about the patient who’s got diabetes or is it that they’ve got di</w:t>
      </w:r>
      <w:r w:rsidR="009D26D9" w:rsidRPr="00093458">
        <w:rPr>
          <w:rFonts w:cs="Times New Roman"/>
          <w:i/>
          <w:sz w:val="22"/>
          <w:szCs w:val="22"/>
        </w:rPr>
        <w:t>abetic lower limb complications?</w:t>
      </w:r>
      <w:r w:rsidRPr="00093458">
        <w:rPr>
          <w:rFonts w:cs="Times New Roman"/>
          <w:i/>
          <w:sz w:val="22"/>
          <w:szCs w:val="22"/>
        </w:rPr>
        <w:t xml:space="preserve"> Because the two are quite different.  And you know again it’s about back to ‘we shouldn’t just be providing services to people with diabetes, it’s about services for people with</w:t>
      </w:r>
      <w:r w:rsidR="009D26D9" w:rsidRPr="00093458">
        <w:rPr>
          <w:rFonts w:cs="Times New Roman"/>
          <w:i/>
          <w:sz w:val="22"/>
          <w:szCs w:val="22"/>
        </w:rPr>
        <w:t xml:space="preserve"> lower limb complications’…</w:t>
      </w:r>
      <w:r w:rsidRPr="00093458">
        <w:rPr>
          <w:rFonts w:cs="Times New Roman"/>
          <w:i/>
          <w:sz w:val="22"/>
          <w:szCs w:val="22"/>
        </w:rPr>
        <w:t xml:space="preserve"> back to what I said earlier about some services that have got severe restrictions, you know you could be a </w:t>
      </w:r>
      <w:proofErr w:type="gramStart"/>
      <w:r w:rsidRPr="00093458">
        <w:rPr>
          <w:rFonts w:cs="Times New Roman"/>
          <w:i/>
          <w:sz w:val="22"/>
          <w:szCs w:val="22"/>
        </w:rPr>
        <w:t>27 year old</w:t>
      </w:r>
      <w:proofErr w:type="gramEnd"/>
      <w:r w:rsidRPr="00093458">
        <w:rPr>
          <w:rFonts w:cs="Times New Roman"/>
          <w:i/>
          <w:sz w:val="22"/>
          <w:szCs w:val="22"/>
        </w:rPr>
        <w:t xml:space="preserve"> with diabetes playing rugby but you could technically get service because you’ve got diabetes as opposed to actually having a need</w:t>
      </w:r>
      <w:r w:rsidR="009D26D9" w:rsidRPr="00093458">
        <w:rPr>
          <w:rFonts w:cs="Times New Roman"/>
          <w:i/>
          <w:sz w:val="22"/>
          <w:szCs w:val="22"/>
        </w:rPr>
        <w:t>.</w:t>
      </w:r>
      <w:r w:rsidRPr="00093458">
        <w:rPr>
          <w:rFonts w:cs="Times New Roman"/>
          <w:i/>
          <w:sz w:val="22"/>
          <w:szCs w:val="22"/>
        </w:rPr>
        <w:t>”</w:t>
      </w:r>
      <w:r w:rsidR="009E519C">
        <w:rPr>
          <w:rFonts w:cs="Times New Roman"/>
          <w:i/>
          <w:sz w:val="22"/>
          <w:szCs w:val="22"/>
        </w:rPr>
        <w:t xml:space="preserve"> [HB1]</w:t>
      </w:r>
    </w:p>
    <w:p w14:paraId="5E81B63D" w14:textId="3B9E6103" w:rsidR="001B4ED6" w:rsidRPr="00093458" w:rsidRDefault="001B4ED6" w:rsidP="00093458">
      <w:pPr>
        <w:spacing w:before="240"/>
        <w:divId w:val="1009521970"/>
        <w:rPr>
          <w:rFonts w:cs="Times New Roman"/>
          <w:sz w:val="22"/>
          <w:szCs w:val="22"/>
        </w:rPr>
      </w:pPr>
      <w:r w:rsidRPr="00093458">
        <w:rPr>
          <w:rFonts w:cs="Times New Roman"/>
          <w:sz w:val="22"/>
          <w:szCs w:val="22"/>
        </w:rPr>
        <w:t>Th</w:t>
      </w:r>
      <w:r w:rsidR="00396164" w:rsidRPr="00093458">
        <w:rPr>
          <w:rFonts w:cs="Times New Roman"/>
          <w:sz w:val="22"/>
          <w:szCs w:val="22"/>
        </w:rPr>
        <w:t>e introduc</w:t>
      </w:r>
      <w:r w:rsidRPr="00093458">
        <w:rPr>
          <w:rFonts w:cs="Times New Roman"/>
          <w:sz w:val="22"/>
          <w:szCs w:val="22"/>
        </w:rPr>
        <w:t>ti</w:t>
      </w:r>
      <w:r w:rsidR="00396164" w:rsidRPr="00093458">
        <w:rPr>
          <w:rFonts w:cs="Times New Roman"/>
          <w:sz w:val="22"/>
          <w:szCs w:val="22"/>
        </w:rPr>
        <w:t>o</w:t>
      </w:r>
      <w:r w:rsidRPr="00093458">
        <w:rPr>
          <w:rFonts w:cs="Times New Roman"/>
          <w:sz w:val="22"/>
          <w:szCs w:val="22"/>
        </w:rPr>
        <w:t>n</w:t>
      </w:r>
      <w:r w:rsidR="00396164" w:rsidRPr="00093458">
        <w:rPr>
          <w:rFonts w:cs="Times New Roman"/>
          <w:sz w:val="22"/>
          <w:szCs w:val="22"/>
        </w:rPr>
        <w:t xml:space="preserve"> of access criteria</w:t>
      </w:r>
      <w:r w:rsidRPr="00093458">
        <w:rPr>
          <w:rFonts w:cs="Times New Roman"/>
          <w:sz w:val="22"/>
          <w:szCs w:val="22"/>
        </w:rPr>
        <w:t xml:space="preserve"> in practice </w:t>
      </w:r>
      <w:r w:rsidR="00F5125C" w:rsidRPr="00093458">
        <w:rPr>
          <w:rFonts w:cs="Times New Roman"/>
          <w:sz w:val="22"/>
          <w:szCs w:val="22"/>
        </w:rPr>
        <w:t xml:space="preserve">is reported to have </w:t>
      </w:r>
      <w:r w:rsidRPr="00093458">
        <w:rPr>
          <w:rFonts w:cs="Times New Roman"/>
          <w:sz w:val="22"/>
          <w:szCs w:val="22"/>
        </w:rPr>
        <w:t xml:space="preserve">created a culture of exclusion to many vulnerable people, with </w:t>
      </w:r>
      <w:r w:rsidR="00CB50EF">
        <w:rPr>
          <w:rFonts w:cs="Times New Roman"/>
          <w:sz w:val="22"/>
          <w:szCs w:val="22"/>
        </w:rPr>
        <w:t xml:space="preserve">podiatric </w:t>
      </w:r>
      <w:r w:rsidRPr="00093458">
        <w:rPr>
          <w:rFonts w:cs="Times New Roman"/>
          <w:sz w:val="22"/>
          <w:szCs w:val="22"/>
        </w:rPr>
        <w:t xml:space="preserve">clinicians alluding to cultures of ‘condition over complaint’ and ‘postcode lottery’. Podiatrists refer to an unmet need of foot-care and the </w:t>
      </w:r>
      <w:r w:rsidR="00021E10" w:rsidRPr="00093458">
        <w:rPr>
          <w:rFonts w:cs="Times New Roman"/>
          <w:sz w:val="22"/>
          <w:szCs w:val="22"/>
        </w:rPr>
        <w:t>consequential</w:t>
      </w:r>
      <w:r w:rsidR="00396164" w:rsidRPr="00093458">
        <w:rPr>
          <w:rFonts w:cs="Times New Roman"/>
          <w:sz w:val="22"/>
          <w:szCs w:val="22"/>
        </w:rPr>
        <w:t xml:space="preserve"> </w:t>
      </w:r>
      <w:r w:rsidRPr="00093458">
        <w:rPr>
          <w:rFonts w:cs="Times New Roman"/>
          <w:sz w:val="22"/>
          <w:szCs w:val="22"/>
        </w:rPr>
        <w:t>risk of foot-health deterioration</w:t>
      </w:r>
      <w:r w:rsidR="00021E10" w:rsidRPr="00093458">
        <w:rPr>
          <w:rFonts w:cs="Times New Roman"/>
          <w:sz w:val="22"/>
          <w:szCs w:val="22"/>
        </w:rPr>
        <w:t>. C</w:t>
      </w:r>
      <w:r w:rsidRPr="00093458">
        <w:rPr>
          <w:rFonts w:cs="Times New Roman"/>
          <w:sz w:val="22"/>
          <w:szCs w:val="22"/>
        </w:rPr>
        <w:t xml:space="preserve">onfusion </w:t>
      </w:r>
      <w:r w:rsidR="00021E10" w:rsidRPr="00093458">
        <w:rPr>
          <w:rFonts w:cs="Times New Roman"/>
          <w:sz w:val="22"/>
          <w:szCs w:val="22"/>
        </w:rPr>
        <w:t>was felt to exist, around</w:t>
      </w:r>
      <w:r w:rsidRPr="00093458">
        <w:rPr>
          <w:rFonts w:cs="Times New Roman"/>
          <w:sz w:val="22"/>
          <w:szCs w:val="22"/>
        </w:rPr>
        <w:t xml:space="preserve"> non-podiatrists</w:t>
      </w:r>
      <w:r w:rsidR="00021E10" w:rsidRPr="00093458">
        <w:rPr>
          <w:rFonts w:cs="Times New Roman"/>
          <w:sz w:val="22"/>
          <w:szCs w:val="22"/>
        </w:rPr>
        <w:t>’</w:t>
      </w:r>
      <w:r w:rsidRPr="00093458">
        <w:rPr>
          <w:rFonts w:cs="Times New Roman"/>
          <w:sz w:val="22"/>
          <w:szCs w:val="22"/>
        </w:rPr>
        <w:t xml:space="preserve"> </w:t>
      </w:r>
      <w:r w:rsidR="00021E10" w:rsidRPr="00093458">
        <w:rPr>
          <w:rFonts w:cs="Times New Roman"/>
          <w:sz w:val="22"/>
          <w:szCs w:val="22"/>
        </w:rPr>
        <w:t>understanding</w:t>
      </w:r>
      <w:r w:rsidRPr="00093458">
        <w:rPr>
          <w:rFonts w:cs="Times New Roman"/>
          <w:sz w:val="22"/>
          <w:szCs w:val="22"/>
        </w:rPr>
        <w:t xml:space="preserve"> what </w:t>
      </w:r>
      <w:r w:rsidR="00556DF2" w:rsidRPr="00093458">
        <w:rPr>
          <w:rFonts w:cs="Times New Roman"/>
          <w:sz w:val="22"/>
          <w:szCs w:val="22"/>
        </w:rPr>
        <w:t>a</w:t>
      </w:r>
      <w:r w:rsidR="00021E10" w:rsidRPr="00093458">
        <w:rPr>
          <w:rFonts w:cs="Times New Roman"/>
          <w:sz w:val="22"/>
          <w:szCs w:val="22"/>
        </w:rPr>
        <w:t xml:space="preserve"> status of high or </w:t>
      </w:r>
      <w:r w:rsidRPr="00093458">
        <w:rPr>
          <w:rFonts w:cs="Times New Roman"/>
          <w:sz w:val="22"/>
          <w:szCs w:val="22"/>
        </w:rPr>
        <w:t xml:space="preserve">low risk means.  And with </w:t>
      </w:r>
      <w:r w:rsidR="00396164" w:rsidRPr="00093458">
        <w:rPr>
          <w:rFonts w:cs="Times New Roman"/>
          <w:sz w:val="22"/>
          <w:szCs w:val="22"/>
        </w:rPr>
        <w:t>non-standardised</w:t>
      </w:r>
      <w:r w:rsidRPr="00093458">
        <w:rPr>
          <w:rFonts w:cs="Times New Roman"/>
          <w:sz w:val="22"/>
          <w:szCs w:val="22"/>
        </w:rPr>
        <w:t xml:space="preserve"> criteria in use (</w:t>
      </w:r>
      <w:r w:rsidR="00556DF2" w:rsidRPr="00093458">
        <w:rPr>
          <w:rFonts w:cs="Times New Roman"/>
          <w:sz w:val="22"/>
          <w:szCs w:val="22"/>
        </w:rPr>
        <w:t>‘</w:t>
      </w:r>
      <w:r w:rsidRPr="00093458">
        <w:rPr>
          <w:rFonts w:cs="Times New Roman"/>
          <w:sz w:val="22"/>
          <w:szCs w:val="22"/>
        </w:rPr>
        <w:t>pain</w:t>
      </w:r>
      <w:r w:rsidR="00556DF2" w:rsidRPr="00093458">
        <w:rPr>
          <w:rFonts w:cs="Times New Roman"/>
          <w:sz w:val="22"/>
          <w:szCs w:val="22"/>
        </w:rPr>
        <w:t>’</w:t>
      </w:r>
      <w:r w:rsidRPr="00093458">
        <w:rPr>
          <w:rFonts w:cs="Times New Roman"/>
          <w:sz w:val="22"/>
          <w:szCs w:val="22"/>
        </w:rPr>
        <w:t xml:space="preserve">, </w:t>
      </w:r>
      <w:r w:rsidR="00556DF2" w:rsidRPr="00093458">
        <w:rPr>
          <w:rFonts w:cs="Times New Roman"/>
          <w:sz w:val="22"/>
          <w:szCs w:val="22"/>
        </w:rPr>
        <w:t>‘</w:t>
      </w:r>
      <w:r w:rsidRPr="00093458">
        <w:rPr>
          <w:rFonts w:cs="Times New Roman"/>
          <w:sz w:val="22"/>
          <w:szCs w:val="22"/>
        </w:rPr>
        <w:t>diabetes</w:t>
      </w:r>
      <w:r w:rsidR="00556DF2" w:rsidRPr="00093458">
        <w:rPr>
          <w:rFonts w:cs="Times New Roman"/>
          <w:sz w:val="22"/>
          <w:szCs w:val="22"/>
        </w:rPr>
        <w:t>’ or</w:t>
      </w:r>
      <w:r w:rsidRPr="00093458">
        <w:rPr>
          <w:rFonts w:cs="Times New Roman"/>
          <w:sz w:val="22"/>
          <w:szCs w:val="22"/>
        </w:rPr>
        <w:t xml:space="preserve"> </w:t>
      </w:r>
      <w:r w:rsidR="00396164" w:rsidRPr="00093458">
        <w:rPr>
          <w:rFonts w:cs="Times New Roman"/>
          <w:sz w:val="22"/>
          <w:szCs w:val="22"/>
        </w:rPr>
        <w:t>specific long-term</w:t>
      </w:r>
      <w:r w:rsidRPr="00093458">
        <w:rPr>
          <w:rFonts w:cs="Times New Roman"/>
          <w:sz w:val="22"/>
          <w:szCs w:val="22"/>
        </w:rPr>
        <w:t xml:space="preserve"> </w:t>
      </w:r>
      <w:r w:rsidR="00396164" w:rsidRPr="00093458">
        <w:rPr>
          <w:rFonts w:cs="Times New Roman"/>
          <w:sz w:val="22"/>
          <w:szCs w:val="22"/>
        </w:rPr>
        <w:t>health</w:t>
      </w:r>
      <w:r w:rsidRPr="00093458">
        <w:rPr>
          <w:rFonts w:cs="Times New Roman"/>
          <w:sz w:val="22"/>
          <w:szCs w:val="22"/>
        </w:rPr>
        <w:t xml:space="preserve"> conditions) </w:t>
      </w:r>
      <w:r w:rsidR="00021E10" w:rsidRPr="00093458">
        <w:rPr>
          <w:rFonts w:cs="Times New Roman"/>
          <w:sz w:val="22"/>
          <w:szCs w:val="22"/>
        </w:rPr>
        <w:t xml:space="preserve">eclectic </w:t>
      </w:r>
      <w:r w:rsidRPr="00093458">
        <w:rPr>
          <w:rFonts w:cs="Times New Roman"/>
          <w:sz w:val="22"/>
          <w:szCs w:val="22"/>
        </w:rPr>
        <w:t>podiatric service</w:t>
      </w:r>
      <w:r w:rsidR="00021E10" w:rsidRPr="00093458">
        <w:rPr>
          <w:rFonts w:cs="Times New Roman"/>
          <w:sz w:val="22"/>
          <w:szCs w:val="22"/>
        </w:rPr>
        <w:t>s</w:t>
      </w:r>
      <w:r w:rsidRPr="00093458">
        <w:rPr>
          <w:rFonts w:cs="Times New Roman"/>
          <w:sz w:val="22"/>
          <w:szCs w:val="22"/>
        </w:rPr>
        <w:t xml:space="preserve"> </w:t>
      </w:r>
      <w:r w:rsidR="00021E10" w:rsidRPr="00093458">
        <w:rPr>
          <w:rFonts w:cs="Times New Roman"/>
          <w:sz w:val="22"/>
          <w:szCs w:val="22"/>
        </w:rPr>
        <w:t>are</w:t>
      </w:r>
      <w:r w:rsidRPr="00093458">
        <w:rPr>
          <w:rFonts w:cs="Times New Roman"/>
          <w:sz w:val="22"/>
          <w:szCs w:val="22"/>
        </w:rPr>
        <w:t xml:space="preserve"> being </w:t>
      </w:r>
      <w:r w:rsidR="00021E10" w:rsidRPr="00093458">
        <w:rPr>
          <w:rFonts w:cs="Times New Roman"/>
          <w:sz w:val="22"/>
          <w:szCs w:val="22"/>
        </w:rPr>
        <w:t>provided</w:t>
      </w:r>
      <w:r w:rsidRPr="00093458">
        <w:rPr>
          <w:rFonts w:cs="Times New Roman"/>
          <w:sz w:val="22"/>
          <w:szCs w:val="22"/>
        </w:rPr>
        <w:t xml:space="preserve"> across the country. </w:t>
      </w:r>
    </w:p>
    <w:p w14:paraId="313927B0" w14:textId="7EAD89EF" w:rsidR="001B4ED6" w:rsidRPr="00093458" w:rsidRDefault="001B4ED6" w:rsidP="00093458">
      <w:pPr>
        <w:spacing w:before="240" w:line="276" w:lineRule="auto"/>
        <w:ind w:left="720"/>
        <w:divId w:val="1009521970"/>
        <w:rPr>
          <w:rFonts w:cs="Times New Roman"/>
          <w:i/>
          <w:sz w:val="22"/>
          <w:szCs w:val="22"/>
        </w:rPr>
      </w:pPr>
      <w:r w:rsidRPr="00093458">
        <w:rPr>
          <w:rFonts w:cs="Times New Roman"/>
          <w:i/>
          <w:sz w:val="22"/>
          <w:szCs w:val="22"/>
        </w:rPr>
        <w:t xml:space="preserve">“They tend to put the commissioned service versus service level agreements. So, a lot of diabetes services are commissioned.  So they ‘have’ to provide that service, so even though we, in the acute trust run, you know, quite a full </w:t>
      </w:r>
      <w:r w:rsidR="006A791B" w:rsidRPr="00093458">
        <w:rPr>
          <w:rFonts w:cs="Times New Roman"/>
          <w:i/>
          <w:sz w:val="22"/>
          <w:szCs w:val="22"/>
        </w:rPr>
        <w:t>r</w:t>
      </w:r>
      <w:r w:rsidRPr="00093458">
        <w:rPr>
          <w:rFonts w:cs="Times New Roman"/>
          <w:i/>
          <w:sz w:val="22"/>
          <w:szCs w:val="22"/>
        </w:rPr>
        <w:t xml:space="preserve">heumatology foot service, as soon as we’re a man down in diabetes, people get pulled from arthritis clinics, from </w:t>
      </w:r>
      <w:r w:rsidR="006A791B" w:rsidRPr="00093458">
        <w:rPr>
          <w:rFonts w:cs="Times New Roman"/>
          <w:i/>
          <w:sz w:val="22"/>
          <w:szCs w:val="22"/>
        </w:rPr>
        <w:t>r</w:t>
      </w:r>
      <w:r w:rsidRPr="00093458">
        <w:rPr>
          <w:rFonts w:cs="Times New Roman"/>
          <w:i/>
          <w:sz w:val="22"/>
          <w:szCs w:val="22"/>
        </w:rPr>
        <w:t>heumatology, to cover diabetes. And that is just based on, purely commissioned services versus service level agreements. We have a service level agreement to provide treatment for Rheumatology patients…”</w:t>
      </w:r>
      <w:r w:rsidR="009E519C">
        <w:rPr>
          <w:rFonts w:cs="Times New Roman"/>
          <w:i/>
          <w:sz w:val="22"/>
          <w:szCs w:val="22"/>
        </w:rPr>
        <w:t xml:space="preserve"> [HG1]</w:t>
      </w:r>
    </w:p>
    <w:p w14:paraId="3C400FD1" w14:textId="2C21C899" w:rsidR="001B4ED6" w:rsidRPr="00EC2967" w:rsidRDefault="001B4ED6" w:rsidP="00093458">
      <w:pPr>
        <w:pStyle w:val="Heading2"/>
        <w:divId w:val="1009521970"/>
        <w:rPr>
          <w:rFonts w:ascii="Arial" w:hAnsi="Arial" w:cs="Arial"/>
          <w:sz w:val="22"/>
          <w:szCs w:val="22"/>
          <w:u w:val="none"/>
        </w:rPr>
      </w:pPr>
      <w:r w:rsidRPr="00EC2967">
        <w:rPr>
          <w:rFonts w:ascii="Arial" w:hAnsi="Arial" w:cs="Arial"/>
          <w:sz w:val="22"/>
          <w:szCs w:val="22"/>
          <w:u w:val="none"/>
        </w:rPr>
        <w:t xml:space="preserve">Theme </w:t>
      </w:r>
      <w:r w:rsidR="00F5125C" w:rsidRPr="00EC2967">
        <w:rPr>
          <w:rFonts w:ascii="Arial" w:hAnsi="Arial" w:cs="Arial"/>
          <w:sz w:val="22"/>
          <w:szCs w:val="22"/>
          <w:u w:val="none"/>
        </w:rPr>
        <w:t>3</w:t>
      </w:r>
      <w:r w:rsidRPr="00EC2967">
        <w:rPr>
          <w:rFonts w:ascii="Arial" w:hAnsi="Arial" w:cs="Arial"/>
          <w:sz w:val="22"/>
          <w:szCs w:val="22"/>
          <w:u w:val="none"/>
        </w:rPr>
        <w:t>: Transforming and Sustaining Podiatry</w:t>
      </w:r>
    </w:p>
    <w:p w14:paraId="129AE39B" w14:textId="51B779F8" w:rsidR="00D23837" w:rsidRPr="00093458" w:rsidRDefault="001B4ED6" w:rsidP="00093458">
      <w:pPr>
        <w:spacing w:before="240"/>
        <w:divId w:val="1009521970"/>
        <w:rPr>
          <w:rFonts w:cs="Times New Roman"/>
          <w:i/>
          <w:sz w:val="22"/>
          <w:szCs w:val="22"/>
        </w:rPr>
      </w:pPr>
      <w:r w:rsidRPr="00093458">
        <w:rPr>
          <w:rFonts w:cs="Times New Roman"/>
          <w:sz w:val="22"/>
          <w:szCs w:val="22"/>
        </w:rPr>
        <w:t xml:space="preserve">This theme captures </w:t>
      </w:r>
      <w:r w:rsidR="000E4B69" w:rsidRPr="00093458">
        <w:rPr>
          <w:rFonts w:cs="Times New Roman"/>
          <w:sz w:val="22"/>
          <w:szCs w:val="22"/>
        </w:rPr>
        <w:t>practising clinicians’</w:t>
      </w:r>
      <w:r w:rsidRPr="00093458">
        <w:rPr>
          <w:rFonts w:cs="Times New Roman"/>
          <w:sz w:val="22"/>
          <w:szCs w:val="22"/>
        </w:rPr>
        <w:t xml:space="preserve"> </w:t>
      </w:r>
      <w:r w:rsidR="000E4B69" w:rsidRPr="00093458">
        <w:rPr>
          <w:rFonts w:cs="Times New Roman"/>
          <w:sz w:val="22"/>
          <w:szCs w:val="22"/>
        </w:rPr>
        <w:t>views</w:t>
      </w:r>
      <w:r w:rsidR="00BB3B0F" w:rsidRPr="00093458">
        <w:rPr>
          <w:rFonts w:cs="Times New Roman"/>
          <w:sz w:val="22"/>
          <w:szCs w:val="22"/>
        </w:rPr>
        <w:t xml:space="preserve"> for</w:t>
      </w:r>
      <w:r w:rsidRPr="00093458">
        <w:rPr>
          <w:rFonts w:cs="Times New Roman"/>
          <w:sz w:val="22"/>
          <w:szCs w:val="22"/>
        </w:rPr>
        <w:t xml:space="preserve"> the future shape of </w:t>
      </w:r>
      <w:r w:rsidR="000E4B69" w:rsidRPr="00093458">
        <w:rPr>
          <w:rFonts w:cs="Times New Roman"/>
          <w:sz w:val="22"/>
          <w:szCs w:val="22"/>
        </w:rPr>
        <w:t>podiatry in modern healthcare:</w:t>
      </w:r>
    </w:p>
    <w:p w14:paraId="57D49D14" w14:textId="083B5819" w:rsidR="00D23837" w:rsidRPr="00093458" w:rsidRDefault="00D23837" w:rsidP="00093458">
      <w:pPr>
        <w:spacing w:before="240" w:line="276" w:lineRule="auto"/>
        <w:ind w:left="720"/>
        <w:divId w:val="1009521970"/>
        <w:rPr>
          <w:rFonts w:cs="Times New Roman"/>
          <w:i/>
          <w:sz w:val="22"/>
          <w:szCs w:val="22"/>
        </w:rPr>
      </w:pPr>
      <w:r w:rsidRPr="00093458">
        <w:rPr>
          <w:rFonts w:cs="Times New Roman"/>
          <w:i/>
          <w:sz w:val="22"/>
          <w:szCs w:val="22"/>
        </w:rPr>
        <w:t>“It</w:t>
      </w:r>
      <w:r w:rsidR="00FA0DEE">
        <w:rPr>
          <w:rFonts w:cs="Times New Roman"/>
          <w:i/>
          <w:sz w:val="22"/>
          <w:szCs w:val="22"/>
        </w:rPr>
        <w:t xml:space="preserve"> </w:t>
      </w:r>
      <w:r w:rsidR="00FA0DEE">
        <w:rPr>
          <w:rFonts w:cs="Times New Roman"/>
          <w:sz w:val="22"/>
          <w:szCs w:val="22"/>
        </w:rPr>
        <w:t>{</w:t>
      </w:r>
      <w:r w:rsidR="00FA0DEE" w:rsidRPr="00FA0DEE">
        <w:rPr>
          <w:rFonts w:cs="Times New Roman"/>
          <w:sz w:val="22"/>
          <w:szCs w:val="22"/>
        </w:rPr>
        <w:t xml:space="preserve">resolving current constraints to podiatric </w:t>
      </w:r>
      <w:r w:rsidR="00FA0DEE">
        <w:rPr>
          <w:rFonts w:cs="Times New Roman"/>
          <w:sz w:val="22"/>
          <w:szCs w:val="22"/>
        </w:rPr>
        <w:t>access}</w:t>
      </w:r>
      <w:r w:rsidRPr="00093458">
        <w:rPr>
          <w:rFonts w:cs="Times New Roman"/>
          <w:i/>
          <w:sz w:val="22"/>
          <w:szCs w:val="22"/>
        </w:rPr>
        <w:t xml:space="preserve"> is multifaceted; it is conversations with the commissioners about getting specification rights in the first place.  It is discussions internally within health trusts around priorities and in some ways protecting what we’ve got …So the only way we can get around that</w:t>
      </w:r>
      <w:r w:rsidR="00BA30BD">
        <w:rPr>
          <w:rFonts w:cs="Times New Roman"/>
          <w:i/>
          <w:sz w:val="22"/>
          <w:szCs w:val="22"/>
        </w:rPr>
        <w:t xml:space="preserve"> </w:t>
      </w:r>
      <w:r w:rsidR="00BA30BD">
        <w:rPr>
          <w:rFonts w:cs="Times New Roman"/>
          <w:sz w:val="22"/>
          <w:szCs w:val="22"/>
        </w:rPr>
        <w:t>{</w:t>
      </w:r>
      <w:r w:rsidR="00BA30BD" w:rsidRPr="00FA0DEE">
        <w:rPr>
          <w:rFonts w:cs="Times New Roman"/>
          <w:sz w:val="22"/>
          <w:szCs w:val="22"/>
        </w:rPr>
        <w:t xml:space="preserve">current constraints to podiatric </w:t>
      </w:r>
      <w:r w:rsidR="00BA30BD">
        <w:rPr>
          <w:rFonts w:cs="Times New Roman"/>
          <w:sz w:val="22"/>
          <w:szCs w:val="22"/>
        </w:rPr>
        <w:t>access}</w:t>
      </w:r>
      <w:r w:rsidRPr="00093458">
        <w:rPr>
          <w:rFonts w:cs="Times New Roman"/>
          <w:i/>
          <w:sz w:val="22"/>
          <w:szCs w:val="22"/>
        </w:rPr>
        <w:t>, as I can see, is raising the profile of the profession.  Raising the knowledge and raising the value of what we do and the cost efficiency of what we do.”</w:t>
      </w:r>
      <w:r w:rsidR="009E519C">
        <w:rPr>
          <w:rFonts w:cs="Times New Roman"/>
          <w:i/>
          <w:sz w:val="22"/>
          <w:szCs w:val="22"/>
        </w:rPr>
        <w:t xml:space="preserve"> [HB1]</w:t>
      </w:r>
    </w:p>
    <w:p w14:paraId="71183801" w14:textId="3A0E3404" w:rsidR="001B4ED6" w:rsidRPr="00093458" w:rsidRDefault="00CB50EF" w:rsidP="00093458">
      <w:pPr>
        <w:spacing w:before="240"/>
        <w:divId w:val="1009521970"/>
        <w:rPr>
          <w:rFonts w:cs="Times New Roman"/>
          <w:sz w:val="22"/>
          <w:szCs w:val="22"/>
        </w:rPr>
      </w:pPr>
      <w:r>
        <w:rPr>
          <w:rFonts w:cs="Times New Roman"/>
          <w:sz w:val="22"/>
          <w:szCs w:val="22"/>
        </w:rPr>
        <w:t>Podiatrist</w:t>
      </w:r>
      <w:r w:rsidR="00D23837" w:rsidRPr="00093458">
        <w:rPr>
          <w:rFonts w:cs="Times New Roman"/>
          <w:sz w:val="22"/>
          <w:szCs w:val="22"/>
        </w:rPr>
        <w:t>s want</w:t>
      </w:r>
      <w:r w:rsidR="001B4ED6" w:rsidRPr="00093458">
        <w:rPr>
          <w:rFonts w:cs="Times New Roman"/>
          <w:sz w:val="22"/>
          <w:szCs w:val="22"/>
        </w:rPr>
        <w:t xml:space="preserve"> to see inequalities in service provision eliminated</w:t>
      </w:r>
      <w:r w:rsidR="00021E10" w:rsidRPr="00093458">
        <w:rPr>
          <w:rFonts w:cs="Times New Roman"/>
          <w:sz w:val="22"/>
          <w:szCs w:val="22"/>
        </w:rPr>
        <w:t>,</w:t>
      </w:r>
      <w:r w:rsidR="001B4ED6" w:rsidRPr="00093458">
        <w:rPr>
          <w:rFonts w:cs="Times New Roman"/>
          <w:sz w:val="22"/>
          <w:szCs w:val="22"/>
        </w:rPr>
        <w:t xml:space="preserve"> </w:t>
      </w:r>
      <w:r w:rsidR="00BB3B0F" w:rsidRPr="00093458">
        <w:rPr>
          <w:rFonts w:cs="Times New Roman"/>
          <w:sz w:val="22"/>
          <w:szCs w:val="22"/>
        </w:rPr>
        <w:t>offering</w:t>
      </w:r>
      <w:r w:rsidR="001B4ED6" w:rsidRPr="00093458">
        <w:rPr>
          <w:rFonts w:cs="Times New Roman"/>
          <w:sz w:val="22"/>
          <w:szCs w:val="22"/>
        </w:rPr>
        <w:t xml:space="preserve"> a shift in the priorities of podiatric services</w:t>
      </w:r>
      <w:r w:rsidR="00021E10" w:rsidRPr="00093458">
        <w:rPr>
          <w:rFonts w:cs="Times New Roman"/>
          <w:sz w:val="22"/>
          <w:szCs w:val="22"/>
        </w:rPr>
        <w:t xml:space="preserve"> to</w:t>
      </w:r>
      <w:r w:rsidR="001B4ED6" w:rsidRPr="00093458">
        <w:rPr>
          <w:rFonts w:cs="Times New Roman"/>
          <w:sz w:val="22"/>
          <w:szCs w:val="22"/>
        </w:rPr>
        <w:t xml:space="preserve"> incorporate more long term conditions:</w:t>
      </w:r>
    </w:p>
    <w:p w14:paraId="49297D11" w14:textId="2A95F018" w:rsidR="001B4ED6" w:rsidRPr="00093458" w:rsidRDefault="001B4ED6" w:rsidP="00093458">
      <w:pPr>
        <w:spacing w:before="240" w:line="276" w:lineRule="auto"/>
        <w:ind w:left="720"/>
        <w:divId w:val="1009521970"/>
        <w:rPr>
          <w:rFonts w:cs="Times New Roman"/>
          <w:i/>
          <w:sz w:val="22"/>
          <w:szCs w:val="22"/>
        </w:rPr>
      </w:pPr>
      <w:r w:rsidRPr="00093458">
        <w:rPr>
          <w:rFonts w:cs="Times New Roman"/>
          <w:i/>
          <w:sz w:val="22"/>
          <w:szCs w:val="22"/>
        </w:rPr>
        <w:t>“Podiatry provides an opportunity to pick up long term conditions in the early stages</w:t>
      </w:r>
      <w:r w:rsidR="00D23837" w:rsidRPr="00093458">
        <w:rPr>
          <w:rFonts w:cs="Times New Roman"/>
          <w:i/>
          <w:sz w:val="22"/>
          <w:szCs w:val="22"/>
        </w:rPr>
        <w:t>,</w:t>
      </w:r>
      <w:r w:rsidRPr="00093458">
        <w:rPr>
          <w:rFonts w:cs="Times New Roman"/>
          <w:i/>
          <w:sz w:val="22"/>
          <w:szCs w:val="22"/>
        </w:rPr>
        <w:t xml:space="preserve"> so we know that mechanically, arthritis in the foot is the second most common site for presentation so podiatrists can be a guard responsible for aiding, for new diagnosis for a patient and show them …you know some red flags for podiatry to go in, because they’re likely to be the people who see the patients when they present with those conditions…“and I’ve got sore feet” you kno</w:t>
      </w:r>
      <w:r w:rsidRPr="00574C11">
        <w:rPr>
          <w:rFonts w:cs="Times New Roman"/>
          <w:i/>
          <w:sz w:val="22"/>
          <w:szCs w:val="22"/>
        </w:rPr>
        <w:t>w</w:t>
      </w:r>
      <w:r w:rsidR="00574C11" w:rsidRPr="00574C11">
        <w:rPr>
          <w:rFonts w:cs="Times New Roman"/>
          <w:i/>
          <w:sz w:val="22"/>
          <w:szCs w:val="22"/>
        </w:rPr>
        <w:t>…</w:t>
      </w:r>
      <w:r w:rsidRPr="00093458">
        <w:rPr>
          <w:rFonts w:cs="Times New Roman"/>
          <w:i/>
          <w:sz w:val="22"/>
          <w:szCs w:val="22"/>
        </w:rPr>
        <w:t xml:space="preserve"> “and actually got sore hands too”.  But then it’s about getting the training of podiatrists as well, you know, they not just looking at the feet.  If there are some red flags that come up like they do with diabetes…what do they do in class about diagnosing arthritis? We all should be...we shouldn’t just be doing the squeeze test to feet, we should be doing the squeeze test on the hands.”  </w:t>
      </w:r>
      <w:r w:rsidR="009E519C">
        <w:rPr>
          <w:rFonts w:cs="Times New Roman"/>
          <w:i/>
          <w:sz w:val="22"/>
          <w:szCs w:val="22"/>
        </w:rPr>
        <w:t>[HG1]</w:t>
      </w:r>
    </w:p>
    <w:p w14:paraId="57AFD502" w14:textId="4EE8AD39" w:rsidR="001B4ED6" w:rsidRPr="00093458" w:rsidRDefault="00092FB7" w:rsidP="000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divId w:val="1009521970"/>
        <w:rPr>
          <w:rFonts w:cs="Times New Roman"/>
          <w:sz w:val="22"/>
          <w:szCs w:val="22"/>
        </w:rPr>
      </w:pPr>
      <w:r w:rsidRPr="00093458">
        <w:rPr>
          <w:rFonts w:cs="Times New Roman"/>
          <w:sz w:val="22"/>
          <w:szCs w:val="22"/>
        </w:rPr>
        <w:t>I</w:t>
      </w:r>
      <w:r w:rsidR="001B4ED6" w:rsidRPr="00093458">
        <w:rPr>
          <w:rFonts w:cs="Times New Roman"/>
          <w:sz w:val="22"/>
          <w:szCs w:val="22"/>
        </w:rPr>
        <w:t>f eligibility systems are used, they should be set nationally</w:t>
      </w:r>
      <w:r w:rsidR="00D23837" w:rsidRPr="00093458">
        <w:rPr>
          <w:rFonts w:cs="Times New Roman"/>
          <w:sz w:val="22"/>
          <w:szCs w:val="22"/>
        </w:rPr>
        <w:t>, evidenced, agreed across professional groups</w:t>
      </w:r>
      <w:r w:rsidR="001B4ED6" w:rsidRPr="00093458">
        <w:rPr>
          <w:rFonts w:cs="Times New Roman"/>
          <w:sz w:val="22"/>
          <w:szCs w:val="22"/>
        </w:rPr>
        <w:t xml:space="preserve"> and used consistently</w:t>
      </w:r>
      <w:r w:rsidR="001B4ED6" w:rsidRPr="00574C11">
        <w:rPr>
          <w:rFonts w:cs="Times New Roman"/>
          <w:sz w:val="22"/>
          <w:szCs w:val="22"/>
        </w:rPr>
        <w:t xml:space="preserve">, </w:t>
      </w:r>
      <w:r w:rsidR="00D23837" w:rsidRPr="00574C11">
        <w:rPr>
          <w:rFonts w:cs="Times New Roman"/>
          <w:sz w:val="22"/>
          <w:szCs w:val="22"/>
        </w:rPr>
        <w:t>whilst embracing expert</w:t>
      </w:r>
      <w:r w:rsidR="001B4ED6" w:rsidRPr="00574C11">
        <w:rPr>
          <w:rFonts w:cs="Times New Roman"/>
          <w:sz w:val="22"/>
          <w:szCs w:val="22"/>
        </w:rPr>
        <w:t xml:space="preserve"> clinical </w:t>
      </w:r>
      <w:r w:rsidR="00D23837" w:rsidRPr="00574C11">
        <w:rPr>
          <w:rFonts w:cs="Times New Roman"/>
          <w:sz w:val="22"/>
          <w:szCs w:val="22"/>
        </w:rPr>
        <w:t>discretion</w:t>
      </w:r>
      <w:r w:rsidR="001B4ED6" w:rsidRPr="00574C11">
        <w:rPr>
          <w:rFonts w:cs="Times New Roman"/>
          <w:sz w:val="22"/>
          <w:szCs w:val="22"/>
        </w:rPr>
        <w:t>.</w:t>
      </w:r>
    </w:p>
    <w:p w14:paraId="0F8B93C8" w14:textId="0B2D31AF" w:rsidR="001B4ED6" w:rsidRPr="00093458" w:rsidRDefault="001B4ED6" w:rsidP="000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76" w:lineRule="auto"/>
        <w:ind w:left="720"/>
        <w:divId w:val="1009521970"/>
        <w:rPr>
          <w:rFonts w:cs="Times New Roman"/>
          <w:i/>
          <w:sz w:val="22"/>
          <w:szCs w:val="22"/>
        </w:rPr>
      </w:pPr>
      <w:r w:rsidRPr="00093458">
        <w:rPr>
          <w:rFonts w:cs="Times New Roman"/>
          <w:i/>
          <w:sz w:val="22"/>
          <w:szCs w:val="22"/>
        </w:rPr>
        <w:t>“</w:t>
      </w:r>
      <w:r w:rsidR="00410079" w:rsidRPr="00093458">
        <w:rPr>
          <w:rFonts w:cs="Times New Roman"/>
          <w:i/>
          <w:sz w:val="22"/>
          <w:szCs w:val="22"/>
        </w:rPr>
        <w:t>W</w:t>
      </w:r>
      <w:r w:rsidRPr="00093458">
        <w:rPr>
          <w:rFonts w:cs="Times New Roman"/>
          <w:i/>
          <w:sz w:val="22"/>
          <w:szCs w:val="22"/>
        </w:rPr>
        <w:t>e need care pathways … You know, I think we need to subdivide all the things that podiatry offers and have a tick box assessment sheet that we can actually offer to somebody that’s diagnosed with arthritis and make sure that there is an effective referral system</w:t>
      </w:r>
      <w:r w:rsidR="00410079" w:rsidRPr="00093458">
        <w:rPr>
          <w:rFonts w:cs="Times New Roman"/>
          <w:i/>
          <w:sz w:val="22"/>
          <w:szCs w:val="22"/>
        </w:rPr>
        <w:t>…</w:t>
      </w:r>
      <w:r w:rsidRPr="00093458">
        <w:rPr>
          <w:rFonts w:cs="Times New Roman"/>
          <w:i/>
          <w:sz w:val="22"/>
          <w:szCs w:val="22"/>
        </w:rPr>
        <w:t>for that patient to know what care is available and what they can expect if they're presenting with certain conditions.”</w:t>
      </w:r>
      <w:r w:rsidR="009E519C">
        <w:rPr>
          <w:rFonts w:cs="Times New Roman"/>
          <w:i/>
          <w:sz w:val="22"/>
          <w:szCs w:val="22"/>
        </w:rPr>
        <w:t xml:space="preserve"> [LG1]</w:t>
      </w:r>
    </w:p>
    <w:p w14:paraId="78B12244" w14:textId="3EF76DD7" w:rsidR="001B4ED6" w:rsidRPr="00093458" w:rsidRDefault="001531E9" w:rsidP="000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divId w:val="1009521970"/>
        <w:rPr>
          <w:rFonts w:cs="Times New Roman"/>
          <w:i/>
          <w:sz w:val="22"/>
          <w:szCs w:val="22"/>
        </w:rPr>
      </w:pPr>
      <w:r w:rsidRPr="00093458">
        <w:rPr>
          <w:rFonts w:cs="Times New Roman"/>
          <w:sz w:val="22"/>
          <w:szCs w:val="22"/>
        </w:rPr>
        <w:t xml:space="preserve">Clinicians </w:t>
      </w:r>
      <w:r w:rsidR="00574C11">
        <w:rPr>
          <w:rFonts w:cs="Times New Roman"/>
          <w:sz w:val="22"/>
          <w:szCs w:val="22"/>
        </w:rPr>
        <w:t xml:space="preserve">suggested a preference for </w:t>
      </w:r>
      <w:r w:rsidR="001B4ED6" w:rsidRPr="00093458">
        <w:rPr>
          <w:rFonts w:cs="Times New Roman"/>
          <w:sz w:val="22"/>
          <w:szCs w:val="22"/>
        </w:rPr>
        <w:t xml:space="preserve">access to podiatry services </w:t>
      </w:r>
      <w:r w:rsidR="00574C11">
        <w:rPr>
          <w:rFonts w:cs="Times New Roman"/>
          <w:sz w:val="22"/>
          <w:szCs w:val="22"/>
        </w:rPr>
        <w:t>being</w:t>
      </w:r>
      <w:r w:rsidR="00092FB7" w:rsidRPr="00093458">
        <w:rPr>
          <w:rFonts w:cs="Times New Roman"/>
          <w:sz w:val="22"/>
          <w:szCs w:val="22"/>
        </w:rPr>
        <w:t xml:space="preserve"> more person-centred, tailored to individuals:</w:t>
      </w:r>
      <w:r w:rsidR="001B4ED6" w:rsidRPr="00093458">
        <w:rPr>
          <w:rFonts w:cs="Times New Roman"/>
          <w:i/>
          <w:sz w:val="22"/>
          <w:szCs w:val="22"/>
        </w:rPr>
        <w:t xml:space="preserve"> </w:t>
      </w:r>
    </w:p>
    <w:p w14:paraId="3E7C76E6" w14:textId="37DD91D9" w:rsidR="001B4ED6" w:rsidRPr="00093458" w:rsidRDefault="001531E9" w:rsidP="000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76" w:lineRule="auto"/>
        <w:ind w:left="720"/>
        <w:divId w:val="1009521970"/>
        <w:rPr>
          <w:rFonts w:cs="Times New Roman"/>
          <w:i/>
          <w:sz w:val="22"/>
          <w:szCs w:val="22"/>
        </w:rPr>
      </w:pPr>
      <w:r w:rsidRPr="00093458">
        <w:rPr>
          <w:rFonts w:cs="Times New Roman"/>
          <w:i/>
          <w:sz w:val="22"/>
          <w:szCs w:val="22"/>
        </w:rPr>
        <w:t>“</w:t>
      </w:r>
      <w:r w:rsidR="001B4ED6" w:rsidRPr="00093458">
        <w:rPr>
          <w:rFonts w:cs="Times New Roman"/>
          <w:i/>
          <w:sz w:val="22"/>
          <w:szCs w:val="22"/>
        </w:rPr>
        <w:t>I think there certainly needs to be evidence to show that there should be a pathway whereby all these patients get some sort of similar assessment to identify what their initial needs are. And maybe on an annual basis or even a three-yearly basis or something, just to ensure that then things can be identified early on to start actually taking place, whether it be footwear, whether it be on education or whether they need to change medi</w:t>
      </w:r>
      <w:r w:rsidR="00092FB7" w:rsidRPr="00093458">
        <w:rPr>
          <w:rFonts w:cs="Times New Roman"/>
          <w:i/>
          <w:sz w:val="22"/>
          <w:szCs w:val="22"/>
        </w:rPr>
        <w:t>cation or whatever else... I</w:t>
      </w:r>
      <w:r w:rsidR="001B4ED6" w:rsidRPr="00093458">
        <w:rPr>
          <w:rFonts w:cs="Times New Roman"/>
          <w:i/>
          <w:sz w:val="22"/>
          <w:szCs w:val="22"/>
        </w:rPr>
        <w:t>t has to be put up the agenda.”</w:t>
      </w:r>
      <w:r w:rsidR="009E519C">
        <w:rPr>
          <w:rFonts w:cs="Times New Roman"/>
          <w:i/>
          <w:sz w:val="22"/>
          <w:szCs w:val="22"/>
        </w:rPr>
        <w:t xml:space="preserve"> [LG1]</w:t>
      </w:r>
    </w:p>
    <w:p w14:paraId="5BB9AE98" w14:textId="506A4D0E" w:rsidR="00021E10" w:rsidRPr="00093458" w:rsidRDefault="00A27E04" w:rsidP="00093458">
      <w:pPr>
        <w:spacing w:before="240"/>
        <w:divId w:val="1009521970"/>
        <w:rPr>
          <w:rFonts w:cs="Times New Roman"/>
          <w:sz w:val="22"/>
          <w:szCs w:val="22"/>
        </w:rPr>
      </w:pPr>
      <w:r w:rsidRPr="00093458">
        <w:rPr>
          <w:rFonts w:cs="Times New Roman"/>
          <w:sz w:val="22"/>
          <w:szCs w:val="22"/>
        </w:rPr>
        <w:t xml:space="preserve">They propose a </w:t>
      </w:r>
      <w:r w:rsidR="001B4ED6" w:rsidRPr="00093458">
        <w:rPr>
          <w:rFonts w:cs="Times New Roman"/>
          <w:sz w:val="22"/>
          <w:szCs w:val="22"/>
        </w:rPr>
        <w:t>more multidisciplinary</w:t>
      </w:r>
      <w:r w:rsidR="00021E10" w:rsidRPr="00093458">
        <w:rPr>
          <w:rFonts w:cs="Times New Roman"/>
          <w:sz w:val="22"/>
          <w:szCs w:val="22"/>
        </w:rPr>
        <w:t>,</w:t>
      </w:r>
      <w:r w:rsidR="001B4ED6" w:rsidRPr="00093458">
        <w:rPr>
          <w:rFonts w:cs="Times New Roman"/>
          <w:sz w:val="22"/>
          <w:szCs w:val="22"/>
        </w:rPr>
        <w:t xml:space="preserve"> coordinated approach</w:t>
      </w:r>
      <w:r w:rsidR="00021E10" w:rsidRPr="00093458">
        <w:rPr>
          <w:rFonts w:cs="Times New Roman"/>
          <w:sz w:val="22"/>
          <w:szCs w:val="22"/>
        </w:rPr>
        <w:t xml:space="preserve"> to patient services, specifically requesting that arthritis and other long term health conditions have models of access and guidelines comparable to those for diabetes:</w:t>
      </w:r>
    </w:p>
    <w:p w14:paraId="47C18BFE" w14:textId="2C3E133E" w:rsidR="001B4ED6" w:rsidRPr="00093458" w:rsidRDefault="00021E10" w:rsidP="00093458">
      <w:pPr>
        <w:spacing w:before="240" w:line="276" w:lineRule="auto"/>
        <w:ind w:left="720"/>
        <w:divId w:val="1009521970"/>
        <w:rPr>
          <w:rFonts w:cs="Times New Roman"/>
          <w:i/>
          <w:sz w:val="22"/>
          <w:szCs w:val="22"/>
        </w:rPr>
      </w:pPr>
      <w:r w:rsidRPr="00093458">
        <w:rPr>
          <w:rFonts w:cs="Times New Roman"/>
          <w:i/>
          <w:sz w:val="22"/>
          <w:szCs w:val="22"/>
        </w:rPr>
        <w:t xml:space="preserve">“Pathways. Referral pathways, just like diabetes ...a bit more streamlined and a bit </w:t>
      </w:r>
      <w:proofErr w:type="gramStart"/>
      <w:r w:rsidRPr="00093458">
        <w:rPr>
          <w:rFonts w:cs="Times New Roman"/>
          <w:i/>
          <w:sz w:val="22"/>
          <w:szCs w:val="22"/>
        </w:rPr>
        <w:t>more easy</w:t>
      </w:r>
      <w:proofErr w:type="gramEnd"/>
      <w:r w:rsidRPr="00093458">
        <w:rPr>
          <w:rFonts w:cs="Times New Roman"/>
          <w:i/>
          <w:sz w:val="22"/>
          <w:szCs w:val="22"/>
        </w:rPr>
        <w:t xml:space="preserve"> to access.”</w:t>
      </w:r>
      <w:r w:rsidR="009E519C">
        <w:rPr>
          <w:rFonts w:cs="Times New Roman"/>
          <w:i/>
          <w:sz w:val="22"/>
          <w:szCs w:val="22"/>
        </w:rPr>
        <w:t xml:space="preserve"> [HG3]</w:t>
      </w:r>
    </w:p>
    <w:p w14:paraId="67246EA8" w14:textId="30FB54F2" w:rsidR="001B4ED6" w:rsidRPr="00093458" w:rsidRDefault="00092FB7" w:rsidP="00093458">
      <w:pPr>
        <w:spacing w:before="240" w:line="276" w:lineRule="auto"/>
        <w:ind w:left="720"/>
        <w:divId w:val="1009521970"/>
        <w:rPr>
          <w:rFonts w:cs="Times New Roman"/>
          <w:i/>
          <w:sz w:val="22"/>
          <w:szCs w:val="22"/>
        </w:rPr>
      </w:pPr>
      <w:r w:rsidRPr="00093458">
        <w:rPr>
          <w:rFonts w:cs="Times New Roman"/>
          <w:i/>
          <w:sz w:val="22"/>
          <w:szCs w:val="22"/>
        </w:rPr>
        <w:t>“M</w:t>
      </w:r>
      <w:r w:rsidR="001B4ED6" w:rsidRPr="00093458">
        <w:rPr>
          <w:rFonts w:cs="Times New Roman"/>
          <w:i/>
          <w:sz w:val="22"/>
          <w:szCs w:val="22"/>
        </w:rPr>
        <w:t>ake it more equal over the UK rather than just dependant on personality</w:t>
      </w:r>
      <w:r w:rsidRPr="00093458">
        <w:rPr>
          <w:rFonts w:cs="Times New Roman"/>
          <w:i/>
          <w:sz w:val="22"/>
          <w:szCs w:val="22"/>
        </w:rPr>
        <w:t>,</w:t>
      </w:r>
      <w:r w:rsidR="001B4ED6" w:rsidRPr="00093458">
        <w:rPr>
          <w:rFonts w:cs="Times New Roman"/>
          <w:i/>
          <w:sz w:val="22"/>
          <w:szCs w:val="22"/>
        </w:rPr>
        <w:t xml:space="preserve"> and really that sums up what people said – going through more pathways, focussing on multidisciplinary teams.”</w:t>
      </w:r>
      <w:r w:rsidR="009E519C">
        <w:rPr>
          <w:rFonts w:cs="Times New Roman"/>
          <w:i/>
          <w:sz w:val="22"/>
          <w:szCs w:val="22"/>
        </w:rPr>
        <w:t xml:space="preserve"> [HG4]</w:t>
      </w:r>
    </w:p>
    <w:p w14:paraId="7BB605A2" w14:textId="6E878C12" w:rsidR="001B4ED6" w:rsidRPr="00093458" w:rsidRDefault="00092FB7" w:rsidP="00093458">
      <w:pPr>
        <w:spacing w:before="240" w:line="276" w:lineRule="auto"/>
        <w:ind w:left="720"/>
        <w:divId w:val="1009521970"/>
        <w:rPr>
          <w:rFonts w:cs="Times New Roman"/>
          <w:i/>
          <w:sz w:val="22"/>
          <w:szCs w:val="22"/>
        </w:rPr>
      </w:pPr>
      <w:r w:rsidRPr="00093458">
        <w:rPr>
          <w:rFonts w:cs="Times New Roman"/>
          <w:i/>
          <w:sz w:val="22"/>
          <w:szCs w:val="22"/>
        </w:rPr>
        <w:t>“I</w:t>
      </w:r>
      <w:r w:rsidR="001B4ED6" w:rsidRPr="00093458">
        <w:rPr>
          <w:rFonts w:cs="Times New Roman"/>
          <w:i/>
          <w:sz w:val="22"/>
          <w:szCs w:val="22"/>
        </w:rPr>
        <w:t>f we had a more multidisciplinary coordinated approach it would be better for the patient. I know that we have access to all these other professions but sometimes those communications, are blocked, not blocked but they are strained because you’ve got to write a letter, and that’s got to go off, then someone’s got to sign it and… whereas if you had a better, multidisciplinary approach like we do in terms of diabetes then those patients would go through proper routes a lot quicker”</w:t>
      </w:r>
      <w:r w:rsidR="009E519C">
        <w:rPr>
          <w:rFonts w:cs="Times New Roman"/>
          <w:i/>
          <w:sz w:val="22"/>
          <w:szCs w:val="22"/>
        </w:rPr>
        <w:t xml:space="preserve"> </w:t>
      </w:r>
      <w:r w:rsidR="009F2FA1">
        <w:rPr>
          <w:rFonts w:cs="Times New Roman"/>
          <w:i/>
          <w:sz w:val="22"/>
          <w:szCs w:val="22"/>
        </w:rPr>
        <w:t>[HG1]</w:t>
      </w:r>
    </w:p>
    <w:p w14:paraId="1103198E" w14:textId="49868AA6" w:rsidR="001B4ED6" w:rsidRPr="00093458" w:rsidRDefault="001B4ED6" w:rsidP="00093458">
      <w:pPr>
        <w:spacing w:before="240"/>
        <w:divId w:val="1009521970"/>
        <w:rPr>
          <w:rFonts w:cs="Times New Roman"/>
          <w:sz w:val="22"/>
          <w:szCs w:val="22"/>
        </w:rPr>
      </w:pPr>
      <w:r w:rsidRPr="00093458">
        <w:rPr>
          <w:rFonts w:cs="Times New Roman"/>
          <w:sz w:val="22"/>
          <w:szCs w:val="22"/>
        </w:rPr>
        <w:t xml:space="preserve">They reported a need to work with other professionals to drive changes for </w:t>
      </w:r>
      <w:r w:rsidR="00A27E04" w:rsidRPr="00093458">
        <w:rPr>
          <w:rFonts w:cs="Times New Roman"/>
          <w:sz w:val="22"/>
          <w:szCs w:val="22"/>
        </w:rPr>
        <w:t xml:space="preserve">more </w:t>
      </w:r>
      <w:r w:rsidRPr="00093458">
        <w:rPr>
          <w:rFonts w:cs="Times New Roman"/>
          <w:sz w:val="22"/>
          <w:szCs w:val="22"/>
        </w:rPr>
        <w:t xml:space="preserve">long term conditions: </w:t>
      </w:r>
    </w:p>
    <w:p w14:paraId="3EF8203F" w14:textId="20FF7A57" w:rsidR="001B4ED6" w:rsidRPr="00093458" w:rsidRDefault="001B4ED6" w:rsidP="00093458">
      <w:pPr>
        <w:spacing w:before="240" w:line="276" w:lineRule="auto"/>
        <w:ind w:left="720"/>
        <w:divId w:val="1009521970"/>
        <w:rPr>
          <w:rFonts w:cs="Times New Roman"/>
          <w:i/>
          <w:sz w:val="22"/>
          <w:szCs w:val="22"/>
        </w:rPr>
      </w:pPr>
      <w:r w:rsidRPr="00093458">
        <w:rPr>
          <w:rFonts w:cs="Times New Roman"/>
          <w:i/>
          <w:sz w:val="22"/>
          <w:szCs w:val="22"/>
        </w:rPr>
        <w:t>“And it's not just our profession that’ll link with them [public health], for the benefit of our patients because, you know, podiatry is one of them, you could have ENT in there, you could have physio in there, you’ve got other disciplines in there. They can all push this agenda forward and start saying, yes, here’s another one, it's a long-term condition that we need to be doing more for.”</w:t>
      </w:r>
      <w:r w:rsidR="009F2FA1">
        <w:rPr>
          <w:rFonts w:cs="Times New Roman"/>
          <w:i/>
          <w:sz w:val="22"/>
          <w:szCs w:val="22"/>
        </w:rPr>
        <w:t xml:space="preserve"> [LG1]</w:t>
      </w:r>
    </w:p>
    <w:p w14:paraId="4FF9EB8D" w14:textId="1BD2390D" w:rsidR="001B4ED6" w:rsidRPr="00093458" w:rsidRDefault="00092FB7" w:rsidP="00093458">
      <w:pPr>
        <w:spacing w:before="240"/>
        <w:divId w:val="1009521970"/>
        <w:rPr>
          <w:rFonts w:cs="Times New Roman"/>
          <w:sz w:val="22"/>
          <w:szCs w:val="22"/>
        </w:rPr>
      </w:pPr>
      <w:r w:rsidRPr="00093458">
        <w:rPr>
          <w:rFonts w:cs="Times New Roman"/>
          <w:sz w:val="22"/>
          <w:szCs w:val="22"/>
        </w:rPr>
        <w:t>Clinicians</w:t>
      </w:r>
      <w:r w:rsidR="001B4ED6" w:rsidRPr="00093458">
        <w:rPr>
          <w:rFonts w:cs="Times New Roman"/>
          <w:sz w:val="22"/>
          <w:szCs w:val="22"/>
        </w:rPr>
        <w:t xml:space="preserve"> </w:t>
      </w:r>
      <w:r w:rsidRPr="00093458">
        <w:rPr>
          <w:rFonts w:cs="Times New Roman"/>
          <w:sz w:val="22"/>
          <w:szCs w:val="22"/>
        </w:rPr>
        <w:t>believed</w:t>
      </w:r>
      <w:r w:rsidR="001B4ED6" w:rsidRPr="00093458">
        <w:rPr>
          <w:rFonts w:cs="Times New Roman"/>
          <w:sz w:val="22"/>
          <w:szCs w:val="22"/>
        </w:rPr>
        <w:t xml:space="preserve"> access to podiatry services should be transformed to fit mo</w:t>
      </w:r>
      <w:r w:rsidRPr="00093458">
        <w:rPr>
          <w:rFonts w:cs="Times New Roman"/>
          <w:sz w:val="22"/>
          <w:szCs w:val="22"/>
        </w:rPr>
        <w:t xml:space="preserve">dern healthcare needs, </w:t>
      </w:r>
      <w:r w:rsidR="001B4ED6" w:rsidRPr="00093458">
        <w:rPr>
          <w:rFonts w:cs="Times New Roman"/>
          <w:sz w:val="22"/>
          <w:szCs w:val="22"/>
        </w:rPr>
        <w:t xml:space="preserve">to meet the needs of patients within an evolving healthcare system, which incorporates building in onward referral to private </w:t>
      </w:r>
      <w:r w:rsidR="00574C11">
        <w:rPr>
          <w:rFonts w:cs="Times New Roman"/>
          <w:sz w:val="22"/>
          <w:szCs w:val="22"/>
        </w:rPr>
        <w:t>sector podiatrists</w:t>
      </w:r>
      <w:r w:rsidR="001B4ED6" w:rsidRPr="00093458">
        <w:rPr>
          <w:rFonts w:cs="Times New Roman"/>
          <w:sz w:val="22"/>
          <w:szCs w:val="22"/>
        </w:rPr>
        <w:t>, into the NHS service:</w:t>
      </w:r>
    </w:p>
    <w:p w14:paraId="41CE51D2" w14:textId="5EA807F4" w:rsidR="001B4ED6" w:rsidRPr="00093458" w:rsidRDefault="001B4ED6" w:rsidP="00093458">
      <w:pPr>
        <w:spacing w:before="240" w:line="276" w:lineRule="auto"/>
        <w:ind w:left="720"/>
        <w:divId w:val="1009521970"/>
        <w:rPr>
          <w:rFonts w:cs="Times New Roman"/>
          <w:i/>
          <w:sz w:val="22"/>
          <w:szCs w:val="22"/>
        </w:rPr>
      </w:pPr>
      <w:r w:rsidRPr="00093458">
        <w:rPr>
          <w:rFonts w:cs="Times New Roman"/>
          <w:i/>
          <w:sz w:val="22"/>
          <w:szCs w:val="22"/>
        </w:rPr>
        <w:t xml:space="preserve">“Can I, can I bring something in there that’s quite important? We actually have a good NHS private practice working relationship in our area, the culture that we historically have had is that when a patient is deemed no longer eligible for treatment, that they’re </w:t>
      </w:r>
      <w:r w:rsidRPr="00574C11">
        <w:rPr>
          <w:rFonts w:cs="Times New Roman"/>
          <w:i/>
          <w:sz w:val="22"/>
          <w:szCs w:val="22"/>
        </w:rPr>
        <w:t>discharged to the third sector. And you know, if you actually have a dentist, and the NHS can't meet</w:t>
      </w:r>
      <w:r w:rsidRPr="00093458">
        <w:rPr>
          <w:rFonts w:cs="Times New Roman"/>
          <w:i/>
          <w:sz w:val="22"/>
          <w:szCs w:val="22"/>
        </w:rPr>
        <w:t xml:space="preserve"> your dental needs, you’re recommended that you can seek dentistry privately, the same with seeing an optician.”</w:t>
      </w:r>
      <w:r w:rsidR="009F2FA1">
        <w:rPr>
          <w:rFonts w:cs="Times New Roman"/>
          <w:i/>
          <w:sz w:val="22"/>
          <w:szCs w:val="22"/>
        </w:rPr>
        <w:t xml:space="preserve"> [LG1]</w:t>
      </w:r>
    </w:p>
    <w:p w14:paraId="75917DD5" w14:textId="77777777" w:rsidR="00AB1F47" w:rsidRPr="00EC2967" w:rsidRDefault="00AB1F47" w:rsidP="00093458">
      <w:pPr>
        <w:pStyle w:val="Heading1"/>
        <w:rPr>
          <w:rFonts w:ascii="Arial" w:hAnsi="Arial" w:cs="Arial"/>
          <w:color w:val="auto"/>
        </w:rPr>
      </w:pPr>
      <w:r w:rsidRPr="00EC2967">
        <w:rPr>
          <w:rFonts w:ascii="Arial" w:hAnsi="Arial" w:cs="Arial"/>
          <w:color w:val="auto"/>
        </w:rPr>
        <w:t>Discussion</w:t>
      </w:r>
    </w:p>
    <w:p w14:paraId="54F49A30" w14:textId="4C440358" w:rsidR="001D3ACE" w:rsidRPr="00093458" w:rsidRDefault="006D37FF" w:rsidP="00093458">
      <w:pPr>
        <w:autoSpaceDE/>
        <w:autoSpaceDN/>
        <w:adjustRightInd/>
        <w:rPr>
          <w:rFonts w:eastAsia="Times New Roman" w:cs="Times New Roman"/>
          <w:color w:val="333333"/>
          <w:sz w:val="22"/>
          <w:szCs w:val="22"/>
          <w:shd w:val="clear" w:color="auto" w:fill="FFFFFF"/>
        </w:rPr>
      </w:pPr>
      <w:r w:rsidRPr="006D37FF">
        <w:rPr>
          <w:rFonts w:eastAsia="Times New Roman" w:cs="Times New Roman"/>
          <w:color w:val="333333"/>
          <w:sz w:val="22"/>
          <w:szCs w:val="22"/>
          <w:shd w:val="clear" w:color="auto" w:fill="FFFFFF"/>
        </w:rPr>
        <w:t>Using focus group methodology and a thematic approach to data analysis, this study has provided unique insights into UK podiatrists</w:t>
      </w:r>
      <w:r>
        <w:rPr>
          <w:rFonts w:eastAsia="Times New Roman" w:cs="Times New Roman"/>
          <w:color w:val="333333"/>
          <w:sz w:val="22"/>
          <w:szCs w:val="22"/>
          <w:shd w:val="clear" w:color="auto" w:fill="FFFFFF"/>
        </w:rPr>
        <w:t>’</w:t>
      </w:r>
      <w:r w:rsidRPr="006D37FF">
        <w:rPr>
          <w:rFonts w:eastAsia="Times New Roman" w:cs="Times New Roman"/>
          <w:color w:val="333333"/>
          <w:sz w:val="22"/>
          <w:szCs w:val="22"/>
          <w:shd w:val="clear" w:color="auto" w:fill="FFFFFF"/>
        </w:rPr>
        <w:t xml:space="preserve"> (based in 2 distinct regions of the UK, Yorkshire and Hampshire) perceptions of barriers and facilitators to referral, access, provision and treatment for foot problems for individuals living with arthritis. </w:t>
      </w:r>
      <w:r w:rsidR="001D3ACE" w:rsidRPr="001D3ACE">
        <w:rPr>
          <w:rFonts w:eastAsia="Calibri" w:cs="Calibri"/>
          <w:sz w:val="22"/>
          <w:szCs w:val="22"/>
          <w:lang w:eastAsia="en-US"/>
        </w:rPr>
        <w:t>Our overarching findings indicate that podiatrists experience frustration about the role and status of podiatric services, the inequalities in service provision (between regions and between individ</w:t>
      </w:r>
      <w:r w:rsidR="00CB50EF">
        <w:rPr>
          <w:rFonts w:eastAsia="Calibri" w:cs="Calibri"/>
          <w:sz w:val="22"/>
          <w:szCs w:val="22"/>
          <w:lang w:eastAsia="en-US"/>
        </w:rPr>
        <w:t>uals) and the loss of clinical autonomy</w:t>
      </w:r>
      <w:r w:rsidR="001D3ACE" w:rsidRPr="001D3ACE">
        <w:rPr>
          <w:rFonts w:eastAsia="Calibri" w:cs="Calibri"/>
          <w:sz w:val="22"/>
          <w:szCs w:val="22"/>
          <w:lang w:eastAsia="en-US"/>
        </w:rPr>
        <w:t xml:space="preserve"> – fuelling an ethos of ‘condition over complaint’. </w:t>
      </w:r>
      <w:r w:rsidR="001D3ACE" w:rsidRPr="001D3ACE">
        <w:rPr>
          <w:rFonts w:eastAsia="Calibri" w:cs="Times New Roman"/>
          <w:sz w:val="22"/>
          <w:szCs w:val="22"/>
          <w:lang w:eastAsia="en-US"/>
        </w:rPr>
        <w:t xml:space="preserve">The literature relating to foot healthcare supports the need to transform and shape podiatry by promoting the scope of practice, taking ownership of ‘foot care’ and embedding evidence within national and local guidelines </w:t>
      </w:r>
      <w:r w:rsidR="00330B6C">
        <w:rPr>
          <w:rFonts w:eastAsia="Calibri" w:cs="Times New Roman"/>
          <w:sz w:val="22"/>
          <w:szCs w:val="22"/>
          <w:lang w:eastAsia="en-US"/>
        </w:rPr>
        <w:t>[19, 22, 23</w:t>
      </w:r>
      <w:r w:rsidR="00E745A7">
        <w:rPr>
          <w:rFonts w:eastAsia="Calibri" w:cs="Times New Roman"/>
          <w:sz w:val="22"/>
          <w:szCs w:val="22"/>
          <w:lang w:eastAsia="en-US"/>
        </w:rPr>
        <w:t>]</w:t>
      </w:r>
      <w:r w:rsidR="001D3ACE" w:rsidRPr="001D3ACE">
        <w:rPr>
          <w:rFonts w:eastAsia="Calibri" w:cs="Times New Roman"/>
          <w:sz w:val="22"/>
          <w:szCs w:val="22"/>
          <w:lang w:eastAsia="en-US"/>
        </w:rPr>
        <w:t>.</w:t>
      </w:r>
      <w:r w:rsidR="001D3ACE" w:rsidRPr="001D3ACE">
        <w:rPr>
          <w:rFonts w:eastAsia="Times New Roman" w:cs="Times New Roman"/>
          <w:color w:val="333333"/>
          <w:sz w:val="22"/>
          <w:szCs w:val="22"/>
          <w:shd w:val="clear" w:color="auto" w:fill="FFFFFF"/>
        </w:rPr>
        <w:t xml:space="preserve">  </w:t>
      </w:r>
      <w:r w:rsidR="001D3ACE" w:rsidRPr="001D3ACE">
        <w:rPr>
          <w:rFonts w:eastAsia="Calibri" w:cs="Calibri"/>
          <w:sz w:val="22"/>
          <w:szCs w:val="22"/>
          <w:lang w:eastAsia="en-US"/>
        </w:rPr>
        <w:t>The resultant key themes constructed from our investigation are discussed below:</w:t>
      </w:r>
    </w:p>
    <w:p w14:paraId="46CBF3FC" w14:textId="77777777" w:rsidR="001D3ACE" w:rsidRPr="00EC2967" w:rsidRDefault="001D3ACE" w:rsidP="00093458">
      <w:pPr>
        <w:pStyle w:val="Heading2"/>
        <w:rPr>
          <w:rFonts w:ascii="Arial" w:hAnsi="Arial" w:cs="Arial"/>
          <w:sz w:val="22"/>
          <w:szCs w:val="22"/>
          <w:u w:val="none"/>
          <w:lang w:eastAsia="en-US"/>
        </w:rPr>
      </w:pPr>
      <w:r w:rsidRPr="00EC2967">
        <w:rPr>
          <w:rFonts w:ascii="Arial" w:hAnsi="Arial" w:cs="Arial"/>
          <w:sz w:val="22"/>
          <w:szCs w:val="22"/>
          <w:u w:val="none"/>
          <w:lang w:eastAsia="en-US"/>
        </w:rPr>
        <w:t>Evolving Professional Culture</w:t>
      </w:r>
    </w:p>
    <w:p w14:paraId="195BEE81" w14:textId="39112E31" w:rsidR="001D3ACE" w:rsidRPr="001D3ACE" w:rsidRDefault="001D3ACE" w:rsidP="00093458">
      <w:pPr>
        <w:autoSpaceDE/>
        <w:autoSpaceDN/>
        <w:adjustRightInd/>
        <w:rPr>
          <w:rFonts w:eastAsia="Calibri" w:cs="Calibri"/>
          <w:sz w:val="22"/>
          <w:szCs w:val="22"/>
          <w:lang w:eastAsia="en-US"/>
        </w:rPr>
      </w:pPr>
      <w:r w:rsidRPr="001D3ACE">
        <w:rPr>
          <w:rFonts w:eastAsia="Calibri" w:cs="Calibri"/>
          <w:sz w:val="22"/>
          <w:szCs w:val="22"/>
          <w:lang w:eastAsia="en-US"/>
        </w:rPr>
        <w:t>Notably, podiatrists expressed key concerns of frustration that, although podiatry has evolved as a profession, there remains a sense of misunderstanding, by non-podiatrists and patients, of the scope of practice and ability of podiatrists in what they do. The revelation that podiatrists believe their scope of practice is limited by the profile and image of the profession is not a new one.  Earlier work has identified the hierarchical nature of the h</w:t>
      </w:r>
      <w:r w:rsidR="002E2B9B">
        <w:rPr>
          <w:rFonts w:eastAsia="Calibri" w:cs="Calibri"/>
          <w:sz w:val="22"/>
          <w:szCs w:val="22"/>
          <w:lang w:eastAsia="en-US"/>
        </w:rPr>
        <w:t xml:space="preserve">ealth professions </w:t>
      </w:r>
      <w:r w:rsidR="00E745A7">
        <w:rPr>
          <w:rFonts w:eastAsia="Calibri" w:cs="Calibri"/>
          <w:sz w:val="22"/>
          <w:szCs w:val="22"/>
          <w:lang w:eastAsia="en-US"/>
        </w:rPr>
        <w:t>[2</w:t>
      </w:r>
      <w:r w:rsidR="00330B6C">
        <w:rPr>
          <w:rFonts w:eastAsia="Calibri" w:cs="Calibri"/>
          <w:sz w:val="22"/>
          <w:szCs w:val="22"/>
          <w:lang w:eastAsia="en-US"/>
        </w:rPr>
        <w:t>2</w:t>
      </w:r>
      <w:r w:rsidR="00E745A7">
        <w:rPr>
          <w:rFonts w:eastAsia="Calibri" w:cs="Calibri"/>
          <w:sz w:val="22"/>
          <w:szCs w:val="22"/>
          <w:lang w:eastAsia="en-US"/>
        </w:rPr>
        <w:t>]</w:t>
      </w:r>
      <w:r w:rsidRPr="001D3ACE">
        <w:rPr>
          <w:rFonts w:eastAsia="Calibri" w:cs="Calibri"/>
          <w:sz w:val="22"/>
          <w:szCs w:val="22"/>
          <w:lang w:eastAsia="en-US"/>
        </w:rPr>
        <w:t xml:space="preserve"> and the way in which podiatry has perceived itself as less visible and more misunderstood than other comparable professions </w:t>
      </w:r>
      <w:r w:rsidR="00E745A7">
        <w:rPr>
          <w:rFonts w:eastAsia="Calibri" w:cs="Calibri"/>
          <w:sz w:val="22"/>
          <w:szCs w:val="22"/>
          <w:lang w:eastAsia="en-US"/>
        </w:rPr>
        <w:t>[2</w:t>
      </w:r>
      <w:r w:rsidR="00330B6C">
        <w:rPr>
          <w:rFonts w:eastAsia="Calibri" w:cs="Calibri"/>
          <w:sz w:val="22"/>
          <w:szCs w:val="22"/>
          <w:lang w:eastAsia="en-US"/>
        </w:rPr>
        <w:t>3</w:t>
      </w:r>
      <w:r w:rsidR="00E745A7">
        <w:rPr>
          <w:rFonts w:eastAsia="Calibri" w:cs="Calibri"/>
          <w:sz w:val="22"/>
          <w:szCs w:val="22"/>
          <w:lang w:eastAsia="en-US"/>
        </w:rPr>
        <w:t>, 2</w:t>
      </w:r>
      <w:r w:rsidR="00330B6C">
        <w:rPr>
          <w:rFonts w:eastAsia="Calibri" w:cs="Calibri"/>
          <w:sz w:val="22"/>
          <w:szCs w:val="22"/>
          <w:lang w:eastAsia="en-US"/>
        </w:rPr>
        <w:t>4</w:t>
      </w:r>
      <w:r w:rsidR="00E745A7">
        <w:rPr>
          <w:rFonts w:eastAsia="Calibri" w:cs="Calibri"/>
          <w:sz w:val="22"/>
          <w:szCs w:val="22"/>
          <w:lang w:eastAsia="en-US"/>
        </w:rPr>
        <w:t>, 2</w:t>
      </w:r>
      <w:r w:rsidR="00330B6C">
        <w:rPr>
          <w:rFonts w:eastAsia="Calibri" w:cs="Calibri"/>
          <w:sz w:val="22"/>
          <w:szCs w:val="22"/>
          <w:lang w:eastAsia="en-US"/>
        </w:rPr>
        <w:t>5</w:t>
      </w:r>
      <w:r w:rsidR="00E745A7">
        <w:rPr>
          <w:rFonts w:eastAsia="Calibri" w:cs="Calibri"/>
          <w:sz w:val="22"/>
          <w:szCs w:val="22"/>
          <w:lang w:eastAsia="en-US"/>
        </w:rPr>
        <w:t>]</w:t>
      </w:r>
      <w:r w:rsidRPr="001D3ACE">
        <w:rPr>
          <w:rFonts w:eastAsia="Calibri" w:cs="Calibri"/>
          <w:sz w:val="22"/>
          <w:szCs w:val="22"/>
          <w:lang w:eastAsia="en-US"/>
        </w:rPr>
        <w:t xml:space="preserve">. In our investigation, advances in scope of practice and a growing presence in multi-disciplinary team (MDT) working were clearly considered important factors in raising the profile of the podiatry profession, however were perceived more evident in specific fields, such as diabetes foot care, and much less clear in primary care which is also evidenced widely in the </w:t>
      </w:r>
      <w:r w:rsidRPr="005C5436">
        <w:rPr>
          <w:rFonts w:eastAsia="Calibri" w:cs="Calibri"/>
          <w:sz w:val="22"/>
          <w:szCs w:val="22"/>
          <w:lang w:eastAsia="en-US"/>
        </w:rPr>
        <w:t xml:space="preserve">literature </w:t>
      </w:r>
      <w:r w:rsidR="00E745A7">
        <w:rPr>
          <w:rFonts w:eastAsia="Calibri" w:cs="Calibri"/>
          <w:sz w:val="22"/>
          <w:szCs w:val="22"/>
          <w:lang w:eastAsia="en-US"/>
        </w:rPr>
        <w:t>[2</w:t>
      </w:r>
      <w:r w:rsidR="00330B6C">
        <w:rPr>
          <w:rFonts w:eastAsia="Calibri" w:cs="Calibri"/>
          <w:sz w:val="22"/>
          <w:szCs w:val="22"/>
          <w:lang w:eastAsia="en-US"/>
        </w:rPr>
        <w:t>6</w:t>
      </w:r>
      <w:r w:rsidR="00E745A7">
        <w:rPr>
          <w:rFonts w:eastAsia="Calibri" w:cs="Calibri"/>
          <w:sz w:val="22"/>
          <w:szCs w:val="22"/>
          <w:lang w:eastAsia="en-US"/>
        </w:rPr>
        <w:t>]</w:t>
      </w:r>
      <w:r w:rsidRPr="005C5436">
        <w:rPr>
          <w:rFonts w:eastAsia="Calibri" w:cs="Calibri"/>
          <w:sz w:val="22"/>
          <w:szCs w:val="22"/>
          <w:lang w:eastAsia="en-US"/>
        </w:rPr>
        <w:t>.</w:t>
      </w:r>
    </w:p>
    <w:p w14:paraId="76D98A2D" w14:textId="77777777" w:rsidR="001D3ACE" w:rsidRPr="001D3ACE" w:rsidRDefault="001D3ACE" w:rsidP="00093458">
      <w:pPr>
        <w:autoSpaceDE/>
        <w:autoSpaceDN/>
        <w:adjustRightInd/>
        <w:rPr>
          <w:rFonts w:eastAsia="Calibri" w:cs="Calibri"/>
          <w:sz w:val="22"/>
          <w:szCs w:val="22"/>
          <w:lang w:eastAsia="en-US"/>
        </w:rPr>
      </w:pPr>
    </w:p>
    <w:p w14:paraId="1296CCD9" w14:textId="1FEAF5A9" w:rsidR="001D3ACE" w:rsidRPr="001D3ACE" w:rsidRDefault="001D3ACE" w:rsidP="00093458">
      <w:pPr>
        <w:autoSpaceDE/>
        <w:autoSpaceDN/>
        <w:adjustRightInd/>
        <w:rPr>
          <w:rFonts w:eastAsia="Calibri" w:cs="Calibri"/>
          <w:sz w:val="22"/>
          <w:szCs w:val="22"/>
          <w:lang w:eastAsia="en-US"/>
        </w:rPr>
      </w:pPr>
      <w:r w:rsidRPr="001D3ACE">
        <w:rPr>
          <w:rFonts w:eastAsia="Calibri" w:cs="Calibri"/>
          <w:sz w:val="22"/>
          <w:szCs w:val="22"/>
          <w:lang w:eastAsia="en-US"/>
        </w:rPr>
        <w:t>Key leaders in the profession, locally and nationally, were lauded for the development of services in the past and concern was voiced over the increasing trend for managers responsible for defending, promoting and commissioning podiatry services in today’s healthcare practices, to be non-podiatrists with limited knowledge of the scope of practice of the profession.  The vital role of key, charismatic characters in podiatry has been previously reported in the litera</w:t>
      </w:r>
      <w:r w:rsidR="001A0A24">
        <w:rPr>
          <w:rFonts w:eastAsia="Calibri" w:cs="Calibri"/>
          <w:sz w:val="22"/>
          <w:szCs w:val="22"/>
          <w:lang w:eastAsia="en-US"/>
        </w:rPr>
        <w:t>ture as being fundamenta</w:t>
      </w:r>
      <w:r w:rsidRPr="001D3ACE">
        <w:rPr>
          <w:rFonts w:eastAsia="Calibri" w:cs="Calibri"/>
          <w:sz w:val="22"/>
          <w:szCs w:val="22"/>
          <w:lang w:eastAsia="en-US"/>
        </w:rPr>
        <w:t>l in developing and augmenting the profession</w:t>
      </w:r>
      <w:r w:rsidR="001A0A24">
        <w:rPr>
          <w:rFonts w:eastAsia="Calibri" w:cs="Calibri"/>
          <w:sz w:val="22"/>
          <w:szCs w:val="22"/>
          <w:lang w:eastAsia="en-US"/>
        </w:rPr>
        <w:t xml:space="preserve"> in specialisms such as diabetes</w:t>
      </w:r>
      <w:r w:rsidRPr="001D3ACE">
        <w:rPr>
          <w:rFonts w:eastAsia="Calibri" w:cs="Calibri"/>
          <w:sz w:val="22"/>
          <w:szCs w:val="22"/>
          <w:lang w:eastAsia="en-US"/>
        </w:rPr>
        <w:t xml:space="preserve"> </w:t>
      </w:r>
      <w:r w:rsidR="00E745A7">
        <w:rPr>
          <w:rFonts w:eastAsia="Calibri" w:cs="Calibri"/>
          <w:sz w:val="22"/>
          <w:szCs w:val="22"/>
          <w:lang w:eastAsia="en-US"/>
        </w:rPr>
        <w:t>[2</w:t>
      </w:r>
      <w:r w:rsidR="00330B6C">
        <w:rPr>
          <w:rFonts w:eastAsia="Calibri" w:cs="Calibri"/>
          <w:sz w:val="22"/>
          <w:szCs w:val="22"/>
          <w:lang w:eastAsia="en-US"/>
        </w:rPr>
        <w:t>7</w:t>
      </w:r>
      <w:r w:rsidR="00E745A7">
        <w:rPr>
          <w:rFonts w:eastAsia="Calibri" w:cs="Calibri"/>
          <w:sz w:val="22"/>
          <w:szCs w:val="22"/>
          <w:lang w:eastAsia="en-US"/>
        </w:rPr>
        <w:t>]</w:t>
      </w:r>
      <w:r w:rsidR="005C5436">
        <w:rPr>
          <w:rFonts w:eastAsia="Calibri" w:cs="Calibri"/>
          <w:sz w:val="22"/>
          <w:szCs w:val="22"/>
          <w:lang w:eastAsia="en-US"/>
        </w:rPr>
        <w:t>,</w:t>
      </w:r>
      <w:r w:rsidR="002E2B9B">
        <w:rPr>
          <w:rFonts w:eastAsia="Calibri" w:cs="Calibri"/>
          <w:sz w:val="22"/>
          <w:szCs w:val="22"/>
          <w:lang w:eastAsia="en-US"/>
        </w:rPr>
        <w:t xml:space="preserve"> podiatric surgery </w:t>
      </w:r>
      <w:r w:rsidR="00E745A7">
        <w:rPr>
          <w:rFonts w:eastAsia="Calibri" w:cs="Calibri"/>
          <w:sz w:val="22"/>
          <w:szCs w:val="22"/>
          <w:lang w:eastAsia="en-US"/>
        </w:rPr>
        <w:t>[2</w:t>
      </w:r>
      <w:r w:rsidR="00330B6C">
        <w:rPr>
          <w:rFonts w:eastAsia="Calibri" w:cs="Calibri"/>
          <w:sz w:val="22"/>
          <w:szCs w:val="22"/>
          <w:lang w:eastAsia="en-US"/>
        </w:rPr>
        <w:t>8</w:t>
      </w:r>
      <w:r w:rsidR="00E745A7">
        <w:rPr>
          <w:rFonts w:eastAsia="Calibri" w:cs="Calibri"/>
          <w:sz w:val="22"/>
          <w:szCs w:val="22"/>
          <w:lang w:eastAsia="en-US"/>
        </w:rPr>
        <w:t>]</w:t>
      </w:r>
      <w:r w:rsidR="002E2B9B">
        <w:rPr>
          <w:rFonts w:eastAsia="Calibri" w:cs="Calibri"/>
          <w:sz w:val="22"/>
          <w:szCs w:val="22"/>
          <w:lang w:eastAsia="en-US"/>
        </w:rPr>
        <w:t xml:space="preserve"> and rheumatology </w:t>
      </w:r>
      <w:r w:rsidR="00E745A7">
        <w:rPr>
          <w:rFonts w:eastAsia="Calibri" w:cs="Calibri"/>
          <w:sz w:val="22"/>
          <w:szCs w:val="22"/>
          <w:lang w:eastAsia="en-US"/>
        </w:rPr>
        <w:t>[2</w:t>
      </w:r>
      <w:r w:rsidR="00330B6C">
        <w:rPr>
          <w:rFonts w:eastAsia="Calibri" w:cs="Calibri"/>
          <w:sz w:val="22"/>
          <w:szCs w:val="22"/>
          <w:lang w:eastAsia="en-US"/>
        </w:rPr>
        <w:t>9</w:t>
      </w:r>
      <w:r w:rsidR="00E745A7">
        <w:rPr>
          <w:rFonts w:eastAsia="Calibri" w:cs="Calibri"/>
          <w:sz w:val="22"/>
          <w:szCs w:val="22"/>
          <w:lang w:eastAsia="en-US"/>
        </w:rPr>
        <w:t>]</w:t>
      </w:r>
      <w:r w:rsidRPr="001D3ACE">
        <w:rPr>
          <w:rFonts w:eastAsia="Calibri" w:cs="Calibri"/>
          <w:sz w:val="22"/>
          <w:szCs w:val="22"/>
          <w:lang w:eastAsia="en-US"/>
        </w:rPr>
        <w:t xml:space="preserve">. </w:t>
      </w:r>
    </w:p>
    <w:p w14:paraId="51EF2B56" w14:textId="77777777" w:rsidR="001D3ACE" w:rsidRPr="00EC2967" w:rsidRDefault="001D3ACE" w:rsidP="00093458">
      <w:pPr>
        <w:pStyle w:val="Heading2"/>
        <w:rPr>
          <w:rFonts w:ascii="Arial" w:hAnsi="Arial" w:cs="Arial"/>
          <w:sz w:val="22"/>
          <w:szCs w:val="22"/>
          <w:u w:val="none"/>
          <w:lang w:eastAsia="en-US"/>
        </w:rPr>
      </w:pPr>
      <w:r w:rsidRPr="00EC2967">
        <w:rPr>
          <w:rFonts w:ascii="Arial" w:hAnsi="Arial" w:cs="Arial"/>
          <w:sz w:val="22"/>
          <w:szCs w:val="22"/>
          <w:u w:val="none"/>
          <w:lang w:eastAsia="en-US"/>
        </w:rPr>
        <w:t>‘Condition vs Complaint’</w:t>
      </w:r>
    </w:p>
    <w:p w14:paraId="5F5E6106" w14:textId="3A7A9347" w:rsidR="001D3ACE" w:rsidRPr="001D3ACE" w:rsidRDefault="0021305A" w:rsidP="00093458">
      <w:pPr>
        <w:autoSpaceDE/>
        <w:autoSpaceDN/>
        <w:adjustRightInd/>
        <w:rPr>
          <w:rFonts w:eastAsia="Calibri" w:cs="Calibri"/>
          <w:sz w:val="22"/>
          <w:szCs w:val="22"/>
          <w:lang w:eastAsia="en-US"/>
        </w:rPr>
      </w:pPr>
      <w:r w:rsidRPr="0021305A">
        <w:rPr>
          <w:rFonts w:eastAsia="Calibri" w:cs="Calibri"/>
          <w:sz w:val="22"/>
          <w:szCs w:val="22"/>
          <w:lang w:eastAsia="en-US"/>
        </w:rPr>
        <w:t>Whilst the podiatrists interviewed in this study believe</w:t>
      </w:r>
      <w:r w:rsidR="001D3ACE" w:rsidRPr="001D3ACE">
        <w:rPr>
          <w:rFonts w:eastAsia="Calibri" w:cs="Calibri"/>
          <w:sz w:val="22"/>
          <w:szCs w:val="22"/>
          <w:lang w:eastAsia="en-US"/>
        </w:rPr>
        <w:t xml:space="preserve"> that their services are valued and appreciated by their patients, they express concern that only certain people can access </w:t>
      </w:r>
      <w:r w:rsidR="00785B54">
        <w:rPr>
          <w:rFonts w:eastAsia="Calibri" w:cs="Calibri"/>
          <w:sz w:val="22"/>
          <w:szCs w:val="22"/>
          <w:lang w:eastAsia="en-US"/>
        </w:rPr>
        <w:t xml:space="preserve">NHS </w:t>
      </w:r>
      <w:r w:rsidR="001D3ACE" w:rsidRPr="001D3ACE">
        <w:rPr>
          <w:rFonts w:eastAsia="Calibri" w:cs="Calibri"/>
          <w:sz w:val="22"/>
          <w:szCs w:val="22"/>
          <w:lang w:eastAsia="en-US"/>
        </w:rPr>
        <w:t xml:space="preserve">podiatry care in the UK. </w:t>
      </w:r>
      <w:r w:rsidR="003F60F6" w:rsidRPr="003F60F6">
        <w:rPr>
          <w:rFonts w:eastAsia="Calibri" w:cs="Calibri"/>
          <w:color w:val="FF0000"/>
          <w:sz w:val="22"/>
          <w:szCs w:val="22"/>
          <w:lang w:eastAsia="en-US"/>
        </w:rPr>
        <w:t xml:space="preserve">Interestingly, despite the evidencing of outcomes, cost effectiveness and quality of services being currently so important in the procurement and commissioning of NHS services, there continues to be a paucity of published evidence to show the 'value' that patients attribute to UK podiatry services and the interventions that podiatrists use, both in respect to its significant importance amongst healthcare delivery and its impact upon patients’ quality of life.  </w:t>
      </w:r>
      <w:r w:rsidR="001D3ACE" w:rsidRPr="003F60F6">
        <w:rPr>
          <w:rFonts w:eastAsia="Calibri" w:cs="Calibri"/>
          <w:sz w:val="22"/>
          <w:szCs w:val="22"/>
          <w:lang w:eastAsia="en-US"/>
        </w:rPr>
        <w:t>Patients</w:t>
      </w:r>
      <w:r w:rsidR="001D3ACE" w:rsidRPr="001D3ACE">
        <w:rPr>
          <w:rFonts w:eastAsia="Calibri" w:cs="Calibri"/>
          <w:sz w:val="22"/>
          <w:szCs w:val="22"/>
          <w:lang w:eastAsia="en-US"/>
        </w:rPr>
        <w:t xml:space="preserve"> who can afford it may choose to seek foot care expertise from the private sector, yet this excludes many. The implications are made clear. In the UK, the majority of NHS podiatry care is initiated from within the primary care sector through referral from GPs </w:t>
      </w:r>
      <w:r w:rsidR="00E90600">
        <w:rPr>
          <w:rFonts w:eastAsia="Calibri" w:cs="Calibri"/>
          <w:sz w:val="22"/>
          <w:szCs w:val="22"/>
          <w:lang w:eastAsia="en-US"/>
        </w:rPr>
        <w:t>[7</w:t>
      </w:r>
      <w:r w:rsidR="00E745A7">
        <w:rPr>
          <w:rFonts w:eastAsia="Calibri" w:cs="Calibri"/>
          <w:sz w:val="22"/>
          <w:szCs w:val="22"/>
          <w:lang w:eastAsia="en-US"/>
        </w:rPr>
        <w:t>]</w:t>
      </w:r>
      <w:r w:rsidR="001D3ACE" w:rsidRPr="001D3ACE">
        <w:rPr>
          <w:rFonts w:eastAsia="Calibri" w:cs="Calibri"/>
          <w:sz w:val="22"/>
          <w:szCs w:val="22"/>
          <w:lang w:eastAsia="en-US"/>
        </w:rPr>
        <w:t>. Podiatr</w:t>
      </w:r>
      <w:r w:rsidR="00CB50EF">
        <w:rPr>
          <w:rFonts w:eastAsia="Calibri" w:cs="Calibri"/>
          <w:sz w:val="22"/>
          <w:szCs w:val="22"/>
          <w:lang w:eastAsia="en-US"/>
        </w:rPr>
        <w:t>ic</w:t>
      </w:r>
      <w:r w:rsidR="001D3ACE" w:rsidRPr="001D3ACE">
        <w:rPr>
          <w:rFonts w:eastAsia="Calibri" w:cs="Calibri"/>
          <w:sz w:val="22"/>
          <w:szCs w:val="22"/>
          <w:lang w:eastAsia="en-US"/>
        </w:rPr>
        <w:t xml:space="preserve"> clinicians in this investigation suggested that Clinical Commissioning Groups (CCGs), comprising primary care GPs, were much less well informed about the potential health gains to be made through referral to podiatry than perhaps other services, or in diabetes care, where MDT working enhances professional profiles. As a result, podiatrists in this investigation noted that community referral to podiatry is less well targeted than it might be, given the lack of understanding of the roles and skills of modern podiatrists </w:t>
      </w:r>
      <w:r w:rsidR="00330B6C">
        <w:rPr>
          <w:rFonts w:eastAsia="Calibri" w:cs="Calibri"/>
          <w:sz w:val="22"/>
          <w:szCs w:val="22"/>
          <w:lang w:eastAsia="en-US"/>
        </w:rPr>
        <w:t>[30</w:t>
      </w:r>
      <w:r w:rsidR="00E90600">
        <w:rPr>
          <w:rFonts w:eastAsia="Calibri" w:cs="Calibri"/>
          <w:sz w:val="22"/>
          <w:szCs w:val="22"/>
          <w:lang w:eastAsia="en-US"/>
        </w:rPr>
        <w:t>]</w:t>
      </w:r>
      <w:r w:rsidR="001D3ACE" w:rsidRPr="001D3ACE">
        <w:rPr>
          <w:rFonts w:eastAsia="Calibri" w:cs="Calibri"/>
          <w:sz w:val="22"/>
          <w:szCs w:val="22"/>
          <w:lang w:eastAsia="en-US"/>
        </w:rPr>
        <w:t xml:space="preserve"> among GPs and other commissioners in primary care. This is reflective of recent analysis of GP referral patterns</w:t>
      </w:r>
      <w:r w:rsidR="00EC2967">
        <w:rPr>
          <w:rFonts w:eastAsia="Calibri" w:cs="Calibri"/>
          <w:sz w:val="22"/>
          <w:szCs w:val="22"/>
          <w:lang w:eastAsia="en-US"/>
        </w:rPr>
        <w:t xml:space="preserve"> for foot pain, which</w:t>
      </w:r>
      <w:r w:rsidR="001A0A24">
        <w:rPr>
          <w:rFonts w:eastAsia="Calibri" w:cs="Calibri"/>
          <w:sz w:val="22"/>
          <w:szCs w:val="22"/>
          <w:lang w:eastAsia="en-US"/>
        </w:rPr>
        <w:t xml:space="preserve"> found that the majority went to orthopaedics </w:t>
      </w:r>
      <w:r w:rsidR="00330B6C">
        <w:rPr>
          <w:rFonts w:eastAsia="Calibri" w:cs="Calibri"/>
          <w:sz w:val="22"/>
          <w:szCs w:val="22"/>
          <w:lang w:eastAsia="en-US"/>
        </w:rPr>
        <w:t>[31</w:t>
      </w:r>
      <w:r w:rsidR="00E90600">
        <w:rPr>
          <w:rFonts w:eastAsia="Calibri" w:cs="Calibri"/>
          <w:sz w:val="22"/>
          <w:szCs w:val="22"/>
          <w:lang w:eastAsia="en-US"/>
        </w:rPr>
        <w:t>]</w:t>
      </w:r>
      <w:r w:rsidR="001D3ACE" w:rsidRPr="001D3ACE">
        <w:rPr>
          <w:rFonts w:eastAsia="Calibri" w:cs="Calibri"/>
          <w:sz w:val="22"/>
          <w:szCs w:val="22"/>
          <w:lang w:eastAsia="en-US"/>
        </w:rPr>
        <w:t xml:space="preserve">. Interestingly this reflects the cultural and socio-historical context of the allied health professions, which occupied a lesser position within a complex health division of labour throughout most of the twentieth century </w:t>
      </w:r>
      <w:r w:rsidR="00330B6C">
        <w:rPr>
          <w:rFonts w:eastAsia="Calibri" w:cs="Calibri"/>
          <w:sz w:val="22"/>
          <w:szCs w:val="22"/>
          <w:lang w:eastAsia="en-US"/>
        </w:rPr>
        <w:t>[24</w:t>
      </w:r>
      <w:r w:rsidR="00E90600">
        <w:rPr>
          <w:rFonts w:eastAsia="Calibri" w:cs="Calibri"/>
          <w:sz w:val="22"/>
          <w:szCs w:val="22"/>
          <w:lang w:eastAsia="en-US"/>
        </w:rPr>
        <w:t>,3</w:t>
      </w:r>
      <w:r w:rsidR="00330B6C">
        <w:rPr>
          <w:rFonts w:eastAsia="Calibri" w:cs="Calibri"/>
          <w:sz w:val="22"/>
          <w:szCs w:val="22"/>
          <w:lang w:eastAsia="en-US"/>
        </w:rPr>
        <w:t>2</w:t>
      </w:r>
      <w:r w:rsidR="00E90600">
        <w:rPr>
          <w:rFonts w:eastAsia="Calibri" w:cs="Calibri"/>
          <w:sz w:val="22"/>
          <w:szCs w:val="22"/>
          <w:lang w:eastAsia="en-US"/>
        </w:rPr>
        <w:t>]</w:t>
      </w:r>
      <w:r w:rsidR="001D3ACE" w:rsidRPr="001D3ACE">
        <w:rPr>
          <w:rFonts w:eastAsia="Calibri" w:cs="Calibri"/>
          <w:sz w:val="22"/>
          <w:szCs w:val="22"/>
          <w:lang w:eastAsia="en-US"/>
        </w:rPr>
        <w:t xml:space="preserve">.   </w:t>
      </w:r>
    </w:p>
    <w:p w14:paraId="42BD1AC4" w14:textId="77777777" w:rsidR="001D3ACE" w:rsidRPr="001D3ACE" w:rsidRDefault="001D3ACE" w:rsidP="00093458">
      <w:pPr>
        <w:autoSpaceDE/>
        <w:autoSpaceDN/>
        <w:adjustRightInd/>
        <w:rPr>
          <w:rFonts w:eastAsia="Calibri" w:cs="Calibri"/>
          <w:sz w:val="22"/>
          <w:szCs w:val="22"/>
          <w:lang w:eastAsia="en-US"/>
        </w:rPr>
      </w:pPr>
    </w:p>
    <w:p w14:paraId="2EF02583" w14:textId="77777777" w:rsidR="0057781C" w:rsidRDefault="0057781C" w:rsidP="00093458">
      <w:pPr>
        <w:autoSpaceDE/>
        <w:autoSpaceDN/>
        <w:adjustRightInd/>
        <w:rPr>
          <w:rFonts w:eastAsia="Calibri" w:cs="Calibri"/>
          <w:sz w:val="22"/>
          <w:szCs w:val="22"/>
          <w:lang w:eastAsia="en-US"/>
        </w:rPr>
      </w:pPr>
    </w:p>
    <w:p w14:paraId="6BB8A725" w14:textId="5183235A" w:rsidR="001D3ACE" w:rsidRDefault="001D3ACE" w:rsidP="00093458">
      <w:pPr>
        <w:autoSpaceDE/>
        <w:autoSpaceDN/>
        <w:adjustRightInd/>
        <w:rPr>
          <w:rFonts w:eastAsia="Calibri" w:cs="Calibri"/>
          <w:sz w:val="22"/>
          <w:szCs w:val="22"/>
          <w:lang w:eastAsia="en-US"/>
        </w:rPr>
      </w:pPr>
      <w:r w:rsidRPr="001D3ACE">
        <w:rPr>
          <w:rFonts w:eastAsia="Calibri" w:cs="Calibri"/>
          <w:sz w:val="22"/>
          <w:szCs w:val="22"/>
          <w:lang w:eastAsia="en-US"/>
        </w:rPr>
        <w:t>A sense of frustration was consistent through the discussions on the disparity across the UK of accessibility to NHS podiatry services and the inequity between areas, patient groups and commissioning bodies.  Eligibility criteria, and the use of ‘tick box’ access, in combination with a national public health drive, appears to have resulted in open eligibility to podiatry services for some patients, but limited or barred access for other patient groups who may have an equal or greater podiatric need.</w:t>
      </w:r>
    </w:p>
    <w:p w14:paraId="7733BE15" w14:textId="77777777" w:rsidR="0057781C" w:rsidRPr="001D3ACE" w:rsidRDefault="0057781C" w:rsidP="00093458">
      <w:pPr>
        <w:autoSpaceDE/>
        <w:autoSpaceDN/>
        <w:adjustRightInd/>
        <w:rPr>
          <w:rFonts w:eastAsia="Calibri" w:cs="Calibri"/>
          <w:sz w:val="22"/>
          <w:szCs w:val="22"/>
          <w:lang w:eastAsia="en-US"/>
        </w:rPr>
      </w:pPr>
    </w:p>
    <w:p w14:paraId="2E017559" w14:textId="0D7337E8" w:rsidR="001D3ACE" w:rsidRPr="001D3ACE" w:rsidRDefault="001D3ACE" w:rsidP="00416C33">
      <w:pPr>
        <w:autoSpaceDE/>
        <w:autoSpaceDN/>
        <w:adjustRightInd/>
        <w:rPr>
          <w:rFonts w:eastAsia="Calibri" w:cs="Calibri"/>
          <w:sz w:val="22"/>
          <w:szCs w:val="22"/>
          <w:lang w:eastAsia="en-US"/>
        </w:rPr>
      </w:pPr>
      <w:r w:rsidRPr="001D3ACE">
        <w:rPr>
          <w:rFonts w:eastAsia="Calibri" w:cs="Calibri"/>
          <w:sz w:val="22"/>
          <w:szCs w:val="22"/>
          <w:lang w:eastAsia="en-US"/>
        </w:rPr>
        <w:t>Whilst this is positive and inclusive for ‘eligible’ people, it excludes others</w:t>
      </w:r>
      <w:r w:rsidR="0057781C">
        <w:rPr>
          <w:rFonts w:eastAsia="Calibri" w:cs="Calibri"/>
          <w:sz w:val="22"/>
          <w:szCs w:val="22"/>
          <w:lang w:eastAsia="en-US"/>
        </w:rPr>
        <w:t xml:space="preserve">. This </w:t>
      </w:r>
      <w:r w:rsidRPr="001D3ACE">
        <w:rPr>
          <w:rFonts w:eastAsia="Calibri" w:cs="Calibri"/>
          <w:sz w:val="22"/>
          <w:szCs w:val="22"/>
          <w:lang w:eastAsia="en-US"/>
        </w:rPr>
        <w:t>allow</w:t>
      </w:r>
      <w:r w:rsidR="0057781C">
        <w:rPr>
          <w:rFonts w:eastAsia="Calibri" w:cs="Calibri"/>
          <w:sz w:val="22"/>
          <w:szCs w:val="22"/>
          <w:lang w:eastAsia="en-US"/>
        </w:rPr>
        <w:t>s access to</w:t>
      </w:r>
      <w:r w:rsidRPr="001D3ACE">
        <w:rPr>
          <w:rFonts w:eastAsia="Calibri" w:cs="Calibri"/>
          <w:sz w:val="22"/>
          <w:szCs w:val="22"/>
          <w:lang w:eastAsia="en-US"/>
        </w:rPr>
        <w:t xml:space="preserve"> podiatry service</w:t>
      </w:r>
      <w:r w:rsidR="0057781C">
        <w:rPr>
          <w:rFonts w:eastAsia="Calibri" w:cs="Calibri"/>
          <w:sz w:val="22"/>
          <w:szCs w:val="22"/>
          <w:lang w:eastAsia="en-US"/>
        </w:rPr>
        <w:t>s for</w:t>
      </w:r>
      <w:r w:rsidRPr="001D3ACE">
        <w:rPr>
          <w:rFonts w:eastAsia="Calibri" w:cs="Calibri"/>
          <w:sz w:val="22"/>
          <w:szCs w:val="22"/>
          <w:lang w:eastAsia="en-US"/>
        </w:rPr>
        <w:t xml:space="preserve"> people who may not need specialist podiatric intervention at the time, yet are able to access care because they have a specific condition, albeit not affecting their feet</w:t>
      </w:r>
      <w:r w:rsidR="0057781C">
        <w:rPr>
          <w:rFonts w:eastAsia="Calibri" w:cs="Calibri"/>
          <w:sz w:val="22"/>
          <w:szCs w:val="22"/>
          <w:lang w:eastAsia="en-US"/>
        </w:rPr>
        <w:t>. This, in turn appears to be causing</w:t>
      </w:r>
      <w:r w:rsidRPr="001D3ACE">
        <w:rPr>
          <w:rFonts w:eastAsia="Calibri" w:cs="Calibri"/>
          <w:sz w:val="22"/>
          <w:szCs w:val="22"/>
          <w:lang w:eastAsia="en-US"/>
        </w:rPr>
        <w:t xml:space="preserve"> inequities of condition over complaint.  Barriers towards accessing podiatry care for individuals who have arthritis have been previously highlighted in other countries</w:t>
      </w:r>
      <w:r w:rsidR="00E90600">
        <w:rPr>
          <w:rFonts w:eastAsia="Calibri" w:cs="Calibri"/>
          <w:sz w:val="22"/>
          <w:szCs w:val="22"/>
          <w:lang w:eastAsia="en-US"/>
        </w:rPr>
        <w:t xml:space="preserve"> [33</w:t>
      </w:r>
      <w:r w:rsidR="00330B6C">
        <w:rPr>
          <w:rFonts w:eastAsia="Calibri" w:cs="Calibri"/>
          <w:sz w:val="22"/>
          <w:szCs w:val="22"/>
          <w:lang w:eastAsia="en-US"/>
        </w:rPr>
        <w:t>, 34, 35</w:t>
      </w:r>
      <w:r w:rsidR="00E90600">
        <w:rPr>
          <w:rFonts w:eastAsia="Calibri" w:cs="Calibri"/>
          <w:sz w:val="22"/>
          <w:szCs w:val="22"/>
          <w:lang w:eastAsia="en-US"/>
        </w:rPr>
        <w:t>]</w:t>
      </w:r>
      <w:r w:rsidR="004B7816">
        <w:rPr>
          <w:rFonts w:eastAsia="Calibri" w:cs="Calibri"/>
          <w:sz w:val="22"/>
          <w:szCs w:val="22"/>
          <w:lang w:eastAsia="en-US"/>
        </w:rPr>
        <w:t>.</w:t>
      </w:r>
      <w:r w:rsidR="00265E69">
        <w:rPr>
          <w:rFonts w:eastAsia="Calibri" w:cs="Calibri"/>
          <w:sz w:val="22"/>
          <w:szCs w:val="22"/>
          <w:lang w:eastAsia="en-US"/>
        </w:rPr>
        <w:t xml:space="preserve"> </w:t>
      </w:r>
      <w:r w:rsidRPr="001D3ACE">
        <w:rPr>
          <w:rFonts w:eastAsia="Calibri" w:cs="Calibri"/>
          <w:sz w:val="22"/>
          <w:szCs w:val="22"/>
          <w:lang w:eastAsia="en-US"/>
        </w:rPr>
        <w:t xml:space="preserve">This is consistent with findings that the provision of foot care for people with rheumatoid arthritis is not driven by foot health characteristics such as foot pain or foot related disability </w:t>
      </w:r>
      <w:r w:rsidR="00E90600">
        <w:rPr>
          <w:rFonts w:eastAsia="Calibri" w:cs="Calibri"/>
          <w:sz w:val="22"/>
          <w:szCs w:val="22"/>
          <w:lang w:eastAsia="en-US"/>
        </w:rPr>
        <w:t>[3</w:t>
      </w:r>
      <w:r w:rsidR="00330B6C">
        <w:rPr>
          <w:rFonts w:eastAsia="Calibri" w:cs="Calibri"/>
          <w:sz w:val="22"/>
          <w:szCs w:val="22"/>
          <w:lang w:eastAsia="en-US"/>
        </w:rPr>
        <w:t>3</w:t>
      </w:r>
      <w:r w:rsidR="00E90600">
        <w:rPr>
          <w:rFonts w:eastAsia="Calibri" w:cs="Calibri"/>
          <w:sz w:val="22"/>
          <w:szCs w:val="22"/>
          <w:lang w:eastAsia="en-US"/>
        </w:rPr>
        <w:t>, 3</w:t>
      </w:r>
      <w:r w:rsidR="00330B6C">
        <w:rPr>
          <w:rFonts w:eastAsia="Calibri" w:cs="Calibri"/>
          <w:sz w:val="22"/>
          <w:szCs w:val="22"/>
          <w:lang w:eastAsia="en-US"/>
        </w:rPr>
        <w:t>6</w:t>
      </w:r>
      <w:r w:rsidR="00E90600">
        <w:rPr>
          <w:rFonts w:eastAsia="Calibri" w:cs="Calibri"/>
          <w:sz w:val="22"/>
          <w:szCs w:val="22"/>
          <w:lang w:eastAsia="en-US"/>
        </w:rPr>
        <w:t>]</w:t>
      </w:r>
      <w:r w:rsidR="00416C33">
        <w:rPr>
          <w:rFonts w:eastAsia="Calibri" w:cs="Calibri"/>
          <w:sz w:val="22"/>
          <w:szCs w:val="22"/>
          <w:lang w:eastAsia="en-US"/>
        </w:rPr>
        <w:t xml:space="preserve"> </w:t>
      </w:r>
      <w:r w:rsidRPr="001D3ACE">
        <w:rPr>
          <w:rFonts w:eastAsia="Calibri" w:cs="Calibri"/>
          <w:sz w:val="22"/>
          <w:szCs w:val="22"/>
          <w:lang w:eastAsia="en-US"/>
        </w:rPr>
        <w:t xml:space="preserve">and indicates that the role of podiatry in the prevention of deterioration of foot health is partially, but not fully, recognised. </w:t>
      </w:r>
    </w:p>
    <w:p w14:paraId="4C9D712A" w14:textId="77777777" w:rsidR="001D3ACE" w:rsidRPr="001D3ACE" w:rsidRDefault="001D3ACE" w:rsidP="00093458">
      <w:pPr>
        <w:autoSpaceDE/>
        <w:autoSpaceDN/>
        <w:adjustRightInd/>
        <w:rPr>
          <w:rFonts w:eastAsia="Calibri" w:cs="Times New Roman"/>
          <w:sz w:val="22"/>
          <w:szCs w:val="22"/>
          <w:lang w:eastAsia="en-US"/>
        </w:rPr>
      </w:pPr>
    </w:p>
    <w:p w14:paraId="4F0B322C" w14:textId="6078AC7C" w:rsidR="001D3ACE" w:rsidRPr="001D3ACE" w:rsidRDefault="001D3ACE" w:rsidP="00093458">
      <w:pPr>
        <w:autoSpaceDE/>
        <w:autoSpaceDN/>
        <w:adjustRightInd/>
        <w:rPr>
          <w:rFonts w:eastAsia="Calibri" w:cs="Times New Roman"/>
          <w:sz w:val="22"/>
          <w:szCs w:val="22"/>
          <w:lang w:eastAsia="en-US"/>
        </w:rPr>
      </w:pPr>
      <w:r w:rsidRPr="001D3ACE">
        <w:rPr>
          <w:rFonts w:eastAsia="Calibri" w:cs="Times New Roman"/>
          <w:sz w:val="22"/>
          <w:szCs w:val="22"/>
          <w:lang w:eastAsia="en-US"/>
        </w:rPr>
        <w:t>Alone, medical or podiatric pathology can place a person at mild, moderate or severe podiatric risk status. With comorbidities, this risk increases, in som</w:t>
      </w:r>
      <w:r w:rsidR="00C33CF4">
        <w:rPr>
          <w:rFonts w:eastAsia="Calibri" w:cs="Times New Roman"/>
          <w:sz w:val="22"/>
          <w:szCs w:val="22"/>
          <w:lang w:eastAsia="en-US"/>
        </w:rPr>
        <w:t xml:space="preserve">e cases significantly </w:t>
      </w:r>
      <w:r w:rsidR="00E90600">
        <w:rPr>
          <w:rFonts w:eastAsia="Calibri" w:cs="Times New Roman"/>
          <w:sz w:val="22"/>
          <w:szCs w:val="22"/>
          <w:lang w:eastAsia="en-US"/>
        </w:rPr>
        <w:t>[3</w:t>
      </w:r>
      <w:r w:rsidR="00330B6C">
        <w:rPr>
          <w:rFonts w:eastAsia="Calibri" w:cs="Times New Roman"/>
          <w:sz w:val="22"/>
          <w:szCs w:val="22"/>
          <w:lang w:eastAsia="en-US"/>
        </w:rPr>
        <w:t>7</w:t>
      </w:r>
      <w:r w:rsidR="00E90600">
        <w:rPr>
          <w:rFonts w:eastAsia="Calibri" w:cs="Times New Roman"/>
          <w:sz w:val="22"/>
          <w:szCs w:val="22"/>
          <w:lang w:eastAsia="en-US"/>
        </w:rPr>
        <w:t>,3</w:t>
      </w:r>
      <w:r w:rsidR="00330B6C">
        <w:rPr>
          <w:rFonts w:eastAsia="Calibri" w:cs="Times New Roman"/>
          <w:sz w:val="22"/>
          <w:szCs w:val="22"/>
          <w:lang w:eastAsia="en-US"/>
        </w:rPr>
        <w:t>8</w:t>
      </w:r>
      <w:r w:rsidR="00E90600">
        <w:rPr>
          <w:rFonts w:eastAsia="Calibri" w:cs="Times New Roman"/>
          <w:sz w:val="22"/>
          <w:szCs w:val="22"/>
          <w:lang w:eastAsia="en-US"/>
        </w:rPr>
        <w:t>]</w:t>
      </w:r>
      <w:r w:rsidRPr="001D3ACE">
        <w:rPr>
          <w:rFonts w:eastAsia="Calibri" w:cs="Times New Roman"/>
          <w:sz w:val="22"/>
          <w:szCs w:val="22"/>
          <w:lang w:eastAsia="en-US"/>
        </w:rPr>
        <w:t xml:space="preserve">.  Podiatrists are aware of the risk status and vulnerability of patients who do not have their podiatric needs met, including those who are ineligible for NHS care but cannot afford private </w:t>
      </w:r>
      <w:r w:rsidR="00BC3F21">
        <w:rPr>
          <w:rFonts w:eastAsia="Calibri" w:cs="Times New Roman"/>
          <w:sz w:val="22"/>
          <w:szCs w:val="22"/>
          <w:lang w:eastAsia="en-US"/>
        </w:rPr>
        <w:t xml:space="preserve">sector </w:t>
      </w:r>
      <w:r w:rsidRPr="001D3ACE">
        <w:rPr>
          <w:rFonts w:eastAsia="Calibri" w:cs="Times New Roman"/>
          <w:sz w:val="22"/>
          <w:szCs w:val="22"/>
          <w:lang w:eastAsia="en-US"/>
        </w:rPr>
        <w:t xml:space="preserve">care. From the concerns podiatrists expressed on behalf of their service users, came some consideration of alternative foot care options </w:t>
      </w:r>
      <w:r w:rsidR="00785B54">
        <w:rPr>
          <w:rFonts w:eastAsia="Calibri" w:cs="Times New Roman"/>
          <w:sz w:val="22"/>
          <w:szCs w:val="22"/>
          <w:lang w:eastAsia="en-US"/>
        </w:rPr>
        <w:t xml:space="preserve">that </w:t>
      </w:r>
      <w:r w:rsidRPr="001D3ACE">
        <w:rPr>
          <w:rFonts w:eastAsia="Calibri" w:cs="Times New Roman"/>
          <w:sz w:val="22"/>
          <w:szCs w:val="22"/>
          <w:lang w:eastAsia="en-US"/>
        </w:rPr>
        <w:t xml:space="preserve">the public access.  Private practice was represented positively in providing valuable services, from both private </w:t>
      </w:r>
      <w:r w:rsidR="00BC3F21">
        <w:rPr>
          <w:rFonts w:eastAsia="Calibri" w:cs="Times New Roman"/>
          <w:sz w:val="22"/>
          <w:szCs w:val="22"/>
          <w:lang w:eastAsia="en-US"/>
        </w:rPr>
        <w:t>sector</w:t>
      </w:r>
      <w:r w:rsidRPr="001D3ACE">
        <w:rPr>
          <w:rFonts w:eastAsia="Calibri" w:cs="Times New Roman"/>
          <w:sz w:val="22"/>
          <w:szCs w:val="22"/>
          <w:lang w:eastAsia="en-US"/>
        </w:rPr>
        <w:t xml:space="preserve"> and NHS practitioners, </w:t>
      </w:r>
      <w:r w:rsidR="00AE6392" w:rsidRPr="00AE6392">
        <w:rPr>
          <w:rFonts w:eastAsia="Calibri" w:cs="Times New Roman"/>
          <w:sz w:val="22"/>
          <w:szCs w:val="22"/>
          <w:lang w:eastAsia="en-US"/>
        </w:rPr>
        <w:t xml:space="preserve">including suggestion that it enables NHS services </w:t>
      </w:r>
      <w:r w:rsidR="00AE6392" w:rsidRPr="00FD40F8">
        <w:rPr>
          <w:rFonts w:eastAsia="Calibri" w:cs="Times New Roman"/>
          <w:sz w:val="22"/>
          <w:szCs w:val="22"/>
          <w:lang w:eastAsia="en-US"/>
        </w:rPr>
        <w:t>to ‘cope’</w:t>
      </w:r>
      <w:r w:rsidR="00FD40F8">
        <w:rPr>
          <w:rFonts w:eastAsia="Calibri" w:cs="Times New Roman"/>
          <w:sz w:val="22"/>
          <w:szCs w:val="22"/>
          <w:lang w:eastAsia="en-US"/>
        </w:rPr>
        <w:t xml:space="preserve">. </w:t>
      </w:r>
      <w:r w:rsidRPr="00FD40F8">
        <w:rPr>
          <w:rFonts w:eastAsia="Calibri" w:cs="Times New Roman"/>
          <w:sz w:val="22"/>
          <w:szCs w:val="22"/>
          <w:lang w:eastAsia="en-US"/>
        </w:rPr>
        <w:t>Alternative foot</w:t>
      </w:r>
      <w:r w:rsidRPr="001D3ACE">
        <w:rPr>
          <w:rFonts w:eastAsia="Calibri" w:cs="Times New Roman"/>
          <w:sz w:val="22"/>
          <w:szCs w:val="22"/>
          <w:lang w:eastAsia="en-US"/>
        </w:rPr>
        <w:t xml:space="preserve"> health providers were broached, including charitable organisations and ‘nail bars’, where concerns were aired from both NHS and private </w:t>
      </w:r>
      <w:r w:rsidR="00BC3F21">
        <w:rPr>
          <w:rFonts w:eastAsia="Calibri" w:cs="Times New Roman"/>
          <w:sz w:val="22"/>
          <w:szCs w:val="22"/>
          <w:lang w:eastAsia="en-US"/>
        </w:rPr>
        <w:t xml:space="preserve">sector </w:t>
      </w:r>
      <w:r w:rsidRPr="001D3ACE">
        <w:rPr>
          <w:rFonts w:eastAsia="Calibri" w:cs="Times New Roman"/>
          <w:sz w:val="22"/>
          <w:szCs w:val="22"/>
          <w:lang w:eastAsia="en-US"/>
        </w:rPr>
        <w:t>practitioners, as were the incongruities of jointly managing patients between multiple providers.  This echoes the views of other experts advocating podiatric intervention for those with foot health vulnerability and pathology due to long term health conditions</w:t>
      </w:r>
      <w:r w:rsidR="005E1B03">
        <w:rPr>
          <w:rFonts w:eastAsia="Calibri" w:cs="Times New Roman"/>
          <w:sz w:val="22"/>
          <w:szCs w:val="22"/>
          <w:lang w:eastAsia="en-US"/>
        </w:rPr>
        <w:t xml:space="preserve"> </w:t>
      </w:r>
      <w:r w:rsidR="00330B6C">
        <w:rPr>
          <w:rFonts w:eastAsia="Calibri" w:cs="Times New Roman"/>
          <w:sz w:val="22"/>
          <w:szCs w:val="22"/>
          <w:lang w:eastAsia="en-US"/>
        </w:rPr>
        <w:t>[</w:t>
      </w:r>
      <w:r w:rsidR="00E90600">
        <w:rPr>
          <w:rFonts w:eastAsia="Calibri" w:cs="Times New Roman"/>
          <w:sz w:val="22"/>
          <w:szCs w:val="22"/>
          <w:lang w:eastAsia="en-US"/>
        </w:rPr>
        <w:t>37, 38</w:t>
      </w:r>
      <w:r w:rsidR="00330B6C">
        <w:rPr>
          <w:rFonts w:eastAsia="Calibri" w:cs="Times New Roman"/>
          <w:sz w:val="22"/>
          <w:szCs w:val="22"/>
          <w:lang w:eastAsia="en-US"/>
        </w:rPr>
        <w:t>, 39, 40</w:t>
      </w:r>
      <w:r w:rsidR="00E90600">
        <w:rPr>
          <w:rFonts w:eastAsia="Calibri" w:cs="Times New Roman"/>
          <w:sz w:val="22"/>
          <w:szCs w:val="22"/>
          <w:lang w:eastAsia="en-US"/>
        </w:rPr>
        <w:t>]</w:t>
      </w:r>
      <w:r w:rsidR="0018466E">
        <w:rPr>
          <w:rFonts w:eastAsia="Calibri" w:cs="Times New Roman"/>
          <w:sz w:val="22"/>
          <w:szCs w:val="22"/>
          <w:lang w:eastAsia="en-US"/>
        </w:rPr>
        <w:t>. This, in turn,</w:t>
      </w:r>
      <w:r w:rsidRPr="001D3ACE">
        <w:rPr>
          <w:rFonts w:eastAsia="Calibri" w:cs="Times New Roman"/>
          <w:sz w:val="22"/>
          <w:szCs w:val="22"/>
          <w:lang w:eastAsia="en-US"/>
        </w:rPr>
        <w:t xml:space="preserve"> synchronises with NHS Englan</w:t>
      </w:r>
      <w:r w:rsidR="0018466E">
        <w:rPr>
          <w:rFonts w:eastAsia="Calibri" w:cs="Times New Roman"/>
          <w:sz w:val="22"/>
          <w:szCs w:val="22"/>
          <w:lang w:eastAsia="en-US"/>
        </w:rPr>
        <w:t xml:space="preserve">d’s (2014) Five Year Forward View </w:t>
      </w:r>
      <w:r w:rsidR="00330B6C">
        <w:rPr>
          <w:rFonts w:eastAsia="Calibri" w:cs="Times New Roman"/>
          <w:sz w:val="22"/>
          <w:szCs w:val="22"/>
          <w:lang w:eastAsia="en-US"/>
        </w:rPr>
        <w:t>[41</w:t>
      </w:r>
      <w:r w:rsidR="00E90600">
        <w:rPr>
          <w:rFonts w:eastAsia="Calibri" w:cs="Times New Roman"/>
          <w:sz w:val="22"/>
          <w:szCs w:val="22"/>
          <w:lang w:eastAsia="en-US"/>
        </w:rPr>
        <w:t>]</w:t>
      </w:r>
      <w:r w:rsidR="0018466E">
        <w:rPr>
          <w:rFonts w:eastAsia="Calibri" w:cs="Times New Roman"/>
          <w:sz w:val="22"/>
          <w:szCs w:val="22"/>
          <w:lang w:eastAsia="en-US"/>
        </w:rPr>
        <w:t xml:space="preserve"> </w:t>
      </w:r>
      <w:r w:rsidRPr="001D3ACE">
        <w:rPr>
          <w:rFonts w:eastAsia="Calibri" w:cs="Times New Roman"/>
          <w:sz w:val="22"/>
          <w:szCs w:val="22"/>
          <w:lang w:eastAsia="en-US"/>
        </w:rPr>
        <w:t xml:space="preserve">for a healthcare system that </w:t>
      </w:r>
      <w:r w:rsidR="0018466E" w:rsidRPr="001D3ACE">
        <w:rPr>
          <w:rFonts w:eastAsia="Calibri" w:cs="Times New Roman"/>
          <w:sz w:val="22"/>
          <w:szCs w:val="22"/>
          <w:lang w:eastAsia="en-US"/>
        </w:rPr>
        <w:t>demonstrate</w:t>
      </w:r>
      <w:r w:rsidR="0018466E">
        <w:rPr>
          <w:rFonts w:eastAsia="Calibri" w:cs="Times New Roman"/>
          <w:sz w:val="22"/>
          <w:szCs w:val="22"/>
          <w:lang w:eastAsia="en-US"/>
        </w:rPr>
        <w:t>s</w:t>
      </w:r>
      <w:r w:rsidR="0018466E" w:rsidRPr="001D3ACE">
        <w:rPr>
          <w:rFonts w:eastAsia="Calibri" w:cs="Times New Roman"/>
          <w:sz w:val="22"/>
          <w:szCs w:val="22"/>
          <w:lang w:eastAsia="en-US"/>
        </w:rPr>
        <w:t xml:space="preserve"> improvement</w:t>
      </w:r>
      <w:r w:rsidR="0018466E">
        <w:rPr>
          <w:rFonts w:eastAsia="Calibri" w:cs="Times New Roman"/>
          <w:sz w:val="22"/>
          <w:szCs w:val="22"/>
          <w:lang w:eastAsia="en-US"/>
        </w:rPr>
        <w:t xml:space="preserve">s in </w:t>
      </w:r>
      <w:r w:rsidR="0018466E" w:rsidRPr="001D3ACE">
        <w:rPr>
          <w:rFonts w:eastAsia="Calibri" w:cs="Times New Roman"/>
          <w:sz w:val="22"/>
          <w:szCs w:val="22"/>
          <w:lang w:eastAsia="en-US"/>
        </w:rPr>
        <w:t xml:space="preserve">service </w:t>
      </w:r>
      <w:r w:rsidR="0018466E">
        <w:rPr>
          <w:rFonts w:eastAsia="Calibri" w:cs="Times New Roman"/>
          <w:sz w:val="22"/>
          <w:szCs w:val="22"/>
          <w:lang w:eastAsia="en-US"/>
        </w:rPr>
        <w:t xml:space="preserve">outcomes, </w:t>
      </w:r>
      <w:r w:rsidR="0018466E" w:rsidRPr="001D3ACE">
        <w:rPr>
          <w:rFonts w:eastAsia="Calibri" w:cs="Times New Roman"/>
          <w:sz w:val="22"/>
          <w:szCs w:val="22"/>
          <w:lang w:eastAsia="en-US"/>
        </w:rPr>
        <w:t>improve</w:t>
      </w:r>
      <w:r w:rsidR="0018466E">
        <w:rPr>
          <w:rFonts w:eastAsia="Calibri" w:cs="Times New Roman"/>
          <w:sz w:val="22"/>
          <w:szCs w:val="22"/>
          <w:lang w:eastAsia="en-US"/>
        </w:rPr>
        <w:t>s</w:t>
      </w:r>
      <w:r w:rsidR="0018466E" w:rsidRPr="001D3ACE">
        <w:rPr>
          <w:rFonts w:eastAsia="Calibri" w:cs="Times New Roman"/>
          <w:sz w:val="22"/>
          <w:szCs w:val="22"/>
          <w:lang w:eastAsia="en-US"/>
        </w:rPr>
        <w:t xml:space="preserve"> preventative care</w:t>
      </w:r>
      <w:r w:rsidR="0018466E">
        <w:rPr>
          <w:rFonts w:eastAsia="Calibri" w:cs="Times New Roman"/>
          <w:sz w:val="22"/>
          <w:szCs w:val="22"/>
          <w:lang w:eastAsia="en-US"/>
        </w:rPr>
        <w:t>,</w:t>
      </w:r>
      <w:r w:rsidR="0018466E" w:rsidRPr="001D3ACE">
        <w:rPr>
          <w:rFonts w:eastAsia="Calibri" w:cs="Times New Roman"/>
          <w:sz w:val="22"/>
          <w:szCs w:val="22"/>
          <w:lang w:eastAsia="en-US"/>
        </w:rPr>
        <w:t xml:space="preserve"> </w:t>
      </w:r>
      <w:r w:rsidRPr="001D3ACE">
        <w:rPr>
          <w:rFonts w:eastAsia="Calibri" w:cs="Times New Roman"/>
          <w:sz w:val="22"/>
          <w:szCs w:val="22"/>
          <w:lang w:eastAsia="en-US"/>
        </w:rPr>
        <w:t xml:space="preserve">enables </w:t>
      </w:r>
      <w:r w:rsidR="0018466E">
        <w:rPr>
          <w:rFonts w:eastAsia="Calibri" w:cs="Times New Roman"/>
          <w:sz w:val="22"/>
          <w:szCs w:val="22"/>
          <w:lang w:eastAsia="en-US"/>
        </w:rPr>
        <w:t xml:space="preserve">the </w:t>
      </w:r>
      <w:r w:rsidRPr="001D3ACE">
        <w:rPr>
          <w:rFonts w:eastAsia="Calibri" w:cs="Times New Roman"/>
          <w:sz w:val="22"/>
          <w:szCs w:val="22"/>
          <w:lang w:eastAsia="en-US"/>
        </w:rPr>
        <w:t xml:space="preserve">frail and </w:t>
      </w:r>
      <w:r w:rsidR="0018466E">
        <w:rPr>
          <w:rFonts w:eastAsia="Calibri" w:cs="Times New Roman"/>
          <w:sz w:val="22"/>
          <w:szCs w:val="22"/>
          <w:lang w:eastAsia="en-US"/>
        </w:rPr>
        <w:t>elderly to stay healthy, independent and access</w:t>
      </w:r>
      <w:r w:rsidRPr="001D3ACE">
        <w:rPr>
          <w:rFonts w:eastAsia="Calibri" w:cs="Times New Roman"/>
          <w:sz w:val="22"/>
          <w:szCs w:val="22"/>
          <w:lang w:eastAsia="en-US"/>
        </w:rPr>
        <w:t xml:space="preserve"> individualised, person centred care.  </w:t>
      </w:r>
    </w:p>
    <w:p w14:paraId="7B909A9F" w14:textId="77777777" w:rsidR="001D3ACE" w:rsidRPr="001D3ACE" w:rsidRDefault="001D3ACE" w:rsidP="00093458">
      <w:pPr>
        <w:autoSpaceDE/>
        <w:autoSpaceDN/>
        <w:adjustRightInd/>
        <w:rPr>
          <w:rFonts w:eastAsia="Calibri" w:cs="Times New Roman"/>
          <w:sz w:val="22"/>
          <w:szCs w:val="22"/>
          <w:lang w:eastAsia="en-US"/>
        </w:rPr>
      </w:pPr>
    </w:p>
    <w:p w14:paraId="7588C164" w14:textId="0CA43714" w:rsidR="001D3ACE" w:rsidRPr="001D3ACE" w:rsidRDefault="001D3ACE" w:rsidP="00093458">
      <w:pPr>
        <w:autoSpaceDE/>
        <w:autoSpaceDN/>
        <w:adjustRightInd/>
        <w:rPr>
          <w:rFonts w:eastAsia="Calibri" w:cs="Times New Roman"/>
          <w:sz w:val="22"/>
          <w:szCs w:val="22"/>
          <w:lang w:eastAsia="en-US"/>
        </w:rPr>
      </w:pPr>
      <w:r w:rsidRPr="001D3ACE">
        <w:rPr>
          <w:rFonts w:eastAsia="Calibri" w:cs="Times New Roman"/>
          <w:sz w:val="22"/>
          <w:szCs w:val="22"/>
          <w:lang w:eastAsia="en-US"/>
        </w:rPr>
        <w:t>Frustration was reported over the prioritisation of UK NHS service provision according to the contract type, with commissioned services having priority over service level agreements, often prioritising one patient group, or clinic, over another.  Furthermore confusion was expressed, by podiatrists in our investigations, on behalf of service users not eligible to access podiatry services when acquaintances were. Feedback from people who have chronic conditions is consistent with this, indicating that patients are</w:t>
      </w:r>
      <w:r w:rsidR="00E90600">
        <w:rPr>
          <w:rFonts w:eastAsia="Calibri" w:cs="Times New Roman"/>
          <w:sz w:val="22"/>
          <w:szCs w:val="22"/>
          <w:lang w:eastAsia="en-US"/>
        </w:rPr>
        <w:t xml:space="preserve"> not accessing foot healthcare [</w:t>
      </w:r>
      <w:r w:rsidR="004B7816">
        <w:rPr>
          <w:rFonts w:eastAsia="Calibri" w:cs="Times New Roman"/>
          <w:sz w:val="22"/>
          <w:szCs w:val="22"/>
          <w:lang w:eastAsia="en-US"/>
        </w:rPr>
        <w:t>1</w:t>
      </w:r>
      <w:r w:rsidRPr="001D3ACE">
        <w:rPr>
          <w:rFonts w:eastAsia="Calibri" w:cs="Times New Roman"/>
          <w:sz w:val="22"/>
          <w:szCs w:val="22"/>
          <w:lang w:eastAsia="en-US"/>
        </w:rPr>
        <w:t xml:space="preserve">, </w:t>
      </w:r>
      <w:r w:rsidR="004B7816">
        <w:rPr>
          <w:rFonts w:eastAsia="Calibri" w:cs="Times New Roman"/>
          <w:sz w:val="22"/>
          <w:szCs w:val="22"/>
          <w:lang w:eastAsia="en-US"/>
        </w:rPr>
        <w:t>2, 3,</w:t>
      </w:r>
      <w:r w:rsidR="004B7816" w:rsidRPr="004B7816">
        <w:rPr>
          <w:rFonts w:eastAsia="Calibri" w:cs="Times New Roman"/>
          <w:sz w:val="22"/>
          <w:szCs w:val="22"/>
          <w:lang w:eastAsia="en-US"/>
        </w:rPr>
        <w:t xml:space="preserve"> </w:t>
      </w:r>
      <w:r w:rsidR="00E90600">
        <w:rPr>
          <w:rFonts w:eastAsia="Calibri" w:cs="Times New Roman"/>
          <w:sz w:val="22"/>
          <w:szCs w:val="22"/>
          <w:lang w:eastAsia="en-US"/>
        </w:rPr>
        <w:t>4</w:t>
      </w:r>
      <w:r w:rsidR="00330B6C">
        <w:rPr>
          <w:rFonts w:eastAsia="Calibri" w:cs="Times New Roman"/>
          <w:sz w:val="22"/>
          <w:szCs w:val="22"/>
          <w:lang w:eastAsia="en-US"/>
        </w:rPr>
        <w:t>2</w:t>
      </w:r>
      <w:r w:rsidR="00E90600">
        <w:rPr>
          <w:rFonts w:eastAsia="Calibri" w:cs="Times New Roman"/>
          <w:sz w:val="22"/>
          <w:szCs w:val="22"/>
          <w:lang w:eastAsia="en-US"/>
        </w:rPr>
        <w:t>]</w:t>
      </w:r>
      <w:r w:rsidRPr="001D3ACE">
        <w:rPr>
          <w:rFonts w:eastAsia="Calibri" w:cs="Times New Roman"/>
          <w:sz w:val="22"/>
          <w:szCs w:val="22"/>
          <w:lang w:eastAsia="en-US"/>
        </w:rPr>
        <w:t xml:space="preserve"> and that they are confused over referral</w:t>
      </w:r>
      <w:r w:rsidR="00E90600">
        <w:rPr>
          <w:rFonts w:eastAsia="Calibri" w:cs="Times New Roman"/>
          <w:sz w:val="22"/>
          <w:szCs w:val="22"/>
          <w:lang w:eastAsia="en-US"/>
        </w:rPr>
        <w:t xml:space="preserve"> pathways to podiatry services [</w:t>
      </w:r>
      <w:r w:rsidR="004B7816">
        <w:rPr>
          <w:rFonts w:eastAsia="Calibri" w:cs="Times New Roman"/>
          <w:sz w:val="22"/>
          <w:szCs w:val="22"/>
          <w:lang w:eastAsia="en-US"/>
        </w:rPr>
        <w:t xml:space="preserve">2, </w:t>
      </w:r>
      <w:r w:rsidR="00E90600">
        <w:rPr>
          <w:rFonts w:eastAsia="Calibri" w:cs="Times New Roman"/>
          <w:sz w:val="22"/>
          <w:szCs w:val="22"/>
          <w:lang w:eastAsia="en-US"/>
        </w:rPr>
        <w:t>4</w:t>
      </w:r>
      <w:r w:rsidR="00FB3C74">
        <w:rPr>
          <w:rFonts w:eastAsia="Calibri" w:cs="Times New Roman"/>
          <w:sz w:val="22"/>
          <w:szCs w:val="22"/>
          <w:lang w:eastAsia="en-US"/>
        </w:rPr>
        <w:t>3, 44</w:t>
      </w:r>
      <w:r w:rsidR="00E90600">
        <w:rPr>
          <w:rFonts w:eastAsia="Calibri" w:cs="Times New Roman"/>
          <w:sz w:val="22"/>
          <w:szCs w:val="22"/>
          <w:lang w:eastAsia="en-US"/>
        </w:rPr>
        <w:t>]</w:t>
      </w:r>
      <w:r w:rsidRPr="001D3ACE">
        <w:rPr>
          <w:rFonts w:eastAsia="Calibri" w:cs="Times New Roman"/>
          <w:sz w:val="22"/>
          <w:szCs w:val="22"/>
          <w:lang w:eastAsia="en-US"/>
        </w:rPr>
        <w:t>.</w:t>
      </w:r>
    </w:p>
    <w:p w14:paraId="5F900723" w14:textId="77777777" w:rsidR="001D3ACE" w:rsidRPr="00EC2967" w:rsidRDefault="001D3ACE" w:rsidP="00093458">
      <w:pPr>
        <w:pStyle w:val="Heading2"/>
        <w:rPr>
          <w:rFonts w:ascii="Arial" w:hAnsi="Arial" w:cs="Arial"/>
          <w:sz w:val="22"/>
          <w:szCs w:val="22"/>
          <w:u w:val="none"/>
          <w:lang w:eastAsia="en-US"/>
        </w:rPr>
      </w:pPr>
      <w:r w:rsidRPr="00EC2967">
        <w:rPr>
          <w:rFonts w:ascii="Arial" w:hAnsi="Arial" w:cs="Arial"/>
          <w:sz w:val="22"/>
          <w:szCs w:val="22"/>
          <w:u w:val="none"/>
          <w:lang w:eastAsia="en-US"/>
        </w:rPr>
        <w:t>Transforming &amp; Sustaining Podiatry</w:t>
      </w:r>
    </w:p>
    <w:p w14:paraId="336EAC52" w14:textId="77267FF1" w:rsidR="001D3ACE" w:rsidRPr="001D3ACE" w:rsidRDefault="001D3ACE" w:rsidP="00093458">
      <w:pPr>
        <w:autoSpaceDE/>
        <w:autoSpaceDN/>
        <w:adjustRightInd/>
        <w:rPr>
          <w:rFonts w:eastAsia="Calibri" w:cs="Times New Roman"/>
          <w:sz w:val="22"/>
          <w:szCs w:val="22"/>
          <w:lang w:eastAsia="en-US"/>
        </w:rPr>
      </w:pPr>
      <w:r w:rsidRPr="001D3ACE">
        <w:rPr>
          <w:rFonts w:eastAsia="Calibri" w:cs="Times New Roman"/>
          <w:sz w:val="22"/>
          <w:szCs w:val="22"/>
          <w:lang w:eastAsia="en-US"/>
        </w:rPr>
        <w:t>Since the inception of podiatry in the early part of the 20th century, podiatry models of care within the UK NHS have remained fairly static and the model of access and care within private practice has remained stable within the rea</w:t>
      </w:r>
      <w:r w:rsidR="00E90600">
        <w:rPr>
          <w:rFonts w:eastAsia="Calibri" w:cs="Times New Roman"/>
          <w:sz w:val="22"/>
          <w:szCs w:val="22"/>
          <w:lang w:eastAsia="en-US"/>
        </w:rPr>
        <w:t>lms of financial accessibility [</w:t>
      </w:r>
      <w:r w:rsidR="006A58FC">
        <w:rPr>
          <w:rFonts w:eastAsia="Calibri" w:cs="Times New Roman"/>
          <w:sz w:val="22"/>
          <w:szCs w:val="22"/>
          <w:lang w:eastAsia="en-US"/>
        </w:rPr>
        <w:t>7</w:t>
      </w:r>
      <w:r w:rsidR="00E90600">
        <w:rPr>
          <w:rFonts w:eastAsia="Calibri" w:cs="Times New Roman"/>
          <w:sz w:val="22"/>
          <w:szCs w:val="22"/>
          <w:lang w:eastAsia="en-US"/>
        </w:rPr>
        <w:t>]</w:t>
      </w:r>
      <w:r w:rsidRPr="001D3ACE">
        <w:rPr>
          <w:rFonts w:eastAsia="Calibri" w:cs="Times New Roman"/>
          <w:sz w:val="22"/>
          <w:szCs w:val="22"/>
          <w:lang w:eastAsia="en-US"/>
        </w:rPr>
        <w:t>. Despite that, demand has shifted towards acute levels of care within the UK NHS. Changes to service access in the 1990s has led to resource allocation, guidance and prioritisation for patients with complex acute care</w:t>
      </w:r>
      <w:r w:rsidR="00E90600">
        <w:rPr>
          <w:rFonts w:eastAsia="Calibri" w:cs="Times New Roman"/>
          <w:sz w:val="22"/>
          <w:szCs w:val="22"/>
          <w:lang w:eastAsia="en-US"/>
        </w:rPr>
        <w:t xml:space="preserve"> needs, predominantly diabetes [1</w:t>
      </w:r>
      <w:r w:rsidR="00FB3C74">
        <w:rPr>
          <w:rFonts w:eastAsia="Calibri" w:cs="Times New Roman"/>
          <w:sz w:val="22"/>
          <w:szCs w:val="22"/>
          <w:lang w:eastAsia="en-US"/>
        </w:rPr>
        <w:t>9</w:t>
      </w:r>
      <w:r w:rsidR="00E90600">
        <w:rPr>
          <w:rFonts w:eastAsia="Calibri" w:cs="Times New Roman"/>
          <w:sz w:val="22"/>
          <w:szCs w:val="22"/>
          <w:lang w:eastAsia="en-US"/>
        </w:rPr>
        <w:t>]</w:t>
      </w:r>
      <w:r w:rsidRPr="001D3ACE">
        <w:rPr>
          <w:rFonts w:eastAsia="Calibri" w:cs="Times New Roman"/>
          <w:sz w:val="22"/>
          <w:szCs w:val="22"/>
          <w:lang w:eastAsia="en-US"/>
        </w:rPr>
        <w:t xml:space="preserve">.  </w:t>
      </w:r>
    </w:p>
    <w:p w14:paraId="19933294" w14:textId="77777777" w:rsidR="001D3ACE" w:rsidRPr="001D3ACE" w:rsidRDefault="001D3ACE" w:rsidP="00093458">
      <w:pPr>
        <w:autoSpaceDE/>
        <w:autoSpaceDN/>
        <w:adjustRightInd/>
        <w:rPr>
          <w:rFonts w:eastAsia="Calibri" w:cs="Times New Roman"/>
          <w:sz w:val="22"/>
          <w:szCs w:val="22"/>
          <w:lang w:eastAsia="en-US"/>
        </w:rPr>
      </w:pPr>
    </w:p>
    <w:p w14:paraId="3F080519" w14:textId="1A81572E" w:rsidR="001D3ACE" w:rsidRPr="001D3ACE" w:rsidRDefault="001D3ACE" w:rsidP="00093458">
      <w:pPr>
        <w:autoSpaceDE/>
        <w:autoSpaceDN/>
        <w:adjustRightInd/>
        <w:rPr>
          <w:rFonts w:eastAsia="Calibri" w:cs="Times New Roman"/>
          <w:sz w:val="22"/>
          <w:szCs w:val="22"/>
          <w:lang w:eastAsia="en-US"/>
        </w:rPr>
      </w:pPr>
      <w:r w:rsidRPr="001D3ACE">
        <w:rPr>
          <w:rFonts w:eastAsia="Calibri" w:cs="Times New Roman"/>
          <w:sz w:val="22"/>
          <w:szCs w:val="22"/>
          <w:lang w:eastAsia="en-US"/>
        </w:rPr>
        <w:t>P</w:t>
      </w:r>
      <w:r w:rsidRPr="001D3ACE">
        <w:rPr>
          <w:rFonts w:eastAsia="Times New Roman" w:cs="Times New Roman"/>
          <w:sz w:val="22"/>
          <w:szCs w:val="22"/>
          <w:lang w:eastAsia="en-US"/>
        </w:rPr>
        <w:t>rovision of podiatry services for individuals with arthritis is an area that lacks guidance. W</w:t>
      </w:r>
      <w:r w:rsidRPr="001D3ACE">
        <w:rPr>
          <w:rFonts w:eastAsia="Calibri" w:cs="Times New Roman"/>
          <w:sz w:val="22"/>
          <w:szCs w:val="22"/>
          <w:lang w:eastAsia="en-US"/>
        </w:rPr>
        <w:t>hilst participant</w:t>
      </w:r>
      <w:r w:rsidR="00785B54">
        <w:rPr>
          <w:rFonts w:eastAsia="Calibri" w:cs="Times New Roman"/>
          <w:sz w:val="22"/>
          <w:szCs w:val="22"/>
          <w:lang w:eastAsia="en-US"/>
        </w:rPr>
        <w:t>s</w:t>
      </w:r>
      <w:r w:rsidRPr="001D3ACE">
        <w:rPr>
          <w:rFonts w:eastAsia="Calibri" w:cs="Times New Roman"/>
          <w:sz w:val="22"/>
          <w:szCs w:val="22"/>
          <w:lang w:eastAsia="en-US"/>
        </w:rPr>
        <w:t xml:space="preserve"> of this study acknowledged the presence of some foot health guidelines for people with arthritic conditions, referring specifically to the Arthritis and Musculoskeletal Allian</w:t>
      </w:r>
      <w:r w:rsidR="00E90600">
        <w:rPr>
          <w:rFonts w:eastAsia="Calibri" w:cs="Times New Roman"/>
          <w:sz w:val="22"/>
          <w:szCs w:val="22"/>
          <w:lang w:eastAsia="en-US"/>
        </w:rPr>
        <w:t>ce (ARMA) and NICE guidelines [4</w:t>
      </w:r>
      <w:r w:rsidR="00FB3C74">
        <w:rPr>
          <w:rFonts w:eastAsia="Calibri" w:cs="Times New Roman"/>
          <w:sz w:val="22"/>
          <w:szCs w:val="22"/>
          <w:lang w:eastAsia="en-US"/>
        </w:rPr>
        <w:t>5</w:t>
      </w:r>
      <w:r w:rsidR="00E90600">
        <w:rPr>
          <w:rFonts w:eastAsia="Calibri" w:cs="Times New Roman"/>
          <w:sz w:val="22"/>
          <w:szCs w:val="22"/>
          <w:lang w:eastAsia="en-US"/>
        </w:rPr>
        <w:t>]</w:t>
      </w:r>
      <w:r w:rsidRPr="001D3ACE">
        <w:rPr>
          <w:rFonts w:eastAsia="Calibri" w:cs="Times New Roman"/>
          <w:sz w:val="22"/>
          <w:szCs w:val="22"/>
          <w:lang w:eastAsia="en-US"/>
        </w:rPr>
        <w:t xml:space="preserve"> for people with arthritis, they reported little recognition of, nor sufficient emphasis placed on, the use of these relevant guidelines by non-podiatry health professions or patients. The deficiency in specific guidance for foot health for people arthritis conditions appears to be in contrast to the vast plethora of guidance available for foot care services and interve</w:t>
      </w:r>
      <w:r w:rsidR="00E90600">
        <w:rPr>
          <w:rFonts w:eastAsia="Calibri" w:cs="Times New Roman"/>
          <w:sz w:val="22"/>
          <w:szCs w:val="22"/>
          <w:lang w:eastAsia="en-US"/>
        </w:rPr>
        <w:t>ntion for people with diabetes [1</w:t>
      </w:r>
      <w:r w:rsidR="00FB3C74">
        <w:rPr>
          <w:rFonts w:eastAsia="Calibri" w:cs="Times New Roman"/>
          <w:sz w:val="22"/>
          <w:szCs w:val="22"/>
          <w:lang w:eastAsia="en-US"/>
        </w:rPr>
        <w:t>9</w:t>
      </w:r>
      <w:r w:rsidR="00E90600">
        <w:rPr>
          <w:rFonts w:eastAsia="Calibri" w:cs="Times New Roman"/>
          <w:sz w:val="22"/>
          <w:szCs w:val="22"/>
          <w:lang w:eastAsia="en-US"/>
        </w:rPr>
        <w:t>]</w:t>
      </w:r>
      <w:r w:rsidR="00FC6513">
        <w:rPr>
          <w:rFonts w:eastAsia="Calibri" w:cs="Times New Roman"/>
          <w:sz w:val="22"/>
          <w:szCs w:val="22"/>
          <w:lang w:eastAsia="en-US"/>
        </w:rPr>
        <w:t>.  Indeed, current literature</w:t>
      </w:r>
      <w:r w:rsidRPr="001D3ACE">
        <w:rPr>
          <w:rFonts w:eastAsia="Calibri" w:cs="Times New Roman"/>
          <w:sz w:val="22"/>
          <w:szCs w:val="22"/>
          <w:lang w:eastAsia="en-US"/>
        </w:rPr>
        <w:t xml:space="preserve"> suggests existing foot health guidelines for people with arthritic conditions are not being utilised to their fullest advantage and there is a recognised need to improve the implementation of s</w:t>
      </w:r>
      <w:r w:rsidR="00C06147">
        <w:rPr>
          <w:rFonts w:eastAsia="Calibri" w:cs="Times New Roman"/>
          <w:sz w:val="22"/>
          <w:szCs w:val="22"/>
          <w:lang w:eastAsia="en-US"/>
        </w:rPr>
        <w:t xml:space="preserve">uch guidance </w:t>
      </w:r>
      <w:r w:rsidR="00E90600">
        <w:rPr>
          <w:rFonts w:eastAsia="Calibri" w:cs="Times New Roman"/>
          <w:sz w:val="22"/>
          <w:szCs w:val="22"/>
          <w:lang w:eastAsia="en-US"/>
        </w:rPr>
        <w:t>[4</w:t>
      </w:r>
      <w:r w:rsidR="00FB3C74">
        <w:rPr>
          <w:rFonts w:eastAsia="Calibri" w:cs="Times New Roman"/>
          <w:sz w:val="22"/>
          <w:szCs w:val="22"/>
          <w:lang w:eastAsia="en-US"/>
        </w:rPr>
        <w:t>6</w:t>
      </w:r>
      <w:r w:rsidR="00E90600">
        <w:rPr>
          <w:rFonts w:eastAsia="Calibri" w:cs="Times New Roman"/>
          <w:sz w:val="22"/>
          <w:szCs w:val="22"/>
          <w:lang w:eastAsia="en-US"/>
        </w:rPr>
        <w:t>]</w:t>
      </w:r>
      <w:r w:rsidRPr="001D3ACE">
        <w:rPr>
          <w:rFonts w:eastAsia="Calibri" w:cs="Times New Roman"/>
          <w:sz w:val="22"/>
          <w:szCs w:val="22"/>
          <w:lang w:eastAsia="en-US"/>
        </w:rPr>
        <w:t xml:space="preserve">. </w:t>
      </w:r>
      <w:r w:rsidRPr="001D3ACE">
        <w:rPr>
          <w:rFonts w:eastAsia="Times New Roman" w:cs="Times New Roman"/>
          <w:sz w:val="22"/>
          <w:szCs w:val="22"/>
          <w:shd w:val="clear" w:color="auto" w:fill="FFFFFF"/>
          <w:lang w:eastAsia="en-US"/>
        </w:rPr>
        <w:t xml:space="preserve">Whilst new models of foot care for individuals who have inflammatory arthritis have been proposed </w:t>
      </w:r>
      <w:r w:rsidR="00E90600">
        <w:rPr>
          <w:rFonts w:eastAsia="Times New Roman" w:cs="Times New Roman"/>
          <w:sz w:val="22"/>
          <w:szCs w:val="22"/>
          <w:shd w:val="clear" w:color="auto" w:fill="FFFFFF"/>
          <w:lang w:eastAsia="en-US"/>
        </w:rPr>
        <w:t>[4</w:t>
      </w:r>
      <w:r w:rsidR="00FB3C74">
        <w:rPr>
          <w:rFonts w:eastAsia="Times New Roman" w:cs="Times New Roman"/>
          <w:sz w:val="22"/>
          <w:szCs w:val="22"/>
          <w:shd w:val="clear" w:color="auto" w:fill="FFFFFF"/>
          <w:lang w:eastAsia="en-US"/>
        </w:rPr>
        <w:t>4</w:t>
      </w:r>
      <w:r w:rsidR="00E90600">
        <w:rPr>
          <w:rFonts w:eastAsia="Times New Roman" w:cs="Times New Roman"/>
          <w:sz w:val="22"/>
          <w:szCs w:val="22"/>
          <w:shd w:val="clear" w:color="auto" w:fill="FFFFFF"/>
          <w:lang w:eastAsia="en-US"/>
        </w:rPr>
        <w:t>, 4</w:t>
      </w:r>
      <w:r w:rsidR="00FB3C74">
        <w:rPr>
          <w:rFonts w:eastAsia="Times New Roman" w:cs="Times New Roman"/>
          <w:sz w:val="22"/>
          <w:szCs w:val="22"/>
          <w:shd w:val="clear" w:color="auto" w:fill="FFFFFF"/>
          <w:lang w:eastAsia="en-US"/>
        </w:rPr>
        <w:t>7</w:t>
      </w:r>
      <w:r w:rsidR="00E90600">
        <w:rPr>
          <w:rFonts w:eastAsia="Times New Roman" w:cs="Times New Roman"/>
          <w:sz w:val="22"/>
          <w:szCs w:val="22"/>
          <w:shd w:val="clear" w:color="auto" w:fill="FFFFFF"/>
          <w:lang w:eastAsia="en-US"/>
        </w:rPr>
        <w:t>, 4</w:t>
      </w:r>
      <w:r w:rsidR="00FB3C74">
        <w:rPr>
          <w:rFonts w:eastAsia="Times New Roman" w:cs="Times New Roman"/>
          <w:sz w:val="22"/>
          <w:szCs w:val="22"/>
          <w:shd w:val="clear" w:color="auto" w:fill="FFFFFF"/>
          <w:lang w:eastAsia="en-US"/>
        </w:rPr>
        <w:t>8</w:t>
      </w:r>
      <w:r w:rsidR="00E90600">
        <w:rPr>
          <w:rFonts w:eastAsia="Times New Roman" w:cs="Times New Roman"/>
          <w:sz w:val="22"/>
          <w:szCs w:val="22"/>
          <w:shd w:val="clear" w:color="auto" w:fill="FFFFFF"/>
          <w:lang w:eastAsia="en-US"/>
        </w:rPr>
        <w:t>]</w:t>
      </w:r>
      <w:r w:rsidRPr="001D3ACE">
        <w:rPr>
          <w:rFonts w:eastAsia="Times New Roman" w:cs="Times New Roman"/>
          <w:sz w:val="22"/>
          <w:szCs w:val="22"/>
        </w:rPr>
        <w:t xml:space="preserve"> </w:t>
      </w:r>
      <w:r w:rsidRPr="001D3ACE">
        <w:rPr>
          <w:rFonts w:eastAsia="Calibri" w:cs="Times New Roman"/>
          <w:sz w:val="22"/>
          <w:szCs w:val="22"/>
          <w:lang w:eastAsia="en-US"/>
        </w:rPr>
        <w:t>the recognition, development and implementation of guidance and pathways for other long term conditions that affect the feet (including osteoarthritis) is necessitated in a similar format to those for people with diabetes.</w:t>
      </w:r>
    </w:p>
    <w:p w14:paraId="31B865CD" w14:textId="77777777" w:rsidR="001D3ACE" w:rsidRPr="001D3ACE" w:rsidRDefault="001D3ACE" w:rsidP="00093458">
      <w:pPr>
        <w:autoSpaceDE/>
        <w:autoSpaceDN/>
        <w:adjustRightInd/>
        <w:rPr>
          <w:rFonts w:eastAsia="Calibri" w:cs="Times New Roman"/>
          <w:sz w:val="22"/>
          <w:szCs w:val="22"/>
          <w:lang w:eastAsia="en-US"/>
        </w:rPr>
      </w:pPr>
    </w:p>
    <w:p w14:paraId="77C6332E" w14:textId="37E49014" w:rsidR="001D3ACE" w:rsidRPr="001D3ACE" w:rsidRDefault="001D3ACE" w:rsidP="00093458">
      <w:pPr>
        <w:autoSpaceDE/>
        <w:autoSpaceDN/>
        <w:adjustRightInd/>
        <w:rPr>
          <w:rFonts w:eastAsia="Calibri" w:cs="Times New Roman"/>
          <w:sz w:val="22"/>
          <w:szCs w:val="22"/>
          <w:lang w:eastAsia="en-US"/>
        </w:rPr>
      </w:pPr>
      <w:r w:rsidRPr="001D3ACE">
        <w:rPr>
          <w:rFonts w:eastAsia="Calibri" w:cs="Times New Roman"/>
          <w:sz w:val="22"/>
          <w:szCs w:val="22"/>
          <w:lang w:eastAsia="en-US"/>
        </w:rPr>
        <w:t xml:space="preserve">Podiatrists in this investigation considered that current UK health recommendations on recognition, transformation, sustainability and </w:t>
      </w:r>
      <w:r w:rsidR="003E6F6A">
        <w:rPr>
          <w:rFonts w:eastAsia="Calibri" w:cs="Times New Roman"/>
          <w:sz w:val="22"/>
          <w:szCs w:val="22"/>
          <w:lang w:eastAsia="en-US"/>
        </w:rPr>
        <w:t>public health</w:t>
      </w:r>
      <w:r w:rsidRPr="001D3ACE">
        <w:rPr>
          <w:rFonts w:eastAsia="Calibri" w:cs="Times New Roman"/>
          <w:sz w:val="22"/>
          <w:szCs w:val="22"/>
          <w:lang w:eastAsia="en-US"/>
        </w:rPr>
        <w:t xml:space="preserve"> </w:t>
      </w:r>
      <w:r w:rsidR="00FB3C74">
        <w:rPr>
          <w:rFonts w:eastAsia="Calibri" w:cs="Times New Roman"/>
          <w:sz w:val="22"/>
          <w:szCs w:val="22"/>
          <w:lang w:eastAsia="en-US"/>
        </w:rPr>
        <w:t>[41</w:t>
      </w:r>
      <w:r w:rsidR="00E90600">
        <w:rPr>
          <w:rFonts w:eastAsia="Calibri" w:cs="Times New Roman"/>
          <w:sz w:val="22"/>
          <w:szCs w:val="22"/>
          <w:lang w:eastAsia="en-US"/>
        </w:rPr>
        <w:t>, 4</w:t>
      </w:r>
      <w:r w:rsidR="00FB3C74">
        <w:rPr>
          <w:rFonts w:eastAsia="Calibri" w:cs="Times New Roman"/>
          <w:sz w:val="22"/>
          <w:szCs w:val="22"/>
          <w:lang w:eastAsia="en-US"/>
        </w:rPr>
        <w:t>9</w:t>
      </w:r>
      <w:r w:rsidR="00E90600">
        <w:rPr>
          <w:rFonts w:eastAsia="Calibri" w:cs="Times New Roman"/>
          <w:sz w:val="22"/>
          <w:szCs w:val="22"/>
          <w:lang w:eastAsia="en-US"/>
        </w:rPr>
        <w:t>]</w:t>
      </w:r>
      <w:r w:rsidRPr="001D3ACE">
        <w:rPr>
          <w:rFonts w:eastAsia="Calibri" w:cs="Times New Roman"/>
          <w:sz w:val="22"/>
          <w:szCs w:val="22"/>
          <w:lang w:eastAsia="en-US"/>
        </w:rPr>
        <w:t xml:space="preserve"> to be a timely opportunity for the profession to promote and re-establish podiatry’s full scope of practice to all stakeholders (patients, service managers, commissioners and other health professionals).  They too encourage the development of new care models for podiatry, to meet the burden of foot pain in the UK and demands of modern healthcare. </w:t>
      </w:r>
      <w:r w:rsidRPr="001D3ACE">
        <w:rPr>
          <w:rFonts w:eastAsia="Times New Roman" w:cs="Times New Roman"/>
          <w:sz w:val="22"/>
          <w:szCs w:val="22"/>
          <w:lang w:eastAsia="en-US"/>
        </w:rPr>
        <w:t>P</w:t>
      </w:r>
      <w:r w:rsidRPr="001D3ACE">
        <w:rPr>
          <w:rFonts w:eastAsia="Calibri" w:cs="Times New Roman"/>
          <w:sz w:val="22"/>
          <w:szCs w:val="22"/>
          <w:lang w:eastAsia="en-US"/>
        </w:rPr>
        <w:t>odiatry has long been encouraged to become more versatile and invol</w:t>
      </w:r>
      <w:r w:rsidR="00E90600">
        <w:rPr>
          <w:rFonts w:eastAsia="Calibri" w:cs="Times New Roman"/>
          <w:sz w:val="22"/>
          <w:szCs w:val="22"/>
          <w:lang w:eastAsia="en-US"/>
        </w:rPr>
        <w:t>ved in preventative healthcare [</w:t>
      </w:r>
      <w:r w:rsidR="006A58FC">
        <w:rPr>
          <w:rFonts w:eastAsia="Calibri" w:cs="Times New Roman"/>
          <w:sz w:val="22"/>
          <w:szCs w:val="22"/>
          <w:lang w:eastAsia="en-US"/>
        </w:rPr>
        <w:t>7</w:t>
      </w:r>
      <w:r w:rsidRPr="001D3ACE">
        <w:rPr>
          <w:rFonts w:eastAsia="Calibri" w:cs="Times New Roman"/>
          <w:sz w:val="22"/>
          <w:szCs w:val="22"/>
          <w:lang w:eastAsia="en-US"/>
        </w:rPr>
        <w:t xml:space="preserve">, </w:t>
      </w:r>
      <w:r w:rsidR="00FB3C74">
        <w:rPr>
          <w:rFonts w:eastAsia="Calibri" w:cs="Times New Roman"/>
          <w:sz w:val="22"/>
          <w:szCs w:val="22"/>
          <w:lang w:eastAsia="en-US"/>
        </w:rPr>
        <w:t>21</w:t>
      </w:r>
      <w:r w:rsidR="00E90600">
        <w:rPr>
          <w:rFonts w:eastAsia="Calibri" w:cs="Times New Roman"/>
          <w:sz w:val="22"/>
          <w:szCs w:val="22"/>
          <w:lang w:eastAsia="en-US"/>
        </w:rPr>
        <w:t>]</w:t>
      </w:r>
      <w:r w:rsidRPr="001D3ACE">
        <w:rPr>
          <w:rFonts w:eastAsia="Calibri" w:cs="Times New Roman"/>
          <w:sz w:val="22"/>
          <w:szCs w:val="22"/>
          <w:lang w:eastAsia="en-US"/>
        </w:rPr>
        <w:t xml:space="preserve"> and this now coordinates with recommendations for all </w:t>
      </w:r>
      <w:r w:rsidR="00E90600">
        <w:rPr>
          <w:rFonts w:eastAsia="Calibri" w:cs="Times New Roman"/>
          <w:sz w:val="22"/>
          <w:szCs w:val="22"/>
          <w:lang w:eastAsia="en-US"/>
        </w:rPr>
        <w:t>AHPs [</w:t>
      </w:r>
      <w:r w:rsidR="003E6F6A">
        <w:rPr>
          <w:rFonts w:eastAsia="Calibri" w:cs="Times New Roman"/>
          <w:sz w:val="22"/>
          <w:szCs w:val="22"/>
          <w:lang w:eastAsia="en-US"/>
        </w:rPr>
        <w:t>4</w:t>
      </w:r>
      <w:r w:rsidR="00FB3C74">
        <w:rPr>
          <w:rFonts w:eastAsia="Calibri" w:cs="Times New Roman"/>
          <w:sz w:val="22"/>
          <w:szCs w:val="22"/>
          <w:lang w:eastAsia="en-US"/>
        </w:rPr>
        <w:t>9</w:t>
      </w:r>
      <w:r w:rsidR="00E90600">
        <w:rPr>
          <w:rFonts w:eastAsia="Calibri" w:cs="Times New Roman"/>
          <w:sz w:val="22"/>
          <w:szCs w:val="22"/>
          <w:lang w:eastAsia="en-US"/>
        </w:rPr>
        <w:t>]</w:t>
      </w:r>
      <w:r w:rsidRPr="001D3ACE">
        <w:rPr>
          <w:rFonts w:eastAsia="Calibri" w:cs="Times New Roman"/>
          <w:sz w:val="22"/>
          <w:szCs w:val="22"/>
          <w:lang w:eastAsia="en-US"/>
        </w:rPr>
        <w:t>.  Podiatrists interviewed believed change was needed, to sustain the provision of services and profession.</w:t>
      </w:r>
    </w:p>
    <w:p w14:paraId="09A67210" w14:textId="77777777" w:rsidR="001D3ACE" w:rsidRPr="00EC2967" w:rsidRDefault="001D3ACE" w:rsidP="00093458">
      <w:pPr>
        <w:pStyle w:val="Heading1"/>
        <w:rPr>
          <w:rFonts w:ascii="Arial" w:hAnsi="Arial" w:cs="Arial"/>
          <w:color w:val="auto"/>
          <w:lang w:eastAsia="en-US"/>
        </w:rPr>
      </w:pPr>
      <w:r w:rsidRPr="00EC2967">
        <w:rPr>
          <w:rFonts w:ascii="Arial" w:hAnsi="Arial" w:cs="Arial"/>
          <w:color w:val="auto"/>
          <w:lang w:eastAsia="en-US"/>
        </w:rPr>
        <w:t xml:space="preserve">Strengths and potential </w:t>
      </w:r>
      <w:r w:rsidRPr="00EC2967">
        <w:rPr>
          <w:rFonts w:ascii="Arial" w:hAnsi="Arial" w:cs="Arial"/>
          <w:color w:val="auto"/>
        </w:rPr>
        <w:t>limitations</w:t>
      </w:r>
    </w:p>
    <w:p w14:paraId="2F51D482" w14:textId="1ACD1D48" w:rsidR="001D3ACE" w:rsidRPr="007B4793" w:rsidRDefault="001D3ACE" w:rsidP="00093458">
      <w:pPr>
        <w:autoSpaceDE/>
        <w:autoSpaceDN/>
        <w:adjustRightInd/>
        <w:rPr>
          <w:rFonts w:eastAsia="Calibri" w:cs="Times New Roman"/>
          <w:color w:val="000000"/>
          <w:sz w:val="22"/>
          <w:szCs w:val="22"/>
          <w:lang w:eastAsia="en-US"/>
        </w:rPr>
      </w:pPr>
      <w:r w:rsidRPr="001D3ACE">
        <w:rPr>
          <w:rFonts w:eastAsia="Calibri" w:cs="Times New Roman"/>
          <w:color w:val="000000"/>
          <w:sz w:val="22"/>
          <w:szCs w:val="22"/>
          <w:lang w:eastAsia="en-US"/>
        </w:rPr>
        <w:t xml:space="preserve">This study examined the perceptions of podiatrists </w:t>
      </w:r>
      <w:r w:rsidR="00D118BA" w:rsidRPr="00093458">
        <w:rPr>
          <w:rFonts w:eastAsia="Calibri" w:cs="Times New Roman"/>
          <w:color w:val="000000"/>
          <w:sz w:val="22"/>
          <w:szCs w:val="22"/>
          <w:lang w:eastAsia="en-US"/>
        </w:rPr>
        <w:t>i</w:t>
      </w:r>
      <w:r w:rsidRPr="001D3ACE">
        <w:rPr>
          <w:rFonts w:eastAsia="Calibri" w:cs="Times New Roman"/>
          <w:color w:val="000000"/>
          <w:sz w:val="22"/>
          <w:szCs w:val="22"/>
          <w:lang w:eastAsia="en-US"/>
        </w:rPr>
        <w:t xml:space="preserve">n two regions of the UK, as a potentially representative snapshot. </w:t>
      </w:r>
      <w:r w:rsidRPr="007B4793">
        <w:rPr>
          <w:rFonts w:eastAsia="Calibri" w:cs="Times New Roman"/>
          <w:color w:val="000000"/>
          <w:sz w:val="22"/>
          <w:szCs w:val="22"/>
          <w:lang w:eastAsia="en-US"/>
        </w:rPr>
        <w:t xml:space="preserve">By using the experiences of 2 diverse groups of podiatrists from </w:t>
      </w:r>
      <w:r w:rsidRPr="001D3ACE">
        <w:rPr>
          <w:rFonts w:eastAsia="Calibri" w:cs="Times New Roman"/>
          <w:color w:val="000000"/>
          <w:sz w:val="22"/>
          <w:szCs w:val="22"/>
          <w:lang w:eastAsia="en-US"/>
        </w:rPr>
        <w:t>two disparate regions, rich text and themes have been generated. Limitations are acknowledged as both are in England, therefore data may not be wholly representative of the four home UK nations (England, Scotland, Wales and Northern Ireland) meaning</w:t>
      </w:r>
      <w:r w:rsidRPr="007B4793">
        <w:rPr>
          <w:rFonts w:eastAsia="Calibri" w:cs="Times New Roman"/>
          <w:color w:val="000000"/>
          <w:sz w:val="22"/>
          <w:szCs w:val="22"/>
          <w:lang w:eastAsia="en-US"/>
        </w:rPr>
        <w:t xml:space="preserve"> proposed themes may be more or l</w:t>
      </w:r>
      <w:r w:rsidR="003B11DB" w:rsidRPr="007B4793">
        <w:rPr>
          <w:rFonts w:eastAsia="Calibri" w:cs="Times New Roman"/>
          <w:color w:val="000000"/>
          <w:sz w:val="22"/>
          <w:szCs w:val="22"/>
          <w:lang w:eastAsia="en-US"/>
        </w:rPr>
        <w:t>ess significant in other areas. This may</w:t>
      </w:r>
      <w:r w:rsidR="00BD4422" w:rsidRPr="007B4793">
        <w:rPr>
          <w:rFonts w:eastAsia="Calibri" w:cs="Times New Roman"/>
          <w:color w:val="000000"/>
          <w:sz w:val="22"/>
          <w:szCs w:val="22"/>
          <w:lang w:eastAsia="en-US"/>
        </w:rPr>
        <w:t>,</w:t>
      </w:r>
      <w:r w:rsidR="003B11DB" w:rsidRPr="007B4793">
        <w:rPr>
          <w:rFonts w:eastAsia="Calibri" w:cs="Times New Roman"/>
          <w:color w:val="000000"/>
          <w:sz w:val="22"/>
          <w:szCs w:val="22"/>
          <w:lang w:eastAsia="en-US"/>
        </w:rPr>
        <w:t xml:space="preserve"> however</w:t>
      </w:r>
      <w:r w:rsidR="00BD4422" w:rsidRPr="007B4793">
        <w:rPr>
          <w:rFonts w:eastAsia="Calibri" w:cs="Times New Roman"/>
          <w:color w:val="000000"/>
          <w:sz w:val="22"/>
          <w:szCs w:val="22"/>
          <w:lang w:eastAsia="en-US"/>
        </w:rPr>
        <w:t>,</w:t>
      </w:r>
      <w:r w:rsidR="003B11DB" w:rsidRPr="007B4793">
        <w:rPr>
          <w:rFonts w:eastAsia="Calibri" w:cs="Times New Roman"/>
          <w:color w:val="000000"/>
          <w:sz w:val="22"/>
          <w:szCs w:val="22"/>
          <w:lang w:eastAsia="en-US"/>
        </w:rPr>
        <w:t xml:space="preserve"> align with high degrees of variation in specialist rheumatology service provision across </w:t>
      </w:r>
      <w:r w:rsidR="00BD4422" w:rsidRPr="007B4793">
        <w:rPr>
          <w:rFonts w:eastAsia="Calibri" w:cs="Times New Roman"/>
          <w:color w:val="000000"/>
          <w:sz w:val="22"/>
          <w:szCs w:val="22"/>
          <w:lang w:eastAsia="en-US"/>
        </w:rPr>
        <w:t>the UK</w:t>
      </w:r>
      <w:r w:rsidR="003B11DB" w:rsidRPr="007B4793">
        <w:rPr>
          <w:rFonts w:eastAsia="Calibri" w:cs="Times New Roman"/>
          <w:color w:val="000000"/>
          <w:sz w:val="22"/>
          <w:szCs w:val="22"/>
          <w:lang w:eastAsia="en-US"/>
        </w:rPr>
        <w:t>,</w:t>
      </w:r>
      <w:r w:rsidR="00BD4422" w:rsidRPr="007B4793">
        <w:rPr>
          <w:rFonts w:eastAsia="Calibri" w:cs="Times New Roman"/>
          <w:color w:val="000000"/>
          <w:sz w:val="22"/>
          <w:szCs w:val="22"/>
          <w:lang w:eastAsia="en-US"/>
        </w:rPr>
        <w:t xml:space="preserve"> wherein</w:t>
      </w:r>
      <w:r w:rsidR="003B11DB" w:rsidRPr="007B4793">
        <w:rPr>
          <w:rFonts w:eastAsia="Calibri" w:cs="Times New Roman"/>
          <w:color w:val="000000"/>
          <w:sz w:val="22"/>
          <w:szCs w:val="22"/>
          <w:lang w:eastAsia="en-US"/>
        </w:rPr>
        <w:t xml:space="preserve"> podiatry remains </w:t>
      </w:r>
      <w:r w:rsidR="00BD4422" w:rsidRPr="007B4793">
        <w:rPr>
          <w:rFonts w:eastAsia="Calibri" w:cs="Times New Roman"/>
          <w:color w:val="000000"/>
          <w:sz w:val="22"/>
          <w:szCs w:val="22"/>
          <w:lang w:eastAsia="en-US"/>
        </w:rPr>
        <w:t xml:space="preserve">a </w:t>
      </w:r>
      <w:r w:rsidR="003B11DB" w:rsidRPr="007B4793">
        <w:rPr>
          <w:rFonts w:eastAsia="Calibri" w:cs="Times New Roman"/>
          <w:color w:val="000000"/>
          <w:sz w:val="22"/>
          <w:szCs w:val="22"/>
          <w:lang w:eastAsia="en-US"/>
        </w:rPr>
        <w:t>notably poorly represented profession</w:t>
      </w:r>
      <w:r w:rsidR="00FB3C74">
        <w:rPr>
          <w:rFonts w:eastAsia="Calibri" w:cs="Times New Roman"/>
          <w:color w:val="000000"/>
          <w:sz w:val="22"/>
          <w:szCs w:val="22"/>
          <w:lang w:eastAsia="en-US"/>
        </w:rPr>
        <w:t xml:space="preserve"> [50</w:t>
      </w:r>
      <w:r w:rsidR="00BD4422" w:rsidRPr="007B4793">
        <w:rPr>
          <w:rFonts w:eastAsia="Calibri" w:cs="Times New Roman"/>
          <w:color w:val="000000"/>
          <w:sz w:val="22"/>
          <w:szCs w:val="22"/>
          <w:lang w:eastAsia="en-US"/>
        </w:rPr>
        <w:t>].</w:t>
      </w:r>
    </w:p>
    <w:p w14:paraId="715241AF" w14:textId="77777777" w:rsidR="001D3ACE" w:rsidRPr="00EC2967" w:rsidRDefault="001D3ACE" w:rsidP="00093458">
      <w:pPr>
        <w:pStyle w:val="Heading1"/>
        <w:rPr>
          <w:rFonts w:ascii="Arial" w:hAnsi="Arial" w:cs="Arial"/>
          <w:color w:val="auto"/>
          <w:lang w:eastAsia="en-US"/>
        </w:rPr>
      </w:pPr>
      <w:r w:rsidRPr="00EC2967">
        <w:rPr>
          <w:rFonts w:ascii="Arial" w:hAnsi="Arial" w:cs="Arial"/>
          <w:color w:val="auto"/>
        </w:rPr>
        <w:t>Conclusion</w:t>
      </w:r>
    </w:p>
    <w:p w14:paraId="02C19FF8" w14:textId="07480363" w:rsidR="00B656BF" w:rsidRDefault="001D3ACE" w:rsidP="00BC3F21">
      <w:pPr>
        <w:autoSpaceDE/>
        <w:autoSpaceDN/>
        <w:adjustRightInd/>
        <w:rPr>
          <w:rFonts w:eastAsia="Calibri" w:cs="Times New Roman"/>
          <w:sz w:val="22"/>
          <w:szCs w:val="22"/>
          <w:lang w:eastAsia="en-US"/>
        </w:rPr>
      </w:pPr>
      <w:r w:rsidRPr="001D3ACE">
        <w:rPr>
          <w:rFonts w:eastAsia="Calibri" w:cs="Times New Roman"/>
          <w:sz w:val="22"/>
          <w:szCs w:val="22"/>
          <w:lang w:val="en-US" w:eastAsia="en-US"/>
        </w:rPr>
        <w:t>The burden of foot pain for individuals living with arthritis in the UK is not insubstantial, yet many cannot access NHS podiatry services</w:t>
      </w:r>
      <w:r w:rsidR="00C72705">
        <w:rPr>
          <w:rFonts w:eastAsia="Calibri" w:cs="Times New Roman"/>
          <w:sz w:val="22"/>
          <w:szCs w:val="22"/>
          <w:lang w:val="en-US" w:eastAsia="en-US"/>
        </w:rPr>
        <w:t xml:space="preserve"> [7, 51]</w:t>
      </w:r>
      <w:r w:rsidRPr="001D3ACE">
        <w:rPr>
          <w:rFonts w:eastAsia="Calibri" w:cs="Times New Roman"/>
          <w:sz w:val="22"/>
          <w:szCs w:val="22"/>
          <w:lang w:val="en-US" w:eastAsia="en-US"/>
        </w:rPr>
        <w:t xml:space="preserve">. </w:t>
      </w:r>
      <w:r w:rsidRPr="001D3ACE">
        <w:rPr>
          <w:rFonts w:eastAsia="Calibri" w:cs="Arial"/>
          <w:sz w:val="22"/>
          <w:szCs w:val="22"/>
          <w:lang w:eastAsia="en-US"/>
        </w:rPr>
        <w:t xml:space="preserve"> </w:t>
      </w:r>
      <w:r w:rsidRPr="001D3ACE">
        <w:rPr>
          <w:rFonts w:eastAsia="Calibri" w:cs="Times New Roman"/>
          <w:sz w:val="22"/>
          <w:szCs w:val="22"/>
          <w:lang w:eastAsia="en-US"/>
        </w:rPr>
        <w:t xml:space="preserve">The key themes derived from the podiatry clinician focus groups suggest that there are a variety of factors influencing demand for, and burden of, foot pain within the UK. Primarily, participants expressed frustration on having a service that accepts and treats patients according to their condition, rather than their complaint. Secondly, concern was conveyed over variations in stakeholders’ understanding of what podiatry is and what podiatrists aim to achieve for patients. Essentially, podiatrists interviewed called for the reform of the current accessibility to services to one that matches the foot care needs of individual patients. </w:t>
      </w:r>
      <w:r w:rsidR="00CB50EF">
        <w:rPr>
          <w:rFonts w:eastAsia="Calibri" w:cs="Times New Roman"/>
          <w:sz w:val="22"/>
          <w:szCs w:val="22"/>
          <w:lang w:eastAsia="en-US"/>
        </w:rPr>
        <w:t>Clinicians</w:t>
      </w:r>
      <w:r w:rsidRPr="001D3ACE">
        <w:rPr>
          <w:rFonts w:eastAsia="Calibri" w:cs="Times New Roman"/>
          <w:sz w:val="22"/>
          <w:szCs w:val="22"/>
          <w:lang w:eastAsia="en-US"/>
        </w:rPr>
        <w:t xml:space="preserve"> are keen to explore alternative ways to promote podiatry services for procurement and new models of service provision, to be more reflective of people’s individual circumstances and believe that setting and implementing nationally set guidance is the optimal way to inform commissioning of podiatry services towards a more inclusive service provision. </w:t>
      </w:r>
    </w:p>
    <w:p w14:paraId="7EE5989A" w14:textId="77777777" w:rsidR="00F43EDD" w:rsidRDefault="00F43EDD" w:rsidP="00BC3F21">
      <w:pPr>
        <w:autoSpaceDE/>
        <w:autoSpaceDN/>
        <w:adjustRightInd/>
        <w:rPr>
          <w:rFonts w:eastAsia="Calibri" w:cs="Times New Roman"/>
          <w:sz w:val="22"/>
          <w:szCs w:val="22"/>
          <w:lang w:eastAsia="en-US"/>
        </w:rPr>
      </w:pPr>
    </w:p>
    <w:p w14:paraId="491C367E" w14:textId="77777777" w:rsidR="00F43EDD" w:rsidRDefault="00F43EDD" w:rsidP="00BC3F21">
      <w:pPr>
        <w:autoSpaceDE/>
        <w:autoSpaceDN/>
        <w:adjustRightInd/>
        <w:rPr>
          <w:rFonts w:eastAsia="Calibri" w:cs="Times New Roman"/>
          <w:sz w:val="22"/>
          <w:szCs w:val="22"/>
          <w:lang w:eastAsia="en-US"/>
        </w:rPr>
      </w:pPr>
    </w:p>
    <w:p w14:paraId="5A636500" w14:textId="77777777" w:rsidR="00F43EDD" w:rsidRPr="00BC3F21" w:rsidRDefault="00F43EDD" w:rsidP="00BC3F21">
      <w:pPr>
        <w:autoSpaceDE/>
        <w:autoSpaceDN/>
        <w:adjustRightInd/>
        <w:rPr>
          <w:rFonts w:eastAsia="Calibri" w:cs="Times New Roman"/>
          <w:sz w:val="22"/>
          <w:szCs w:val="22"/>
          <w:lang w:eastAsia="en-US"/>
        </w:rPr>
      </w:pPr>
    </w:p>
    <w:p w14:paraId="249B8FC6" w14:textId="77777777" w:rsidR="00412E98" w:rsidRPr="00BC3F21" w:rsidRDefault="00412E98" w:rsidP="00FA61EF">
      <w:pPr>
        <w:pStyle w:val="Heading2"/>
        <w:rPr>
          <w:rFonts w:ascii="Arial" w:hAnsi="Arial" w:cs="Arial"/>
          <w:b w:val="0"/>
          <w:bCs w:val="0"/>
          <w:sz w:val="32"/>
          <w:szCs w:val="32"/>
          <w:u w:val="none"/>
        </w:rPr>
      </w:pPr>
      <w:r w:rsidRPr="00BC3F21">
        <w:rPr>
          <w:rFonts w:ascii="Arial" w:hAnsi="Arial" w:cs="Arial"/>
          <w:b w:val="0"/>
          <w:bCs w:val="0"/>
          <w:sz w:val="32"/>
          <w:szCs w:val="32"/>
          <w:u w:val="none"/>
        </w:rPr>
        <w:t>Declarations</w:t>
      </w:r>
    </w:p>
    <w:p w14:paraId="7EE758C5" w14:textId="77777777" w:rsidR="00412E98" w:rsidRPr="00EC2967" w:rsidRDefault="00412E98" w:rsidP="00D118BA">
      <w:pPr>
        <w:rPr>
          <w:rFonts w:ascii="Arial" w:hAnsi="Arial" w:cs="Arial"/>
          <w:b/>
          <w:sz w:val="22"/>
          <w:szCs w:val="22"/>
        </w:rPr>
      </w:pPr>
      <w:r w:rsidRPr="00EC2967">
        <w:rPr>
          <w:rFonts w:ascii="Arial" w:hAnsi="Arial" w:cs="Arial"/>
          <w:b/>
          <w:sz w:val="22"/>
          <w:szCs w:val="22"/>
        </w:rPr>
        <w:t>List of abbreviations</w:t>
      </w:r>
    </w:p>
    <w:p w14:paraId="49A9D0BF" w14:textId="33255738" w:rsidR="00125B54" w:rsidRDefault="00125B54" w:rsidP="00D118BA">
      <w:pPr>
        <w:rPr>
          <w:sz w:val="22"/>
          <w:szCs w:val="22"/>
        </w:rPr>
      </w:pPr>
      <w:r>
        <w:rPr>
          <w:sz w:val="22"/>
          <w:szCs w:val="22"/>
        </w:rPr>
        <w:t xml:space="preserve">ARMA:  </w:t>
      </w:r>
      <w:r w:rsidRPr="00125B54">
        <w:rPr>
          <w:sz w:val="22"/>
          <w:szCs w:val="22"/>
        </w:rPr>
        <w:t>Arthriti</w:t>
      </w:r>
      <w:r>
        <w:rPr>
          <w:sz w:val="22"/>
          <w:szCs w:val="22"/>
        </w:rPr>
        <w:t>s and Musculoskeletal Alliance</w:t>
      </w:r>
    </w:p>
    <w:p w14:paraId="5DC1E27B" w14:textId="30EED824" w:rsidR="00414CA3" w:rsidRDefault="00414CA3" w:rsidP="00D118BA">
      <w:pPr>
        <w:rPr>
          <w:sz w:val="22"/>
          <w:szCs w:val="22"/>
        </w:rPr>
      </w:pPr>
      <w:r>
        <w:rPr>
          <w:sz w:val="22"/>
          <w:szCs w:val="22"/>
        </w:rPr>
        <w:t>GP:  General Practitioner</w:t>
      </w:r>
    </w:p>
    <w:p w14:paraId="2CB61CCA" w14:textId="3A8FC122" w:rsidR="00412E98" w:rsidRPr="00145003" w:rsidRDefault="00412E98" w:rsidP="00D118BA">
      <w:pPr>
        <w:rPr>
          <w:b/>
          <w:sz w:val="22"/>
          <w:szCs w:val="22"/>
        </w:rPr>
      </w:pPr>
      <w:r w:rsidRPr="00145003">
        <w:rPr>
          <w:sz w:val="22"/>
          <w:szCs w:val="22"/>
        </w:rPr>
        <w:t>NICE:</w:t>
      </w:r>
      <w:r w:rsidR="00125B54">
        <w:rPr>
          <w:sz w:val="22"/>
          <w:szCs w:val="22"/>
        </w:rPr>
        <w:t xml:space="preserve"> </w:t>
      </w:r>
      <w:r w:rsidRPr="00145003">
        <w:rPr>
          <w:sz w:val="22"/>
          <w:szCs w:val="22"/>
        </w:rPr>
        <w:t xml:space="preserve"> National Institute for Health and Care Excellence</w:t>
      </w:r>
    </w:p>
    <w:p w14:paraId="054598FD" w14:textId="47E2D73D" w:rsidR="00DE34A1" w:rsidRPr="00EC2967" w:rsidRDefault="00DE34A1" w:rsidP="00D118BA">
      <w:pPr>
        <w:rPr>
          <w:rFonts w:ascii="Arial" w:hAnsi="Arial" w:cs="Arial"/>
          <w:b/>
          <w:iCs/>
          <w:sz w:val="22"/>
          <w:szCs w:val="22"/>
          <w:u w:val="single"/>
        </w:rPr>
      </w:pPr>
      <w:r w:rsidRPr="00EC2967">
        <w:rPr>
          <w:rFonts w:ascii="Arial" w:hAnsi="Arial" w:cs="Arial"/>
          <w:b/>
          <w:bCs/>
          <w:iCs/>
          <w:sz w:val="22"/>
          <w:szCs w:val="22"/>
        </w:rPr>
        <w:t xml:space="preserve">Ethical Approval and Consent to Participate </w:t>
      </w:r>
    </w:p>
    <w:p w14:paraId="5A0AE6FE" w14:textId="77777777" w:rsidR="00DE34A1" w:rsidRPr="00FA61EF" w:rsidRDefault="00DE34A1" w:rsidP="00DE34A1">
      <w:pPr>
        <w:spacing w:line="480" w:lineRule="auto"/>
        <w:rPr>
          <w:rFonts w:cstheme="minorHAnsi"/>
          <w:sz w:val="22"/>
          <w:szCs w:val="22"/>
        </w:rPr>
      </w:pPr>
      <w:r w:rsidRPr="00FA61EF">
        <w:rPr>
          <w:rFonts w:eastAsia="SimSun"/>
          <w:bCs/>
          <w:sz w:val="22"/>
          <w:szCs w:val="22"/>
        </w:rPr>
        <w:t>Full ethical approval was gained (IRAS: 15/SW/0251). All participants provided written informed consent.</w:t>
      </w:r>
      <w:r w:rsidRPr="00FA61EF">
        <w:rPr>
          <w:rFonts w:cstheme="minorHAnsi"/>
          <w:sz w:val="22"/>
          <w:szCs w:val="22"/>
        </w:rPr>
        <w:t xml:space="preserve"> Governance for the study was approved by the Faculty of Health Sciences, University of Southampton Ethics Committee via the ERGO (Ethics and Research Governance Online) online approval system.</w:t>
      </w:r>
    </w:p>
    <w:p w14:paraId="3822BA29" w14:textId="77777777" w:rsidR="00412E98" w:rsidRPr="00EC2967" w:rsidRDefault="00412E98" w:rsidP="00412E98">
      <w:pPr>
        <w:spacing w:line="480" w:lineRule="auto"/>
        <w:rPr>
          <w:rFonts w:ascii="Arial" w:hAnsi="Arial" w:cs="Arial"/>
          <w:b/>
          <w:sz w:val="22"/>
          <w:szCs w:val="22"/>
        </w:rPr>
      </w:pPr>
      <w:r w:rsidRPr="00EC2967">
        <w:rPr>
          <w:rFonts w:ascii="Arial" w:hAnsi="Arial" w:cs="Arial"/>
          <w:b/>
          <w:sz w:val="22"/>
          <w:szCs w:val="22"/>
        </w:rPr>
        <w:t>Consent for publication</w:t>
      </w:r>
    </w:p>
    <w:p w14:paraId="3DB2C0FB" w14:textId="44E100ED" w:rsidR="00412E98" w:rsidRPr="00145003" w:rsidRDefault="00412E98" w:rsidP="00412E98">
      <w:pPr>
        <w:spacing w:line="480" w:lineRule="auto"/>
        <w:rPr>
          <w:bCs/>
          <w:sz w:val="22"/>
          <w:szCs w:val="22"/>
        </w:rPr>
      </w:pPr>
      <w:r w:rsidRPr="00145003">
        <w:rPr>
          <w:bCs/>
          <w:sz w:val="22"/>
          <w:szCs w:val="22"/>
        </w:rPr>
        <w:t>Not applicable.</w:t>
      </w:r>
    </w:p>
    <w:p w14:paraId="0DA22E8F" w14:textId="77777777" w:rsidR="00412E98" w:rsidRPr="00545033" w:rsidRDefault="00412E98" w:rsidP="00412E98">
      <w:pPr>
        <w:spacing w:line="480" w:lineRule="auto"/>
        <w:rPr>
          <w:rFonts w:ascii="Arial" w:eastAsiaTheme="minorHAnsi" w:hAnsi="Arial" w:cs="Arial"/>
          <w:b/>
          <w:bCs/>
          <w:color w:val="262626"/>
          <w:sz w:val="22"/>
          <w:szCs w:val="22"/>
        </w:rPr>
      </w:pPr>
      <w:r w:rsidRPr="00545033">
        <w:rPr>
          <w:rFonts w:ascii="Arial" w:eastAsiaTheme="minorHAnsi" w:hAnsi="Arial" w:cs="Arial"/>
          <w:b/>
          <w:bCs/>
          <w:color w:val="262626"/>
          <w:sz w:val="22"/>
          <w:szCs w:val="22"/>
        </w:rPr>
        <w:t>Availability of data and materials</w:t>
      </w:r>
    </w:p>
    <w:p w14:paraId="4B3670F1" w14:textId="589EAFDD" w:rsidR="00412E98" w:rsidRPr="00145003" w:rsidRDefault="00412E98" w:rsidP="00412E98">
      <w:pPr>
        <w:spacing w:line="480" w:lineRule="auto"/>
        <w:jc w:val="left"/>
        <w:rPr>
          <w:rFonts w:cstheme="minorHAnsi"/>
          <w:sz w:val="22"/>
          <w:szCs w:val="22"/>
        </w:rPr>
      </w:pPr>
      <w:r w:rsidRPr="00145003">
        <w:rPr>
          <w:rFonts w:cstheme="minorHAnsi"/>
          <w:sz w:val="22"/>
          <w:szCs w:val="22"/>
        </w:rPr>
        <w:t>The data that support the findings of this study are available from the corresponding author upon reasonable request.</w:t>
      </w:r>
    </w:p>
    <w:p w14:paraId="029797CF" w14:textId="77777777" w:rsidR="00412E98" w:rsidRPr="00545033" w:rsidRDefault="00412E98" w:rsidP="00412E98">
      <w:pPr>
        <w:spacing w:line="480" w:lineRule="auto"/>
        <w:jc w:val="left"/>
        <w:rPr>
          <w:rFonts w:ascii="Arial" w:hAnsi="Arial" w:cs="Arial"/>
          <w:b/>
          <w:sz w:val="22"/>
          <w:szCs w:val="22"/>
        </w:rPr>
      </w:pPr>
      <w:r w:rsidRPr="00545033">
        <w:rPr>
          <w:rFonts w:ascii="Arial" w:hAnsi="Arial" w:cs="Arial"/>
          <w:b/>
          <w:sz w:val="22"/>
          <w:szCs w:val="22"/>
        </w:rPr>
        <w:t>Competing interests</w:t>
      </w:r>
    </w:p>
    <w:p w14:paraId="13E1C523" w14:textId="19DAE240" w:rsidR="00412E98" w:rsidRPr="00145003" w:rsidRDefault="00412E98" w:rsidP="00412E98">
      <w:pPr>
        <w:spacing w:line="480" w:lineRule="auto"/>
        <w:jc w:val="left"/>
        <w:rPr>
          <w:rFonts w:cstheme="minorHAnsi"/>
          <w:sz w:val="22"/>
          <w:szCs w:val="22"/>
        </w:rPr>
      </w:pPr>
      <w:r w:rsidRPr="00145003">
        <w:rPr>
          <w:rFonts w:cstheme="minorHAnsi"/>
          <w:sz w:val="22"/>
          <w:szCs w:val="22"/>
        </w:rPr>
        <w:t>Dr Alan Borthwick is Editor UK and Prof Catherine Bowen is the Deputy Editor UK of the Journal of Foot and Ankle Research. It is journal policy that editors are removed from the peer review and editorial decision-making processes for papers they have co-authored. The remaining authors declare no conflicts of interest in relation to this work.</w:t>
      </w:r>
    </w:p>
    <w:p w14:paraId="57548D5F" w14:textId="77777777" w:rsidR="00412E98" w:rsidRPr="00545033" w:rsidRDefault="00412E98" w:rsidP="00412E98">
      <w:pPr>
        <w:spacing w:line="480" w:lineRule="auto"/>
        <w:rPr>
          <w:rFonts w:ascii="Arial" w:hAnsi="Arial" w:cs="Arial"/>
          <w:b/>
          <w:sz w:val="22"/>
          <w:szCs w:val="22"/>
        </w:rPr>
      </w:pPr>
      <w:r w:rsidRPr="00545033">
        <w:rPr>
          <w:rFonts w:ascii="Arial" w:hAnsi="Arial" w:cs="Arial"/>
          <w:b/>
          <w:sz w:val="22"/>
          <w:szCs w:val="22"/>
        </w:rPr>
        <w:t xml:space="preserve">Funding </w:t>
      </w:r>
    </w:p>
    <w:p w14:paraId="2A398B43" w14:textId="448B89E6" w:rsidR="00412E98" w:rsidRPr="00145003" w:rsidRDefault="00412E98" w:rsidP="00145003">
      <w:pPr>
        <w:rPr>
          <w:sz w:val="22"/>
          <w:szCs w:val="22"/>
        </w:rPr>
      </w:pPr>
      <w:r w:rsidRPr="00145003">
        <w:rPr>
          <w:rFonts w:cstheme="minorHAnsi"/>
          <w:sz w:val="22"/>
          <w:szCs w:val="22"/>
        </w:rPr>
        <w:t xml:space="preserve">This </w:t>
      </w:r>
      <w:r w:rsidR="002A625F" w:rsidRPr="00145003">
        <w:rPr>
          <w:rFonts w:cstheme="minorHAnsi"/>
          <w:sz w:val="22"/>
          <w:szCs w:val="22"/>
        </w:rPr>
        <w:t>study</w:t>
      </w:r>
      <w:r w:rsidRPr="00145003">
        <w:rPr>
          <w:rFonts w:cstheme="minorHAnsi"/>
          <w:sz w:val="22"/>
          <w:szCs w:val="22"/>
        </w:rPr>
        <w:t xml:space="preserve"> </w:t>
      </w:r>
      <w:r w:rsidR="002A625F" w:rsidRPr="00145003">
        <w:rPr>
          <w:bCs/>
          <w:sz w:val="22"/>
          <w:szCs w:val="22"/>
        </w:rPr>
        <w:t>was supported by a project grant from the College of Podiatry</w:t>
      </w:r>
      <w:r w:rsidR="00860772" w:rsidRPr="00145003">
        <w:rPr>
          <w:bCs/>
          <w:sz w:val="22"/>
          <w:szCs w:val="22"/>
        </w:rPr>
        <w:t xml:space="preserve">. </w:t>
      </w:r>
      <w:r w:rsidR="00860772" w:rsidRPr="00145003">
        <w:rPr>
          <w:sz w:val="22"/>
          <w:szCs w:val="22"/>
        </w:rPr>
        <w:t xml:space="preserve">CB is currently being supported to undertake </w:t>
      </w:r>
      <w:r w:rsidRPr="00145003">
        <w:rPr>
          <w:sz w:val="22"/>
          <w:szCs w:val="22"/>
        </w:rPr>
        <w:t xml:space="preserve">Fellowship from The National Institute for Health Research. </w:t>
      </w:r>
      <w:r w:rsidRPr="00145003">
        <w:rPr>
          <w:rFonts w:eastAsiaTheme="minorHAnsi" w:cs="Arial"/>
          <w:sz w:val="22"/>
          <w:szCs w:val="22"/>
        </w:rPr>
        <w:t xml:space="preserve">The views and opinions expressed herein are those of the authors and do not necessarily reflect those of National Institute for Health Research, NHS or the Department of Health. </w:t>
      </w:r>
    </w:p>
    <w:p w14:paraId="7CA06247" w14:textId="77777777" w:rsidR="00412E98" w:rsidRPr="00545033" w:rsidRDefault="00412E98" w:rsidP="00412E98">
      <w:pPr>
        <w:spacing w:line="480" w:lineRule="auto"/>
        <w:jc w:val="left"/>
        <w:rPr>
          <w:rFonts w:ascii="Arial" w:hAnsi="Arial" w:cs="Arial"/>
          <w:b/>
          <w:sz w:val="22"/>
          <w:szCs w:val="22"/>
        </w:rPr>
      </w:pPr>
      <w:r w:rsidRPr="00545033">
        <w:rPr>
          <w:rFonts w:ascii="Arial" w:hAnsi="Arial" w:cs="Arial"/>
          <w:b/>
          <w:sz w:val="22"/>
          <w:szCs w:val="22"/>
        </w:rPr>
        <w:t>Authors’ contributions</w:t>
      </w:r>
    </w:p>
    <w:p w14:paraId="2FE72EF0" w14:textId="066BFF82" w:rsidR="00412E98" w:rsidRPr="00145003" w:rsidRDefault="00412E98" w:rsidP="00860772">
      <w:pPr>
        <w:spacing w:line="480" w:lineRule="auto"/>
        <w:jc w:val="left"/>
        <w:rPr>
          <w:rFonts w:cstheme="minorHAnsi"/>
          <w:sz w:val="22"/>
          <w:szCs w:val="22"/>
        </w:rPr>
      </w:pPr>
      <w:r w:rsidRPr="00145003">
        <w:rPr>
          <w:rFonts w:cstheme="minorHAnsi"/>
          <w:sz w:val="22"/>
          <w:szCs w:val="22"/>
        </w:rPr>
        <w:t xml:space="preserve">CB, AB, </w:t>
      </w:r>
      <w:r w:rsidR="00860772" w:rsidRPr="00145003">
        <w:rPr>
          <w:rFonts w:cstheme="minorHAnsi"/>
          <w:sz w:val="22"/>
          <w:szCs w:val="22"/>
        </w:rPr>
        <w:t xml:space="preserve">AR, RP, DP, AJ and NA </w:t>
      </w:r>
      <w:r w:rsidR="00DE34A1">
        <w:rPr>
          <w:rFonts w:cstheme="minorHAnsi"/>
          <w:sz w:val="22"/>
          <w:szCs w:val="22"/>
        </w:rPr>
        <w:t>conceived</w:t>
      </w:r>
      <w:r w:rsidRPr="00145003">
        <w:rPr>
          <w:rFonts w:cstheme="minorHAnsi"/>
          <w:sz w:val="22"/>
          <w:szCs w:val="22"/>
        </w:rPr>
        <w:t xml:space="preserve"> the study</w:t>
      </w:r>
      <w:r w:rsidR="00860772" w:rsidRPr="00145003">
        <w:rPr>
          <w:rFonts w:cstheme="minorHAnsi"/>
          <w:sz w:val="22"/>
          <w:szCs w:val="22"/>
        </w:rPr>
        <w:t>.</w:t>
      </w:r>
      <w:r w:rsidRPr="00145003">
        <w:rPr>
          <w:rFonts w:cstheme="minorHAnsi"/>
          <w:sz w:val="22"/>
          <w:szCs w:val="22"/>
        </w:rPr>
        <w:t xml:space="preserve"> </w:t>
      </w:r>
    </w:p>
    <w:p w14:paraId="4199A124" w14:textId="5060EA45" w:rsidR="00860772" w:rsidRPr="00145003" w:rsidRDefault="00860772" w:rsidP="00860772">
      <w:pPr>
        <w:spacing w:line="480" w:lineRule="auto"/>
        <w:jc w:val="left"/>
        <w:rPr>
          <w:rFonts w:cstheme="minorHAnsi"/>
          <w:sz w:val="22"/>
          <w:szCs w:val="22"/>
        </w:rPr>
      </w:pPr>
      <w:r w:rsidRPr="00145003">
        <w:rPr>
          <w:rFonts w:cstheme="minorHAnsi"/>
          <w:sz w:val="22"/>
          <w:szCs w:val="22"/>
        </w:rPr>
        <w:t xml:space="preserve">KE led on the systematic review of evidence for podiatry that underpins the topics for this study. </w:t>
      </w:r>
    </w:p>
    <w:p w14:paraId="53006B74" w14:textId="5E763B40" w:rsidR="00412E98" w:rsidRPr="00145003" w:rsidRDefault="00860772" w:rsidP="00860772">
      <w:pPr>
        <w:spacing w:line="480" w:lineRule="auto"/>
        <w:jc w:val="left"/>
        <w:rPr>
          <w:rFonts w:cstheme="minorHAnsi"/>
          <w:sz w:val="22"/>
          <w:szCs w:val="22"/>
        </w:rPr>
      </w:pPr>
      <w:proofErr w:type="spellStart"/>
      <w:r w:rsidRPr="00145003">
        <w:rPr>
          <w:rFonts w:cstheme="minorHAnsi"/>
          <w:sz w:val="22"/>
          <w:szCs w:val="22"/>
        </w:rPr>
        <w:t>LMc</w:t>
      </w:r>
      <w:proofErr w:type="spellEnd"/>
      <w:r w:rsidR="00412E98" w:rsidRPr="00145003">
        <w:rPr>
          <w:rFonts w:cstheme="minorHAnsi"/>
          <w:sz w:val="22"/>
          <w:szCs w:val="22"/>
        </w:rPr>
        <w:t xml:space="preserve"> conducted the </w:t>
      </w:r>
      <w:r w:rsidRPr="00145003">
        <w:rPr>
          <w:rFonts w:cstheme="minorHAnsi"/>
          <w:sz w:val="22"/>
          <w:szCs w:val="22"/>
        </w:rPr>
        <w:t xml:space="preserve">focus groups </w:t>
      </w:r>
      <w:r w:rsidR="00412E98" w:rsidRPr="00145003">
        <w:rPr>
          <w:rFonts w:cstheme="minorHAnsi"/>
          <w:sz w:val="22"/>
          <w:szCs w:val="22"/>
        </w:rPr>
        <w:t>and extracted and produced the first draft.</w:t>
      </w:r>
      <w:r w:rsidRPr="00145003">
        <w:rPr>
          <w:rFonts w:cstheme="minorHAnsi"/>
          <w:sz w:val="22"/>
          <w:szCs w:val="22"/>
        </w:rPr>
        <w:t xml:space="preserve"> KE and AB collected notes and observed participants within the focus groups.</w:t>
      </w:r>
    </w:p>
    <w:p w14:paraId="522718CE" w14:textId="78CBF178" w:rsidR="00412E98" w:rsidRPr="00145003" w:rsidRDefault="00860772" w:rsidP="00412E98">
      <w:pPr>
        <w:spacing w:line="480" w:lineRule="auto"/>
        <w:jc w:val="left"/>
        <w:rPr>
          <w:rFonts w:cstheme="minorHAnsi"/>
          <w:sz w:val="22"/>
          <w:szCs w:val="22"/>
        </w:rPr>
      </w:pPr>
      <w:proofErr w:type="spellStart"/>
      <w:r w:rsidRPr="00145003">
        <w:rPr>
          <w:rFonts w:cstheme="minorHAnsi"/>
          <w:sz w:val="22"/>
          <w:szCs w:val="22"/>
        </w:rPr>
        <w:t>LMc</w:t>
      </w:r>
      <w:proofErr w:type="spellEnd"/>
      <w:r w:rsidR="00412E98" w:rsidRPr="00145003">
        <w:rPr>
          <w:rFonts w:cstheme="minorHAnsi"/>
          <w:sz w:val="22"/>
          <w:szCs w:val="22"/>
        </w:rPr>
        <w:t>, AB, CB, analysed the data</w:t>
      </w:r>
      <w:r w:rsidRPr="00145003">
        <w:rPr>
          <w:rFonts w:cstheme="minorHAnsi"/>
          <w:sz w:val="22"/>
          <w:szCs w:val="22"/>
        </w:rPr>
        <w:t>.</w:t>
      </w:r>
    </w:p>
    <w:p w14:paraId="40EF849B" w14:textId="007231F2" w:rsidR="00412E98" w:rsidRPr="00145003" w:rsidRDefault="00860772" w:rsidP="00860772">
      <w:pPr>
        <w:spacing w:line="480" w:lineRule="auto"/>
        <w:jc w:val="left"/>
        <w:rPr>
          <w:rFonts w:cstheme="minorHAnsi"/>
          <w:sz w:val="22"/>
          <w:szCs w:val="22"/>
        </w:rPr>
      </w:pPr>
      <w:proofErr w:type="spellStart"/>
      <w:r w:rsidRPr="00145003">
        <w:rPr>
          <w:rFonts w:cstheme="minorHAnsi"/>
          <w:sz w:val="22"/>
          <w:szCs w:val="22"/>
        </w:rPr>
        <w:t>LMc</w:t>
      </w:r>
      <w:proofErr w:type="spellEnd"/>
      <w:r w:rsidRPr="00145003">
        <w:rPr>
          <w:rFonts w:cstheme="minorHAnsi"/>
          <w:sz w:val="22"/>
          <w:szCs w:val="22"/>
        </w:rPr>
        <w:t xml:space="preserve">, AB, AR, KE, RP, DP, AJ, NA and CB </w:t>
      </w:r>
      <w:r w:rsidR="00412E98" w:rsidRPr="00145003">
        <w:rPr>
          <w:rFonts w:cstheme="minorHAnsi"/>
          <w:sz w:val="22"/>
          <w:szCs w:val="22"/>
        </w:rPr>
        <w:t xml:space="preserve">critically reviewed the academic content and participated in producing the final draft. </w:t>
      </w:r>
    </w:p>
    <w:p w14:paraId="12C3ECEB" w14:textId="0D36FBAE" w:rsidR="00412E98" w:rsidRPr="00145003" w:rsidRDefault="00412E98" w:rsidP="00412E98">
      <w:pPr>
        <w:spacing w:line="480" w:lineRule="auto"/>
        <w:jc w:val="left"/>
        <w:rPr>
          <w:rFonts w:cstheme="minorHAnsi"/>
          <w:sz w:val="22"/>
          <w:szCs w:val="22"/>
        </w:rPr>
      </w:pPr>
      <w:r w:rsidRPr="00145003">
        <w:rPr>
          <w:rFonts w:cstheme="minorHAnsi"/>
          <w:sz w:val="22"/>
          <w:szCs w:val="22"/>
        </w:rPr>
        <w:t>All authors read and approved the final manuscript.</w:t>
      </w:r>
    </w:p>
    <w:p w14:paraId="0164AF18" w14:textId="77777777" w:rsidR="00412E98" w:rsidRPr="00545033" w:rsidRDefault="00412E98" w:rsidP="00412E98">
      <w:pPr>
        <w:spacing w:line="480" w:lineRule="auto"/>
        <w:jc w:val="left"/>
        <w:rPr>
          <w:rFonts w:ascii="Arial" w:hAnsi="Arial" w:cs="Arial"/>
          <w:b/>
          <w:sz w:val="22"/>
          <w:szCs w:val="22"/>
        </w:rPr>
      </w:pPr>
      <w:r w:rsidRPr="00545033">
        <w:rPr>
          <w:rFonts w:ascii="Arial" w:hAnsi="Arial" w:cs="Arial"/>
          <w:b/>
          <w:sz w:val="22"/>
          <w:szCs w:val="22"/>
        </w:rPr>
        <w:t>Acknowledgements</w:t>
      </w:r>
    </w:p>
    <w:p w14:paraId="1012C85C" w14:textId="32269A0D" w:rsidR="005303E2" w:rsidRPr="00F43EDD" w:rsidRDefault="00412E98" w:rsidP="005303E2">
      <w:pPr>
        <w:spacing w:line="480" w:lineRule="auto"/>
        <w:jc w:val="left"/>
        <w:rPr>
          <w:rFonts w:cstheme="minorHAnsi"/>
          <w:sz w:val="22"/>
          <w:szCs w:val="22"/>
        </w:rPr>
      </w:pPr>
      <w:r w:rsidRPr="00145003">
        <w:rPr>
          <w:rFonts w:cstheme="minorHAnsi"/>
          <w:sz w:val="22"/>
          <w:szCs w:val="22"/>
        </w:rPr>
        <w:t xml:space="preserve">The authors would like to thank all the participants of the study and </w:t>
      </w:r>
      <w:r w:rsidR="00860772" w:rsidRPr="00145003">
        <w:rPr>
          <w:rFonts w:cstheme="minorHAnsi"/>
          <w:sz w:val="22"/>
          <w:szCs w:val="22"/>
        </w:rPr>
        <w:t xml:space="preserve">Andy Stow and Adam Thomas from the College of Podiatry </w:t>
      </w:r>
      <w:r w:rsidRPr="00145003">
        <w:rPr>
          <w:rFonts w:cstheme="minorHAnsi"/>
          <w:sz w:val="22"/>
          <w:szCs w:val="22"/>
        </w:rPr>
        <w:t>who helped with study recruitment.</w:t>
      </w:r>
    </w:p>
    <w:p w14:paraId="16FE169C" w14:textId="77777777" w:rsidR="00412E98" w:rsidRDefault="00412E98" w:rsidP="00412E98">
      <w:pPr>
        <w:spacing w:line="480" w:lineRule="auto"/>
        <w:jc w:val="left"/>
        <w:rPr>
          <w:rFonts w:ascii="Arial" w:hAnsi="Arial" w:cs="Arial"/>
          <w:b/>
          <w:sz w:val="32"/>
          <w:szCs w:val="32"/>
        </w:rPr>
      </w:pPr>
      <w:r w:rsidRPr="00545033">
        <w:rPr>
          <w:rFonts w:ascii="Arial" w:hAnsi="Arial" w:cs="Arial"/>
          <w:b/>
          <w:sz w:val="32"/>
          <w:szCs w:val="32"/>
        </w:rPr>
        <w:t>References</w:t>
      </w:r>
    </w:p>
    <w:p w14:paraId="129E63CD" w14:textId="4EDA463E" w:rsidR="005D3D23" w:rsidRPr="00152830" w:rsidRDefault="00152830" w:rsidP="00152830">
      <w:pPr>
        <w:pStyle w:val="EndNoteBibliography"/>
        <w:numPr>
          <w:ilvl w:val="0"/>
          <w:numId w:val="8"/>
        </w:numPr>
        <w:rPr>
          <w:rFonts w:asciiTheme="minorHAnsi" w:hAnsiTheme="minorHAnsi"/>
          <w:sz w:val="22"/>
          <w:szCs w:val="22"/>
        </w:rPr>
      </w:pPr>
      <w:r w:rsidRPr="00152830">
        <w:rPr>
          <w:rFonts w:asciiTheme="minorHAnsi" w:hAnsiTheme="minorHAnsi"/>
          <w:sz w:val="22"/>
          <w:szCs w:val="22"/>
        </w:rPr>
        <w:t xml:space="preserve">Sanders L, Donovan-Hall M, Borthwick </w:t>
      </w:r>
      <w:r w:rsidR="005303E2">
        <w:rPr>
          <w:rFonts w:asciiTheme="minorHAnsi" w:hAnsiTheme="minorHAnsi"/>
          <w:sz w:val="22"/>
          <w:szCs w:val="22"/>
        </w:rPr>
        <w:t xml:space="preserve">A, </w:t>
      </w:r>
      <w:r w:rsidRPr="00152830">
        <w:rPr>
          <w:rFonts w:asciiTheme="minorHAnsi" w:hAnsiTheme="minorHAnsi"/>
          <w:sz w:val="22"/>
          <w:szCs w:val="22"/>
        </w:rPr>
        <w:t>Bowen</w:t>
      </w:r>
      <w:r>
        <w:rPr>
          <w:rFonts w:asciiTheme="minorHAnsi" w:hAnsiTheme="minorHAnsi"/>
          <w:sz w:val="22"/>
          <w:szCs w:val="22"/>
        </w:rPr>
        <w:t xml:space="preserve"> C (2017)</w:t>
      </w:r>
      <w:r w:rsidR="005D3D23" w:rsidRPr="00152830">
        <w:rPr>
          <w:rFonts w:asciiTheme="minorHAnsi" w:hAnsiTheme="minorHAnsi"/>
          <w:sz w:val="22"/>
          <w:szCs w:val="22"/>
        </w:rPr>
        <w:t xml:space="preserve"> Experiences of mobility for people living with rheumatoid arthritis who are receiving biologic drug therapy: implications for podiatry services. J Foot Ankle Res, 10: p. 14.</w:t>
      </w:r>
    </w:p>
    <w:p w14:paraId="08192E62" w14:textId="26C5A6F8" w:rsidR="005D3D23" w:rsidRPr="00851244" w:rsidRDefault="005D3D23"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Thomas</w:t>
      </w:r>
      <w:r w:rsidR="005303E2">
        <w:rPr>
          <w:rFonts w:asciiTheme="minorHAnsi" w:hAnsiTheme="minorHAnsi"/>
          <w:sz w:val="22"/>
          <w:szCs w:val="22"/>
        </w:rPr>
        <w:t xml:space="preserve"> </w:t>
      </w:r>
      <w:r w:rsidRPr="00851244">
        <w:rPr>
          <w:rFonts w:asciiTheme="minorHAnsi" w:hAnsiTheme="minorHAnsi"/>
          <w:sz w:val="22"/>
          <w:szCs w:val="22"/>
        </w:rPr>
        <w:t>M</w:t>
      </w:r>
      <w:r w:rsidR="005303E2">
        <w:rPr>
          <w:rFonts w:asciiTheme="minorHAnsi" w:hAnsiTheme="minorHAnsi"/>
          <w:sz w:val="22"/>
          <w:szCs w:val="22"/>
        </w:rPr>
        <w:t>J, Moore A, Roddy E, Peat G</w:t>
      </w:r>
      <w:r w:rsidRPr="00851244">
        <w:rPr>
          <w:rFonts w:asciiTheme="minorHAnsi" w:hAnsiTheme="minorHAnsi"/>
          <w:sz w:val="22"/>
          <w:szCs w:val="22"/>
        </w:rPr>
        <w:t xml:space="preserve"> "Somebody to say 'come on we can sort this'": a qualitative study of primary care consultation among older adults with symptomatic foot osteoarthritis. Arthritis Care Res (Hoboken), 2013. 65(12): p. 2051-5.</w:t>
      </w:r>
    </w:p>
    <w:p w14:paraId="2D3F6420" w14:textId="7835CEB0" w:rsidR="005D3D23" w:rsidRPr="00851244" w:rsidRDefault="00EA394B"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Blake A, Mandy PJ, Stew G: Factors influencing the patient with rheumatoid arthritis in their decision to seek podiatry. Musculoskeletal Care 2013, 11 (4) : p. 218-228.</w:t>
      </w:r>
    </w:p>
    <w:p w14:paraId="73F0E36F" w14:textId="7596AC59" w:rsidR="005D3D23" w:rsidRPr="00851244" w:rsidRDefault="005303E2" w:rsidP="00851244">
      <w:pPr>
        <w:pStyle w:val="EndNoteBibliography"/>
        <w:numPr>
          <w:ilvl w:val="0"/>
          <w:numId w:val="8"/>
        </w:numPr>
        <w:rPr>
          <w:rFonts w:asciiTheme="minorHAnsi" w:hAnsiTheme="minorHAnsi"/>
          <w:sz w:val="22"/>
          <w:szCs w:val="22"/>
        </w:rPr>
      </w:pPr>
      <w:r>
        <w:rPr>
          <w:rFonts w:asciiTheme="minorHAnsi" w:hAnsiTheme="minorHAnsi"/>
          <w:sz w:val="22"/>
          <w:szCs w:val="22"/>
        </w:rPr>
        <w:t xml:space="preserve">Formosa C, </w:t>
      </w:r>
      <w:r w:rsidR="005D3D23" w:rsidRPr="00851244">
        <w:rPr>
          <w:rFonts w:asciiTheme="minorHAnsi" w:hAnsiTheme="minorHAnsi"/>
          <w:sz w:val="22"/>
          <w:szCs w:val="22"/>
        </w:rPr>
        <w:t>Gatt</w:t>
      </w:r>
      <w:r>
        <w:rPr>
          <w:rFonts w:asciiTheme="minorHAnsi" w:hAnsiTheme="minorHAnsi"/>
          <w:sz w:val="22"/>
          <w:szCs w:val="22"/>
        </w:rPr>
        <w:t xml:space="preserve"> A</w:t>
      </w:r>
      <w:r w:rsidR="005D3D23" w:rsidRPr="00851244">
        <w:rPr>
          <w:rFonts w:asciiTheme="minorHAnsi" w:hAnsiTheme="minorHAnsi"/>
          <w:sz w:val="22"/>
          <w:szCs w:val="22"/>
        </w:rPr>
        <w:t>, Chockalingam</w:t>
      </w:r>
      <w:r>
        <w:rPr>
          <w:rFonts w:asciiTheme="minorHAnsi" w:hAnsiTheme="minorHAnsi"/>
          <w:sz w:val="22"/>
          <w:szCs w:val="22"/>
        </w:rPr>
        <w:t xml:space="preserve"> N (2016) </w:t>
      </w:r>
      <w:r w:rsidR="005D3D23" w:rsidRPr="00851244">
        <w:rPr>
          <w:rFonts w:asciiTheme="minorHAnsi" w:hAnsiTheme="minorHAnsi"/>
          <w:sz w:val="22"/>
          <w:szCs w:val="22"/>
        </w:rPr>
        <w:t>A Critical Evaluation of Existing Diabetic Foot Screening Guidelines. R</w:t>
      </w:r>
      <w:r w:rsidR="00EA394B" w:rsidRPr="00851244">
        <w:rPr>
          <w:rFonts w:asciiTheme="minorHAnsi" w:hAnsiTheme="minorHAnsi"/>
          <w:sz w:val="22"/>
          <w:szCs w:val="22"/>
        </w:rPr>
        <w:t xml:space="preserve">ev Diabet Stud, 2016. 13(2-3): </w:t>
      </w:r>
      <w:r w:rsidR="00566BE2" w:rsidRPr="00851244">
        <w:rPr>
          <w:rFonts w:asciiTheme="minorHAnsi" w:hAnsiTheme="minorHAnsi"/>
          <w:sz w:val="22"/>
          <w:szCs w:val="22"/>
        </w:rPr>
        <w:t xml:space="preserve">p. </w:t>
      </w:r>
      <w:r w:rsidR="005D3D23" w:rsidRPr="00851244">
        <w:rPr>
          <w:rFonts w:asciiTheme="minorHAnsi" w:hAnsiTheme="minorHAnsi"/>
          <w:sz w:val="22"/>
          <w:szCs w:val="22"/>
        </w:rPr>
        <w:t>158-186.</w:t>
      </w:r>
    </w:p>
    <w:p w14:paraId="7B5201EC" w14:textId="0B5567AD" w:rsidR="005D3D23" w:rsidRPr="00851244" w:rsidRDefault="00A55668" w:rsidP="00492BB2">
      <w:pPr>
        <w:pStyle w:val="EndNoteBibliography"/>
        <w:numPr>
          <w:ilvl w:val="0"/>
          <w:numId w:val="8"/>
        </w:numPr>
        <w:rPr>
          <w:rFonts w:asciiTheme="minorHAnsi" w:hAnsiTheme="minorHAnsi"/>
          <w:sz w:val="22"/>
          <w:szCs w:val="22"/>
        </w:rPr>
      </w:pPr>
      <w:r>
        <w:rPr>
          <w:rFonts w:asciiTheme="minorHAnsi" w:hAnsiTheme="minorHAnsi"/>
          <w:sz w:val="22"/>
          <w:szCs w:val="22"/>
        </w:rPr>
        <w:t xml:space="preserve">Menz HB, Jordan KP, Roddy E, </w:t>
      </w:r>
      <w:r w:rsidR="00492BB2" w:rsidRPr="00492BB2">
        <w:rPr>
          <w:rFonts w:asciiTheme="minorHAnsi" w:hAnsiTheme="minorHAnsi"/>
          <w:sz w:val="22"/>
          <w:szCs w:val="22"/>
        </w:rPr>
        <w:t>Croft</w:t>
      </w:r>
      <w:r w:rsidR="00492BB2">
        <w:rPr>
          <w:rFonts w:asciiTheme="minorHAnsi" w:hAnsiTheme="minorHAnsi"/>
          <w:sz w:val="22"/>
          <w:szCs w:val="22"/>
        </w:rPr>
        <w:t xml:space="preserve"> PR</w:t>
      </w:r>
      <w:r w:rsidR="00492BB2" w:rsidRPr="00492BB2">
        <w:rPr>
          <w:rFonts w:asciiTheme="minorHAnsi" w:hAnsiTheme="minorHAnsi"/>
          <w:sz w:val="22"/>
          <w:szCs w:val="22"/>
        </w:rPr>
        <w:t xml:space="preserve"> </w:t>
      </w:r>
      <w:r w:rsidR="00492BB2">
        <w:rPr>
          <w:rFonts w:asciiTheme="minorHAnsi" w:hAnsiTheme="minorHAnsi"/>
          <w:sz w:val="22"/>
          <w:szCs w:val="22"/>
        </w:rPr>
        <w:t>(2010)</w:t>
      </w:r>
      <w:r w:rsidR="005D3D23" w:rsidRPr="00851244">
        <w:rPr>
          <w:rFonts w:asciiTheme="minorHAnsi" w:hAnsiTheme="minorHAnsi"/>
          <w:sz w:val="22"/>
          <w:szCs w:val="22"/>
        </w:rPr>
        <w:t xml:space="preserve"> Musculoskeletal foot problems in primary care: what influences older people to consult? Rheumatology (Oxford), 2010. 49(11): p. 2109-16.</w:t>
      </w:r>
    </w:p>
    <w:p w14:paraId="61675CE1" w14:textId="0BC1FAD4" w:rsidR="005D3D23" w:rsidRPr="003E0CE8" w:rsidRDefault="003E0CE8" w:rsidP="003E0CE8">
      <w:pPr>
        <w:pStyle w:val="EndNoteBibliography"/>
        <w:numPr>
          <w:ilvl w:val="0"/>
          <w:numId w:val="8"/>
        </w:numPr>
        <w:rPr>
          <w:rFonts w:asciiTheme="minorHAnsi" w:hAnsiTheme="minorHAnsi"/>
          <w:sz w:val="22"/>
          <w:szCs w:val="22"/>
        </w:rPr>
      </w:pPr>
      <w:r>
        <w:rPr>
          <w:rFonts w:asciiTheme="minorHAnsi" w:hAnsiTheme="minorHAnsi"/>
          <w:sz w:val="22"/>
          <w:szCs w:val="22"/>
        </w:rPr>
        <w:t xml:space="preserve">Lansdowne N, </w:t>
      </w:r>
      <w:r w:rsidRPr="003E0CE8">
        <w:rPr>
          <w:rFonts w:asciiTheme="minorHAnsi" w:hAnsiTheme="minorHAnsi"/>
          <w:sz w:val="22"/>
          <w:szCs w:val="22"/>
        </w:rPr>
        <w:t>Brenton-Rule A, Carroll M, Rome K (2015)</w:t>
      </w:r>
      <w:r w:rsidR="005D3D23" w:rsidRPr="003E0CE8">
        <w:rPr>
          <w:rFonts w:asciiTheme="minorHAnsi" w:hAnsiTheme="minorHAnsi"/>
          <w:sz w:val="22"/>
          <w:szCs w:val="22"/>
        </w:rPr>
        <w:t xml:space="preserve"> Perceived barriers to the management of foot health in patients with rheumatic conditions. J Foot Ankle Res, 2015. 8: p. 14.</w:t>
      </w:r>
    </w:p>
    <w:p w14:paraId="4437F763" w14:textId="690901DE" w:rsidR="005D3D23" w:rsidRPr="00851244" w:rsidRDefault="005738D7"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Townson</w:t>
      </w:r>
      <w:r w:rsidR="003E0CE8">
        <w:rPr>
          <w:rFonts w:asciiTheme="minorHAnsi" w:hAnsiTheme="minorHAnsi"/>
          <w:sz w:val="22"/>
          <w:szCs w:val="22"/>
        </w:rPr>
        <w:t xml:space="preserve"> M (2014)</w:t>
      </w:r>
      <w:r w:rsidRPr="00851244">
        <w:rPr>
          <w:rFonts w:asciiTheme="minorHAnsi" w:hAnsiTheme="minorHAnsi"/>
          <w:sz w:val="22"/>
          <w:szCs w:val="22"/>
        </w:rPr>
        <w:t xml:space="preserve"> Developing a sustainable podiatry wor</w:t>
      </w:r>
      <w:r w:rsidR="003E0CE8">
        <w:rPr>
          <w:rFonts w:asciiTheme="minorHAnsi" w:hAnsiTheme="minorHAnsi"/>
          <w:sz w:val="22"/>
          <w:szCs w:val="22"/>
        </w:rPr>
        <w:t xml:space="preserve">kforce for the UK towards 2030 </w:t>
      </w:r>
      <w:r w:rsidRPr="00851244">
        <w:rPr>
          <w:rFonts w:asciiTheme="minorHAnsi" w:hAnsiTheme="minorHAnsi"/>
          <w:sz w:val="22"/>
          <w:szCs w:val="22"/>
        </w:rPr>
        <w:t>College of Podiatry: London, UK.</w:t>
      </w:r>
    </w:p>
    <w:p w14:paraId="17F4A320" w14:textId="0FBCB753" w:rsidR="005738D7" w:rsidRDefault="003E0CE8" w:rsidP="00851244">
      <w:pPr>
        <w:pStyle w:val="EndNoteBibliography"/>
        <w:numPr>
          <w:ilvl w:val="0"/>
          <w:numId w:val="8"/>
        </w:numPr>
        <w:rPr>
          <w:rFonts w:asciiTheme="minorHAnsi" w:hAnsiTheme="minorHAnsi"/>
          <w:sz w:val="22"/>
          <w:szCs w:val="22"/>
        </w:rPr>
      </w:pPr>
      <w:r>
        <w:rPr>
          <w:rFonts w:asciiTheme="minorHAnsi" w:hAnsiTheme="minorHAnsi"/>
          <w:sz w:val="22"/>
          <w:szCs w:val="22"/>
        </w:rPr>
        <w:t xml:space="preserve">Stressing SJ, </w:t>
      </w:r>
      <w:r w:rsidR="005738D7" w:rsidRPr="00851244">
        <w:rPr>
          <w:rFonts w:asciiTheme="minorHAnsi" w:hAnsiTheme="minorHAnsi"/>
          <w:sz w:val="22"/>
          <w:szCs w:val="22"/>
        </w:rPr>
        <w:t>Borthwick</w:t>
      </w:r>
      <w:r>
        <w:rPr>
          <w:rFonts w:asciiTheme="minorHAnsi" w:hAnsiTheme="minorHAnsi"/>
          <w:sz w:val="22"/>
          <w:szCs w:val="22"/>
        </w:rPr>
        <w:t xml:space="preserve"> AM (2014)</w:t>
      </w:r>
      <w:r w:rsidR="005738D7" w:rsidRPr="00851244">
        <w:rPr>
          <w:rFonts w:asciiTheme="minorHAnsi" w:hAnsiTheme="minorHAnsi"/>
          <w:sz w:val="22"/>
          <w:szCs w:val="22"/>
        </w:rPr>
        <w:t xml:space="preserve"> The impact of workforce redesign policies on role boundaries in 'generalist' podiatry practice: expert views within the professional body. J Foot Ankle Res, 2014. 7(1): p. 52.</w:t>
      </w:r>
    </w:p>
    <w:p w14:paraId="5797D509" w14:textId="56A749BB" w:rsidR="00E745A7" w:rsidRPr="00E745A7" w:rsidRDefault="00E745A7" w:rsidP="00E745A7">
      <w:pPr>
        <w:pStyle w:val="EndNoteBibliography"/>
        <w:numPr>
          <w:ilvl w:val="0"/>
          <w:numId w:val="8"/>
        </w:numPr>
        <w:rPr>
          <w:rFonts w:asciiTheme="minorHAnsi" w:hAnsiTheme="minorHAnsi"/>
          <w:sz w:val="22"/>
          <w:szCs w:val="22"/>
        </w:rPr>
      </w:pPr>
      <w:r w:rsidRPr="00E745A7">
        <w:rPr>
          <w:rFonts w:asciiTheme="minorHAnsi" w:hAnsiTheme="minorHAnsi"/>
          <w:sz w:val="22"/>
          <w:szCs w:val="22"/>
        </w:rPr>
        <w:t>C</w:t>
      </w:r>
      <w:r>
        <w:rPr>
          <w:rFonts w:asciiTheme="minorHAnsi" w:hAnsiTheme="minorHAnsi"/>
          <w:sz w:val="22"/>
          <w:szCs w:val="22"/>
        </w:rPr>
        <w:t>oady</w:t>
      </w:r>
      <w:r w:rsidRPr="00E745A7">
        <w:rPr>
          <w:rFonts w:asciiTheme="minorHAnsi" w:hAnsiTheme="minorHAnsi"/>
          <w:sz w:val="22"/>
          <w:szCs w:val="22"/>
        </w:rPr>
        <w:t xml:space="preserve"> D</w:t>
      </w:r>
      <w:r>
        <w:rPr>
          <w:rFonts w:asciiTheme="minorHAnsi" w:hAnsiTheme="minorHAnsi"/>
          <w:sz w:val="22"/>
          <w:szCs w:val="22"/>
        </w:rPr>
        <w:t>,</w:t>
      </w:r>
      <w:r w:rsidRPr="00E745A7">
        <w:rPr>
          <w:rFonts w:asciiTheme="minorHAnsi" w:hAnsiTheme="minorHAnsi"/>
          <w:sz w:val="22"/>
          <w:szCs w:val="22"/>
        </w:rPr>
        <w:t xml:space="preserve"> L</w:t>
      </w:r>
      <w:r>
        <w:rPr>
          <w:rFonts w:asciiTheme="minorHAnsi" w:hAnsiTheme="minorHAnsi"/>
          <w:sz w:val="22"/>
          <w:szCs w:val="22"/>
        </w:rPr>
        <w:t>illicrap M (</w:t>
      </w:r>
      <w:r w:rsidRPr="00E745A7">
        <w:rPr>
          <w:rFonts w:asciiTheme="minorHAnsi" w:hAnsiTheme="minorHAnsi"/>
          <w:sz w:val="22"/>
          <w:szCs w:val="22"/>
        </w:rPr>
        <w:t>2011</w:t>
      </w:r>
      <w:r>
        <w:rPr>
          <w:rFonts w:asciiTheme="minorHAnsi" w:hAnsiTheme="minorHAnsi"/>
          <w:sz w:val="22"/>
          <w:szCs w:val="22"/>
        </w:rPr>
        <w:t>)</w:t>
      </w:r>
      <w:r w:rsidRPr="00E745A7">
        <w:rPr>
          <w:rFonts w:asciiTheme="minorHAnsi" w:hAnsiTheme="minorHAnsi"/>
          <w:sz w:val="22"/>
          <w:szCs w:val="22"/>
        </w:rPr>
        <w:t xml:space="preserve"> Clinical Examination of the Musculoskeletal System: a guide for medical students and healthcare profesionals. In: UK, A. R. (ed.). United Kingdom: Arthritis Research UK.</w:t>
      </w:r>
    </w:p>
    <w:p w14:paraId="76D49874" w14:textId="081C94E1" w:rsidR="00E745A7" w:rsidRPr="00E745A7" w:rsidRDefault="00E745A7" w:rsidP="00E745A7">
      <w:pPr>
        <w:pStyle w:val="EndNoteBibliography"/>
        <w:numPr>
          <w:ilvl w:val="0"/>
          <w:numId w:val="8"/>
        </w:numPr>
        <w:rPr>
          <w:rFonts w:asciiTheme="minorHAnsi" w:hAnsiTheme="minorHAnsi"/>
          <w:sz w:val="22"/>
          <w:szCs w:val="22"/>
        </w:rPr>
      </w:pPr>
      <w:r w:rsidRPr="00E745A7">
        <w:rPr>
          <w:rFonts w:asciiTheme="minorHAnsi" w:hAnsiTheme="minorHAnsi"/>
          <w:sz w:val="22"/>
          <w:szCs w:val="22"/>
        </w:rPr>
        <w:t>A</w:t>
      </w:r>
      <w:r>
        <w:rPr>
          <w:rFonts w:asciiTheme="minorHAnsi" w:hAnsiTheme="minorHAnsi"/>
          <w:sz w:val="22"/>
          <w:szCs w:val="22"/>
        </w:rPr>
        <w:t>rthritisCare (</w:t>
      </w:r>
      <w:r w:rsidRPr="00E745A7">
        <w:rPr>
          <w:rFonts w:asciiTheme="minorHAnsi" w:hAnsiTheme="minorHAnsi"/>
          <w:sz w:val="22"/>
          <w:szCs w:val="22"/>
        </w:rPr>
        <w:t>2012</w:t>
      </w:r>
      <w:r>
        <w:rPr>
          <w:rFonts w:asciiTheme="minorHAnsi" w:hAnsiTheme="minorHAnsi"/>
          <w:sz w:val="22"/>
          <w:szCs w:val="22"/>
        </w:rPr>
        <w:t>)</w:t>
      </w:r>
      <w:r w:rsidRPr="00E745A7">
        <w:rPr>
          <w:rFonts w:asciiTheme="minorHAnsi" w:hAnsiTheme="minorHAnsi"/>
          <w:sz w:val="22"/>
          <w:szCs w:val="22"/>
        </w:rPr>
        <w:t xml:space="preserve"> OA Nation 2012 London: Arthritis Care.</w:t>
      </w:r>
    </w:p>
    <w:p w14:paraId="54E98058" w14:textId="5F7CFE5F" w:rsidR="00E745A7" w:rsidRPr="00E745A7" w:rsidRDefault="00E745A7" w:rsidP="00E745A7">
      <w:pPr>
        <w:pStyle w:val="EndNoteBibliography"/>
        <w:numPr>
          <w:ilvl w:val="0"/>
          <w:numId w:val="8"/>
        </w:numPr>
        <w:rPr>
          <w:rFonts w:asciiTheme="minorHAnsi" w:hAnsiTheme="minorHAnsi"/>
          <w:sz w:val="22"/>
          <w:szCs w:val="22"/>
        </w:rPr>
      </w:pPr>
      <w:r w:rsidRPr="00E745A7">
        <w:rPr>
          <w:rFonts w:asciiTheme="minorHAnsi" w:hAnsiTheme="minorHAnsi"/>
          <w:sz w:val="22"/>
          <w:szCs w:val="22"/>
        </w:rPr>
        <w:t>A</w:t>
      </w:r>
      <w:r>
        <w:rPr>
          <w:rFonts w:asciiTheme="minorHAnsi" w:hAnsiTheme="minorHAnsi"/>
          <w:sz w:val="22"/>
          <w:szCs w:val="22"/>
        </w:rPr>
        <w:t>rden N,</w:t>
      </w:r>
      <w:r w:rsidRPr="00E745A7">
        <w:rPr>
          <w:rFonts w:asciiTheme="minorHAnsi" w:hAnsiTheme="minorHAnsi"/>
          <w:sz w:val="22"/>
          <w:szCs w:val="22"/>
        </w:rPr>
        <w:t xml:space="preserve"> N</w:t>
      </w:r>
      <w:r>
        <w:rPr>
          <w:rFonts w:asciiTheme="minorHAnsi" w:hAnsiTheme="minorHAnsi"/>
          <w:sz w:val="22"/>
          <w:szCs w:val="22"/>
        </w:rPr>
        <w:t>evitt</w:t>
      </w:r>
      <w:r w:rsidRPr="00E745A7">
        <w:rPr>
          <w:rFonts w:asciiTheme="minorHAnsi" w:hAnsiTheme="minorHAnsi"/>
          <w:sz w:val="22"/>
          <w:szCs w:val="22"/>
        </w:rPr>
        <w:t xml:space="preserve"> M</w:t>
      </w:r>
      <w:r>
        <w:rPr>
          <w:rFonts w:asciiTheme="minorHAnsi" w:hAnsiTheme="minorHAnsi"/>
          <w:sz w:val="22"/>
          <w:szCs w:val="22"/>
        </w:rPr>
        <w:t>C (</w:t>
      </w:r>
      <w:r w:rsidRPr="00E745A7">
        <w:rPr>
          <w:rFonts w:asciiTheme="minorHAnsi" w:hAnsiTheme="minorHAnsi"/>
          <w:sz w:val="22"/>
          <w:szCs w:val="22"/>
        </w:rPr>
        <w:t>2006</w:t>
      </w:r>
      <w:r>
        <w:rPr>
          <w:rFonts w:asciiTheme="minorHAnsi" w:hAnsiTheme="minorHAnsi"/>
          <w:sz w:val="22"/>
          <w:szCs w:val="22"/>
        </w:rPr>
        <w:t>)</w:t>
      </w:r>
      <w:r w:rsidRPr="00E745A7">
        <w:rPr>
          <w:rFonts w:asciiTheme="minorHAnsi" w:hAnsiTheme="minorHAnsi"/>
          <w:sz w:val="22"/>
          <w:szCs w:val="22"/>
        </w:rPr>
        <w:t xml:space="preserve"> Osteoarthritis: epidemiology. Best Pract Res Clin Rheumatol, 20, 3-25.</w:t>
      </w:r>
    </w:p>
    <w:p w14:paraId="55D19D94" w14:textId="471FE8B6" w:rsidR="00E745A7" w:rsidRPr="00851244" w:rsidRDefault="00E745A7" w:rsidP="00E745A7">
      <w:pPr>
        <w:pStyle w:val="EndNoteBibliography"/>
        <w:numPr>
          <w:ilvl w:val="0"/>
          <w:numId w:val="8"/>
        </w:numPr>
        <w:rPr>
          <w:rFonts w:asciiTheme="minorHAnsi" w:hAnsiTheme="minorHAnsi"/>
          <w:sz w:val="22"/>
          <w:szCs w:val="22"/>
        </w:rPr>
      </w:pPr>
      <w:r w:rsidRPr="00E745A7">
        <w:rPr>
          <w:rFonts w:asciiTheme="minorHAnsi" w:hAnsiTheme="minorHAnsi"/>
          <w:sz w:val="22"/>
          <w:szCs w:val="22"/>
        </w:rPr>
        <w:t>W</w:t>
      </w:r>
      <w:r>
        <w:rPr>
          <w:rFonts w:asciiTheme="minorHAnsi" w:hAnsiTheme="minorHAnsi"/>
          <w:sz w:val="22"/>
          <w:szCs w:val="22"/>
        </w:rPr>
        <w:t>oolf</w:t>
      </w:r>
      <w:r w:rsidRPr="00E745A7">
        <w:rPr>
          <w:rFonts w:asciiTheme="minorHAnsi" w:hAnsiTheme="minorHAnsi"/>
          <w:sz w:val="22"/>
          <w:szCs w:val="22"/>
        </w:rPr>
        <w:t xml:space="preserve"> A</w:t>
      </w:r>
      <w:r>
        <w:rPr>
          <w:rFonts w:asciiTheme="minorHAnsi" w:hAnsiTheme="minorHAnsi"/>
          <w:sz w:val="22"/>
          <w:szCs w:val="22"/>
        </w:rPr>
        <w:t xml:space="preserve">D, Erwin, J, March </w:t>
      </w:r>
      <w:r w:rsidRPr="00E745A7">
        <w:rPr>
          <w:rFonts w:asciiTheme="minorHAnsi" w:hAnsiTheme="minorHAnsi"/>
          <w:sz w:val="22"/>
          <w:szCs w:val="22"/>
        </w:rPr>
        <w:t>L</w:t>
      </w:r>
      <w:r>
        <w:rPr>
          <w:rFonts w:asciiTheme="minorHAnsi" w:hAnsiTheme="minorHAnsi"/>
          <w:sz w:val="22"/>
          <w:szCs w:val="22"/>
        </w:rPr>
        <w:t xml:space="preserve"> (</w:t>
      </w:r>
      <w:r w:rsidRPr="00E745A7">
        <w:rPr>
          <w:rFonts w:asciiTheme="minorHAnsi" w:hAnsiTheme="minorHAnsi"/>
          <w:sz w:val="22"/>
          <w:szCs w:val="22"/>
        </w:rPr>
        <w:t>2012</w:t>
      </w:r>
      <w:r>
        <w:rPr>
          <w:rFonts w:asciiTheme="minorHAnsi" w:hAnsiTheme="minorHAnsi"/>
          <w:sz w:val="22"/>
          <w:szCs w:val="22"/>
        </w:rPr>
        <w:t>)</w:t>
      </w:r>
      <w:r w:rsidRPr="00E745A7">
        <w:rPr>
          <w:rFonts w:asciiTheme="minorHAnsi" w:hAnsiTheme="minorHAnsi"/>
          <w:sz w:val="22"/>
          <w:szCs w:val="22"/>
        </w:rPr>
        <w:t xml:space="preserve"> The need to address the burden of musculoskeletal conditions</w:t>
      </w:r>
      <w:r>
        <w:rPr>
          <w:rFonts w:asciiTheme="minorHAnsi" w:hAnsiTheme="minorHAnsi"/>
          <w:sz w:val="22"/>
          <w:szCs w:val="22"/>
        </w:rPr>
        <w:t>,</w:t>
      </w:r>
      <w:r w:rsidRPr="00E745A7">
        <w:rPr>
          <w:rFonts w:asciiTheme="minorHAnsi" w:hAnsiTheme="minorHAnsi"/>
          <w:sz w:val="22"/>
          <w:szCs w:val="22"/>
        </w:rPr>
        <w:t xml:space="preserve"> Best Pract Res Clin Rheumatol, 26, 183-224.</w:t>
      </w:r>
    </w:p>
    <w:p w14:paraId="321A633D" w14:textId="79EFF2FC" w:rsidR="005D3D23" w:rsidRPr="00851244" w:rsidRDefault="003E0CE8" w:rsidP="003E0CE8">
      <w:pPr>
        <w:pStyle w:val="EndNoteBibliography"/>
        <w:numPr>
          <w:ilvl w:val="0"/>
          <w:numId w:val="8"/>
        </w:numPr>
        <w:rPr>
          <w:rFonts w:asciiTheme="minorHAnsi" w:hAnsiTheme="minorHAnsi"/>
          <w:sz w:val="22"/>
          <w:szCs w:val="22"/>
        </w:rPr>
      </w:pPr>
      <w:r>
        <w:rPr>
          <w:rFonts w:asciiTheme="minorHAnsi" w:hAnsiTheme="minorHAnsi"/>
          <w:sz w:val="22"/>
          <w:szCs w:val="22"/>
        </w:rPr>
        <w:t xml:space="preserve">Mickle </w:t>
      </w:r>
      <w:r w:rsidR="005738D7" w:rsidRPr="00851244">
        <w:rPr>
          <w:rFonts w:asciiTheme="minorHAnsi" w:hAnsiTheme="minorHAnsi"/>
          <w:sz w:val="22"/>
          <w:szCs w:val="22"/>
        </w:rPr>
        <w:t xml:space="preserve">KJ, </w:t>
      </w:r>
      <w:r w:rsidRPr="003E0CE8">
        <w:rPr>
          <w:rFonts w:asciiTheme="minorHAnsi" w:hAnsiTheme="minorHAnsi"/>
          <w:sz w:val="22"/>
          <w:szCs w:val="22"/>
        </w:rPr>
        <w:t>Munro BJ, Lord SR, Menz HB, Steele JR</w:t>
      </w:r>
      <w:r>
        <w:rPr>
          <w:rFonts w:asciiTheme="minorHAnsi" w:hAnsiTheme="minorHAnsi"/>
          <w:sz w:val="22"/>
          <w:szCs w:val="22"/>
        </w:rPr>
        <w:t xml:space="preserve"> (2011)</w:t>
      </w:r>
      <w:r w:rsidR="005738D7" w:rsidRPr="00851244">
        <w:rPr>
          <w:rFonts w:asciiTheme="minorHAnsi" w:hAnsiTheme="minorHAnsi"/>
          <w:sz w:val="22"/>
          <w:szCs w:val="22"/>
        </w:rPr>
        <w:t xml:space="preserve"> Cross-sectional analysis of foot function, functional ability, and health-related quality of life in older people with disabling foot pain. Arthritis Care Res (Hoboken), 2011. 63(11): p. 1592-8</w:t>
      </w:r>
      <w:r w:rsidR="00F87EEA" w:rsidRPr="00851244">
        <w:rPr>
          <w:rFonts w:asciiTheme="minorHAnsi" w:hAnsiTheme="minorHAnsi"/>
          <w:sz w:val="22"/>
          <w:szCs w:val="22"/>
        </w:rPr>
        <w:t xml:space="preserve"> </w:t>
      </w:r>
    </w:p>
    <w:p w14:paraId="6CA55AA8" w14:textId="2476CFB3" w:rsidR="005738D7" w:rsidRPr="00851244" w:rsidRDefault="003E0CE8" w:rsidP="00851244">
      <w:pPr>
        <w:pStyle w:val="EndNoteBibliography"/>
        <w:numPr>
          <w:ilvl w:val="0"/>
          <w:numId w:val="8"/>
        </w:numPr>
        <w:rPr>
          <w:rFonts w:asciiTheme="minorHAnsi" w:hAnsiTheme="minorHAnsi"/>
          <w:sz w:val="22"/>
          <w:szCs w:val="22"/>
        </w:rPr>
      </w:pPr>
      <w:r>
        <w:rPr>
          <w:rFonts w:asciiTheme="minorHAnsi" w:hAnsiTheme="minorHAnsi"/>
          <w:sz w:val="22"/>
          <w:szCs w:val="22"/>
        </w:rPr>
        <w:t>Campbell J (2007)</w:t>
      </w:r>
      <w:r w:rsidR="005738D7" w:rsidRPr="00851244">
        <w:rPr>
          <w:rFonts w:asciiTheme="minorHAnsi" w:hAnsiTheme="minorHAnsi"/>
          <w:sz w:val="22"/>
          <w:szCs w:val="22"/>
        </w:rPr>
        <w:t xml:space="preserve"> Modelling deterioration of foot health in older people following discharge from NHS podiatry services. The Foot, 2007. 17: p. 76-83.</w:t>
      </w:r>
    </w:p>
    <w:p w14:paraId="38069390" w14:textId="6A14E475" w:rsidR="00A062B0" w:rsidRPr="00851244" w:rsidRDefault="00A062B0"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Green &amp; Thorogood</w:t>
      </w:r>
      <w:r w:rsidR="00B256D7">
        <w:rPr>
          <w:rFonts w:asciiTheme="minorHAnsi" w:hAnsiTheme="minorHAnsi"/>
          <w:sz w:val="22"/>
          <w:szCs w:val="22"/>
        </w:rPr>
        <w:t xml:space="preserve"> </w:t>
      </w:r>
      <w:r w:rsidR="00B256D7">
        <w:rPr>
          <w:rFonts w:asciiTheme="minorHAnsi" w:hAnsiTheme="minorHAnsi"/>
          <w:sz w:val="22"/>
          <w:szCs w:val="22"/>
        </w:rPr>
        <w:t>(</w:t>
      </w:r>
      <w:r w:rsidR="00B256D7" w:rsidRPr="00851244">
        <w:rPr>
          <w:rFonts w:asciiTheme="minorHAnsi" w:hAnsiTheme="minorHAnsi"/>
          <w:sz w:val="22"/>
          <w:szCs w:val="22"/>
        </w:rPr>
        <w:t>2014</w:t>
      </w:r>
      <w:r w:rsidR="00B256D7">
        <w:rPr>
          <w:rFonts w:asciiTheme="minorHAnsi" w:hAnsiTheme="minorHAnsi"/>
          <w:sz w:val="22"/>
          <w:szCs w:val="22"/>
        </w:rPr>
        <w:t>)</w:t>
      </w:r>
      <w:r w:rsidR="008E64C1" w:rsidRPr="00851244">
        <w:rPr>
          <w:rFonts w:asciiTheme="minorHAnsi" w:hAnsiTheme="minorHAnsi"/>
          <w:sz w:val="22"/>
          <w:szCs w:val="22"/>
        </w:rPr>
        <w:t xml:space="preserve"> Qualitative Methods for Health Research</w:t>
      </w:r>
      <w:r w:rsidR="00B256D7" w:rsidRPr="00851244">
        <w:rPr>
          <w:rFonts w:asciiTheme="minorHAnsi" w:hAnsiTheme="minorHAnsi"/>
          <w:sz w:val="22"/>
          <w:szCs w:val="22"/>
        </w:rPr>
        <w:t xml:space="preserve"> </w:t>
      </w:r>
      <w:r w:rsidR="008E64C1" w:rsidRPr="00851244">
        <w:rPr>
          <w:rFonts w:asciiTheme="minorHAnsi" w:hAnsiTheme="minorHAnsi"/>
          <w:sz w:val="22"/>
          <w:szCs w:val="22"/>
        </w:rPr>
        <w:t>3</w:t>
      </w:r>
      <w:r w:rsidR="008E64C1" w:rsidRPr="00851244">
        <w:rPr>
          <w:rFonts w:asciiTheme="minorHAnsi" w:hAnsiTheme="minorHAnsi"/>
          <w:sz w:val="22"/>
          <w:szCs w:val="22"/>
          <w:vertAlign w:val="superscript"/>
        </w:rPr>
        <w:t>rd</w:t>
      </w:r>
      <w:r w:rsidR="008E64C1" w:rsidRPr="00851244">
        <w:rPr>
          <w:rFonts w:asciiTheme="minorHAnsi" w:hAnsiTheme="minorHAnsi"/>
          <w:sz w:val="22"/>
          <w:szCs w:val="22"/>
        </w:rPr>
        <w:t xml:space="preserve"> Edition, </w:t>
      </w:r>
      <w:r w:rsidR="00B256D7">
        <w:rPr>
          <w:rFonts w:asciiTheme="minorHAnsi" w:hAnsiTheme="minorHAnsi"/>
          <w:sz w:val="22"/>
          <w:szCs w:val="22"/>
        </w:rPr>
        <w:t xml:space="preserve">London, </w:t>
      </w:r>
      <w:r w:rsidR="008E64C1" w:rsidRPr="00851244">
        <w:rPr>
          <w:rFonts w:asciiTheme="minorHAnsi" w:hAnsiTheme="minorHAnsi"/>
          <w:sz w:val="22"/>
          <w:szCs w:val="22"/>
        </w:rPr>
        <w:t>Sage Publications</w:t>
      </w:r>
    </w:p>
    <w:p w14:paraId="5A7E2CFF" w14:textId="257E8E07" w:rsidR="00B256D7" w:rsidRPr="00851244" w:rsidRDefault="00B256D7" w:rsidP="00B256D7">
      <w:pPr>
        <w:pStyle w:val="EndNoteBibliography"/>
        <w:numPr>
          <w:ilvl w:val="0"/>
          <w:numId w:val="8"/>
        </w:numPr>
        <w:rPr>
          <w:rFonts w:asciiTheme="minorHAnsi" w:hAnsiTheme="minorHAnsi"/>
          <w:sz w:val="22"/>
          <w:szCs w:val="22"/>
        </w:rPr>
      </w:pPr>
      <w:r w:rsidRPr="00851244">
        <w:rPr>
          <w:rFonts w:asciiTheme="minorHAnsi" w:hAnsiTheme="minorHAnsi"/>
          <w:sz w:val="22"/>
          <w:szCs w:val="22"/>
        </w:rPr>
        <w:t>Patton M (2015) Qualitative Research &amp; Evaluation Methods: Integra</w:t>
      </w:r>
      <w:r>
        <w:rPr>
          <w:rFonts w:asciiTheme="minorHAnsi" w:hAnsiTheme="minorHAnsi"/>
          <w:sz w:val="22"/>
          <w:szCs w:val="22"/>
        </w:rPr>
        <w:t>ting Theory and Practice, 4th</w:t>
      </w:r>
      <w:r w:rsidRPr="00851244">
        <w:rPr>
          <w:rFonts w:asciiTheme="minorHAnsi" w:hAnsiTheme="minorHAnsi"/>
          <w:sz w:val="22"/>
          <w:szCs w:val="22"/>
        </w:rPr>
        <w:t xml:space="preserve"> Ed, Sage Publishing</w:t>
      </w:r>
    </w:p>
    <w:p w14:paraId="6D46A543" w14:textId="67EB1A20" w:rsidR="00B256D7" w:rsidRDefault="00B256D7" w:rsidP="00B256D7">
      <w:pPr>
        <w:pStyle w:val="EndNoteBibliography"/>
        <w:numPr>
          <w:ilvl w:val="0"/>
          <w:numId w:val="8"/>
        </w:numPr>
        <w:rPr>
          <w:rFonts w:asciiTheme="minorHAnsi" w:hAnsiTheme="minorHAnsi"/>
          <w:sz w:val="22"/>
          <w:szCs w:val="22"/>
        </w:rPr>
      </w:pPr>
      <w:r>
        <w:rPr>
          <w:rFonts w:asciiTheme="minorHAnsi" w:hAnsiTheme="minorHAnsi"/>
          <w:sz w:val="22"/>
          <w:szCs w:val="22"/>
        </w:rPr>
        <w:t>Popay</w:t>
      </w:r>
      <w:r>
        <w:rPr>
          <w:rFonts w:asciiTheme="minorHAnsi" w:hAnsiTheme="minorHAnsi"/>
          <w:sz w:val="22"/>
          <w:szCs w:val="22"/>
        </w:rPr>
        <w:t xml:space="preserve"> J, Rogers A, Williams G (1998) </w:t>
      </w:r>
      <w:r w:rsidRPr="00B256D7">
        <w:rPr>
          <w:rFonts w:asciiTheme="minorHAnsi" w:hAnsiTheme="minorHAnsi"/>
          <w:sz w:val="22"/>
          <w:szCs w:val="22"/>
        </w:rPr>
        <w:t xml:space="preserve">Rationale and Standards for the Systematic Review of Qualitative Literature in Health Services Research, </w:t>
      </w:r>
      <w:r>
        <w:rPr>
          <w:rFonts w:asciiTheme="minorHAnsi" w:hAnsiTheme="minorHAnsi"/>
          <w:sz w:val="22"/>
          <w:szCs w:val="22"/>
        </w:rPr>
        <w:t>Qualitative Health Research, Vol 8, No 3, pp341-351, Sage Publications Inc</w:t>
      </w:r>
    </w:p>
    <w:p w14:paraId="087A3384" w14:textId="5582DA31" w:rsidR="00B256D7" w:rsidRPr="00B256D7" w:rsidRDefault="00B256D7" w:rsidP="00B256D7">
      <w:pPr>
        <w:pStyle w:val="EndNoteBibliography"/>
        <w:numPr>
          <w:ilvl w:val="0"/>
          <w:numId w:val="8"/>
        </w:numPr>
        <w:rPr>
          <w:rFonts w:asciiTheme="minorHAnsi" w:hAnsiTheme="minorHAnsi"/>
          <w:sz w:val="22"/>
          <w:szCs w:val="22"/>
        </w:rPr>
      </w:pPr>
      <w:r w:rsidRPr="00B256D7">
        <w:rPr>
          <w:rFonts w:asciiTheme="minorHAnsi" w:hAnsiTheme="minorHAnsi"/>
          <w:sz w:val="22"/>
          <w:szCs w:val="22"/>
        </w:rPr>
        <w:t>Mason</w:t>
      </w:r>
      <w:r>
        <w:rPr>
          <w:rFonts w:asciiTheme="minorHAnsi" w:hAnsiTheme="minorHAnsi"/>
          <w:sz w:val="22"/>
          <w:szCs w:val="22"/>
        </w:rPr>
        <w:t xml:space="preserve"> J (2018) Qualitative Researching, 3</w:t>
      </w:r>
      <w:r w:rsidRPr="00B256D7">
        <w:rPr>
          <w:rFonts w:asciiTheme="minorHAnsi" w:hAnsiTheme="minorHAnsi"/>
          <w:sz w:val="22"/>
          <w:szCs w:val="22"/>
          <w:vertAlign w:val="superscript"/>
        </w:rPr>
        <w:t>rd</w:t>
      </w:r>
      <w:r>
        <w:rPr>
          <w:rFonts w:asciiTheme="minorHAnsi" w:hAnsiTheme="minorHAnsi"/>
          <w:sz w:val="22"/>
          <w:szCs w:val="22"/>
        </w:rPr>
        <w:t xml:space="preserve"> Ed, Sage Publications Ltd</w:t>
      </w:r>
    </w:p>
    <w:p w14:paraId="3840A948" w14:textId="230B90D3" w:rsidR="001961D7" w:rsidRPr="00B256D7" w:rsidRDefault="00F1126E" w:rsidP="00B256D7">
      <w:pPr>
        <w:pStyle w:val="EndNoteBibliography"/>
        <w:numPr>
          <w:ilvl w:val="0"/>
          <w:numId w:val="8"/>
        </w:numPr>
        <w:rPr>
          <w:rFonts w:asciiTheme="minorHAnsi" w:hAnsiTheme="minorHAnsi"/>
          <w:sz w:val="22"/>
          <w:szCs w:val="22"/>
        </w:rPr>
      </w:pPr>
      <w:r w:rsidRPr="00B256D7">
        <w:rPr>
          <w:rFonts w:asciiTheme="minorHAnsi" w:hAnsiTheme="minorHAnsi"/>
          <w:sz w:val="22"/>
          <w:szCs w:val="22"/>
        </w:rPr>
        <w:t>Edwards K, Borthwick A, McCulloch L, Redmond A, Pinedo-Villanueva R, Prieto-Alhambra D, Judge A, Arden N, Bowen C (2017) Evidence for current recommendations concerning the management of foot health for people with chronic long-term conditions: a systematic review</w:t>
      </w:r>
      <w:r w:rsidR="008E6B2C" w:rsidRPr="00B256D7">
        <w:rPr>
          <w:rFonts w:asciiTheme="minorHAnsi" w:hAnsiTheme="minorHAnsi"/>
          <w:sz w:val="22"/>
          <w:szCs w:val="22"/>
        </w:rPr>
        <w:t xml:space="preserve"> </w:t>
      </w:r>
      <w:r w:rsidRPr="00B256D7">
        <w:rPr>
          <w:rFonts w:asciiTheme="minorHAnsi" w:hAnsiTheme="minorHAnsi"/>
          <w:sz w:val="22"/>
          <w:szCs w:val="22"/>
        </w:rPr>
        <w:t>J Foot Ankle Res. 2017 Nov 22;10:51.</w:t>
      </w:r>
    </w:p>
    <w:p w14:paraId="021BD0BA" w14:textId="777FFAF3" w:rsidR="002E2B9B" w:rsidRDefault="002E2B9B" w:rsidP="002E2B9B">
      <w:pPr>
        <w:pStyle w:val="EndNoteBibliography"/>
        <w:numPr>
          <w:ilvl w:val="0"/>
          <w:numId w:val="8"/>
        </w:numPr>
        <w:rPr>
          <w:rFonts w:asciiTheme="minorHAnsi" w:hAnsiTheme="minorHAnsi"/>
          <w:sz w:val="22"/>
          <w:szCs w:val="22"/>
        </w:rPr>
      </w:pPr>
      <w:r w:rsidRPr="002E2B9B">
        <w:rPr>
          <w:rFonts w:asciiTheme="minorHAnsi" w:hAnsiTheme="minorHAnsi"/>
          <w:sz w:val="22"/>
          <w:szCs w:val="22"/>
        </w:rPr>
        <w:t>Farndon</w:t>
      </w:r>
      <w:r>
        <w:rPr>
          <w:rFonts w:asciiTheme="minorHAnsi" w:hAnsiTheme="minorHAnsi"/>
          <w:sz w:val="22"/>
          <w:szCs w:val="22"/>
        </w:rPr>
        <w:t xml:space="preserve"> L, </w:t>
      </w:r>
      <w:r w:rsidRPr="002E2B9B">
        <w:rPr>
          <w:rFonts w:asciiTheme="minorHAnsi" w:hAnsiTheme="minorHAnsi"/>
          <w:sz w:val="22"/>
          <w:szCs w:val="22"/>
        </w:rPr>
        <w:t>Barnes</w:t>
      </w:r>
      <w:r>
        <w:rPr>
          <w:rFonts w:asciiTheme="minorHAnsi" w:hAnsiTheme="minorHAnsi"/>
          <w:sz w:val="22"/>
          <w:szCs w:val="22"/>
        </w:rPr>
        <w:t xml:space="preserve"> A</w:t>
      </w:r>
      <w:r w:rsidRPr="002E2B9B">
        <w:rPr>
          <w:rFonts w:asciiTheme="minorHAnsi" w:hAnsiTheme="minorHAnsi"/>
          <w:sz w:val="22"/>
          <w:szCs w:val="22"/>
        </w:rPr>
        <w:t>, Littlewood</w:t>
      </w:r>
      <w:r>
        <w:rPr>
          <w:rFonts w:asciiTheme="minorHAnsi" w:hAnsiTheme="minorHAnsi"/>
          <w:sz w:val="22"/>
          <w:szCs w:val="22"/>
        </w:rPr>
        <w:t xml:space="preserve"> K, </w:t>
      </w:r>
      <w:r w:rsidRPr="002E2B9B">
        <w:rPr>
          <w:rFonts w:asciiTheme="minorHAnsi" w:hAnsiTheme="minorHAnsi"/>
          <w:sz w:val="22"/>
          <w:szCs w:val="22"/>
        </w:rPr>
        <w:t>Harle</w:t>
      </w:r>
      <w:r>
        <w:rPr>
          <w:rFonts w:asciiTheme="minorHAnsi" w:hAnsiTheme="minorHAnsi"/>
          <w:sz w:val="22"/>
          <w:szCs w:val="22"/>
        </w:rPr>
        <w:t xml:space="preserve"> J</w:t>
      </w:r>
      <w:r w:rsidRPr="002E2B9B">
        <w:rPr>
          <w:rFonts w:asciiTheme="minorHAnsi" w:hAnsiTheme="minorHAnsi"/>
          <w:sz w:val="22"/>
          <w:szCs w:val="22"/>
        </w:rPr>
        <w:t>, Beecroft</w:t>
      </w:r>
      <w:r>
        <w:rPr>
          <w:rFonts w:asciiTheme="minorHAnsi" w:hAnsiTheme="minorHAnsi"/>
          <w:sz w:val="22"/>
          <w:szCs w:val="22"/>
        </w:rPr>
        <w:t xml:space="preserve"> C, </w:t>
      </w:r>
      <w:r w:rsidRPr="002E2B9B">
        <w:rPr>
          <w:rFonts w:asciiTheme="minorHAnsi" w:hAnsiTheme="minorHAnsi"/>
          <w:sz w:val="22"/>
          <w:szCs w:val="22"/>
        </w:rPr>
        <w:t>Burnside</w:t>
      </w:r>
      <w:r>
        <w:rPr>
          <w:rFonts w:asciiTheme="minorHAnsi" w:hAnsiTheme="minorHAnsi"/>
          <w:sz w:val="22"/>
          <w:szCs w:val="22"/>
        </w:rPr>
        <w:t xml:space="preserve"> J, </w:t>
      </w:r>
      <w:r w:rsidRPr="002E2B9B">
        <w:rPr>
          <w:rFonts w:asciiTheme="minorHAnsi" w:hAnsiTheme="minorHAnsi"/>
          <w:sz w:val="22"/>
          <w:szCs w:val="22"/>
        </w:rPr>
        <w:t>Wheeler</w:t>
      </w:r>
      <w:r>
        <w:rPr>
          <w:rFonts w:asciiTheme="minorHAnsi" w:hAnsiTheme="minorHAnsi"/>
          <w:sz w:val="22"/>
          <w:szCs w:val="22"/>
        </w:rPr>
        <w:t xml:space="preserve"> T</w:t>
      </w:r>
      <w:r w:rsidRPr="002E2B9B">
        <w:rPr>
          <w:rFonts w:asciiTheme="minorHAnsi" w:hAnsiTheme="minorHAnsi"/>
          <w:sz w:val="22"/>
          <w:szCs w:val="22"/>
        </w:rPr>
        <w:t>, Morris</w:t>
      </w:r>
      <w:r>
        <w:rPr>
          <w:rFonts w:asciiTheme="minorHAnsi" w:hAnsiTheme="minorHAnsi"/>
          <w:sz w:val="22"/>
          <w:szCs w:val="22"/>
        </w:rPr>
        <w:t xml:space="preserve"> S,</w:t>
      </w:r>
      <w:r w:rsidRPr="002E2B9B">
        <w:rPr>
          <w:rFonts w:asciiTheme="minorHAnsi" w:hAnsiTheme="minorHAnsi"/>
          <w:sz w:val="22"/>
          <w:szCs w:val="22"/>
        </w:rPr>
        <w:t xml:space="preserve"> Walters</w:t>
      </w:r>
      <w:r>
        <w:rPr>
          <w:rFonts w:asciiTheme="minorHAnsi" w:hAnsiTheme="minorHAnsi"/>
          <w:sz w:val="22"/>
          <w:szCs w:val="22"/>
        </w:rPr>
        <w:t xml:space="preserve"> S</w:t>
      </w:r>
      <w:r w:rsidRPr="002E2B9B">
        <w:rPr>
          <w:rFonts w:asciiTheme="minorHAnsi" w:hAnsiTheme="minorHAnsi"/>
          <w:sz w:val="22"/>
          <w:szCs w:val="22"/>
        </w:rPr>
        <w:t>, Clinical audit of core podiatry treatment in the NHS - Journal of Foot and Ankle Research 2009, 2:7</w:t>
      </w:r>
    </w:p>
    <w:p w14:paraId="6C75A40F" w14:textId="735438AB" w:rsidR="002E2B9B" w:rsidRPr="002E2B9B" w:rsidRDefault="002E2B9B" w:rsidP="002E2B9B">
      <w:pPr>
        <w:pStyle w:val="ListParagraph"/>
        <w:numPr>
          <w:ilvl w:val="0"/>
          <w:numId w:val="8"/>
        </w:numPr>
        <w:spacing w:line="240" w:lineRule="auto"/>
        <w:rPr>
          <w:rFonts w:cs="Times New Roman"/>
          <w:noProof/>
          <w:sz w:val="22"/>
          <w:szCs w:val="22"/>
          <w:lang w:eastAsia="en-GB"/>
        </w:rPr>
      </w:pPr>
      <w:r w:rsidRPr="002E2B9B">
        <w:rPr>
          <w:rFonts w:cs="Times New Roman"/>
          <w:noProof/>
          <w:sz w:val="22"/>
          <w:szCs w:val="22"/>
          <w:lang w:eastAsia="en-GB"/>
        </w:rPr>
        <w:t>Boden, C (2007) Older People and ‘Person-Centred’ Podiatry: A Critical Evaluation of Two Models of Care, PhD thesis</w:t>
      </w:r>
    </w:p>
    <w:p w14:paraId="4FF54B53" w14:textId="05B69028" w:rsidR="006A58FC" w:rsidRPr="00851244" w:rsidRDefault="00143437" w:rsidP="002E2B9B">
      <w:pPr>
        <w:pStyle w:val="EndNoteBibliography"/>
        <w:numPr>
          <w:ilvl w:val="0"/>
          <w:numId w:val="8"/>
        </w:numPr>
        <w:rPr>
          <w:rFonts w:asciiTheme="minorHAnsi" w:hAnsiTheme="minorHAnsi"/>
          <w:sz w:val="22"/>
          <w:szCs w:val="22"/>
        </w:rPr>
      </w:pPr>
      <w:r w:rsidRPr="00851244">
        <w:rPr>
          <w:rFonts w:asciiTheme="minorHAnsi" w:hAnsiTheme="minorHAnsi"/>
          <w:sz w:val="22"/>
          <w:szCs w:val="22"/>
        </w:rPr>
        <w:t>King O, Nancarrow SA, Borthwick AM, Grace S</w:t>
      </w:r>
      <w:r w:rsidR="002E2B9B">
        <w:rPr>
          <w:rFonts w:asciiTheme="minorHAnsi" w:hAnsiTheme="minorHAnsi"/>
          <w:sz w:val="22"/>
          <w:szCs w:val="22"/>
        </w:rPr>
        <w:t>,</w:t>
      </w:r>
      <w:r w:rsidRPr="00851244">
        <w:rPr>
          <w:rFonts w:asciiTheme="minorHAnsi" w:hAnsiTheme="minorHAnsi"/>
          <w:sz w:val="22"/>
          <w:szCs w:val="22"/>
        </w:rPr>
        <w:t xml:space="preserve"> Contested professional role boundaries in health care: a systematic review of the literature. J Foot Ankle Res. 2015 Feb 5;8(1):2.</w:t>
      </w:r>
    </w:p>
    <w:p w14:paraId="6255EDEA" w14:textId="61037473" w:rsidR="006A58FC" w:rsidRPr="00851244" w:rsidRDefault="00D5188F" w:rsidP="00851244">
      <w:pPr>
        <w:pStyle w:val="ListParagraph"/>
        <w:numPr>
          <w:ilvl w:val="0"/>
          <w:numId w:val="8"/>
        </w:numPr>
        <w:spacing w:line="240" w:lineRule="auto"/>
        <w:rPr>
          <w:rFonts w:cs="Times New Roman"/>
          <w:noProof/>
          <w:sz w:val="22"/>
          <w:szCs w:val="22"/>
          <w:lang w:eastAsia="en-GB"/>
        </w:rPr>
      </w:pPr>
      <w:r w:rsidRPr="00851244">
        <w:rPr>
          <w:rFonts w:cs="Times New Roman"/>
          <w:noProof/>
          <w:sz w:val="22"/>
          <w:szCs w:val="22"/>
          <w:lang w:eastAsia="en-GB"/>
        </w:rPr>
        <w:t>Farndon, L D W, Vernon W, Potter M, Parry A, The professional role of the podiatrists in the new millennium: An analysis of current practice: Paper 1. British Journal of Podiatry 2002; 5(3): 68-72.</w:t>
      </w:r>
    </w:p>
    <w:p w14:paraId="3F972444" w14:textId="69CF877E" w:rsidR="006A58FC" w:rsidRPr="00851244" w:rsidRDefault="00143437"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Larkin G V, Occupational Monopoly and Modern Medicine. Cambridge: Cambridge University Press, 1983</w:t>
      </w:r>
    </w:p>
    <w:p w14:paraId="6FFDE122" w14:textId="26399163" w:rsidR="00D5188F" w:rsidRPr="00851244" w:rsidRDefault="00D5188F"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Vernon W, Borthwick A, Farndon L, Nancarrow S, Walker J (2005), Issues of podiatry status in the UK, British Journal of Podiatry, 2005, 8(1): 6-10.</w:t>
      </w:r>
    </w:p>
    <w:p w14:paraId="0C04A8DD" w14:textId="78C1F7A6" w:rsidR="006A58FC" w:rsidRPr="008B253E" w:rsidRDefault="008B253E" w:rsidP="008B253E">
      <w:pPr>
        <w:pStyle w:val="EndNoteBibliography"/>
        <w:numPr>
          <w:ilvl w:val="0"/>
          <w:numId w:val="8"/>
        </w:numPr>
        <w:rPr>
          <w:rFonts w:asciiTheme="minorHAnsi" w:hAnsiTheme="minorHAnsi"/>
          <w:sz w:val="22"/>
          <w:szCs w:val="22"/>
        </w:rPr>
      </w:pPr>
      <w:r w:rsidRPr="008B253E">
        <w:rPr>
          <w:rFonts w:asciiTheme="minorHAnsi" w:hAnsiTheme="minorHAnsi"/>
          <w:sz w:val="22"/>
          <w:szCs w:val="22"/>
        </w:rPr>
        <w:t xml:space="preserve">Kerr M, Rayman G, Jeffcoate WJ. Cost of diabetic foot disease to the National Health Service in England. Diabetic medicine : a journal of the British Diabetic Association. 2014;31(12):1498-504. </w:t>
      </w:r>
    </w:p>
    <w:p w14:paraId="01B85D29" w14:textId="5455A1A0" w:rsidR="006A58FC" w:rsidRPr="00D8644C" w:rsidRDefault="001961D7"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 xml:space="preserve">Bacon </w:t>
      </w:r>
      <w:r w:rsidR="001A7D1D" w:rsidRPr="00851244">
        <w:rPr>
          <w:rFonts w:asciiTheme="minorHAnsi" w:hAnsiTheme="minorHAnsi"/>
          <w:sz w:val="22"/>
          <w:szCs w:val="22"/>
        </w:rPr>
        <w:t xml:space="preserve">D </w:t>
      </w:r>
      <w:r w:rsidRPr="00851244">
        <w:rPr>
          <w:rFonts w:asciiTheme="minorHAnsi" w:hAnsiTheme="minorHAnsi"/>
          <w:sz w:val="22"/>
          <w:szCs w:val="22"/>
        </w:rPr>
        <w:t xml:space="preserve">&amp; </w:t>
      </w:r>
      <w:r w:rsidR="001A7D1D" w:rsidRPr="00851244">
        <w:rPr>
          <w:rFonts w:asciiTheme="minorHAnsi" w:hAnsiTheme="minorHAnsi"/>
          <w:sz w:val="22"/>
          <w:szCs w:val="22"/>
        </w:rPr>
        <w:t xml:space="preserve">Borthwick A (2013) Charismatic authority in modern healthcare: the case of the ‘diabetes specialist podiatrist’ Sociology of </w:t>
      </w:r>
      <w:r w:rsidR="001A7D1D" w:rsidRPr="00D8644C">
        <w:rPr>
          <w:rFonts w:asciiTheme="minorHAnsi" w:hAnsiTheme="minorHAnsi"/>
          <w:sz w:val="22"/>
          <w:szCs w:val="22"/>
        </w:rPr>
        <w:t>Health &amp; Illness Vol. 35 No. 7, pp. 1080–1094</w:t>
      </w:r>
    </w:p>
    <w:p w14:paraId="22B9F8B0" w14:textId="47F29C71" w:rsidR="006A58FC" w:rsidRPr="00D8644C" w:rsidRDefault="006A58FC" w:rsidP="00851244">
      <w:pPr>
        <w:pStyle w:val="EndNoteBibliography"/>
        <w:numPr>
          <w:ilvl w:val="0"/>
          <w:numId w:val="8"/>
        </w:numPr>
        <w:rPr>
          <w:rFonts w:asciiTheme="minorHAnsi" w:hAnsiTheme="minorHAnsi"/>
          <w:sz w:val="22"/>
          <w:szCs w:val="22"/>
        </w:rPr>
      </w:pPr>
      <w:r w:rsidRPr="00D8644C">
        <w:rPr>
          <w:rFonts w:asciiTheme="minorHAnsi" w:hAnsiTheme="minorHAnsi"/>
          <w:sz w:val="22"/>
          <w:szCs w:val="22"/>
        </w:rPr>
        <w:t xml:space="preserve">Graham </w:t>
      </w:r>
      <w:r w:rsidR="0038515B" w:rsidRPr="00D8644C">
        <w:rPr>
          <w:rFonts w:asciiTheme="minorHAnsi" w:hAnsiTheme="minorHAnsi"/>
          <w:sz w:val="22"/>
          <w:szCs w:val="22"/>
        </w:rPr>
        <w:t>M</w:t>
      </w:r>
      <w:r w:rsidR="00851244" w:rsidRPr="00D8644C">
        <w:rPr>
          <w:rFonts w:asciiTheme="minorHAnsi" w:hAnsiTheme="minorHAnsi"/>
          <w:sz w:val="22"/>
          <w:szCs w:val="22"/>
        </w:rPr>
        <w:t>L</w:t>
      </w:r>
      <w:r w:rsidR="0038515B" w:rsidRPr="00D8644C">
        <w:rPr>
          <w:rFonts w:asciiTheme="minorHAnsi" w:hAnsiTheme="minorHAnsi"/>
          <w:sz w:val="22"/>
          <w:szCs w:val="22"/>
        </w:rPr>
        <w:t xml:space="preserve"> (</w:t>
      </w:r>
      <w:r w:rsidRPr="00D8644C">
        <w:rPr>
          <w:rFonts w:asciiTheme="minorHAnsi" w:hAnsiTheme="minorHAnsi"/>
          <w:sz w:val="22"/>
          <w:szCs w:val="22"/>
        </w:rPr>
        <w:t xml:space="preserve">2006) </w:t>
      </w:r>
      <w:r w:rsidR="00851244" w:rsidRPr="00D8644C">
        <w:rPr>
          <w:rFonts w:asciiTheme="minorHAnsi" w:hAnsiTheme="minorHAnsi"/>
          <w:sz w:val="22"/>
          <w:szCs w:val="22"/>
        </w:rPr>
        <w:t>The Origins and Development of Podiatry in Britain 1969 to 1996</w:t>
      </w:r>
      <w:r w:rsidR="002E2B9B" w:rsidRPr="00D8644C">
        <w:rPr>
          <w:rFonts w:asciiTheme="minorHAnsi" w:hAnsiTheme="minorHAnsi"/>
          <w:sz w:val="22"/>
          <w:szCs w:val="22"/>
        </w:rPr>
        <w:t>,</w:t>
      </w:r>
      <w:r w:rsidR="00851244" w:rsidRPr="00D8644C">
        <w:rPr>
          <w:rFonts w:asciiTheme="minorHAnsi" w:hAnsiTheme="minorHAnsi"/>
          <w:sz w:val="22"/>
          <w:szCs w:val="22"/>
        </w:rPr>
        <w:t xml:space="preserve"> PhD thesis, University of Essex</w:t>
      </w:r>
    </w:p>
    <w:p w14:paraId="7F937F32" w14:textId="181AA65A" w:rsidR="006A58FC" w:rsidRPr="00D8644C" w:rsidRDefault="006A58FC" w:rsidP="00D8644C">
      <w:pPr>
        <w:pStyle w:val="EndNoteBibliography"/>
        <w:numPr>
          <w:ilvl w:val="0"/>
          <w:numId w:val="8"/>
        </w:numPr>
        <w:rPr>
          <w:rFonts w:asciiTheme="minorHAnsi" w:hAnsiTheme="minorHAnsi"/>
          <w:sz w:val="22"/>
          <w:szCs w:val="22"/>
        </w:rPr>
      </w:pPr>
      <w:r w:rsidRPr="00D8644C">
        <w:rPr>
          <w:rFonts w:asciiTheme="minorHAnsi" w:hAnsiTheme="minorHAnsi"/>
          <w:sz w:val="22"/>
          <w:szCs w:val="22"/>
        </w:rPr>
        <w:t xml:space="preserve">Graham </w:t>
      </w:r>
      <w:r w:rsidR="00D8644C" w:rsidRPr="00D8644C">
        <w:rPr>
          <w:rFonts w:asciiTheme="minorHAnsi" w:hAnsiTheme="minorHAnsi"/>
          <w:sz w:val="22"/>
          <w:szCs w:val="22"/>
        </w:rPr>
        <w:t>A</w:t>
      </w:r>
      <w:r w:rsidR="0038515B" w:rsidRPr="00D8644C">
        <w:rPr>
          <w:rFonts w:asciiTheme="minorHAnsi" w:hAnsiTheme="minorHAnsi"/>
          <w:sz w:val="22"/>
          <w:szCs w:val="22"/>
        </w:rPr>
        <w:t xml:space="preserve"> </w:t>
      </w:r>
      <w:r w:rsidR="00D8644C" w:rsidRPr="00D8644C">
        <w:rPr>
          <w:rFonts w:asciiTheme="minorHAnsi" w:hAnsiTheme="minorHAnsi"/>
          <w:sz w:val="22"/>
          <w:szCs w:val="22"/>
        </w:rPr>
        <w:t>(</w:t>
      </w:r>
      <w:r w:rsidRPr="00D8644C">
        <w:rPr>
          <w:rFonts w:asciiTheme="minorHAnsi" w:hAnsiTheme="minorHAnsi"/>
          <w:sz w:val="22"/>
          <w:szCs w:val="22"/>
        </w:rPr>
        <w:t>2017</w:t>
      </w:r>
      <w:r w:rsidR="00D8644C" w:rsidRPr="00D8644C">
        <w:rPr>
          <w:rFonts w:asciiTheme="minorHAnsi" w:hAnsiTheme="minorHAnsi"/>
          <w:sz w:val="22"/>
          <w:szCs w:val="22"/>
        </w:rPr>
        <w:t>)</w:t>
      </w:r>
      <w:r w:rsidR="0038515B" w:rsidRPr="00D8644C">
        <w:rPr>
          <w:rFonts w:asciiTheme="minorHAnsi" w:hAnsiTheme="minorHAnsi"/>
          <w:sz w:val="22"/>
          <w:szCs w:val="22"/>
        </w:rPr>
        <w:t xml:space="preserve"> </w:t>
      </w:r>
      <w:r w:rsidR="00D8644C" w:rsidRPr="00D8644C">
        <w:rPr>
          <w:rFonts w:asciiTheme="minorHAnsi" w:hAnsiTheme="minorHAnsi"/>
          <w:sz w:val="22"/>
          <w:szCs w:val="22"/>
        </w:rPr>
        <w:t>Foot health education for people with rheumatoid arthritis’ PhD thesis</w:t>
      </w:r>
    </w:p>
    <w:p w14:paraId="57E08E6A" w14:textId="68BD3813" w:rsidR="006A58FC" w:rsidRPr="00851244" w:rsidRDefault="00EA394B" w:rsidP="00851244">
      <w:pPr>
        <w:pStyle w:val="EndNoteBibliography"/>
        <w:numPr>
          <w:ilvl w:val="0"/>
          <w:numId w:val="8"/>
        </w:numPr>
        <w:rPr>
          <w:rFonts w:asciiTheme="minorHAnsi" w:hAnsiTheme="minorHAnsi"/>
          <w:sz w:val="22"/>
          <w:szCs w:val="22"/>
        </w:rPr>
      </w:pPr>
      <w:r w:rsidRPr="00D8644C">
        <w:rPr>
          <w:rFonts w:asciiTheme="minorHAnsi" w:hAnsiTheme="minorHAnsi"/>
          <w:sz w:val="22"/>
          <w:szCs w:val="22"/>
        </w:rPr>
        <w:t>Health and Care Professions Council. Standards of Proficiency: Chiropodists/Podiatrists</w:t>
      </w:r>
      <w:r w:rsidRPr="00851244">
        <w:rPr>
          <w:rFonts w:asciiTheme="minorHAnsi" w:hAnsiTheme="minorHAnsi"/>
          <w:sz w:val="22"/>
          <w:szCs w:val="22"/>
        </w:rPr>
        <w:t xml:space="preserve">. 2014 Available from: </w:t>
      </w:r>
      <w:hyperlink r:id="rId14" w:history="1">
        <w:r w:rsidRPr="00851244">
          <w:rPr>
            <w:rStyle w:val="Hyperlink"/>
            <w:rFonts w:asciiTheme="minorHAnsi" w:hAnsiTheme="minorHAnsi"/>
            <w:sz w:val="22"/>
            <w:szCs w:val="22"/>
          </w:rPr>
          <w:t>http://www.hcpc-uk.org/publications/standards/index.asp?id=41</w:t>
        </w:r>
      </w:hyperlink>
      <w:r w:rsidRPr="00851244">
        <w:rPr>
          <w:rFonts w:asciiTheme="minorHAnsi" w:hAnsiTheme="minorHAnsi"/>
          <w:sz w:val="22"/>
          <w:szCs w:val="22"/>
        </w:rPr>
        <w:t xml:space="preserve"> [cited 2017 19th May];</w:t>
      </w:r>
    </w:p>
    <w:p w14:paraId="71616989" w14:textId="77777777" w:rsidR="00F1126E" w:rsidRPr="00F1126E" w:rsidRDefault="00F1126E" w:rsidP="00F1126E">
      <w:pPr>
        <w:pStyle w:val="ListParagraph"/>
        <w:numPr>
          <w:ilvl w:val="0"/>
          <w:numId w:val="8"/>
        </w:numPr>
        <w:spacing w:line="240" w:lineRule="auto"/>
        <w:rPr>
          <w:sz w:val="22"/>
          <w:szCs w:val="22"/>
        </w:rPr>
      </w:pPr>
      <w:r w:rsidRPr="00F1126E">
        <w:rPr>
          <w:rFonts w:cs="Times New Roman"/>
          <w:noProof/>
          <w:sz w:val="22"/>
          <w:szCs w:val="22"/>
          <w:lang w:eastAsia="en-GB"/>
        </w:rPr>
        <w:t>Ferguson R, Culliford D, Prieto-Alhambra D, Judge A, Delmestri A, Arden NK, Bowen CJ. The UK burden of foot and ankle pain on GPs: An observational overview. Journal of Foot and Ankle Research Supplements, The College of Podiatry Annual Conference, Liverpool Nov 2017.</w:t>
      </w:r>
    </w:p>
    <w:p w14:paraId="741BF154" w14:textId="411A93DF" w:rsidR="005D356E" w:rsidRPr="00851244" w:rsidRDefault="00143437" w:rsidP="00F1126E">
      <w:pPr>
        <w:pStyle w:val="ListParagraph"/>
        <w:numPr>
          <w:ilvl w:val="0"/>
          <w:numId w:val="8"/>
        </w:numPr>
        <w:spacing w:line="240" w:lineRule="auto"/>
        <w:rPr>
          <w:sz w:val="22"/>
          <w:szCs w:val="22"/>
        </w:rPr>
      </w:pPr>
      <w:r w:rsidRPr="00F1126E">
        <w:rPr>
          <w:rFonts w:cs="Times New Roman"/>
          <w:noProof/>
          <w:sz w:val="22"/>
          <w:szCs w:val="22"/>
          <w:lang w:eastAsia="en-GB"/>
        </w:rPr>
        <w:t xml:space="preserve">Larkin G: Regulating the Professions Allied to Medicine. In Saks M, Allsop J (Eds), </w:t>
      </w:r>
      <w:r w:rsidRPr="00851244">
        <w:rPr>
          <w:rFonts w:cs="Times New Roman"/>
          <w:noProof/>
          <w:sz w:val="22"/>
          <w:szCs w:val="22"/>
          <w:lang w:eastAsia="en-GB"/>
        </w:rPr>
        <w:t>Regulating the Health</w:t>
      </w:r>
      <w:r w:rsidR="00152830">
        <w:rPr>
          <w:rFonts w:cs="Times New Roman"/>
          <w:noProof/>
          <w:sz w:val="22"/>
          <w:szCs w:val="22"/>
          <w:lang w:eastAsia="en-GB"/>
        </w:rPr>
        <w:t xml:space="preserve"> Professions, London: Sage, </w:t>
      </w:r>
      <w:r w:rsidRPr="00851244">
        <w:rPr>
          <w:rFonts w:cs="Times New Roman"/>
          <w:noProof/>
          <w:sz w:val="22"/>
          <w:szCs w:val="22"/>
          <w:lang w:eastAsia="en-GB"/>
        </w:rPr>
        <w:t>2002.</w:t>
      </w:r>
    </w:p>
    <w:p w14:paraId="5832F6A9" w14:textId="3E9778DF" w:rsidR="00EA394B" w:rsidRPr="00851244" w:rsidRDefault="000E7C41"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Hendry GJ, Gibson KA, Pile K, Taylor L, Du Toit V, Burns J, Rome K. "They just scraped off the calluses": a mixed methods exploration of foot care access and provision for people with rheumatoid arthritis in south-western Sydney, Australia. J Foot Ankle Res. 2013a Aug 13;6(1):34.</w:t>
      </w:r>
    </w:p>
    <w:p w14:paraId="50751B7E" w14:textId="77777777" w:rsidR="00676358" w:rsidRPr="00851244" w:rsidRDefault="000E7C41"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Hendry GJ, Gibson KA, Pile K, Taylor L, du Toit V, Burns J, Rome K. Provision of foot health services for people with rheumatoid arthritis in New South Wales: a web-based survey of local podiatrists. J Foot Ankle Res. 2013b Aug 26;6(1):35.</w:t>
      </w:r>
    </w:p>
    <w:p w14:paraId="40B827F3" w14:textId="37AC96E7" w:rsidR="005D356E" w:rsidRPr="00851244" w:rsidRDefault="000E7C41"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Lansdowne N, Brenton-Rule A, Carroll M, Rome K. Perceived barriers to the management of foot health in patients with rheumatic conditions. J Foot Ankle Res. 2015 Apr 14;8:14.</w:t>
      </w:r>
    </w:p>
    <w:p w14:paraId="5B5350AC" w14:textId="5A556DAE" w:rsidR="00416C33" w:rsidRPr="00416C33" w:rsidRDefault="00416C33" w:rsidP="00643DE5">
      <w:pPr>
        <w:pStyle w:val="ListParagraph"/>
        <w:numPr>
          <w:ilvl w:val="0"/>
          <w:numId w:val="8"/>
        </w:numPr>
        <w:spacing w:line="240" w:lineRule="auto"/>
        <w:rPr>
          <w:rFonts w:cs="Times New Roman"/>
          <w:noProof/>
          <w:sz w:val="22"/>
          <w:szCs w:val="22"/>
          <w:lang w:eastAsia="en-GB"/>
        </w:rPr>
      </w:pPr>
      <w:r w:rsidRPr="00416C33">
        <w:rPr>
          <w:rFonts w:cs="Times New Roman"/>
          <w:noProof/>
          <w:sz w:val="22"/>
          <w:szCs w:val="22"/>
          <w:lang w:eastAsia="en-GB"/>
        </w:rPr>
        <w:t>Graham AS, Williams AE (2016) Foot Health Education for People with Rheumatoid A</w:t>
      </w:r>
      <w:r>
        <w:rPr>
          <w:rFonts w:cs="Times New Roman"/>
          <w:noProof/>
          <w:sz w:val="22"/>
          <w:szCs w:val="22"/>
          <w:lang w:eastAsia="en-GB"/>
        </w:rPr>
        <w:t>rthritis: ‘</w:t>
      </w:r>
      <w:r w:rsidRPr="00416C33">
        <w:rPr>
          <w:rFonts w:cs="Times New Roman"/>
          <w:noProof/>
          <w:sz w:val="22"/>
          <w:szCs w:val="22"/>
          <w:lang w:eastAsia="en-GB"/>
        </w:rPr>
        <w:t>A Game of Chance</w:t>
      </w:r>
      <w:r>
        <w:rPr>
          <w:rFonts w:cs="Times New Roman"/>
          <w:noProof/>
          <w:sz w:val="22"/>
          <w:szCs w:val="22"/>
          <w:lang w:eastAsia="en-GB"/>
        </w:rPr>
        <w:t xml:space="preserve">’ - </w:t>
      </w:r>
      <w:r w:rsidRPr="00416C33">
        <w:rPr>
          <w:rFonts w:cs="Times New Roman"/>
          <w:noProof/>
          <w:sz w:val="22"/>
          <w:szCs w:val="22"/>
          <w:lang w:eastAsia="en-GB"/>
        </w:rPr>
        <w:t>A Survey of Patients' Experiences, Musculoskeletal Care, Vol 14, Issue 1, p.</w:t>
      </w:r>
      <w:r>
        <w:rPr>
          <w:rFonts w:cs="Times New Roman"/>
          <w:noProof/>
          <w:sz w:val="22"/>
          <w:szCs w:val="22"/>
          <w:lang w:eastAsia="en-GB"/>
        </w:rPr>
        <w:t xml:space="preserve"> </w:t>
      </w:r>
      <w:r w:rsidRPr="00416C33">
        <w:rPr>
          <w:rFonts w:cs="Times New Roman"/>
          <w:noProof/>
          <w:sz w:val="22"/>
          <w:szCs w:val="22"/>
          <w:lang w:eastAsia="en-GB"/>
        </w:rPr>
        <w:t>37-46</w:t>
      </w:r>
    </w:p>
    <w:p w14:paraId="033EF25F" w14:textId="5CF093E3" w:rsidR="005D356E" w:rsidRPr="00851244" w:rsidRDefault="00EA394B" w:rsidP="00851244">
      <w:pPr>
        <w:pStyle w:val="ListParagraph"/>
        <w:numPr>
          <w:ilvl w:val="0"/>
          <w:numId w:val="8"/>
        </w:numPr>
        <w:spacing w:line="240" w:lineRule="auto"/>
        <w:rPr>
          <w:rFonts w:cs="Times New Roman"/>
          <w:noProof/>
          <w:sz w:val="22"/>
          <w:szCs w:val="22"/>
          <w:lang w:eastAsia="en-GB"/>
        </w:rPr>
      </w:pPr>
      <w:r w:rsidRPr="00851244">
        <w:rPr>
          <w:rFonts w:cs="Times New Roman"/>
          <w:noProof/>
          <w:sz w:val="22"/>
          <w:szCs w:val="22"/>
          <w:lang w:eastAsia="en-GB"/>
        </w:rPr>
        <w:t xml:space="preserve">Jones R, Lindsey L, Hanks C, McMullan </w:t>
      </w:r>
      <w:r w:rsidR="00265E69">
        <w:rPr>
          <w:rFonts w:cs="Times New Roman"/>
          <w:noProof/>
          <w:sz w:val="22"/>
          <w:szCs w:val="22"/>
          <w:lang w:eastAsia="en-GB"/>
        </w:rPr>
        <w:t>M</w:t>
      </w:r>
      <w:r w:rsidR="00636512">
        <w:rPr>
          <w:rFonts w:cs="Times New Roman"/>
          <w:noProof/>
          <w:sz w:val="22"/>
          <w:szCs w:val="22"/>
          <w:lang w:eastAsia="en-GB"/>
        </w:rPr>
        <w:t xml:space="preserve">, </w:t>
      </w:r>
      <w:r w:rsidR="00265E69">
        <w:rPr>
          <w:rFonts w:cs="Times New Roman"/>
          <w:noProof/>
          <w:sz w:val="22"/>
          <w:szCs w:val="22"/>
          <w:lang w:eastAsia="en-GB"/>
        </w:rPr>
        <w:t>Campbell J, Evans J, Cooke M</w:t>
      </w:r>
      <w:r w:rsidRPr="00851244">
        <w:rPr>
          <w:sz w:val="22"/>
          <w:szCs w:val="22"/>
        </w:rPr>
        <w:t xml:space="preserve"> </w:t>
      </w:r>
      <w:r w:rsidR="00265E69">
        <w:rPr>
          <w:sz w:val="22"/>
          <w:szCs w:val="22"/>
        </w:rPr>
        <w:t>(</w:t>
      </w:r>
      <w:r w:rsidRPr="00851244">
        <w:rPr>
          <w:sz w:val="22"/>
          <w:szCs w:val="22"/>
        </w:rPr>
        <w:t>2005</w:t>
      </w:r>
      <w:r w:rsidR="00265E69">
        <w:rPr>
          <w:sz w:val="22"/>
          <w:szCs w:val="22"/>
        </w:rPr>
        <w:t>)</w:t>
      </w:r>
      <w:r w:rsidRPr="00851244">
        <w:t xml:space="preserve"> </w:t>
      </w:r>
      <w:r w:rsidRPr="00851244">
        <w:rPr>
          <w:rFonts w:cs="Times New Roman"/>
          <w:noProof/>
          <w:sz w:val="22"/>
          <w:szCs w:val="22"/>
          <w:lang w:eastAsia="en-GB"/>
        </w:rPr>
        <w:t>Best Foot Forward: Older people and foot care Help the Aged, University of Plymouth, University College Northampton, 2005</w:t>
      </w:r>
    </w:p>
    <w:p w14:paraId="4914561A" w14:textId="18C2DE94" w:rsidR="005D356E" w:rsidRPr="00851244" w:rsidRDefault="00F95BC9" w:rsidP="00851244">
      <w:pPr>
        <w:pStyle w:val="ListParagraph"/>
        <w:numPr>
          <w:ilvl w:val="0"/>
          <w:numId w:val="8"/>
        </w:numPr>
        <w:spacing w:line="240" w:lineRule="auto"/>
        <w:rPr>
          <w:rFonts w:cs="Times New Roman"/>
          <w:noProof/>
          <w:sz w:val="22"/>
          <w:szCs w:val="22"/>
          <w:lang w:eastAsia="en-GB"/>
        </w:rPr>
      </w:pPr>
      <w:r w:rsidRPr="00851244">
        <w:rPr>
          <w:sz w:val="22"/>
          <w:szCs w:val="22"/>
        </w:rPr>
        <w:t>Campbell, JA (</w:t>
      </w:r>
      <w:r w:rsidR="005D356E" w:rsidRPr="00851244">
        <w:rPr>
          <w:sz w:val="22"/>
          <w:szCs w:val="22"/>
        </w:rPr>
        <w:t>2007)</w:t>
      </w:r>
      <w:r w:rsidRPr="00851244">
        <w:t xml:space="preserve"> </w:t>
      </w:r>
      <w:r w:rsidRPr="00851244">
        <w:rPr>
          <w:rFonts w:cs="Times New Roman"/>
          <w:noProof/>
          <w:sz w:val="22"/>
          <w:szCs w:val="22"/>
          <w:lang w:eastAsia="en-GB"/>
        </w:rPr>
        <w:t>Modelling deterioration of foot health in older people following discharge from NHS podiatry services, The Foot, Vol. 17, Issue 2, p76–83, June 2007</w:t>
      </w:r>
    </w:p>
    <w:p w14:paraId="568FC0F3" w14:textId="3D512EFB" w:rsidR="005D356E" w:rsidRDefault="00F95BC9" w:rsidP="005E1B03">
      <w:pPr>
        <w:pStyle w:val="EndNoteBibliography"/>
        <w:numPr>
          <w:ilvl w:val="0"/>
          <w:numId w:val="8"/>
        </w:numPr>
        <w:rPr>
          <w:rFonts w:asciiTheme="minorHAnsi" w:hAnsiTheme="minorHAnsi"/>
          <w:sz w:val="22"/>
          <w:szCs w:val="22"/>
        </w:rPr>
      </w:pPr>
      <w:r w:rsidRPr="00851244">
        <w:rPr>
          <w:rFonts w:asciiTheme="minorHAnsi" w:hAnsiTheme="minorHAnsi"/>
          <w:sz w:val="22"/>
          <w:szCs w:val="22"/>
        </w:rPr>
        <w:t>Campbell, JA, Patterson, A, Milns, GD, Turner, W, White, D, Luxton, DEA, Cooke M (2002) What happens when older people are discharged from NHS podiatry services?</w:t>
      </w:r>
      <w:r w:rsidR="005E1B03">
        <w:rPr>
          <w:rFonts w:asciiTheme="minorHAnsi" w:hAnsiTheme="minorHAnsi"/>
          <w:sz w:val="22"/>
          <w:szCs w:val="22"/>
        </w:rPr>
        <w:t xml:space="preserve"> The Foot,</w:t>
      </w:r>
      <w:r w:rsidRPr="00851244">
        <w:rPr>
          <w:rFonts w:asciiTheme="minorHAnsi" w:hAnsiTheme="minorHAnsi"/>
          <w:sz w:val="22"/>
          <w:szCs w:val="22"/>
        </w:rPr>
        <w:t xml:space="preserve"> </w:t>
      </w:r>
      <w:r w:rsidR="005E1B03" w:rsidRPr="005E1B03">
        <w:rPr>
          <w:rFonts w:asciiTheme="minorHAnsi" w:hAnsiTheme="minorHAnsi"/>
          <w:sz w:val="22"/>
          <w:szCs w:val="22"/>
        </w:rPr>
        <w:t>Vol</w:t>
      </w:r>
      <w:r w:rsidR="005E1B03">
        <w:rPr>
          <w:rFonts w:asciiTheme="minorHAnsi" w:hAnsiTheme="minorHAnsi"/>
          <w:sz w:val="22"/>
          <w:szCs w:val="22"/>
        </w:rPr>
        <w:t xml:space="preserve">. </w:t>
      </w:r>
      <w:r w:rsidR="005E1B03" w:rsidRPr="005E1B03">
        <w:rPr>
          <w:rFonts w:asciiTheme="minorHAnsi" w:hAnsiTheme="minorHAnsi"/>
          <w:sz w:val="22"/>
          <w:szCs w:val="22"/>
        </w:rPr>
        <w:t>12, Issue 1, Pages 32-42</w:t>
      </w:r>
      <w:r w:rsidRPr="00851244">
        <w:rPr>
          <w:rFonts w:asciiTheme="minorHAnsi" w:hAnsiTheme="minorHAnsi"/>
          <w:sz w:val="22"/>
          <w:szCs w:val="22"/>
        </w:rPr>
        <w:t xml:space="preserve"> </w:t>
      </w:r>
    </w:p>
    <w:p w14:paraId="418E8871" w14:textId="09518EF6" w:rsidR="003E6F6A" w:rsidRPr="000A0175" w:rsidRDefault="003E6F6A" w:rsidP="003E6F6A">
      <w:pPr>
        <w:pStyle w:val="EndNoteBibliography"/>
        <w:numPr>
          <w:ilvl w:val="0"/>
          <w:numId w:val="8"/>
        </w:numPr>
        <w:rPr>
          <w:rFonts w:asciiTheme="minorHAnsi" w:hAnsiTheme="minorHAnsi"/>
          <w:sz w:val="22"/>
          <w:szCs w:val="22"/>
        </w:rPr>
      </w:pPr>
      <w:r w:rsidRPr="003E6F6A">
        <w:rPr>
          <w:rFonts w:asciiTheme="minorHAnsi" w:hAnsiTheme="minorHAnsi"/>
          <w:sz w:val="22"/>
          <w:szCs w:val="22"/>
        </w:rPr>
        <w:t>Vernon</w:t>
      </w:r>
      <w:r>
        <w:rPr>
          <w:rFonts w:asciiTheme="minorHAnsi" w:hAnsiTheme="minorHAnsi"/>
          <w:sz w:val="22"/>
          <w:szCs w:val="22"/>
        </w:rPr>
        <w:t xml:space="preserve"> W</w:t>
      </w:r>
      <w:r w:rsidRPr="003E6F6A">
        <w:rPr>
          <w:rFonts w:asciiTheme="minorHAnsi" w:hAnsiTheme="minorHAnsi"/>
          <w:sz w:val="22"/>
          <w:szCs w:val="22"/>
        </w:rPr>
        <w:t>, Borthwick</w:t>
      </w:r>
      <w:r>
        <w:rPr>
          <w:rFonts w:asciiTheme="minorHAnsi" w:hAnsiTheme="minorHAnsi"/>
          <w:sz w:val="22"/>
          <w:szCs w:val="22"/>
        </w:rPr>
        <w:t xml:space="preserve"> A, </w:t>
      </w:r>
      <w:r w:rsidRPr="003E6F6A">
        <w:rPr>
          <w:rFonts w:asciiTheme="minorHAnsi" w:hAnsiTheme="minorHAnsi"/>
          <w:sz w:val="22"/>
          <w:szCs w:val="22"/>
        </w:rPr>
        <w:t>Walker</w:t>
      </w:r>
      <w:r>
        <w:rPr>
          <w:rFonts w:asciiTheme="minorHAnsi" w:hAnsiTheme="minorHAnsi"/>
          <w:sz w:val="22"/>
          <w:szCs w:val="22"/>
        </w:rPr>
        <w:t xml:space="preserve"> J</w:t>
      </w:r>
      <w:r w:rsidRPr="003E6F6A">
        <w:rPr>
          <w:rFonts w:asciiTheme="minorHAnsi" w:hAnsiTheme="minorHAnsi"/>
          <w:sz w:val="22"/>
          <w:szCs w:val="22"/>
        </w:rPr>
        <w:t xml:space="preserve"> (2011) The management of foot problems in the older person </w:t>
      </w:r>
      <w:r w:rsidRPr="000A0175">
        <w:rPr>
          <w:rFonts w:asciiTheme="minorHAnsi" w:hAnsiTheme="minorHAnsi"/>
          <w:sz w:val="22"/>
          <w:szCs w:val="22"/>
        </w:rPr>
        <w:t>through podiatry services, Reviews in Clinical Gerontology, Volume 21, Issue 4, pp. 331-339</w:t>
      </w:r>
    </w:p>
    <w:p w14:paraId="24B20C3F" w14:textId="77777777" w:rsidR="000A0175" w:rsidRPr="000A0175" w:rsidRDefault="005E1B03" w:rsidP="000A0175">
      <w:pPr>
        <w:pStyle w:val="EndNoteBibliography"/>
        <w:numPr>
          <w:ilvl w:val="0"/>
          <w:numId w:val="8"/>
        </w:numPr>
        <w:rPr>
          <w:rFonts w:asciiTheme="minorHAnsi" w:hAnsiTheme="minorHAnsi"/>
          <w:sz w:val="22"/>
          <w:szCs w:val="22"/>
        </w:rPr>
      </w:pPr>
      <w:r w:rsidRPr="000A0175">
        <w:rPr>
          <w:rFonts w:asciiTheme="minorHAnsi" w:hAnsiTheme="minorHAnsi"/>
          <w:sz w:val="22"/>
          <w:szCs w:val="22"/>
        </w:rPr>
        <w:t xml:space="preserve">NHS England’s (Five Year Forward View 2014) </w:t>
      </w:r>
    </w:p>
    <w:p w14:paraId="40DB478D" w14:textId="5D8C9710" w:rsidR="004B7816" w:rsidRPr="000A0175" w:rsidRDefault="004B7816" w:rsidP="000A0175">
      <w:pPr>
        <w:pStyle w:val="EndNoteBibliography"/>
        <w:numPr>
          <w:ilvl w:val="0"/>
          <w:numId w:val="8"/>
        </w:numPr>
        <w:rPr>
          <w:rFonts w:asciiTheme="minorHAnsi" w:hAnsiTheme="minorHAnsi"/>
          <w:sz w:val="22"/>
          <w:szCs w:val="22"/>
        </w:rPr>
      </w:pPr>
      <w:r w:rsidRPr="000A0175">
        <w:rPr>
          <w:rFonts w:asciiTheme="minorHAnsi" w:hAnsiTheme="minorHAnsi"/>
          <w:sz w:val="22"/>
          <w:szCs w:val="22"/>
        </w:rPr>
        <w:t>Williams A, Graham A (2013) My feet – visible but ignored…’A qualitative study of foot care for people with rheumatoid arthritis’ Clin Rehabil online 24 Jan 2012</w:t>
      </w:r>
    </w:p>
    <w:p w14:paraId="0D7071CA" w14:textId="29ADE785" w:rsidR="005D356E" w:rsidRPr="000A0175" w:rsidRDefault="000E7C41" w:rsidP="00851244">
      <w:pPr>
        <w:pStyle w:val="EndNoteBibliography"/>
        <w:numPr>
          <w:ilvl w:val="0"/>
          <w:numId w:val="8"/>
        </w:numPr>
        <w:rPr>
          <w:rFonts w:asciiTheme="minorHAnsi" w:hAnsiTheme="minorHAnsi"/>
          <w:sz w:val="22"/>
          <w:szCs w:val="22"/>
        </w:rPr>
      </w:pPr>
      <w:r w:rsidRPr="000A0175">
        <w:rPr>
          <w:rFonts w:asciiTheme="minorHAnsi" w:hAnsiTheme="minorHAnsi"/>
          <w:sz w:val="22"/>
          <w:szCs w:val="22"/>
        </w:rPr>
        <w:t>Redmond AC, Waxman R, Helliwell PS: Provision of foot health services in rheumatology in the UK. Rheumat</w:t>
      </w:r>
      <w:r w:rsidR="000A0175" w:rsidRPr="000A0175">
        <w:rPr>
          <w:rFonts w:asciiTheme="minorHAnsi" w:hAnsiTheme="minorHAnsi"/>
          <w:sz w:val="22"/>
          <w:szCs w:val="22"/>
        </w:rPr>
        <w:t>ology (Oxford) 2006, 45:571-576</w:t>
      </w:r>
    </w:p>
    <w:p w14:paraId="323B355E" w14:textId="6AC2AD0B" w:rsidR="005D356E" w:rsidRPr="000A0175" w:rsidRDefault="008B189D" w:rsidP="00851244">
      <w:pPr>
        <w:pStyle w:val="EndNoteBibliography"/>
        <w:numPr>
          <w:ilvl w:val="0"/>
          <w:numId w:val="8"/>
        </w:numPr>
        <w:rPr>
          <w:rFonts w:asciiTheme="minorHAnsi" w:hAnsiTheme="minorHAnsi"/>
          <w:sz w:val="22"/>
          <w:szCs w:val="22"/>
        </w:rPr>
      </w:pPr>
      <w:r w:rsidRPr="000A0175">
        <w:rPr>
          <w:rFonts w:asciiTheme="minorHAnsi" w:hAnsiTheme="minorHAnsi"/>
          <w:sz w:val="22"/>
          <w:szCs w:val="22"/>
        </w:rPr>
        <w:t>Roddy E, Muller S, Rome K, Chandratre P, Hider SL, Richardson J, Blagojevic-Bucknall M, Mallen CD: Foot problems in people with gout in primary care: baseline findings from a prospective cohort study. Journal of Foot and Ankle Research 2015, 8:31.</w:t>
      </w:r>
    </w:p>
    <w:p w14:paraId="2DB74C9A" w14:textId="698B7C21" w:rsidR="005D356E" w:rsidRPr="008F48EB" w:rsidRDefault="001961D7" w:rsidP="008F48EB">
      <w:pPr>
        <w:pStyle w:val="EndNoteBibliography"/>
        <w:numPr>
          <w:ilvl w:val="0"/>
          <w:numId w:val="8"/>
        </w:numPr>
        <w:rPr>
          <w:rFonts w:asciiTheme="minorHAnsi" w:hAnsiTheme="minorHAnsi"/>
          <w:sz w:val="22"/>
          <w:szCs w:val="22"/>
        </w:rPr>
      </w:pPr>
      <w:r w:rsidRPr="000A0175">
        <w:rPr>
          <w:rFonts w:asciiTheme="minorHAnsi" w:hAnsiTheme="minorHAnsi"/>
          <w:sz w:val="22"/>
          <w:szCs w:val="22"/>
        </w:rPr>
        <w:t xml:space="preserve">NICE guidelines </w:t>
      </w:r>
      <w:r w:rsidR="005D356E" w:rsidRPr="000A0175">
        <w:rPr>
          <w:rFonts w:asciiTheme="minorHAnsi" w:hAnsiTheme="minorHAnsi"/>
          <w:sz w:val="22"/>
          <w:szCs w:val="22"/>
        </w:rPr>
        <w:t>(</w:t>
      </w:r>
      <w:r w:rsidR="00566BE2" w:rsidRPr="000A0175">
        <w:rPr>
          <w:rFonts w:asciiTheme="minorHAnsi" w:hAnsiTheme="minorHAnsi"/>
          <w:sz w:val="22"/>
          <w:szCs w:val="22"/>
        </w:rPr>
        <w:t xml:space="preserve">CG79 Rheumatoid arthritis in </w:t>
      </w:r>
      <w:r w:rsidR="00566BE2" w:rsidRPr="008F48EB">
        <w:rPr>
          <w:rFonts w:asciiTheme="minorHAnsi" w:hAnsiTheme="minorHAnsi"/>
          <w:sz w:val="22"/>
          <w:szCs w:val="22"/>
        </w:rPr>
        <w:t>adults: management Clinical Guideline 79, Published February 2009, Last updated December 2015 and QS33 Rheumatoid arthritis in over 16s, Quality Standard 33, Published June 2013</w:t>
      </w:r>
    </w:p>
    <w:p w14:paraId="44029E28" w14:textId="31F70860" w:rsidR="005D356E" w:rsidRPr="00851244" w:rsidRDefault="00C06147" w:rsidP="00851244">
      <w:pPr>
        <w:pStyle w:val="EndNoteBibliography"/>
        <w:numPr>
          <w:ilvl w:val="0"/>
          <w:numId w:val="8"/>
        </w:numPr>
        <w:rPr>
          <w:rFonts w:asciiTheme="minorHAnsi" w:hAnsiTheme="minorHAnsi"/>
          <w:sz w:val="22"/>
          <w:szCs w:val="22"/>
        </w:rPr>
      </w:pPr>
      <w:r>
        <w:rPr>
          <w:rFonts w:asciiTheme="minorHAnsi" w:hAnsiTheme="minorHAnsi"/>
          <w:sz w:val="22"/>
          <w:szCs w:val="22"/>
        </w:rPr>
        <w:t xml:space="preserve">Williams </w:t>
      </w:r>
      <w:r w:rsidRPr="00EA394B">
        <w:rPr>
          <w:rFonts w:asciiTheme="minorHAnsi" w:hAnsiTheme="minorHAnsi"/>
          <w:sz w:val="22"/>
          <w:szCs w:val="22"/>
        </w:rPr>
        <w:t>A</w:t>
      </w:r>
      <w:r>
        <w:rPr>
          <w:rFonts w:asciiTheme="minorHAnsi" w:hAnsiTheme="minorHAnsi"/>
          <w:sz w:val="22"/>
          <w:szCs w:val="22"/>
        </w:rPr>
        <w:t>E</w:t>
      </w:r>
      <w:r w:rsidRPr="00EA394B">
        <w:rPr>
          <w:rFonts w:asciiTheme="minorHAnsi" w:hAnsiTheme="minorHAnsi"/>
          <w:sz w:val="22"/>
          <w:szCs w:val="22"/>
        </w:rPr>
        <w:t>, Graham</w:t>
      </w:r>
      <w:r>
        <w:rPr>
          <w:rFonts w:asciiTheme="minorHAnsi" w:hAnsiTheme="minorHAnsi"/>
          <w:sz w:val="22"/>
          <w:szCs w:val="22"/>
        </w:rPr>
        <w:t xml:space="preserve"> AS</w:t>
      </w:r>
      <w:r w:rsidRPr="00EA394B">
        <w:rPr>
          <w:rFonts w:asciiTheme="minorHAnsi" w:hAnsiTheme="minorHAnsi"/>
          <w:sz w:val="22"/>
          <w:szCs w:val="22"/>
        </w:rPr>
        <w:t>, Davies</w:t>
      </w:r>
      <w:r>
        <w:rPr>
          <w:rFonts w:asciiTheme="minorHAnsi" w:hAnsiTheme="minorHAnsi"/>
          <w:sz w:val="22"/>
          <w:szCs w:val="22"/>
        </w:rPr>
        <w:t xml:space="preserve"> S, </w:t>
      </w:r>
      <w:r w:rsidRPr="00EA394B">
        <w:rPr>
          <w:rFonts w:asciiTheme="minorHAnsi" w:hAnsiTheme="minorHAnsi"/>
          <w:sz w:val="22"/>
          <w:szCs w:val="22"/>
        </w:rPr>
        <w:t xml:space="preserve">Bowen </w:t>
      </w:r>
      <w:r>
        <w:rPr>
          <w:rFonts w:asciiTheme="minorHAnsi" w:hAnsiTheme="minorHAnsi"/>
          <w:sz w:val="22"/>
          <w:szCs w:val="22"/>
        </w:rPr>
        <w:t xml:space="preserve">C </w:t>
      </w:r>
      <w:r w:rsidRPr="00EA394B">
        <w:rPr>
          <w:rFonts w:asciiTheme="minorHAnsi" w:hAnsiTheme="minorHAnsi"/>
          <w:sz w:val="22"/>
          <w:szCs w:val="22"/>
        </w:rPr>
        <w:t>(2013) ‘Guidelines for the management of people with foot health problems related to rheumatoid arthritis: a survey of their use in podiatry practice’ Journal of Foot and Ankle Research, 6:23</w:t>
      </w:r>
    </w:p>
    <w:p w14:paraId="5303125A" w14:textId="5D9A5083" w:rsidR="005D356E" w:rsidRPr="00851244" w:rsidRDefault="008B189D"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 xml:space="preserve">Rome K, Erikson K, Ng A, Gow PJ, Sahid H, Williams AE. </w:t>
      </w:r>
      <w:r w:rsidR="00BD4422">
        <w:rPr>
          <w:rFonts w:asciiTheme="minorHAnsi" w:hAnsiTheme="minorHAnsi"/>
          <w:sz w:val="22"/>
          <w:szCs w:val="22"/>
        </w:rPr>
        <w:t>(</w:t>
      </w:r>
      <w:r w:rsidR="00BD4422" w:rsidRPr="00851244">
        <w:rPr>
          <w:rFonts w:asciiTheme="minorHAnsi" w:hAnsiTheme="minorHAnsi"/>
          <w:sz w:val="22"/>
          <w:szCs w:val="22"/>
        </w:rPr>
        <w:t>2013</w:t>
      </w:r>
      <w:r w:rsidR="00BD4422">
        <w:rPr>
          <w:rFonts w:asciiTheme="minorHAnsi" w:hAnsiTheme="minorHAnsi"/>
          <w:sz w:val="22"/>
          <w:szCs w:val="22"/>
        </w:rPr>
        <w:t xml:space="preserve">) </w:t>
      </w:r>
      <w:r w:rsidRPr="00851244">
        <w:rPr>
          <w:rFonts w:asciiTheme="minorHAnsi" w:hAnsiTheme="minorHAnsi"/>
          <w:sz w:val="22"/>
          <w:szCs w:val="22"/>
        </w:rPr>
        <w:t>A new podiatry service for pat</w:t>
      </w:r>
      <w:r w:rsidR="00BD4422">
        <w:rPr>
          <w:rFonts w:asciiTheme="minorHAnsi" w:hAnsiTheme="minorHAnsi"/>
          <w:sz w:val="22"/>
          <w:szCs w:val="22"/>
        </w:rPr>
        <w:t>ients with arthritis. N Z Med J</w:t>
      </w:r>
      <w:r w:rsidRPr="00851244">
        <w:rPr>
          <w:rFonts w:asciiTheme="minorHAnsi" w:hAnsiTheme="minorHAnsi"/>
          <w:sz w:val="22"/>
          <w:szCs w:val="22"/>
        </w:rPr>
        <w:t>;</w:t>
      </w:r>
      <w:r w:rsidR="00BD4422">
        <w:rPr>
          <w:rFonts w:asciiTheme="minorHAnsi" w:hAnsiTheme="minorHAnsi"/>
          <w:sz w:val="22"/>
          <w:szCs w:val="22"/>
        </w:rPr>
        <w:t xml:space="preserve"> </w:t>
      </w:r>
      <w:r w:rsidRPr="00851244">
        <w:rPr>
          <w:rFonts w:asciiTheme="minorHAnsi" w:hAnsiTheme="minorHAnsi"/>
          <w:sz w:val="22"/>
          <w:szCs w:val="22"/>
        </w:rPr>
        <w:t>126:70–7.</w:t>
      </w:r>
    </w:p>
    <w:p w14:paraId="1496FC44" w14:textId="41DFBF2B" w:rsidR="005D356E" w:rsidRPr="00851244" w:rsidRDefault="00EA394B"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Graham AS, Williams AE. Foot health education provision for people with rheumatoid arthritis</w:t>
      </w:r>
      <w:r w:rsidR="00851244">
        <w:rPr>
          <w:rFonts w:asciiTheme="minorHAnsi" w:hAnsiTheme="minorHAnsi"/>
          <w:sz w:val="22"/>
          <w:szCs w:val="22"/>
        </w:rPr>
        <w:t xml:space="preserve"> </w:t>
      </w:r>
      <w:r w:rsidRPr="00851244">
        <w:rPr>
          <w:rFonts w:asciiTheme="minorHAnsi" w:hAnsiTheme="minorHAnsi"/>
          <w:sz w:val="22"/>
          <w:szCs w:val="22"/>
        </w:rPr>
        <w:t>-</w:t>
      </w:r>
      <w:r w:rsidR="00851244">
        <w:rPr>
          <w:rFonts w:asciiTheme="minorHAnsi" w:hAnsiTheme="minorHAnsi"/>
          <w:sz w:val="22"/>
          <w:szCs w:val="22"/>
        </w:rPr>
        <w:t xml:space="preserve"> </w:t>
      </w:r>
      <w:r w:rsidRPr="00851244">
        <w:rPr>
          <w:rFonts w:asciiTheme="minorHAnsi" w:hAnsiTheme="minorHAnsi"/>
          <w:sz w:val="22"/>
          <w:szCs w:val="22"/>
        </w:rPr>
        <w:t>an online survey of UK podiatrists’ perceptions. J Foot Ankle Res. 2016; 9:13.</w:t>
      </w:r>
    </w:p>
    <w:p w14:paraId="25197A12" w14:textId="55E0FB06" w:rsidR="008B189D" w:rsidRDefault="000E7C41" w:rsidP="00851244">
      <w:pPr>
        <w:pStyle w:val="EndNoteBibliography"/>
        <w:numPr>
          <w:ilvl w:val="0"/>
          <w:numId w:val="8"/>
        </w:numPr>
        <w:rPr>
          <w:rFonts w:asciiTheme="minorHAnsi" w:hAnsiTheme="minorHAnsi"/>
          <w:sz w:val="22"/>
          <w:szCs w:val="22"/>
        </w:rPr>
      </w:pPr>
      <w:r w:rsidRPr="00851244">
        <w:rPr>
          <w:rFonts w:asciiTheme="minorHAnsi" w:hAnsiTheme="minorHAnsi"/>
          <w:sz w:val="22"/>
          <w:szCs w:val="22"/>
        </w:rPr>
        <w:t>Rastrick</w:t>
      </w:r>
      <w:r w:rsidR="00152830">
        <w:rPr>
          <w:rFonts w:asciiTheme="minorHAnsi" w:hAnsiTheme="minorHAnsi"/>
          <w:sz w:val="22"/>
          <w:szCs w:val="22"/>
        </w:rPr>
        <w:t>,</w:t>
      </w:r>
      <w:r w:rsidRPr="00851244">
        <w:rPr>
          <w:rFonts w:asciiTheme="minorHAnsi" w:hAnsiTheme="minorHAnsi"/>
          <w:sz w:val="22"/>
          <w:szCs w:val="22"/>
        </w:rPr>
        <w:t xml:space="preserve"> S (2017) AHPs into Action</w:t>
      </w:r>
      <w:r w:rsidR="00130105">
        <w:rPr>
          <w:rFonts w:asciiTheme="minorHAnsi" w:hAnsiTheme="minorHAnsi"/>
          <w:sz w:val="22"/>
          <w:szCs w:val="22"/>
        </w:rPr>
        <w:t xml:space="preserve">: </w:t>
      </w:r>
      <w:r w:rsidR="00152830">
        <w:rPr>
          <w:rFonts w:asciiTheme="minorHAnsi" w:hAnsiTheme="minorHAnsi"/>
          <w:sz w:val="22"/>
          <w:szCs w:val="22"/>
        </w:rPr>
        <w:t>Using Allied Health Professionals to Transform Health, Care &amp; Wellbeing</w:t>
      </w:r>
      <w:r w:rsidR="00C13A19">
        <w:rPr>
          <w:rFonts w:asciiTheme="minorHAnsi" w:hAnsiTheme="minorHAnsi"/>
          <w:sz w:val="22"/>
          <w:szCs w:val="22"/>
        </w:rPr>
        <w:t>, NHS England</w:t>
      </w:r>
    </w:p>
    <w:p w14:paraId="280C230D" w14:textId="4767E19B" w:rsidR="00BD4422" w:rsidRDefault="00BD4422" w:rsidP="00BD4422">
      <w:pPr>
        <w:pStyle w:val="EndNoteBibliography"/>
        <w:numPr>
          <w:ilvl w:val="0"/>
          <w:numId w:val="8"/>
        </w:numPr>
        <w:rPr>
          <w:rFonts w:asciiTheme="minorHAnsi" w:hAnsiTheme="minorHAnsi"/>
          <w:sz w:val="22"/>
          <w:szCs w:val="22"/>
        </w:rPr>
      </w:pPr>
      <w:r w:rsidRPr="00BD4422">
        <w:rPr>
          <w:rFonts w:asciiTheme="minorHAnsi" w:hAnsiTheme="minorHAnsi"/>
          <w:sz w:val="22"/>
          <w:szCs w:val="22"/>
        </w:rPr>
        <w:t>Ndosi M, Ferguson R, Backhouse MR, Bearne L, Ainsworth P, Roach A, Dennison E, Cherry L (2017) National variation in the composition of rheumatology multidisciplinary teams: a cross-sectional study, Rheumatology International</w:t>
      </w:r>
      <w:r>
        <w:rPr>
          <w:rFonts w:asciiTheme="minorHAnsi" w:hAnsiTheme="minorHAnsi"/>
          <w:sz w:val="22"/>
          <w:szCs w:val="22"/>
        </w:rPr>
        <w:t>;</w:t>
      </w:r>
      <w:r w:rsidRPr="00BD4422">
        <w:rPr>
          <w:rFonts w:asciiTheme="minorHAnsi" w:hAnsiTheme="minorHAnsi"/>
          <w:sz w:val="22"/>
          <w:szCs w:val="22"/>
        </w:rPr>
        <w:t xml:space="preserve"> Vol 37, Issue 9,  pp 1453–1459</w:t>
      </w:r>
    </w:p>
    <w:p w14:paraId="7746D5B7" w14:textId="3DE818AA" w:rsidR="00C72705" w:rsidRPr="00BD4422" w:rsidRDefault="00C72705" w:rsidP="00C72705">
      <w:pPr>
        <w:pStyle w:val="EndNoteBibliography"/>
        <w:numPr>
          <w:ilvl w:val="0"/>
          <w:numId w:val="8"/>
        </w:numPr>
        <w:rPr>
          <w:rFonts w:asciiTheme="minorHAnsi" w:hAnsiTheme="minorHAnsi"/>
          <w:sz w:val="22"/>
          <w:szCs w:val="22"/>
        </w:rPr>
      </w:pPr>
      <w:r w:rsidRPr="00C72705">
        <w:rPr>
          <w:rFonts w:asciiTheme="minorHAnsi" w:hAnsiTheme="minorHAnsi"/>
          <w:sz w:val="22"/>
          <w:szCs w:val="22"/>
        </w:rPr>
        <w:t xml:space="preserve">Hansard - Westminster Hall, Column 281WH, 4 Dec 2013 : Column 257WH  </w:t>
      </w:r>
    </w:p>
    <w:p w14:paraId="330B0234" w14:textId="577A532C" w:rsidR="00BD4422" w:rsidRPr="00851244" w:rsidRDefault="00BD4422" w:rsidP="00BD4422">
      <w:pPr>
        <w:pStyle w:val="EndNoteBibliography"/>
        <w:ind w:left="720"/>
        <w:rPr>
          <w:rFonts w:asciiTheme="minorHAnsi" w:hAnsiTheme="minorHAnsi"/>
          <w:sz w:val="22"/>
          <w:szCs w:val="22"/>
        </w:rPr>
      </w:pPr>
    </w:p>
    <w:sectPr w:rsidR="00BD4422" w:rsidRPr="00851244" w:rsidSect="0014057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20AB" w14:textId="77777777" w:rsidR="00355E7C" w:rsidRDefault="00355E7C" w:rsidP="00254AFF">
      <w:pPr>
        <w:spacing w:line="240" w:lineRule="auto"/>
      </w:pPr>
      <w:r>
        <w:separator/>
      </w:r>
    </w:p>
  </w:endnote>
  <w:endnote w:type="continuationSeparator" w:id="0">
    <w:p w14:paraId="1F09F9F4" w14:textId="77777777" w:rsidR="00355E7C" w:rsidRDefault="00355E7C" w:rsidP="00254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6DCAD" w14:textId="77777777" w:rsidR="00355E7C" w:rsidRDefault="00355E7C" w:rsidP="00254AFF">
      <w:pPr>
        <w:spacing w:line="240" w:lineRule="auto"/>
      </w:pPr>
      <w:r>
        <w:separator/>
      </w:r>
    </w:p>
  </w:footnote>
  <w:footnote w:type="continuationSeparator" w:id="0">
    <w:p w14:paraId="2330BF90" w14:textId="77777777" w:rsidR="00355E7C" w:rsidRDefault="00355E7C" w:rsidP="00254A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6E81"/>
    <w:multiLevelType w:val="hybridMultilevel"/>
    <w:tmpl w:val="F3D83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07727"/>
    <w:multiLevelType w:val="hybridMultilevel"/>
    <w:tmpl w:val="ADAC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D400B"/>
    <w:multiLevelType w:val="hybridMultilevel"/>
    <w:tmpl w:val="338C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51A65"/>
    <w:multiLevelType w:val="hybridMultilevel"/>
    <w:tmpl w:val="BA68B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37E87"/>
    <w:multiLevelType w:val="hybridMultilevel"/>
    <w:tmpl w:val="AFA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22B14"/>
    <w:multiLevelType w:val="hybridMultilevel"/>
    <w:tmpl w:val="CFC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46DD0"/>
    <w:multiLevelType w:val="hybridMultilevel"/>
    <w:tmpl w:val="405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D0E11"/>
    <w:multiLevelType w:val="hybridMultilevel"/>
    <w:tmpl w:val="958A3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732E9F"/>
    <w:multiLevelType w:val="hybridMultilevel"/>
    <w:tmpl w:val="756C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E"/>
    <w:rsid w:val="000119CE"/>
    <w:rsid w:val="00012822"/>
    <w:rsid w:val="0001485E"/>
    <w:rsid w:val="00015813"/>
    <w:rsid w:val="00021E10"/>
    <w:rsid w:val="000228F4"/>
    <w:rsid w:val="00025522"/>
    <w:rsid w:val="0002740E"/>
    <w:rsid w:val="00057219"/>
    <w:rsid w:val="000650A6"/>
    <w:rsid w:val="00067B26"/>
    <w:rsid w:val="00086688"/>
    <w:rsid w:val="00086A76"/>
    <w:rsid w:val="00092FB7"/>
    <w:rsid w:val="00093458"/>
    <w:rsid w:val="00093488"/>
    <w:rsid w:val="000A0175"/>
    <w:rsid w:val="000A654A"/>
    <w:rsid w:val="000B1197"/>
    <w:rsid w:val="000C2F82"/>
    <w:rsid w:val="000C737F"/>
    <w:rsid w:val="000C7F20"/>
    <w:rsid w:val="000E4B69"/>
    <w:rsid w:val="000E7C41"/>
    <w:rsid w:val="00121AF5"/>
    <w:rsid w:val="00125B54"/>
    <w:rsid w:val="00130105"/>
    <w:rsid w:val="00131028"/>
    <w:rsid w:val="001403F5"/>
    <w:rsid w:val="00140576"/>
    <w:rsid w:val="00143437"/>
    <w:rsid w:val="00145003"/>
    <w:rsid w:val="00146091"/>
    <w:rsid w:val="00147896"/>
    <w:rsid w:val="00152830"/>
    <w:rsid w:val="001531E9"/>
    <w:rsid w:val="00181736"/>
    <w:rsid w:val="0018466E"/>
    <w:rsid w:val="00184990"/>
    <w:rsid w:val="001961D7"/>
    <w:rsid w:val="00197EBD"/>
    <w:rsid w:val="001A0A24"/>
    <w:rsid w:val="001A7D1D"/>
    <w:rsid w:val="001B02A5"/>
    <w:rsid w:val="001B4ED6"/>
    <w:rsid w:val="001C33B9"/>
    <w:rsid w:val="001D3645"/>
    <w:rsid w:val="001D3ACE"/>
    <w:rsid w:val="001D4769"/>
    <w:rsid w:val="0021305A"/>
    <w:rsid w:val="00250C2D"/>
    <w:rsid w:val="002543B5"/>
    <w:rsid w:val="00254AFF"/>
    <w:rsid w:val="002554BD"/>
    <w:rsid w:val="00265E69"/>
    <w:rsid w:val="00285406"/>
    <w:rsid w:val="00286728"/>
    <w:rsid w:val="002A625F"/>
    <w:rsid w:val="002B5D68"/>
    <w:rsid w:val="002C78AA"/>
    <w:rsid w:val="002E00DD"/>
    <w:rsid w:val="002E2B9B"/>
    <w:rsid w:val="002E508E"/>
    <w:rsid w:val="00314113"/>
    <w:rsid w:val="00330B6C"/>
    <w:rsid w:val="00340B1C"/>
    <w:rsid w:val="00354C07"/>
    <w:rsid w:val="00355E7C"/>
    <w:rsid w:val="0038515B"/>
    <w:rsid w:val="0038718B"/>
    <w:rsid w:val="00396164"/>
    <w:rsid w:val="003B11DB"/>
    <w:rsid w:val="003B13A2"/>
    <w:rsid w:val="003B61F8"/>
    <w:rsid w:val="003C20AE"/>
    <w:rsid w:val="003D5C06"/>
    <w:rsid w:val="003E0CE8"/>
    <w:rsid w:val="003E6F6A"/>
    <w:rsid w:val="003F60F6"/>
    <w:rsid w:val="004015EB"/>
    <w:rsid w:val="0040670C"/>
    <w:rsid w:val="00410079"/>
    <w:rsid w:val="00412E98"/>
    <w:rsid w:val="00414CA3"/>
    <w:rsid w:val="00416C33"/>
    <w:rsid w:val="00424BC1"/>
    <w:rsid w:val="004472F5"/>
    <w:rsid w:val="00455C4E"/>
    <w:rsid w:val="00466359"/>
    <w:rsid w:val="00477D68"/>
    <w:rsid w:val="00492BB2"/>
    <w:rsid w:val="004B43FF"/>
    <w:rsid w:val="004B7816"/>
    <w:rsid w:val="004C24EF"/>
    <w:rsid w:val="004D24B7"/>
    <w:rsid w:val="004F401D"/>
    <w:rsid w:val="004F597A"/>
    <w:rsid w:val="005303E2"/>
    <w:rsid w:val="00531E08"/>
    <w:rsid w:val="005433B0"/>
    <w:rsid w:val="00545033"/>
    <w:rsid w:val="0054523F"/>
    <w:rsid w:val="00556DF2"/>
    <w:rsid w:val="005627EB"/>
    <w:rsid w:val="005636B1"/>
    <w:rsid w:val="00566BE2"/>
    <w:rsid w:val="005738D7"/>
    <w:rsid w:val="00574C11"/>
    <w:rsid w:val="0057781C"/>
    <w:rsid w:val="005964E7"/>
    <w:rsid w:val="00597078"/>
    <w:rsid w:val="005A19A6"/>
    <w:rsid w:val="005A31D8"/>
    <w:rsid w:val="005B3833"/>
    <w:rsid w:val="005B5ABB"/>
    <w:rsid w:val="005C0653"/>
    <w:rsid w:val="005C5436"/>
    <w:rsid w:val="005D318D"/>
    <w:rsid w:val="005D356E"/>
    <w:rsid w:val="005D3D23"/>
    <w:rsid w:val="005E1B03"/>
    <w:rsid w:val="006118DF"/>
    <w:rsid w:val="00630813"/>
    <w:rsid w:val="00630C96"/>
    <w:rsid w:val="00636512"/>
    <w:rsid w:val="006723D4"/>
    <w:rsid w:val="00676358"/>
    <w:rsid w:val="006A58FC"/>
    <w:rsid w:val="006A791B"/>
    <w:rsid w:val="006B0F4F"/>
    <w:rsid w:val="006B3453"/>
    <w:rsid w:val="006C5621"/>
    <w:rsid w:val="006C714A"/>
    <w:rsid w:val="006D37FF"/>
    <w:rsid w:val="006F581C"/>
    <w:rsid w:val="00724358"/>
    <w:rsid w:val="00735F41"/>
    <w:rsid w:val="0075002A"/>
    <w:rsid w:val="00761418"/>
    <w:rsid w:val="0077742E"/>
    <w:rsid w:val="00785B54"/>
    <w:rsid w:val="00793920"/>
    <w:rsid w:val="007B393F"/>
    <w:rsid w:val="007B4793"/>
    <w:rsid w:val="007F593F"/>
    <w:rsid w:val="007F740A"/>
    <w:rsid w:val="008053B0"/>
    <w:rsid w:val="0082627D"/>
    <w:rsid w:val="00850D9F"/>
    <w:rsid w:val="00851244"/>
    <w:rsid w:val="00856A22"/>
    <w:rsid w:val="00860772"/>
    <w:rsid w:val="00862737"/>
    <w:rsid w:val="0087096D"/>
    <w:rsid w:val="0089344C"/>
    <w:rsid w:val="00895B5F"/>
    <w:rsid w:val="008A436A"/>
    <w:rsid w:val="008A54CF"/>
    <w:rsid w:val="008B189D"/>
    <w:rsid w:val="008B253E"/>
    <w:rsid w:val="008C14BF"/>
    <w:rsid w:val="008C245C"/>
    <w:rsid w:val="008C622B"/>
    <w:rsid w:val="008E64C1"/>
    <w:rsid w:val="008E6B2C"/>
    <w:rsid w:val="008F48EB"/>
    <w:rsid w:val="00905964"/>
    <w:rsid w:val="00912B61"/>
    <w:rsid w:val="00926D6B"/>
    <w:rsid w:val="0092751F"/>
    <w:rsid w:val="009524A2"/>
    <w:rsid w:val="00953131"/>
    <w:rsid w:val="00967C0A"/>
    <w:rsid w:val="00982613"/>
    <w:rsid w:val="009A16D5"/>
    <w:rsid w:val="009B6421"/>
    <w:rsid w:val="009D26D9"/>
    <w:rsid w:val="009D3D9B"/>
    <w:rsid w:val="009D62E6"/>
    <w:rsid w:val="009E519C"/>
    <w:rsid w:val="009F2FA1"/>
    <w:rsid w:val="009F4D68"/>
    <w:rsid w:val="00A0275D"/>
    <w:rsid w:val="00A062B0"/>
    <w:rsid w:val="00A155B2"/>
    <w:rsid w:val="00A26321"/>
    <w:rsid w:val="00A27E04"/>
    <w:rsid w:val="00A55668"/>
    <w:rsid w:val="00A60E63"/>
    <w:rsid w:val="00AB00C0"/>
    <w:rsid w:val="00AB1F47"/>
    <w:rsid w:val="00AC3A1F"/>
    <w:rsid w:val="00AE6392"/>
    <w:rsid w:val="00B101CC"/>
    <w:rsid w:val="00B256D7"/>
    <w:rsid w:val="00B336D8"/>
    <w:rsid w:val="00B35202"/>
    <w:rsid w:val="00B6447E"/>
    <w:rsid w:val="00B656BF"/>
    <w:rsid w:val="00BA2E85"/>
    <w:rsid w:val="00BA30BD"/>
    <w:rsid w:val="00BB3B0F"/>
    <w:rsid w:val="00BB6F57"/>
    <w:rsid w:val="00BC10B1"/>
    <w:rsid w:val="00BC3F21"/>
    <w:rsid w:val="00BD4422"/>
    <w:rsid w:val="00BF0325"/>
    <w:rsid w:val="00C06147"/>
    <w:rsid w:val="00C13A19"/>
    <w:rsid w:val="00C261C2"/>
    <w:rsid w:val="00C33CF4"/>
    <w:rsid w:val="00C47791"/>
    <w:rsid w:val="00C72705"/>
    <w:rsid w:val="00CA6874"/>
    <w:rsid w:val="00CA7ED5"/>
    <w:rsid w:val="00CB4584"/>
    <w:rsid w:val="00CB50EF"/>
    <w:rsid w:val="00CB5855"/>
    <w:rsid w:val="00CC549C"/>
    <w:rsid w:val="00CD5038"/>
    <w:rsid w:val="00CE5319"/>
    <w:rsid w:val="00CF40D9"/>
    <w:rsid w:val="00CF6CBB"/>
    <w:rsid w:val="00CF7A06"/>
    <w:rsid w:val="00D06CED"/>
    <w:rsid w:val="00D118BA"/>
    <w:rsid w:val="00D23837"/>
    <w:rsid w:val="00D46274"/>
    <w:rsid w:val="00D5188F"/>
    <w:rsid w:val="00D72949"/>
    <w:rsid w:val="00D859E6"/>
    <w:rsid w:val="00D8644C"/>
    <w:rsid w:val="00DB40A2"/>
    <w:rsid w:val="00DE34A1"/>
    <w:rsid w:val="00DF77F5"/>
    <w:rsid w:val="00E63641"/>
    <w:rsid w:val="00E65C46"/>
    <w:rsid w:val="00E745A7"/>
    <w:rsid w:val="00E82A5A"/>
    <w:rsid w:val="00E83E58"/>
    <w:rsid w:val="00E90600"/>
    <w:rsid w:val="00E926A2"/>
    <w:rsid w:val="00EA394B"/>
    <w:rsid w:val="00EB3753"/>
    <w:rsid w:val="00EC2967"/>
    <w:rsid w:val="00ED0336"/>
    <w:rsid w:val="00ED0FE6"/>
    <w:rsid w:val="00EE4646"/>
    <w:rsid w:val="00F1126E"/>
    <w:rsid w:val="00F43EDD"/>
    <w:rsid w:val="00F5125C"/>
    <w:rsid w:val="00F57758"/>
    <w:rsid w:val="00F706E5"/>
    <w:rsid w:val="00F87EEA"/>
    <w:rsid w:val="00F95BC9"/>
    <w:rsid w:val="00F9779D"/>
    <w:rsid w:val="00FA0DEE"/>
    <w:rsid w:val="00FA61EF"/>
    <w:rsid w:val="00FB3C74"/>
    <w:rsid w:val="00FC6513"/>
    <w:rsid w:val="00FD40F8"/>
    <w:rsid w:val="00FE6171"/>
    <w:rsid w:val="00FF3AB6"/>
    <w:rsid w:val="00FF5B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10783"/>
  <w15:chartTrackingRefBased/>
  <w15:docId w15:val="{ABD54F2A-3F3E-4B53-A883-A822B84F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98"/>
    <w:pPr>
      <w:autoSpaceDE w:val="0"/>
      <w:autoSpaceDN w:val="0"/>
      <w:adjustRightInd w:val="0"/>
      <w:spacing w:line="360" w:lineRule="auto"/>
      <w:jc w:val="both"/>
    </w:pPr>
  </w:style>
  <w:style w:type="paragraph" w:styleId="Heading1">
    <w:name w:val="heading 1"/>
    <w:basedOn w:val="Normal"/>
    <w:next w:val="Normal"/>
    <w:link w:val="Heading1Char"/>
    <w:uiPriority w:val="9"/>
    <w:qFormat/>
    <w:rsid w:val="00AB1F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D68"/>
    <w:pPr>
      <w:keepNext/>
      <w:keepLines/>
      <w:spacing w:before="200"/>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iPriority w:val="9"/>
    <w:semiHidden/>
    <w:unhideWhenUsed/>
    <w:qFormat/>
    <w:rsid w:val="00455C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E08"/>
    <w:rPr>
      <w:color w:val="0563C1" w:themeColor="hyperlink"/>
      <w:u w:val="single"/>
    </w:rPr>
  </w:style>
  <w:style w:type="character" w:styleId="FollowedHyperlink">
    <w:name w:val="FollowedHyperlink"/>
    <w:basedOn w:val="DefaultParagraphFont"/>
    <w:uiPriority w:val="99"/>
    <w:semiHidden/>
    <w:unhideWhenUsed/>
    <w:rsid w:val="00531E08"/>
    <w:rPr>
      <w:color w:val="954F72" w:themeColor="followedHyperlink"/>
      <w:u w:val="single"/>
    </w:rPr>
  </w:style>
  <w:style w:type="paragraph" w:styleId="ListParagraph">
    <w:name w:val="List Paragraph"/>
    <w:basedOn w:val="Normal"/>
    <w:uiPriority w:val="34"/>
    <w:qFormat/>
    <w:rsid w:val="00531E08"/>
    <w:pPr>
      <w:ind w:left="720"/>
      <w:contextualSpacing/>
    </w:pPr>
  </w:style>
  <w:style w:type="character" w:customStyle="1" w:styleId="Heading2Char">
    <w:name w:val="Heading 2 Char"/>
    <w:basedOn w:val="DefaultParagraphFont"/>
    <w:link w:val="Heading2"/>
    <w:uiPriority w:val="9"/>
    <w:rsid w:val="002B5D68"/>
    <w:rPr>
      <w:rFonts w:asciiTheme="majorHAnsi" w:eastAsiaTheme="majorEastAsia" w:hAnsiTheme="majorHAnsi" w:cstheme="majorBidi"/>
      <w:b/>
      <w:bCs/>
      <w:szCs w:val="26"/>
      <w:u w:val="single"/>
    </w:rPr>
  </w:style>
  <w:style w:type="paragraph" w:styleId="NormalWeb">
    <w:name w:val="Normal (Web)"/>
    <w:basedOn w:val="Normal"/>
    <w:uiPriority w:val="99"/>
    <w:unhideWhenUsed/>
    <w:rsid w:val="002B5D68"/>
    <w:pPr>
      <w:autoSpaceDE/>
      <w:autoSpaceDN/>
      <w:adjustRightInd/>
      <w:spacing w:before="100" w:beforeAutospacing="1" w:after="100" w:afterAutospacing="1" w:line="240" w:lineRule="auto"/>
      <w:jc w:val="left"/>
    </w:pPr>
    <w:rPr>
      <w:rFonts w:ascii="Times New Roman" w:hAnsi="Times New Roman" w:cs="Times New Roman"/>
      <w:lang w:eastAsia="en-GB"/>
    </w:rPr>
  </w:style>
  <w:style w:type="character" w:customStyle="1" w:styleId="Heading3Char">
    <w:name w:val="Heading 3 Char"/>
    <w:basedOn w:val="DefaultParagraphFont"/>
    <w:link w:val="Heading3"/>
    <w:uiPriority w:val="9"/>
    <w:semiHidden/>
    <w:rsid w:val="00455C4E"/>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semiHidden/>
    <w:unhideWhenUsed/>
    <w:rsid w:val="00E83E58"/>
    <w:pPr>
      <w:autoSpaceDE/>
      <w:autoSpaceDN/>
      <w:adjustRightInd/>
      <w:spacing w:line="240" w:lineRule="auto"/>
      <w:jc w:val="left"/>
    </w:pPr>
    <w:rPr>
      <w:rFonts w:eastAsiaTheme="minorHAnsi"/>
      <w:lang w:val="en-US" w:eastAsia="en-US"/>
    </w:rPr>
  </w:style>
  <w:style w:type="character" w:customStyle="1" w:styleId="CommentTextChar">
    <w:name w:val="Comment Text Char"/>
    <w:basedOn w:val="DefaultParagraphFont"/>
    <w:link w:val="CommentText"/>
    <w:uiPriority w:val="99"/>
    <w:semiHidden/>
    <w:rsid w:val="00E83E58"/>
    <w:rPr>
      <w:rFonts w:eastAsiaTheme="minorHAnsi"/>
      <w:lang w:val="en-US" w:eastAsia="en-US"/>
    </w:rPr>
  </w:style>
  <w:style w:type="character" w:styleId="CommentReference">
    <w:name w:val="annotation reference"/>
    <w:basedOn w:val="DefaultParagraphFont"/>
    <w:uiPriority w:val="99"/>
    <w:semiHidden/>
    <w:unhideWhenUsed/>
    <w:rsid w:val="00E83E58"/>
    <w:rPr>
      <w:sz w:val="18"/>
      <w:szCs w:val="18"/>
    </w:rPr>
  </w:style>
  <w:style w:type="paragraph" w:styleId="BalloonText">
    <w:name w:val="Balloon Text"/>
    <w:basedOn w:val="Normal"/>
    <w:link w:val="BalloonTextChar"/>
    <w:uiPriority w:val="99"/>
    <w:semiHidden/>
    <w:unhideWhenUsed/>
    <w:rsid w:val="00E83E5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E58"/>
    <w:rPr>
      <w:rFonts w:ascii="Times New Roman" w:hAnsi="Times New Roman" w:cs="Times New Roman"/>
      <w:sz w:val="18"/>
      <w:szCs w:val="18"/>
    </w:rPr>
  </w:style>
  <w:style w:type="table" w:styleId="PlainTable3">
    <w:name w:val="Plain Table 3"/>
    <w:basedOn w:val="TableNormal"/>
    <w:uiPriority w:val="43"/>
    <w:rsid w:val="00067B26"/>
    <w:rPr>
      <w:rFonts w:eastAsiaTheme="minorHAns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ndNoteBibliography">
    <w:name w:val="EndNote Bibliography"/>
    <w:basedOn w:val="Normal"/>
    <w:link w:val="EndNoteBibliographyChar"/>
    <w:rsid w:val="00CA7ED5"/>
    <w:pPr>
      <w:autoSpaceDE/>
      <w:autoSpaceDN/>
      <w:adjustRightInd/>
      <w:spacing w:line="240" w:lineRule="auto"/>
      <w:jc w:val="left"/>
    </w:pPr>
    <w:rPr>
      <w:rFonts w:ascii="Times New Roman" w:hAnsi="Times New Roman" w:cs="Times New Roman"/>
      <w:noProof/>
      <w:lang w:eastAsia="en-GB"/>
    </w:rPr>
  </w:style>
  <w:style w:type="character" w:customStyle="1" w:styleId="EndNoteBibliographyChar">
    <w:name w:val="EndNote Bibliography Char"/>
    <w:basedOn w:val="DefaultParagraphFont"/>
    <w:link w:val="EndNoteBibliography"/>
    <w:rsid w:val="00CA7ED5"/>
    <w:rPr>
      <w:rFonts w:ascii="Times New Roman" w:hAnsi="Times New Roman" w:cs="Times New Roman"/>
      <w:noProof/>
      <w:lang w:eastAsia="en-GB"/>
    </w:rPr>
  </w:style>
  <w:style w:type="paragraph" w:customStyle="1" w:styleId="s13">
    <w:name w:val="s13"/>
    <w:basedOn w:val="Normal"/>
    <w:rsid w:val="005B5ABB"/>
    <w:pPr>
      <w:autoSpaceDE/>
      <w:autoSpaceDN/>
      <w:adjustRightInd/>
      <w:spacing w:before="100" w:beforeAutospacing="1" w:after="100" w:afterAutospacing="1" w:line="240" w:lineRule="auto"/>
      <w:jc w:val="left"/>
    </w:pPr>
    <w:rPr>
      <w:rFonts w:ascii="Times New Roman" w:hAnsi="Times New Roman" w:cs="Times New Roman"/>
      <w:lang w:eastAsia="en-GB"/>
    </w:rPr>
  </w:style>
  <w:style w:type="character" w:customStyle="1" w:styleId="s12">
    <w:name w:val="s12"/>
    <w:basedOn w:val="DefaultParagraphFont"/>
    <w:rsid w:val="005B5ABB"/>
  </w:style>
  <w:style w:type="character" w:customStyle="1" w:styleId="apple-converted-space">
    <w:name w:val="apple-converted-space"/>
    <w:basedOn w:val="DefaultParagraphFont"/>
    <w:rsid w:val="005B5ABB"/>
  </w:style>
  <w:style w:type="paragraph" w:customStyle="1" w:styleId="s3">
    <w:name w:val="s3"/>
    <w:basedOn w:val="Normal"/>
    <w:rsid w:val="005B5ABB"/>
    <w:pPr>
      <w:autoSpaceDE/>
      <w:autoSpaceDN/>
      <w:adjustRightInd/>
      <w:spacing w:before="100" w:beforeAutospacing="1" w:after="100" w:afterAutospacing="1" w:line="240" w:lineRule="auto"/>
      <w:jc w:val="left"/>
    </w:pPr>
    <w:rPr>
      <w:rFonts w:ascii="Times New Roman" w:hAnsi="Times New Roman" w:cs="Times New Roman"/>
      <w:lang w:eastAsia="en-GB"/>
    </w:rPr>
  </w:style>
  <w:style w:type="character" w:customStyle="1" w:styleId="s14">
    <w:name w:val="s14"/>
    <w:basedOn w:val="DefaultParagraphFont"/>
    <w:rsid w:val="005B5ABB"/>
  </w:style>
  <w:style w:type="paragraph" w:customStyle="1" w:styleId="s16">
    <w:name w:val="s16"/>
    <w:basedOn w:val="Normal"/>
    <w:rsid w:val="005B5ABB"/>
    <w:pPr>
      <w:autoSpaceDE/>
      <w:autoSpaceDN/>
      <w:adjustRightInd/>
      <w:spacing w:before="100" w:beforeAutospacing="1" w:after="100" w:afterAutospacing="1" w:line="240" w:lineRule="auto"/>
      <w:jc w:val="left"/>
    </w:pPr>
    <w:rPr>
      <w:rFonts w:ascii="Times New Roman" w:hAnsi="Times New Roman" w:cs="Times New Roman"/>
      <w:lang w:eastAsia="en-GB"/>
    </w:rPr>
  </w:style>
  <w:style w:type="character" w:customStyle="1" w:styleId="s15">
    <w:name w:val="s15"/>
    <w:basedOn w:val="DefaultParagraphFont"/>
    <w:rsid w:val="005B5ABB"/>
  </w:style>
  <w:style w:type="paragraph" w:customStyle="1" w:styleId="s17">
    <w:name w:val="s17"/>
    <w:basedOn w:val="Normal"/>
    <w:rsid w:val="005B5ABB"/>
    <w:pPr>
      <w:autoSpaceDE/>
      <w:autoSpaceDN/>
      <w:adjustRightInd/>
      <w:spacing w:before="100" w:beforeAutospacing="1" w:after="100" w:afterAutospacing="1" w:line="240" w:lineRule="auto"/>
      <w:jc w:val="left"/>
    </w:pPr>
    <w:rPr>
      <w:rFonts w:ascii="Times New Roman" w:hAnsi="Times New Roman" w:cs="Times New Roman"/>
      <w:lang w:eastAsia="en-GB"/>
    </w:rPr>
  </w:style>
  <w:style w:type="character" w:customStyle="1" w:styleId="Heading1Char">
    <w:name w:val="Heading 1 Char"/>
    <w:basedOn w:val="DefaultParagraphFont"/>
    <w:link w:val="Heading1"/>
    <w:uiPriority w:val="9"/>
    <w:rsid w:val="00AB1F4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B1F47"/>
    <w:rPr>
      <w:b/>
      <w:bCs/>
    </w:rPr>
  </w:style>
  <w:style w:type="paragraph" w:styleId="Header">
    <w:name w:val="header"/>
    <w:basedOn w:val="Normal"/>
    <w:link w:val="HeaderChar"/>
    <w:uiPriority w:val="99"/>
    <w:unhideWhenUsed/>
    <w:rsid w:val="00254AFF"/>
    <w:pPr>
      <w:tabs>
        <w:tab w:val="center" w:pos="4513"/>
        <w:tab w:val="right" w:pos="9026"/>
      </w:tabs>
      <w:spacing w:line="240" w:lineRule="auto"/>
    </w:pPr>
  </w:style>
  <w:style w:type="character" w:customStyle="1" w:styleId="HeaderChar">
    <w:name w:val="Header Char"/>
    <w:basedOn w:val="DefaultParagraphFont"/>
    <w:link w:val="Header"/>
    <w:uiPriority w:val="99"/>
    <w:rsid w:val="00254AFF"/>
  </w:style>
  <w:style w:type="paragraph" w:styleId="Footer">
    <w:name w:val="footer"/>
    <w:basedOn w:val="Normal"/>
    <w:link w:val="FooterChar"/>
    <w:uiPriority w:val="99"/>
    <w:unhideWhenUsed/>
    <w:rsid w:val="00254AFF"/>
    <w:pPr>
      <w:tabs>
        <w:tab w:val="center" w:pos="4513"/>
        <w:tab w:val="right" w:pos="9026"/>
      </w:tabs>
      <w:spacing w:line="240" w:lineRule="auto"/>
    </w:pPr>
  </w:style>
  <w:style w:type="character" w:customStyle="1" w:styleId="FooterChar">
    <w:name w:val="Footer Char"/>
    <w:basedOn w:val="DefaultParagraphFont"/>
    <w:link w:val="Footer"/>
    <w:uiPriority w:val="99"/>
    <w:rsid w:val="00254AFF"/>
  </w:style>
  <w:style w:type="paragraph" w:styleId="Title">
    <w:name w:val="Title"/>
    <w:basedOn w:val="Normal"/>
    <w:next w:val="Normal"/>
    <w:link w:val="TitleChar"/>
    <w:uiPriority w:val="10"/>
    <w:qFormat/>
    <w:rsid w:val="0059707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0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916">
      <w:bodyDiv w:val="1"/>
      <w:marLeft w:val="0"/>
      <w:marRight w:val="0"/>
      <w:marTop w:val="0"/>
      <w:marBottom w:val="0"/>
      <w:divBdr>
        <w:top w:val="none" w:sz="0" w:space="0" w:color="auto"/>
        <w:left w:val="none" w:sz="0" w:space="0" w:color="auto"/>
        <w:bottom w:val="none" w:sz="0" w:space="0" w:color="auto"/>
        <w:right w:val="none" w:sz="0" w:space="0" w:color="auto"/>
      </w:divBdr>
    </w:div>
    <w:div w:id="157039534">
      <w:bodyDiv w:val="1"/>
      <w:marLeft w:val="0"/>
      <w:marRight w:val="0"/>
      <w:marTop w:val="0"/>
      <w:marBottom w:val="0"/>
      <w:divBdr>
        <w:top w:val="none" w:sz="0" w:space="0" w:color="auto"/>
        <w:left w:val="none" w:sz="0" w:space="0" w:color="auto"/>
        <w:bottom w:val="none" w:sz="0" w:space="0" w:color="auto"/>
        <w:right w:val="none" w:sz="0" w:space="0" w:color="auto"/>
      </w:divBdr>
    </w:div>
    <w:div w:id="270673844">
      <w:bodyDiv w:val="1"/>
      <w:marLeft w:val="0"/>
      <w:marRight w:val="0"/>
      <w:marTop w:val="0"/>
      <w:marBottom w:val="0"/>
      <w:divBdr>
        <w:top w:val="none" w:sz="0" w:space="0" w:color="auto"/>
        <w:left w:val="none" w:sz="0" w:space="0" w:color="auto"/>
        <w:bottom w:val="none" w:sz="0" w:space="0" w:color="auto"/>
        <w:right w:val="none" w:sz="0" w:space="0" w:color="auto"/>
      </w:divBdr>
    </w:div>
    <w:div w:id="275451928">
      <w:bodyDiv w:val="1"/>
      <w:marLeft w:val="0"/>
      <w:marRight w:val="0"/>
      <w:marTop w:val="0"/>
      <w:marBottom w:val="0"/>
      <w:divBdr>
        <w:top w:val="none" w:sz="0" w:space="0" w:color="auto"/>
        <w:left w:val="none" w:sz="0" w:space="0" w:color="auto"/>
        <w:bottom w:val="none" w:sz="0" w:space="0" w:color="auto"/>
        <w:right w:val="none" w:sz="0" w:space="0" w:color="auto"/>
      </w:divBdr>
    </w:div>
    <w:div w:id="332337705">
      <w:bodyDiv w:val="1"/>
      <w:marLeft w:val="0"/>
      <w:marRight w:val="0"/>
      <w:marTop w:val="0"/>
      <w:marBottom w:val="0"/>
      <w:divBdr>
        <w:top w:val="none" w:sz="0" w:space="0" w:color="auto"/>
        <w:left w:val="none" w:sz="0" w:space="0" w:color="auto"/>
        <w:bottom w:val="none" w:sz="0" w:space="0" w:color="auto"/>
        <w:right w:val="none" w:sz="0" w:space="0" w:color="auto"/>
      </w:divBdr>
    </w:div>
    <w:div w:id="643505464">
      <w:bodyDiv w:val="1"/>
      <w:marLeft w:val="0"/>
      <w:marRight w:val="0"/>
      <w:marTop w:val="0"/>
      <w:marBottom w:val="0"/>
      <w:divBdr>
        <w:top w:val="none" w:sz="0" w:space="0" w:color="auto"/>
        <w:left w:val="none" w:sz="0" w:space="0" w:color="auto"/>
        <w:bottom w:val="none" w:sz="0" w:space="0" w:color="auto"/>
        <w:right w:val="none" w:sz="0" w:space="0" w:color="auto"/>
      </w:divBdr>
    </w:div>
    <w:div w:id="783966361">
      <w:bodyDiv w:val="1"/>
      <w:marLeft w:val="0"/>
      <w:marRight w:val="0"/>
      <w:marTop w:val="0"/>
      <w:marBottom w:val="0"/>
      <w:divBdr>
        <w:top w:val="none" w:sz="0" w:space="0" w:color="auto"/>
        <w:left w:val="none" w:sz="0" w:space="0" w:color="auto"/>
        <w:bottom w:val="none" w:sz="0" w:space="0" w:color="auto"/>
        <w:right w:val="none" w:sz="0" w:space="0" w:color="auto"/>
      </w:divBdr>
    </w:div>
    <w:div w:id="1009521970">
      <w:bodyDiv w:val="1"/>
      <w:marLeft w:val="0"/>
      <w:marRight w:val="0"/>
      <w:marTop w:val="0"/>
      <w:marBottom w:val="0"/>
      <w:divBdr>
        <w:top w:val="none" w:sz="0" w:space="0" w:color="auto"/>
        <w:left w:val="none" w:sz="0" w:space="0" w:color="auto"/>
        <w:bottom w:val="none" w:sz="0" w:space="0" w:color="auto"/>
        <w:right w:val="none" w:sz="0" w:space="0" w:color="auto"/>
      </w:divBdr>
    </w:div>
    <w:div w:id="1145316169">
      <w:bodyDiv w:val="1"/>
      <w:marLeft w:val="0"/>
      <w:marRight w:val="0"/>
      <w:marTop w:val="0"/>
      <w:marBottom w:val="0"/>
      <w:divBdr>
        <w:top w:val="none" w:sz="0" w:space="0" w:color="auto"/>
        <w:left w:val="none" w:sz="0" w:space="0" w:color="auto"/>
        <w:bottom w:val="none" w:sz="0" w:space="0" w:color="auto"/>
        <w:right w:val="none" w:sz="0" w:space="0" w:color="auto"/>
      </w:divBdr>
    </w:div>
    <w:div w:id="1173183084">
      <w:bodyDiv w:val="1"/>
      <w:marLeft w:val="0"/>
      <w:marRight w:val="0"/>
      <w:marTop w:val="0"/>
      <w:marBottom w:val="0"/>
      <w:divBdr>
        <w:top w:val="none" w:sz="0" w:space="0" w:color="auto"/>
        <w:left w:val="none" w:sz="0" w:space="0" w:color="auto"/>
        <w:bottom w:val="none" w:sz="0" w:space="0" w:color="auto"/>
        <w:right w:val="none" w:sz="0" w:space="0" w:color="auto"/>
      </w:divBdr>
    </w:div>
    <w:div w:id="1207372395">
      <w:bodyDiv w:val="1"/>
      <w:marLeft w:val="0"/>
      <w:marRight w:val="0"/>
      <w:marTop w:val="0"/>
      <w:marBottom w:val="0"/>
      <w:divBdr>
        <w:top w:val="none" w:sz="0" w:space="0" w:color="auto"/>
        <w:left w:val="none" w:sz="0" w:space="0" w:color="auto"/>
        <w:bottom w:val="none" w:sz="0" w:space="0" w:color="auto"/>
        <w:right w:val="none" w:sz="0" w:space="0" w:color="auto"/>
      </w:divBdr>
    </w:div>
    <w:div w:id="1539005908">
      <w:bodyDiv w:val="1"/>
      <w:marLeft w:val="0"/>
      <w:marRight w:val="0"/>
      <w:marTop w:val="0"/>
      <w:marBottom w:val="0"/>
      <w:divBdr>
        <w:top w:val="none" w:sz="0" w:space="0" w:color="auto"/>
        <w:left w:val="none" w:sz="0" w:space="0" w:color="auto"/>
        <w:bottom w:val="none" w:sz="0" w:space="0" w:color="auto"/>
        <w:right w:val="none" w:sz="0" w:space="0" w:color="auto"/>
      </w:divBdr>
    </w:div>
    <w:div w:id="1922445087">
      <w:bodyDiv w:val="1"/>
      <w:marLeft w:val="0"/>
      <w:marRight w:val="0"/>
      <w:marTop w:val="0"/>
      <w:marBottom w:val="0"/>
      <w:divBdr>
        <w:top w:val="none" w:sz="0" w:space="0" w:color="auto"/>
        <w:left w:val="none" w:sz="0" w:space="0" w:color="auto"/>
        <w:bottom w:val="none" w:sz="0" w:space="0" w:color="auto"/>
        <w:right w:val="none" w:sz="0" w:space="0" w:color="auto"/>
      </w:divBdr>
    </w:div>
    <w:div w:id="213636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rthwick@soton.ac.uk" TargetMode="External"/><Relationship Id="rId13" Type="http://schemas.openxmlformats.org/officeDocument/2006/relationships/hyperlink" Target="mailto:L.A.McCulloch@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Bowen@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gel.Arden@ndorms.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fael.pinedo@ndorms.ox.ac.uk" TargetMode="External"/><Relationship Id="rId4" Type="http://schemas.openxmlformats.org/officeDocument/2006/relationships/settings" Target="settings.xml"/><Relationship Id="rId9" Type="http://schemas.openxmlformats.org/officeDocument/2006/relationships/hyperlink" Target="mailto:a.redmond@leeds.ac.uk" TargetMode="External"/><Relationship Id="rId14" Type="http://schemas.openxmlformats.org/officeDocument/2006/relationships/hyperlink" Target="http://www.hcpc-uk.org/publications/standards/index.asp?id=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66ED-DADE-47C0-886D-490FD878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17</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McCulloch L.</cp:lastModifiedBy>
  <cp:revision>58</cp:revision>
  <cp:lastPrinted>2017-06-15T13:13:00Z</cp:lastPrinted>
  <dcterms:created xsi:type="dcterms:W3CDTF">2018-01-10T16:39:00Z</dcterms:created>
  <dcterms:modified xsi:type="dcterms:W3CDTF">2018-05-03T08:33:00Z</dcterms:modified>
</cp:coreProperties>
</file>