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99E" w:rsidRPr="00284808" w:rsidRDefault="00A8799E">
      <w:pPr>
        <w:rPr>
          <w:b/>
        </w:rPr>
      </w:pPr>
      <w:r w:rsidRPr="00284808">
        <w:rPr>
          <w:rFonts w:ascii="Calibri" w:eastAsia="Times New Roman" w:hAnsi="Calibri" w:cs="Times New Roman"/>
          <w:lang w:eastAsia="en-GB"/>
        </w:rPr>
        <w:t>Papers reporting on more than one outcome are repeated as necessary in results tables below.</w:t>
      </w:r>
    </w:p>
    <w:p w:rsidR="00435B9C" w:rsidRPr="00F0474A" w:rsidRDefault="00F65B81">
      <w:pPr>
        <w:rPr>
          <w:b/>
        </w:rPr>
      </w:pPr>
      <w:r w:rsidRPr="00F0474A">
        <w:rPr>
          <w:b/>
        </w:rPr>
        <w:t xml:space="preserve">Table </w:t>
      </w:r>
      <w:r w:rsidR="00D3492B" w:rsidRPr="00F0474A">
        <w:rPr>
          <w:b/>
        </w:rPr>
        <w:t>1</w:t>
      </w:r>
      <w:r w:rsidRPr="00F0474A">
        <w:rPr>
          <w:b/>
        </w:rPr>
        <w:t xml:space="preserve"> </w:t>
      </w:r>
      <w:r w:rsidR="00D40418" w:rsidRPr="00F0474A">
        <w:rPr>
          <w:b/>
        </w:rPr>
        <w:t xml:space="preserve">Clinical and patient-centred outcomes during hospitalisation </w:t>
      </w:r>
    </w:p>
    <w:tbl>
      <w:tblPr>
        <w:tblStyle w:val="TableGrid"/>
        <w:tblpPr w:leftFromText="180" w:rightFromText="180" w:vertAnchor="text" w:tblpY="1"/>
        <w:tblOverlap w:val="never"/>
        <w:tblW w:w="14000" w:type="dxa"/>
        <w:tblLook w:val="04A0" w:firstRow="1" w:lastRow="0" w:firstColumn="1" w:lastColumn="0" w:noHBand="0" w:noVBand="1"/>
      </w:tblPr>
      <w:tblGrid>
        <w:gridCol w:w="1666"/>
        <w:gridCol w:w="1164"/>
        <w:gridCol w:w="2948"/>
        <w:gridCol w:w="2410"/>
        <w:gridCol w:w="5812"/>
      </w:tblGrid>
      <w:tr w:rsidR="00591F23" w:rsidRPr="00A73445" w:rsidTr="00C07331">
        <w:tc>
          <w:tcPr>
            <w:tcW w:w="1666" w:type="dxa"/>
          </w:tcPr>
          <w:p w:rsidR="00F65B81" w:rsidRPr="00A73445" w:rsidRDefault="00F65B81" w:rsidP="00320DBC">
            <w:pPr>
              <w:rPr>
                <w:rFonts w:cs="Arial"/>
                <w:b/>
                <w:sz w:val="18"/>
                <w:szCs w:val="18"/>
              </w:rPr>
            </w:pPr>
            <w:r w:rsidRPr="00A73445">
              <w:rPr>
                <w:rFonts w:cs="Arial"/>
                <w:b/>
                <w:sz w:val="18"/>
                <w:szCs w:val="18"/>
              </w:rPr>
              <w:t>Authors, year</w:t>
            </w:r>
          </w:p>
        </w:tc>
        <w:tc>
          <w:tcPr>
            <w:tcW w:w="1164" w:type="dxa"/>
          </w:tcPr>
          <w:p w:rsidR="00F65B81" w:rsidRPr="00A73445" w:rsidRDefault="00F65B81" w:rsidP="00320DBC">
            <w:pPr>
              <w:rPr>
                <w:rFonts w:cs="Arial"/>
                <w:b/>
                <w:sz w:val="18"/>
                <w:szCs w:val="18"/>
              </w:rPr>
            </w:pPr>
            <w:r w:rsidRPr="00A73445">
              <w:rPr>
                <w:rFonts w:cs="Arial"/>
                <w:b/>
                <w:sz w:val="18"/>
                <w:szCs w:val="18"/>
              </w:rPr>
              <w:t>Country</w:t>
            </w:r>
          </w:p>
        </w:tc>
        <w:tc>
          <w:tcPr>
            <w:tcW w:w="2948" w:type="dxa"/>
          </w:tcPr>
          <w:p w:rsidR="00F65B81" w:rsidRPr="00A73445" w:rsidRDefault="00F65B81" w:rsidP="00320DBC">
            <w:pPr>
              <w:rPr>
                <w:rFonts w:cs="Arial"/>
                <w:b/>
                <w:sz w:val="18"/>
                <w:szCs w:val="18"/>
              </w:rPr>
            </w:pPr>
            <w:r w:rsidRPr="00A73445">
              <w:rPr>
                <w:rFonts w:cs="Arial"/>
                <w:b/>
                <w:sz w:val="18"/>
                <w:szCs w:val="18"/>
              </w:rPr>
              <w:t>Population</w:t>
            </w:r>
          </w:p>
        </w:tc>
        <w:tc>
          <w:tcPr>
            <w:tcW w:w="2410" w:type="dxa"/>
          </w:tcPr>
          <w:p w:rsidR="00F65B81" w:rsidRPr="00A73445" w:rsidRDefault="00F65B81" w:rsidP="00320DBC">
            <w:pPr>
              <w:rPr>
                <w:rFonts w:cs="Arial"/>
                <w:b/>
                <w:sz w:val="18"/>
                <w:szCs w:val="18"/>
              </w:rPr>
            </w:pPr>
            <w:r w:rsidRPr="00A73445">
              <w:rPr>
                <w:rFonts w:cs="Arial"/>
                <w:b/>
                <w:sz w:val="18"/>
                <w:szCs w:val="18"/>
              </w:rPr>
              <w:t>Study design</w:t>
            </w:r>
          </w:p>
        </w:tc>
        <w:tc>
          <w:tcPr>
            <w:tcW w:w="5812" w:type="dxa"/>
          </w:tcPr>
          <w:p w:rsidR="00F65B81" w:rsidRPr="00A73445" w:rsidRDefault="00F65B81" w:rsidP="00320DBC">
            <w:pPr>
              <w:rPr>
                <w:rFonts w:cs="Arial"/>
                <w:b/>
                <w:sz w:val="18"/>
                <w:szCs w:val="18"/>
              </w:rPr>
            </w:pPr>
            <w:r w:rsidRPr="00A73445">
              <w:rPr>
                <w:rFonts w:cs="Arial"/>
                <w:b/>
                <w:sz w:val="18"/>
                <w:szCs w:val="18"/>
              </w:rPr>
              <w:t>Main results</w:t>
            </w:r>
          </w:p>
        </w:tc>
      </w:tr>
      <w:tr w:rsidR="00FC412A" w:rsidRPr="00A73445" w:rsidTr="00D3492B">
        <w:tc>
          <w:tcPr>
            <w:tcW w:w="14000" w:type="dxa"/>
            <w:gridSpan w:val="5"/>
          </w:tcPr>
          <w:p w:rsidR="00FC412A" w:rsidRPr="00A73445" w:rsidRDefault="00FC412A" w:rsidP="00320DBC">
            <w:pPr>
              <w:rPr>
                <w:rFonts w:cs="Arial"/>
                <w:b/>
                <w:i/>
                <w:sz w:val="18"/>
                <w:szCs w:val="18"/>
              </w:rPr>
            </w:pPr>
            <w:r w:rsidRPr="00A73445">
              <w:rPr>
                <w:rFonts w:cs="Arial"/>
                <w:b/>
                <w:i/>
                <w:sz w:val="18"/>
                <w:szCs w:val="18"/>
              </w:rPr>
              <w:t>Patients</w:t>
            </w:r>
            <w:r w:rsidR="003312B6" w:rsidRPr="00A73445">
              <w:rPr>
                <w:rFonts w:cs="Arial"/>
                <w:b/>
                <w:i/>
                <w:sz w:val="18"/>
                <w:szCs w:val="18"/>
              </w:rPr>
              <w:t>’</w:t>
            </w:r>
            <w:r w:rsidRPr="00A73445">
              <w:rPr>
                <w:rFonts w:cs="Arial"/>
                <w:b/>
                <w:i/>
                <w:sz w:val="18"/>
                <w:szCs w:val="18"/>
              </w:rPr>
              <w:t xml:space="preserve"> experience of hospital admission</w:t>
            </w:r>
          </w:p>
        </w:tc>
      </w:tr>
      <w:tr w:rsidR="00591F23" w:rsidRPr="00A73445" w:rsidTr="00C07331">
        <w:tc>
          <w:tcPr>
            <w:tcW w:w="1666" w:type="dxa"/>
          </w:tcPr>
          <w:p w:rsidR="00F65B81" w:rsidRPr="00A73445" w:rsidRDefault="00B511AD" w:rsidP="00A73445">
            <w:pPr>
              <w:rPr>
                <w:rFonts w:cs="Arial"/>
                <w:sz w:val="18"/>
                <w:szCs w:val="18"/>
              </w:rPr>
            </w:pPr>
            <w:proofErr w:type="spellStart"/>
            <w:r w:rsidRPr="00A73445">
              <w:rPr>
                <w:rFonts w:cs="Arial"/>
                <w:sz w:val="18"/>
                <w:szCs w:val="18"/>
              </w:rPr>
              <w:t>Digby</w:t>
            </w:r>
            <w:proofErr w:type="spellEnd"/>
            <w:r w:rsidRPr="00A73445">
              <w:rPr>
                <w:rFonts w:cs="Arial"/>
                <w:sz w:val="18"/>
                <w:szCs w:val="18"/>
              </w:rPr>
              <w:t xml:space="preserve"> 2016</w:t>
            </w:r>
            <w:r w:rsidR="00D3492B" w:rsidRPr="00A73445">
              <w:rPr>
                <w:rFonts w:cs="Arial"/>
                <w:sz w:val="18"/>
                <w:szCs w:val="18"/>
              </w:rPr>
              <w:t xml:space="preserve"> </w:t>
            </w:r>
          </w:p>
        </w:tc>
        <w:tc>
          <w:tcPr>
            <w:tcW w:w="1164" w:type="dxa"/>
          </w:tcPr>
          <w:p w:rsidR="00F65B81" w:rsidRPr="00A73445" w:rsidRDefault="00DD0112" w:rsidP="00320DBC">
            <w:pPr>
              <w:rPr>
                <w:rFonts w:cs="Arial"/>
                <w:sz w:val="18"/>
                <w:szCs w:val="18"/>
              </w:rPr>
            </w:pPr>
            <w:r w:rsidRPr="00A73445">
              <w:rPr>
                <w:rFonts w:cs="Arial"/>
                <w:sz w:val="18"/>
                <w:szCs w:val="18"/>
              </w:rPr>
              <w:t>various</w:t>
            </w:r>
          </w:p>
        </w:tc>
        <w:tc>
          <w:tcPr>
            <w:tcW w:w="2948" w:type="dxa"/>
          </w:tcPr>
          <w:p w:rsidR="00F65B81" w:rsidRPr="00A73445" w:rsidRDefault="00B511AD" w:rsidP="00320DBC">
            <w:pPr>
              <w:rPr>
                <w:rFonts w:cs="Arial"/>
                <w:sz w:val="18"/>
                <w:szCs w:val="18"/>
              </w:rPr>
            </w:pPr>
            <w:r w:rsidRPr="00A73445">
              <w:rPr>
                <w:rFonts w:cs="Arial"/>
                <w:sz w:val="18"/>
                <w:szCs w:val="18"/>
              </w:rPr>
              <w:t>Patients with dementia and their carers’ in the acute set</w:t>
            </w:r>
            <w:bookmarkStart w:id="0" w:name="_GoBack"/>
            <w:bookmarkEnd w:id="0"/>
            <w:r w:rsidRPr="00A73445">
              <w:rPr>
                <w:rFonts w:cs="Arial"/>
                <w:sz w:val="18"/>
                <w:szCs w:val="18"/>
              </w:rPr>
              <w:t>ting</w:t>
            </w:r>
            <w:r w:rsidR="003312B6" w:rsidRPr="00A73445">
              <w:rPr>
                <w:rFonts w:cs="Arial"/>
                <w:sz w:val="18"/>
                <w:szCs w:val="18"/>
              </w:rPr>
              <w:t>.</w:t>
            </w:r>
          </w:p>
        </w:tc>
        <w:tc>
          <w:tcPr>
            <w:tcW w:w="2410" w:type="dxa"/>
          </w:tcPr>
          <w:p w:rsidR="00F65B81" w:rsidRPr="00A73445" w:rsidRDefault="00B511AD" w:rsidP="00320DBC">
            <w:pPr>
              <w:rPr>
                <w:rFonts w:cs="Arial"/>
                <w:sz w:val="18"/>
                <w:szCs w:val="18"/>
              </w:rPr>
            </w:pPr>
            <w:r w:rsidRPr="00A73445">
              <w:rPr>
                <w:rFonts w:cs="Arial"/>
                <w:sz w:val="18"/>
                <w:szCs w:val="18"/>
              </w:rPr>
              <w:t>Integrative review</w:t>
            </w:r>
          </w:p>
        </w:tc>
        <w:tc>
          <w:tcPr>
            <w:tcW w:w="5812" w:type="dxa"/>
          </w:tcPr>
          <w:p w:rsidR="00F65B81" w:rsidRPr="00A73445" w:rsidRDefault="00B511AD" w:rsidP="00320DBC">
            <w:pPr>
              <w:rPr>
                <w:rFonts w:cs="Arial"/>
                <w:sz w:val="18"/>
                <w:szCs w:val="18"/>
              </w:rPr>
            </w:pPr>
            <w:r w:rsidRPr="00A73445">
              <w:rPr>
                <w:rFonts w:cs="Arial"/>
                <w:sz w:val="18"/>
                <w:szCs w:val="18"/>
              </w:rPr>
              <w:t>People with dementia stigmatised in hospitals; acute care needs and tasks prioritised over personalised care; relatives/carers are not as involved in the patient’s care or decisions regarding their relative as they could be.</w:t>
            </w:r>
          </w:p>
        </w:tc>
      </w:tr>
      <w:tr w:rsidR="00591F23" w:rsidRPr="00A73445" w:rsidTr="00C07331">
        <w:tc>
          <w:tcPr>
            <w:tcW w:w="1666" w:type="dxa"/>
          </w:tcPr>
          <w:p w:rsidR="00F65B81" w:rsidRPr="00A73445" w:rsidRDefault="00181D6E" w:rsidP="00320DBC">
            <w:pPr>
              <w:rPr>
                <w:rFonts w:cs="Arial"/>
                <w:sz w:val="18"/>
                <w:szCs w:val="18"/>
              </w:rPr>
            </w:pPr>
            <w:r>
              <w:rPr>
                <w:rFonts w:cs="Arial"/>
                <w:sz w:val="18"/>
                <w:szCs w:val="18"/>
              </w:rPr>
              <w:t>Royal College of Psychiatrists</w:t>
            </w:r>
            <w:r w:rsidR="00D605A2" w:rsidRPr="00A73445">
              <w:rPr>
                <w:rFonts w:cs="Arial"/>
                <w:sz w:val="18"/>
                <w:szCs w:val="18"/>
              </w:rPr>
              <w:t xml:space="preserve"> 2017</w:t>
            </w:r>
            <w:r w:rsidR="00A73445" w:rsidRPr="00A73445">
              <w:rPr>
                <w:rFonts w:cs="Arial"/>
                <w:sz w:val="18"/>
                <w:szCs w:val="18"/>
              </w:rPr>
              <w:t xml:space="preserve"> </w:t>
            </w:r>
          </w:p>
        </w:tc>
        <w:tc>
          <w:tcPr>
            <w:tcW w:w="1164" w:type="dxa"/>
          </w:tcPr>
          <w:p w:rsidR="00F65B81" w:rsidRPr="00A73445" w:rsidRDefault="00B511AD" w:rsidP="00320DBC">
            <w:pPr>
              <w:rPr>
                <w:rFonts w:cs="Arial"/>
                <w:sz w:val="18"/>
                <w:szCs w:val="18"/>
              </w:rPr>
            </w:pPr>
            <w:r w:rsidRPr="00A73445">
              <w:rPr>
                <w:rFonts w:cs="Arial"/>
                <w:sz w:val="18"/>
                <w:szCs w:val="18"/>
              </w:rPr>
              <w:t>United Kingdom</w:t>
            </w:r>
          </w:p>
        </w:tc>
        <w:tc>
          <w:tcPr>
            <w:tcW w:w="2948" w:type="dxa"/>
          </w:tcPr>
          <w:p w:rsidR="00F65B81" w:rsidRPr="00A73445" w:rsidRDefault="00B511AD" w:rsidP="00320DBC">
            <w:pPr>
              <w:rPr>
                <w:rFonts w:cs="Arial"/>
                <w:sz w:val="18"/>
                <w:szCs w:val="18"/>
              </w:rPr>
            </w:pPr>
            <w:r w:rsidRPr="00A73445">
              <w:rPr>
                <w:rFonts w:cs="Arial"/>
                <w:sz w:val="18"/>
                <w:szCs w:val="18"/>
              </w:rPr>
              <w:t>Patients with dementia in the acute setting</w:t>
            </w:r>
            <w:r w:rsidR="003312B6" w:rsidRPr="00A73445">
              <w:rPr>
                <w:rFonts w:cs="Arial"/>
                <w:sz w:val="18"/>
                <w:szCs w:val="18"/>
              </w:rPr>
              <w:t>.</w:t>
            </w:r>
          </w:p>
        </w:tc>
        <w:tc>
          <w:tcPr>
            <w:tcW w:w="2410" w:type="dxa"/>
          </w:tcPr>
          <w:p w:rsidR="00F65B81" w:rsidRPr="00A73445" w:rsidRDefault="009F1359" w:rsidP="009F1359">
            <w:pPr>
              <w:rPr>
                <w:rFonts w:cs="Arial"/>
                <w:sz w:val="18"/>
                <w:szCs w:val="18"/>
              </w:rPr>
            </w:pPr>
            <w:r>
              <w:rPr>
                <w:rFonts w:cs="Arial"/>
                <w:sz w:val="18"/>
                <w:szCs w:val="18"/>
              </w:rPr>
              <w:t>National a</w:t>
            </w:r>
            <w:r w:rsidR="00B511AD" w:rsidRPr="00A73445">
              <w:rPr>
                <w:rFonts w:cs="Arial"/>
                <w:sz w:val="18"/>
                <w:szCs w:val="18"/>
              </w:rPr>
              <w:t>udit</w:t>
            </w:r>
          </w:p>
        </w:tc>
        <w:tc>
          <w:tcPr>
            <w:tcW w:w="5812" w:type="dxa"/>
          </w:tcPr>
          <w:p w:rsidR="00F65B81" w:rsidRPr="00A73445" w:rsidRDefault="003312B6" w:rsidP="00320DBC">
            <w:pPr>
              <w:rPr>
                <w:rFonts w:cs="Arial"/>
                <w:sz w:val="18"/>
                <w:szCs w:val="18"/>
              </w:rPr>
            </w:pPr>
            <w:r w:rsidRPr="00A73445">
              <w:rPr>
                <w:rFonts w:cs="Arial"/>
                <w:sz w:val="18"/>
                <w:szCs w:val="18"/>
              </w:rPr>
              <w:t>17% of comments about patient care collected via a carer questionnaire described care as generally poor</w:t>
            </w:r>
            <w:r w:rsidR="00156127" w:rsidRPr="00A73445">
              <w:rPr>
                <w:rFonts w:cs="Arial"/>
                <w:sz w:val="18"/>
                <w:szCs w:val="18"/>
              </w:rPr>
              <w:t>,</w:t>
            </w:r>
            <w:r w:rsidRPr="00A73445">
              <w:rPr>
                <w:rFonts w:cs="Arial"/>
                <w:sz w:val="18"/>
                <w:szCs w:val="18"/>
              </w:rPr>
              <w:t xml:space="preserve"> or alternative negative comment. 9% of comments expressed that the patient did not receive care appropriate to their needs</w:t>
            </w:r>
            <w:r w:rsidR="00CF469E">
              <w:rPr>
                <w:rFonts w:cs="Arial"/>
                <w:sz w:val="18"/>
                <w:szCs w:val="18"/>
              </w:rPr>
              <w:t>.</w:t>
            </w:r>
          </w:p>
        </w:tc>
      </w:tr>
      <w:tr w:rsidR="0015778B" w:rsidRPr="00A73445" w:rsidTr="00C07331">
        <w:tc>
          <w:tcPr>
            <w:tcW w:w="1666" w:type="dxa"/>
          </w:tcPr>
          <w:p w:rsidR="0015778B" w:rsidRPr="00A73445" w:rsidRDefault="0015778B" w:rsidP="00320DBC">
            <w:pPr>
              <w:rPr>
                <w:rFonts w:cs="Arial"/>
                <w:sz w:val="18"/>
                <w:szCs w:val="18"/>
              </w:rPr>
            </w:pPr>
            <w:r w:rsidRPr="00A73445">
              <w:rPr>
                <w:rFonts w:cs="Arial"/>
                <w:sz w:val="18"/>
                <w:szCs w:val="18"/>
              </w:rPr>
              <w:t>Alzheimer’s UK</w:t>
            </w:r>
            <w:r w:rsidR="00537471" w:rsidRPr="00A73445">
              <w:rPr>
                <w:rFonts w:cs="Arial"/>
                <w:sz w:val="18"/>
                <w:szCs w:val="18"/>
              </w:rPr>
              <w:t xml:space="preserve"> 2016</w:t>
            </w:r>
          </w:p>
        </w:tc>
        <w:tc>
          <w:tcPr>
            <w:tcW w:w="1164" w:type="dxa"/>
          </w:tcPr>
          <w:p w:rsidR="0015778B" w:rsidRPr="00A73445" w:rsidRDefault="0015778B" w:rsidP="00320DBC">
            <w:pPr>
              <w:rPr>
                <w:rFonts w:cs="Arial"/>
                <w:sz w:val="18"/>
                <w:szCs w:val="18"/>
              </w:rPr>
            </w:pPr>
            <w:r w:rsidRPr="00A73445">
              <w:rPr>
                <w:rFonts w:cs="Arial"/>
                <w:sz w:val="18"/>
                <w:szCs w:val="18"/>
              </w:rPr>
              <w:t>United Kingdom</w:t>
            </w:r>
          </w:p>
        </w:tc>
        <w:tc>
          <w:tcPr>
            <w:tcW w:w="2948" w:type="dxa"/>
          </w:tcPr>
          <w:p w:rsidR="0015778B" w:rsidRPr="00A73445" w:rsidRDefault="0015778B" w:rsidP="00320DBC">
            <w:pPr>
              <w:rPr>
                <w:rFonts w:cs="Arial"/>
                <w:sz w:val="18"/>
                <w:szCs w:val="18"/>
              </w:rPr>
            </w:pPr>
            <w:r w:rsidRPr="00A73445">
              <w:rPr>
                <w:rFonts w:cs="Arial"/>
                <w:sz w:val="18"/>
                <w:szCs w:val="18"/>
              </w:rPr>
              <w:t>Carers of patients with dementia in the acute setting.</w:t>
            </w:r>
          </w:p>
        </w:tc>
        <w:tc>
          <w:tcPr>
            <w:tcW w:w="2410" w:type="dxa"/>
          </w:tcPr>
          <w:p w:rsidR="0015778B" w:rsidRPr="00A73445" w:rsidRDefault="0015778B" w:rsidP="00320DBC">
            <w:pPr>
              <w:rPr>
                <w:rFonts w:cs="Arial"/>
                <w:sz w:val="18"/>
                <w:szCs w:val="18"/>
              </w:rPr>
            </w:pPr>
            <w:r w:rsidRPr="00A73445">
              <w:rPr>
                <w:rFonts w:cs="Arial"/>
                <w:sz w:val="18"/>
                <w:szCs w:val="18"/>
              </w:rPr>
              <w:t>Survey and Freedom of Information requests</w:t>
            </w:r>
          </w:p>
        </w:tc>
        <w:tc>
          <w:tcPr>
            <w:tcW w:w="5812" w:type="dxa"/>
          </w:tcPr>
          <w:p w:rsidR="0015778B" w:rsidRPr="00A73445" w:rsidRDefault="0015778B" w:rsidP="00CF469E">
            <w:pPr>
              <w:rPr>
                <w:rFonts w:cs="Arial"/>
                <w:sz w:val="18"/>
                <w:szCs w:val="18"/>
              </w:rPr>
            </w:pPr>
            <w:r w:rsidRPr="00A73445">
              <w:rPr>
                <w:rFonts w:cs="Arial"/>
                <w:sz w:val="18"/>
                <w:szCs w:val="18"/>
              </w:rPr>
              <w:t>Almost 60% of respondents felt the person with dementia they know wasn’t treated with dignity or understanding while in hospital, 92% said hospital environments are frightening for the person</w:t>
            </w:r>
            <w:r w:rsidR="00CF469E">
              <w:rPr>
                <w:rFonts w:cs="Arial"/>
                <w:sz w:val="18"/>
                <w:szCs w:val="18"/>
              </w:rPr>
              <w:t xml:space="preserve"> </w:t>
            </w:r>
            <w:r w:rsidRPr="00A73445">
              <w:rPr>
                <w:rFonts w:cs="Arial"/>
                <w:sz w:val="18"/>
                <w:szCs w:val="18"/>
              </w:rPr>
              <w:t>with dementia.</w:t>
            </w:r>
          </w:p>
        </w:tc>
      </w:tr>
      <w:tr w:rsidR="00591F23" w:rsidRPr="00A73445" w:rsidTr="00C07331">
        <w:tc>
          <w:tcPr>
            <w:tcW w:w="1666" w:type="dxa"/>
          </w:tcPr>
          <w:p w:rsidR="00F65B81" w:rsidRPr="00A73445" w:rsidRDefault="00C1459A" w:rsidP="00320DBC">
            <w:pPr>
              <w:rPr>
                <w:rFonts w:cs="Arial"/>
                <w:sz w:val="18"/>
                <w:szCs w:val="18"/>
              </w:rPr>
            </w:pPr>
            <w:proofErr w:type="spellStart"/>
            <w:r>
              <w:rPr>
                <w:rFonts w:cs="Arial"/>
                <w:sz w:val="18"/>
                <w:szCs w:val="18"/>
              </w:rPr>
              <w:t>Jurgens</w:t>
            </w:r>
            <w:proofErr w:type="spellEnd"/>
            <w:r w:rsidR="00FC412A" w:rsidRPr="00A73445">
              <w:rPr>
                <w:rFonts w:cs="Arial"/>
                <w:sz w:val="18"/>
                <w:szCs w:val="18"/>
              </w:rPr>
              <w:t xml:space="preserve"> 2012</w:t>
            </w:r>
          </w:p>
        </w:tc>
        <w:tc>
          <w:tcPr>
            <w:tcW w:w="1164" w:type="dxa"/>
          </w:tcPr>
          <w:p w:rsidR="00F65B81" w:rsidRPr="00A73445" w:rsidRDefault="003312B6" w:rsidP="00320DBC">
            <w:pPr>
              <w:rPr>
                <w:rFonts w:cs="Arial"/>
                <w:sz w:val="18"/>
                <w:szCs w:val="18"/>
              </w:rPr>
            </w:pPr>
            <w:r w:rsidRPr="00A73445">
              <w:rPr>
                <w:rFonts w:cs="Arial"/>
                <w:sz w:val="18"/>
                <w:szCs w:val="18"/>
              </w:rPr>
              <w:t>England</w:t>
            </w:r>
          </w:p>
        </w:tc>
        <w:tc>
          <w:tcPr>
            <w:tcW w:w="2948" w:type="dxa"/>
          </w:tcPr>
          <w:p w:rsidR="00F65B81" w:rsidRPr="00A73445" w:rsidRDefault="003312B6" w:rsidP="00320DBC">
            <w:pPr>
              <w:rPr>
                <w:rFonts w:cs="Arial"/>
                <w:sz w:val="18"/>
                <w:szCs w:val="18"/>
              </w:rPr>
            </w:pPr>
            <w:r w:rsidRPr="00A73445">
              <w:rPr>
                <w:rFonts w:cs="Arial"/>
                <w:sz w:val="18"/>
                <w:szCs w:val="18"/>
              </w:rPr>
              <w:t>35 family carers of confused older patients.</w:t>
            </w:r>
          </w:p>
        </w:tc>
        <w:tc>
          <w:tcPr>
            <w:tcW w:w="2410" w:type="dxa"/>
          </w:tcPr>
          <w:p w:rsidR="00F65B81" w:rsidRPr="00A73445" w:rsidRDefault="00FC412A" w:rsidP="00320DBC">
            <w:pPr>
              <w:rPr>
                <w:rFonts w:cs="Arial"/>
                <w:sz w:val="18"/>
                <w:szCs w:val="18"/>
              </w:rPr>
            </w:pPr>
            <w:r w:rsidRPr="00A73445">
              <w:rPr>
                <w:rFonts w:cs="Arial"/>
                <w:sz w:val="18"/>
                <w:szCs w:val="18"/>
              </w:rPr>
              <w:t>Qualitative interviews</w:t>
            </w:r>
          </w:p>
        </w:tc>
        <w:tc>
          <w:tcPr>
            <w:tcW w:w="5812" w:type="dxa"/>
          </w:tcPr>
          <w:p w:rsidR="00F65B81" w:rsidRPr="00A73445" w:rsidRDefault="000576C3" w:rsidP="00320DBC">
            <w:pPr>
              <w:rPr>
                <w:rFonts w:cs="Arial"/>
                <w:sz w:val="18"/>
                <w:szCs w:val="18"/>
              </w:rPr>
            </w:pPr>
            <w:r w:rsidRPr="00A73445">
              <w:rPr>
                <w:rFonts w:cs="Arial"/>
                <w:sz w:val="18"/>
                <w:szCs w:val="18"/>
              </w:rPr>
              <w:t>Development of ‘cycle of discontent’ model</w:t>
            </w:r>
            <w:r w:rsidR="003312B6" w:rsidRPr="00A73445">
              <w:rPr>
                <w:rFonts w:cs="Arial"/>
                <w:sz w:val="18"/>
                <w:szCs w:val="18"/>
              </w:rPr>
              <w:t>: poor communication and relationship building between staff and patients/carers led to expectations from the patient/carer not being met, and subsequent cycles of identification of poor care by carers, challenge to staff, further deterioration in the relationship and reporting of poor experience occurring</w:t>
            </w:r>
          </w:p>
        </w:tc>
      </w:tr>
      <w:tr w:rsidR="00591F23" w:rsidRPr="00A73445" w:rsidTr="00C07331">
        <w:tc>
          <w:tcPr>
            <w:tcW w:w="1666" w:type="dxa"/>
          </w:tcPr>
          <w:p w:rsidR="000576C3" w:rsidRPr="00A73445" w:rsidRDefault="00C1459A" w:rsidP="00320DBC">
            <w:pPr>
              <w:rPr>
                <w:rFonts w:cs="Arial"/>
                <w:sz w:val="18"/>
                <w:szCs w:val="18"/>
              </w:rPr>
            </w:pPr>
            <w:proofErr w:type="spellStart"/>
            <w:r>
              <w:rPr>
                <w:rFonts w:cs="Arial"/>
                <w:sz w:val="18"/>
                <w:szCs w:val="18"/>
              </w:rPr>
              <w:t>Clisset</w:t>
            </w:r>
            <w:proofErr w:type="spellEnd"/>
            <w:r w:rsidR="000576C3" w:rsidRPr="00A73445">
              <w:rPr>
                <w:rFonts w:cs="Arial"/>
                <w:sz w:val="18"/>
                <w:szCs w:val="18"/>
              </w:rPr>
              <w:t xml:space="preserve"> 2013</w:t>
            </w:r>
          </w:p>
        </w:tc>
        <w:tc>
          <w:tcPr>
            <w:tcW w:w="1164" w:type="dxa"/>
          </w:tcPr>
          <w:p w:rsidR="000576C3" w:rsidRPr="00A73445" w:rsidRDefault="00737233" w:rsidP="00320DBC">
            <w:pPr>
              <w:rPr>
                <w:rFonts w:cs="Arial"/>
                <w:sz w:val="18"/>
                <w:szCs w:val="18"/>
              </w:rPr>
            </w:pPr>
            <w:r w:rsidRPr="00A73445">
              <w:rPr>
                <w:rFonts w:cs="Arial"/>
                <w:sz w:val="18"/>
                <w:szCs w:val="18"/>
              </w:rPr>
              <w:t>United Kingdom</w:t>
            </w:r>
          </w:p>
        </w:tc>
        <w:tc>
          <w:tcPr>
            <w:tcW w:w="2948" w:type="dxa"/>
          </w:tcPr>
          <w:p w:rsidR="00737233" w:rsidRPr="00A73445" w:rsidRDefault="00D605A2" w:rsidP="00320DBC">
            <w:pPr>
              <w:rPr>
                <w:rFonts w:cs="Arial"/>
                <w:sz w:val="18"/>
                <w:szCs w:val="18"/>
              </w:rPr>
            </w:pPr>
            <w:r w:rsidRPr="00A73445">
              <w:rPr>
                <w:rFonts w:cs="Arial"/>
                <w:sz w:val="18"/>
                <w:szCs w:val="18"/>
              </w:rPr>
              <w:t>34 p</w:t>
            </w:r>
            <w:r w:rsidR="000576C3" w:rsidRPr="00A73445">
              <w:rPr>
                <w:rFonts w:cs="Arial"/>
                <w:sz w:val="18"/>
                <w:szCs w:val="18"/>
              </w:rPr>
              <w:t xml:space="preserve">atients with dementia </w:t>
            </w:r>
            <w:r w:rsidR="00737233" w:rsidRPr="00A73445">
              <w:rPr>
                <w:rFonts w:cs="Arial"/>
                <w:sz w:val="18"/>
                <w:szCs w:val="18"/>
              </w:rPr>
              <w:t>admitted to acute general medical, health care for older people, and orthopaedic wards, family carers and co-patients</w:t>
            </w:r>
          </w:p>
        </w:tc>
        <w:tc>
          <w:tcPr>
            <w:tcW w:w="2410" w:type="dxa"/>
          </w:tcPr>
          <w:p w:rsidR="000576C3" w:rsidRPr="00A73445" w:rsidRDefault="00737233" w:rsidP="00320DBC">
            <w:pPr>
              <w:rPr>
                <w:rFonts w:cs="Arial"/>
                <w:sz w:val="18"/>
                <w:szCs w:val="18"/>
              </w:rPr>
            </w:pPr>
            <w:r w:rsidRPr="00A73445">
              <w:rPr>
                <w:rFonts w:cs="Arial"/>
                <w:sz w:val="18"/>
                <w:szCs w:val="18"/>
              </w:rPr>
              <w:t>Non-participant observations, qualitative interviews</w:t>
            </w:r>
          </w:p>
        </w:tc>
        <w:tc>
          <w:tcPr>
            <w:tcW w:w="5812" w:type="dxa"/>
          </w:tcPr>
          <w:p w:rsidR="000576C3" w:rsidRPr="00A73445" w:rsidRDefault="00DD0112" w:rsidP="00320DBC">
            <w:pPr>
              <w:rPr>
                <w:rFonts w:cs="Arial"/>
                <w:sz w:val="18"/>
                <w:szCs w:val="18"/>
              </w:rPr>
            </w:pPr>
            <w:r w:rsidRPr="00A73445">
              <w:rPr>
                <w:rFonts w:cs="Arial"/>
                <w:sz w:val="18"/>
                <w:szCs w:val="18"/>
              </w:rPr>
              <w:t>Person-centred care was observed, but there were m</w:t>
            </w:r>
            <w:r w:rsidR="000576C3" w:rsidRPr="00A73445">
              <w:rPr>
                <w:rFonts w:cs="Arial"/>
                <w:sz w:val="18"/>
                <w:szCs w:val="18"/>
              </w:rPr>
              <w:t xml:space="preserve">ore opportunities to sustain personhood, according to </w:t>
            </w:r>
            <w:proofErr w:type="spellStart"/>
            <w:r w:rsidR="000576C3" w:rsidRPr="00A73445">
              <w:rPr>
                <w:rFonts w:cs="Arial"/>
                <w:sz w:val="18"/>
                <w:szCs w:val="18"/>
              </w:rPr>
              <w:t>Kitwood’s</w:t>
            </w:r>
            <w:proofErr w:type="spellEnd"/>
            <w:r w:rsidR="000576C3" w:rsidRPr="00A73445">
              <w:rPr>
                <w:rFonts w:cs="Arial"/>
                <w:sz w:val="18"/>
                <w:szCs w:val="18"/>
              </w:rPr>
              <w:t xml:space="preserve"> five domains of person-centred care</w:t>
            </w:r>
            <w:r w:rsidRPr="00A73445">
              <w:rPr>
                <w:rFonts w:cs="Arial"/>
                <w:sz w:val="18"/>
                <w:szCs w:val="18"/>
              </w:rPr>
              <w:t xml:space="preserve"> - </w:t>
            </w:r>
            <w:r w:rsidR="00737233" w:rsidRPr="00A73445">
              <w:rPr>
                <w:rFonts w:cs="Arial"/>
                <w:sz w:val="18"/>
                <w:szCs w:val="18"/>
              </w:rPr>
              <w:t>identity, inclusion, attachment, comfort and occupation</w:t>
            </w:r>
            <w:r w:rsidR="000576C3" w:rsidRPr="00A73445">
              <w:rPr>
                <w:rFonts w:cs="Arial"/>
                <w:sz w:val="18"/>
                <w:szCs w:val="18"/>
              </w:rPr>
              <w:t>.</w:t>
            </w:r>
          </w:p>
        </w:tc>
      </w:tr>
      <w:tr w:rsidR="00D40418" w:rsidRPr="00A73445" w:rsidTr="00985C0A">
        <w:tc>
          <w:tcPr>
            <w:tcW w:w="14000" w:type="dxa"/>
            <w:gridSpan w:val="5"/>
          </w:tcPr>
          <w:p w:rsidR="00D40418" w:rsidRPr="00A73445" w:rsidRDefault="00D40418" w:rsidP="00D40418">
            <w:pPr>
              <w:rPr>
                <w:rFonts w:cs="Arial"/>
                <w:b/>
                <w:i/>
                <w:sz w:val="18"/>
                <w:szCs w:val="18"/>
              </w:rPr>
            </w:pPr>
            <w:r w:rsidRPr="00A73445">
              <w:rPr>
                <w:rFonts w:cs="Arial"/>
                <w:b/>
                <w:i/>
                <w:sz w:val="18"/>
                <w:szCs w:val="18"/>
              </w:rPr>
              <w:t>Behavioural and psychological symptoms of dementia (BPSD)</w:t>
            </w:r>
          </w:p>
        </w:tc>
      </w:tr>
      <w:tr w:rsidR="00A73445" w:rsidRPr="00A73445" w:rsidTr="00C07331">
        <w:tc>
          <w:tcPr>
            <w:tcW w:w="1666" w:type="dxa"/>
          </w:tcPr>
          <w:p w:rsidR="00D40418" w:rsidRPr="00A73445" w:rsidRDefault="00D40418" w:rsidP="00D40418">
            <w:pPr>
              <w:rPr>
                <w:rFonts w:cs="Arial"/>
                <w:sz w:val="18"/>
                <w:szCs w:val="18"/>
              </w:rPr>
            </w:pPr>
            <w:r w:rsidRPr="00A73445">
              <w:rPr>
                <w:rFonts w:cs="Arial"/>
                <w:sz w:val="18"/>
                <w:szCs w:val="18"/>
              </w:rPr>
              <w:t>Sampson 2014</w:t>
            </w:r>
          </w:p>
        </w:tc>
        <w:tc>
          <w:tcPr>
            <w:tcW w:w="1164" w:type="dxa"/>
          </w:tcPr>
          <w:p w:rsidR="00D40418" w:rsidRPr="00A73445" w:rsidRDefault="00D40418" w:rsidP="00D40418">
            <w:pPr>
              <w:rPr>
                <w:rFonts w:cs="Arial"/>
                <w:sz w:val="18"/>
                <w:szCs w:val="18"/>
              </w:rPr>
            </w:pPr>
            <w:r w:rsidRPr="00A73445">
              <w:rPr>
                <w:rFonts w:cs="Arial"/>
                <w:sz w:val="18"/>
                <w:szCs w:val="18"/>
              </w:rPr>
              <w:t>UK</w:t>
            </w:r>
          </w:p>
        </w:tc>
        <w:tc>
          <w:tcPr>
            <w:tcW w:w="2948" w:type="dxa"/>
          </w:tcPr>
          <w:p w:rsidR="00D40418" w:rsidRPr="00A73445" w:rsidRDefault="00D40418" w:rsidP="00D40418">
            <w:pPr>
              <w:rPr>
                <w:rFonts w:cs="Arial"/>
                <w:sz w:val="18"/>
                <w:szCs w:val="18"/>
              </w:rPr>
            </w:pPr>
            <w:r w:rsidRPr="00A73445">
              <w:rPr>
                <w:rFonts w:cs="Arial"/>
                <w:sz w:val="18"/>
                <w:szCs w:val="18"/>
              </w:rPr>
              <w:t>230 patients aged 70+ with dementia admitted to hospital for acute medical illness</w:t>
            </w:r>
          </w:p>
        </w:tc>
        <w:tc>
          <w:tcPr>
            <w:tcW w:w="2410" w:type="dxa"/>
          </w:tcPr>
          <w:p w:rsidR="00D40418" w:rsidRPr="00A73445" w:rsidRDefault="00D40418" w:rsidP="00D40418">
            <w:pPr>
              <w:rPr>
                <w:rFonts w:cs="Arial"/>
                <w:sz w:val="18"/>
                <w:szCs w:val="18"/>
              </w:rPr>
            </w:pPr>
            <w:r w:rsidRPr="00A73445">
              <w:rPr>
                <w:rFonts w:cs="Arial"/>
                <w:sz w:val="18"/>
                <w:szCs w:val="18"/>
              </w:rPr>
              <w:t>Prospective cohort</w:t>
            </w:r>
          </w:p>
        </w:tc>
        <w:tc>
          <w:tcPr>
            <w:tcW w:w="5812" w:type="dxa"/>
          </w:tcPr>
          <w:p w:rsidR="00D40418" w:rsidRPr="00A73445" w:rsidRDefault="00D40418" w:rsidP="00D40418">
            <w:pPr>
              <w:rPr>
                <w:rFonts w:cs="Arial"/>
                <w:sz w:val="18"/>
                <w:szCs w:val="18"/>
              </w:rPr>
            </w:pPr>
            <w:r w:rsidRPr="00A73445">
              <w:rPr>
                <w:rFonts w:cs="Arial"/>
                <w:sz w:val="18"/>
                <w:szCs w:val="18"/>
              </w:rPr>
              <w:t xml:space="preserve">The prevalence of BPSD symptoms in people with dementia in hospital rose from 62% at baseline, to 75% during the admission, with 43% being moderately/severely troubling to staff. The overall BEHAVE-AD score was in turn associated with an increase in mortality: </w:t>
            </w:r>
            <w:proofErr w:type="spellStart"/>
            <w:r w:rsidRPr="00A73445">
              <w:rPr>
                <w:rFonts w:cs="Arial"/>
                <w:sz w:val="18"/>
                <w:szCs w:val="18"/>
              </w:rPr>
              <w:t>aOR</w:t>
            </w:r>
            <w:proofErr w:type="spellEnd"/>
            <w:r w:rsidRPr="00A73445">
              <w:rPr>
                <w:rFonts w:cs="Arial"/>
                <w:sz w:val="18"/>
                <w:szCs w:val="18"/>
              </w:rPr>
              <w:t xml:space="preserve"> 1.11 [1.01-1.20], p=0.022</w:t>
            </w:r>
          </w:p>
        </w:tc>
      </w:tr>
      <w:tr w:rsidR="00A73445" w:rsidRPr="00A73445" w:rsidTr="00C07331">
        <w:tc>
          <w:tcPr>
            <w:tcW w:w="1666" w:type="dxa"/>
          </w:tcPr>
          <w:p w:rsidR="00D40418" w:rsidRPr="00A73445" w:rsidRDefault="00D40418" w:rsidP="00D40418">
            <w:pPr>
              <w:rPr>
                <w:rFonts w:cs="Arial"/>
                <w:sz w:val="18"/>
                <w:szCs w:val="18"/>
              </w:rPr>
            </w:pPr>
            <w:r w:rsidRPr="00A73445">
              <w:rPr>
                <w:rFonts w:cs="Arial"/>
                <w:sz w:val="18"/>
                <w:szCs w:val="18"/>
              </w:rPr>
              <w:t>Soto 2012</w:t>
            </w:r>
          </w:p>
        </w:tc>
        <w:tc>
          <w:tcPr>
            <w:tcW w:w="1164" w:type="dxa"/>
          </w:tcPr>
          <w:p w:rsidR="00D40418" w:rsidRPr="00A73445" w:rsidRDefault="00D40418" w:rsidP="00D40418">
            <w:pPr>
              <w:rPr>
                <w:rFonts w:cs="Arial"/>
                <w:sz w:val="18"/>
                <w:szCs w:val="18"/>
              </w:rPr>
            </w:pPr>
            <w:r w:rsidRPr="00A73445">
              <w:rPr>
                <w:rFonts w:cs="Arial"/>
                <w:sz w:val="18"/>
                <w:szCs w:val="18"/>
              </w:rPr>
              <w:t>France</w:t>
            </w:r>
          </w:p>
        </w:tc>
        <w:tc>
          <w:tcPr>
            <w:tcW w:w="2948" w:type="dxa"/>
          </w:tcPr>
          <w:p w:rsidR="00D40418" w:rsidRPr="00A73445" w:rsidRDefault="00CF469E" w:rsidP="00D40418">
            <w:pPr>
              <w:rPr>
                <w:rFonts w:cs="Arial"/>
                <w:sz w:val="18"/>
                <w:szCs w:val="18"/>
              </w:rPr>
            </w:pPr>
            <w:r>
              <w:rPr>
                <w:rFonts w:cs="Arial"/>
                <w:sz w:val="18"/>
                <w:szCs w:val="18"/>
              </w:rPr>
              <w:t xml:space="preserve">6,299 patients with dementia admitted to an </w:t>
            </w:r>
            <w:r w:rsidR="00D40418" w:rsidRPr="00A73445">
              <w:rPr>
                <w:rFonts w:cs="Arial"/>
                <w:sz w:val="18"/>
                <w:szCs w:val="18"/>
              </w:rPr>
              <w:t>Alzheimer Special Acute Care inpatient Unit</w:t>
            </w:r>
          </w:p>
        </w:tc>
        <w:tc>
          <w:tcPr>
            <w:tcW w:w="2410" w:type="dxa"/>
          </w:tcPr>
          <w:p w:rsidR="00D40418" w:rsidRPr="00A73445" w:rsidRDefault="00D40418" w:rsidP="00D40418">
            <w:pPr>
              <w:rPr>
                <w:rFonts w:cs="Arial"/>
                <w:sz w:val="18"/>
                <w:szCs w:val="18"/>
              </w:rPr>
            </w:pPr>
            <w:r w:rsidRPr="00A73445">
              <w:rPr>
                <w:rFonts w:cs="Arial"/>
                <w:sz w:val="18"/>
                <w:szCs w:val="18"/>
              </w:rPr>
              <w:t>Observational study</w:t>
            </w:r>
          </w:p>
        </w:tc>
        <w:tc>
          <w:tcPr>
            <w:tcW w:w="5812" w:type="dxa"/>
          </w:tcPr>
          <w:p w:rsidR="00D40418" w:rsidRPr="00A73445" w:rsidRDefault="00D40418" w:rsidP="00D40418">
            <w:pPr>
              <w:rPr>
                <w:rFonts w:cs="Arial"/>
                <w:sz w:val="18"/>
                <w:szCs w:val="18"/>
              </w:rPr>
            </w:pPr>
            <w:r w:rsidRPr="00A73445">
              <w:rPr>
                <w:rFonts w:cs="Arial"/>
                <w:sz w:val="18"/>
                <w:szCs w:val="18"/>
              </w:rPr>
              <w:t>BPSD was the most frequent cause of complications, with agitation/aggressiveness representing 60% of BPSD events</w:t>
            </w:r>
          </w:p>
        </w:tc>
      </w:tr>
      <w:tr w:rsidR="00A73445" w:rsidRPr="00A73445" w:rsidTr="00C07331">
        <w:tc>
          <w:tcPr>
            <w:tcW w:w="1666" w:type="dxa"/>
          </w:tcPr>
          <w:p w:rsidR="00D40418" w:rsidRPr="00A73445" w:rsidRDefault="00D40418" w:rsidP="00D40418">
            <w:pPr>
              <w:rPr>
                <w:rFonts w:cs="Arial"/>
                <w:sz w:val="18"/>
                <w:szCs w:val="18"/>
              </w:rPr>
            </w:pPr>
            <w:proofErr w:type="spellStart"/>
            <w:r w:rsidRPr="00A73445">
              <w:rPr>
                <w:rFonts w:cs="Arial"/>
                <w:sz w:val="18"/>
                <w:szCs w:val="18"/>
              </w:rPr>
              <w:t>Porock</w:t>
            </w:r>
            <w:proofErr w:type="spellEnd"/>
            <w:r w:rsidRPr="00A73445">
              <w:rPr>
                <w:rFonts w:cs="Arial"/>
                <w:sz w:val="18"/>
                <w:szCs w:val="18"/>
              </w:rPr>
              <w:t xml:space="preserve"> 2016</w:t>
            </w:r>
          </w:p>
        </w:tc>
        <w:tc>
          <w:tcPr>
            <w:tcW w:w="1164" w:type="dxa"/>
          </w:tcPr>
          <w:p w:rsidR="00D40418" w:rsidRPr="00A73445" w:rsidRDefault="00D40418" w:rsidP="00D40418">
            <w:pPr>
              <w:rPr>
                <w:rFonts w:cs="Arial"/>
                <w:sz w:val="18"/>
                <w:szCs w:val="18"/>
              </w:rPr>
            </w:pPr>
            <w:r w:rsidRPr="00A73445">
              <w:rPr>
                <w:rFonts w:cs="Arial"/>
                <w:sz w:val="18"/>
                <w:szCs w:val="18"/>
              </w:rPr>
              <w:t>UK</w:t>
            </w:r>
          </w:p>
        </w:tc>
        <w:tc>
          <w:tcPr>
            <w:tcW w:w="2948" w:type="dxa"/>
          </w:tcPr>
          <w:p w:rsidR="00D40418" w:rsidRPr="00A73445" w:rsidRDefault="00D40418" w:rsidP="00D40418">
            <w:pPr>
              <w:rPr>
                <w:rFonts w:cs="Arial"/>
                <w:sz w:val="18"/>
                <w:szCs w:val="18"/>
              </w:rPr>
            </w:pPr>
            <w:r w:rsidRPr="00A73445">
              <w:rPr>
                <w:rFonts w:cs="Arial"/>
                <w:sz w:val="18"/>
                <w:szCs w:val="18"/>
              </w:rPr>
              <w:t>34 patients admitted to acute hospital care, and 32 carers</w:t>
            </w:r>
          </w:p>
        </w:tc>
        <w:tc>
          <w:tcPr>
            <w:tcW w:w="2410" w:type="dxa"/>
          </w:tcPr>
          <w:p w:rsidR="00D40418" w:rsidRPr="00A73445" w:rsidRDefault="00D40418" w:rsidP="00D40418">
            <w:pPr>
              <w:rPr>
                <w:rFonts w:cs="Arial"/>
                <w:sz w:val="18"/>
                <w:szCs w:val="18"/>
              </w:rPr>
            </w:pPr>
            <w:r w:rsidRPr="00A73445">
              <w:rPr>
                <w:rFonts w:cs="Arial"/>
                <w:sz w:val="18"/>
                <w:szCs w:val="18"/>
              </w:rPr>
              <w:t>Qualitative study - interviews</w:t>
            </w:r>
          </w:p>
        </w:tc>
        <w:tc>
          <w:tcPr>
            <w:tcW w:w="5812" w:type="dxa"/>
          </w:tcPr>
          <w:p w:rsidR="00D40418" w:rsidRPr="00A73445" w:rsidRDefault="00D40418" w:rsidP="00D40418">
            <w:pPr>
              <w:rPr>
                <w:rFonts w:cs="Arial"/>
                <w:sz w:val="18"/>
                <w:szCs w:val="18"/>
              </w:rPr>
            </w:pPr>
            <w:r w:rsidRPr="00A73445">
              <w:rPr>
                <w:rFonts w:cs="Arial"/>
                <w:sz w:val="18"/>
                <w:szCs w:val="18"/>
              </w:rPr>
              <w:t>Disruption in routine, for example admission to hospital, has a negative impact on a person with dementia, and can trigger changes in behaviour as the patient attempts to gain control over their unfamiliar environment.</w:t>
            </w:r>
          </w:p>
        </w:tc>
      </w:tr>
      <w:tr w:rsidR="00D40418" w:rsidRPr="00A73445" w:rsidTr="00985C0A">
        <w:tc>
          <w:tcPr>
            <w:tcW w:w="14000" w:type="dxa"/>
            <w:gridSpan w:val="5"/>
          </w:tcPr>
          <w:p w:rsidR="00D40418" w:rsidRPr="00A73445" w:rsidRDefault="00D40418" w:rsidP="00D40418">
            <w:pPr>
              <w:rPr>
                <w:rFonts w:cs="Arial"/>
                <w:b/>
                <w:i/>
                <w:sz w:val="18"/>
                <w:szCs w:val="18"/>
              </w:rPr>
            </w:pPr>
            <w:r w:rsidRPr="00A73445">
              <w:rPr>
                <w:rFonts w:cs="Arial"/>
                <w:b/>
                <w:i/>
                <w:sz w:val="18"/>
                <w:szCs w:val="18"/>
              </w:rPr>
              <w:t>Malnutrition or dehydration</w:t>
            </w:r>
          </w:p>
        </w:tc>
      </w:tr>
      <w:tr w:rsidR="00A73445" w:rsidRPr="00A73445" w:rsidTr="00C07331">
        <w:tc>
          <w:tcPr>
            <w:tcW w:w="1666" w:type="dxa"/>
          </w:tcPr>
          <w:p w:rsidR="00D40418" w:rsidRPr="00A73445" w:rsidRDefault="00D40418" w:rsidP="00D40418">
            <w:pPr>
              <w:rPr>
                <w:rFonts w:cs="Arial"/>
                <w:sz w:val="18"/>
                <w:szCs w:val="18"/>
              </w:rPr>
            </w:pPr>
            <w:proofErr w:type="spellStart"/>
            <w:r w:rsidRPr="00A73445">
              <w:rPr>
                <w:rFonts w:cs="Arial"/>
                <w:sz w:val="18"/>
                <w:szCs w:val="18"/>
              </w:rPr>
              <w:t>Kagansky</w:t>
            </w:r>
            <w:proofErr w:type="spellEnd"/>
            <w:r w:rsidRPr="00A73445">
              <w:rPr>
                <w:rFonts w:cs="Arial"/>
                <w:sz w:val="18"/>
                <w:szCs w:val="18"/>
              </w:rPr>
              <w:t xml:space="preserve"> 2005</w:t>
            </w:r>
          </w:p>
        </w:tc>
        <w:tc>
          <w:tcPr>
            <w:tcW w:w="1164" w:type="dxa"/>
          </w:tcPr>
          <w:p w:rsidR="00D40418" w:rsidRPr="00A73445" w:rsidRDefault="00D40418" w:rsidP="00D40418">
            <w:pPr>
              <w:rPr>
                <w:rFonts w:cs="Arial"/>
                <w:sz w:val="18"/>
                <w:szCs w:val="18"/>
              </w:rPr>
            </w:pPr>
            <w:r w:rsidRPr="00A73445">
              <w:rPr>
                <w:rFonts w:cs="Arial"/>
                <w:sz w:val="18"/>
                <w:szCs w:val="18"/>
              </w:rPr>
              <w:t>Israel</w:t>
            </w:r>
          </w:p>
        </w:tc>
        <w:tc>
          <w:tcPr>
            <w:tcW w:w="2948" w:type="dxa"/>
          </w:tcPr>
          <w:p w:rsidR="00D40418" w:rsidRPr="00A73445" w:rsidRDefault="00D40418" w:rsidP="00D40418">
            <w:pPr>
              <w:rPr>
                <w:rFonts w:cs="Arial"/>
                <w:sz w:val="18"/>
                <w:szCs w:val="18"/>
              </w:rPr>
            </w:pPr>
            <w:r w:rsidRPr="00A73445">
              <w:rPr>
                <w:rFonts w:cs="Arial"/>
                <w:sz w:val="18"/>
                <w:szCs w:val="18"/>
              </w:rPr>
              <w:t xml:space="preserve">414 patients aged 75+ admitted to geriatric ward, including 107 patients </w:t>
            </w:r>
            <w:r w:rsidRPr="00A73445">
              <w:rPr>
                <w:rFonts w:cs="Arial"/>
                <w:sz w:val="18"/>
                <w:szCs w:val="18"/>
              </w:rPr>
              <w:lastRenderedPageBreak/>
              <w:t>with dementia.</w:t>
            </w:r>
          </w:p>
        </w:tc>
        <w:tc>
          <w:tcPr>
            <w:tcW w:w="2410" w:type="dxa"/>
          </w:tcPr>
          <w:p w:rsidR="00D40418" w:rsidRPr="00A73445" w:rsidRDefault="00D40418" w:rsidP="00D40418">
            <w:pPr>
              <w:rPr>
                <w:rFonts w:cs="Arial"/>
                <w:sz w:val="18"/>
                <w:szCs w:val="18"/>
              </w:rPr>
            </w:pPr>
            <w:r w:rsidRPr="00A73445">
              <w:rPr>
                <w:rFonts w:cs="Arial"/>
                <w:sz w:val="18"/>
                <w:szCs w:val="18"/>
              </w:rPr>
              <w:lastRenderedPageBreak/>
              <w:t>Prospective cohort</w:t>
            </w:r>
          </w:p>
          <w:p w:rsidR="00D40418" w:rsidRPr="00A73445" w:rsidRDefault="00D40418" w:rsidP="00D40418">
            <w:pPr>
              <w:rPr>
                <w:rFonts w:cs="Arial"/>
                <w:sz w:val="18"/>
                <w:szCs w:val="18"/>
              </w:rPr>
            </w:pPr>
          </w:p>
        </w:tc>
        <w:tc>
          <w:tcPr>
            <w:tcW w:w="5812" w:type="dxa"/>
          </w:tcPr>
          <w:p w:rsidR="00D40418" w:rsidRPr="00A73445" w:rsidRDefault="00D40418" w:rsidP="00D40418">
            <w:pPr>
              <w:rPr>
                <w:rFonts w:cs="Arial"/>
                <w:sz w:val="18"/>
                <w:szCs w:val="18"/>
              </w:rPr>
            </w:pPr>
            <w:r w:rsidRPr="00A73445">
              <w:rPr>
                <w:rFonts w:cs="Arial"/>
                <w:sz w:val="18"/>
                <w:szCs w:val="18"/>
              </w:rPr>
              <w:t xml:space="preserve">People with dementia were more likely to have a low MNA at admission: OR 3.85 [1.55 - 9.59], as well as laboratory indices of malnutrition such as </w:t>
            </w:r>
            <w:r w:rsidRPr="00A73445">
              <w:rPr>
                <w:rFonts w:cs="Arial"/>
                <w:sz w:val="18"/>
                <w:szCs w:val="18"/>
              </w:rPr>
              <w:lastRenderedPageBreak/>
              <w:t xml:space="preserve">albumin, transferrin and the </w:t>
            </w:r>
            <w:proofErr w:type="spellStart"/>
            <w:r w:rsidRPr="00A73445">
              <w:rPr>
                <w:rFonts w:cs="Arial"/>
                <w:sz w:val="18"/>
                <w:szCs w:val="18"/>
              </w:rPr>
              <w:t>urea</w:t>
            </w:r>
            <w:proofErr w:type="gramStart"/>
            <w:r w:rsidRPr="00A73445">
              <w:rPr>
                <w:rFonts w:cs="Arial"/>
                <w:sz w:val="18"/>
                <w:szCs w:val="18"/>
              </w:rPr>
              <w:t>:creatinine</w:t>
            </w:r>
            <w:proofErr w:type="spellEnd"/>
            <w:proofErr w:type="gramEnd"/>
            <w:r w:rsidRPr="00A73445">
              <w:rPr>
                <w:rFonts w:cs="Arial"/>
                <w:sz w:val="18"/>
                <w:szCs w:val="18"/>
              </w:rPr>
              <w:t xml:space="preserve"> ratio. The MNA score and the sub-score related to dietary habits (MNA-3) were significant predictors of death in hospital, with scores &lt;7.5 increasing the risk of death 2.05-fold.</w:t>
            </w:r>
          </w:p>
        </w:tc>
      </w:tr>
      <w:tr w:rsidR="00A73445" w:rsidRPr="00A73445" w:rsidTr="00C07331">
        <w:tc>
          <w:tcPr>
            <w:tcW w:w="1666" w:type="dxa"/>
          </w:tcPr>
          <w:p w:rsidR="00D40418" w:rsidRPr="00A73445" w:rsidRDefault="00D40418" w:rsidP="00D40418">
            <w:pPr>
              <w:rPr>
                <w:rFonts w:cs="Arial"/>
                <w:sz w:val="18"/>
                <w:szCs w:val="18"/>
              </w:rPr>
            </w:pPr>
            <w:r w:rsidRPr="00A73445">
              <w:rPr>
                <w:rFonts w:cs="Arial"/>
                <w:sz w:val="18"/>
                <w:szCs w:val="18"/>
              </w:rPr>
              <w:lastRenderedPageBreak/>
              <w:t>Miller 2006</w:t>
            </w:r>
          </w:p>
        </w:tc>
        <w:tc>
          <w:tcPr>
            <w:tcW w:w="1164" w:type="dxa"/>
          </w:tcPr>
          <w:p w:rsidR="00D40418" w:rsidRPr="00A73445" w:rsidRDefault="00D40418" w:rsidP="00D40418">
            <w:pPr>
              <w:rPr>
                <w:rFonts w:cs="Arial"/>
                <w:sz w:val="18"/>
                <w:szCs w:val="18"/>
              </w:rPr>
            </w:pPr>
            <w:r w:rsidRPr="00A73445">
              <w:rPr>
                <w:rFonts w:cs="Arial"/>
                <w:sz w:val="18"/>
                <w:szCs w:val="18"/>
              </w:rPr>
              <w:t xml:space="preserve">Australia </w:t>
            </w:r>
          </w:p>
        </w:tc>
        <w:tc>
          <w:tcPr>
            <w:tcW w:w="2948" w:type="dxa"/>
          </w:tcPr>
          <w:p w:rsidR="00D40418" w:rsidRPr="00A73445" w:rsidRDefault="00D40418" w:rsidP="00D40418">
            <w:pPr>
              <w:rPr>
                <w:rFonts w:cs="Arial"/>
                <w:sz w:val="18"/>
                <w:szCs w:val="18"/>
              </w:rPr>
            </w:pPr>
            <w:r w:rsidRPr="00A73445">
              <w:rPr>
                <w:rFonts w:cs="Arial"/>
                <w:sz w:val="18"/>
                <w:szCs w:val="18"/>
              </w:rPr>
              <w:t>68 patients aged 70+ admitted to orthopaedic ward for lower limb fracture, 50% with cognitive impairment (as per SPMSQ)</w:t>
            </w:r>
          </w:p>
        </w:tc>
        <w:tc>
          <w:tcPr>
            <w:tcW w:w="2410" w:type="dxa"/>
          </w:tcPr>
          <w:p w:rsidR="00D40418" w:rsidRPr="00A73445" w:rsidRDefault="00D40418" w:rsidP="00D40418">
            <w:pPr>
              <w:rPr>
                <w:rFonts w:cs="Arial"/>
                <w:sz w:val="18"/>
                <w:szCs w:val="18"/>
              </w:rPr>
            </w:pPr>
            <w:r w:rsidRPr="00A73445">
              <w:rPr>
                <w:rFonts w:cs="Arial"/>
                <w:sz w:val="18"/>
                <w:szCs w:val="18"/>
              </w:rPr>
              <w:t>Prospective cohort</w:t>
            </w:r>
          </w:p>
        </w:tc>
        <w:tc>
          <w:tcPr>
            <w:tcW w:w="5812" w:type="dxa"/>
          </w:tcPr>
          <w:p w:rsidR="00D40418" w:rsidRPr="00A73445" w:rsidRDefault="00D40418" w:rsidP="00D40418">
            <w:pPr>
              <w:rPr>
                <w:rFonts w:cs="Arial"/>
                <w:sz w:val="18"/>
                <w:szCs w:val="18"/>
              </w:rPr>
            </w:pPr>
            <w:r w:rsidRPr="00A73445">
              <w:rPr>
                <w:rFonts w:cs="Arial"/>
                <w:sz w:val="18"/>
                <w:szCs w:val="18"/>
              </w:rPr>
              <w:t>Cognitively impaired participants and those without cognitive impairment consumed, mean (95% CI) respectively, 3661 kJ/day (3201, 4121) versus 4208 kJ/day (3798, 4619) and 38 g (33, 44) versus 47 g (41, 52) protein/day. Cognitively impaired participants consumed mean (95% CI) 48% (43, 53) of estimated total energy expenditure and 78% (69, 87) of estimated protein requirements.</w:t>
            </w:r>
          </w:p>
        </w:tc>
      </w:tr>
      <w:tr w:rsidR="00A73445" w:rsidRPr="00A73445" w:rsidTr="00C07331">
        <w:tc>
          <w:tcPr>
            <w:tcW w:w="1666" w:type="dxa"/>
          </w:tcPr>
          <w:p w:rsidR="00D40418" w:rsidRPr="00A73445" w:rsidRDefault="00F0474A" w:rsidP="00F0474A">
            <w:pPr>
              <w:rPr>
                <w:rFonts w:cs="Arial"/>
                <w:sz w:val="18"/>
                <w:szCs w:val="18"/>
              </w:rPr>
            </w:pPr>
            <w:r>
              <w:rPr>
                <w:rFonts w:cs="Arial"/>
                <w:sz w:val="18"/>
                <w:szCs w:val="18"/>
              </w:rPr>
              <w:t>Royal College of Psychiatrists, 2017</w:t>
            </w:r>
          </w:p>
        </w:tc>
        <w:tc>
          <w:tcPr>
            <w:tcW w:w="1164" w:type="dxa"/>
          </w:tcPr>
          <w:p w:rsidR="00D40418" w:rsidRPr="00A73445" w:rsidRDefault="00A35F5D" w:rsidP="00D40418">
            <w:pPr>
              <w:rPr>
                <w:rFonts w:cs="Arial"/>
                <w:sz w:val="18"/>
                <w:szCs w:val="18"/>
              </w:rPr>
            </w:pPr>
            <w:r>
              <w:rPr>
                <w:rFonts w:cs="Arial"/>
                <w:sz w:val="18"/>
                <w:szCs w:val="18"/>
              </w:rPr>
              <w:t>UK</w:t>
            </w:r>
          </w:p>
        </w:tc>
        <w:tc>
          <w:tcPr>
            <w:tcW w:w="2948" w:type="dxa"/>
          </w:tcPr>
          <w:p w:rsidR="00D40418" w:rsidRPr="00A73445" w:rsidRDefault="00CF469E" w:rsidP="00D40418">
            <w:pPr>
              <w:rPr>
                <w:rFonts w:cs="Arial"/>
                <w:sz w:val="18"/>
                <w:szCs w:val="18"/>
              </w:rPr>
            </w:pPr>
            <w:r w:rsidRPr="00A73445">
              <w:rPr>
                <w:rFonts w:cs="Arial"/>
                <w:sz w:val="18"/>
                <w:szCs w:val="18"/>
              </w:rPr>
              <w:t>Patients with dementia in the acute setting.</w:t>
            </w:r>
          </w:p>
        </w:tc>
        <w:tc>
          <w:tcPr>
            <w:tcW w:w="2410" w:type="dxa"/>
          </w:tcPr>
          <w:p w:rsidR="00D40418" w:rsidRPr="00A73445" w:rsidRDefault="00D40418" w:rsidP="00D40418">
            <w:pPr>
              <w:rPr>
                <w:rFonts w:cs="Arial"/>
                <w:sz w:val="18"/>
                <w:szCs w:val="18"/>
              </w:rPr>
            </w:pPr>
            <w:r w:rsidRPr="00A73445">
              <w:rPr>
                <w:rFonts w:cs="Arial"/>
                <w:sz w:val="18"/>
                <w:szCs w:val="18"/>
              </w:rPr>
              <w:t>National audit</w:t>
            </w:r>
          </w:p>
        </w:tc>
        <w:tc>
          <w:tcPr>
            <w:tcW w:w="5812" w:type="dxa"/>
          </w:tcPr>
          <w:p w:rsidR="00D40418" w:rsidRPr="00A73445" w:rsidRDefault="00D40418" w:rsidP="00D40418">
            <w:pPr>
              <w:rPr>
                <w:rFonts w:cs="Arial"/>
                <w:sz w:val="18"/>
                <w:szCs w:val="18"/>
              </w:rPr>
            </w:pPr>
            <w:r w:rsidRPr="00A73445">
              <w:rPr>
                <w:rFonts w:cs="Arial"/>
                <w:sz w:val="18"/>
                <w:szCs w:val="18"/>
              </w:rPr>
              <w:t xml:space="preserve">24% of staff did not think that people with dementia had their nutritional needs met always or most of the time, and less than </w:t>
            </w:r>
            <w:r w:rsidRPr="00A73445">
              <w:rPr>
                <w:rFonts w:cs="Arial"/>
                <w:color w:val="000000"/>
                <w:sz w:val="18"/>
                <w:szCs w:val="18"/>
              </w:rPr>
              <w:t>75% of staff said that they could obtain finger foods or snacks between meals for patients with dementia.</w:t>
            </w:r>
          </w:p>
        </w:tc>
      </w:tr>
      <w:tr w:rsidR="00A73445" w:rsidRPr="00A73445" w:rsidTr="00C07331">
        <w:tc>
          <w:tcPr>
            <w:tcW w:w="1666" w:type="dxa"/>
          </w:tcPr>
          <w:p w:rsidR="00D40418" w:rsidRPr="00A73445" w:rsidRDefault="00D40418" w:rsidP="00D40418">
            <w:pPr>
              <w:rPr>
                <w:rFonts w:cs="Arial"/>
                <w:sz w:val="18"/>
                <w:szCs w:val="18"/>
              </w:rPr>
            </w:pPr>
            <w:r w:rsidRPr="00A73445">
              <w:rPr>
                <w:rFonts w:cs="Arial"/>
                <w:sz w:val="18"/>
                <w:szCs w:val="18"/>
              </w:rPr>
              <w:t>Johnson 2015</w:t>
            </w:r>
          </w:p>
        </w:tc>
        <w:tc>
          <w:tcPr>
            <w:tcW w:w="1164" w:type="dxa"/>
          </w:tcPr>
          <w:p w:rsidR="00D40418" w:rsidRPr="00A73445" w:rsidRDefault="00D40418" w:rsidP="00D40418">
            <w:pPr>
              <w:rPr>
                <w:rFonts w:cs="Arial"/>
                <w:sz w:val="18"/>
                <w:szCs w:val="18"/>
              </w:rPr>
            </w:pPr>
            <w:r w:rsidRPr="00A73445">
              <w:rPr>
                <w:rFonts w:cs="Arial"/>
                <w:sz w:val="18"/>
                <w:szCs w:val="18"/>
              </w:rPr>
              <w:t>Sweden</w:t>
            </w:r>
          </w:p>
        </w:tc>
        <w:tc>
          <w:tcPr>
            <w:tcW w:w="2948" w:type="dxa"/>
          </w:tcPr>
          <w:p w:rsidR="00D40418" w:rsidRPr="00A73445" w:rsidRDefault="00D40418" w:rsidP="00D40418">
            <w:pPr>
              <w:rPr>
                <w:rFonts w:cs="Arial"/>
                <w:sz w:val="18"/>
                <w:szCs w:val="18"/>
              </w:rPr>
            </w:pPr>
            <w:r w:rsidRPr="00A73445">
              <w:rPr>
                <w:rFonts w:cs="Arial"/>
                <w:sz w:val="18"/>
                <w:szCs w:val="18"/>
              </w:rPr>
              <w:t>256 patients admitted to acute hospital care</w:t>
            </w:r>
          </w:p>
        </w:tc>
        <w:tc>
          <w:tcPr>
            <w:tcW w:w="2410" w:type="dxa"/>
          </w:tcPr>
          <w:p w:rsidR="00D40418" w:rsidRPr="00A73445" w:rsidRDefault="00D40418" w:rsidP="00D40418">
            <w:pPr>
              <w:rPr>
                <w:rFonts w:cs="Arial"/>
                <w:sz w:val="18"/>
                <w:szCs w:val="18"/>
              </w:rPr>
            </w:pPr>
            <w:r w:rsidRPr="00A73445">
              <w:rPr>
                <w:rFonts w:cs="Arial"/>
                <w:sz w:val="18"/>
                <w:szCs w:val="18"/>
              </w:rPr>
              <w:t>Prospective cohort</w:t>
            </w:r>
          </w:p>
          <w:p w:rsidR="00D40418" w:rsidRPr="00A73445" w:rsidRDefault="00D40418" w:rsidP="00D40418">
            <w:pPr>
              <w:rPr>
                <w:rFonts w:cs="Arial"/>
                <w:sz w:val="18"/>
                <w:szCs w:val="18"/>
              </w:rPr>
            </w:pPr>
          </w:p>
        </w:tc>
        <w:tc>
          <w:tcPr>
            <w:tcW w:w="5812" w:type="dxa"/>
          </w:tcPr>
          <w:p w:rsidR="00D40418" w:rsidRPr="00A73445" w:rsidRDefault="00D40418" w:rsidP="00D40418">
            <w:pPr>
              <w:rPr>
                <w:rFonts w:cs="Arial"/>
                <w:sz w:val="18"/>
                <w:szCs w:val="18"/>
              </w:rPr>
            </w:pPr>
            <w:r w:rsidRPr="00A73445">
              <w:rPr>
                <w:rFonts w:cs="Arial"/>
                <w:sz w:val="18"/>
                <w:szCs w:val="18"/>
              </w:rPr>
              <w:t xml:space="preserve">Concentrated urine present in 16% of the patients, and more common in patients with confusion and/or dementia. 30-day mortality was higher in patients with fluid retention compared to those who were </w:t>
            </w:r>
            <w:proofErr w:type="spellStart"/>
            <w:r w:rsidRPr="00A73445">
              <w:rPr>
                <w:rFonts w:cs="Arial"/>
                <w:sz w:val="18"/>
                <w:szCs w:val="18"/>
              </w:rPr>
              <w:t>euhydrated</w:t>
            </w:r>
            <w:proofErr w:type="spellEnd"/>
            <w:r w:rsidRPr="00A73445">
              <w:rPr>
                <w:rFonts w:cs="Arial"/>
                <w:sz w:val="18"/>
                <w:szCs w:val="18"/>
              </w:rPr>
              <w:t xml:space="preserve">: 21% </w:t>
            </w:r>
            <w:proofErr w:type="spellStart"/>
            <w:r w:rsidRPr="00A73445">
              <w:rPr>
                <w:rFonts w:cs="Arial"/>
                <w:sz w:val="18"/>
                <w:szCs w:val="18"/>
              </w:rPr>
              <w:t>vs</w:t>
            </w:r>
            <w:proofErr w:type="spellEnd"/>
            <w:r w:rsidRPr="00A73445">
              <w:rPr>
                <w:rFonts w:cs="Arial"/>
                <w:sz w:val="18"/>
                <w:szCs w:val="18"/>
              </w:rPr>
              <w:t xml:space="preserve"> 8% p&lt;0.03. </w:t>
            </w:r>
          </w:p>
        </w:tc>
      </w:tr>
      <w:tr w:rsidR="00D822C7" w:rsidRPr="00A73445" w:rsidTr="00985C0A">
        <w:tc>
          <w:tcPr>
            <w:tcW w:w="14000" w:type="dxa"/>
            <w:gridSpan w:val="5"/>
          </w:tcPr>
          <w:p w:rsidR="00D822C7" w:rsidRPr="00A73445" w:rsidRDefault="00D822C7" w:rsidP="00D822C7">
            <w:pPr>
              <w:rPr>
                <w:rFonts w:cs="Arial"/>
                <w:b/>
                <w:i/>
                <w:sz w:val="18"/>
                <w:szCs w:val="18"/>
              </w:rPr>
            </w:pPr>
            <w:r w:rsidRPr="00A73445">
              <w:rPr>
                <w:rFonts w:cs="Arial"/>
                <w:b/>
                <w:i/>
                <w:sz w:val="18"/>
                <w:szCs w:val="18"/>
              </w:rPr>
              <w:t>Functional or cognitive decline</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Hartley 2017</w:t>
            </w:r>
          </w:p>
        </w:tc>
        <w:tc>
          <w:tcPr>
            <w:tcW w:w="1164" w:type="dxa"/>
          </w:tcPr>
          <w:p w:rsidR="00D822C7" w:rsidRPr="00A73445" w:rsidRDefault="00D822C7" w:rsidP="00D822C7">
            <w:pPr>
              <w:rPr>
                <w:rFonts w:cs="Arial"/>
                <w:sz w:val="18"/>
                <w:szCs w:val="18"/>
              </w:rPr>
            </w:pPr>
            <w:r w:rsidRPr="00A73445">
              <w:rPr>
                <w:rFonts w:cs="Arial"/>
                <w:sz w:val="18"/>
                <w:szCs w:val="18"/>
              </w:rPr>
              <w:t>Various</w:t>
            </w:r>
          </w:p>
        </w:tc>
        <w:tc>
          <w:tcPr>
            <w:tcW w:w="2948" w:type="dxa"/>
          </w:tcPr>
          <w:p w:rsidR="00D822C7" w:rsidRPr="00A73445" w:rsidRDefault="00D822C7" w:rsidP="00D822C7">
            <w:pPr>
              <w:rPr>
                <w:rFonts w:cs="Arial"/>
                <w:sz w:val="18"/>
                <w:szCs w:val="18"/>
              </w:rPr>
            </w:pPr>
            <w:r w:rsidRPr="00A73445">
              <w:rPr>
                <w:rFonts w:cs="Arial"/>
                <w:sz w:val="18"/>
                <w:szCs w:val="18"/>
              </w:rPr>
              <w:t>Adults 65+ with acute admission to hospital and have information on dementia/cognitive scores on admission</w:t>
            </w:r>
            <w:r w:rsidR="00CF469E">
              <w:rPr>
                <w:rFonts w:cs="Arial"/>
                <w:sz w:val="18"/>
                <w:szCs w:val="18"/>
              </w:rPr>
              <w:t>, with 54,637 patients available for quantitative synthesis</w:t>
            </w:r>
          </w:p>
        </w:tc>
        <w:tc>
          <w:tcPr>
            <w:tcW w:w="2410" w:type="dxa"/>
          </w:tcPr>
          <w:p w:rsidR="00D822C7" w:rsidRPr="00A73445" w:rsidRDefault="00D822C7" w:rsidP="00D822C7">
            <w:pPr>
              <w:rPr>
                <w:rFonts w:cs="Arial"/>
                <w:sz w:val="18"/>
                <w:szCs w:val="18"/>
              </w:rPr>
            </w:pPr>
            <w:r w:rsidRPr="00A73445">
              <w:rPr>
                <w:rFonts w:cs="Arial"/>
                <w:sz w:val="18"/>
                <w:szCs w:val="18"/>
              </w:rPr>
              <w:t>Systematic review and meta-analysis</w:t>
            </w:r>
          </w:p>
        </w:tc>
        <w:tc>
          <w:tcPr>
            <w:tcW w:w="5812" w:type="dxa"/>
          </w:tcPr>
          <w:p w:rsidR="00D822C7" w:rsidRPr="00A73445" w:rsidRDefault="00D822C7" w:rsidP="00D822C7">
            <w:pPr>
              <w:rPr>
                <w:rFonts w:cs="Arial"/>
                <w:sz w:val="18"/>
                <w:szCs w:val="18"/>
              </w:rPr>
            </w:pPr>
            <w:r w:rsidRPr="00A73445">
              <w:rPr>
                <w:rFonts w:cs="Arial"/>
                <w:sz w:val="18"/>
                <w:szCs w:val="18"/>
              </w:rPr>
              <w:t xml:space="preserve">Functional decline in hospitalised adults aged 65 and above is associated with cognitive impairment (RR 1.64 [1.45-1.86]), and a diagnosis of dementia (RR 1.36 [1.05-1.76]) </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Pedone</w:t>
            </w:r>
            <w:proofErr w:type="spellEnd"/>
            <w:r w:rsidRPr="00A73445">
              <w:rPr>
                <w:rFonts w:cs="Arial"/>
                <w:sz w:val="18"/>
                <w:szCs w:val="18"/>
              </w:rPr>
              <w:t xml:space="preserve"> 2005</w:t>
            </w:r>
          </w:p>
        </w:tc>
        <w:tc>
          <w:tcPr>
            <w:tcW w:w="1164" w:type="dxa"/>
          </w:tcPr>
          <w:p w:rsidR="00D822C7" w:rsidRPr="00A73445" w:rsidRDefault="00D822C7" w:rsidP="00D822C7">
            <w:pPr>
              <w:rPr>
                <w:rFonts w:cs="Arial"/>
                <w:sz w:val="18"/>
                <w:szCs w:val="18"/>
              </w:rPr>
            </w:pPr>
            <w:r w:rsidRPr="00A73445">
              <w:rPr>
                <w:rFonts w:cs="Arial"/>
                <w:sz w:val="18"/>
                <w:szCs w:val="18"/>
              </w:rPr>
              <w:t>Italy</w:t>
            </w:r>
          </w:p>
        </w:tc>
        <w:tc>
          <w:tcPr>
            <w:tcW w:w="2948" w:type="dxa"/>
          </w:tcPr>
          <w:p w:rsidR="00D822C7" w:rsidRPr="00A73445" w:rsidRDefault="00D822C7" w:rsidP="00D822C7">
            <w:pPr>
              <w:rPr>
                <w:rFonts w:cs="Arial"/>
                <w:sz w:val="18"/>
                <w:szCs w:val="18"/>
              </w:rPr>
            </w:pPr>
            <w:r w:rsidRPr="00A73445">
              <w:rPr>
                <w:rFonts w:cs="Arial"/>
                <w:sz w:val="18"/>
                <w:szCs w:val="18"/>
              </w:rPr>
              <w:t>9,061 older patients admitted to hospital.</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 xml:space="preserve">During admission, 4% of patients with CI at admission and 1.3% of those without CI experienced functional decline: OR 2.4 [1.7-3.5], p&lt;.001. Cognitive decline was strongly associated with an increased risk of functional decline: OR 16.0 [10.8-23.6], p&lt;.001. </w:t>
            </w:r>
          </w:p>
        </w:tc>
      </w:tr>
      <w:tr w:rsidR="00D822C7" w:rsidRPr="00A73445" w:rsidTr="00985C0A">
        <w:tc>
          <w:tcPr>
            <w:tcW w:w="14000" w:type="dxa"/>
            <w:gridSpan w:val="5"/>
          </w:tcPr>
          <w:p w:rsidR="00D822C7" w:rsidRPr="00A73445" w:rsidRDefault="00D822C7" w:rsidP="00D822C7">
            <w:pPr>
              <w:rPr>
                <w:rFonts w:cs="Arial"/>
                <w:b/>
                <w:i/>
                <w:sz w:val="18"/>
                <w:szCs w:val="18"/>
              </w:rPr>
            </w:pPr>
            <w:r w:rsidRPr="00A73445">
              <w:rPr>
                <w:rFonts w:cs="Arial"/>
                <w:b/>
                <w:i/>
                <w:sz w:val="18"/>
                <w:szCs w:val="18"/>
              </w:rPr>
              <w:t>Incident delirium during hospitalisation</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Ryan 2013</w:t>
            </w:r>
          </w:p>
        </w:tc>
        <w:tc>
          <w:tcPr>
            <w:tcW w:w="1164" w:type="dxa"/>
          </w:tcPr>
          <w:p w:rsidR="00D822C7" w:rsidRPr="00A73445" w:rsidRDefault="00D822C7" w:rsidP="00D822C7">
            <w:pPr>
              <w:rPr>
                <w:rFonts w:cs="Arial"/>
                <w:sz w:val="18"/>
                <w:szCs w:val="18"/>
              </w:rPr>
            </w:pPr>
            <w:r w:rsidRPr="00A73445">
              <w:rPr>
                <w:rFonts w:cs="Arial"/>
                <w:sz w:val="18"/>
                <w:szCs w:val="18"/>
              </w:rPr>
              <w:t>Ireland</w:t>
            </w:r>
          </w:p>
        </w:tc>
        <w:tc>
          <w:tcPr>
            <w:tcW w:w="2948" w:type="dxa"/>
          </w:tcPr>
          <w:p w:rsidR="00D822C7" w:rsidRPr="00A73445" w:rsidRDefault="00D822C7" w:rsidP="00D822C7">
            <w:pPr>
              <w:rPr>
                <w:rFonts w:cs="Arial"/>
                <w:sz w:val="18"/>
                <w:szCs w:val="18"/>
              </w:rPr>
            </w:pPr>
            <w:r w:rsidRPr="00A73445">
              <w:rPr>
                <w:rFonts w:cs="Arial"/>
                <w:sz w:val="18"/>
                <w:szCs w:val="18"/>
              </w:rPr>
              <w:t>311 general hospital inpatients</w:t>
            </w:r>
          </w:p>
        </w:tc>
        <w:tc>
          <w:tcPr>
            <w:tcW w:w="2410" w:type="dxa"/>
          </w:tcPr>
          <w:p w:rsidR="00D822C7" w:rsidRPr="00A73445" w:rsidRDefault="00D822C7" w:rsidP="00D822C7">
            <w:pPr>
              <w:rPr>
                <w:rFonts w:cs="Arial"/>
                <w:sz w:val="18"/>
                <w:szCs w:val="18"/>
              </w:rPr>
            </w:pPr>
            <w:r w:rsidRPr="00A73445">
              <w:rPr>
                <w:rFonts w:cs="Arial"/>
                <w:sz w:val="18"/>
                <w:szCs w:val="18"/>
              </w:rPr>
              <w:t>Point prevalence study</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Prevalence of delirium was higher in patients with pre-existing dementia: 50.9% of delirious patients, OR 15.33, p&lt;0.001</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Ahmed 2014</w:t>
            </w:r>
          </w:p>
        </w:tc>
        <w:tc>
          <w:tcPr>
            <w:tcW w:w="1164" w:type="dxa"/>
          </w:tcPr>
          <w:p w:rsidR="00D822C7" w:rsidRPr="00A73445" w:rsidRDefault="00D822C7" w:rsidP="00D822C7">
            <w:pPr>
              <w:rPr>
                <w:rFonts w:cs="Arial"/>
                <w:sz w:val="18"/>
                <w:szCs w:val="18"/>
              </w:rPr>
            </w:pPr>
            <w:r w:rsidRPr="00A73445">
              <w:rPr>
                <w:rFonts w:cs="Arial"/>
                <w:sz w:val="18"/>
                <w:szCs w:val="18"/>
              </w:rPr>
              <w:t>various</w:t>
            </w:r>
          </w:p>
        </w:tc>
        <w:tc>
          <w:tcPr>
            <w:tcW w:w="2948" w:type="dxa"/>
          </w:tcPr>
          <w:p w:rsidR="00D822C7" w:rsidRPr="00A73445" w:rsidRDefault="00D822C7" w:rsidP="00D822C7">
            <w:pPr>
              <w:rPr>
                <w:rFonts w:cs="Arial"/>
                <w:sz w:val="18"/>
                <w:szCs w:val="18"/>
              </w:rPr>
            </w:pPr>
            <w:r w:rsidRPr="00A73445">
              <w:rPr>
                <w:rFonts w:cs="Arial"/>
                <w:sz w:val="18"/>
                <w:szCs w:val="18"/>
              </w:rPr>
              <w:t>2338 older medical inpatients</w:t>
            </w:r>
          </w:p>
        </w:tc>
        <w:tc>
          <w:tcPr>
            <w:tcW w:w="2410" w:type="dxa"/>
          </w:tcPr>
          <w:p w:rsidR="00D822C7" w:rsidRPr="00A73445" w:rsidRDefault="00D822C7" w:rsidP="00D822C7">
            <w:pPr>
              <w:rPr>
                <w:rFonts w:cs="Arial"/>
                <w:sz w:val="18"/>
                <w:szCs w:val="18"/>
              </w:rPr>
            </w:pPr>
            <w:r w:rsidRPr="00A73445">
              <w:rPr>
                <w:rFonts w:cs="Arial"/>
                <w:sz w:val="18"/>
                <w:szCs w:val="18"/>
              </w:rPr>
              <w:t>Systematic review and meta-analysis</w:t>
            </w:r>
          </w:p>
        </w:tc>
        <w:tc>
          <w:tcPr>
            <w:tcW w:w="5812" w:type="dxa"/>
          </w:tcPr>
          <w:p w:rsidR="00D822C7" w:rsidRPr="00A73445" w:rsidRDefault="00D822C7" w:rsidP="00D822C7">
            <w:pPr>
              <w:rPr>
                <w:rFonts w:cs="Arial"/>
                <w:sz w:val="18"/>
                <w:szCs w:val="18"/>
              </w:rPr>
            </w:pPr>
            <w:r w:rsidRPr="00A73445">
              <w:rPr>
                <w:rFonts w:cs="Arial"/>
                <w:sz w:val="18"/>
                <w:szCs w:val="18"/>
              </w:rPr>
              <w:t>Dementia increased risk of delirium: OR 6.62 [4.3-10.19]</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 xml:space="preserve">Sa </w:t>
            </w:r>
            <w:proofErr w:type="spellStart"/>
            <w:r w:rsidRPr="00A73445">
              <w:rPr>
                <w:rFonts w:cs="Arial"/>
                <w:sz w:val="18"/>
                <w:szCs w:val="18"/>
              </w:rPr>
              <w:t>Esteves</w:t>
            </w:r>
            <w:proofErr w:type="spellEnd"/>
            <w:r w:rsidRPr="00A73445">
              <w:rPr>
                <w:rFonts w:cs="Arial"/>
                <w:sz w:val="18"/>
                <w:szCs w:val="18"/>
              </w:rPr>
              <w:t xml:space="preserve"> 2016</w:t>
            </w:r>
          </w:p>
        </w:tc>
        <w:tc>
          <w:tcPr>
            <w:tcW w:w="1164" w:type="dxa"/>
          </w:tcPr>
          <w:p w:rsidR="00D822C7" w:rsidRPr="00A73445" w:rsidRDefault="00D822C7" w:rsidP="00D822C7">
            <w:pPr>
              <w:rPr>
                <w:rFonts w:cs="Arial"/>
                <w:sz w:val="18"/>
                <w:szCs w:val="18"/>
              </w:rPr>
            </w:pPr>
            <w:r w:rsidRPr="00A73445">
              <w:rPr>
                <w:rFonts w:cs="Arial"/>
                <w:sz w:val="18"/>
                <w:szCs w:val="18"/>
              </w:rPr>
              <w:t>Portugal</w:t>
            </w:r>
          </w:p>
        </w:tc>
        <w:tc>
          <w:tcPr>
            <w:tcW w:w="2948" w:type="dxa"/>
          </w:tcPr>
          <w:p w:rsidR="00D822C7" w:rsidRPr="00A73445" w:rsidRDefault="00D822C7" w:rsidP="00D822C7">
            <w:pPr>
              <w:rPr>
                <w:rFonts w:cs="Arial"/>
                <w:sz w:val="18"/>
                <w:szCs w:val="18"/>
              </w:rPr>
            </w:pPr>
            <w:r w:rsidRPr="00A73445">
              <w:rPr>
                <w:rFonts w:cs="Arial"/>
                <w:sz w:val="18"/>
                <w:szCs w:val="18"/>
              </w:rPr>
              <w:t>270 male patients aged 65+ admitted to a medical ward</w:t>
            </w:r>
          </w:p>
        </w:tc>
        <w:tc>
          <w:tcPr>
            <w:tcW w:w="2410" w:type="dxa"/>
          </w:tcPr>
          <w:p w:rsidR="00D822C7" w:rsidRPr="00A73445" w:rsidRDefault="00D822C7" w:rsidP="00D822C7">
            <w:pPr>
              <w:rPr>
                <w:rFonts w:cs="Arial"/>
                <w:sz w:val="18"/>
                <w:szCs w:val="18"/>
              </w:rPr>
            </w:pPr>
            <w:r w:rsidRPr="00A73445">
              <w:rPr>
                <w:rFonts w:cs="Arial"/>
                <w:sz w:val="18"/>
                <w:szCs w:val="18"/>
              </w:rPr>
              <w:t>Prospective cohort study</w:t>
            </w:r>
          </w:p>
        </w:tc>
        <w:tc>
          <w:tcPr>
            <w:tcW w:w="5812" w:type="dxa"/>
          </w:tcPr>
          <w:p w:rsidR="00D822C7" w:rsidRPr="00A73445" w:rsidRDefault="00D822C7" w:rsidP="00D822C7">
            <w:pPr>
              <w:rPr>
                <w:rFonts w:cs="Arial"/>
                <w:sz w:val="18"/>
                <w:szCs w:val="18"/>
              </w:rPr>
            </w:pPr>
            <w:r w:rsidRPr="00A73445">
              <w:rPr>
                <w:rFonts w:cs="Arial"/>
                <w:sz w:val="18"/>
                <w:szCs w:val="18"/>
              </w:rPr>
              <w:t xml:space="preserve">The rate of delirium was increased with people with dementia compared to those without: 29.5%  </w:t>
            </w:r>
            <w:proofErr w:type="spellStart"/>
            <w:r w:rsidRPr="00A73445">
              <w:rPr>
                <w:rFonts w:cs="Arial"/>
                <w:sz w:val="18"/>
                <w:szCs w:val="18"/>
              </w:rPr>
              <w:t>vs</w:t>
            </w:r>
            <w:proofErr w:type="spellEnd"/>
            <w:r w:rsidRPr="00A73445">
              <w:rPr>
                <w:rFonts w:cs="Arial"/>
                <w:sz w:val="18"/>
                <w:szCs w:val="18"/>
              </w:rPr>
              <w:t xml:space="preserve"> 7.1% , p&lt;0.001</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Travers 2014</w:t>
            </w:r>
          </w:p>
        </w:tc>
        <w:tc>
          <w:tcPr>
            <w:tcW w:w="1164" w:type="dxa"/>
          </w:tcPr>
          <w:p w:rsidR="00D822C7" w:rsidRPr="00A73445" w:rsidRDefault="00D822C7" w:rsidP="00D822C7">
            <w:pPr>
              <w:rPr>
                <w:rFonts w:cs="Arial"/>
                <w:sz w:val="18"/>
                <w:szCs w:val="18"/>
              </w:rPr>
            </w:pPr>
            <w:r w:rsidRPr="00A73445">
              <w:rPr>
                <w:rFonts w:cs="Arial"/>
                <w:sz w:val="18"/>
                <w:szCs w:val="18"/>
              </w:rPr>
              <w:t>Australia</w:t>
            </w:r>
          </w:p>
        </w:tc>
        <w:tc>
          <w:tcPr>
            <w:tcW w:w="2948" w:type="dxa"/>
          </w:tcPr>
          <w:p w:rsidR="00D822C7" w:rsidRPr="00A73445" w:rsidRDefault="00D822C7" w:rsidP="00D822C7">
            <w:pPr>
              <w:rPr>
                <w:rFonts w:cs="Arial"/>
                <w:sz w:val="18"/>
                <w:szCs w:val="18"/>
              </w:rPr>
            </w:pPr>
            <w:r w:rsidRPr="00A73445">
              <w:rPr>
                <w:rFonts w:cs="Arial"/>
                <w:sz w:val="18"/>
                <w:szCs w:val="18"/>
              </w:rPr>
              <w:t>493 patients aged 70+, with (n=102) and without (n=391) dementia</w:t>
            </w:r>
          </w:p>
        </w:tc>
        <w:tc>
          <w:tcPr>
            <w:tcW w:w="2410" w:type="dxa"/>
          </w:tcPr>
          <w:p w:rsidR="00D822C7" w:rsidRPr="00A73445" w:rsidRDefault="00D822C7" w:rsidP="00D822C7">
            <w:pPr>
              <w:rPr>
                <w:rFonts w:cs="Arial"/>
                <w:sz w:val="18"/>
                <w:szCs w:val="18"/>
              </w:rPr>
            </w:pPr>
            <w:r w:rsidRPr="00A73445">
              <w:rPr>
                <w:rFonts w:cs="Arial"/>
                <w:sz w:val="18"/>
                <w:szCs w:val="18"/>
              </w:rPr>
              <w:t>Prospective cohort study</w:t>
            </w:r>
          </w:p>
        </w:tc>
        <w:tc>
          <w:tcPr>
            <w:tcW w:w="5812" w:type="dxa"/>
          </w:tcPr>
          <w:p w:rsidR="00D822C7" w:rsidRPr="00A73445" w:rsidRDefault="00D822C7" w:rsidP="00D822C7">
            <w:pPr>
              <w:rPr>
                <w:rFonts w:cs="Arial"/>
                <w:sz w:val="18"/>
                <w:szCs w:val="18"/>
              </w:rPr>
            </w:pPr>
            <w:r w:rsidRPr="00A73445">
              <w:rPr>
                <w:rFonts w:cs="Arial"/>
                <w:sz w:val="18"/>
                <w:szCs w:val="18"/>
              </w:rPr>
              <w:t>Dementia increased the risk of developing delirium during hospitalisation, from 4.8% to 14.7%: OR 4.8, p&lt;0.001</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Pendlebury</w:t>
            </w:r>
            <w:proofErr w:type="spellEnd"/>
            <w:r w:rsidRPr="00A73445">
              <w:rPr>
                <w:rFonts w:cs="Arial"/>
                <w:sz w:val="18"/>
                <w:szCs w:val="18"/>
              </w:rPr>
              <w:t xml:space="preserve"> 2015</w:t>
            </w:r>
          </w:p>
        </w:tc>
        <w:tc>
          <w:tcPr>
            <w:tcW w:w="1164" w:type="dxa"/>
          </w:tcPr>
          <w:p w:rsidR="00D822C7" w:rsidRPr="00A73445" w:rsidRDefault="00D822C7" w:rsidP="00D822C7">
            <w:pPr>
              <w:rPr>
                <w:rFonts w:cs="Arial"/>
                <w:sz w:val="18"/>
                <w:szCs w:val="18"/>
              </w:rPr>
            </w:pPr>
            <w:r w:rsidRPr="00A73445">
              <w:rPr>
                <w:rFonts w:cs="Arial"/>
                <w:sz w:val="18"/>
                <w:szCs w:val="18"/>
              </w:rPr>
              <w:t>UK</w:t>
            </w:r>
          </w:p>
        </w:tc>
        <w:tc>
          <w:tcPr>
            <w:tcW w:w="2948" w:type="dxa"/>
          </w:tcPr>
          <w:p w:rsidR="00D822C7" w:rsidRPr="00A73445" w:rsidRDefault="00D822C7" w:rsidP="00D822C7">
            <w:pPr>
              <w:rPr>
                <w:rFonts w:cs="Arial"/>
                <w:sz w:val="18"/>
                <w:szCs w:val="18"/>
              </w:rPr>
            </w:pPr>
            <w:r w:rsidRPr="00A73445">
              <w:rPr>
                <w:rFonts w:cs="Arial"/>
                <w:sz w:val="18"/>
                <w:szCs w:val="18"/>
              </w:rPr>
              <w:t>503 patients with acute admission to hospital (308 patients 65+ with covariate information)</w:t>
            </w:r>
          </w:p>
        </w:tc>
        <w:tc>
          <w:tcPr>
            <w:tcW w:w="2410" w:type="dxa"/>
          </w:tcPr>
          <w:p w:rsidR="00D822C7" w:rsidRPr="00A73445" w:rsidRDefault="00D822C7" w:rsidP="00D822C7">
            <w:pPr>
              <w:rPr>
                <w:rFonts w:cs="Arial"/>
                <w:sz w:val="18"/>
                <w:szCs w:val="18"/>
              </w:rPr>
            </w:pPr>
            <w:r w:rsidRPr="00A73445">
              <w:rPr>
                <w:rFonts w:cs="Arial"/>
                <w:sz w:val="18"/>
                <w:szCs w:val="18"/>
              </w:rPr>
              <w:t>Prospective cohort study</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The risk of delirium on admission or during hospitalisation was increased by dementia OR 2.08 [1.10-3.93], p=0.024 and low cognitive score (MMSE and AMTS) OR 5.00 [2.50 to 9.99], p&lt;0.0001.</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Franco 2010</w:t>
            </w:r>
          </w:p>
        </w:tc>
        <w:tc>
          <w:tcPr>
            <w:tcW w:w="1164" w:type="dxa"/>
          </w:tcPr>
          <w:p w:rsidR="00D822C7" w:rsidRPr="00A73445" w:rsidRDefault="00D822C7" w:rsidP="00D822C7">
            <w:pPr>
              <w:rPr>
                <w:rFonts w:cs="Arial"/>
                <w:sz w:val="18"/>
                <w:szCs w:val="18"/>
              </w:rPr>
            </w:pPr>
            <w:r w:rsidRPr="00A73445">
              <w:rPr>
                <w:rFonts w:cs="Arial"/>
                <w:sz w:val="18"/>
                <w:szCs w:val="18"/>
              </w:rPr>
              <w:t>Colombia</w:t>
            </w:r>
          </w:p>
        </w:tc>
        <w:tc>
          <w:tcPr>
            <w:tcW w:w="2948" w:type="dxa"/>
          </w:tcPr>
          <w:p w:rsidR="00D822C7" w:rsidRPr="00A73445" w:rsidRDefault="00D822C7" w:rsidP="00D822C7">
            <w:pPr>
              <w:rPr>
                <w:rFonts w:cs="Arial"/>
                <w:sz w:val="18"/>
                <w:szCs w:val="18"/>
              </w:rPr>
            </w:pPr>
            <w:r w:rsidRPr="00A73445">
              <w:rPr>
                <w:rFonts w:cs="Arial"/>
                <w:sz w:val="18"/>
                <w:szCs w:val="18"/>
              </w:rPr>
              <w:t xml:space="preserve">291 geriatric patients in medical </w:t>
            </w:r>
            <w:r w:rsidRPr="00A73445">
              <w:rPr>
                <w:rFonts w:cs="Arial"/>
                <w:sz w:val="18"/>
                <w:szCs w:val="18"/>
              </w:rPr>
              <w:lastRenderedPageBreak/>
              <w:t>wards</w:t>
            </w:r>
          </w:p>
        </w:tc>
        <w:tc>
          <w:tcPr>
            <w:tcW w:w="2410" w:type="dxa"/>
          </w:tcPr>
          <w:p w:rsidR="00D822C7" w:rsidRPr="00A73445" w:rsidRDefault="00D822C7" w:rsidP="00D822C7">
            <w:pPr>
              <w:rPr>
                <w:rFonts w:cs="Arial"/>
                <w:sz w:val="18"/>
                <w:szCs w:val="18"/>
              </w:rPr>
            </w:pPr>
            <w:r w:rsidRPr="00A73445">
              <w:rPr>
                <w:rFonts w:cs="Arial"/>
                <w:sz w:val="18"/>
                <w:szCs w:val="18"/>
              </w:rPr>
              <w:lastRenderedPageBreak/>
              <w:t xml:space="preserve">Nested case-control in </w:t>
            </w:r>
            <w:r w:rsidRPr="00A73445">
              <w:rPr>
                <w:rFonts w:cs="Arial"/>
                <w:sz w:val="18"/>
                <w:szCs w:val="18"/>
              </w:rPr>
              <w:lastRenderedPageBreak/>
              <w:t>prospective cohort</w:t>
            </w:r>
          </w:p>
        </w:tc>
        <w:tc>
          <w:tcPr>
            <w:tcW w:w="5812" w:type="dxa"/>
          </w:tcPr>
          <w:p w:rsidR="00D822C7" w:rsidRPr="00A73445" w:rsidRDefault="00D822C7" w:rsidP="00D822C7">
            <w:pPr>
              <w:rPr>
                <w:rFonts w:cs="Arial"/>
                <w:sz w:val="18"/>
                <w:szCs w:val="18"/>
              </w:rPr>
            </w:pPr>
            <w:r w:rsidRPr="00A73445">
              <w:rPr>
                <w:rFonts w:cs="Arial"/>
                <w:sz w:val="18"/>
                <w:szCs w:val="18"/>
              </w:rPr>
              <w:lastRenderedPageBreak/>
              <w:t xml:space="preserve">Median mini-Mental State Examination (MMSE) score 24.23 in patients who </w:t>
            </w:r>
            <w:r w:rsidRPr="00A73445">
              <w:rPr>
                <w:rFonts w:cs="Arial"/>
                <w:sz w:val="18"/>
                <w:szCs w:val="18"/>
              </w:rPr>
              <w:lastRenderedPageBreak/>
              <w:t xml:space="preserve">didn’t develop delirium during admission, </w:t>
            </w:r>
            <w:proofErr w:type="spellStart"/>
            <w:r w:rsidRPr="00A73445">
              <w:rPr>
                <w:rFonts w:cs="Arial"/>
                <w:sz w:val="18"/>
                <w:szCs w:val="18"/>
              </w:rPr>
              <w:t>vs</w:t>
            </w:r>
            <w:proofErr w:type="spellEnd"/>
            <w:r w:rsidRPr="00A73445">
              <w:rPr>
                <w:rFonts w:cs="Arial"/>
                <w:sz w:val="18"/>
                <w:szCs w:val="18"/>
              </w:rPr>
              <w:t xml:space="preserve"> 20.65 in those who did (p=0.0001)</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lastRenderedPageBreak/>
              <w:t>Bo 2009</w:t>
            </w:r>
          </w:p>
        </w:tc>
        <w:tc>
          <w:tcPr>
            <w:tcW w:w="1164" w:type="dxa"/>
          </w:tcPr>
          <w:p w:rsidR="00D822C7" w:rsidRPr="00A73445" w:rsidRDefault="009559F4" w:rsidP="00D822C7">
            <w:pPr>
              <w:rPr>
                <w:rFonts w:cs="Arial"/>
                <w:sz w:val="18"/>
                <w:szCs w:val="18"/>
              </w:rPr>
            </w:pPr>
            <w:r>
              <w:rPr>
                <w:rFonts w:cs="Arial"/>
                <w:sz w:val="18"/>
                <w:szCs w:val="18"/>
              </w:rPr>
              <w:t>Italy</w:t>
            </w:r>
          </w:p>
        </w:tc>
        <w:tc>
          <w:tcPr>
            <w:tcW w:w="2948" w:type="dxa"/>
          </w:tcPr>
          <w:p w:rsidR="00D822C7" w:rsidRPr="00A73445" w:rsidRDefault="009559F4" w:rsidP="00D822C7">
            <w:pPr>
              <w:rPr>
                <w:rFonts w:cs="Arial"/>
                <w:sz w:val="18"/>
                <w:szCs w:val="18"/>
              </w:rPr>
            </w:pPr>
            <w:r>
              <w:rPr>
                <w:rFonts w:cs="Arial"/>
                <w:sz w:val="18"/>
                <w:szCs w:val="18"/>
              </w:rPr>
              <w:t>252 patients 70+ with emergency admissions to hospital.</w:t>
            </w:r>
          </w:p>
        </w:tc>
        <w:tc>
          <w:tcPr>
            <w:tcW w:w="2410" w:type="dxa"/>
          </w:tcPr>
          <w:p w:rsidR="00D822C7" w:rsidRPr="00A73445" w:rsidRDefault="009559F4" w:rsidP="00D822C7">
            <w:pPr>
              <w:rPr>
                <w:rFonts w:cs="Arial"/>
                <w:sz w:val="18"/>
                <w:szCs w:val="18"/>
              </w:rPr>
            </w:pPr>
            <w:r>
              <w:rPr>
                <w:rFonts w:cs="Arial"/>
                <w:sz w:val="18"/>
                <w:szCs w:val="18"/>
              </w:rPr>
              <w:t>Prospective cohort</w:t>
            </w:r>
          </w:p>
        </w:tc>
        <w:tc>
          <w:tcPr>
            <w:tcW w:w="5812" w:type="dxa"/>
          </w:tcPr>
          <w:p w:rsidR="00D822C7" w:rsidRPr="00A73445" w:rsidRDefault="009559F4" w:rsidP="00D822C7">
            <w:pPr>
              <w:rPr>
                <w:rFonts w:cs="Arial"/>
                <w:sz w:val="18"/>
                <w:szCs w:val="18"/>
              </w:rPr>
            </w:pPr>
            <w:r>
              <w:rPr>
                <w:rFonts w:cs="Arial"/>
                <w:sz w:val="18"/>
                <w:szCs w:val="18"/>
              </w:rPr>
              <w:t>Greater cognitive impairment associated with incident delirium (p&lt;0.001)</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Wilson 2005</w:t>
            </w:r>
          </w:p>
        </w:tc>
        <w:tc>
          <w:tcPr>
            <w:tcW w:w="1164" w:type="dxa"/>
          </w:tcPr>
          <w:p w:rsidR="00D822C7" w:rsidRPr="00A73445" w:rsidRDefault="00D822C7" w:rsidP="00D822C7">
            <w:pPr>
              <w:rPr>
                <w:rFonts w:cs="Arial"/>
                <w:sz w:val="18"/>
                <w:szCs w:val="18"/>
              </w:rPr>
            </w:pPr>
            <w:r w:rsidRPr="00A73445">
              <w:rPr>
                <w:rFonts w:cs="Arial"/>
                <w:sz w:val="18"/>
                <w:szCs w:val="18"/>
              </w:rPr>
              <w:t>UK</w:t>
            </w:r>
          </w:p>
        </w:tc>
        <w:tc>
          <w:tcPr>
            <w:tcW w:w="2948" w:type="dxa"/>
          </w:tcPr>
          <w:p w:rsidR="00D822C7" w:rsidRPr="00A73445" w:rsidRDefault="00D822C7" w:rsidP="00D822C7">
            <w:pPr>
              <w:rPr>
                <w:rFonts w:cs="Arial"/>
                <w:sz w:val="18"/>
                <w:szCs w:val="18"/>
              </w:rPr>
            </w:pPr>
            <w:r w:rsidRPr="00A73445">
              <w:rPr>
                <w:rFonts w:cs="Arial"/>
                <w:sz w:val="18"/>
                <w:szCs w:val="18"/>
              </w:rPr>
              <w:t>100 patients aged 75+ admitted to an acute medical ward</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tc>
        <w:tc>
          <w:tcPr>
            <w:tcW w:w="5812" w:type="dxa"/>
          </w:tcPr>
          <w:p w:rsidR="00D822C7" w:rsidRPr="00A73445" w:rsidRDefault="00D822C7" w:rsidP="00D822C7">
            <w:pPr>
              <w:rPr>
                <w:rFonts w:cs="Arial"/>
                <w:sz w:val="18"/>
                <w:szCs w:val="18"/>
              </w:rPr>
            </w:pPr>
            <w:r w:rsidRPr="00A73445">
              <w:rPr>
                <w:rFonts w:cs="Arial"/>
                <w:sz w:val="18"/>
                <w:szCs w:val="18"/>
              </w:rPr>
              <w:t xml:space="preserve">Lower </w:t>
            </w:r>
            <w:r w:rsidRPr="00A73445">
              <w:rPr>
                <w:rStyle w:val="tgc"/>
                <w:rFonts w:cs="Arial"/>
                <w:sz w:val="18"/>
                <w:szCs w:val="18"/>
              </w:rPr>
              <w:t>Informant Questionnaire on Cognitive Decline in the Elderly</w:t>
            </w:r>
            <w:r w:rsidRPr="00A73445">
              <w:rPr>
                <w:rFonts w:cs="Arial"/>
                <w:sz w:val="18"/>
                <w:szCs w:val="18"/>
              </w:rPr>
              <w:t xml:space="preserve"> (IQCODE) was related to an increased incidence of delirium: OR 3.26 [1.18-9.04] p=0.023</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Voyer</w:t>
            </w:r>
            <w:proofErr w:type="spellEnd"/>
            <w:r w:rsidRPr="00A73445">
              <w:rPr>
                <w:rFonts w:cs="Arial"/>
                <w:sz w:val="18"/>
                <w:szCs w:val="18"/>
              </w:rPr>
              <w:t xml:space="preserve"> 2006</w:t>
            </w:r>
          </w:p>
        </w:tc>
        <w:tc>
          <w:tcPr>
            <w:tcW w:w="1164" w:type="dxa"/>
          </w:tcPr>
          <w:p w:rsidR="00D822C7" w:rsidRPr="00A73445" w:rsidRDefault="00D822C7" w:rsidP="00D822C7">
            <w:pPr>
              <w:rPr>
                <w:rFonts w:cs="Arial"/>
                <w:sz w:val="18"/>
                <w:szCs w:val="18"/>
              </w:rPr>
            </w:pPr>
            <w:r w:rsidRPr="00A73445">
              <w:rPr>
                <w:rFonts w:cs="Arial"/>
                <w:sz w:val="18"/>
                <w:szCs w:val="18"/>
              </w:rPr>
              <w:t>Canada</w:t>
            </w:r>
          </w:p>
        </w:tc>
        <w:tc>
          <w:tcPr>
            <w:tcW w:w="2948" w:type="dxa"/>
          </w:tcPr>
          <w:p w:rsidR="00D822C7" w:rsidRPr="00A73445" w:rsidRDefault="00D822C7" w:rsidP="00D822C7">
            <w:pPr>
              <w:rPr>
                <w:rFonts w:cs="Arial"/>
                <w:sz w:val="18"/>
                <w:szCs w:val="18"/>
              </w:rPr>
            </w:pPr>
            <w:r w:rsidRPr="00A73445">
              <w:rPr>
                <w:rFonts w:cs="Arial"/>
                <w:sz w:val="18"/>
                <w:szCs w:val="18"/>
              </w:rPr>
              <w:t>104 patients aged 65+ admitted to acute care</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tc>
        <w:tc>
          <w:tcPr>
            <w:tcW w:w="5812" w:type="dxa"/>
          </w:tcPr>
          <w:p w:rsidR="00D822C7" w:rsidRPr="00A73445" w:rsidRDefault="00D822C7" w:rsidP="00D822C7">
            <w:pPr>
              <w:rPr>
                <w:rFonts w:cs="Arial"/>
                <w:sz w:val="18"/>
                <w:szCs w:val="18"/>
              </w:rPr>
            </w:pPr>
            <w:r w:rsidRPr="00A73445">
              <w:rPr>
                <w:rFonts w:cs="Arial"/>
                <w:sz w:val="18"/>
                <w:szCs w:val="18"/>
              </w:rPr>
              <w:t>Prevalence of delirium increased with decreasing cognitive ability: mild CI: 50% , moderate CI: 82%, severe CI: 86%</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Muangpaisan</w:t>
            </w:r>
            <w:proofErr w:type="spellEnd"/>
            <w:r w:rsidRPr="00A73445">
              <w:rPr>
                <w:rFonts w:cs="Arial"/>
                <w:sz w:val="18"/>
                <w:szCs w:val="18"/>
              </w:rPr>
              <w:t xml:space="preserve"> 2012</w:t>
            </w:r>
          </w:p>
        </w:tc>
        <w:tc>
          <w:tcPr>
            <w:tcW w:w="1164" w:type="dxa"/>
          </w:tcPr>
          <w:p w:rsidR="00D822C7" w:rsidRPr="00A73445" w:rsidRDefault="00D822C7" w:rsidP="00D822C7">
            <w:pPr>
              <w:rPr>
                <w:rFonts w:cs="Arial"/>
                <w:sz w:val="18"/>
                <w:szCs w:val="18"/>
              </w:rPr>
            </w:pPr>
            <w:r w:rsidRPr="00A73445">
              <w:rPr>
                <w:rFonts w:cs="Arial"/>
                <w:sz w:val="18"/>
                <w:szCs w:val="18"/>
              </w:rPr>
              <w:t>Thailand</w:t>
            </w:r>
          </w:p>
        </w:tc>
        <w:tc>
          <w:tcPr>
            <w:tcW w:w="2948" w:type="dxa"/>
          </w:tcPr>
          <w:p w:rsidR="00D822C7" w:rsidRPr="00A73445" w:rsidRDefault="00D822C7" w:rsidP="00D822C7">
            <w:pPr>
              <w:rPr>
                <w:rFonts w:cs="Arial"/>
                <w:sz w:val="18"/>
                <w:szCs w:val="18"/>
              </w:rPr>
            </w:pPr>
            <w:r w:rsidRPr="00A73445">
              <w:rPr>
                <w:rFonts w:cs="Arial"/>
                <w:sz w:val="18"/>
                <w:szCs w:val="18"/>
              </w:rPr>
              <w:t>80 patients with fall-related hip fracture</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 xml:space="preserve">Modified IQCODE score significantly different between delirium and non-delirium groups: median 3.5 </w:t>
            </w:r>
            <w:proofErr w:type="spellStart"/>
            <w:r w:rsidRPr="00A73445">
              <w:rPr>
                <w:rFonts w:cs="Arial"/>
                <w:sz w:val="18"/>
                <w:szCs w:val="18"/>
              </w:rPr>
              <w:t>vs</w:t>
            </w:r>
            <w:proofErr w:type="spellEnd"/>
            <w:r w:rsidRPr="00A73445">
              <w:rPr>
                <w:rFonts w:cs="Arial"/>
                <w:sz w:val="18"/>
                <w:szCs w:val="18"/>
              </w:rPr>
              <w:t xml:space="preserve"> 3.2, OR 4.5 [1.2-16.9] p=0.024</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Marcantonio</w:t>
            </w:r>
            <w:proofErr w:type="spellEnd"/>
            <w:r w:rsidRPr="00A73445">
              <w:rPr>
                <w:rFonts w:cs="Arial"/>
                <w:sz w:val="18"/>
                <w:szCs w:val="18"/>
              </w:rPr>
              <w:t xml:space="preserve"> 2000</w:t>
            </w:r>
          </w:p>
        </w:tc>
        <w:tc>
          <w:tcPr>
            <w:tcW w:w="1164" w:type="dxa"/>
          </w:tcPr>
          <w:p w:rsidR="00D822C7" w:rsidRPr="00A73445" w:rsidRDefault="00D822C7" w:rsidP="00D822C7">
            <w:pPr>
              <w:rPr>
                <w:rFonts w:cs="Arial"/>
                <w:sz w:val="18"/>
                <w:szCs w:val="18"/>
              </w:rPr>
            </w:pPr>
            <w:r w:rsidRPr="00A73445">
              <w:rPr>
                <w:rFonts w:cs="Arial"/>
                <w:sz w:val="18"/>
                <w:szCs w:val="18"/>
              </w:rPr>
              <w:t>U.S.A.</w:t>
            </w:r>
          </w:p>
        </w:tc>
        <w:tc>
          <w:tcPr>
            <w:tcW w:w="2948" w:type="dxa"/>
          </w:tcPr>
          <w:p w:rsidR="00D822C7" w:rsidRPr="00A73445" w:rsidRDefault="00D822C7" w:rsidP="00D822C7">
            <w:pPr>
              <w:rPr>
                <w:rFonts w:cs="Arial"/>
                <w:sz w:val="18"/>
                <w:szCs w:val="18"/>
              </w:rPr>
            </w:pPr>
            <w:r w:rsidRPr="00A73445">
              <w:rPr>
                <w:rFonts w:cs="Arial"/>
                <w:sz w:val="18"/>
                <w:szCs w:val="18"/>
              </w:rPr>
              <w:t>126 patients aged 65+ admitted emergently for hip fracture repair</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tc>
        <w:tc>
          <w:tcPr>
            <w:tcW w:w="5812" w:type="dxa"/>
          </w:tcPr>
          <w:p w:rsidR="00D822C7" w:rsidRPr="00A73445" w:rsidRDefault="00D822C7" w:rsidP="00D822C7">
            <w:pPr>
              <w:rPr>
                <w:rFonts w:cs="Arial"/>
                <w:sz w:val="18"/>
                <w:szCs w:val="18"/>
              </w:rPr>
            </w:pPr>
            <w:r w:rsidRPr="00A73445">
              <w:rPr>
                <w:rFonts w:cs="Arial"/>
                <w:sz w:val="18"/>
                <w:szCs w:val="18"/>
              </w:rPr>
              <w:t>Pre-fracture cognitive impairment was related to occurrence of delirium following surgery: RR 2.5 [1.6-3.9]</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Wu 2015</w:t>
            </w:r>
          </w:p>
        </w:tc>
        <w:tc>
          <w:tcPr>
            <w:tcW w:w="1164" w:type="dxa"/>
          </w:tcPr>
          <w:p w:rsidR="00D822C7" w:rsidRPr="00A73445" w:rsidRDefault="00D822C7" w:rsidP="00D822C7">
            <w:pPr>
              <w:rPr>
                <w:rFonts w:cs="Arial"/>
                <w:sz w:val="18"/>
                <w:szCs w:val="18"/>
              </w:rPr>
            </w:pPr>
            <w:r w:rsidRPr="00A73445">
              <w:rPr>
                <w:rFonts w:cs="Arial"/>
                <w:sz w:val="18"/>
                <w:szCs w:val="18"/>
              </w:rPr>
              <w:t>China</w:t>
            </w:r>
          </w:p>
        </w:tc>
        <w:tc>
          <w:tcPr>
            <w:tcW w:w="2948" w:type="dxa"/>
          </w:tcPr>
          <w:p w:rsidR="00D822C7" w:rsidRPr="00A73445" w:rsidRDefault="00D822C7" w:rsidP="00D822C7">
            <w:pPr>
              <w:rPr>
                <w:rFonts w:cs="Arial"/>
                <w:sz w:val="18"/>
                <w:szCs w:val="18"/>
              </w:rPr>
            </w:pPr>
            <w:r w:rsidRPr="00A73445">
              <w:rPr>
                <w:rFonts w:cs="Arial"/>
                <w:sz w:val="18"/>
                <w:szCs w:val="18"/>
              </w:rPr>
              <w:t>130 patients aged 65+ attending hospital for hip fracture repair</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tc>
        <w:tc>
          <w:tcPr>
            <w:tcW w:w="5812" w:type="dxa"/>
          </w:tcPr>
          <w:p w:rsidR="00D822C7" w:rsidRPr="00A73445" w:rsidRDefault="00D822C7" w:rsidP="00D822C7">
            <w:pPr>
              <w:rPr>
                <w:rFonts w:cs="Arial"/>
                <w:sz w:val="18"/>
                <w:szCs w:val="18"/>
              </w:rPr>
            </w:pPr>
            <w:r w:rsidRPr="00A73445">
              <w:rPr>
                <w:rFonts w:cs="Arial"/>
                <w:sz w:val="18"/>
                <w:szCs w:val="18"/>
              </w:rPr>
              <w:t xml:space="preserve">Preoperative MMSE scores were negatively associated with higher incidences and greater severity of postoperative delirium: median MMSE of 18.1 (delirium) </w:t>
            </w:r>
            <w:proofErr w:type="spellStart"/>
            <w:r w:rsidRPr="00A73445">
              <w:rPr>
                <w:rFonts w:cs="Arial"/>
                <w:sz w:val="18"/>
                <w:szCs w:val="18"/>
              </w:rPr>
              <w:t>vs</w:t>
            </w:r>
            <w:proofErr w:type="spellEnd"/>
            <w:r w:rsidRPr="00A73445">
              <w:rPr>
                <w:rFonts w:cs="Arial"/>
                <w:sz w:val="18"/>
                <w:szCs w:val="18"/>
              </w:rPr>
              <w:t xml:space="preserve"> 24.3, p&lt;0.001</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Tanaka 2016</w:t>
            </w:r>
          </w:p>
        </w:tc>
        <w:tc>
          <w:tcPr>
            <w:tcW w:w="1164" w:type="dxa"/>
          </w:tcPr>
          <w:p w:rsidR="00D822C7" w:rsidRPr="00A73445" w:rsidRDefault="00D822C7" w:rsidP="00D822C7">
            <w:pPr>
              <w:rPr>
                <w:rFonts w:cs="Arial"/>
                <w:sz w:val="18"/>
                <w:szCs w:val="18"/>
              </w:rPr>
            </w:pPr>
            <w:r w:rsidRPr="00A73445">
              <w:rPr>
                <w:rFonts w:cs="Arial"/>
                <w:sz w:val="18"/>
                <w:szCs w:val="18"/>
              </w:rPr>
              <w:t>Japan</w:t>
            </w:r>
          </w:p>
        </w:tc>
        <w:tc>
          <w:tcPr>
            <w:tcW w:w="2948" w:type="dxa"/>
          </w:tcPr>
          <w:p w:rsidR="00D822C7" w:rsidRPr="00A73445" w:rsidRDefault="00D822C7" w:rsidP="00D822C7">
            <w:pPr>
              <w:rPr>
                <w:rFonts w:cs="Arial"/>
                <w:sz w:val="18"/>
                <w:szCs w:val="18"/>
              </w:rPr>
            </w:pPr>
            <w:r w:rsidRPr="00A73445">
              <w:rPr>
                <w:rFonts w:cs="Arial"/>
                <w:sz w:val="18"/>
                <w:szCs w:val="18"/>
              </w:rPr>
              <w:t>152 patients aged 70+ for proximal femoral fracture surgery</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Dementia predictive of perioperative delirium: OR 3.55 [1.35-9.30]</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Jackson 2016</w:t>
            </w:r>
          </w:p>
        </w:tc>
        <w:tc>
          <w:tcPr>
            <w:tcW w:w="1164" w:type="dxa"/>
          </w:tcPr>
          <w:p w:rsidR="00D822C7" w:rsidRPr="00A73445" w:rsidRDefault="00D822C7" w:rsidP="00D822C7">
            <w:pPr>
              <w:rPr>
                <w:rFonts w:cs="Arial"/>
                <w:sz w:val="18"/>
                <w:szCs w:val="18"/>
              </w:rPr>
            </w:pPr>
            <w:r w:rsidRPr="00A73445">
              <w:rPr>
                <w:rFonts w:cs="Arial"/>
                <w:sz w:val="18"/>
                <w:szCs w:val="18"/>
              </w:rPr>
              <w:t>various</w:t>
            </w:r>
          </w:p>
        </w:tc>
        <w:tc>
          <w:tcPr>
            <w:tcW w:w="2948" w:type="dxa"/>
          </w:tcPr>
          <w:p w:rsidR="00D822C7" w:rsidRPr="00A73445" w:rsidRDefault="00D822C7" w:rsidP="00D822C7">
            <w:pPr>
              <w:rPr>
                <w:rFonts w:cs="Arial"/>
                <w:sz w:val="18"/>
                <w:szCs w:val="18"/>
              </w:rPr>
            </w:pPr>
            <w:r w:rsidRPr="00A73445">
              <w:rPr>
                <w:rFonts w:cs="Arial"/>
                <w:sz w:val="18"/>
                <w:szCs w:val="18"/>
              </w:rPr>
              <w:t>27 studies examining predictors of delirium</w:t>
            </w:r>
          </w:p>
        </w:tc>
        <w:tc>
          <w:tcPr>
            <w:tcW w:w="2410" w:type="dxa"/>
          </w:tcPr>
          <w:p w:rsidR="00D822C7" w:rsidRPr="00A73445" w:rsidRDefault="00D822C7" w:rsidP="00D822C7">
            <w:pPr>
              <w:rPr>
                <w:rFonts w:cs="Arial"/>
                <w:sz w:val="18"/>
                <w:szCs w:val="18"/>
              </w:rPr>
            </w:pPr>
            <w:r w:rsidRPr="00A73445">
              <w:rPr>
                <w:rFonts w:cs="Arial"/>
                <w:sz w:val="18"/>
                <w:szCs w:val="18"/>
              </w:rPr>
              <w:t>Systematic review</w:t>
            </w:r>
          </w:p>
        </w:tc>
        <w:tc>
          <w:tcPr>
            <w:tcW w:w="5812" w:type="dxa"/>
          </w:tcPr>
          <w:p w:rsidR="00D822C7" w:rsidRPr="00A73445" w:rsidRDefault="00D822C7" w:rsidP="00D822C7">
            <w:pPr>
              <w:rPr>
                <w:rFonts w:cs="Arial"/>
                <w:sz w:val="18"/>
                <w:szCs w:val="18"/>
              </w:rPr>
            </w:pPr>
            <w:r w:rsidRPr="00A73445">
              <w:rPr>
                <w:rFonts w:cs="Arial"/>
                <w:sz w:val="18"/>
                <w:szCs w:val="18"/>
              </w:rPr>
              <w:t>Hospital outcomes including mortality, institutionalisation and length of stay for patients with delirium are also worse if there is pre-existing psychiatric morbidity such as dementia.</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Fong 2012</w:t>
            </w:r>
          </w:p>
        </w:tc>
        <w:tc>
          <w:tcPr>
            <w:tcW w:w="1164" w:type="dxa"/>
          </w:tcPr>
          <w:p w:rsidR="00D822C7" w:rsidRPr="00A73445" w:rsidRDefault="00D822C7" w:rsidP="00D822C7">
            <w:pPr>
              <w:rPr>
                <w:rFonts w:cs="Arial"/>
                <w:sz w:val="18"/>
                <w:szCs w:val="18"/>
              </w:rPr>
            </w:pPr>
            <w:r w:rsidRPr="00A73445">
              <w:rPr>
                <w:rFonts w:cs="Arial"/>
                <w:sz w:val="18"/>
                <w:szCs w:val="18"/>
              </w:rPr>
              <w:t>U.S.A.</w:t>
            </w:r>
          </w:p>
        </w:tc>
        <w:tc>
          <w:tcPr>
            <w:tcW w:w="2948" w:type="dxa"/>
          </w:tcPr>
          <w:p w:rsidR="00D822C7" w:rsidRPr="00A73445" w:rsidRDefault="00D822C7" w:rsidP="00D822C7">
            <w:pPr>
              <w:rPr>
                <w:rFonts w:cs="Arial"/>
                <w:sz w:val="18"/>
                <w:szCs w:val="18"/>
              </w:rPr>
            </w:pPr>
            <w:r w:rsidRPr="00A73445">
              <w:rPr>
                <w:rFonts w:cs="Arial"/>
                <w:sz w:val="18"/>
                <w:szCs w:val="18"/>
              </w:rPr>
              <w:t>771 persons with Alzheimer’s disease in the community, of whom 367 were hospitalised</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tc>
        <w:tc>
          <w:tcPr>
            <w:tcW w:w="5812" w:type="dxa"/>
          </w:tcPr>
          <w:p w:rsidR="00D822C7" w:rsidRPr="00A73445" w:rsidRDefault="00D822C7" w:rsidP="00D822C7">
            <w:pPr>
              <w:rPr>
                <w:rFonts w:cs="Arial"/>
                <w:sz w:val="18"/>
                <w:szCs w:val="18"/>
              </w:rPr>
            </w:pPr>
            <w:r w:rsidRPr="00A73445">
              <w:rPr>
                <w:rFonts w:cs="Arial"/>
                <w:sz w:val="18"/>
                <w:szCs w:val="18"/>
              </w:rPr>
              <w:t xml:space="preserve">Incidence of delirium in hospital was 25% (n=194). Patients with delirium had a higher risk of death within 1 year (15.5% (30/194 ) </w:t>
            </w:r>
            <w:proofErr w:type="spellStart"/>
            <w:r w:rsidRPr="00A73445">
              <w:rPr>
                <w:rFonts w:cs="Arial"/>
                <w:sz w:val="18"/>
                <w:szCs w:val="18"/>
              </w:rPr>
              <w:t>vs</w:t>
            </w:r>
            <w:proofErr w:type="spellEnd"/>
            <w:r w:rsidRPr="00A73445">
              <w:rPr>
                <w:rFonts w:cs="Arial"/>
                <w:sz w:val="18"/>
                <w:szCs w:val="18"/>
              </w:rPr>
              <w:t xml:space="preserve"> 9.2% (16/173))</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Torpilliesi</w:t>
            </w:r>
            <w:proofErr w:type="spellEnd"/>
            <w:r w:rsidRPr="00A73445">
              <w:rPr>
                <w:rFonts w:cs="Arial"/>
                <w:sz w:val="18"/>
                <w:szCs w:val="18"/>
              </w:rPr>
              <w:t xml:space="preserve"> 2010</w:t>
            </w:r>
          </w:p>
        </w:tc>
        <w:tc>
          <w:tcPr>
            <w:tcW w:w="1164" w:type="dxa"/>
          </w:tcPr>
          <w:p w:rsidR="00D822C7" w:rsidRPr="00A73445" w:rsidRDefault="00D822C7" w:rsidP="00D822C7">
            <w:pPr>
              <w:tabs>
                <w:tab w:val="left" w:pos="779"/>
              </w:tabs>
              <w:jc w:val="both"/>
              <w:rPr>
                <w:rFonts w:cs="Arial"/>
                <w:sz w:val="18"/>
                <w:szCs w:val="18"/>
              </w:rPr>
            </w:pPr>
            <w:r w:rsidRPr="00A73445">
              <w:rPr>
                <w:rFonts w:cs="Arial"/>
                <w:sz w:val="18"/>
                <w:szCs w:val="18"/>
              </w:rPr>
              <w:t>Italy</w:t>
            </w:r>
          </w:p>
        </w:tc>
        <w:tc>
          <w:tcPr>
            <w:tcW w:w="2948" w:type="dxa"/>
          </w:tcPr>
          <w:p w:rsidR="00D822C7" w:rsidRPr="00A73445" w:rsidRDefault="00D822C7" w:rsidP="00D822C7">
            <w:pPr>
              <w:rPr>
                <w:rFonts w:cs="Arial"/>
                <w:sz w:val="18"/>
                <w:szCs w:val="18"/>
              </w:rPr>
            </w:pPr>
            <w:r w:rsidRPr="00A73445">
              <w:rPr>
                <w:rFonts w:cs="Arial"/>
                <w:sz w:val="18"/>
                <w:szCs w:val="18"/>
              </w:rPr>
              <w:t>2,340 patients admitted to a Rehabilitation and Aged Care Unit</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DSD and poor functional status are stronger predictors than dementia alone of adverse clinical outcomes (length of stay, institutionalisation).</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Avelino</w:t>
            </w:r>
            <w:proofErr w:type="spellEnd"/>
            <w:r w:rsidRPr="00A73445">
              <w:rPr>
                <w:rFonts w:cs="Arial"/>
                <w:sz w:val="18"/>
                <w:szCs w:val="18"/>
              </w:rPr>
              <w:t>-Silva 2017</w:t>
            </w:r>
          </w:p>
        </w:tc>
        <w:tc>
          <w:tcPr>
            <w:tcW w:w="1164" w:type="dxa"/>
          </w:tcPr>
          <w:p w:rsidR="00D822C7" w:rsidRPr="00A73445" w:rsidRDefault="00D822C7" w:rsidP="00D822C7">
            <w:pPr>
              <w:tabs>
                <w:tab w:val="left" w:pos="597"/>
              </w:tabs>
              <w:jc w:val="both"/>
              <w:rPr>
                <w:rFonts w:cs="Arial"/>
                <w:sz w:val="18"/>
                <w:szCs w:val="18"/>
              </w:rPr>
            </w:pPr>
            <w:r w:rsidRPr="00A73445">
              <w:rPr>
                <w:rFonts w:cs="Arial"/>
                <w:sz w:val="18"/>
                <w:szCs w:val="18"/>
              </w:rPr>
              <w:t>Brazil</w:t>
            </w:r>
          </w:p>
        </w:tc>
        <w:tc>
          <w:tcPr>
            <w:tcW w:w="2948" w:type="dxa"/>
          </w:tcPr>
          <w:p w:rsidR="00D822C7" w:rsidRPr="00A73445" w:rsidRDefault="00D822C7" w:rsidP="00D822C7">
            <w:pPr>
              <w:rPr>
                <w:rFonts w:cs="Arial"/>
                <w:sz w:val="18"/>
                <w:szCs w:val="18"/>
              </w:rPr>
            </w:pPr>
            <w:r w:rsidRPr="00A73445">
              <w:rPr>
                <w:rFonts w:cs="Arial"/>
                <w:sz w:val="18"/>
                <w:szCs w:val="18"/>
              </w:rPr>
              <w:t>1,409 acute hospital admissions of patients aged 60+</w:t>
            </w:r>
          </w:p>
        </w:tc>
        <w:tc>
          <w:tcPr>
            <w:tcW w:w="2410" w:type="dxa"/>
          </w:tcPr>
          <w:p w:rsidR="00D822C7" w:rsidRPr="00A73445" w:rsidRDefault="00D822C7" w:rsidP="00D822C7">
            <w:pPr>
              <w:rPr>
                <w:rFonts w:cs="Arial"/>
                <w:sz w:val="18"/>
                <w:szCs w:val="18"/>
              </w:rPr>
            </w:pPr>
            <w:r w:rsidRPr="00A73445">
              <w:rPr>
                <w:rFonts w:cs="Arial"/>
                <w:sz w:val="18"/>
                <w:szCs w:val="18"/>
              </w:rPr>
              <w:t xml:space="preserve">Prospective cohort </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Of the 549 patients with dementia, 66.8% (n=367) had DSD.</w:t>
            </w:r>
          </w:p>
          <w:p w:rsidR="00D822C7" w:rsidRPr="00A73445" w:rsidRDefault="00D822C7" w:rsidP="00D822C7">
            <w:pPr>
              <w:rPr>
                <w:rFonts w:cs="Arial"/>
                <w:sz w:val="18"/>
                <w:szCs w:val="18"/>
              </w:rPr>
            </w:pPr>
            <w:r w:rsidRPr="00A73445">
              <w:rPr>
                <w:rFonts w:cs="Arial"/>
                <w:sz w:val="18"/>
                <w:szCs w:val="18"/>
              </w:rPr>
              <w:t>DSD was independently associated with in-hospital mortality, HR 2.14 [1.33-3.45] p = 0.002, whereas dementia alone was not.</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Hsieh 2015</w:t>
            </w:r>
          </w:p>
        </w:tc>
        <w:tc>
          <w:tcPr>
            <w:tcW w:w="1164" w:type="dxa"/>
          </w:tcPr>
          <w:p w:rsidR="00D822C7" w:rsidRPr="00A73445" w:rsidRDefault="00D822C7" w:rsidP="00D822C7">
            <w:pPr>
              <w:rPr>
                <w:rFonts w:cs="Arial"/>
                <w:sz w:val="18"/>
                <w:szCs w:val="18"/>
              </w:rPr>
            </w:pPr>
            <w:r w:rsidRPr="00A73445">
              <w:rPr>
                <w:rFonts w:cs="Arial"/>
                <w:sz w:val="18"/>
                <w:szCs w:val="18"/>
              </w:rPr>
              <w:t>U.S.A</w:t>
            </w:r>
          </w:p>
        </w:tc>
        <w:tc>
          <w:tcPr>
            <w:tcW w:w="2948" w:type="dxa"/>
          </w:tcPr>
          <w:p w:rsidR="00D822C7" w:rsidRPr="00A73445" w:rsidRDefault="00D822C7" w:rsidP="00D822C7">
            <w:pPr>
              <w:rPr>
                <w:rFonts w:cs="Arial"/>
                <w:sz w:val="18"/>
                <w:szCs w:val="18"/>
              </w:rPr>
            </w:pPr>
            <w:r w:rsidRPr="00A73445">
              <w:rPr>
                <w:rFonts w:cs="Arial"/>
                <w:sz w:val="18"/>
                <w:szCs w:val="18"/>
              </w:rPr>
              <w:t>260 patients aged 65+ with an acute admission to hospital</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 xml:space="preserve">Dementia was associated with an increased risk of occurrence of least 1 episode of delirium during the first 3 days of admission in adults aged 65 and above, and subsequently increased the odds of unanticipated ICU admission or in-hospital death: </w:t>
            </w:r>
            <w:proofErr w:type="spellStart"/>
            <w:r w:rsidRPr="00A73445">
              <w:rPr>
                <w:rFonts w:cs="Arial"/>
                <w:sz w:val="18"/>
                <w:szCs w:val="18"/>
              </w:rPr>
              <w:t>aOR</w:t>
            </w:r>
            <w:proofErr w:type="spellEnd"/>
            <w:r w:rsidRPr="00A73445">
              <w:rPr>
                <w:rFonts w:cs="Arial"/>
                <w:sz w:val="18"/>
                <w:szCs w:val="18"/>
              </w:rPr>
              <w:t xml:space="preserve"> 8.07 [1.91-34.14].</w:t>
            </w:r>
          </w:p>
        </w:tc>
      </w:tr>
      <w:tr w:rsidR="00D822C7" w:rsidRPr="00A73445" w:rsidTr="009559F4">
        <w:trPr>
          <w:trHeight w:val="79"/>
        </w:trPr>
        <w:tc>
          <w:tcPr>
            <w:tcW w:w="14000" w:type="dxa"/>
            <w:gridSpan w:val="5"/>
          </w:tcPr>
          <w:p w:rsidR="00D822C7" w:rsidRPr="00A73445" w:rsidRDefault="00D822C7" w:rsidP="00D822C7">
            <w:pPr>
              <w:rPr>
                <w:rFonts w:cs="Arial"/>
                <w:b/>
                <w:i/>
                <w:sz w:val="18"/>
                <w:szCs w:val="18"/>
              </w:rPr>
            </w:pPr>
            <w:r w:rsidRPr="00A73445">
              <w:rPr>
                <w:rFonts w:cs="Arial"/>
                <w:b/>
                <w:i/>
                <w:sz w:val="18"/>
                <w:szCs w:val="18"/>
              </w:rPr>
              <w:t>Adverse events and complications occurring in hospital</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Mecocci</w:t>
            </w:r>
            <w:proofErr w:type="spellEnd"/>
            <w:r w:rsidRPr="00A73445">
              <w:rPr>
                <w:rFonts w:cs="Arial"/>
                <w:sz w:val="18"/>
                <w:szCs w:val="18"/>
              </w:rPr>
              <w:t xml:space="preserve"> 2005</w:t>
            </w:r>
          </w:p>
        </w:tc>
        <w:tc>
          <w:tcPr>
            <w:tcW w:w="1164" w:type="dxa"/>
          </w:tcPr>
          <w:p w:rsidR="00D822C7" w:rsidRPr="00A73445" w:rsidRDefault="00D822C7" w:rsidP="00D822C7">
            <w:pPr>
              <w:rPr>
                <w:rFonts w:cs="Arial"/>
                <w:sz w:val="18"/>
                <w:szCs w:val="18"/>
              </w:rPr>
            </w:pPr>
            <w:r w:rsidRPr="00A73445">
              <w:rPr>
                <w:rFonts w:cs="Arial"/>
                <w:sz w:val="18"/>
                <w:szCs w:val="18"/>
              </w:rPr>
              <w:t>Italy</w:t>
            </w:r>
          </w:p>
        </w:tc>
        <w:tc>
          <w:tcPr>
            <w:tcW w:w="2948" w:type="dxa"/>
          </w:tcPr>
          <w:p w:rsidR="00D822C7" w:rsidRPr="00A73445" w:rsidRDefault="00D822C7" w:rsidP="00D822C7">
            <w:pPr>
              <w:rPr>
                <w:rFonts w:cs="Arial"/>
                <w:sz w:val="18"/>
                <w:szCs w:val="18"/>
              </w:rPr>
            </w:pPr>
            <w:r w:rsidRPr="00A73445">
              <w:rPr>
                <w:rFonts w:cs="Arial"/>
                <w:sz w:val="18"/>
                <w:szCs w:val="18"/>
              </w:rPr>
              <w:t>13,729 patients aged 65+ admitted to medical or geriatric wards</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Cognitive impairment was found to be the most significant risk factor for: (</w:t>
            </w:r>
            <w:proofErr w:type="spellStart"/>
            <w:r w:rsidRPr="00A73445">
              <w:rPr>
                <w:rFonts w:cs="Arial"/>
                <w:sz w:val="18"/>
                <w:szCs w:val="18"/>
              </w:rPr>
              <w:t>i</w:t>
            </w:r>
            <w:proofErr w:type="spellEnd"/>
            <w:r w:rsidRPr="00A73445">
              <w:rPr>
                <w:rFonts w:cs="Arial"/>
                <w:sz w:val="18"/>
                <w:szCs w:val="18"/>
              </w:rPr>
              <w:t>) pressure ulcers: OR 4.9 [2.4–9.9], (ii) development of new faecal incontinence: OR 6.3 [3.0-13.0], (iii) urinary incontinence: OR 5.3 [2.3-12.0</w:t>
            </w:r>
            <w:proofErr w:type="gramStart"/>
            <w:r w:rsidRPr="00A73445">
              <w:rPr>
                <w:rFonts w:cs="Arial"/>
                <w:sz w:val="18"/>
                <w:szCs w:val="18"/>
              </w:rPr>
              <w:t>],</w:t>
            </w:r>
            <w:proofErr w:type="gramEnd"/>
            <w:r w:rsidRPr="00A73445">
              <w:rPr>
                <w:rFonts w:cs="Arial"/>
                <w:sz w:val="18"/>
                <w:szCs w:val="18"/>
              </w:rPr>
              <w:t xml:space="preserve"> (iv) falls: OR 1.6 [1.2–2.3].</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Harlein</w:t>
            </w:r>
            <w:proofErr w:type="spellEnd"/>
            <w:r w:rsidRPr="00A73445">
              <w:rPr>
                <w:rFonts w:cs="Arial"/>
                <w:sz w:val="18"/>
                <w:szCs w:val="18"/>
              </w:rPr>
              <w:t xml:space="preserve"> 2011</w:t>
            </w:r>
          </w:p>
        </w:tc>
        <w:tc>
          <w:tcPr>
            <w:tcW w:w="1164" w:type="dxa"/>
          </w:tcPr>
          <w:p w:rsidR="00D822C7" w:rsidRPr="00A73445" w:rsidRDefault="00D822C7" w:rsidP="00D822C7">
            <w:pPr>
              <w:rPr>
                <w:rFonts w:cs="Arial"/>
                <w:sz w:val="18"/>
                <w:szCs w:val="18"/>
              </w:rPr>
            </w:pPr>
            <w:r w:rsidRPr="00A73445">
              <w:rPr>
                <w:rFonts w:cs="Arial"/>
                <w:sz w:val="18"/>
                <w:szCs w:val="18"/>
              </w:rPr>
              <w:t>Germany</w:t>
            </w:r>
          </w:p>
        </w:tc>
        <w:tc>
          <w:tcPr>
            <w:tcW w:w="2948" w:type="dxa"/>
          </w:tcPr>
          <w:p w:rsidR="00D822C7" w:rsidRPr="00A73445" w:rsidRDefault="00D822C7" w:rsidP="00D822C7">
            <w:pPr>
              <w:rPr>
                <w:rFonts w:cs="Arial"/>
                <w:sz w:val="18"/>
                <w:szCs w:val="18"/>
              </w:rPr>
            </w:pPr>
            <w:r w:rsidRPr="00A73445">
              <w:rPr>
                <w:rFonts w:cs="Arial"/>
                <w:sz w:val="18"/>
                <w:szCs w:val="18"/>
              </w:rPr>
              <w:t xml:space="preserve">9,246 patients aged 65+ admitted to 37 hospitals, with 1,276 (13.8%) </w:t>
            </w:r>
            <w:r w:rsidRPr="00A73445">
              <w:rPr>
                <w:rFonts w:cs="Arial"/>
                <w:sz w:val="18"/>
                <w:szCs w:val="18"/>
              </w:rPr>
              <w:lastRenderedPageBreak/>
              <w:t>rated as cognitively impaired</w:t>
            </w:r>
          </w:p>
        </w:tc>
        <w:tc>
          <w:tcPr>
            <w:tcW w:w="2410" w:type="dxa"/>
          </w:tcPr>
          <w:p w:rsidR="00D822C7" w:rsidRPr="00A73445" w:rsidRDefault="00D822C7" w:rsidP="00D822C7">
            <w:pPr>
              <w:rPr>
                <w:rFonts w:cs="Arial"/>
                <w:sz w:val="18"/>
                <w:szCs w:val="18"/>
              </w:rPr>
            </w:pPr>
            <w:r w:rsidRPr="00A73445">
              <w:rPr>
                <w:rFonts w:cs="Arial"/>
                <w:sz w:val="18"/>
                <w:szCs w:val="18"/>
              </w:rPr>
              <w:lastRenderedPageBreak/>
              <w:t>Secondary analysis of point prevalence studies</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lastRenderedPageBreak/>
              <w:t xml:space="preserve">Cognitive impairment leads to an increased risk of falls in hospital: 12.9% with CI </w:t>
            </w:r>
            <w:proofErr w:type="spellStart"/>
            <w:r w:rsidRPr="00A73445">
              <w:rPr>
                <w:rFonts w:cs="Arial"/>
                <w:sz w:val="18"/>
                <w:szCs w:val="18"/>
              </w:rPr>
              <w:t>vs</w:t>
            </w:r>
            <w:proofErr w:type="spellEnd"/>
            <w:r w:rsidRPr="00A73445">
              <w:rPr>
                <w:rFonts w:cs="Arial"/>
                <w:sz w:val="18"/>
                <w:szCs w:val="18"/>
              </w:rPr>
              <w:t xml:space="preserve"> 4.2% without CI; </w:t>
            </w:r>
            <w:proofErr w:type="spellStart"/>
            <w:r w:rsidRPr="00A73445">
              <w:rPr>
                <w:rFonts w:cs="Arial"/>
                <w:sz w:val="18"/>
                <w:szCs w:val="18"/>
              </w:rPr>
              <w:t>aOR</w:t>
            </w:r>
            <w:proofErr w:type="spellEnd"/>
            <w:r w:rsidRPr="00A73445">
              <w:rPr>
                <w:rFonts w:cs="Arial"/>
                <w:sz w:val="18"/>
                <w:szCs w:val="18"/>
              </w:rPr>
              <w:t xml:space="preserve"> 2.1 [1.7-2.7]</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lastRenderedPageBreak/>
              <w:t>Chen 2011</w:t>
            </w:r>
          </w:p>
        </w:tc>
        <w:tc>
          <w:tcPr>
            <w:tcW w:w="1164" w:type="dxa"/>
          </w:tcPr>
          <w:p w:rsidR="00D822C7" w:rsidRPr="00A73445" w:rsidRDefault="00D822C7" w:rsidP="00D822C7">
            <w:pPr>
              <w:rPr>
                <w:rFonts w:cs="Arial"/>
                <w:sz w:val="18"/>
                <w:szCs w:val="18"/>
              </w:rPr>
            </w:pPr>
            <w:r w:rsidRPr="00A73445">
              <w:rPr>
                <w:rFonts w:cs="Arial"/>
                <w:sz w:val="18"/>
                <w:szCs w:val="18"/>
              </w:rPr>
              <w:t>Australia</w:t>
            </w:r>
          </w:p>
        </w:tc>
        <w:tc>
          <w:tcPr>
            <w:tcW w:w="2948" w:type="dxa"/>
          </w:tcPr>
          <w:p w:rsidR="00D822C7" w:rsidRPr="00A73445" w:rsidRDefault="00D822C7" w:rsidP="00D822C7">
            <w:pPr>
              <w:rPr>
                <w:rFonts w:cs="Arial"/>
                <w:sz w:val="18"/>
                <w:szCs w:val="18"/>
              </w:rPr>
            </w:pPr>
            <w:r w:rsidRPr="00A73445">
              <w:rPr>
                <w:rFonts w:cs="Arial"/>
                <w:sz w:val="18"/>
                <w:szCs w:val="18"/>
              </w:rPr>
              <w:t>408 patients aged 70+ admitted to hospital</w:t>
            </w:r>
          </w:p>
        </w:tc>
        <w:tc>
          <w:tcPr>
            <w:tcW w:w="2410" w:type="dxa"/>
          </w:tcPr>
          <w:p w:rsidR="00D822C7" w:rsidRPr="00A73445" w:rsidRDefault="00D822C7" w:rsidP="00D822C7">
            <w:pPr>
              <w:rPr>
                <w:rFonts w:cs="Arial"/>
                <w:sz w:val="18"/>
                <w:szCs w:val="18"/>
              </w:rPr>
            </w:pPr>
            <w:r w:rsidRPr="00A73445">
              <w:rPr>
                <w:rFonts w:cs="Arial"/>
                <w:sz w:val="18"/>
                <w:szCs w:val="18"/>
              </w:rPr>
              <w:t>Retrospective case control.</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Dementia was significantly associated with recurrent falls. Recurrent fallers had significantly lower MMSE scores than single fallers and non-fallers (17.3 ± 6.7, 20.2 ± 6.2, 24.0 ± 5.1, respectively, p &lt; 0.01); and a larger proportion of recurrent fallers had MMSE &lt;18 than in the other two groups (54.1%, 34.4% and 10.8%, respectively, p &lt; 0.01). Patients with recurrent falls were more likely to have significantly lower scores in the ‘registration’, ‘attention and calculation’, ‘recall’ and ‘praxis’ domains of the MMSE than single fallers.</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Ferrari 2012</w:t>
            </w:r>
          </w:p>
        </w:tc>
        <w:tc>
          <w:tcPr>
            <w:tcW w:w="1164" w:type="dxa"/>
          </w:tcPr>
          <w:p w:rsidR="00D822C7" w:rsidRPr="00A73445" w:rsidRDefault="00D822C7" w:rsidP="00D822C7">
            <w:pPr>
              <w:rPr>
                <w:rFonts w:cs="Arial"/>
                <w:sz w:val="18"/>
                <w:szCs w:val="18"/>
              </w:rPr>
            </w:pPr>
            <w:r w:rsidRPr="00A73445">
              <w:rPr>
                <w:rFonts w:cs="Arial"/>
                <w:sz w:val="18"/>
                <w:szCs w:val="18"/>
              </w:rPr>
              <w:t>U.S.A.</w:t>
            </w:r>
          </w:p>
        </w:tc>
        <w:tc>
          <w:tcPr>
            <w:tcW w:w="2948" w:type="dxa"/>
          </w:tcPr>
          <w:p w:rsidR="00D822C7" w:rsidRPr="00A73445" w:rsidRDefault="00D822C7" w:rsidP="00D822C7">
            <w:pPr>
              <w:rPr>
                <w:rFonts w:cs="Arial"/>
                <w:sz w:val="18"/>
                <w:szCs w:val="18"/>
              </w:rPr>
            </w:pPr>
            <w:r w:rsidRPr="00A73445">
              <w:rPr>
                <w:rFonts w:cs="Arial"/>
                <w:sz w:val="18"/>
                <w:szCs w:val="18"/>
              </w:rPr>
              <w:t>233 patients aged 65+ with a documented in-patient fall</w:t>
            </w:r>
          </w:p>
        </w:tc>
        <w:tc>
          <w:tcPr>
            <w:tcW w:w="2410" w:type="dxa"/>
          </w:tcPr>
          <w:p w:rsidR="00D822C7" w:rsidRPr="00A73445" w:rsidRDefault="00D822C7" w:rsidP="00D822C7">
            <w:pPr>
              <w:rPr>
                <w:rFonts w:cs="Arial"/>
                <w:sz w:val="18"/>
                <w:szCs w:val="18"/>
              </w:rPr>
            </w:pPr>
            <w:r w:rsidRPr="00A73445">
              <w:rPr>
                <w:rFonts w:cs="Arial"/>
                <w:sz w:val="18"/>
                <w:szCs w:val="18"/>
              </w:rPr>
              <w:t>Retrospective descriptive study</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Falls related to impulsive behaviour are more common in patients with cognitive impairment.</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Tangman</w:t>
            </w:r>
            <w:proofErr w:type="spellEnd"/>
            <w:r w:rsidRPr="00A73445">
              <w:rPr>
                <w:rFonts w:cs="Arial"/>
                <w:sz w:val="18"/>
                <w:szCs w:val="18"/>
              </w:rPr>
              <w:t xml:space="preserve"> 2010</w:t>
            </w:r>
          </w:p>
        </w:tc>
        <w:tc>
          <w:tcPr>
            <w:tcW w:w="1164" w:type="dxa"/>
          </w:tcPr>
          <w:p w:rsidR="00D822C7" w:rsidRPr="00A73445" w:rsidRDefault="00D822C7" w:rsidP="00D822C7">
            <w:pPr>
              <w:rPr>
                <w:rFonts w:cs="Arial"/>
                <w:sz w:val="18"/>
                <w:szCs w:val="18"/>
              </w:rPr>
            </w:pPr>
            <w:r w:rsidRPr="00A73445">
              <w:rPr>
                <w:rFonts w:cs="Arial"/>
                <w:sz w:val="18"/>
                <w:szCs w:val="18"/>
              </w:rPr>
              <w:t>Sweden</w:t>
            </w:r>
          </w:p>
        </w:tc>
        <w:tc>
          <w:tcPr>
            <w:tcW w:w="2948" w:type="dxa"/>
          </w:tcPr>
          <w:p w:rsidR="00D822C7" w:rsidRPr="00A73445" w:rsidRDefault="00D822C7" w:rsidP="00D822C7">
            <w:pPr>
              <w:rPr>
                <w:rFonts w:cs="Arial"/>
                <w:sz w:val="18"/>
                <w:szCs w:val="18"/>
              </w:rPr>
            </w:pPr>
            <w:r w:rsidRPr="00A73445">
              <w:rPr>
                <w:rFonts w:cs="Arial"/>
                <w:sz w:val="18"/>
                <w:szCs w:val="18"/>
              </w:rPr>
              <w:t>223 patients admitted to a ward in a psychogeriatric hospital ward</w:t>
            </w:r>
          </w:p>
        </w:tc>
        <w:tc>
          <w:tcPr>
            <w:tcW w:w="2410" w:type="dxa"/>
          </w:tcPr>
          <w:p w:rsidR="00D822C7" w:rsidRPr="00A73445" w:rsidRDefault="00D822C7" w:rsidP="00D822C7">
            <w:pPr>
              <w:rPr>
                <w:rFonts w:cs="Arial"/>
                <w:sz w:val="18"/>
                <w:szCs w:val="18"/>
              </w:rPr>
            </w:pPr>
            <w:r w:rsidRPr="00A73445">
              <w:rPr>
                <w:rFonts w:cs="Arial"/>
                <w:sz w:val="18"/>
                <w:szCs w:val="18"/>
              </w:rPr>
              <w:t>Prospective fall registration study and case-note review</w:t>
            </w:r>
          </w:p>
        </w:tc>
        <w:tc>
          <w:tcPr>
            <w:tcW w:w="5812" w:type="dxa"/>
          </w:tcPr>
          <w:p w:rsidR="00D822C7" w:rsidRPr="00A73445" w:rsidRDefault="00D822C7" w:rsidP="00D822C7">
            <w:pPr>
              <w:rPr>
                <w:rFonts w:cs="Arial"/>
                <w:sz w:val="18"/>
                <w:szCs w:val="18"/>
              </w:rPr>
            </w:pPr>
            <w:r w:rsidRPr="00A73445">
              <w:rPr>
                <w:rFonts w:cs="Arial"/>
                <w:sz w:val="18"/>
                <w:szCs w:val="18"/>
              </w:rPr>
              <w:t xml:space="preserve">91 (41%) of patients fell, with a total of 298 falls. More than three quarters of falls had one of the following precipitating factors: being in hospital at night (between 9pm and 7am), having an acute disease or symptoms of disease and/or acute drug side-effects </w:t>
            </w:r>
          </w:p>
        </w:tc>
      </w:tr>
      <w:tr w:rsidR="00A73445" w:rsidRPr="00A73445" w:rsidTr="00C07331">
        <w:tc>
          <w:tcPr>
            <w:tcW w:w="1666" w:type="dxa"/>
          </w:tcPr>
          <w:p w:rsidR="00D822C7" w:rsidRPr="00A73445" w:rsidRDefault="00D822C7" w:rsidP="00A35F5D">
            <w:pPr>
              <w:rPr>
                <w:rFonts w:cs="Arial"/>
                <w:sz w:val="18"/>
                <w:szCs w:val="18"/>
              </w:rPr>
            </w:pPr>
            <w:r w:rsidRPr="00A73445">
              <w:rPr>
                <w:rFonts w:cs="Arial"/>
                <w:sz w:val="18"/>
                <w:szCs w:val="18"/>
              </w:rPr>
              <w:t>Tamiya 2015</w:t>
            </w:r>
            <w:r w:rsidRPr="00A73445">
              <w:rPr>
                <w:rFonts w:cs="Arial"/>
                <w:sz w:val="18"/>
                <w:szCs w:val="18"/>
              </w:rPr>
              <w:fldChar w:fldCharType="begin">
                <w:fldData xml:space="preserve">PEVuZE5vdGU+PENpdGU+PEF1dGhvcj5UYW1peWE8L0F1dGhvcj48WWVhcj4yMDE1PC9ZZWFyPjxS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=
</w:fldData>
              </w:fldChar>
            </w:r>
            <w:r w:rsidR="00A73445" w:rsidRPr="00A73445">
              <w:rPr>
                <w:rFonts w:cs="Arial"/>
                <w:sz w:val="18"/>
                <w:szCs w:val="18"/>
              </w:rPr>
              <w:instrText xml:space="preserve"> ADDIN EN.CITE </w:instrText>
            </w:r>
            <w:r w:rsidR="00A73445" w:rsidRPr="00A73445">
              <w:rPr>
                <w:rFonts w:cs="Arial"/>
                <w:sz w:val="18"/>
                <w:szCs w:val="18"/>
              </w:rPr>
              <w:fldChar w:fldCharType="begin">
                <w:fldData xml:space="preserve">PEVuZE5vdGU+PENpdGU+PEF1dGhvcj5UYW1peWE8L0F1dGhvcj48WWVhcj4yMDE1PC9ZZWFyPjxS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=
</w:fldData>
              </w:fldChar>
            </w:r>
            <w:r w:rsidR="00A73445" w:rsidRPr="00A73445">
              <w:rPr>
                <w:rFonts w:cs="Arial"/>
                <w:sz w:val="18"/>
                <w:szCs w:val="18"/>
              </w:rPr>
              <w:instrText xml:space="preserve"> ADDIN EN.CITE.DATA </w:instrText>
            </w:r>
            <w:r w:rsidR="00A73445" w:rsidRPr="00A73445">
              <w:rPr>
                <w:rFonts w:cs="Arial"/>
                <w:sz w:val="18"/>
                <w:szCs w:val="18"/>
              </w:rPr>
            </w:r>
            <w:r w:rsidR="00A73445" w:rsidRPr="00A73445">
              <w:rPr>
                <w:rFonts w:cs="Arial"/>
                <w:sz w:val="18"/>
                <w:szCs w:val="18"/>
              </w:rPr>
              <w:fldChar w:fldCharType="end"/>
            </w:r>
            <w:r w:rsidRPr="00A73445">
              <w:rPr>
                <w:rFonts w:cs="Arial"/>
                <w:sz w:val="18"/>
                <w:szCs w:val="18"/>
              </w:rPr>
            </w:r>
            <w:r w:rsidRPr="00A73445">
              <w:rPr>
                <w:rFonts w:cs="Arial"/>
                <w:sz w:val="18"/>
                <w:szCs w:val="18"/>
              </w:rPr>
              <w:fldChar w:fldCharType="end"/>
            </w:r>
          </w:p>
        </w:tc>
        <w:tc>
          <w:tcPr>
            <w:tcW w:w="1164" w:type="dxa"/>
          </w:tcPr>
          <w:p w:rsidR="00D822C7" w:rsidRPr="00A73445" w:rsidRDefault="00D822C7" w:rsidP="00D822C7">
            <w:pPr>
              <w:rPr>
                <w:rFonts w:cs="Arial"/>
                <w:sz w:val="18"/>
                <w:szCs w:val="18"/>
              </w:rPr>
            </w:pPr>
            <w:r w:rsidRPr="00A73445">
              <w:rPr>
                <w:rFonts w:cs="Arial"/>
                <w:sz w:val="18"/>
                <w:szCs w:val="18"/>
              </w:rPr>
              <w:t>Japan</w:t>
            </w:r>
          </w:p>
        </w:tc>
        <w:tc>
          <w:tcPr>
            <w:tcW w:w="2948" w:type="dxa"/>
          </w:tcPr>
          <w:p w:rsidR="00D822C7" w:rsidRPr="00A73445" w:rsidRDefault="00D822C7" w:rsidP="00D822C7">
            <w:pPr>
              <w:rPr>
                <w:rFonts w:cs="Arial"/>
                <w:sz w:val="18"/>
                <w:szCs w:val="18"/>
              </w:rPr>
            </w:pPr>
            <w:r w:rsidRPr="00A73445">
              <w:rPr>
                <w:rFonts w:cs="Arial"/>
                <w:sz w:val="18"/>
                <w:szCs w:val="18"/>
              </w:rPr>
              <w:t>817 with in-hospital fracture, 3,158 controls</w:t>
            </w:r>
          </w:p>
        </w:tc>
        <w:tc>
          <w:tcPr>
            <w:tcW w:w="2410" w:type="dxa"/>
          </w:tcPr>
          <w:p w:rsidR="00D822C7" w:rsidRPr="00A73445" w:rsidRDefault="00D822C7" w:rsidP="00D822C7">
            <w:pPr>
              <w:rPr>
                <w:rFonts w:cs="Arial"/>
                <w:sz w:val="18"/>
                <w:szCs w:val="18"/>
              </w:rPr>
            </w:pPr>
            <w:r w:rsidRPr="00A73445">
              <w:rPr>
                <w:rFonts w:cs="Arial"/>
                <w:sz w:val="18"/>
                <w:szCs w:val="18"/>
              </w:rPr>
              <w:t xml:space="preserve">Matched </w:t>
            </w:r>
            <w:proofErr w:type="spellStart"/>
            <w:r w:rsidRPr="00A73445">
              <w:rPr>
                <w:rFonts w:cs="Arial"/>
                <w:sz w:val="18"/>
                <w:szCs w:val="18"/>
              </w:rPr>
              <w:t>case:control</w:t>
            </w:r>
            <w:proofErr w:type="spellEnd"/>
            <w:r w:rsidRPr="00A73445">
              <w:rPr>
                <w:rFonts w:cs="Arial"/>
                <w:sz w:val="18"/>
                <w:szCs w:val="18"/>
              </w:rPr>
              <w:t xml:space="preserve"> study (national inpatient database)</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 xml:space="preserve">Increased risk of fractures in patients taking short-acting benzodiazepine hypnotics, OR 1.43 [1.19 – 1.73]; p&lt;0.001, </w:t>
            </w:r>
            <w:proofErr w:type="spellStart"/>
            <w:r w:rsidRPr="00A73445">
              <w:rPr>
                <w:rFonts w:cs="Arial"/>
                <w:sz w:val="18"/>
                <w:szCs w:val="18"/>
              </w:rPr>
              <w:t>ultrashort</w:t>
            </w:r>
            <w:proofErr w:type="spellEnd"/>
            <w:r w:rsidRPr="00A73445">
              <w:rPr>
                <w:rFonts w:cs="Arial"/>
                <w:sz w:val="18"/>
                <w:szCs w:val="18"/>
              </w:rPr>
              <w:t xml:space="preserve">-acting non-benzodiazepine hypnotics OR 1.66 [1.37 – 2.01]; p&lt;0.001, hydroxyzine, OR 1.45 [1.15 – 1.82]; p=0.001, </w:t>
            </w:r>
            <w:proofErr w:type="spellStart"/>
            <w:r w:rsidRPr="00A73445">
              <w:rPr>
                <w:rFonts w:cs="Arial"/>
                <w:sz w:val="18"/>
                <w:szCs w:val="18"/>
              </w:rPr>
              <w:t>risperidone</w:t>
            </w:r>
            <w:proofErr w:type="spellEnd"/>
            <w:r w:rsidRPr="00A73445">
              <w:rPr>
                <w:rFonts w:cs="Arial"/>
                <w:sz w:val="18"/>
                <w:szCs w:val="18"/>
              </w:rPr>
              <w:t xml:space="preserve"> and </w:t>
            </w:r>
            <w:proofErr w:type="spellStart"/>
            <w:r w:rsidRPr="00A73445">
              <w:rPr>
                <w:rFonts w:cs="Arial"/>
                <w:sz w:val="18"/>
                <w:szCs w:val="18"/>
              </w:rPr>
              <w:t>perospirone</w:t>
            </w:r>
            <w:proofErr w:type="spellEnd"/>
            <w:r w:rsidRPr="00A73445">
              <w:rPr>
                <w:rFonts w:cs="Arial"/>
                <w:sz w:val="18"/>
                <w:szCs w:val="18"/>
              </w:rPr>
              <w:t>, OR 1.37 [1.08–1.73]; p=0.010.</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Bail 2013</w:t>
            </w:r>
          </w:p>
        </w:tc>
        <w:tc>
          <w:tcPr>
            <w:tcW w:w="1164" w:type="dxa"/>
          </w:tcPr>
          <w:p w:rsidR="00D822C7" w:rsidRPr="00A73445" w:rsidRDefault="00D822C7" w:rsidP="00D822C7">
            <w:pPr>
              <w:rPr>
                <w:rFonts w:cs="Arial"/>
                <w:sz w:val="18"/>
                <w:szCs w:val="18"/>
              </w:rPr>
            </w:pPr>
            <w:r w:rsidRPr="00A73445">
              <w:rPr>
                <w:rFonts w:cs="Arial"/>
                <w:sz w:val="18"/>
                <w:szCs w:val="18"/>
              </w:rPr>
              <w:t>Australia</w:t>
            </w:r>
          </w:p>
        </w:tc>
        <w:tc>
          <w:tcPr>
            <w:tcW w:w="2948" w:type="dxa"/>
          </w:tcPr>
          <w:p w:rsidR="00D822C7" w:rsidRPr="00A73445" w:rsidRDefault="00D822C7" w:rsidP="00D822C7">
            <w:pPr>
              <w:rPr>
                <w:rFonts w:cs="Arial"/>
                <w:sz w:val="18"/>
                <w:szCs w:val="18"/>
              </w:rPr>
            </w:pPr>
            <w:r w:rsidRPr="00A73445">
              <w:rPr>
                <w:rFonts w:cs="Arial"/>
                <w:sz w:val="18"/>
                <w:szCs w:val="18"/>
              </w:rPr>
              <w:t xml:space="preserve">426,276 overnight hospital episodes in patients aged 50+, matched 1 patient with dementia:4 patients without dementia </w:t>
            </w:r>
          </w:p>
        </w:tc>
        <w:tc>
          <w:tcPr>
            <w:tcW w:w="2410" w:type="dxa"/>
          </w:tcPr>
          <w:p w:rsidR="00D822C7" w:rsidRPr="00A73445" w:rsidRDefault="00D822C7" w:rsidP="00D822C7">
            <w:pPr>
              <w:rPr>
                <w:rFonts w:cs="Arial"/>
                <w:sz w:val="18"/>
                <w:szCs w:val="18"/>
              </w:rPr>
            </w:pPr>
            <w:r w:rsidRPr="00A73445">
              <w:rPr>
                <w:rFonts w:cs="Arial"/>
                <w:sz w:val="18"/>
                <w:szCs w:val="18"/>
              </w:rPr>
              <w:t>Retrospective cohort study</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Hospitalised medical and surgical patients with dementia were at higher risk of four common complications than medical/surgical patients without dementia: (</w:t>
            </w:r>
            <w:proofErr w:type="spellStart"/>
            <w:r w:rsidRPr="00A73445">
              <w:rPr>
                <w:rFonts w:cs="Arial"/>
                <w:sz w:val="18"/>
                <w:szCs w:val="18"/>
              </w:rPr>
              <w:t>i</w:t>
            </w:r>
            <w:proofErr w:type="spellEnd"/>
            <w:r w:rsidRPr="00A73445">
              <w:rPr>
                <w:rFonts w:cs="Arial"/>
                <w:sz w:val="18"/>
                <w:szCs w:val="18"/>
              </w:rPr>
              <w:t xml:space="preserve">) UTIs med: RR 1.79 [1.70-1.90], </w:t>
            </w:r>
            <w:proofErr w:type="spellStart"/>
            <w:r w:rsidRPr="00A73445">
              <w:rPr>
                <w:rFonts w:cs="Arial"/>
                <w:sz w:val="18"/>
                <w:szCs w:val="18"/>
              </w:rPr>
              <w:t>surg</w:t>
            </w:r>
            <w:proofErr w:type="spellEnd"/>
            <w:r w:rsidRPr="00A73445">
              <w:rPr>
                <w:rFonts w:cs="Arial"/>
                <w:sz w:val="18"/>
                <w:szCs w:val="18"/>
              </w:rPr>
              <w:t xml:space="preserve">: RR 2.88 [2.45-3.40], (ii) pressure ulcers med: RR 1.61 [1.46-1.77] </w:t>
            </w:r>
            <w:proofErr w:type="spellStart"/>
            <w:r w:rsidRPr="00A73445">
              <w:rPr>
                <w:rFonts w:cs="Arial"/>
                <w:sz w:val="18"/>
                <w:szCs w:val="18"/>
              </w:rPr>
              <w:t>surg</w:t>
            </w:r>
            <w:proofErr w:type="spellEnd"/>
            <w:r w:rsidRPr="00A73445">
              <w:rPr>
                <w:rFonts w:cs="Arial"/>
                <w:sz w:val="18"/>
                <w:szCs w:val="18"/>
              </w:rPr>
              <w:t xml:space="preserve">: RR 1.84 [1.46-1.31] (iii) pneumonia med: RR 1.37 [1.26-1.48] </w:t>
            </w:r>
            <w:proofErr w:type="spellStart"/>
            <w:r w:rsidRPr="00A73445">
              <w:rPr>
                <w:rFonts w:cs="Arial"/>
                <w:sz w:val="18"/>
                <w:szCs w:val="18"/>
              </w:rPr>
              <w:t>surg</w:t>
            </w:r>
            <w:proofErr w:type="spellEnd"/>
            <w:r w:rsidRPr="00A73445">
              <w:rPr>
                <w:rFonts w:cs="Arial"/>
                <w:sz w:val="18"/>
                <w:szCs w:val="18"/>
              </w:rPr>
              <w:t xml:space="preserve">: RR 1.66 [1.36-2.02], (iv) delirium med: RR 2.83 [2.54-3.15] </w:t>
            </w:r>
            <w:proofErr w:type="spellStart"/>
            <w:r w:rsidRPr="00A73445">
              <w:rPr>
                <w:rFonts w:cs="Arial"/>
                <w:sz w:val="18"/>
                <w:szCs w:val="18"/>
              </w:rPr>
              <w:t>surg</w:t>
            </w:r>
            <w:proofErr w:type="spellEnd"/>
            <w:r w:rsidRPr="00A73445">
              <w:rPr>
                <w:rFonts w:cs="Arial"/>
                <w:sz w:val="18"/>
                <w:szCs w:val="18"/>
              </w:rPr>
              <w:t xml:space="preserve">: RR 3.10 [2.31-4.15]. Medical patients were also at higher risk from sepsis RR 1.34 [1.15-1.57] and failure to rescue RR 1.24 [1.02-1.33]. </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Pendlebury</w:t>
            </w:r>
            <w:proofErr w:type="spellEnd"/>
            <w:r w:rsidRPr="00A73445">
              <w:rPr>
                <w:rFonts w:cs="Arial"/>
                <w:sz w:val="18"/>
                <w:szCs w:val="18"/>
              </w:rPr>
              <w:t xml:space="preserve"> 2015</w:t>
            </w:r>
          </w:p>
        </w:tc>
        <w:tc>
          <w:tcPr>
            <w:tcW w:w="1164" w:type="dxa"/>
          </w:tcPr>
          <w:p w:rsidR="00D822C7" w:rsidRPr="00A73445" w:rsidRDefault="00D822C7" w:rsidP="00D822C7">
            <w:pPr>
              <w:rPr>
                <w:rFonts w:cs="Arial"/>
                <w:sz w:val="18"/>
                <w:szCs w:val="18"/>
              </w:rPr>
            </w:pPr>
            <w:r w:rsidRPr="00A73445">
              <w:rPr>
                <w:rFonts w:cs="Arial"/>
                <w:sz w:val="18"/>
                <w:szCs w:val="18"/>
              </w:rPr>
              <w:t>UK</w:t>
            </w:r>
          </w:p>
        </w:tc>
        <w:tc>
          <w:tcPr>
            <w:tcW w:w="2948" w:type="dxa"/>
          </w:tcPr>
          <w:p w:rsidR="00D822C7" w:rsidRPr="00A73445" w:rsidRDefault="00D822C7" w:rsidP="00D822C7">
            <w:pPr>
              <w:rPr>
                <w:rFonts w:cs="Arial"/>
                <w:sz w:val="18"/>
                <w:szCs w:val="18"/>
              </w:rPr>
            </w:pPr>
            <w:r w:rsidRPr="00A73445">
              <w:rPr>
                <w:rFonts w:cs="Arial"/>
                <w:sz w:val="18"/>
                <w:szCs w:val="18"/>
              </w:rPr>
              <w:t>503 patients with acute admission to hospital (308 patients 65+ with covariate information)</w:t>
            </w:r>
          </w:p>
        </w:tc>
        <w:tc>
          <w:tcPr>
            <w:tcW w:w="2410" w:type="dxa"/>
          </w:tcPr>
          <w:p w:rsidR="00D822C7" w:rsidRPr="00A73445" w:rsidRDefault="00D822C7" w:rsidP="00D822C7">
            <w:pPr>
              <w:rPr>
                <w:rFonts w:cs="Arial"/>
                <w:sz w:val="18"/>
                <w:szCs w:val="18"/>
              </w:rPr>
            </w:pPr>
            <w:r w:rsidRPr="00A73445">
              <w:rPr>
                <w:rFonts w:cs="Arial"/>
                <w:sz w:val="18"/>
                <w:szCs w:val="18"/>
              </w:rPr>
              <w:t>Prospective cohort study</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Prior dementia and low cognitive score  is associated with incident delirium in hospital, and delirium in turn increased the risk of falls, (OR 4.55 [ 1.47 - 14.05], p=0.008), incontinence of urine (OR 3.76 [2.15 - 6.58],</w:t>
            </w:r>
          </w:p>
          <w:p w:rsidR="00D822C7" w:rsidRPr="00A73445" w:rsidRDefault="00D822C7" w:rsidP="00D822C7">
            <w:pPr>
              <w:rPr>
                <w:rFonts w:cs="Arial"/>
                <w:sz w:val="18"/>
                <w:szCs w:val="18"/>
              </w:rPr>
            </w:pPr>
            <w:r w:rsidRPr="00A73445">
              <w:rPr>
                <w:rFonts w:cs="Arial"/>
                <w:sz w:val="18"/>
                <w:szCs w:val="18"/>
              </w:rPr>
              <w:t xml:space="preserve">p&lt;0.0001) incontinence of faeces (OR 3.49 [1.81 – 6.73], p=0.0002) and catheterisation (OR 5.08 [2.44 - 10.54], p&lt;0.0001). </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Furlanetto</w:t>
            </w:r>
            <w:proofErr w:type="spellEnd"/>
            <w:r w:rsidRPr="00A73445">
              <w:rPr>
                <w:rFonts w:cs="Arial"/>
                <w:sz w:val="18"/>
                <w:szCs w:val="18"/>
              </w:rPr>
              <w:t xml:space="preserve"> 2016</w:t>
            </w:r>
          </w:p>
        </w:tc>
        <w:tc>
          <w:tcPr>
            <w:tcW w:w="1164" w:type="dxa"/>
          </w:tcPr>
          <w:p w:rsidR="00D822C7" w:rsidRPr="00A73445" w:rsidRDefault="00D822C7" w:rsidP="00D822C7">
            <w:pPr>
              <w:rPr>
                <w:rFonts w:cs="Arial"/>
                <w:sz w:val="18"/>
                <w:szCs w:val="18"/>
              </w:rPr>
            </w:pPr>
            <w:r w:rsidRPr="00A73445">
              <w:rPr>
                <w:rFonts w:cs="Arial"/>
                <w:sz w:val="18"/>
                <w:szCs w:val="18"/>
              </w:rPr>
              <w:t>Australia</w:t>
            </w:r>
          </w:p>
        </w:tc>
        <w:tc>
          <w:tcPr>
            <w:tcW w:w="2948" w:type="dxa"/>
          </w:tcPr>
          <w:p w:rsidR="00D822C7" w:rsidRPr="00A73445" w:rsidRDefault="00D822C7" w:rsidP="00D822C7">
            <w:pPr>
              <w:rPr>
                <w:rFonts w:cs="Arial"/>
                <w:sz w:val="18"/>
                <w:szCs w:val="18"/>
              </w:rPr>
            </w:pPr>
            <w:r w:rsidRPr="00A73445">
              <w:rPr>
                <w:rFonts w:cs="Arial"/>
                <w:sz w:val="18"/>
                <w:szCs w:val="18"/>
              </w:rPr>
              <w:t>100 patients aged 65+ with dementia/CI, ambulant and continent pre-admission</w:t>
            </w:r>
          </w:p>
        </w:tc>
        <w:tc>
          <w:tcPr>
            <w:tcW w:w="2410" w:type="dxa"/>
          </w:tcPr>
          <w:p w:rsidR="00D822C7" w:rsidRPr="00A73445" w:rsidRDefault="00D822C7" w:rsidP="00D822C7">
            <w:pPr>
              <w:rPr>
                <w:rFonts w:cs="Arial"/>
                <w:sz w:val="18"/>
                <w:szCs w:val="18"/>
              </w:rPr>
            </w:pPr>
            <w:r w:rsidRPr="00A73445">
              <w:rPr>
                <w:rFonts w:cs="Arial"/>
                <w:sz w:val="18"/>
                <w:szCs w:val="18"/>
              </w:rPr>
              <w:t>Retrospective case-note review</w:t>
            </w:r>
          </w:p>
        </w:tc>
        <w:tc>
          <w:tcPr>
            <w:tcW w:w="5812" w:type="dxa"/>
          </w:tcPr>
          <w:p w:rsidR="00D822C7" w:rsidRPr="00A73445" w:rsidRDefault="00D822C7" w:rsidP="00D822C7">
            <w:pPr>
              <w:rPr>
                <w:rFonts w:cs="Arial"/>
                <w:sz w:val="18"/>
                <w:szCs w:val="18"/>
              </w:rPr>
            </w:pPr>
            <w:r w:rsidRPr="00A73445">
              <w:rPr>
                <w:rFonts w:cs="Arial"/>
                <w:sz w:val="18"/>
                <w:szCs w:val="18"/>
              </w:rPr>
              <w:t>57% had either urinary or faecal incontinence (or both) at some point during admission, with 36% and 2% respectively had new incontinence at discharge</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Kanagaratnam</w:t>
            </w:r>
            <w:proofErr w:type="spellEnd"/>
            <w:r w:rsidRPr="00A73445">
              <w:rPr>
                <w:rFonts w:cs="Arial"/>
                <w:sz w:val="18"/>
                <w:szCs w:val="18"/>
              </w:rPr>
              <w:t xml:space="preserve"> 2017</w:t>
            </w:r>
          </w:p>
        </w:tc>
        <w:tc>
          <w:tcPr>
            <w:tcW w:w="1164" w:type="dxa"/>
          </w:tcPr>
          <w:p w:rsidR="00D822C7" w:rsidRPr="00A73445" w:rsidRDefault="00D822C7" w:rsidP="00D822C7">
            <w:pPr>
              <w:rPr>
                <w:rFonts w:cs="Arial"/>
                <w:sz w:val="18"/>
                <w:szCs w:val="18"/>
              </w:rPr>
            </w:pPr>
            <w:r w:rsidRPr="00A73445">
              <w:rPr>
                <w:rFonts w:cs="Arial"/>
                <w:sz w:val="18"/>
                <w:szCs w:val="18"/>
              </w:rPr>
              <w:t>France</w:t>
            </w:r>
          </w:p>
        </w:tc>
        <w:tc>
          <w:tcPr>
            <w:tcW w:w="2948" w:type="dxa"/>
          </w:tcPr>
          <w:p w:rsidR="00D822C7" w:rsidRPr="00A73445" w:rsidRDefault="00D822C7" w:rsidP="00D822C7">
            <w:pPr>
              <w:rPr>
                <w:rFonts w:cs="Arial"/>
                <w:sz w:val="18"/>
                <w:szCs w:val="18"/>
              </w:rPr>
            </w:pPr>
            <w:r w:rsidRPr="00A73445">
              <w:rPr>
                <w:rFonts w:cs="Arial"/>
                <w:sz w:val="18"/>
                <w:szCs w:val="18"/>
              </w:rPr>
              <w:t>293 patients with dementia syndrome admitted to an acute geriatric care unit</w:t>
            </w:r>
            <w:r w:rsidR="00E20F34">
              <w:rPr>
                <w:rFonts w:cs="Arial"/>
                <w:sz w:val="18"/>
                <w:szCs w:val="18"/>
              </w:rPr>
              <w:t xml:space="preserve"> within a hospital</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proofErr w:type="spellStart"/>
            <w:r w:rsidRPr="00A73445">
              <w:rPr>
                <w:rFonts w:cs="Arial"/>
                <w:sz w:val="18"/>
                <w:szCs w:val="18"/>
              </w:rPr>
              <w:t>Polypharmacy</w:t>
            </w:r>
            <w:proofErr w:type="spellEnd"/>
            <w:r w:rsidRPr="00A73445">
              <w:rPr>
                <w:rFonts w:cs="Arial"/>
                <w:sz w:val="18"/>
                <w:szCs w:val="18"/>
              </w:rPr>
              <w:t xml:space="preserve"> (≥ 5 drugs/day) (OR: 4.0, 95% CI: 1.1–14.1) and dependence on at least 1 activity of daily living (ADL) (OR: 2.6, 95% CI: 1.1–6.5) were related with ADRs</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lastRenderedPageBreak/>
              <w:t>Borenstein</w:t>
            </w:r>
            <w:proofErr w:type="spellEnd"/>
            <w:r w:rsidRPr="00A73445">
              <w:rPr>
                <w:rFonts w:cs="Arial"/>
                <w:sz w:val="18"/>
                <w:szCs w:val="18"/>
              </w:rPr>
              <w:t xml:space="preserve"> 2013</w:t>
            </w:r>
          </w:p>
        </w:tc>
        <w:tc>
          <w:tcPr>
            <w:tcW w:w="1164" w:type="dxa"/>
          </w:tcPr>
          <w:p w:rsidR="00D822C7" w:rsidRPr="00A73445" w:rsidRDefault="001E2598" w:rsidP="001E2598">
            <w:pPr>
              <w:tabs>
                <w:tab w:val="left" w:pos="821"/>
              </w:tabs>
              <w:rPr>
                <w:rFonts w:cs="Arial"/>
                <w:sz w:val="18"/>
                <w:szCs w:val="18"/>
              </w:rPr>
            </w:pPr>
            <w:r>
              <w:rPr>
                <w:rFonts w:cs="Arial"/>
                <w:sz w:val="18"/>
                <w:szCs w:val="18"/>
              </w:rPr>
              <w:t>U</w:t>
            </w:r>
            <w:r w:rsidR="00D822C7" w:rsidRPr="00A73445">
              <w:rPr>
                <w:rFonts w:cs="Arial"/>
                <w:sz w:val="18"/>
                <w:szCs w:val="18"/>
              </w:rPr>
              <w:t>SA</w:t>
            </w:r>
          </w:p>
        </w:tc>
        <w:tc>
          <w:tcPr>
            <w:tcW w:w="2948" w:type="dxa"/>
          </w:tcPr>
          <w:p w:rsidR="00D822C7" w:rsidRPr="00A73445" w:rsidRDefault="00831B18" w:rsidP="00831B18">
            <w:pPr>
              <w:rPr>
                <w:rFonts w:cs="Arial"/>
                <w:sz w:val="18"/>
                <w:szCs w:val="18"/>
              </w:rPr>
            </w:pPr>
            <w:r>
              <w:rPr>
                <w:rFonts w:cs="Arial"/>
                <w:sz w:val="18"/>
                <w:szCs w:val="18"/>
              </w:rPr>
              <w:t xml:space="preserve">214 adult Medicare beneficiaries admitted to hospital, mean age 75 years </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831B18">
            <w:pPr>
              <w:rPr>
                <w:rFonts w:cs="Arial"/>
                <w:sz w:val="18"/>
                <w:szCs w:val="18"/>
              </w:rPr>
            </w:pPr>
            <w:r w:rsidRPr="00A73445">
              <w:rPr>
                <w:rFonts w:cs="Arial"/>
                <w:sz w:val="18"/>
                <w:szCs w:val="18"/>
              </w:rPr>
              <w:t xml:space="preserve">Cognitive impairment </w:t>
            </w:r>
            <w:r w:rsidR="00831B18">
              <w:rPr>
                <w:rFonts w:cs="Arial"/>
                <w:sz w:val="18"/>
                <w:szCs w:val="18"/>
              </w:rPr>
              <w:t>is</w:t>
            </w:r>
            <w:r w:rsidRPr="00A73445">
              <w:rPr>
                <w:rFonts w:cs="Arial"/>
                <w:sz w:val="18"/>
                <w:szCs w:val="18"/>
              </w:rPr>
              <w:t xml:space="preserve"> associated with an increase in hospital acquired infection</w:t>
            </w:r>
            <w:r w:rsidR="00831B18">
              <w:rPr>
                <w:rFonts w:cs="Arial"/>
                <w:sz w:val="18"/>
                <w:szCs w:val="18"/>
              </w:rPr>
              <w:t>,</w:t>
            </w:r>
            <w:r w:rsidRPr="00A73445">
              <w:rPr>
                <w:rFonts w:cs="Arial"/>
                <w:sz w:val="18"/>
                <w:szCs w:val="18"/>
              </w:rPr>
              <w:t xml:space="preserve"> ADR</w:t>
            </w:r>
            <w:r w:rsidR="00831B18">
              <w:rPr>
                <w:rFonts w:cs="Arial"/>
                <w:sz w:val="18"/>
                <w:szCs w:val="18"/>
              </w:rPr>
              <w:t>s</w:t>
            </w:r>
            <w:r w:rsidRPr="00A73445">
              <w:rPr>
                <w:rFonts w:cs="Arial"/>
                <w:sz w:val="18"/>
                <w:szCs w:val="18"/>
              </w:rPr>
              <w:t xml:space="preserve"> </w:t>
            </w:r>
            <w:r w:rsidR="00831B18">
              <w:rPr>
                <w:rFonts w:cs="Arial"/>
                <w:sz w:val="18"/>
                <w:szCs w:val="18"/>
              </w:rPr>
              <w:t>and</w:t>
            </w:r>
            <w:r w:rsidRPr="00A73445">
              <w:rPr>
                <w:rFonts w:cs="Arial"/>
                <w:sz w:val="18"/>
                <w:szCs w:val="18"/>
              </w:rPr>
              <w:t xml:space="preserve"> length of stay &gt;7 days) OR 2.32 [1.24 - 4.37]</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Onder</w:t>
            </w:r>
            <w:proofErr w:type="spellEnd"/>
            <w:r w:rsidRPr="00A73445">
              <w:rPr>
                <w:rFonts w:cs="Arial"/>
                <w:sz w:val="18"/>
                <w:szCs w:val="18"/>
              </w:rPr>
              <w:t xml:space="preserve"> 2002</w:t>
            </w:r>
          </w:p>
        </w:tc>
        <w:tc>
          <w:tcPr>
            <w:tcW w:w="1164" w:type="dxa"/>
          </w:tcPr>
          <w:p w:rsidR="00D822C7" w:rsidRPr="00A73445" w:rsidRDefault="00D822C7" w:rsidP="00D822C7">
            <w:pPr>
              <w:rPr>
                <w:rFonts w:cs="Arial"/>
                <w:sz w:val="18"/>
                <w:szCs w:val="18"/>
              </w:rPr>
            </w:pPr>
            <w:r w:rsidRPr="00A73445">
              <w:rPr>
                <w:rFonts w:cs="Arial"/>
                <w:sz w:val="18"/>
                <w:szCs w:val="18"/>
              </w:rPr>
              <w:t>Italy</w:t>
            </w:r>
          </w:p>
        </w:tc>
        <w:tc>
          <w:tcPr>
            <w:tcW w:w="2948" w:type="dxa"/>
          </w:tcPr>
          <w:p w:rsidR="00D822C7" w:rsidRPr="00A73445" w:rsidRDefault="00D822C7" w:rsidP="00D822C7">
            <w:pPr>
              <w:rPr>
                <w:rFonts w:cs="Arial"/>
                <w:sz w:val="18"/>
                <w:szCs w:val="18"/>
              </w:rPr>
            </w:pPr>
            <w:r w:rsidRPr="00A73445">
              <w:rPr>
                <w:rFonts w:cs="Arial"/>
                <w:sz w:val="18"/>
                <w:szCs w:val="18"/>
              </w:rPr>
              <w:t xml:space="preserve">16,296 patients admitted to 81 hospitals (GIFA study) </w:t>
            </w:r>
          </w:p>
        </w:tc>
        <w:tc>
          <w:tcPr>
            <w:tcW w:w="2410" w:type="dxa"/>
          </w:tcPr>
          <w:p w:rsidR="00D822C7" w:rsidRPr="00A73445" w:rsidRDefault="00D822C7" w:rsidP="00D822C7">
            <w:pPr>
              <w:rPr>
                <w:rFonts w:cs="Arial"/>
                <w:sz w:val="18"/>
                <w:szCs w:val="18"/>
              </w:rPr>
            </w:pPr>
            <w:r w:rsidRPr="00A73445">
              <w:rPr>
                <w:rFonts w:cs="Arial"/>
                <w:sz w:val="18"/>
                <w:szCs w:val="18"/>
              </w:rPr>
              <w:t>Prospective surveys</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 xml:space="preserve">An ADR was recorded in 232/4,883 (4.8%) patients with cognitive impairment (AMT score&lt;7) and in 744/12,043 (6.2%) patients cognitively intact: </w:t>
            </w:r>
            <w:proofErr w:type="spellStart"/>
            <w:r w:rsidRPr="00A73445">
              <w:rPr>
                <w:rFonts w:cs="Arial"/>
                <w:sz w:val="18"/>
                <w:szCs w:val="18"/>
              </w:rPr>
              <w:t>aOR</w:t>
            </w:r>
            <w:proofErr w:type="spellEnd"/>
            <w:r w:rsidRPr="00A73445">
              <w:rPr>
                <w:rFonts w:cs="Arial"/>
                <w:sz w:val="18"/>
                <w:szCs w:val="18"/>
              </w:rPr>
              <w:t xml:space="preserve"> 0.70 [0.60-0.83]. However, neuropsychiatric complications were significantly increased in patients with CI (</w:t>
            </w:r>
            <w:proofErr w:type="spellStart"/>
            <w:r w:rsidRPr="00A73445">
              <w:rPr>
                <w:rFonts w:cs="Arial"/>
                <w:sz w:val="18"/>
                <w:szCs w:val="18"/>
              </w:rPr>
              <w:t>aOR</w:t>
            </w:r>
            <w:proofErr w:type="spellEnd"/>
            <w:r w:rsidRPr="00A73445">
              <w:rPr>
                <w:rFonts w:cs="Arial"/>
                <w:sz w:val="18"/>
                <w:szCs w:val="18"/>
              </w:rPr>
              <w:t xml:space="preserve"> 2.23 [1.40-3.54]).</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Onder</w:t>
            </w:r>
            <w:proofErr w:type="spellEnd"/>
            <w:r w:rsidRPr="00A73445">
              <w:rPr>
                <w:rFonts w:cs="Arial"/>
                <w:sz w:val="18"/>
                <w:szCs w:val="18"/>
              </w:rPr>
              <w:t xml:space="preserve"> 2003</w:t>
            </w:r>
          </w:p>
        </w:tc>
        <w:tc>
          <w:tcPr>
            <w:tcW w:w="1164" w:type="dxa"/>
          </w:tcPr>
          <w:p w:rsidR="00D822C7" w:rsidRPr="00A73445" w:rsidRDefault="00D822C7" w:rsidP="00D822C7">
            <w:pPr>
              <w:rPr>
                <w:rFonts w:cs="Arial"/>
                <w:sz w:val="18"/>
                <w:szCs w:val="18"/>
              </w:rPr>
            </w:pPr>
            <w:r w:rsidRPr="00A73445">
              <w:rPr>
                <w:rFonts w:cs="Arial"/>
                <w:sz w:val="18"/>
                <w:szCs w:val="18"/>
              </w:rPr>
              <w:t>Italy</w:t>
            </w:r>
          </w:p>
        </w:tc>
        <w:tc>
          <w:tcPr>
            <w:tcW w:w="2948" w:type="dxa"/>
          </w:tcPr>
          <w:p w:rsidR="00D822C7" w:rsidRPr="00A73445" w:rsidRDefault="00D822C7" w:rsidP="00D822C7">
            <w:pPr>
              <w:rPr>
                <w:rFonts w:cs="Arial"/>
                <w:sz w:val="18"/>
                <w:szCs w:val="18"/>
              </w:rPr>
            </w:pPr>
            <w:r w:rsidRPr="00A73445">
              <w:rPr>
                <w:rFonts w:cs="Arial"/>
                <w:sz w:val="18"/>
                <w:szCs w:val="18"/>
              </w:rPr>
              <w:t xml:space="preserve">5,734 patients aged 65+ admitted to 81 hospitals (GIFA study) </w:t>
            </w:r>
          </w:p>
        </w:tc>
        <w:tc>
          <w:tcPr>
            <w:tcW w:w="2410" w:type="dxa"/>
          </w:tcPr>
          <w:p w:rsidR="00D822C7" w:rsidRPr="00A73445" w:rsidRDefault="00D822C7" w:rsidP="00D822C7">
            <w:pPr>
              <w:rPr>
                <w:rFonts w:cs="Arial"/>
                <w:sz w:val="18"/>
                <w:szCs w:val="18"/>
              </w:rPr>
            </w:pPr>
            <w:r w:rsidRPr="00A73445">
              <w:rPr>
                <w:rFonts w:cs="Arial"/>
                <w:sz w:val="18"/>
                <w:szCs w:val="18"/>
              </w:rPr>
              <w:t>Prospective surveys</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Patients with cognitive impairment had a lower risk of using inappropriate medication, as defined by the Beers criteria: OR 0.77 [0.64–0.94]</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Marengoni</w:t>
            </w:r>
            <w:proofErr w:type="spellEnd"/>
            <w:r w:rsidRPr="00A73445">
              <w:rPr>
                <w:rFonts w:cs="Arial"/>
                <w:sz w:val="18"/>
                <w:szCs w:val="18"/>
              </w:rPr>
              <w:t xml:space="preserve"> 2011</w:t>
            </w:r>
          </w:p>
        </w:tc>
        <w:tc>
          <w:tcPr>
            <w:tcW w:w="1164" w:type="dxa"/>
          </w:tcPr>
          <w:p w:rsidR="00D822C7" w:rsidRPr="00A73445" w:rsidRDefault="00D822C7" w:rsidP="00D822C7">
            <w:pPr>
              <w:rPr>
                <w:rFonts w:cs="Arial"/>
                <w:sz w:val="18"/>
                <w:szCs w:val="18"/>
              </w:rPr>
            </w:pPr>
            <w:r w:rsidRPr="00A73445">
              <w:rPr>
                <w:rFonts w:cs="Arial"/>
                <w:sz w:val="18"/>
                <w:szCs w:val="18"/>
              </w:rPr>
              <w:t>Italy</w:t>
            </w:r>
          </w:p>
        </w:tc>
        <w:tc>
          <w:tcPr>
            <w:tcW w:w="2948" w:type="dxa"/>
          </w:tcPr>
          <w:p w:rsidR="00D822C7" w:rsidRPr="00A73445" w:rsidRDefault="00D822C7" w:rsidP="00D822C7">
            <w:pPr>
              <w:rPr>
                <w:rFonts w:cs="Arial"/>
                <w:sz w:val="18"/>
                <w:szCs w:val="18"/>
              </w:rPr>
            </w:pPr>
            <w:r w:rsidRPr="00A73445">
              <w:rPr>
                <w:rFonts w:cs="Arial"/>
                <w:sz w:val="18"/>
                <w:szCs w:val="18"/>
              </w:rPr>
              <w:t>1,332 patients aged 65+ admitted to general medicine or geriatric wards</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Dementia on its own was associated with an increase in hospital mortality (OR 2.1 [1.0-4.5]). The addition of at least one adverse clinical event (defined as any acute clinical problem that newly occurred during hospitalisation e.g. delirium, urinary tract infection, fever, anaemia, pneumonia, electrolyte disorders, atrial fibrillation, heart failure or acute renal failure) had an additive effect on mortality, increasing the OR to 20.7 [6.9-61.9].</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Watkin</w:t>
            </w:r>
            <w:proofErr w:type="spellEnd"/>
            <w:r w:rsidRPr="00A73445">
              <w:rPr>
                <w:rFonts w:cs="Arial"/>
                <w:sz w:val="18"/>
                <w:szCs w:val="18"/>
              </w:rPr>
              <w:t xml:space="preserve"> 2012</w:t>
            </w:r>
          </w:p>
        </w:tc>
        <w:tc>
          <w:tcPr>
            <w:tcW w:w="1164" w:type="dxa"/>
          </w:tcPr>
          <w:p w:rsidR="00D822C7" w:rsidRPr="00A73445" w:rsidRDefault="00D822C7" w:rsidP="00D822C7">
            <w:pPr>
              <w:rPr>
                <w:rFonts w:cs="Arial"/>
                <w:sz w:val="18"/>
                <w:szCs w:val="18"/>
              </w:rPr>
            </w:pPr>
            <w:r w:rsidRPr="00A73445">
              <w:rPr>
                <w:rFonts w:cs="Arial"/>
                <w:sz w:val="18"/>
                <w:szCs w:val="18"/>
              </w:rPr>
              <w:t>U.K.</w:t>
            </w:r>
          </w:p>
        </w:tc>
        <w:tc>
          <w:tcPr>
            <w:tcW w:w="2948" w:type="dxa"/>
          </w:tcPr>
          <w:p w:rsidR="00D822C7" w:rsidRPr="00A73445" w:rsidRDefault="00D822C7" w:rsidP="00D822C7">
            <w:pPr>
              <w:rPr>
                <w:rFonts w:cs="Arial"/>
                <w:sz w:val="18"/>
                <w:szCs w:val="18"/>
              </w:rPr>
            </w:pPr>
            <w:r w:rsidRPr="00A73445">
              <w:rPr>
                <w:rFonts w:cs="Arial"/>
                <w:sz w:val="18"/>
                <w:szCs w:val="18"/>
              </w:rPr>
              <w:t>710 patients aged 70+ with emergency medical admission</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AEs were associated with mild/moderate CI (OR 3.61 [1.72-7.61], p=0.01) and dementia (OR 2.18 [1.10-4.32], p=0.03). AEs were not subsequently associated with mortality: hazard ratio (HR) 1.01 [0.53–1.93], p=0.596.</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Shen</w:t>
            </w:r>
            <w:proofErr w:type="spellEnd"/>
            <w:r w:rsidRPr="00A73445">
              <w:rPr>
                <w:rFonts w:cs="Arial"/>
                <w:sz w:val="18"/>
                <w:szCs w:val="18"/>
              </w:rPr>
              <w:t xml:space="preserve"> 2012</w:t>
            </w:r>
          </w:p>
        </w:tc>
        <w:tc>
          <w:tcPr>
            <w:tcW w:w="1164" w:type="dxa"/>
          </w:tcPr>
          <w:p w:rsidR="00D822C7" w:rsidRPr="00A73445" w:rsidRDefault="00D822C7" w:rsidP="00D822C7">
            <w:pPr>
              <w:rPr>
                <w:rFonts w:cs="Arial"/>
                <w:sz w:val="18"/>
                <w:szCs w:val="18"/>
              </w:rPr>
            </w:pPr>
            <w:r w:rsidRPr="00A73445">
              <w:rPr>
                <w:rFonts w:cs="Arial"/>
                <w:sz w:val="18"/>
                <w:szCs w:val="18"/>
              </w:rPr>
              <w:t>Taiwan</w:t>
            </w:r>
          </w:p>
        </w:tc>
        <w:tc>
          <w:tcPr>
            <w:tcW w:w="2948" w:type="dxa"/>
          </w:tcPr>
          <w:p w:rsidR="00D822C7" w:rsidRPr="00A73445" w:rsidRDefault="00D822C7" w:rsidP="00D822C7">
            <w:pPr>
              <w:rPr>
                <w:rFonts w:cs="Arial"/>
                <w:sz w:val="18"/>
                <w:szCs w:val="18"/>
              </w:rPr>
            </w:pPr>
            <w:r w:rsidRPr="00A73445">
              <w:rPr>
                <w:rFonts w:cs="Arial"/>
                <w:sz w:val="18"/>
                <w:szCs w:val="18"/>
              </w:rPr>
              <w:t>41,672 patients 65+ with inpatient claim in health insurance database, including 3,487 with dementia</w:t>
            </w:r>
          </w:p>
        </w:tc>
        <w:tc>
          <w:tcPr>
            <w:tcW w:w="2410" w:type="dxa"/>
          </w:tcPr>
          <w:p w:rsidR="00D822C7" w:rsidRPr="00A73445" w:rsidRDefault="00D822C7" w:rsidP="00D822C7">
            <w:pPr>
              <w:rPr>
                <w:rFonts w:cs="Arial"/>
                <w:sz w:val="18"/>
                <w:szCs w:val="18"/>
              </w:rPr>
            </w:pPr>
            <w:r w:rsidRPr="00A73445">
              <w:rPr>
                <w:rFonts w:cs="Arial"/>
                <w:sz w:val="18"/>
                <w:szCs w:val="18"/>
              </w:rPr>
              <w:t>Retrospective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Patients with dementia have a higher risk of acute organ dysfunction (</w:t>
            </w:r>
            <w:proofErr w:type="spellStart"/>
            <w:r w:rsidRPr="00A73445">
              <w:rPr>
                <w:rFonts w:cs="Arial"/>
                <w:sz w:val="18"/>
                <w:szCs w:val="18"/>
              </w:rPr>
              <w:t>aOR</w:t>
            </w:r>
            <w:proofErr w:type="spellEnd"/>
            <w:r w:rsidRPr="00A73445">
              <w:rPr>
                <w:rFonts w:cs="Arial"/>
                <w:sz w:val="18"/>
                <w:szCs w:val="18"/>
              </w:rPr>
              <w:t xml:space="preserve"> 1.32 [1.19-1.46]) and severe sepsis (</w:t>
            </w:r>
            <w:proofErr w:type="spellStart"/>
            <w:r w:rsidRPr="00A73445">
              <w:rPr>
                <w:rFonts w:cs="Arial"/>
                <w:sz w:val="18"/>
                <w:szCs w:val="18"/>
              </w:rPr>
              <w:t>aOR</w:t>
            </w:r>
            <w:proofErr w:type="spellEnd"/>
            <w:r w:rsidRPr="00A73445">
              <w:rPr>
                <w:rFonts w:cs="Arial"/>
                <w:sz w:val="18"/>
                <w:szCs w:val="18"/>
              </w:rPr>
              <w:t xml:space="preserve"> 1.5 [1.32-1.69]).</w:t>
            </w:r>
          </w:p>
        </w:tc>
      </w:tr>
      <w:tr w:rsidR="00A73445" w:rsidRPr="00A73445" w:rsidTr="00C07331">
        <w:tc>
          <w:tcPr>
            <w:tcW w:w="1666" w:type="dxa"/>
          </w:tcPr>
          <w:p w:rsidR="00D822C7" w:rsidRPr="00A73445" w:rsidRDefault="00D822C7" w:rsidP="00D822C7">
            <w:pPr>
              <w:rPr>
                <w:rFonts w:cs="Arial"/>
                <w:sz w:val="18"/>
                <w:szCs w:val="18"/>
              </w:rPr>
            </w:pPr>
            <w:r w:rsidRPr="00A73445">
              <w:rPr>
                <w:rFonts w:cs="Arial"/>
                <w:sz w:val="18"/>
                <w:szCs w:val="18"/>
              </w:rPr>
              <w:t>Liao 2015</w:t>
            </w:r>
          </w:p>
        </w:tc>
        <w:tc>
          <w:tcPr>
            <w:tcW w:w="1164" w:type="dxa"/>
          </w:tcPr>
          <w:p w:rsidR="00D822C7" w:rsidRPr="00A73445" w:rsidRDefault="00D822C7" w:rsidP="00D822C7">
            <w:pPr>
              <w:rPr>
                <w:rFonts w:cs="Arial"/>
                <w:sz w:val="18"/>
                <w:szCs w:val="18"/>
              </w:rPr>
            </w:pPr>
            <w:r w:rsidRPr="00A73445">
              <w:rPr>
                <w:rFonts w:cs="Arial"/>
                <w:sz w:val="18"/>
                <w:szCs w:val="18"/>
              </w:rPr>
              <w:t>Taiwan</w:t>
            </w:r>
          </w:p>
        </w:tc>
        <w:tc>
          <w:tcPr>
            <w:tcW w:w="2948" w:type="dxa"/>
          </w:tcPr>
          <w:p w:rsidR="00D822C7" w:rsidRPr="00A73445" w:rsidRDefault="00D822C7" w:rsidP="00D822C7">
            <w:pPr>
              <w:rPr>
                <w:rFonts w:cs="Arial"/>
                <w:sz w:val="18"/>
                <w:szCs w:val="18"/>
              </w:rPr>
            </w:pPr>
            <w:r w:rsidRPr="00A73445">
              <w:rPr>
                <w:rFonts w:cs="Arial"/>
                <w:sz w:val="18"/>
                <w:szCs w:val="18"/>
              </w:rPr>
              <w:t>15,539 hospitalised patients with COPD, including 1,406 with dementia</w:t>
            </w:r>
          </w:p>
        </w:tc>
        <w:tc>
          <w:tcPr>
            <w:tcW w:w="2410" w:type="dxa"/>
          </w:tcPr>
          <w:p w:rsidR="00D822C7" w:rsidRPr="00A73445" w:rsidRDefault="00D822C7" w:rsidP="00D822C7">
            <w:pPr>
              <w:rPr>
                <w:rFonts w:cs="Arial"/>
                <w:sz w:val="18"/>
                <w:szCs w:val="18"/>
              </w:rPr>
            </w:pPr>
            <w:r w:rsidRPr="00A73445">
              <w:rPr>
                <w:rFonts w:cs="Arial"/>
                <w:sz w:val="18"/>
                <w:szCs w:val="18"/>
              </w:rPr>
              <w:t>Retrospective</w:t>
            </w:r>
            <w:r w:rsidR="00C07331">
              <w:rPr>
                <w:rFonts w:cs="Arial"/>
                <w:sz w:val="18"/>
                <w:szCs w:val="18"/>
              </w:rPr>
              <w:t xml:space="preserve"> matched</w:t>
            </w:r>
            <w:r w:rsidRPr="00A73445">
              <w:rPr>
                <w:rFonts w:cs="Arial"/>
                <w:sz w:val="18"/>
                <w:szCs w:val="18"/>
              </w:rPr>
              <w:t xml:space="preserve"> cohort </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Patients with chronic obstructive pulmonary disease (COPD) with dementia had increased mortality (</w:t>
            </w:r>
            <w:proofErr w:type="spellStart"/>
            <w:r w:rsidRPr="00A73445">
              <w:rPr>
                <w:rFonts w:cs="Arial"/>
                <w:sz w:val="18"/>
                <w:szCs w:val="18"/>
              </w:rPr>
              <w:t>aOR</w:t>
            </w:r>
            <w:proofErr w:type="spellEnd"/>
            <w:r w:rsidRPr="00A73445">
              <w:rPr>
                <w:rFonts w:cs="Arial"/>
                <w:sz w:val="18"/>
                <w:szCs w:val="18"/>
              </w:rPr>
              <w:t xml:space="preserve"> 1.38 [1.10-1.72]). This may partly be explained by the increased odds of severe sepsis (</w:t>
            </w:r>
            <w:proofErr w:type="spellStart"/>
            <w:r w:rsidRPr="00A73445">
              <w:rPr>
                <w:rFonts w:cs="Arial"/>
                <w:sz w:val="18"/>
                <w:szCs w:val="18"/>
              </w:rPr>
              <w:t>aOR</w:t>
            </w:r>
            <w:proofErr w:type="spellEnd"/>
            <w:r w:rsidRPr="00A73445">
              <w:rPr>
                <w:rFonts w:cs="Arial"/>
                <w:sz w:val="18"/>
                <w:szCs w:val="18"/>
              </w:rPr>
              <w:t xml:space="preserve"> 1.38 [1.10-1.72]) and acute respiratory dysfunction (</w:t>
            </w:r>
            <w:proofErr w:type="spellStart"/>
            <w:r w:rsidRPr="00A73445">
              <w:rPr>
                <w:rFonts w:cs="Arial"/>
                <w:sz w:val="18"/>
                <w:szCs w:val="18"/>
              </w:rPr>
              <w:t>aOR</w:t>
            </w:r>
            <w:proofErr w:type="spellEnd"/>
            <w:r w:rsidRPr="00A73445">
              <w:rPr>
                <w:rFonts w:cs="Arial"/>
                <w:sz w:val="18"/>
                <w:szCs w:val="18"/>
              </w:rPr>
              <w:t xml:space="preserve"> 1.39 [1.09-1.77]).</w:t>
            </w:r>
          </w:p>
        </w:tc>
      </w:tr>
      <w:tr w:rsidR="00A73445" w:rsidRPr="00A73445" w:rsidTr="00C07331">
        <w:tc>
          <w:tcPr>
            <w:tcW w:w="1666" w:type="dxa"/>
          </w:tcPr>
          <w:p w:rsidR="00D822C7" w:rsidRPr="00A73445" w:rsidRDefault="00D822C7" w:rsidP="00D822C7">
            <w:pPr>
              <w:rPr>
                <w:rFonts w:cs="Arial"/>
                <w:sz w:val="18"/>
                <w:szCs w:val="18"/>
              </w:rPr>
            </w:pPr>
            <w:proofErr w:type="spellStart"/>
            <w:r w:rsidRPr="00A73445">
              <w:rPr>
                <w:rFonts w:cs="Arial"/>
                <w:sz w:val="18"/>
                <w:szCs w:val="18"/>
              </w:rPr>
              <w:t>Frohnhofen</w:t>
            </w:r>
            <w:proofErr w:type="spellEnd"/>
            <w:r w:rsidRPr="00A73445">
              <w:rPr>
                <w:rFonts w:cs="Arial"/>
                <w:sz w:val="18"/>
                <w:szCs w:val="18"/>
              </w:rPr>
              <w:t xml:space="preserve"> 2011</w:t>
            </w:r>
          </w:p>
        </w:tc>
        <w:tc>
          <w:tcPr>
            <w:tcW w:w="1164" w:type="dxa"/>
          </w:tcPr>
          <w:p w:rsidR="00D822C7" w:rsidRPr="00A73445" w:rsidRDefault="00D822C7" w:rsidP="00D822C7">
            <w:pPr>
              <w:rPr>
                <w:rFonts w:cs="Arial"/>
                <w:sz w:val="18"/>
                <w:szCs w:val="18"/>
              </w:rPr>
            </w:pPr>
            <w:r w:rsidRPr="00A73445">
              <w:rPr>
                <w:rFonts w:cs="Arial"/>
                <w:sz w:val="18"/>
                <w:szCs w:val="18"/>
              </w:rPr>
              <w:t>Germany</w:t>
            </w:r>
          </w:p>
        </w:tc>
        <w:tc>
          <w:tcPr>
            <w:tcW w:w="2948" w:type="dxa"/>
          </w:tcPr>
          <w:p w:rsidR="00D822C7" w:rsidRPr="00A73445" w:rsidRDefault="00D822C7" w:rsidP="00D822C7">
            <w:pPr>
              <w:rPr>
                <w:rFonts w:cs="Arial"/>
                <w:sz w:val="18"/>
                <w:szCs w:val="18"/>
              </w:rPr>
            </w:pPr>
            <w:r w:rsidRPr="00A73445">
              <w:rPr>
                <w:rFonts w:cs="Arial"/>
                <w:sz w:val="18"/>
                <w:szCs w:val="18"/>
              </w:rPr>
              <w:t>1,424 patients with COPD admitted to a geriatric ward, including 740 patients with dementia</w:t>
            </w:r>
          </w:p>
        </w:tc>
        <w:tc>
          <w:tcPr>
            <w:tcW w:w="2410" w:type="dxa"/>
          </w:tcPr>
          <w:p w:rsidR="00D822C7" w:rsidRPr="00A73445" w:rsidRDefault="00D822C7" w:rsidP="00D822C7">
            <w:pPr>
              <w:rPr>
                <w:rFonts w:cs="Arial"/>
                <w:sz w:val="18"/>
                <w:szCs w:val="18"/>
              </w:rPr>
            </w:pPr>
            <w:r w:rsidRPr="00A73445">
              <w:rPr>
                <w:rFonts w:cs="Arial"/>
                <w:sz w:val="18"/>
                <w:szCs w:val="18"/>
              </w:rPr>
              <w:t>Prospective cohort</w:t>
            </w:r>
          </w:p>
          <w:p w:rsidR="00D822C7" w:rsidRPr="00A73445" w:rsidRDefault="00D822C7" w:rsidP="00D822C7">
            <w:pPr>
              <w:rPr>
                <w:rFonts w:cs="Arial"/>
                <w:sz w:val="18"/>
                <w:szCs w:val="18"/>
              </w:rPr>
            </w:pPr>
          </w:p>
        </w:tc>
        <w:tc>
          <w:tcPr>
            <w:tcW w:w="5812" w:type="dxa"/>
          </w:tcPr>
          <w:p w:rsidR="00D822C7" w:rsidRPr="00A73445" w:rsidRDefault="00D822C7" w:rsidP="00D822C7">
            <w:pPr>
              <w:rPr>
                <w:rFonts w:cs="Arial"/>
                <w:sz w:val="18"/>
                <w:szCs w:val="18"/>
              </w:rPr>
            </w:pPr>
            <w:r w:rsidRPr="00A73445">
              <w:rPr>
                <w:rFonts w:cs="Arial"/>
                <w:sz w:val="18"/>
                <w:szCs w:val="18"/>
              </w:rPr>
              <w:t>Whereas 42% (287/684) of patients with no dementia were receiving no treatment for their COPD, 64% (195/307) of patients with moderate/severe dementia had no treatment (p&lt;0.01). Patients with dementia were also less likely to have lung function tests completed successfully: OR: 2.80 [1.18–6.60] for mild and OR 4.92 [2.03–11.91] for moderate to severe dementia.</w:t>
            </w:r>
          </w:p>
        </w:tc>
      </w:tr>
    </w:tbl>
    <w:p w:rsidR="00C9568B" w:rsidRDefault="00C9568B" w:rsidP="00574618">
      <w:pPr>
        <w:rPr>
          <w:b/>
          <w:sz w:val="20"/>
          <w:szCs w:val="20"/>
        </w:rPr>
      </w:pPr>
    </w:p>
    <w:p w:rsidR="00C9568B" w:rsidRDefault="00C9568B" w:rsidP="00574618">
      <w:pPr>
        <w:rPr>
          <w:b/>
          <w:sz w:val="20"/>
          <w:szCs w:val="20"/>
        </w:rPr>
      </w:pPr>
    </w:p>
    <w:p w:rsidR="001F4264" w:rsidRDefault="001F4264">
      <w:pPr>
        <w:rPr>
          <w:b/>
          <w:sz w:val="20"/>
          <w:szCs w:val="20"/>
        </w:rPr>
      </w:pPr>
      <w:r>
        <w:rPr>
          <w:b/>
          <w:sz w:val="20"/>
          <w:szCs w:val="20"/>
        </w:rPr>
        <w:br w:type="page"/>
      </w:r>
    </w:p>
    <w:p w:rsidR="00D822C7" w:rsidRPr="00C9568B" w:rsidRDefault="00D822C7" w:rsidP="00574618">
      <w:pPr>
        <w:rPr>
          <w:b/>
          <w:sz w:val="20"/>
          <w:szCs w:val="20"/>
        </w:rPr>
      </w:pPr>
      <w:r w:rsidRPr="00F0474A">
        <w:rPr>
          <w:b/>
        </w:rPr>
        <w:lastRenderedPageBreak/>
        <w:t xml:space="preserve">Table 2 Outcomes reflecting differentials in care during hospitalisation </w:t>
      </w:r>
    </w:p>
    <w:tbl>
      <w:tblPr>
        <w:tblStyle w:val="TableGrid"/>
        <w:tblpPr w:leftFromText="180" w:rightFromText="180" w:vertAnchor="text" w:tblpY="1"/>
        <w:tblOverlap w:val="never"/>
        <w:tblW w:w="14000" w:type="dxa"/>
        <w:tblLook w:val="04A0" w:firstRow="1" w:lastRow="0" w:firstColumn="1" w:lastColumn="0" w:noHBand="0" w:noVBand="1"/>
      </w:tblPr>
      <w:tblGrid>
        <w:gridCol w:w="1666"/>
        <w:gridCol w:w="1164"/>
        <w:gridCol w:w="2948"/>
        <w:gridCol w:w="2410"/>
        <w:gridCol w:w="20"/>
        <w:gridCol w:w="5792"/>
      </w:tblGrid>
      <w:tr w:rsidR="00D822C7" w:rsidRPr="00F0474A" w:rsidTr="00C07331">
        <w:tc>
          <w:tcPr>
            <w:tcW w:w="1666" w:type="dxa"/>
          </w:tcPr>
          <w:p w:rsidR="00D822C7" w:rsidRPr="00F0474A" w:rsidRDefault="00D822C7" w:rsidP="00D822C7">
            <w:pPr>
              <w:rPr>
                <w:b/>
                <w:sz w:val="18"/>
                <w:szCs w:val="18"/>
              </w:rPr>
            </w:pPr>
            <w:r w:rsidRPr="00F0474A">
              <w:rPr>
                <w:b/>
                <w:sz w:val="18"/>
                <w:szCs w:val="18"/>
              </w:rPr>
              <w:t>Authors, year</w:t>
            </w:r>
          </w:p>
        </w:tc>
        <w:tc>
          <w:tcPr>
            <w:tcW w:w="1164" w:type="dxa"/>
          </w:tcPr>
          <w:p w:rsidR="00D822C7" w:rsidRPr="00F0474A" w:rsidRDefault="00D822C7" w:rsidP="00D822C7">
            <w:pPr>
              <w:rPr>
                <w:b/>
                <w:sz w:val="18"/>
                <w:szCs w:val="18"/>
              </w:rPr>
            </w:pPr>
            <w:r w:rsidRPr="00F0474A">
              <w:rPr>
                <w:b/>
                <w:sz w:val="18"/>
                <w:szCs w:val="18"/>
              </w:rPr>
              <w:t>Country</w:t>
            </w:r>
          </w:p>
        </w:tc>
        <w:tc>
          <w:tcPr>
            <w:tcW w:w="2948" w:type="dxa"/>
          </w:tcPr>
          <w:p w:rsidR="00D822C7" w:rsidRPr="00F0474A" w:rsidRDefault="00D822C7" w:rsidP="00D822C7">
            <w:pPr>
              <w:rPr>
                <w:b/>
                <w:sz w:val="18"/>
                <w:szCs w:val="18"/>
              </w:rPr>
            </w:pPr>
            <w:r w:rsidRPr="00F0474A">
              <w:rPr>
                <w:b/>
                <w:sz w:val="18"/>
                <w:szCs w:val="18"/>
              </w:rPr>
              <w:t>Population</w:t>
            </w:r>
          </w:p>
        </w:tc>
        <w:tc>
          <w:tcPr>
            <w:tcW w:w="2430" w:type="dxa"/>
            <w:gridSpan w:val="2"/>
          </w:tcPr>
          <w:p w:rsidR="00D822C7" w:rsidRPr="00F0474A" w:rsidRDefault="00D822C7" w:rsidP="00D822C7">
            <w:pPr>
              <w:rPr>
                <w:b/>
                <w:sz w:val="18"/>
                <w:szCs w:val="18"/>
              </w:rPr>
            </w:pPr>
            <w:r w:rsidRPr="00F0474A">
              <w:rPr>
                <w:b/>
                <w:sz w:val="18"/>
                <w:szCs w:val="18"/>
              </w:rPr>
              <w:t>Study design</w:t>
            </w:r>
          </w:p>
        </w:tc>
        <w:tc>
          <w:tcPr>
            <w:tcW w:w="5792" w:type="dxa"/>
          </w:tcPr>
          <w:p w:rsidR="00D822C7" w:rsidRPr="00F0474A" w:rsidRDefault="00D822C7" w:rsidP="00D822C7">
            <w:pPr>
              <w:rPr>
                <w:b/>
                <w:sz w:val="18"/>
                <w:szCs w:val="18"/>
              </w:rPr>
            </w:pPr>
            <w:r w:rsidRPr="00F0474A">
              <w:rPr>
                <w:b/>
                <w:sz w:val="18"/>
                <w:szCs w:val="18"/>
              </w:rPr>
              <w:t>Main results</w:t>
            </w:r>
          </w:p>
        </w:tc>
      </w:tr>
      <w:tr w:rsidR="00D822C7" w:rsidRPr="00F0474A" w:rsidTr="00D822C7">
        <w:tc>
          <w:tcPr>
            <w:tcW w:w="14000" w:type="dxa"/>
            <w:gridSpan w:val="6"/>
          </w:tcPr>
          <w:p w:rsidR="00D822C7" w:rsidRPr="00F0474A" w:rsidRDefault="00D822C7" w:rsidP="00985C0A">
            <w:pPr>
              <w:rPr>
                <w:b/>
                <w:i/>
                <w:sz w:val="18"/>
                <w:szCs w:val="18"/>
              </w:rPr>
            </w:pPr>
            <w:r w:rsidRPr="00F0474A">
              <w:rPr>
                <w:b/>
                <w:i/>
                <w:sz w:val="18"/>
                <w:szCs w:val="18"/>
              </w:rPr>
              <w:t>‘Outlying’ and bed moves</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Ranasinghe</w:t>
            </w:r>
            <w:proofErr w:type="spellEnd"/>
            <w:r w:rsidRPr="00F0474A">
              <w:rPr>
                <w:sz w:val="18"/>
                <w:szCs w:val="18"/>
              </w:rPr>
              <w:t xml:space="preserve"> 2017</w:t>
            </w:r>
          </w:p>
        </w:tc>
        <w:tc>
          <w:tcPr>
            <w:tcW w:w="1164" w:type="dxa"/>
          </w:tcPr>
          <w:p w:rsidR="00D822C7" w:rsidRPr="00F0474A" w:rsidRDefault="00D822C7" w:rsidP="00985C0A">
            <w:pPr>
              <w:rPr>
                <w:sz w:val="18"/>
                <w:szCs w:val="18"/>
              </w:rPr>
            </w:pPr>
            <w:r w:rsidRPr="00F0474A">
              <w:rPr>
                <w:sz w:val="18"/>
                <w:szCs w:val="18"/>
              </w:rPr>
              <w:t>Australia</w:t>
            </w:r>
          </w:p>
        </w:tc>
        <w:tc>
          <w:tcPr>
            <w:tcW w:w="2948" w:type="dxa"/>
          </w:tcPr>
          <w:p w:rsidR="00D822C7" w:rsidRPr="00F0474A" w:rsidRDefault="00D822C7" w:rsidP="00985C0A">
            <w:pPr>
              <w:rPr>
                <w:sz w:val="18"/>
                <w:szCs w:val="18"/>
              </w:rPr>
            </w:pPr>
            <w:r w:rsidRPr="00F0474A">
              <w:rPr>
                <w:sz w:val="18"/>
                <w:szCs w:val="18"/>
              </w:rPr>
              <w:t>300 patients under Older Person Evaluation Review and Assessment (OPERA) team, age and sex matched with 300 patients under general physician care</w:t>
            </w:r>
          </w:p>
        </w:tc>
        <w:tc>
          <w:tcPr>
            <w:tcW w:w="2410" w:type="dxa"/>
          </w:tcPr>
          <w:p w:rsidR="00D822C7" w:rsidRPr="00F0474A" w:rsidRDefault="00D822C7" w:rsidP="00985C0A">
            <w:pPr>
              <w:rPr>
                <w:sz w:val="18"/>
                <w:szCs w:val="18"/>
              </w:rPr>
            </w:pPr>
            <w:r w:rsidRPr="00F0474A">
              <w:rPr>
                <w:sz w:val="18"/>
                <w:szCs w:val="18"/>
              </w:rPr>
              <w:t>Retrospective matched cohort</w:t>
            </w:r>
          </w:p>
        </w:tc>
        <w:tc>
          <w:tcPr>
            <w:tcW w:w="5812" w:type="dxa"/>
            <w:gridSpan w:val="2"/>
          </w:tcPr>
          <w:p w:rsidR="00D822C7" w:rsidRPr="00F0474A" w:rsidRDefault="00D822C7" w:rsidP="00985C0A">
            <w:pPr>
              <w:rPr>
                <w:rFonts w:cs="Segoe UI"/>
                <w:sz w:val="18"/>
                <w:szCs w:val="18"/>
              </w:rPr>
            </w:pPr>
            <w:r w:rsidRPr="00F0474A">
              <w:rPr>
                <w:sz w:val="18"/>
                <w:szCs w:val="18"/>
              </w:rPr>
              <w:t xml:space="preserve">Outlying patients and those with 3+ bed moves were more likely to be OPERA patients than general medicine patients, (47.7% </w:t>
            </w:r>
            <w:proofErr w:type="spellStart"/>
            <w:r w:rsidRPr="00F0474A">
              <w:rPr>
                <w:sz w:val="18"/>
                <w:szCs w:val="18"/>
              </w:rPr>
              <w:t>vs</w:t>
            </w:r>
            <w:proofErr w:type="spellEnd"/>
            <w:r w:rsidRPr="00F0474A">
              <w:rPr>
                <w:sz w:val="18"/>
                <w:szCs w:val="18"/>
              </w:rPr>
              <w:t xml:space="preserve"> 31.3%, p&lt;0.001 and 22.3% </w:t>
            </w:r>
            <w:proofErr w:type="spellStart"/>
            <w:r w:rsidRPr="00F0474A">
              <w:rPr>
                <w:sz w:val="18"/>
                <w:szCs w:val="18"/>
              </w:rPr>
              <w:t>vs</w:t>
            </w:r>
            <w:proofErr w:type="spellEnd"/>
            <w:r w:rsidRPr="00F0474A">
              <w:rPr>
                <w:sz w:val="18"/>
                <w:szCs w:val="18"/>
              </w:rPr>
              <w:t xml:space="preserve"> 8%, p&lt;0.001 respectively).  Of those with 3+ moves, OPERA patients were more likely to have prior cognitive impairment (OPERA 70.1% </w:t>
            </w:r>
            <w:proofErr w:type="spellStart"/>
            <w:r w:rsidRPr="00F0474A">
              <w:rPr>
                <w:sz w:val="18"/>
                <w:szCs w:val="18"/>
              </w:rPr>
              <w:t>vs</w:t>
            </w:r>
            <w:proofErr w:type="spellEnd"/>
            <w:r w:rsidRPr="00F0474A">
              <w:rPr>
                <w:sz w:val="18"/>
                <w:szCs w:val="18"/>
              </w:rPr>
              <w:t xml:space="preserve"> general medicine 36.4%, p=0.005). OPERA patients were also more likely to be discharged to residential care or to die than those under general medicine (38.8% </w:t>
            </w:r>
            <w:proofErr w:type="spellStart"/>
            <w:r w:rsidRPr="00F0474A">
              <w:rPr>
                <w:sz w:val="18"/>
                <w:szCs w:val="18"/>
              </w:rPr>
              <w:t>vs</w:t>
            </w:r>
            <w:proofErr w:type="spellEnd"/>
            <w:r w:rsidRPr="00F0474A">
              <w:rPr>
                <w:sz w:val="18"/>
                <w:szCs w:val="18"/>
              </w:rPr>
              <w:t xml:space="preserve"> 9.1%, p=0.009)</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Perimal</w:t>
            </w:r>
            <w:proofErr w:type="spellEnd"/>
            <w:r w:rsidRPr="00F0474A">
              <w:rPr>
                <w:sz w:val="18"/>
                <w:szCs w:val="18"/>
              </w:rPr>
              <w:t>-Lewis 2016</w:t>
            </w:r>
          </w:p>
        </w:tc>
        <w:tc>
          <w:tcPr>
            <w:tcW w:w="1164" w:type="dxa"/>
          </w:tcPr>
          <w:p w:rsidR="00D822C7" w:rsidRPr="00F0474A" w:rsidRDefault="00D822C7" w:rsidP="00985C0A">
            <w:pPr>
              <w:rPr>
                <w:sz w:val="18"/>
                <w:szCs w:val="18"/>
              </w:rPr>
            </w:pPr>
            <w:r w:rsidRPr="00F0474A">
              <w:rPr>
                <w:sz w:val="18"/>
                <w:szCs w:val="18"/>
              </w:rPr>
              <w:t>Australia</w:t>
            </w:r>
          </w:p>
        </w:tc>
        <w:tc>
          <w:tcPr>
            <w:tcW w:w="2948" w:type="dxa"/>
          </w:tcPr>
          <w:p w:rsidR="00D822C7" w:rsidRPr="00F0474A" w:rsidRDefault="00D822C7" w:rsidP="00985C0A">
            <w:pPr>
              <w:rPr>
                <w:sz w:val="18"/>
                <w:szCs w:val="18"/>
              </w:rPr>
            </w:pPr>
            <w:r w:rsidRPr="00F0474A">
              <w:rPr>
                <w:sz w:val="18"/>
                <w:szCs w:val="18"/>
              </w:rPr>
              <w:t>6,367 inpatients with dementia and/or delirium</w:t>
            </w:r>
          </w:p>
        </w:tc>
        <w:tc>
          <w:tcPr>
            <w:tcW w:w="2410" w:type="dxa"/>
          </w:tcPr>
          <w:p w:rsidR="00D822C7" w:rsidRPr="00F0474A" w:rsidRDefault="00D822C7" w:rsidP="00985C0A">
            <w:pPr>
              <w:rPr>
                <w:sz w:val="18"/>
                <w:szCs w:val="18"/>
              </w:rPr>
            </w:pPr>
            <w:r w:rsidRPr="00F0474A">
              <w:rPr>
                <w:sz w:val="18"/>
                <w:szCs w:val="18"/>
              </w:rPr>
              <w:t>Retrospective descriptive study</w:t>
            </w:r>
          </w:p>
          <w:p w:rsidR="00D822C7" w:rsidRPr="00F0474A" w:rsidRDefault="00D822C7" w:rsidP="00985C0A">
            <w:pPr>
              <w:rPr>
                <w:sz w:val="18"/>
                <w:szCs w:val="18"/>
              </w:rPr>
            </w:pPr>
          </w:p>
        </w:tc>
        <w:tc>
          <w:tcPr>
            <w:tcW w:w="5812" w:type="dxa"/>
            <w:gridSpan w:val="2"/>
          </w:tcPr>
          <w:p w:rsidR="00D822C7" w:rsidRPr="00F0474A" w:rsidRDefault="00D822C7" w:rsidP="00985C0A">
            <w:pPr>
              <w:rPr>
                <w:sz w:val="18"/>
                <w:szCs w:val="18"/>
              </w:rPr>
            </w:pPr>
            <w:r w:rsidRPr="00F0474A">
              <w:rPr>
                <w:sz w:val="18"/>
                <w:szCs w:val="18"/>
              </w:rPr>
              <w:t xml:space="preserve">‘Outlier’ patients had higher mortality within 48 hours of admission: </w:t>
            </w:r>
            <w:r w:rsidRPr="00F0474A">
              <w:rPr>
                <w:rFonts w:cs="Segoe UI"/>
                <w:sz w:val="18"/>
                <w:szCs w:val="18"/>
              </w:rPr>
              <w:t>OR 1.973 [1.158-3.359], p=0.012</w:t>
            </w:r>
          </w:p>
        </w:tc>
      </w:tr>
      <w:tr w:rsidR="00D822C7" w:rsidRPr="00F0474A" w:rsidTr="00C07331">
        <w:tc>
          <w:tcPr>
            <w:tcW w:w="1666" w:type="dxa"/>
          </w:tcPr>
          <w:p w:rsidR="00D822C7" w:rsidRPr="00F0474A" w:rsidRDefault="00F0474A" w:rsidP="00985C0A">
            <w:pPr>
              <w:rPr>
                <w:sz w:val="18"/>
                <w:szCs w:val="18"/>
              </w:rPr>
            </w:pPr>
            <w:r w:rsidRPr="00F0474A">
              <w:rPr>
                <w:sz w:val="18"/>
                <w:szCs w:val="18"/>
              </w:rPr>
              <w:t>Royal College of Psychiatrists</w:t>
            </w:r>
            <w:r w:rsidR="00D822C7" w:rsidRPr="00F0474A">
              <w:rPr>
                <w:sz w:val="18"/>
                <w:szCs w:val="18"/>
              </w:rPr>
              <w:t>, 2017</w:t>
            </w:r>
          </w:p>
        </w:tc>
        <w:tc>
          <w:tcPr>
            <w:tcW w:w="1164" w:type="dxa"/>
          </w:tcPr>
          <w:p w:rsidR="00D822C7" w:rsidRPr="00F0474A" w:rsidRDefault="00D822C7" w:rsidP="00985C0A">
            <w:pPr>
              <w:rPr>
                <w:sz w:val="18"/>
                <w:szCs w:val="18"/>
              </w:rPr>
            </w:pPr>
            <w:r w:rsidRPr="00F0474A">
              <w:rPr>
                <w:sz w:val="18"/>
                <w:szCs w:val="18"/>
              </w:rPr>
              <w:t>United Kingdom</w:t>
            </w:r>
          </w:p>
        </w:tc>
        <w:tc>
          <w:tcPr>
            <w:tcW w:w="2948" w:type="dxa"/>
          </w:tcPr>
          <w:p w:rsidR="00D822C7" w:rsidRPr="00F0474A" w:rsidRDefault="00D822C7" w:rsidP="00985C0A">
            <w:pPr>
              <w:rPr>
                <w:sz w:val="18"/>
                <w:szCs w:val="18"/>
              </w:rPr>
            </w:pPr>
            <w:r w:rsidRPr="00F0474A">
              <w:rPr>
                <w:sz w:val="18"/>
                <w:szCs w:val="18"/>
              </w:rPr>
              <w:t>Patients with dementia in the acute setting.</w:t>
            </w:r>
          </w:p>
        </w:tc>
        <w:tc>
          <w:tcPr>
            <w:tcW w:w="2410" w:type="dxa"/>
          </w:tcPr>
          <w:p w:rsidR="00D822C7" w:rsidRPr="00F0474A" w:rsidRDefault="009F1359" w:rsidP="009F1359">
            <w:pPr>
              <w:rPr>
                <w:sz w:val="18"/>
                <w:szCs w:val="18"/>
              </w:rPr>
            </w:pPr>
            <w:r>
              <w:rPr>
                <w:sz w:val="18"/>
                <w:szCs w:val="18"/>
              </w:rPr>
              <w:t>National a</w:t>
            </w:r>
            <w:r w:rsidR="00D822C7" w:rsidRPr="00F0474A">
              <w:rPr>
                <w:sz w:val="18"/>
                <w:szCs w:val="18"/>
              </w:rPr>
              <w:t>udit</w:t>
            </w:r>
          </w:p>
        </w:tc>
        <w:tc>
          <w:tcPr>
            <w:tcW w:w="5812" w:type="dxa"/>
            <w:gridSpan w:val="2"/>
          </w:tcPr>
          <w:p w:rsidR="00D822C7" w:rsidRPr="00F0474A" w:rsidRDefault="00D822C7" w:rsidP="00985C0A">
            <w:pPr>
              <w:rPr>
                <w:sz w:val="18"/>
                <w:szCs w:val="18"/>
              </w:rPr>
            </w:pPr>
            <w:r w:rsidRPr="00F0474A">
              <w:rPr>
                <w:sz w:val="18"/>
                <w:szCs w:val="18"/>
              </w:rPr>
              <w:t xml:space="preserve">Night-time bed moves were reported as being avoidable in half of staff surveyed. </w:t>
            </w:r>
          </w:p>
        </w:tc>
      </w:tr>
      <w:tr w:rsidR="00D822C7" w:rsidRPr="00F0474A" w:rsidTr="00985C0A">
        <w:tc>
          <w:tcPr>
            <w:tcW w:w="14000" w:type="dxa"/>
            <w:gridSpan w:val="6"/>
          </w:tcPr>
          <w:p w:rsidR="00D822C7" w:rsidRPr="00F0474A" w:rsidRDefault="00D9074C" w:rsidP="00985C0A">
            <w:pPr>
              <w:rPr>
                <w:b/>
                <w:i/>
                <w:sz w:val="18"/>
                <w:szCs w:val="18"/>
              </w:rPr>
            </w:pPr>
            <w:r w:rsidRPr="00F0474A">
              <w:rPr>
                <w:b/>
                <w:i/>
                <w:sz w:val="18"/>
                <w:szCs w:val="18"/>
              </w:rPr>
              <w:t xml:space="preserve">Pain and end-of-life </w:t>
            </w:r>
            <w:r w:rsidR="00D822C7" w:rsidRPr="00F0474A">
              <w:rPr>
                <w:b/>
                <w:i/>
                <w:sz w:val="18"/>
                <w:szCs w:val="18"/>
              </w:rPr>
              <w:t>or palliative care</w:t>
            </w:r>
          </w:p>
        </w:tc>
      </w:tr>
      <w:tr w:rsidR="00D822C7" w:rsidRPr="00F0474A" w:rsidTr="00C07331">
        <w:tc>
          <w:tcPr>
            <w:tcW w:w="1666" w:type="dxa"/>
          </w:tcPr>
          <w:p w:rsidR="00D822C7" w:rsidRPr="00F0474A" w:rsidRDefault="00D822C7" w:rsidP="00985C0A">
            <w:pPr>
              <w:rPr>
                <w:sz w:val="18"/>
                <w:szCs w:val="18"/>
              </w:rPr>
            </w:pPr>
            <w:r w:rsidRPr="00F0474A">
              <w:rPr>
                <w:sz w:val="18"/>
                <w:szCs w:val="18"/>
              </w:rPr>
              <w:t>Sampson 2015</w:t>
            </w:r>
          </w:p>
        </w:tc>
        <w:tc>
          <w:tcPr>
            <w:tcW w:w="1164" w:type="dxa"/>
          </w:tcPr>
          <w:p w:rsidR="00D822C7" w:rsidRPr="00F0474A" w:rsidRDefault="00D822C7" w:rsidP="00985C0A">
            <w:pPr>
              <w:rPr>
                <w:sz w:val="18"/>
                <w:szCs w:val="18"/>
              </w:rPr>
            </w:pPr>
            <w:r w:rsidRPr="00F0474A">
              <w:rPr>
                <w:sz w:val="18"/>
                <w:szCs w:val="18"/>
              </w:rPr>
              <w:t>UK</w:t>
            </w:r>
          </w:p>
        </w:tc>
        <w:tc>
          <w:tcPr>
            <w:tcW w:w="2948" w:type="dxa"/>
          </w:tcPr>
          <w:p w:rsidR="00D822C7" w:rsidRPr="00F0474A" w:rsidRDefault="00D822C7" w:rsidP="00985C0A">
            <w:pPr>
              <w:rPr>
                <w:sz w:val="18"/>
                <w:szCs w:val="18"/>
              </w:rPr>
            </w:pPr>
            <w:r w:rsidRPr="00F0474A">
              <w:rPr>
                <w:sz w:val="18"/>
                <w:szCs w:val="18"/>
              </w:rPr>
              <w:t>230 patients with an unplanned hospital admission with AMTS &lt;8/10.</w:t>
            </w:r>
          </w:p>
        </w:tc>
        <w:tc>
          <w:tcPr>
            <w:tcW w:w="2410" w:type="dxa"/>
          </w:tcPr>
          <w:p w:rsidR="00D822C7" w:rsidRPr="00F0474A" w:rsidRDefault="00D822C7" w:rsidP="00985C0A">
            <w:pPr>
              <w:rPr>
                <w:sz w:val="18"/>
                <w:szCs w:val="18"/>
              </w:rPr>
            </w:pPr>
            <w:r w:rsidRPr="00F0474A">
              <w:rPr>
                <w:sz w:val="18"/>
                <w:szCs w:val="18"/>
              </w:rPr>
              <w:t>Prospective cohort</w:t>
            </w:r>
          </w:p>
          <w:p w:rsidR="00D822C7" w:rsidRPr="00F0474A" w:rsidRDefault="00D822C7" w:rsidP="00985C0A">
            <w:pPr>
              <w:rPr>
                <w:sz w:val="18"/>
                <w:szCs w:val="18"/>
              </w:rPr>
            </w:pPr>
          </w:p>
        </w:tc>
        <w:tc>
          <w:tcPr>
            <w:tcW w:w="5812" w:type="dxa"/>
            <w:gridSpan w:val="2"/>
          </w:tcPr>
          <w:p w:rsidR="00D822C7" w:rsidRPr="00F0474A" w:rsidRDefault="00D822C7" w:rsidP="00985C0A">
            <w:pPr>
              <w:rPr>
                <w:sz w:val="18"/>
                <w:szCs w:val="18"/>
              </w:rPr>
            </w:pPr>
            <w:r w:rsidRPr="00F0474A">
              <w:rPr>
                <w:sz w:val="18"/>
                <w:szCs w:val="18"/>
              </w:rPr>
              <w:t xml:space="preserve">Pain was reported in 38.5% of patients during hospitalisation. Pain at movement and at rest was associated with an increase in the </w:t>
            </w:r>
            <w:r w:rsidRPr="00F0474A">
              <w:rPr>
                <w:rFonts w:cs="Segoe UI"/>
                <w:sz w:val="18"/>
                <w:szCs w:val="18"/>
              </w:rPr>
              <w:t xml:space="preserve">Behavioural Pathology in Alzheimer Disease Scale (BEHAVE-AD) score (adjusted coefficient 0.20 [0.07-0.32], p=0.002 and 0.41 [0.14-0.69] p=0.003 respectively), </w:t>
            </w:r>
            <w:r w:rsidRPr="00F0474A">
              <w:rPr>
                <w:sz w:val="18"/>
                <w:szCs w:val="18"/>
              </w:rPr>
              <w:t xml:space="preserve">aggression </w:t>
            </w:r>
            <w:r w:rsidRPr="00F0474A">
              <w:rPr>
                <w:rFonts w:cs="Segoe UI"/>
                <w:sz w:val="18"/>
                <w:szCs w:val="18"/>
              </w:rPr>
              <w:t xml:space="preserve">(adjusted coefficient 0.16 [0.09-0.23], p&lt;0.001 and 0.16 [0.02-0.30] p=0.023 respectively) </w:t>
            </w:r>
            <w:r w:rsidRPr="00F0474A">
              <w:rPr>
                <w:sz w:val="18"/>
                <w:szCs w:val="18"/>
              </w:rPr>
              <w:t xml:space="preserve">and phobia/anxiety </w:t>
            </w:r>
            <w:r w:rsidRPr="00F0474A">
              <w:rPr>
                <w:rFonts w:cs="Segoe UI"/>
                <w:sz w:val="18"/>
                <w:szCs w:val="18"/>
              </w:rPr>
              <w:t>(adjusted coefficient 0.04 [0.01-0.07], p=0.021 and 0.11 [0.04-0.17] p=0.001 respectively)</w:t>
            </w:r>
            <w:r w:rsidRPr="00F0474A">
              <w:rPr>
                <w:sz w:val="18"/>
                <w:szCs w:val="18"/>
              </w:rPr>
              <w:t>.</w:t>
            </w:r>
          </w:p>
        </w:tc>
      </w:tr>
      <w:tr w:rsidR="00D822C7" w:rsidRPr="00F0474A" w:rsidTr="00C07331">
        <w:tc>
          <w:tcPr>
            <w:tcW w:w="1666" w:type="dxa"/>
          </w:tcPr>
          <w:p w:rsidR="00D822C7" w:rsidRPr="00F0474A" w:rsidRDefault="00D822C7" w:rsidP="00985C0A">
            <w:pPr>
              <w:rPr>
                <w:sz w:val="18"/>
                <w:szCs w:val="18"/>
              </w:rPr>
            </w:pPr>
            <w:r w:rsidRPr="00F0474A">
              <w:rPr>
                <w:sz w:val="18"/>
                <w:szCs w:val="18"/>
              </w:rPr>
              <w:t>Kelley 2008</w:t>
            </w:r>
          </w:p>
        </w:tc>
        <w:tc>
          <w:tcPr>
            <w:tcW w:w="1164" w:type="dxa"/>
          </w:tcPr>
          <w:p w:rsidR="00D822C7" w:rsidRPr="00F0474A" w:rsidRDefault="00D822C7" w:rsidP="00985C0A">
            <w:pPr>
              <w:rPr>
                <w:sz w:val="18"/>
                <w:szCs w:val="18"/>
              </w:rPr>
            </w:pPr>
            <w:r w:rsidRPr="00F0474A">
              <w:rPr>
                <w:sz w:val="18"/>
                <w:szCs w:val="18"/>
              </w:rPr>
              <w:t>U.S.</w:t>
            </w:r>
          </w:p>
        </w:tc>
        <w:tc>
          <w:tcPr>
            <w:tcW w:w="2948" w:type="dxa"/>
          </w:tcPr>
          <w:p w:rsidR="00D822C7" w:rsidRPr="00F0474A" w:rsidRDefault="00D822C7" w:rsidP="00985C0A">
            <w:pPr>
              <w:rPr>
                <w:sz w:val="18"/>
                <w:szCs w:val="18"/>
              </w:rPr>
            </w:pPr>
            <w:r w:rsidRPr="00F0474A">
              <w:rPr>
                <w:sz w:val="18"/>
                <w:szCs w:val="18"/>
              </w:rPr>
              <w:t>4 patients aged 70+ with dementia and pain</w:t>
            </w:r>
          </w:p>
        </w:tc>
        <w:tc>
          <w:tcPr>
            <w:tcW w:w="2410" w:type="dxa"/>
          </w:tcPr>
          <w:p w:rsidR="00D822C7" w:rsidRPr="00F0474A" w:rsidRDefault="00D822C7" w:rsidP="00985C0A">
            <w:pPr>
              <w:rPr>
                <w:sz w:val="18"/>
                <w:szCs w:val="18"/>
              </w:rPr>
            </w:pPr>
            <w:r w:rsidRPr="00F0474A">
              <w:rPr>
                <w:sz w:val="18"/>
                <w:szCs w:val="18"/>
              </w:rPr>
              <w:t>Prospective case series</w:t>
            </w:r>
          </w:p>
        </w:tc>
        <w:tc>
          <w:tcPr>
            <w:tcW w:w="5812" w:type="dxa"/>
            <w:gridSpan w:val="2"/>
          </w:tcPr>
          <w:p w:rsidR="00D822C7" w:rsidRPr="00F0474A" w:rsidRDefault="00D822C7" w:rsidP="00985C0A">
            <w:pPr>
              <w:rPr>
                <w:rFonts w:cs="Segoe UI"/>
                <w:sz w:val="18"/>
                <w:szCs w:val="18"/>
              </w:rPr>
            </w:pPr>
            <w:r w:rsidRPr="00F0474A">
              <w:rPr>
                <w:sz w:val="18"/>
                <w:szCs w:val="18"/>
              </w:rPr>
              <w:t>Patients with dementia may be unable to describe the characteristics and associated features of their pain; less able to alert staff to the presence of side effects from pain medicines; and unable to discern variations in the level of pain or compare their current pain to their experience of the day or hours before</w:t>
            </w:r>
            <w:r w:rsidR="00D9074C" w:rsidRPr="00F0474A">
              <w:rPr>
                <w:sz w:val="18"/>
                <w:szCs w:val="18"/>
              </w:rPr>
              <w:t>.</w:t>
            </w:r>
          </w:p>
        </w:tc>
      </w:tr>
      <w:tr w:rsidR="00D822C7" w:rsidRPr="00F0474A" w:rsidTr="00C07331">
        <w:tc>
          <w:tcPr>
            <w:tcW w:w="1666" w:type="dxa"/>
          </w:tcPr>
          <w:p w:rsidR="00D822C7" w:rsidRPr="00F0474A" w:rsidRDefault="00D822C7" w:rsidP="00985C0A">
            <w:pPr>
              <w:rPr>
                <w:sz w:val="18"/>
                <w:szCs w:val="18"/>
              </w:rPr>
            </w:pPr>
            <w:r w:rsidRPr="00F0474A">
              <w:rPr>
                <w:sz w:val="18"/>
                <w:szCs w:val="18"/>
              </w:rPr>
              <w:t>Sampson 2006</w:t>
            </w:r>
          </w:p>
        </w:tc>
        <w:tc>
          <w:tcPr>
            <w:tcW w:w="1164" w:type="dxa"/>
          </w:tcPr>
          <w:p w:rsidR="00D822C7" w:rsidRPr="00F0474A" w:rsidRDefault="00D822C7" w:rsidP="00985C0A">
            <w:pPr>
              <w:rPr>
                <w:sz w:val="18"/>
                <w:szCs w:val="18"/>
              </w:rPr>
            </w:pPr>
            <w:r w:rsidRPr="00F0474A">
              <w:rPr>
                <w:sz w:val="18"/>
                <w:szCs w:val="18"/>
              </w:rPr>
              <w:t>UK</w:t>
            </w:r>
          </w:p>
        </w:tc>
        <w:tc>
          <w:tcPr>
            <w:tcW w:w="2948" w:type="dxa"/>
          </w:tcPr>
          <w:p w:rsidR="00D822C7" w:rsidRPr="00F0474A" w:rsidRDefault="00D822C7" w:rsidP="00985C0A">
            <w:pPr>
              <w:rPr>
                <w:sz w:val="18"/>
                <w:szCs w:val="18"/>
              </w:rPr>
            </w:pPr>
            <w:r w:rsidRPr="00F0474A">
              <w:rPr>
                <w:sz w:val="18"/>
                <w:szCs w:val="18"/>
              </w:rPr>
              <w:t>100 hospital inpatients aged 70+ who died in hospital, 35% with a diagnosis of dementia recorded</w:t>
            </w:r>
          </w:p>
        </w:tc>
        <w:tc>
          <w:tcPr>
            <w:tcW w:w="2410" w:type="dxa"/>
          </w:tcPr>
          <w:p w:rsidR="00D822C7" w:rsidRPr="00F0474A" w:rsidRDefault="00D822C7" w:rsidP="00985C0A">
            <w:pPr>
              <w:rPr>
                <w:sz w:val="18"/>
                <w:szCs w:val="18"/>
              </w:rPr>
            </w:pPr>
            <w:r w:rsidRPr="00F0474A">
              <w:rPr>
                <w:sz w:val="18"/>
                <w:szCs w:val="18"/>
              </w:rPr>
              <w:t>Retrospective case-note review</w:t>
            </w:r>
          </w:p>
        </w:tc>
        <w:tc>
          <w:tcPr>
            <w:tcW w:w="5812" w:type="dxa"/>
            <w:gridSpan w:val="2"/>
          </w:tcPr>
          <w:p w:rsidR="00D822C7" w:rsidRPr="00F0474A" w:rsidRDefault="00D822C7" w:rsidP="00985C0A">
            <w:pPr>
              <w:rPr>
                <w:sz w:val="18"/>
                <w:szCs w:val="18"/>
              </w:rPr>
            </w:pPr>
            <w:r w:rsidRPr="00F0474A">
              <w:rPr>
                <w:sz w:val="18"/>
                <w:szCs w:val="18"/>
              </w:rPr>
              <w:t xml:space="preserve">Patients with dementia had significantly fewer referrals to palliative care, (9% </w:t>
            </w:r>
            <w:proofErr w:type="spellStart"/>
            <w:r w:rsidRPr="00F0474A">
              <w:rPr>
                <w:sz w:val="18"/>
                <w:szCs w:val="18"/>
              </w:rPr>
              <w:t>vs</w:t>
            </w:r>
            <w:proofErr w:type="spellEnd"/>
            <w:r w:rsidRPr="00F0474A">
              <w:rPr>
                <w:sz w:val="18"/>
                <w:szCs w:val="18"/>
              </w:rPr>
              <w:t xml:space="preserve"> 25%, p=0.042) and less frequent prescription of palliative medicines, (28% </w:t>
            </w:r>
            <w:proofErr w:type="spellStart"/>
            <w:r w:rsidRPr="00F0474A">
              <w:rPr>
                <w:sz w:val="18"/>
                <w:szCs w:val="18"/>
              </w:rPr>
              <w:t>vs</w:t>
            </w:r>
            <w:proofErr w:type="spellEnd"/>
            <w:r w:rsidRPr="00F0474A">
              <w:rPr>
                <w:sz w:val="18"/>
                <w:szCs w:val="18"/>
              </w:rPr>
              <w:t xml:space="preserve"> 51%, p=0.026), than those without. Patients with dementia were more likely to have arterial blood gases checked and to be catheterised, but less likely to have a central line placed. Families were involved in discussing limiting procedures to the same extent (60% </w:t>
            </w:r>
            <w:proofErr w:type="spellStart"/>
            <w:r w:rsidRPr="00F0474A">
              <w:rPr>
                <w:sz w:val="18"/>
                <w:szCs w:val="18"/>
              </w:rPr>
              <w:t>vs</w:t>
            </w:r>
            <w:proofErr w:type="spellEnd"/>
            <w:r w:rsidRPr="00F0474A">
              <w:rPr>
                <w:sz w:val="18"/>
                <w:szCs w:val="18"/>
              </w:rPr>
              <w:t xml:space="preserve"> 53%, p=0.353).</w:t>
            </w:r>
          </w:p>
        </w:tc>
      </w:tr>
      <w:tr w:rsidR="00D822C7" w:rsidRPr="00F0474A" w:rsidTr="00C07331">
        <w:tc>
          <w:tcPr>
            <w:tcW w:w="1666" w:type="dxa"/>
          </w:tcPr>
          <w:p w:rsidR="00D822C7" w:rsidRDefault="00D822C7" w:rsidP="00985C0A">
            <w:pPr>
              <w:rPr>
                <w:sz w:val="18"/>
                <w:szCs w:val="18"/>
              </w:rPr>
            </w:pPr>
            <w:proofErr w:type="spellStart"/>
            <w:r w:rsidRPr="00F0474A">
              <w:rPr>
                <w:sz w:val="18"/>
                <w:szCs w:val="18"/>
              </w:rPr>
              <w:t>Afzal</w:t>
            </w:r>
            <w:proofErr w:type="spellEnd"/>
            <w:r w:rsidR="009559F4">
              <w:rPr>
                <w:sz w:val="18"/>
                <w:szCs w:val="18"/>
              </w:rPr>
              <w:t xml:space="preserve"> 2010</w:t>
            </w:r>
          </w:p>
          <w:p w:rsidR="009559F4" w:rsidRPr="00F0474A" w:rsidRDefault="009559F4" w:rsidP="00985C0A">
            <w:pPr>
              <w:rPr>
                <w:sz w:val="18"/>
                <w:szCs w:val="18"/>
              </w:rPr>
            </w:pPr>
          </w:p>
        </w:tc>
        <w:tc>
          <w:tcPr>
            <w:tcW w:w="1164" w:type="dxa"/>
          </w:tcPr>
          <w:p w:rsidR="00D822C7" w:rsidRPr="00F0474A" w:rsidRDefault="00D822C7" w:rsidP="00985C0A">
            <w:pPr>
              <w:rPr>
                <w:sz w:val="18"/>
                <w:szCs w:val="18"/>
              </w:rPr>
            </w:pPr>
            <w:r w:rsidRPr="00F0474A">
              <w:rPr>
                <w:sz w:val="18"/>
                <w:szCs w:val="18"/>
              </w:rPr>
              <w:t>Ireland</w:t>
            </w:r>
          </w:p>
        </w:tc>
        <w:tc>
          <w:tcPr>
            <w:tcW w:w="2948" w:type="dxa"/>
          </w:tcPr>
          <w:p w:rsidR="00D822C7" w:rsidRPr="00F0474A" w:rsidRDefault="00D822C7" w:rsidP="00985C0A">
            <w:pPr>
              <w:rPr>
                <w:sz w:val="18"/>
                <w:szCs w:val="18"/>
              </w:rPr>
            </w:pPr>
            <w:r w:rsidRPr="00F0474A">
              <w:rPr>
                <w:sz w:val="18"/>
                <w:szCs w:val="18"/>
              </w:rPr>
              <w:t xml:space="preserve">75 patients aged 65+ who died in hospital, 24% with dementia </w:t>
            </w:r>
          </w:p>
        </w:tc>
        <w:tc>
          <w:tcPr>
            <w:tcW w:w="2410" w:type="dxa"/>
          </w:tcPr>
          <w:p w:rsidR="00D822C7" w:rsidRPr="00F0474A" w:rsidRDefault="00D822C7" w:rsidP="00985C0A">
            <w:pPr>
              <w:rPr>
                <w:sz w:val="18"/>
                <w:szCs w:val="18"/>
              </w:rPr>
            </w:pPr>
            <w:r w:rsidRPr="00F0474A">
              <w:rPr>
                <w:sz w:val="18"/>
                <w:szCs w:val="18"/>
              </w:rPr>
              <w:t>Retrospective case-note review</w:t>
            </w:r>
          </w:p>
        </w:tc>
        <w:tc>
          <w:tcPr>
            <w:tcW w:w="5812" w:type="dxa"/>
            <w:gridSpan w:val="2"/>
          </w:tcPr>
          <w:p w:rsidR="00D822C7" w:rsidRPr="00F0474A" w:rsidRDefault="00D822C7" w:rsidP="00985C0A">
            <w:pPr>
              <w:rPr>
                <w:sz w:val="18"/>
                <w:szCs w:val="18"/>
              </w:rPr>
            </w:pPr>
            <w:r w:rsidRPr="00F0474A">
              <w:rPr>
                <w:sz w:val="18"/>
                <w:szCs w:val="18"/>
              </w:rPr>
              <w:t xml:space="preserve">Patients with dementia had significantly fewer referrals to palliative care, (22.2% </w:t>
            </w:r>
            <w:proofErr w:type="spellStart"/>
            <w:r w:rsidRPr="00F0474A">
              <w:rPr>
                <w:sz w:val="18"/>
                <w:szCs w:val="18"/>
              </w:rPr>
              <w:t>vs</w:t>
            </w:r>
            <w:proofErr w:type="spellEnd"/>
            <w:r w:rsidRPr="00F0474A">
              <w:rPr>
                <w:sz w:val="18"/>
                <w:szCs w:val="18"/>
              </w:rPr>
              <w:t xml:space="preserve"> 62.5%, p=0.007) less frequent prescription of palliative medicines, (33.3% </w:t>
            </w:r>
            <w:proofErr w:type="spellStart"/>
            <w:r w:rsidRPr="00F0474A">
              <w:rPr>
                <w:sz w:val="18"/>
                <w:szCs w:val="18"/>
              </w:rPr>
              <w:t>vs</w:t>
            </w:r>
            <w:proofErr w:type="spellEnd"/>
            <w:r w:rsidRPr="00F0474A">
              <w:rPr>
                <w:sz w:val="18"/>
                <w:szCs w:val="18"/>
              </w:rPr>
              <w:t xml:space="preserve"> 68.8%, p=0.017) and carers were less involved in decision making (50.0% </w:t>
            </w:r>
            <w:proofErr w:type="spellStart"/>
            <w:r w:rsidRPr="00F0474A">
              <w:rPr>
                <w:sz w:val="18"/>
                <w:szCs w:val="18"/>
              </w:rPr>
              <w:t>vs</w:t>
            </w:r>
            <w:proofErr w:type="spellEnd"/>
            <w:r w:rsidRPr="00F0474A">
              <w:rPr>
                <w:sz w:val="18"/>
                <w:szCs w:val="18"/>
              </w:rPr>
              <w:t xml:space="preserve"> 87.5%, p=0.006).  There was no difference in the receipt of </w:t>
            </w:r>
            <w:r w:rsidRPr="00F0474A">
              <w:rPr>
                <w:sz w:val="18"/>
                <w:szCs w:val="18"/>
              </w:rPr>
              <w:lastRenderedPageBreak/>
              <w:t xml:space="preserve">invasive interventions according to cognitive status. </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lastRenderedPageBreak/>
              <w:t>Formiga</w:t>
            </w:r>
            <w:proofErr w:type="spellEnd"/>
            <w:r w:rsidRPr="00F0474A">
              <w:rPr>
                <w:sz w:val="18"/>
                <w:szCs w:val="18"/>
              </w:rPr>
              <w:t xml:space="preserve"> 2007</w:t>
            </w:r>
          </w:p>
        </w:tc>
        <w:tc>
          <w:tcPr>
            <w:tcW w:w="1164" w:type="dxa"/>
          </w:tcPr>
          <w:p w:rsidR="00D822C7" w:rsidRPr="00F0474A" w:rsidRDefault="00D822C7" w:rsidP="00985C0A">
            <w:pPr>
              <w:rPr>
                <w:sz w:val="18"/>
                <w:szCs w:val="18"/>
              </w:rPr>
            </w:pPr>
            <w:r w:rsidRPr="00F0474A">
              <w:rPr>
                <w:sz w:val="18"/>
                <w:szCs w:val="18"/>
              </w:rPr>
              <w:t>Spain</w:t>
            </w:r>
          </w:p>
        </w:tc>
        <w:tc>
          <w:tcPr>
            <w:tcW w:w="2948" w:type="dxa"/>
          </w:tcPr>
          <w:p w:rsidR="00D822C7" w:rsidRPr="00F0474A" w:rsidRDefault="00D822C7" w:rsidP="00985C0A">
            <w:pPr>
              <w:rPr>
                <w:sz w:val="18"/>
                <w:szCs w:val="18"/>
              </w:rPr>
            </w:pPr>
            <w:r w:rsidRPr="00F0474A">
              <w:rPr>
                <w:sz w:val="18"/>
                <w:szCs w:val="18"/>
              </w:rPr>
              <w:t>102 patients aged 65+ who died from dementia (36%) or heart failure in hospital</w:t>
            </w:r>
          </w:p>
        </w:tc>
        <w:tc>
          <w:tcPr>
            <w:tcW w:w="2410" w:type="dxa"/>
          </w:tcPr>
          <w:p w:rsidR="00D822C7" w:rsidRPr="00F0474A" w:rsidRDefault="00D822C7" w:rsidP="00985C0A">
            <w:pPr>
              <w:rPr>
                <w:sz w:val="18"/>
                <w:szCs w:val="18"/>
              </w:rPr>
            </w:pPr>
            <w:r w:rsidRPr="00F0474A">
              <w:rPr>
                <w:sz w:val="18"/>
                <w:szCs w:val="18"/>
              </w:rPr>
              <w:t>Case-note review and carer interviews</w:t>
            </w:r>
          </w:p>
        </w:tc>
        <w:tc>
          <w:tcPr>
            <w:tcW w:w="5812" w:type="dxa"/>
            <w:gridSpan w:val="2"/>
          </w:tcPr>
          <w:p w:rsidR="00D822C7" w:rsidRPr="00F0474A" w:rsidRDefault="00D822C7" w:rsidP="00985C0A">
            <w:pPr>
              <w:rPr>
                <w:sz w:val="18"/>
                <w:szCs w:val="18"/>
              </w:rPr>
            </w:pPr>
            <w:r w:rsidRPr="00F0474A">
              <w:rPr>
                <w:sz w:val="18"/>
                <w:szCs w:val="18"/>
              </w:rPr>
              <w:t>No differences between provision of palliative care and withdrawal of drug therapy. In the opinion of the caregiver, adequate symptom control was only present in 46% of patients with dementia, and patients experienced uncontrolled pain and dyspnoea in 13.5% and 51.5% respectively</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Formiga</w:t>
            </w:r>
            <w:proofErr w:type="spellEnd"/>
            <w:r w:rsidRPr="00F0474A">
              <w:rPr>
                <w:sz w:val="18"/>
                <w:szCs w:val="18"/>
              </w:rPr>
              <w:t xml:space="preserve"> 2006</w:t>
            </w:r>
          </w:p>
        </w:tc>
        <w:tc>
          <w:tcPr>
            <w:tcW w:w="1164" w:type="dxa"/>
          </w:tcPr>
          <w:p w:rsidR="00D822C7" w:rsidRPr="00F0474A" w:rsidRDefault="00D822C7" w:rsidP="00985C0A">
            <w:pPr>
              <w:rPr>
                <w:sz w:val="18"/>
                <w:szCs w:val="18"/>
              </w:rPr>
            </w:pPr>
            <w:r w:rsidRPr="00F0474A">
              <w:rPr>
                <w:sz w:val="18"/>
                <w:szCs w:val="18"/>
              </w:rPr>
              <w:t>Spain</w:t>
            </w:r>
          </w:p>
        </w:tc>
        <w:tc>
          <w:tcPr>
            <w:tcW w:w="2948" w:type="dxa"/>
          </w:tcPr>
          <w:p w:rsidR="00D822C7" w:rsidRPr="00F0474A" w:rsidRDefault="00D822C7" w:rsidP="00985C0A">
            <w:pPr>
              <w:rPr>
                <w:sz w:val="18"/>
                <w:szCs w:val="18"/>
              </w:rPr>
            </w:pPr>
            <w:r w:rsidRPr="00F0474A">
              <w:rPr>
                <w:sz w:val="18"/>
                <w:szCs w:val="18"/>
              </w:rPr>
              <w:t>293 patients aged 65+ who died from dementia (46%), heart failure or COPD in hospital</w:t>
            </w:r>
          </w:p>
        </w:tc>
        <w:tc>
          <w:tcPr>
            <w:tcW w:w="2410" w:type="dxa"/>
          </w:tcPr>
          <w:p w:rsidR="00D822C7" w:rsidRPr="00F0474A" w:rsidRDefault="00D822C7" w:rsidP="00985C0A">
            <w:pPr>
              <w:rPr>
                <w:sz w:val="18"/>
                <w:szCs w:val="18"/>
              </w:rPr>
            </w:pPr>
            <w:r w:rsidRPr="00F0474A">
              <w:rPr>
                <w:sz w:val="18"/>
                <w:szCs w:val="18"/>
              </w:rPr>
              <w:t>Retrospective case-note review</w:t>
            </w:r>
          </w:p>
        </w:tc>
        <w:tc>
          <w:tcPr>
            <w:tcW w:w="5812" w:type="dxa"/>
            <w:gridSpan w:val="2"/>
          </w:tcPr>
          <w:p w:rsidR="00D822C7" w:rsidRPr="00F0474A" w:rsidRDefault="00D822C7" w:rsidP="00985C0A">
            <w:pPr>
              <w:rPr>
                <w:sz w:val="18"/>
                <w:szCs w:val="18"/>
              </w:rPr>
            </w:pPr>
            <w:r w:rsidRPr="00F0474A">
              <w:rPr>
                <w:sz w:val="18"/>
                <w:szCs w:val="18"/>
              </w:rPr>
              <w:t>Rates of drug withdrawal in end-of-life patients with dementia in hospital was higher than those with COPD (p&lt;0.01) or heart failure (p&lt;0.002)</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Aminoff</w:t>
            </w:r>
            <w:proofErr w:type="spellEnd"/>
            <w:r w:rsidRPr="00F0474A">
              <w:rPr>
                <w:sz w:val="18"/>
                <w:szCs w:val="18"/>
              </w:rPr>
              <w:t xml:space="preserve"> 2005</w:t>
            </w:r>
          </w:p>
        </w:tc>
        <w:tc>
          <w:tcPr>
            <w:tcW w:w="1164" w:type="dxa"/>
          </w:tcPr>
          <w:p w:rsidR="00D822C7" w:rsidRPr="00F0474A" w:rsidRDefault="00D822C7" w:rsidP="00985C0A">
            <w:pPr>
              <w:rPr>
                <w:sz w:val="18"/>
                <w:szCs w:val="18"/>
              </w:rPr>
            </w:pPr>
            <w:r w:rsidRPr="00F0474A">
              <w:rPr>
                <w:sz w:val="18"/>
                <w:szCs w:val="18"/>
              </w:rPr>
              <w:t>U.S.</w:t>
            </w:r>
          </w:p>
        </w:tc>
        <w:tc>
          <w:tcPr>
            <w:tcW w:w="2948" w:type="dxa"/>
          </w:tcPr>
          <w:p w:rsidR="00D822C7" w:rsidRPr="00F0474A" w:rsidRDefault="00D822C7" w:rsidP="00985C0A">
            <w:pPr>
              <w:rPr>
                <w:sz w:val="18"/>
                <w:szCs w:val="18"/>
              </w:rPr>
            </w:pPr>
            <w:r w:rsidRPr="00F0474A">
              <w:rPr>
                <w:sz w:val="18"/>
                <w:szCs w:val="18"/>
              </w:rPr>
              <w:t>71 patients with end-stage dementia, admitted to a geriatric ward in a general hospital</w:t>
            </w:r>
          </w:p>
        </w:tc>
        <w:tc>
          <w:tcPr>
            <w:tcW w:w="2410" w:type="dxa"/>
          </w:tcPr>
          <w:p w:rsidR="00D822C7" w:rsidRPr="00F0474A" w:rsidRDefault="00D822C7" w:rsidP="00985C0A">
            <w:pPr>
              <w:rPr>
                <w:sz w:val="18"/>
                <w:szCs w:val="18"/>
              </w:rPr>
            </w:pPr>
            <w:r w:rsidRPr="00F0474A">
              <w:rPr>
                <w:sz w:val="18"/>
                <w:szCs w:val="18"/>
              </w:rPr>
              <w:t>Prospective cohort</w:t>
            </w:r>
          </w:p>
        </w:tc>
        <w:tc>
          <w:tcPr>
            <w:tcW w:w="5812" w:type="dxa"/>
            <w:gridSpan w:val="2"/>
          </w:tcPr>
          <w:p w:rsidR="00D822C7" w:rsidRPr="00F0474A" w:rsidRDefault="00D822C7" w:rsidP="00985C0A">
            <w:pPr>
              <w:rPr>
                <w:sz w:val="18"/>
                <w:szCs w:val="18"/>
              </w:rPr>
            </w:pPr>
            <w:r w:rsidRPr="00F0474A">
              <w:rPr>
                <w:sz w:val="18"/>
                <w:szCs w:val="18"/>
              </w:rPr>
              <w:t>The Mini Suffering State Examination scale (</w:t>
            </w:r>
            <w:r w:rsidRPr="00F0474A">
              <w:rPr>
                <w:rFonts w:cs="Segoe UI"/>
                <w:sz w:val="18"/>
                <w:szCs w:val="18"/>
              </w:rPr>
              <w:t xml:space="preserve">MSSE) increased during hospitalisation from 5.62 +/- 2.31 to 6.89 +/- 1.95 (p &lt; 0.001). 63.4% and 29.6% of patients died with a high and intermediate level of suffering, respectively with only 7% dying with a low level of suffering. </w:t>
            </w:r>
          </w:p>
        </w:tc>
      </w:tr>
      <w:tr w:rsidR="00D822C7" w:rsidRPr="00F0474A" w:rsidTr="00985C0A">
        <w:tc>
          <w:tcPr>
            <w:tcW w:w="14000" w:type="dxa"/>
            <w:gridSpan w:val="6"/>
          </w:tcPr>
          <w:p w:rsidR="00D822C7" w:rsidRPr="00F0474A" w:rsidRDefault="00D822C7" w:rsidP="00985C0A">
            <w:pPr>
              <w:rPr>
                <w:b/>
                <w:i/>
                <w:sz w:val="18"/>
                <w:szCs w:val="18"/>
              </w:rPr>
            </w:pPr>
            <w:r w:rsidRPr="00F0474A">
              <w:rPr>
                <w:b/>
                <w:i/>
                <w:sz w:val="18"/>
                <w:szCs w:val="18"/>
              </w:rPr>
              <w:t>Inappropriate catheterisation</w:t>
            </w:r>
          </w:p>
        </w:tc>
      </w:tr>
      <w:tr w:rsidR="00D822C7" w:rsidRPr="00F0474A" w:rsidTr="00C07331">
        <w:tc>
          <w:tcPr>
            <w:tcW w:w="1666" w:type="dxa"/>
          </w:tcPr>
          <w:p w:rsidR="00D822C7" w:rsidRPr="00F0474A" w:rsidRDefault="00D822C7" w:rsidP="00985C0A">
            <w:pPr>
              <w:rPr>
                <w:sz w:val="18"/>
                <w:szCs w:val="18"/>
              </w:rPr>
            </w:pPr>
            <w:r w:rsidRPr="00F0474A">
              <w:rPr>
                <w:sz w:val="18"/>
                <w:szCs w:val="18"/>
              </w:rPr>
              <w:t>Hu 2015</w:t>
            </w:r>
          </w:p>
        </w:tc>
        <w:tc>
          <w:tcPr>
            <w:tcW w:w="1164" w:type="dxa"/>
          </w:tcPr>
          <w:p w:rsidR="00D822C7" w:rsidRPr="00F0474A" w:rsidRDefault="00D822C7" w:rsidP="00985C0A">
            <w:pPr>
              <w:rPr>
                <w:sz w:val="18"/>
                <w:szCs w:val="18"/>
              </w:rPr>
            </w:pPr>
            <w:r w:rsidRPr="00F0474A">
              <w:rPr>
                <w:sz w:val="18"/>
                <w:szCs w:val="18"/>
              </w:rPr>
              <w:t>Taiwan</w:t>
            </w:r>
          </w:p>
        </w:tc>
        <w:tc>
          <w:tcPr>
            <w:tcW w:w="2948" w:type="dxa"/>
          </w:tcPr>
          <w:p w:rsidR="00D822C7" w:rsidRPr="00F0474A" w:rsidRDefault="00D822C7" w:rsidP="00985C0A">
            <w:pPr>
              <w:rPr>
                <w:sz w:val="18"/>
                <w:szCs w:val="18"/>
              </w:rPr>
            </w:pPr>
            <w:r w:rsidRPr="00F0474A">
              <w:rPr>
                <w:sz w:val="18"/>
                <w:szCs w:val="18"/>
              </w:rPr>
              <w:t>321 patients aged 65+ with a urinary catheter placed during first 24 hours of hospital admission</w:t>
            </w:r>
          </w:p>
        </w:tc>
        <w:tc>
          <w:tcPr>
            <w:tcW w:w="2410" w:type="dxa"/>
          </w:tcPr>
          <w:p w:rsidR="00D822C7" w:rsidRPr="00F0474A" w:rsidRDefault="00D822C7" w:rsidP="00985C0A">
            <w:pPr>
              <w:rPr>
                <w:sz w:val="18"/>
                <w:szCs w:val="18"/>
              </w:rPr>
            </w:pPr>
            <w:r w:rsidRPr="00F0474A">
              <w:rPr>
                <w:sz w:val="18"/>
                <w:szCs w:val="18"/>
              </w:rPr>
              <w:t>Prospective cohort with propensity matched analysis</w:t>
            </w:r>
          </w:p>
          <w:p w:rsidR="00D822C7" w:rsidRPr="00F0474A" w:rsidRDefault="00D822C7" w:rsidP="00985C0A">
            <w:pPr>
              <w:rPr>
                <w:sz w:val="18"/>
                <w:szCs w:val="18"/>
              </w:rPr>
            </w:pPr>
          </w:p>
        </w:tc>
        <w:tc>
          <w:tcPr>
            <w:tcW w:w="5812" w:type="dxa"/>
            <w:gridSpan w:val="2"/>
          </w:tcPr>
          <w:p w:rsidR="00D822C7" w:rsidRPr="00F0474A" w:rsidRDefault="00D822C7" w:rsidP="00985C0A">
            <w:pPr>
              <w:rPr>
                <w:rFonts w:cs="Segoe UI"/>
                <w:sz w:val="18"/>
                <w:szCs w:val="18"/>
              </w:rPr>
            </w:pPr>
            <w:r w:rsidRPr="00F0474A">
              <w:rPr>
                <w:sz w:val="18"/>
                <w:szCs w:val="18"/>
              </w:rPr>
              <w:t>Inappropriate catheterisation was defined as NOT meeting one of the six criteria: neurogenic bladder dysfunction (where intermittent catheterisation is not possible), urinary retention or bladder outlet obstruction, medication instillation or bladder irrigation, conditions warranting accurate measurement of urinary output, perioperative management, open sacral or perineal wounds with a need for urinary diversion in incontinent patients. Patients with CI (measured by SPMSQ) were more likely to be inappropriately catheterised than those with no CI (65.3% vs. 52.6%; p = 0.02). , with the rationale of ‘convenience of care’ being reported in almost 50% of cases and leading to a greater decline in ADLs during admission.</w:t>
            </w:r>
          </w:p>
        </w:tc>
      </w:tr>
    </w:tbl>
    <w:p w:rsidR="00D822C7" w:rsidRDefault="00D822C7" w:rsidP="00D822C7">
      <w:pPr>
        <w:rPr>
          <w:sz w:val="20"/>
          <w:szCs w:val="20"/>
        </w:rPr>
      </w:pPr>
      <w:r>
        <w:rPr>
          <w:sz w:val="20"/>
          <w:szCs w:val="20"/>
        </w:rPr>
        <w:br w:type="textWrapping" w:clear="all"/>
      </w:r>
    </w:p>
    <w:p w:rsidR="00C9568B" w:rsidRDefault="00C9568B" w:rsidP="00D822C7">
      <w:pPr>
        <w:rPr>
          <w:sz w:val="20"/>
          <w:szCs w:val="20"/>
        </w:rPr>
      </w:pPr>
    </w:p>
    <w:p w:rsidR="001F4264" w:rsidRDefault="001F4264">
      <w:pPr>
        <w:rPr>
          <w:sz w:val="20"/>
          <w:szCs w:val="20"/>
        </w:rPr>
      </w:pPr>
      <w:r>
        <w:rPr>
          <w:sz w:val="20"/>
          <w:szCs w:val="20"/>
        </w:rPr>
        <w:br w:type="page"/>
      </w:r>
    </w:p>
    <w:p w:rsidR="00D822C7" w:rsidRDefault="00D822C7" w:rsidP="00D822C7">
      <w:pPr>
        <w:rPr>
          <w:b/>
          <w:sz w:val="20"/>
          <w:szCs w:val="20"/>
        </w:rPr>
      </w:pPr>
      <w:r w:rsidRPr="00F0474A">
        <w:rPr>
          <w:b/>
        </w:rPr>
        <w:lastRenderedPageBreak/>
        <w:t>Table 3</w:t>
      </w:r>
      <w:r w:rsidRPr="00A01B82">
        <w:rPr>
          <w:b/>
          <w:sz w:val="20"/>
          <w:szCs w:val="20"/>
        </w:rPr>
        <w:t xml:space="preserve"> </w:t>
      </w:r>
      <w:r>
        <w:rPr>
          <w:b/>
        </w:rPr>
        <w:t xml:space="preserve">Mortality in hospital </w:t>
      </w:r>
    </w:p>
    <w:tbl>
      <w:tblPr>
        <w:tblStyle w:val="TableGrid"/>
        <w:tblpPr w:leftFromText="180" w:rightFromText="180" w:vertAnchor="text" w:tblpY="1"/>
        <w:tblOverlap w:val="never"/>
        <w:tblW w:w="14000" w:type="dxa"/>
        <w:tblLook w:val="04A0" w:firstRow="1" w:lastRow="0" w:firstColumn="1" w:lastColumn="0" w:noHBand="0" w:noVBand="1"/>
      </w:tblPr>
      <w:tblGrid>
        <w:gridCol w:w="1666"/>
        <w:gridCol w:w="1164"/>
        <w:gridCol w:w="2948"/>
        <w:gridCol w:w="2410"/>
        <w:gridCol w:w="5812"/>
      </w:tblGrid>
      <w:tr w:rsidR="00F0474A" w:rsidRPr="00A73445" w:rsidTr="00C07331">
        <w:tc>
          <w:tcPr>
            <w:tcW w:w="1666" w:type="dxa"/>
          </w:tcPr>
          <w:p w:rsidR="00F0474A" w:rsidRPr="00A73445" w:rsidRDefault="00F0474A" w:rsidP="00F0474A">
            <w:pPr>
              <w:rPr>
                <w:rFonts w:cs="Arial"/>
                <w:b/>
                <w:sz w:val="18"/>
                <w:szCs w:val="18"/>
              </w:rPr>
            </w:pPr>
            <w:r w:rsidRPr="00A73445">
              <w:rPr>
                <w:rFonts w:cs="Arial"/>
                <w:b/>
                <w:sz w:val="18"/>
                <w:szCs w:val="18"/>
              </w:rPr>
              <w:t>Authors, year</w:t>
            </w:r>
          </w:p>
        </w:tc>
        <w:tc>
          <w:tcPr>
            <w:tcW w:w="1164" w:type="dxa"/>
          </w:tcPr>
          <w:p w:rsidR="00F0474A" w:rsidRPr="00A73445" w:rsidRDefault="00F0474A" w:rsidP="00F0474A">
            <w:pPr>
              <w:rPr>
                <w:rFonts w:cs="Arial"/>
                <w:b/>
                <w:sz w:val="18"/>
                <w:szCs w:val="18"/>
              </w:rPr>
            </w:pPr>
            <w:r w:rsidRPr="00A73445">
              <w:rPr>
                <w:rFonts w:cs="Arial"/>
                <w:b/>
                <w:sz w:val="18"/>
                <w:szCs w:val="18"/>
              </w:rPr>
              <w:t>Country</w:t>
            </w:r>
          </w:p>
        </w:tc>
        <w:tc>
          <w:tcPr>
            <w:tcW w:w="2948" w:type="dxa"/>
          </w:tcPr>
          <w:p w:rsidR="00F0474A" w:rsidRPr="00A73445" w:rsidRDefault="00F0474A" w:rsidP="00F0474A">
            <w:pPr>
              <w:rPr>
                <w:rFonts w:cs="Arial"/>
                <w:b/>
                <w:sz w:val="18"/>
                <w:szCs w:val="18"/>
              </w:rPr>
            </w:pPr>
            <w:r w:rsidRPr="00A73445">
              <w:rPr>
                <w:rFonts w:cs="Arial"/>
                <w:b/>
                <w:sz w:val="18"/>
                <w:szCs w:val="18"/>
              </w:rPr>
              <w:t>Population</w:t>
            </w:r>
          </w:p>
        </w:tc>
        <w:tc>
          <w:tcPr>
            <w:tcW w:w="2410" w:type="dxa"/>
          </w:tcPr>
          <w:p w:rsidR="00F0474A" w:rsidRPr="00A73445" w:rsidRDefault="00F0474A" w:rsidP="00F0474A">
            <w:pPr>
              <w:rPr>
                <w:rFonts w:cs="Arial"/>
                <w:b/>
                <w:sz w:val="18"/>
                <w:szCs w:val="18"/>
              </w:rPr>
            </w:pPr>
            <w:r w:rsidRPr="00A73445">
              <w:rPr>
                <w:rFonts w:cs="Arial"/>
                <w:b/>
                <w:sz w:val="18"/>
                <w:szCs w:val="18"/>
              </w:rPr>
              <w:t>Study design</w:t>
            </w:r>
          </w:p>
        </w:tc>
        <w:tc>
          <w:tcPr>
            <w:tcW w:w="5812" w:type="dxa"/>
          </w:tcPr>
          <w:p w:rsidR="00F0474A" w:rsidRPr="00A73445" w:rsidRDefault="00F0474A" w:rsidP="00F0474A">
            <w:pPr>
              <w:rPr>
                <w:rFonts w:cs="Arial"/>
                <w:b/>
                <w:sz w:val="18"/>
                <w:szCs w:val="18"/>
              </w:rPr>
            </w:pPr>
            <w:r w:rsidRPr="00A73445">
              <w:rPr>
                <w:rFonts w:cs="Arial"/>
                <w:b/>
                <w:sz w:val="18"/>
                <w:szCs w:val="18"/>
              </w:rPr>
              <w:t>Main results</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Barba</w:t>
            </w:r>
            <w:proofErr w:type="spellEnd"/>
            <w:r w:rsidRPr="00F0474A">
              <w:rPr>
                <w:sz w:val="18"/>
                <w:szCs w:val="18"/>
              </w:rPr>
              <w:t xml:space="preserve"> 2012</w:t>
            </w:r>
          </w:p>
        </w:tc>
        <w:tc>
          <w:tcPr>
            <w:tcW w:w="1164" w:type="dxa"/>
          </w:tcPr>
          <w:p w:rsidR="00D822C7" w:rsidRPr="00F0474A" w:rsidRDefault="00D822C7" w:rsidP="00985C0A">
            <w:pPr>
              <w:rPr>
                <w:sz w:val="18"/>
                <w:szCs w:val="18"/>
              </w:rPr>
            </w:pPr>
            <w:r w:rsidRPr="00F0474A">
              <w:rPr>
                <w:sz w:val="18"/>
                <w:szCs w:val="18"/>
              </w:rPr>
              <w:t>Spain</w:t>
            </w:r>
          </w:p>
        </w:tc>
        <w:tc>
          <w:tcPr>
            <w:tcW w:w="2948" w:type="dxa"/>
          </w:tcPr>
          <w:p w:rsidR="00D822C7" w:rsidRPr="00F0474A" w:rsidRDefault="00D822C7" w:rsidP="00985C0A">
            <w:pPr>
              <w:rPr>
                <w:sz w:val="18"/>
                <w:szCs w:val="18"/>
              </w:rPr>
            </w:pPr>
            <w:r w:rsidRPr="00F0474A">
              <w:rPr>
                <w:sz w:val="18"/>
                <w:szCs w:val="18"/>
              </w:rPr>
              <w:t>45,757 patients admitted from nursing homes to acute hospitals</w:t>
            </w:r>
          </w:p>
        </w:tc>
        <w:tc>
          <w:tcPr>
            <w:tcW w:w="2410" w:type="dxa"/>
          </w:tcPr>
          <w:p w:rsidR="00D822C7" w:rsidRPr="00F0474A" w:rsidRDefault="00D822C7" w:rsidP="00985C0A">
            <w:pPr>
              <w:rPr>
                <w:sz w:val="18"/>
                <w:szCs w:val="18"/>
              </w:rPr>
            </w:pPr>
            <w:r w:rsidRPr="00F0474A">
              <w:rPr>
                <w:sz w:val="18"/>
                <w:szCs w:val="18"/>
              </w:rPr>
              <w:t xml:space="preserve">Retrospective cohort </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rFonts w:cs="Segoe UI"/>
                <w:sz w:val="18"/>
                <w:szCs w:val="18"/>
              </w:rPr>
              <w:t>17.3% of patients died during hospitalization, 2442 (30.91%) of them in the first 48 hours.</w:t>
            </w:r>
            <w:r w:rsidRPr="00F0474A">
              <w:rPr>
                <w:sz w:val="18"/>
                <w:szCs w:val="18"/>
              </w:rPr>
              <w:t xml:space="preserve"> Dementia was an independent predictor of mortality: adjusted Odds Ratio (</w:t>
            </w:r>
            <w:proofErr w:type="spellStart"/>
            <w:r w:rsidRPr="00F0474A">
              <w:rPr>
                <w:sz w:val="18"/>
                <w:szCs w:val="18"/>
              </w:rPr>
              <w:t>aOR</w:t>
            </w:r>
            <w:proofErr w:type="spellEnd"/>
            <w:r w:rsidRPr="00F0474A">
              <w:rPr>
                <w:sz w:val="18"/>
                <w:szCs w:val="18"/>
              </w:rPr>
              <w:t>) 1.09 [1.03-1.16]</w:t>
            </w:r>
          </w:p>
          <w:p w:rsidR="00D822C7" w:rsidRPr="00F0474A" w:rsidRDefault="00D822C7" w:rsidP="00985C0A">
            <w:pPr>
              <w:rPr>
                <w:sz w:val="18"/>
                <w:szCs w:val="18"/>
              </w:rPr>
            </w:pP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Marengoni</w:t>
            </w:r>
            <w:proofErr w:type="spellEnd"/>
            <w:r w:rsidRPr="00F0474A">
              <w:rPr>
                <w:sz w:val="18"/>
                <w:szCs w:val="18"/>
              </w:rPr>
              <w:t xml:space="preserve"> 2011</w:t>
            </w:r>
          </w:p>
        </w:tc>
        <w:tc>
          <w:tcPr>
            <w:tcW w:w="1164" w:type="dxa"/>
          </w:tcPr>
          <w:p w:rsidR="00D822C7" w:rsidRPr="00F0474A" w:rsidRDefault="00D822C7" w:rsidP="00985C0A">
            <w:pPr>
              <w:rPr>
                <w:sz w:val="18"/>
                <w:szCs w:val="18"/>
              </w:rPr>
            </w:pPr>
            <w:r w:rsidRPr="00F0474A">
              <w:rPr>
                <w:sz w:val="18"/>
                <w:szCs w:val="18"/>
              </w:rPr>
              <w:t>Italy</w:t>
            </w:r>
          </w:p>
        </w:tc>
        <w:tc>
          <w:tcPr>
            <w:tcW w:w="2948" w:type="dxa"/>
          </w:tcPr>
          <w:p w:rsidR="00D822C7" w:rsidRPr="00F0474A" w:rsidRDefault="00D822C7" w:rsidP="00985C0A">
            <w:pPr>
              <w:rPr>
                <w:sz w:val="18"/>
                <w:szCs w:val="18"/>
              </w:rPr>
            </w:pPr>
            <w:r w:rsidRPr="00F0474A">
              <w:rPr>
                <w:sz w:val="18"/>
                <w:szCs w:val="18"/>
              </w:rPr>
              <w:t>1,332 patients aged 65 and above admitted to general medicine or geriatric wards</w:t>
            </w:r>
          </w:p>
        </w:tc>
        <w:tc>
          <w:tcPr>
            <w:tcW w:w="2410" w:type="dxa"/>
          </w:tcPr>
          <w:p w:rsidR="00D822C7" w:rsidRPr="00F0474A" w:rsidRDefault="00D822C7" w:rsidP="00985C0A">
            <w:pPr>
              <w:rPr>
                <w:sz w:val="18"/>
                <w:szCs w:val="18"/>
              </w:rPr>
            </w:pPr>
            <w:r w:rsidRPr="00F0474A">
              <w:rPr>
                <w:sz w:val="18"/>
                <w:szCs w:val="18"/>
              </w:rPr>
              <w:t>Prospective cohort</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rFonts w:cs="Segoe UI"/>
                <w:sz w:val="18"/>
                <w:szCs w:val="18"/>
              </w:rPr>
              <w:t>9.4% of patients with dementia died in hospital, versus 4.9% of patients without dementia. Dementia was associated with in-hospital death adjusted Odds Ratio (</w:t>
            </w:r>
            <w:proofErr w:type="spellStart"/>
            <w:r w:rsidRPr="00F0474A">
              <w:rPr>
                <w:rFonts w:cs="Segoe UI"/>
                <w:sz w:val="18"/>
                <w:szCs w:val="18"/>
              </w:rPr>
              <w:t>aOR</w:t>
            </w:r>
            <w:proofErr w:type="spellEnd"/>
            <w:r w:rsidRPr="00F0474A">
              <w:rPr>
                <w:rFonts w:cs="Segoe UI"/>
                <w:sz w:val="18"/>
                <w:szCs w:val="18"/>
              </w:rPr>
              <w:t xml:space="preserve">) 2.1 [1.0-4.5]. Having dementia and at least one adverse clinical event during hospitalization increased mortality; </w:t>
            </w:r>
            <w:proofErr w:type="spellStart"/>
            <w:r w:rsidRPr="00F0474A">
              <w:rPr>
                <w:rFonts w:cs="Segoe UI"/>
                <w:sz w:val="18"/>
                <w:szCs w:val="18"/>
              </w:rPr>
              <w:t>aOR</w:t>
            </w:r>
            <w:proofErr w:type="spellEnd"/>
            <w:r w:rsidRPr="00F0474A">
              <w:rPr>
                <w:rFonts w:cs="Segoe UI"/>
                <w:sz w:val="18"/>
                <w:szCs w:val="18"/>
              </w:rPr>
              <w:t xml:space="preserve"> 20.7 [6.9-61.9]. </w:t>
            </w:r>
          </w:p>
        </w:tc>
      </w:tr>
      <w:tr w:rsidR="00D822C7" w:rsidRPr="00F0474A" w:rsidTr="00C07331">
        <w:tc>
          <w:tcPr>
            <w:tcW w:w="1666" w:type="dxa"/>
          </w:tcPr>
          <w:p w:rsidR="00D822C7" w:rsidRPr="00F0474A" w:rsidRDefault="00D822C7" w:rsidP="00985C0A">
            <w:pPr>
              <w:rPr>
                <w:sz w:val="18"/>
                <w:szCs w:val="18"/>
              </w:rPr>
            </w:pPr>
            <w:r w:rsidRPr="00F0474A">
              <w:rPr>
                <w:sz w:val="18"/>
                <w:szCs w:val="18"/>
              </w:rPr>
              <w:t>Draper 2011</w:t>
            </w:r>
          </w:p>
        </w:tc>
        <w:tc>
          <w:tcPr>
            <w:tcW w:w="1164" w:type="dxa"/>
          </w:tcPr>
          <w:p w:rsidR="00D822C7" w:rsidRPr="00F0474A" w:rsidRDefault="00D822C7" w:rsidP="00985C0A">
            <w:pPr>
              <w:rPr>
                <w:sz w:val="18"/>
                <w:szCs w:val="18"/>
              </w:rPr>
            </w:pPr>
            <w:r w:rsidRPr="00F0474A">
              <w:rPr>
                <w:sz w:val="18"/>
                <w:szCs w:val="18"/>
              </w:rPr>
              <w:t>Australia</w:t>
            </w:r>
          </w:p>
        </w:tc>
        <w:tc>
          <w:tcPr>
            <w:tcW w:w="2948" w:type="dxa"/>
          </w:tcPr>
          <w:p w:rsidR="00D822C7" w:rsidRPr="00F0474A" w:rsidRDefault="00D822C7" w:rsidP="00985C0A">
            <w:pPr>
              <w:rPr>
                <w:sz w:val="18"/>
                <w:szCs w:val="18"/>
              </w:rPr>
            </w:pPr>
            <w:r w:rsidRPr="00F0474A">
              <w:rPr>
                <w:sz w:val="18"/>
                <w:szCs w:val="18"/>
              </w:rPr>
              <w:t xml:space="preserve">253,000 patients aged 50+ admitted to hospital, including 20,793 with dementia. </w:t>
            </w:r>
          </w:p>
        </w:tc>
        <w:tc>
          <w:tcPr>
            <w:tcW w:w="2410" w:type="dxa"/>
          </w:tcPr>
          <w:p w:rsidR="00D822C7" w:rsidRPr="00F0474A" w:rsidRDefault="00D822C7" w:rsidP="00985C0A">
            <w:pPr>
              <w:rPr>
                <w:sz w:val="18"/>
                <w:szCs w:val="18"/>
              </w:rPr>
            </w:pPr>
            <w:r w:rsidRPr="00F0474A">
              <w:rPr>
                <w:sz w:val="18"/>
                <w:szCs w:val="18"/>
              </w:rPr>
              <w:t>Retrospective cohort.</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sz w:val="18"/>
                <w:szCs w:val="18"/>
              </w:rPr>
              <w:t xml:space="preserve">Mortality rates higher for people with dementia across all age groups, with a higher risk in the patients aged 50-64. Estimates range </w:t>
            </w:r>
            <w:proofErr w:type="gramStart"/>
            <w:r w:rsidRPr="00F0474A">
              <w:rPr>
                <w:sz w:val="18"/>
                <w:szCs w:val="18"/>
              </w:rPr>
              <w:t xml:space="preserve">from  </w:t>
            </w:r>
            <w:proofErr w:type="spellStart"/>
            <w:r w:rsidRPr="00F0474A">
              <w:rPr>
                <w:sz w:val="18"/>
                <w:szCs w:val="18"/>
              </w:rPr>
              <w:t>aOR</w:t>
            </w:r>
            <w:proofErr w:type="spellEnd"/>
            <w:proofErr w:type="gramEnd"/>
            <w:r w:rsidRPr="00F0474A">
              <w:rPr>
                <w:sz w:val="18"/>
                <w:szCs w:val="18"/>
              </w:rPr>
              <w:t xml:space="preserve"> 50-64 years: 1.93 [1.55-2.41] to </w:t>
            </w:r>
            <w:proofErr w:type="spellStart"/>
            <w:r w:rsidRPr="00F0474A">
              <w:rPr>
                <w:sz w:val="18"/>
                <w:szCs w:val="18"/>
              </w:rPr>
              <w:t>aOR</w:t>
            </w:r>
            <w:proofErr w:type="spellEnd"/>
            <w:r w:rsidRPr="00F0474A">
              <w:rPr>
                <w:sz w:val="18"/>
                <w:szCs w:val="18"/>
              </w:rPr>
              <w:t xml:space="preserve"> 85+ years [1.09-1.16]. Overall </w:t>
            </w:r>
            <w:proofErr w:type="spellStart"/>
            <w:r w:rsidRPr="00F0474A">
              <w:rPr>
                <w:sz w:val="18"/>
                <w:szCs w:val="18"/>
              </w:rPr>
              <w:t>aOR</w:t>
            </w:r>
            <w:proofErr w:type="spellEnd"/>
            <w:r w:rsidRPr="00F0474A">
              <w:rPr>
                <w:sz w:val="18"/>
                <w:szCs w:val="18"/>
              </w:rPr>
              <w:t xml:space="preserve"> 1.25 [1.20-1.31].</w:t>
            </w:r>
          </w:p>
        </w:tc>
      </w:tr>
      <w:tr w:rsidR="00D822C7" w:rsidRPr="00F0474A" w:rsidTr="00C07331">
        <w:tc>
          <w:tcPr>
            <w:tcW w:w="1666" w:type="dxa"/>
          </w:tcPr>
          <w:p w:rsidR="00D822C7" w:rsidRPr="00F0474A" w:rsidRDefault="00D822C7" w:rsidP="00985C0A">
            <w:pPr>
              <w:rPr>
                <w:sz w:val="18"/>
                <w:szCs w:val="18"/>
              </w:rPr>
            </w:pPr>
            <w:r w:rsidRPr="00F0474A">
              <w:rPr>
                <w:sz w:val="18"/>
                <w:szCs w:val="18"/>
              </w:rPr>
              <w:t>Hsiao 2015</w:t>
            </w:r>
          </w:p>
        </w:tc>
        <w:tc>
          <w:tcPr>
            <w:tcW w:w="1164" w:type="dxa"/>
          </w:tcPr>
          <w:p w:rsidR="00D822C7" w:rsidRPr="00F0474A" w:rsidRDefault="00D822C7" w:rsidP="00985C0A">
            <w:pPr>
              <w:rPr>
                <w:sz w:val="18"/>
                <w:szCs w:val="18"/>
              </w:rPr>
            </w:pPr>
            <w:r w:rsidRPr="00F0474A">
              <w:rPr>
                <w:sz w:val="18"/>
                <w:szCs w:val="18"/>
              </w:rPr>
              <w:t>Taiwan</w:t>
            </w:r>
          </w:p>
        </w:tc>
        <w:tc>
          <w:tcPr>
            <w:tcW w:w="2948" w:type="dxa"/>
          </w:tcPr>
          <w:p w:rsidR="00D822C7" w:rsidRPr="00F0474A" w:rsidRDefault="00D822C7" w:rsidP="00985C0A">
            <w:pPr>
              <w:rPr>
                <w:sz w:val="18"/>
                <w:szCs w:val="18"/>
              </w:rPr>
            </w:pPr>
            <w:r w:rsidRPr="00F0474A">
              <w:rPr>
                <w:sz w:val="18"/>
                <w:szCs w:val="18"/>
              </w:rPr>
              <w:t>32,649 elderly patients with dementia and 32,649 controls.</w:t>
            </w:r>
          </w:p>
        </w:tc>
        <w:tc>
          <w:tcPr>
            <w:tcW w:w="2410" w:type="dxa"/>
          </w:tcPr>
          <w:p w:rsidR="00D822C7" w:rsidRPr="00F0474A" w:rsidRDefault="00D822C7" w:rsidP="00985C0A">
            <w:pPr>
              <w:rPr>
                <w:sz w:val="18"/>
                <w:szCs w:val="18"/>
              </w:rPr>
            </w:pPr>
            <w:r w:rsidRPr="00F0474A">
              <w:rPr>
                <w:sz w:val="18"/>
                <w:szCs w:val="18"/>
              </w:rPr>
              <w:t xml:space="preserve">Retrospective propensity score-matched cohort study. </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sz w:val="18"/>
                <w:szCs w:val="18"/>
              </w:rPr>
              <w:t xml:space="preserve">Higher in-hospital mortality rates for people with dementia at 90 days: </w:t>
            </w:r>
            <w:proofErr w:type="spellStart"/>
            <w:r w:rsidRPr="00F0474A">
              <w:rPr>
                <w:sz w:val="18"/>
                <w:szCs w:val="18"/>
              </w:rPr>
              <w:t>aOR</w:t>
            </w:r>
            <w:proofErr w:type="spellEnd"/>
            <w:r w:rsidRPr="00F0474A">
              <w:rPr>
                <w:sz w:val="18"/>
                <w:szCs w:val="18"/>
              </w:rPr>
              <w:t xml:space="preserve"> 1.97 [1.71-2.27]</w:t>
            </w:r>
          </w:p>
        </w:tc>
      </w:tr>
      <w:tr w:rsidR="00D822C7" w:rsidRPr="00F0474A" w:rsidTr="00C07331">
        <w:tc>
          <w:tcPr>
            <w:tcW w:w="1666" w:type="dxa"/>
          </w:tcPr>
          <w:p w:rsidR="00D822C7" w:rsidRPr="00F0474A" w:rsidRDefault="00D822C7" w:rsidP="00985C0A">
            <w:pPr>
              <w:rPr>
                <w:sz w:val="18"/>
                <w:szCs w:val="18"/>
              </w:rPr>
            </w:pPr>
            <w:r w:rsidRPr="00F0474A">
              <w:rPr>
                <w:sz w:val="18"/>
                <w:szCs w:val="18"/>
              </w:rPr>
              <w:t>Sampson 2009</w:t>
            </w:r>
          </w:p>
        </w:tc>
        <w:tc>
          <w:tcPr>
            <w:tcW w:w="1164" w:type="dxa"/>
          </w:tcPr>
          <w:p w:rsidR="00D822C7" w:rsidRPr="00F0474A" w:rsidRDefault="00D822C7" w:rsidP="00985C0A">
            <w:pPr>
              <w:rPr>
                <w:sz w:val="18"/>
                <w:szCs w:val="18"/>
              </w:rPr>
            </w:pPr>
            <w:r w:rsidRPr="00F0474A">
              <w:rPr>
                <w:sz w:val="18"/>
                <w:szCs w:val="18"/>
              </w:rPr>
              <w:t>UK</w:t>
            </w:r>
          </w:p>
        </w:tc>
        <w:tc>
          <w:tcPr>
            <w:tcW w:w="2948" w:type="dxa"/>
          </w:tcPr>
          <w:p w:rsidR="00D822C7" w:rsidRPr="00F0474A" w:rsidRDefault="00D822C7" w:rsidP="00985C0A">
            <w:pPr>
              <w:rPr>
                <w:sz w:val="18"/>
                <w:szCs w:val="18"/>
              </w:rPr>
            </w:pPr>
            <w:r w:rsidRPr="00F0474A">
              <w:rPr>
                <w:sz w:val="18"/>
                <w:szCs w:val="18"/>
              </w:rPr>
              <w:t>617 patients aged 70+ with an emergency medical admission</w:t>
            </w:r>
          </w:p>
        </w:tc>
        <w:tc>
          <w:tcPr>
            <w:tcW w:w="2410" w:type="dxa"/>
          </w:tcPr>
          <w:p w:rsidR="00D822C7" w:rsidRPr="00F0474A" w:rsidRDefault="00D822C7" w:rsidP="00985C0A">
            <w:pPr>
              <w:rPr>
                <w:sz w:val="18"/>
                <w:szCs w:val="18"/>
              </w:rPr>
            </w:pPr>
            <w:r w:rsidRPr="00F0474A">
              <w:rPr>
                <w:sz w:val="18"/>
                <w:szCs w:val="18"/>
              </w:rPr>
              <w:t>Prospective cohort study</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sz w:val="18"/>
                <w:szCs w:val="18"/>
              </w:rPr>
              <w:t xml:space="preserve">Higher mortality rates for people with DSM IV diagnosis of dementia: </w:t>
            </w:r>
            <w:proofErr w:type="spellStart"/>
            <w:r w:rsidRPr="00F0474A">
              <w:rPr>
                <w:sz w:val="18"/>
                <w:szCs w:val="18"/>
              </w:rPr>
              <w:t>aOR</w:t>
            </w:r>
            <w:proofErr w:type="spellEnd"/>
            <w:r w:rsidRPr="00F0474A">
              <w:rPr>
                <w:sz w:val="18"/>
                <w:szCs w:val="18"/>
              </w:rPr>
              <w:t xml:space="preserve"> 2.09 [1.10-4.00]. Increasing mortality rates with reduction in Mini-mental state examination (MMSE) (increasing severity of cognitive impairment): MMSE 16-23 </w:t>
            </w:r>
            <w:proofErr w:type="spellStart"/>
            <w:r w:rsidRPr="00F0474A">
              <w:rPr>
                <w:sz w:val="18"/>
                <w:szCs w:val="18"/>
              </w:rPr>
              <w:t>aOR</w:t>
            </w:r>
            <w:proofErr w:type="spellEnd"/>
            <w:r w:rsidRPr="00F0474A">
              <w:rPr>
                <w:sz w:val="18"/>
                <w:szCs w:val="18"/>
              </w:rPr>
              <w:t xml:space="preserve"> 1.34 [0.60-3.15]; MMSE 0-15 </w:t>
            </w:r>
            <w:proofErr w:type="spellStart"/>
            <w:r w:rsidRPr="00F0474A">
              <w:rPr>
                <w:sz w:val="18"/>
                <w:szCs w:val="18"/>
              </w:rPr>
              <w:t>aOR</w:t>
            </w:r>
            <w:proofErr w:type="spellEnd"/>
            <w:r w:rsidRPr="00F0474A">
              <w:rPr>
                <w:sz w:val="18"/>
                <w:szCs w:val="18"/>
              </w:rPr>
              <w:t xml:space="preserve"> 2.62 [1.28-5.39]</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Guijarro</w:t>
            </w:r>
            <w:proofErr w:type="spellEnd"/>
            <w:r w:rsidRPr="00F0474A">
              <w:rPr>
                <w:sz w:val="18"/>
                <w:szCs w:val="18"/>
              </w:rPr>
              <w:t xml:space="preserve"> 2010</w:t>
            </w:r>
          </w:p>
        </w:tc>
        <w:tc>
          <w:tcPr>
            <w:tcW w:w="1164" w:type="dxa"/>
          </w:tcPr>
          <w:p w:rsidR="00D822C7" w:rsidRPr="00F0474A" w:rsidRDefault="00D822C7" w:rsidP="00985C0A">
            <w:pPr>
              <w:rPr>
                <w:sz w:val="18"/>
                <w:szCs w:val="18"/>
              </w:rPr>
            </w:pPr>
            <w:r w:rsidRPr="00F0474A">
              <w:rPr>
                <w:sz w:val="18"/>
                <w:szCs w:val="18"/>
              </w:rPr>
              <w:t>Spain</w:t>
            </w:r>
          </w:p>
        </w:tc>
        <w:tc>
          <w:tcPr>
            <w:tcW w:w="2948" w:type="dxa"/>
          </w:tcPr>
          <w:p w:rsidR="00D822C7" w:rsidRPr="00F0474A" w:rsidRDefault="003727A1" w:rsidP="003727A1">
            <w:pPr>
              <w:rPr>
                <w:sz w:val="18"/>
                <w:szCs w:val="18"/>
              </w:rPr>
            </w:pPr>
            <w:r>
              <w:rPr>
                <w:sz w:val="18"/>
                <w:szCs w:val="18"/>
              </w:rPr>
              <w:t>&gt;3 million hospital discharge records of p</w:t>
            </w:r>
            <w:r w:rsidR="00D822C7" w:rsidRPr="00F0474A">
              <w:rPr>
                <w:sz w:val="18"/>
                <w:szCs w:val="18"/>
              </w:rPr>
              <w:t>atients aged 65+</w:t>
            </w:r>
            <w:r>
              <w:rPr>
                <w:sz w:val="18"/>
                <w:szCs w:val="18"/>
              </w:rPr>
              <w:t>, including</w:t>
            </w:r>
            <w:r w:rsidR="00D822C7" w:rsidRPr="00F0474A">
              <w:rPr>
                <w:sz w:val="18"/>
                <w:szCs w:val="18"/>
              </w:rPr>
              <w:t xml:space="preserve"> n=40,482 </w:t>
            </w:r>
            <w:r>
              <w:rPr>
                <w:sz w:val="18"/>
                <w:szCs w:val="18"/>
              </w:rPr>
              <w:t>with</w:t>
            </w:r>
            <w:r w:rsidR="00D822C7" w:rsidRPr="00F0474A">
              <w:rPr>
                <w:sz w:val="18"/>
                <w:szCs w:val="18"/>
              </w:rPr>
              <w:t xml:space="preserve"> dementia </w:t>
            </w:r>
          </w:p>
        </w:tc>
        <w:tc>
          <w:tcPr>
            <w:tcW w:w="2410" w:type="dxa"/>
          </w:tcPr>
          <w:p w:rsidR="00D822C7" w:rsidRPr="00F0474A" w:rsidRDefault="00D822C7" w:rsidP="00985C0A">
            <w:pPr>
              <w:rPr>
                <w:sz w:val="18"/>
                <w:szCs w:val="18"/>
              </w:rPr>
            </w:pPr>
            <w:r w:rsidRPr="00F0474A">
              <w:rPr>
                <w:sz w:val="18"/>
                <w:szCs w:val="18"/>
              </w:rPr>
              <w:t>Retrospective cohort study</w:t>
            </w:r>
          </w:p>
          <w:p w:rsidR="00D822C7" w:rsidRPr="00F0474A" w:rsidRDefault="00D822C7" w:rsidP="003727A1">
            <w:pPr>
              <w:rPr>
                <w:sz w:val="18"/>
                <w:szCs w:val="18"/>
              </w:rPr>
            </w:pPr>
          </w:p>
        </w:tc>
        <w:tc>
          <w:tcPr>
            <w:tcW w:w="5812" w:type="dxa"/>
          </w:tcPr>
          <w:p w:rsidR="00D822C7" w:rsidRPr="00F0474A" w:rsidRDefault="00D822C7" w:rsidP="00985C0A">
            <w:pPr>
              <w:rPr>
                <w:sz w:val="18"/>
                <w:szCs w:val="18"/>
              </w:rPr>
            </w:pPr>
            <w:r w:rsidRPr="00F0474A">
              <w:rPr>
                <w:rFonts w:cs="Segoe UI"/>
                <w:sz w:val="18"/>
                <w:szCs w:val="18"/>
              </w:rPr>
              <w:t>Intra-hospital mortality rate was greater for patients with dementia compared to those without dementia (19.3% vs. 8.7%). Dementia was an independent predictor of mortality:</w:t>
            </w:r>
            <w:r w:rsidRPr="00F0474A">
              <w:rPr>
                <w:sz w:val="18"/>
                <w:szCs w:val="18"/>
              </w:rPr>
              <w:t xml:space="preserve"> </w:t>
            </w:r>
            <w:proofErr w:type="spellStart"/>
            <w:r w:rsidRPr="00F0474A">
              <w:rPr>
                <w:sz w:val="18"/>
                <w:szCs w:val="18"/>
              </w:rPr>
              <w:t>aOR</w:t>
            </w:r>
            <w:proofErr w:type="spellEnd"/>
            <w:r w:rsidRPr="00F0474A">
              <w:rPr>
                <w:sz w:val="18"/>
                <w:szCs w:val="18"/>
              </w:rPr>
              <w:t xml:space="preserve"> 1.77 [1.72-1.82]</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Oreja</w:t>
            </w:r>
            <w:proofErr w:type="spellEnd"/>
            <w:r w:rsidRPr="00F0474A">
              <w:rPr>
                <w:sz w:val="18"/>
                <w:szCs w:val="18"/>
              </w:rPr>
              <w:t>-Guevara 2012</w:t>
            </w:r>
          </w:p>
        </w:tc>
        <w:tc>
          <w:tcPr>
            <w:tcW w:w="1164" w:type="dxa"/>
          </w:tcPr>
          <w:p w:rsidR="00D822C7" w:rsidRPr="00F0474A" w:rsidRDefault="00D822C7" w:rsidP="00985C0A">
            <w:pPr>
              <w:rPr>
                <w:sz w:val="18"/>
                <w:szCs w:val="18"/>
              </w:rPr>
            </w:pPr>
            <w:r w:rsidRPr="00F0474A">
              <w:rPr>
                <w:sz w:val="18"/>
                <w:szCs w:val="18"/>
              </w:rPr>
              <w:t>Taiwan</w:t>
            </w:r>
          </w:p>
        </w:tc>
        <w:tc>
          <w:tcPr>
            <w:tcW w:w="2948" w:type="dxa"/>
          </w:tcPr>
          <w:p w:rsidR="00D822C7" w:rsidRPr="00F0474A" w:rsidRDefault="00D822C7" w:rsidP="00985C0A">
            <w:pPr>
              <w:rPr>
                <w:sz w:val="18"/>
                <w:szCs w:val="18"/>
              </w:rPr>
            </w:pPr>
            <w:r w:rsidRPr="00F0474A">
              <w:rPr>
                <w:sz w:val="18"/>
                <w:szCs w:val="18"/>
              </w:rPr>
              <w:t xml:space="preserve">41,672 patients aged 65+, including 3,487 with dementia, with a hospital admission   </w:t>
            </w:r>
          </w:p>
        </w:tc>
        <w:tc>
          <w:tcPr>
            <w:tcW w:w="2410" w:type="dxa"/>
          </w:tcPr>
          <w:p w:rsidR="00D822C7" w:rsidRPr="00F0474A" w:rsidRDefault="00D822C7" w:rsidP="00985C0A">
            <w:pPr>
              <w:rPr>
                <w:sz w:val="18"/>
                <w:szCs w:val="18"/>
              </w:rPr>
            </w:pPr>
            <w:r w:rsidRPr="00F0474A">
              <w:rPr>
                <w:sz w:val="18"/>
                <w:szCs w:val="18"/>
              </w:rPr>
              <w:t>Retrospective cohort study</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rFonts w:cs="Segoe UI"/>
                <w:sz w:val="18"/>
                <w:szCs w:val="18"/>
              </w:rPr>
              <w:t xml:space="preserve">Dementia was associated with an increased risk of hospital mortality: </w:t>
            </w:r>
            <w:proofErr w:type="spellStart"/>
            <w:r w:rsidRPr="00F0474A">
              <w:rPr>
                <w:rFonts w:cs="Segoe UI"/>
                <w:sz w:val="18"/>
                <w:szCs w:val="18"/>
              </w:rPr>
              <w:t>aOR</w:t>
            </w:r>
            <w:proofErr w:type="spellEnd"/>
            <w:r w:rsidRPr="00F0474A">
              <w:rPr>
                <w:rFonts w:cs="Segoe UI"/>
                <w:sz w:val="18"/>
                <w:szCs w:val="18"/>
              </w:rPr>
              <w:t xml:space="preserve"> 1.28 [1.10-1.48]</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Farid</w:t>
            </w:r>
            <w:proofErr w:type="spellEnd"/>
            <w:r w:rsidRPr="00F0474A">
              <w:rPr>
                <w:sz w:val="18"/>
                <w:szCs w:val="18"/>
              </w:rPr>
              <w:t xml:space="preserve"> 2013</w:t>
            </w:r>
          </w:p>
        </w:tc>
        <w:tc>
          <w:tcPr>
            <w:tcW w:w="1164" w:type="dxa"/>
          </w:tcPr>
          <w:p w:rsidR="00D822C7" w:rsidRPr="00F0474A" w:rsidRDefault="00D822C7" w:rsidP="00985C0A">
            <w:pPr>
              <w:rPr>
                <w:sz w:val="18"/>
                <w:szCs w:val="18"/>
              </w:rPr>
            </w:pPr>
            <w:r w:rsidRPr="00F0474A">
              <w:rPr>
                <w:sz w:val="18"/>
                <w:szCs w:val="18"/>
              </w:rPr>
              <w:t>France</w:t>
            </w:r>
          </w:p>
        </w:tc>
        <w:tc>
          <w:tcPr>
            <w:tcW w:w="2948" w:type="dxa"/>
          </w:tcPr>
          <w:p w:rsidR="00D822C7" w:rsidRPr="00F0474A" w:rsidRDefault="00CF469E" w:rsidP="00CF469E">
            <w:pPr>
              <w:rPr>
                <w:sz w:val="18"/>
                <w:szCs w:val="18"/>
              </w:rPr>
            </w:pPr>
            <w:r>
              <w:rPr>
                <w:sz w:val="18"/>
                <w:szCs w:val="18"/>
              </w:rPr>
              <w:t>331 a</w:t>
            </w:r>
            <w:r w:rsidR="00D822C7" w:rsidRPr="00F0474A">
              <w:rPr>
                <w:sz w:val="18"/>
                <w:szCs w:val="18"/>
              </w:rPr>
              <w:t>cute patients with cardiovascular disease, age 70+</w:t>
            </w:r>
          </w:p>
        </w:tc>
        <w:tc>
          <w:tcPr>
            <w:tcW w:w="2410" w:type="dxa"/>
          </w:tcPr>
          <w:p w:rsidR="00D822C7" w:rsidRPr="00F0474A" w:rsidRDefault="00D822C7" w:rsidP="00985C0A">
            <w:pPr>
              <w:rPr>
                <w:sz w:val="18"/>
                <w:szCs w:val="18"/>
              </w:rPr>
            </w:pPr>
            <w:r w:rsidRPr="00F0474A">
              <w:rPr>
                <w:sz w:val="18"/>
                <w:szCs w:val="18"/>
              </w:rPr>
              <w:t>Prospective cohort</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sz w:val="18"/>
                <w:szCs w:val="18"/>
              </w:rPr>
              <w:t xml:space="preserve">Patients with cognitive impairment had increased mortality HR 2.04 [1.32-3.15]  </w:t>
            </w:r>
          </w:p>
        </w:tc>
      </w:tr>
      <w:tr w:rsidR="005D506A" w:rsidRPr="00F0474A" w:rsidTr="00C07331">
        <w:tc>
          <w:tcPr>
            <w:tcW w:w="1666" w:type="dxa"/>
          </w:tcPr>
          <w:p w:rsidR="005D506A" w:rsidRPr="00F0474A" w:rsidRDefault="005D506A" w:rsidP="007F4F7A">
            <w:pPr>
              <w:rPr>
                <w:rFonts w:cs="Segoe UI"/>
                <w:sz w:val="18"/>
                <w:szCs w:val="18"/>
              </w:rPr>
            </w:pPr>
            <w:proofErr w:type="spellStart"/>
            <w:r w:rsidRPr="00F0474A">
              <w:rPr>
                <w:rFonts w:cs="Segoe UI"/>
                <w:sz w:val="18"/>
                <w:szCs w:val="18"/>
              </w:rPr>
              <w:t>Zuliani</w:t>
            </w:r>
            <w:proofErr w:type="spellEnd"/>
            <w:r w:rsidRPr="00F0474A">
              <w:rPr>
                <w:rFonts w:cs="Segoe UI"/>
                <w:sz w:val="18"/>
                <w:szCs w:val="18"/>
              </w:rPr>
              <w:t xml:space="preserve"> </w:t>
            </w:r>
            <w:r w:rsidR="002B6EE1" w:rsidRPr="00F0474A">
              <w:rPr>
                <w:rFonts w:cs="Segoe UI"/>
                <w:sz w:val="18"/>
                <w:szCs w:val="18"/>
              </w:rPr>
              <w:t>2011</w:t>
            </w:r>
          </w:p>
        </w:tc>
        <w:tc>
          <w:tcPr>
            <w:tcW w:w="1164" w:type="dxa"/>
          </w:tcPr>
          <w:p w:rsidR="005D506A" w:rsidRPr="00F0474A" w:rsidRDefault="002B6EE1" w:rsidP="007F4F7A">
            <w:pPr>
              <w:rPr>
                <w:sz w:val="18"/>
                <w:szCs w:val="18"/>
              </w:rPr>
            </w:pPr>
            <w:r w:rsidRPr="00F0474A">
              <w:rPr>
                <w:sz w:val="18"/>
                <w:szCs w:val="18"/>
              </w:rPr>
              <w:t>Italy</w:t>
            </w:r>
          </w:p>
        </w:tc>
        <w:tc>
          <w:tcPr>
            <w:tcW w:w="2948" w:type="dxa"/>
          </w:tcPr>
          <w:p w:rsidR="005D506A" w:rsidRPr="00F0474A" w:rsidRDefault="002B6EE1" w:rsidP="007F4F7A">
            <w:pPr>
              <w:rPr>
                <w:sz w:val="18"/>
                <w:szCs w:val="18"/>
              </w:rPr>
            </w:pPr>
            <w:r w:rsidRPr="00F0474A">
              <w:rPr>
                <w:sz w:val="18"/>
                <w:szCs w:val="18"/>
              </w:rPr>
              <w:t>51,838 patients aged 60+ admitted to hospital, 4,466 with a diagnosis of dementia</w:t>
            </w:r>
          </w:p>
        </w:tc>
        <w:tc>
          <w:tcPr>
            <w:tcW w:w="2410" w:type="dxa"/>
          </w:tcPr>
          <w:p w:rsidR="005D506A" w:rsidRPr="00F0474A" w:rsidRDefault="00B00AB5" w:rsidP="007F4F7A">
            <w:pPr>
              <w:rPr>
                <w:sz w:val="18"/>
                <w:szCs w:val="18"/>
              </w:rPr>
            </w:pPr>
            <w:r w:rsidRPr="00F0474A">
              <w:rPr>
                <w:sz w:val="18"/>
                <w:szCs w:val="18"/>
              </w:rPr>
              <w:t>Retrospective cohort study</w:t>
            </w:r>
          </w:p>
          <w:p w:rsidR="00B00AB5" w:rsidRPr="00F0474A" w:rsidRDefault="00B00AB5" w:rsidP="007F4F7A">
            <w:pPr>
              <w:rPr>
                <w:sz w:val="18"/>
                <w:szCs w:val="18"/>
              </w:rPr>
            </w:pPr>
          </w:p>
        </w:tc>
        <w:tc>
          <w:tcPr>
            <w:tcW w:w="5812" w:type="dxa"/>
          </w:tcPr>
          <w:p w:rsidR="005D506A" w:rsidRPr="00F0474A" w:rsidRDefault="00B00AB5" w:rsidP="007F4F7A">
            <w:pPr>
              <w:rPr>
                <w:sz w:val="18"/>
                <w:szCs w:val="18"/>
              </w:rPr>
            </w:pPr>
            <w:r w:rsidRPr="00F0474A">
              <w:rPr>
                <w:sz w:val="18"/>
                <w:szCs w:val="18"/>
              </w:rPr>
              <w:t>Mortality rate 7.8% in patients with no dementia, versus 10.5% in patients with dementia</w:t>
            </w:r>
            <w:r w:rsidR="000F36AF" w:rsidRPr="00F0474A">
              <w:rPr>
                <w:sz w:val="18"/>
                <w:szCs w:val="18"/>
              </w:rPr>
              <w:t>, p=0.001</w:t>
            </w:r>
            <w:r w:rsidRPr="00F0474A">
              <w:rPr>
                <w:sz w:val="18"/>
                <w:szCs w:val="18"/>
              </w:rPr>
              <w:t>.</w:t>
            </w:r>
          </w:p>
        </w:tc>
      </w:tr>
      <w:tr w:rsidR="002A302B" w:rsidRPr="00F0474A" w:rsidTr="00C07331">
        <w:tc>
          <w:tcPr>
            <w:tcW w:w="1666" w:type="dxa"/>
          </w:tcPr>
          <w:p w:rsidR="002A302B" w:rsidRPr="00F0474A" w:rsidRDefault="002A302B" w:rsidP="007F4F7A">
            <w:pPr>
              <w:rPr>
                <w:rFonts w:cs="Segoe UI"/>
                <w:sz w:val="18"/>
                <w:szCs w:val="18"/>
              </w:rPr>
            </w:pPr>
            <w:proofErr w:type="spellStart"/>
            <w:r w:rsidRPr="00F0474A">
              <w:rPr>
                <w:rFonts w:cs="Segoe UI"/>
                <w:sz w:val="18"/>
                <w:szCs w:val="18"/>
              </w:rPr>
              <w:t>Caspe</w:t>
            </w:r>
            <w:proofErr w:type="spellEnd"/>
            <w:r w:rsidRPr="00F0474A">
              <w:rPr>
                <w:rFonts w:cs="Segoe UI"/>
                <w:sz w:val="18"/>
                <w:szCs w:val="18"/>
              </w:rPr>
              <w:t xml:space="preserve"> Healthcare Knowledge Systems (CHKS)</w:t>
            </w:r>
            <w:r w:rsidR="007F1DDA" w:rsidRPr="00F0474A">
              <w:rPr>
                <w:rFonts w:cs="Segoe UI"/>
                <w:sz w:val="18"/>
                <w:szCs w:val="18"/>
              </w:rPr>
              <w:t xml:space="preserve"> 2013</w:t>
            </w:r>
          </w:p>
        </w:tc>
        <w:tc>
          <w:tcPr>
            <w:tcW w:w="1164" w:type="dxa"/>
          </w:tcPr>
          <w:p w:rsidR="002A302B" w:rsidRPr="00F0474A" w:rsidRDefault="002A302B" w:rsidP="007F4F7A">
            <w:pPr>
              <w:rPr>
                <w:sz w:val="18"/>
                <w:szCs w:val="18"/>
              </w:rPr>
            </w:pPr>
            <w:r w:rsidRPr="00F0474A">
              <w:rPr>
                <w:sz w:val="18"/>
                <w:szCs w:val="18"/>
              </w:rPr>
              <w:t>UK</w:t>
            </w:r>
          </w:p>
        </w:tc>
        <w:tc>
          <w:tcPr>
            <w:tcW w:w="2948" w:type="dxa"/>
          </w:tcPr>
          <w:p w:rsidR="002A302B" w:rsidRPr="00F0474A" w:rsidRDefault="002A302B" w:rsidP="007F4F7A">
            <w:pPr>
              <w:rPr>
                <w:sz w:val="18"/>
                <w:szCs w:val="18"/>
              </w:rPr>
            </w:pPr>
            <w:r w:rsidRPr="00F0474A">
              <w:rPr>
                <w:sz w:val="18"/>
                <w:szCs w:val="18"/>
              </w:rPr>
              <w:t>UK-wide hospital episode statistics of people aged 45+</w:t>
            </w:r>
          </w:p>
        </w:tc>
        <w:tc>
          <w:tcPr>
            <w:tcW w:w="2410" w:type="dxa"/>
          </w:tcPr>
          <w:p w:rsidR="002A302B" w:rsidRPr="00F0474A" w:rsidRDefault="007F1DDA" w:rsidP="007F4F7A">
            <w:pPr>
              <w:rPr>
                <w:sz w:val="18"/>
                <w:szCs w:val="18"/>
              </w:rPr>
            </w:pPr>
            <w:r w:rsidRPr="00F0474A">
              <w:rPr>
                <w:sz w:val="18"/>
                <w:szCs w:val="18"/>
              </w:rPr>
              <w:t>Retrospective analysis</w:t>
            </w:r>
          </w:p>
          <w:p w:rsidR="007F1DDA" w:rsidRPr="00F0474A" w:rsidRDefault="007F1DDA" w:rsidP="007F4F7A">
            <w:pPr>
              <w:rPr>
                <w:sz w:val="18"/>
                <w:szCs w:val="18"/>
              </w:rPr>
            </w:pPr>
          </w:p>
        </w:tc>
        <w:tc>
          <w:tcPr>
            <w:tcW w:w="5812" w:type="dxa"/>
          </w:tcPr>
          <w:p w:rsidR="002A302B" w:rsidRPr="00F0474A" w:rsidRDefault="007F1DDA" w:rsidP="007F4F7A">
            <w:pPr>
              <w:rPr>
                <w:sz w:val="18"/>
                <w:szCs w:val="18"/>
              </w:rPr>
            </w:pPr>
            <w:r w:rsidRPr="00F0474A">
              <w:rPr>
                <w:sz w:val="18"/>
                <w:szCs w:val="18"/>
              </w:rPr>
              <w:t xml:space="preserve">In 2011, standardised excess mortality rate in patients with dementia estimated at 7.5%. </w:t>
            </w:r>
          </w:p>
        </w:tc>
      </w:tr>
      <w:tr w:rsidR="007F4F7A" w:rsidRPr="00F0474A" w:rsidTr="00C07331">
        <w:tc>
          <w:tcPr>
            <w:tcW w:w="1666" w:type="dxa"/>
          </w:tcPr>
          <w:p w:rsidR="007F4F7A" w:rsidRPr="00F0474A" w:rsidRDefault="007F4F7A" w:rsidP="007F4F7A">
            <w:pPr>
              <w:rPr>
                <w:rFonts w:cs="Segoe UI"/>
                <w:sz w:val="18"/>
                <w:szCs w:val="18"/>
              </w:rPr>
            </w:pPr>
            <w:r w:rsidRPr="00F0474A">
              <w:rPr>
                <w:rFonts w:cs="Segoe UI"/>
                <w:sz w:val="18"/>
                <w:szCs w:val="18"/>
              </w:rPr>
              <w:t>Liao 2015</w:t>
            </w:r>
          </w:p>
        </w:tc>
        <w:tc>
          <w:tcPr>
            <w:tcW w:w="1164" w:type="dxa"/>
          </w:tcPr>
          <w:p w:rsidR="007F4F7A" w:rsidRPr="00F0474A" w:rsidRDefault="007F4F7A" w:rsidP="007F4F7A">
            <w:pPr>
              <w:rPr>
                <w:sz w:val="18"/>
                <w:szCs w:val="18"/>
              </w:rPr>
            </w:pPr>
            <w:r w:rsidRPr="00F0474A">
              <w:rPr>
                <w:sz w:val="18"/>
                <w:szCs w:val="18"/>
              </w:rPr>
              <w:t>Taiwan</w:t>
            </w:r>
          </w:p>
        </w:tc>
        <w:tc>
          <w:tcPr>
            <w:tcW w:w="2948" w:type="dxa"/>
          </w:tcPr>
          <w:p w:rsidR="007F4F7A" w:rsidRPr="00F0474A" w:rsidRDefault="007F4F7A" w:rsidP="007F4F7A">
            <w:pPr>
              <w:rPr>
                <w:sz w:val="18"/>
                <w:szCs w:val="18"/>
              </w:rPr>
            </w:pPr>
            <w:r w:rsidRPr="00F0474A">
              <w:rPr>
                <w:sz w:val="18"/>
                <w:szCs w:val="18"/>
              </w:rPr>
              <w:t>COPD inpatients with (n=1,406)/without dementia (n=5,334)</w:t>
            </w:r>
          </w:p>
        </w:tc>
        <w:tc>
          <w:tcPr>
            <w:tcW w:w="2410" w:type="dxa"/>
          </w:tcPr>
          <w:p w:rsidR="00C9568B" w:rsidRPr="00F0474A" w:rsidRDefault="007F4F7A" w:rsidP="00C9568B">
            <w:pPr>
              <w:rPr>
                <w:sz w:val="18"/>
                <w:szCs w:val="18"/>
              </w:rPr>
            </w:pPr>
            <w:r w:rsidRPr="00F0474A">
              <w:rPr>
                <w:sz w:val="18"/>
                <w:szCs w:val="18"/>
              </w:rPr>
              <w:t xml:space="preserve">Retrospective </w:t>
            </w:r>
            <w:r w:rsidR="00C9568B">
              <w:rPr>
                <w:sz w:val="18"/>
                <w:szCs w:val="18"/>
              </w:rPr>
              <w:t>c</w:t>
            </w:r>
            <w:r w:rsidRPr="00F0474A">
              <w:rPr>
                <w:sz w:val="18"/>
                <w:szCs w:val="18"/>
              </w:rPr>
              <w:t xml:space="preserve">ohort study </w:t>
            </w:r>
          </w:p>
          <w:p w:rsidR="007F4F7A" w:rsidRPr="00F0474A" w:rsidRDefault="007F4F7A" w:rsidP="007F4F7A">
            <w:pPr>
              <w:rPr>
                <w:sz w:val="18"/>
                <w:szCs w:val="18"/>
              </w:rPr>
            </w:pPr>
          </w:p>
        </w:tc>
        <w:tc>
          <w:tcPr>
            <w:tcW w:w="5812" w:type="dxa"/>
          </w:tcPr>
          <w:p w:rsidR="007F4F7A" w:rsidRPr="00F0474A" w:rsidRDefault="007F4F7A" w:rsidP="007F4F7A">
            <w:pPr>
              <w:rPr>
                <w:sz w:val="18"/>
                <w:szCs w:val="18"/>
              </w:rPr>
            </w:pPr>
            <w:r w:rsidRPr="00F0474A">
              <w:rPr>
                <w:sz w:val="18"/>
                <w:szCs w:val="18"/>
              </w:rPr>
              <w:t xml:space="preserve">Increased risk of mortality for patients with (COPD) with dementia </w:t>
            </w:r>
            <w:proofErr w:type="spellStart"/>
            <w:r w:rsidRPr="00F0474A">
              <w:rPr>
                <w:sz w:val="18"/>
                <w:szCs w:val="18"/>
              </w:rPr>
              <w:t>vs</w:t>
            </w:r>
            <w:proofErr w:type="spellEnd"/>
            <w:r w:rsidRPr="00F0474A">
              <w:rPr>
                <w:sz w:val="18"/>
                <w:szCs w:val="18"/>
              </w:rPr>
              <w:t xml:space="preserve"> no dementia: 4.8% </w:t>
            </w:r>
            <w:proofErr w:type="spellStart"/>
            <w:r w:rsidRPr="00F0474A">
              <w:rPr>
                <w:sz w:val="18"/>
                <w:szCs w:val="18"/>
              </w:rPr>
              <w:t>vs</w:t>
            </w:r>
            <w:proofErr w:type="spellEnd"/>
            <w:r w:rsidRPr="00F0474A">
              <w:rPr>
                <w:sz w:val="18"/>
                <w:szCs w:val="18"/>
              </w:rPr>
              <w:t xml:space="preserve"> 2.3%, </w:t>
            </w:r>
            <w:proofErr w:type="spellStart"/>
            <w:r w:rsidRPr="00F0474A">
              <w:rPr>
                <w:sz w:val="18"/>
                <w:szCs w:val="18"/>
              </w:rPr>
              <w:t>aOR</w:t>
            </w:r>
            <w:proofErr w:type="spellEnd"/>
            <w:r w:rsidRPr="00F0474A">
              <w:rPr>
                <w:sz w:val="18"/>
                <w:szCs w:val="18"/>
              </w:rPr>
              <w:t xml:space="preserve"> 1.69 [1.18-2.43]</w:t>
            </w:r>
          </w:p>
        </w:tc>
      </w:tr>
      <w:tr w:rsidR="007F4F7A" w:rsidRPr="00F0474A" w:rsidTr="00C07331">
        <w:tc>
          <w:tcPr>
            <w:tcW w:w="1666" w:type="dxa"/>
          </w:tcPr>
          <w:p w:rsidR="007F4F7A" w:rsidRPr="00F0474A" w:rsidRDefault="007F4F7A" w:rsidP="007F4F7A">
            <w:pPr>
              <w:rPr>
                <w:sz w:val="18"/>
                <w:szCs w:val="18"/>
              </w:rPr>
            </w:pPr>
            <w:r w:rsidRPr="00F0474A">
              <w:rPr>
                <w:sz w:val="18"/>
                <w:szCs w:val="18"/>
              </w:rPr>
              <w:lastRenderedPageBreak/>
              <w:t>Bo 2003</w:t>
            </w:r>
          </w:p>
        </w:tc>
        <w:tc>
          <w:tcPr>
            <w:tcW w:w="1164" w:type="dxa"/>
          </w:tcPr>
          <w:p w:rsidR="007F4F7A" w:rsidRPr="00F0474A" w:rsidRDefault="007F4F7A" w:rsidP="007F4F7A">
            <w:pPr>
              <w:rPr>
                <w:sz w:val="18"/>
                <w:szCs w:val="18"/>
              </w:rPr>
            </w:pPr>
            <w:r w:rsidRPr="00F0474A">
              <w:rPr>
                <w:sz w:val="18"/>
                <w:szCs w:val="18"/>
              </w:rPr>
              <w:t>Italy</w:t>
            </w:r>
          </w:p>
        </w:tc>
        <w:tc>
          <w:tcPr>
            <w:tcW w:w="2948" w:type="dxa"/>
          </w:tcPr>
          <w:p w:rsidR="007F4F7A" w:rsidRPr="00F0474A" w:rsidRDefault="00CF469E" w:rsidP="00CF469E">
            <w:pPr>
              <w:rPr>
                <w:sz w:val="18"/>
                <w:szCs w:val="18"/>
              </w:rPr>
            </w:pPr>
            <w:r>
              <w:rPr>
                <w:sz w:val="18"/>
                <w:szCs w:val="18"/>
              </w:rPr>
              <w:t>659 i</w:t>
            </w:r>
            <w:r w:rsidR="007F4F7A" w:rsidRPr="00F0474A">
              <w:rPr>
                <w:sz w:val="18"/>
                <w:szCs w:val="18"/>
              </w:rPr>
              <w:t>npatients aged 65+ with an ICU admission during hospitalisation</w:t>
            </w:r>
          </w:p>
        </w:tc>
        <w:tc>
          <w:tcPr>
            <w:tcW w:w="2410" w:type="dxa"/>
          </w:tcPr>
          <w:p w:rsidR="007F4F7A" w:rsidRPr="00F0474A" w:rsidRDefault="007F4F7A" w:rsidP="007F4F7A">
            <w:pPr>
              <w:rPr>
                <w:sz w:val="18"/>
                <w:szCs w:val="18"/>
              </w:rPr>
            </w:pPr>
            <w:r w:rsidRPr="00F0474A">
              <w:rPr>
                <w:sz w:val="18"/>
                <w:szCs w:val="18"/>
              </w:rPr>
              <w:t>Prospective cohort</w:t>
            </w:r>
          </w:p>
          <w:p w:rsidR="007F4F7A" w:rsidRPr="00F0474A" w:rsidRDefault="007F4F7A" w:rsidP="003727A1">
            <w:pPr>
              <w:rPr>
                <w:sz w:val="18"/>
                <w:szCs w:val="18"/>
              </w:rPr>
            </w:pPr>
          </w:p>
        </w:tc>
        <w:tc>
          <w:tcPr>
            <w:tcW w:w="5812" w:type="dxa"/>
          </w:tcPr>
          <w:p w:rsidR="007F4F7A" w:rsidRPr="00F0474A" w:rsidRDefault="007F4F7A" w:rsidP="007F4F7A">
            <w:pPr>
              <w:rPr>
                <w:sz w:val="18"/>
                <w:szCs w:val="18"/>
              </w:rPr>
            </w:pPr>
            <w:r w:rsidRPr="00F0474A">
              <w:rPr>
                <w:rFonts w:cs="Segoe UI"/>
                <w:sz w:val="18"/>
                <w:szCs w:val="18"/>
              </w:rPr>
              <w:t>Moderate-to-severe CI (measured with the Short Portable Mental Status Questionnaire - SPMSQ) was associated with increased mortality  (p&lt;0.001)</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Fogg</w:t>
            </w:r>
            <w:proofErr w:type="spellEnd"/>
            <w:r w:rsidRPr="00F0474A">
              <w:rPr>
                <w:sz w:val="18"/>
                <w:szCs w:val="18"/>
              </w:rPr>
              <w:t xml:space="preserve"> 2017</w:t>
            </w:r>
          </w:p>
        </w:tc>
        <w:tc>
          <w:tcPr>
            <w:tcW w:w="1164" w:type="dxa"/>
          </w:tcPr>
          <w:p w:rsidR="007F4F7A" w:rsidRPr="00F0474A" w:rsidRDefault="007F4F7A" w:rsidP="007F4F7A">
            <w:pPr>
              <w:rPr>
                <w:sz w:val="18"/>
                <w:szCs w:val="18"/>
              </w:rPr>
            </w:pPr>
            <w:r w:rsidRPr="00F0474A">
              <w:rPr>
                <w:sz w:val="18"/>
                <w:szCs w:val="18"/>
              </w:rPr>
              <w:t>UK</w:t>
            </w:r>
          </w:p>
        </w:tc>
        <w:tc>
          <w:tcPr>
            <w:tcW w:w="2948" w:type="dxa"/>
          </w:tcPr>
          <w:p w:rsidR="007F4F7A" w:rsidRPr="00F0474A" w:rsidRDefault="007F4F7A" w:rsidP="007F4F7A">
            <w:pPr>
              <w:rPr>
                <w:sz w:val="18"/>
                <w:szCs w:val="18"/>
              </w:rPr>
            </w:pPr>
            <w:r w:rsidRPr="00F0474A">
              <w:rPr>
                <w:sz w:val="18"/>
                <w:szCs w:val="18"/>
              </w:rPr>
              <w:t>19,269 acute hospital admissions of 13,652 patients aged 75+</w:t>
            </w:r>
          </w:p>
        </w:tc>
        <w:tc>
          <w:tcPr>
            <w:tcW w:w="2410" w:type="dxa"/>
          </w:tcPr>
          <w:p w:rsidR="007F4F7A" w:rsidRPr="00F0474A" w:rsidRDefault="007F4F7A" w:rsidP="007F4F7A">
            <w:pPr>
              <w:rPr>
                <w:sz w:val="18"/>
                <w:szCs w:val="18"/>
              </w:rPr>
            </w:pPr>
            <w:r w:rsidRPr="00F0474A">
              <w:rPr>
                <w:sz w:val="18"/>
                <w:szCs w:val="18"/>
              </w:rPr>
              <w:t>Retrospective cohort study</w:t>
            </w:r>
          </w:p>
        </w:tc>
        <w:tc>
          <w:tcPr>
            <w:tcW w:w="5812" w:type="dxa"/>
          </w:tcPr>
          <w:p w:rsidR="007F4F7A" w:rsidRPr="00F0474A" w:rsidRDefault="007F4F7A" w:rsidP="007F4F7A">
            <w:pPr>
              <w:rPr>
                <w:rFonts w:cs="Segoe UI"/>
                <w:sz w:val="18"/>
                <w:szCs w:val="18"/>
              </w:rPr>
            </w:pPr>
            <w:r w:rsidRPr="00F0474A">
              <w:rPr>
                <w:rFonts w:cs="Segoe UI"/>
                <w:sz w:val="18"/>
                <w:szCs w:val="18"/>
              </w:rPr>
              <w:t>Patients with cognitive impairment (no dementia diagnosis) and those with a dementia diagnosis have a higher risk of dying in hospital than patients with no cognitive impairment: 11.8% [10.5–13.3] and 10.8% [9.8–11.9] versus 6.6% [6.2–7.0].</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Reynish</w:t>
            </w:r>
            <w:proofErr w:type="spellEnd"/>
            <w:r w:rsidRPr="00F0474A">
              <w:rPr>
                <w:sz w:val="18"/>
                <w:szCs w:val="18"/>
              </w:rPr>
              <w:t xml:space="preserve"> 2017</w:t>
            </w:r>
          </w:p>
        </w:tc>
        <w:tc>
          <w:tcPr>
            <w:tcW w:w="1164" w:type="dxa"/>
          </w:tcPr>
          <w:p w:rsidR="007F4F7A" w:rsidRPr="00F0474A" w:rsidRDefault="007F4F7A" w:rsidP="007F4F7A">
            <w:pPr>
              <w:rPr>
                <w:sz w:val="18"/>
                <w:szCs w:val="18"/>
              </w:rPr>
            </w:pPr>
            <w:r w:rsidRPr="00F0474A">
              <w:rPr>
                <w:sz w:val="18"/>
                <w:szCs w:val="18"/>
              </w:rPr>
              <w:t>UK</w:t>
            </w:r>
          </w:p>
        </w:tc>
        <w:tc>
          <w:tcPr>
            <w:tcW w:w="2948" w:type="dxa"/>
          </w:tcPr>
          <w:p w:rsidR="007F4F7A" w:rsidRPr="00F0474A" w:rsidRDefault="007F4F7A" w:rsidP="007F4F7A">
            <w:pPr>
              <w:rPr>
                <w:sz w:val="18"/>
                <w:szCs w:val="18"/>
              </w:rPr>
            </w:pPr>
            <w:r w:rsidRPr="00F0474A">
              <w:rPr>
                <w:sz w:val="18"/>
                <w:szCs w:val="18"/>
              </w:rPr>
              <w:t>10,014 emergency admissions of patients aged 65+, including 38.5% with a cognitive spectrum disorder (CSD) – delirium, dementia, or AMT&lt;8</w:t>
            </w:r>
          </w:p>
        </w:tc>
        <w:tc>
          <w:tcPr>
            <w:tcW w:w="2410" w:type="dxa"/>
          </w:tcPr>
          <w:p w:rsidR="007F4F7A" w:rsidRPr="00F0474A" w:rsidRDefault="007F4F7A" w:rsidP="007F4F7A">
            <w:pPr>
              <w:rPr>
                <w:sz w:val="18"/>
                <w:szCs w:val="18"/>
              </w:rPr>
            </w:pPr>
            <w:r w:rsidRPr="00F0474A">
              <w:rPr>
                <w:sz w:val="18"/>
                <w:szCs w:val="18"/>
              </w:rPr>
              <w:t>Prospective cohort study</w:t>
            </w:r>
          </w:p>
        </w:tc>
        <w:tc>
          <w:tcPr>
            <w:tcW w:w="5812" w:type="dxa"/>
          </w:tcPr>
          <w:p w:rsidR="007F4F7A" w:rsidRPr="00F0474A" w:rsidRDefault="007F4F7A" w:rsidP="007F4F7A">
            <w:pPr>
              <w:rPr>
                <w:rFonts w:cs="Segoe UI"/>
                <w:sz w:val="18"/>
                <w:szCs w:val="18"/>
              </w:rPr>
            </w:pPr>
            <w:r w:rsidRPr="00F0474A">
              <w:rPr>
                <w:rFonts w:cs="Segoe UI"/>
                <w:sz w:val="18"/>
                <w:szCs w:val="18"/>
              </w:rPr>
              <w:t xml:space="preserve">Higher mortality in patients with cognitive spectrum disorder (CSD) (delirium, known dementia or Abbreviated Mental Test (AMT) &lt;8/10) than those with no CSD: 13.6% </w:t>
            </w:r>
            <w:proofErr w:type="spellStart"/>
            <w:r w:rsidRPr="00F0474A">
              <w:rPr>
                <w:rFonts w:cs="Segoe UI"/>
                <w:sz w:val="18"/>
                <w:szCs w:val="18"/>
              </w:rPr>
              <w:t>vs</w:t>
            </w:r>
            <w:proofErr w:type="spellEnd"/>
            <w:r w:rsidRPr="00F0474A">
              <w:rPr>
                <w:rFonts w:cs="Segoe UI"/>
                <w:sz w:val="18"/>
                <w:szCs w:val="18"/>
              </w:rPr>
              <w:t xml:space="preserve"> 9.0%</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Marengoni</w:t>
            </w:r>
            <w:proofErr w:type="spellEnd"/>
            <w:r w:rsidRPr="00F0474A">
              <w:rPr>
                <w:sz w:val="18"/>
                <w:szCs w:val="18"/>
              </w:rPr>
              <w:t xml:space="preserve"> 2013</w:t>
            </w:r>
          </w:p>
        </w:tc>
        <w:tc>
          <w:tcPr>
            <w:tcW w:w="1164" w:type="dxa"/>
          </w:tcPr>
          <w:p w:rsidR="007F4F7A" w:rsidRPr="00F0474A" w:rsidRDefault="007F4F7A" w:rsidP="007F4F7A">
            <w:pPr>
              <w:rPr>
                <w:sz w:val="18"/>
                <w:szCs w:val="18"/>
              </w:rPr>
            </w:pPr>
            <w:r w:rsidRPr="00F0474A">
              <w:rPr>
                <w:sz w:val="18"/>
                <w:szCs w:val="18"/>
              </w:rPr>
              <w:t>Italy</w:t>
            </w:r>
          </w:p>
        </w:tc>
        <w:tc>
          <w:tcPr>
            <w:tcW w:w="2948" w:type="dxa"/>
          </w:tcPr>
          <w:p w:rsidR="007F4F7A" w:rsidRPr="00F0474A" w:rsidRDefault="007F4F7A" w:rsidP="007F4F7A">
            <w:pPr>
              <w:rPr>
                <w:sz w:val="18"/>
                <w:szCs w:val="18"/>
              </w:rPr>
            </w:pPr>
            <w:r w:rsidRPr="00F0474A">
              <w:rPr>
                <w:sz w:val="18"/>
                <w:szCs w:val="18"/>
              </w:rPr>
              <w:t>1,201 inpatients in internal medicine and geriatric wards</w:t>
            </w:r>
          </w:p>
        </w:tc>
        <w:tc>
          <w:tcPr>
            <w:tcW w:w="2410" w:type="dxa"/>
          </w:tcPr>
          <w:p w:rsidR="007F4F7A" w:rsidRPr="00F0474A" w:rsidRDefault="007F4F7A" w:rsidP="007F4F7A">
            <w:pPr>
              <w:rPr>
                <w:sz w:val="18"/>
                <w:szCs w:val="18"/>
              </w:rPr>
            </w:pPr>
            <w:r w:rsidRPr="00F0474A">
              <w:rPr>
                <w:sz w:val="18"/>
                <w:szCs w:val="18"/>
              </w:rPr>
              <w:t>Prospective cohort study</w:t>
            </w:r>
          </w:p>
          <w:p w:rsidR="007F4F7A" w:rsidRPr="00F0474A" w:rsidRDefault="007F4F7A" w:rsidP="007F4F7A">
            <w:pPr>
              <w:rPr>
                <w:sz w:val="18"/>
                <w:szCs w:val="18"/>
              </w:rPr>
            </w:pPr>
          </w:p>
        </w:tc>
        <w:tc>
          <w:tcPr>
            <w:tcW w:w="5812" w:type="dxa"/>
          </w:tcPr>
          <w:p w:rsidR="007F4F7A" w:rsidRPr="00F0474A" w:rsidRDefault="007F4F7A" w:rsidP="007F4F7A">
            <w:pPr>
              <w:rPr>
                <w:sz w:val="18"/>
                <w:szCs w:val="18"/>
              </w:rPr>
            </w:pPr>
            <w:r w:rsidRPr="00F0474A">
              <w:rPr>
                <w:sz w:val="18"/>
                <w:szCs w:val="18"/>
              </w:rPr>
              <w:t xml:space="preserve">Cognitive impairment (measured by Short Blessed Test - SBT) was associated with increased mortality, and this association increased as severity of CI increased: overall </w:t>
            </w:r>
            <w:r w:rsidRPr="00F0474A">
              <w:rPr>
                <w:rFonts w:cs="Segoe UI"/>
                <w:sz w:val="18"/>
                <w:szCs w:val="18"/>
              </w:rPr>
              <w:t xml:space="preserve">OR 3.1 [1.1-8.6]; moderate impairment: OR 2.7 [1.00-7.96], severe impairment: OR 4.2 [1.29-13.78]. </w:t>
            </w:r>
          </w:p>
        </w:tc>
      </w:tr>
      <w:tr w:rsidR="007F4F7A" w:rsidRPr="00F0474A" w:rsidTr="00C07331">
        <w:tc>
          <w:tcPr>
            <w:tcW w:w="1666" w:type="dxa"/>
          </w:tcPr>
          <w:p w:rsidR="007F4F7A" w:rsidRPr="00F0474A" w:rsidRDefault="007F4F7A" w:rsidP="007F4F7A">
            <w:pPr>
              <w:rPr>
                <w:sz w:val="18"/>
                <w:szCs w:val="18"/>
              </w:rPr>
            </w:pPr>
            <w:r w:rsidRPr="00F0474A">
              <w:rPr>
                <w:sz w:val="18"/>
                <w:szCs w:val="18"/>
              </w:rPr>
              <w:t xml:space="preserve">Sa </w:t>
            </w:r>
            <w:proofErr w:type="spellStart"/>
            <w:r w:rsidRPr="00F0474A">
              <w:rPr>
                <w:sz w:val="18"/>
                <w:szCs w:val="18"/>
              </w:rPr>
              <w:t>Esteves</w:t>
            </w:r>
            <w:proofErr w:type="spellEnd"/>
            <w:r w:rsidRPr="00F0474A">
              <w:rPr>
                <w:sz w:val="18"/>
                <w:szCs w:val="18"/>
              </w:rPr>
              <w:t xml:space="preserve"> 2016</w:t>
            </w:r>
          </w:p>
        </w:tc>
        <w:tc>
          <w:tcPr>
            <w:tcW w:w="1164" w:type="dxa"/>
          </w:tcPr>
          <w:p w:rsidR="007F4F7A" w:rsidRPr="00F0474A" w:rsidRDefault="007F4F7A" w:rsidP="007F4F7A">
            <w:pPr>
              <w:rPr>
                <w:sz w:val="18"/>
                <w:szCs w:val="18"/>
              </w:rPr>
            </w:pPr>
            <w:r w:rsidRPr="00F0474A">
              <w:rPr>
                <w:sz w:val="18"/>
                <w:szCs w:val="18"/>
              </w:rPr>
              <w:t>Portugal</w:t>
            </w:r>
          </w:p>
        </w:tc>
        <w:tc>
          <w:tcPr>
            <w:tcW w:w="2948" w:type="dxa"/>
          </w:tcPr>
          <w:p w:rsidR="007F4F7A" w:rsidRPr="00F0474A" w:rsidRDefault="007F4F7A" w:rsidP="007F4F7A">
            <w:pPr>
              <w:rPr>
                <w:sz w:val="18"/>
                <w:szCs w:val="18"/>
              </w:rPr>
            </w:pPr>
            <w:r w:rsidRPr="00F0474A">
              <w:rPr>
                <w:sz w:val="18"/>
                <w:szCs w:val="18"/>
              </w:rPr>
              <w:t>270 male patients aged 65+ admitted to a medical ward</w:t>
            </w:r>
          </w:p>
        </w:tc>
        <w:tc>
          <w:tcPr>
            <w:tcW w:w="2410" w:type="dxa"/>
          </w:tcPr>
          <w:p w:rsidR="007F4F7A" w:rsidRPr="00F0474A" w:rsidRDefault="007F4F7A" w:rsidP="007F4F7A">
            <w:pPr>
              <w:rPr>
                <w:sz w:val="18"/>
                <w:szCs w:val="18"/>
              </w:rPr>
            </w:pPr>
            <w:r w:rsidRPr="00F0474A">
              <w:rPr>
                <w:sz w:val="18"/>
                <w:szCs w:val="18"/>
              </w:rPr>
              <w:t>Prospective cohort study</w:t>
            </w:r>
          </w:p>
        </w:tc>
        <w:tc>
          <w:tcPr>
            <w:tcW w:w="5812" w:type="dxa"/>
          </w:tcPr>
          <w:p w:rsidR="007F4F7A" w:rsidRPr="00F0474A" w:rsidRDefault="007F4F7A" w:rsidP="007F4F7A">
            <w:pPr>
              <w:rPr>
                <w:sz w:val="18"/>
                <w:szCs w:val="18"/>
              </w:rPr>
            </w:pPr>
            <w:r w:rsidRPr="00F0474A">
              <w:rPr>
                <w:sz w:val="18"/>
                <w:szCs w:val="18"/>
              </w:rPr>
              <w:t xml:space="preserve">Mortality rates of patients with/without dementia were similar: </w:t>
            </w:r>
            <w:r w:rsidRPr="00F0474A">
              <w:rPr>
                <w:rFonts w:cs="Segoe UI"/>
                <w:sz w:val="18"/>
                <w:szCs w:val="18"/>
              </w:rPr>
              <w:t xml:space="preserve">12.1% </w:t>
            </w:r>
            <w:proofErr w:type="spellStart"/>
            <w:r w:rsidRPr="00F0474A">
              <w:rPr>
                <w:rFonts w:cs="Segoe UI"/>
                <w:sz w:val="18"/>
                <w:szCs w:val="18"/>
              </w:rPr>
              <w:t>vs</w:t>
            </w:r>
            <w:proofErr w:type="spellEnd"/>
            <w:r w:rsidRPr="00F0474A">
              <w:rPr>
                <w:rFonts w:cs="Segoe UI"/>
                <w:sz w:val="18"/>
                <w:szCs w:val="18"/>
              </w:rPr>
              <w:t xml:space="preserve"> 7.1%; P = 0.204</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Zekry</w:t>
            </w:r>
            <w:proofErr w:type="spellEnd"/>
            <w:r w:rsidRPr="00F0474A">
              <w:rPr>
                <w:sz w:val="18"/>
                <w:szCs w:val="18"/>
              </w:rPr>
              <w:t xml:space="preserve"> 2011</w:t>
            </w:r>
          </w:p>
        </w:tc>
        <w:tc>
          <w:tcPr>
            <w:tcW w:w="1164" w:type="dxa"/>
          </w:tcPr>
          <w:p w:rsidR="007F4F7A" w:rsidRPr="00F0474A" w:rsidRDefault="007F4F7A" w:rsidP="007F4F7A">
            <w:pPr>
              <w:rPr>
                <w:sz w:val="18"/>
                <w:szCs w:val="18"/>
              </w:rPr>
            </w:pPr>
            <w:r w:rsidRPr="00F0474A">
              <w:rPr>
                <w:sz w:val="18"/>
                <w:szCs w:val="18"/>
              </w:rPr>
              <w:t>Switzerland</w:t>
            </w:r>
          </w:p>
        </w:tc>
        <w:tc>
          <w:tcPr>
            <w:tcW w:w="2948" w:type="dxa"/>
          </w:tcPr>
          <w:p w:rsidR="007F4F7A" w:rsidRPr="00F0474A" w:rsidRDefault="007F4F7A" w:rsidP="007F4F7A">
            <w:pPr>
              <w:rPr>
                <w:sz w:val="18"/>
                <w:szCs w:val="18"/>
              </w:rPr>
            </w:pPr>
            <w:r w:rsidRPr="00F0474A">
              <w:rPr>
                <w:sz w:val="18"/>
                <w:szCs w:val="18"/>
              </w:rPr>
              <w:t>444 hospitalised patients aged 75+</w:t>
            </w:r>
          </w:p>
        </w:tc>
        <w:tc>
          <w:tcPr>
            <w:tcW w:w="2410" w:type="dxa"/>
          </w:tcPr>
          <w:p w:rsidR="007F4F7A" w:rsidRPr="00F0474A" w:rsidRDefault="007F4F7A" w:rsidP="007F4F7A">
            <w:pPr>
              <w:rPr>
                <w:sz w:val="18"/>
                <w:szCs w:val="18"/>
              </w:rPr>
            </w:pPr>
            <w:r w:rsidRPr="00F0474A">
              <w:rPr>
                <w:sz w:val="18"/>
                <w:szCs w:val="18"/>
              </w:rPr>
              <w:t>Prospective cohort</w:t>
            </w:r>
          </w:p>
          <w:p w:rsidR="007F4F7A" w:rsidRPr="00F0474A" w:rsidRDefault="007F4F7A" w:rsidP="007F4F7A">
            <w:pPr>
              <w:rPr>
                <w:sz w:val="18"/>
                <w:szCs w:val="18"/>
              </w:rPr>
            </w:pPr>
          </w:p>
        </w:tc>
        <w:tc>
          <w:tcPr>
            <w:tcW w:w="5812" w:type="dxa"/>
          </w:tcPr>
          <w:p w:rsidR="007F4F7A" w:rsidRPr="00F0474A" w:rsidRDefault="007F4F7A" w:rsidP="007F4F7A">
            <w:pPr>
              <w:rPr>
                <w:sz w:val="18"/>
                <w:szCs w:val="18"/>
              </w:rPr>
            </w:pPr>
            <w:r w:rsidRPr="00F0474A">
              <w:rPr>
                <w:sz w:val="18"/>
                <w:szCs w:val="18"/>
              </w:rPr>
              <w:t>No association between dementia (HR 0.65 [0.26-1.62]), or cognitive impairment (HR 1.08 [0.29-3.99]) and in-hospital mortality in univariate analyses.</w:t>
            </w:r>
          </w:p>
        </w:tc>
      </w:tr>
      <w:tr w:rsidR="007F4F7A" w:rsidRPr="00F0474A" w:rsidTr="00C07331">
        <w:tc>
          <w:tcPr>
            <w:tcW w:w="1666" w:type="dxa"/>
          </w:tcPr>
          <w:p w:rsidR="007F4F7A" w:rsidRPr="00F0474A" w:rsidRDefault="007F4F7A" w:rsidP="007F4F7A">
            <w:pPr>
              <w:rPr>
                <w:sz w:val="18"/>
                <w:szCs w:val="18"/>
              </w:rPr>
            </w:pPr>
            <w:r w:rsidRPr="00F0474A">
              <w:rPr>
                <w:sz w:val="18"/>
                <w:szCs w:val="18"/>
              </w:rPr>
              <w:t>Travers 2014</w:t>
            </w:r>
          </w:p>
        </w:tc>
        <w:tc>
          <w:tcPr>
            <w:tcW w:w="1164" w:type="dxa"/>
          </w:tcPr>
          <w:p w:rsidR="007F4F7A" w:rsidRPr="00F0474A" w:rsidRDefault="007F4F7A" w:rsidP="007F4F7A">
            <w:pPr>
              <w:rPr>
                <w:sz w:val="18"/>
                <w:szCs w:val="18"/>
              </w:rPr>
            </w:pPr>
            <w:r w:rsidRPr="00F0474A">
              <w:rPr>
                <w:sz w:val="18"/>
                <w:szCs w:val="18"/>
              </w:rPr>
              <w:t>Australia</w:t>
            </w:r>
          </w:p>
        </w:tc>
        <w:tc>
          <w:tcPr>
            <w:tcW w:w="2948" w:type="dxa"/>
          </w:tcPr>
          <w:p w:rsidR="007F4F7A" w:rsidRPr="00F0474A" w:rsidRDefault="007F4F7A" w:rsidP="007F4F7A">
            <w:pPr>
              <w:rPr>
                <w:sz w:val="18"/>
                <w:szCs w:val="18"/>
              </w:rPr>
            </w:pPr>
            <w:r w:rsidRPr="00F0474A">
              <w:rPr>
                <w:sz w:val="18"/>
                <w:szCs w:val="18"/>
              </w:rPr>
              <w:t>493 patients aged 70+, with (n=102) and without (n=391) dementia</w:t>
            </w:r>
          </w:p>
        </w:tc>
        <w:tc>
          <w:tcPr>
            <w:tcW w:w="2410" w:type="dxa"/>
          </w:tcPr>
          <w:p w:rsidR="007F4F7A" w:rsidRPr="00F0474A" w:rsidRDefault="007F4F7A" w:rsidP="007F4F7A">
            <w:pPr>
              <w:rPr>
                <w:sz w:val="18"/>
                <w:szCs w:val="18"/>
              </w:rPr>
            </w:pPr>
            <w:r w:rsidRPr="00F0474A">
              <w:rPr>
                <w:sz w:val="18"/>
                <w:szCs w:val="18"/>
              </w:rPr>
              <w:t>Prospective cohort study</w:t>
            </w:r>
          </w:p>
        </w:tc>
        <w:tc>
          <w:tcPr>
            <w:tcW w:w="5812" w:type="dxa"/>
          </w:tcPr>
          <w:p w:rsidR="007F4F7A" w:rsidRPr="00F0474A" w:rsidRDefault="007F4F7A" w:rsidP="007F4F7A">
            <w:pPr>
              <w:rPr>
                <w:sz w:val="18"/>
                <w:szCs w:val="18"/>
              </w:rPr>
            </w:pPr>
            <w:r w:rsidRPr="00F0474A">
              <w:rPr>
                <w:sz w:val="18"/>
                <w:szCs w:val="18"/>
              </w:rPr>
              <w:t xml:space="preserve">No difference between mortality rates of people with/without dementia: 5% </w:t>
            </w:r>
            <w:proofErr w:type="spellStart"/>
            <w:r w:rsidRPr="00F0474A">
              <w:rPr>
                <w:sz w:val="18"/>
                <w:szCs w:val="18"/>
              </w:rPr>
              <w:t>vs</w:t>
            </w:r>
            <w:proofErr w:type="spellEnd"/>
            <w:r w:rsidRPr="00F0474A">
              <w:rPr>
                <w:sz w:val="18"/>
                <w:szCs w:val="18"/>
              </w:rPr>
              <w:t xml:space="preserve"> 9%, p=0.58</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Avelino</w:t>
            </w:r>
            <w:proofErr w:type="spellEnd"/>
            <w:r w:rsidRPr="00F0474A">
              <w:rPr>
                <w:sz w:val="18"/>
                <w:szCs w:val="18"/>
              </w:rPr>
              <w:t>-Silva 2017</w:t>
            </w:r>
          </w:p>
        </w:tc>
        <w:tc>
          <w:tcPr>
            <w:tcW w:w="1164" w:type="dxa"/>
          </w:tcPr>
          <w:p w:rsidR="007F4F7A" w:rsidRPr="00F0474A" w:rsidRDefault="007F4F7A" w:rsidP="007F4F7A">
            <w:pPr>
              <w:rPr>
                <w:sz w:val="18"/>
                <w:szCs w:val="18"/>
              </w:rPr>
            </w:pPr>
            <w:r w:rsidRPr="00F0474A">
              <w:rPr>
                <w:sz w:val="18"/>
                <w:szCs w:val="18"/>
              </w:rPr>
              <w:t>Brazil</w:t>
            </w:r>
          </w:p>
        </w:tc>
        <w:tc>
          <w:tcPr>
            <w:tcW w:w="2948" w:type="dxa"/>
          </w:tcPr>
          <w:p w:rsidR="007F4F7A" w:rsidRPr="00F0474A" w:rsidRDefault="007F4F7A" w:rsidP="007F4F7A">
            <w:pPr>
              <w:rPr>
                <w:sz w:val="18"/>
                <w:szCs w:val="18"/>
              </w:rPr>
            </w:pPr>
            <w:r w:rsidRPr="00F0474A">
              <w:rPr>
                <w:sz w:val="18"/>
                <w:szCs w:val="18"/>
              </w:rPr>
              <w:t>1,409 patients aged 60+ with acute admission to a geriatric ward</w:t>
            </w:r>
          </w:p>
        </w:tc>
        <w:tc>
          <w:tcPr>
            <w:tcW w:w="2410" w:type="dxa"/>
          </w:tcPr>
          <w:p w:rsidR="007F4F7A" w:rsidRPr="00F0474A" w:rsidRDefault="007F4F7A" w:rsidP="007F4F7A">
            <w:pPr>
              <w:rPr>
                <w:sz w:val="18"/>
                <w:szCs w:val="18"/>
              </w:rPr>
            </w:pPr>
            <w:r w:rsidRPr="00F0474A">
              <w:rPr>
                <w:sz w:val="18"/>
                <w:szCs w:val="18"/>
              </w:rPr>
              <w:t>Prospective cohort study</w:t>
            </w:r>
          </w:p>
          <w:p w:rsidR="007F4F7A" w:rsidRPr="00F0474A" w:rsidRDefault="007F4F7A" w:rsidP="007F4F7A">
            <w:pPr>
              <w:rPr>
                <w:sz w:val="18"/>
                <w:szCs w:val="18"/>
              </w:rPr>
            </w:pPr>
          </w:p>
        </w:tc>
        <w:tc>
          <w:tcPr>
            <w:tcW w:w="5812" w:type="dxa"/>
          </w:tcPr>
          <w:p w:rsidR="007F4F7A" w:rsidRPr="00F0474A" w:rsidRDefault="007F4F7A" w:rsidP="007F4F7A">
            <w:pPr>
              <w:rPr>
                <w:sz w:val="18"/>
                <w:szCs w:val="18"/>
              </w:rPr>
            </w:pPr>
            <w:r w:rsidRPr="00F0474A">
              <w:rPr>
                <w:rFonts w:cs="Segoe UI"/>
                <w:sz w:val="18"/>
                <w:szCs w:val="18"/>
              </w:rPr>
              <w:t xml:space="preserve">Mortality rates were 8% for patients without delirium or dementia, 12% for patients with dementia alone, 29% for patients with delirium alone, and 32% for patients with delirium superimposed on dementia (DSD) (Pearson Chi-square = 112, p &lt; 0.001). DSD and delirium alone were independently associated with in-hospital mortality: hazard ratios </w:t>
            </w:r>
            <w:proofErr w:type="spellStart"/>
            <w:r w:rsidRPr="00F0474A">
              <w:rPr>
                <w:rFonts w:cs="Segoe UI"/>
                <w:sz w:val="18"/>
                <w:szCs w:val="18"/>
              </w:rPr>
              <w:t>ratios</w:t>
            </w:r>
            <w:proofErr w:type="spellEnd"/>
            <w:r w:rsidRPr="00F0474A">
              <w:rPr>
                <w:rFonts w:cs="Segoe UI"/>
                <w:sz w:val="18"/>
                <w:szCs w:val="18"/>
              </w:rPr>
              <w:t xml:space="preserve"> (HRs) of 2.14 [1.33-3.45], p = 0.002 and 2.72 ([1.77-4.18], p &lt; 0.001, but </w:t>
            </w:r>
            <w:r w:rsidRPr="00F0474A">
              <w:rPr>
                <w:sz w:val="18"/>
                <w:szCs w:val="18"/>
              </w:rPr>
              <w:t>o association between</w:t>
            </w:r>
            <w:r w:rsidRPr="00F0474A">
              <w:rPr>
                <w:rFonts w:cs="Segoe UI"/>
                <w:sz w:val="18"/>
                <w:szCs w:val="18"/>
              </w:rPr>
              <w:t xml:space="preserve"> dementia and in-hospital mortality was found in patients who did not experience delirium during hospitalisation: HR 1.69 [0.72-2.30], p = 0.385.</w:t>
            </w:r>
          </w:p>
        </w:tc>
      </w:tr>
      <w:tr w:rsidR="007F4F7A" w:rsidRPr="00F0474A" w:rsidTr="00C07331">
        <w:tc>
          <w:tcPr>
            <w:tcW w:w="1666" w:type="dxa"/>
          </w:tcPr>
          <w:p w:rsidR="007F4F7A" w:rsidRPr="00F0474A" w:rsidRDefault="007F4F7A" w:rsidP="007F4F7A">
            <w:pPr>
              <w:rPr>
                <w:sz w:val="18"/>
                <w:szCs w:val="18"/>
              </w:rPr>
            </w:pPr>
            <w:r w:rsidRPr="00F0474A">
              <w:rPr>
                <w:sz w:val="18"/>
                <w:szCs w:val="18"/>
              </w:rPr>
              <w:t>Thomas 2013</w:t>
            </w:r>
          </w:p>
        </w:tc>
        <w:tc>
          <w:tcPr>
            <w:tcW w:w="1164" w:type="dxa"/>
          </w:tcPr>
          <w:p w:rsidR="007F4F7A" w:rsidRPr="00F0474A" w:rsidRDefault="007F4F7A" w:rsidP="007F4F7A">
            <w:pPr>
              <w:rPr>
                <w:sz w:val="18"/>
                <w:szCs w:val="18"/>
              </w:rPr>
            </w:pPr>
            <w:r w:rsidRPr="00F0474A">
              <w:rPr>
                <w:sz w:val="18"/>
                <w:szCs w:val="18"/>
              </w:rPr>
              <w:t>Various</w:t>
            </w:r>
          </w:p>
        </w:tc>
        <w:tc>
          <w:tcPr>
            <w:tcW w:w="2948" w:type="dxa"/>
          </w:tcPr>
          <w:p w:rsidR="007F4F7A" w:rsidRPr="00F0474A" w:rsidRDefault="007F4F7A" w:rsidP="00CF469E">
            <w:pPr>
              <w:rPr>
                <w:sz w:val="18"/>
                <w:szCs w:val="18"/>
              </w:rPr>
            </w:pPr>
            <w:r w:rsidRPr="00F0474A">
              <w:rPr>
                <w:rFonts w:cs="Segoe UI"/>
                <w:sz w:val="18"/>
                <w:szCs w:val="18"/>
              </w:rPr>
              <w:t>Prospective studies consisting of persons aged 65 and older that evaluated the association between at least one health-related participant characteristic and mortality within a year in multivariable analysis</w:t>
            </w:r>
            <w:r w:rsidR="00CF469E">
              <w:rPr>
                <w:rFonts w:cs="Segoe UI"/>
                <w:sz w:val="18"/>
                <w:szCs w:val="18"/>
              </w:rPr>
              <w:t>.</w:t>
            </w:r>
          </w:p>
        </w:tc>
        <w:tc>
          <w:tcPr>
            <w:tcW w:w="2410" w:type="dxa"/>
          </w:tcPr>
          <w:p w:rsidR="007F4F7A" w:rsidRPr="00F0474A" w:rsidRDefault="007F4F7A" w:rsidP="007F4F7A">
            <w:pPr>
              <w:rPr>
                <w:sz w:val="18"/>
                <w:szCs w:val="18"/>
              </w:rPr>
            </w:pPr>
            <w:r w:rsidRPr="00F0474A">
              <w:rPr>
                <w:sz w:val="18"/>
                <w:szCs w:val="18"/>
              </w:rPr>
              <w:t>Systematic review</w:t>
            </w:r>
            <w:r w:rsidR="00CF469E">
              <w:rPr>
                <w:sz w:val="18"/>
                <w:szCs w:val="18"/>
              </w:rPr>
              <w:t>, including 28 studies in hospitals</w:t>
            </w:r>
          </w:p>
        </w:tc>
        <w:tc>
          <w:tcPr>
            <w:tcW w:w="5812" w:type="dxa"/>
          </w:tcPr>
          <w:p w:rsidR="007F4F7A" w:rsidRPr="00F0474A" w:rsidRDefault="007F4F7A" w:rsidP="007F4F7A">
            <w:pPr>
              <w:rPr>
                <w:sz w:val="18"/>
                <w:szCs w:val="18"/>
              </w:rPr>
            </w:pPr>
            <w:r w:rsidRPr="00F0474A">
              <w:rPr>
                <w:sz w:val="18"/>
                <w:szCs w:val="18"/>
              </w:rPr>
              <w:t xml:space="preserve">Cognitive function associated with in-hospital mortality in 6 of 12 studies (50%). </w:t>
            </w:r>
          </w:p>
          <w:p w:rsidR="007F4F7A" w:rsidRPr="00F0474A" w:rsidRDefault="007F4F7A" w:rsidP="007F4F7A">
            <w:pPr>
              <w:rPr>
                <w:sz w:val="18"/>
                <w:szCs w:val="18"/>
              </w:rPr>
            </w:pPr>
          </w:p>
        </w:tc>
      </w:tr>
      <w:tr w:rsidR="007F4F7A" w:rsidRPr="00F0474A" w:rsidTr="00C07331">
        <w:tc>
          <w:tcPr>
            <w:tcW w:w="1666" w:type="dxa"/>
          </w:tcPr>
          <w:p w:rsidR="007F4F7A" w:rsidRPr="00F0474A" w:rsidRDefault="004E3294" w:rsidP="007F4F7A">
            <w:pPr>
              <w:rPr>
                <w:sz w:val="18"/>
                <w:szCs w:val="18"/>
              </w:rPr>
            </w:pPr>
            <w:proofErr w:type="spellStart"/>
            <w:r>
              <w:rPr>
                <w:sz w:val="18"/>
                <w:szCs w:val="18"/>
              </w:rPr>
              <w:t>Zekry</w:t>
            </w:r>
            <w:proofErr w:type="spellEnd"/>
            <w:r w:rsidR="007F4F7A" w:rsidRPr="00F0474A">
              <w:rPr>
                <w:sz w:val="18"/>
                <w:szCs w:val="18"/>
              </w:rPr>
              <w:t xml:space="preserve"> 2009</w:t>
            </w:r>
          </w:p>
        </w:tc>
        <w:tc>
          <w:tcPr>
            <w:tcW w:w="1164" w:type="dxa"/>
          </w:tcPr>
          <w:p w:rsidR="007F4F7A" w:rsidRPr="00F0474A" w:rsidRDefault="007F4F7A" w:rsidP="007F4F7A">
            <w:pPr>
              <w:rPr>
                <w:sz w:val="18"/>
                <w:szCs w:val="18"/>
              </w:rPr>
            </w:pPr>
            <w:r w:rsidRPr="00F0474A">
              <w:rPr>
                <w:sz w:val="18"/>
                <w:szCs w:val="18"/>
              </w:rPr>
              <w:t>Switzerland</w:t>
            </w:r>
          </w:p>
        </w:tc>
        <w:tc>
          <w:tcPr>
            <w:tcW w:w="2948" w:type="dxa"/>
          </w:tcPr>
          <w:p w:rsidR="007F4F7A" w:rsidRPr="00F0474A" w:rsidRDefault="007F4F7A" w:rsidP="007F4F7A">
            <w:pPr>
              <w:rPr>
                <w:sz w:val="18"/>
                <w:szCs w:val="18"/>
              </w:rPr>
            </w:pPr>
            <w:r w:rsidRPr="00F0474A">
              <w:rPr>
                <w:sz w:val="18"/>
                <w:szCs w:val="18"/>
              </w:rPr>
              <w:t>435 hospital patients aged 80+</w:t>
            </w:r>
          </w:p>
        </w:tc>
        <w:tc>
          <w:tcPr>
            <w:tcW w:w="2410" w:type="dxa"/>
          </w:tcPr>
          <w:p w:rsidR="007F4F7A" w:rsidRPr="00F0474A" w:rsidRDefault="007F4F7A" w:rsidP="007F4F7A">
            <w:pPr>
              <w:rPr>
                <w:sz w:val="18"/>
                <w:szCs w:val="18"/>
              </w:rPr>
            </w:pPr>
            <w:r w:rsidRPr="00F0474A">
              <w:rPr>
                <w:sz w:val="18"/>
                <w:szCs w:val="18"/>
              </w:rPr>
              <w:t>Prospective cohort</w:t>
            </w:r>
          </w:p>
          <w:p w:rsidR="007F4F7A" w:rsidRPr="00F0474A" w:rsidRDefault="007F4F7A" w:rsidP="007F4F7A">
            <w:pPr>
              <w:rPr>
                <w:sz w:val="18"/>
                <w:szCs w:val="18"/>
              </w:rPr>
            </w:pPr>
          </w:p>
        </w:tc>
        <w:tc>
          <w:tcPr>
            <w:tcW w:w="5812" w:type="dxa"/>
          </w:tcPr>
          <w:p w:rsidR="007F4F7A" w:rsidRPr="00F0474A" w:rsidRDefault="007F4F7A" w:rsidP="007F4F7A">
            <w:pPr>
              <w:rPr>
                <w:sz w:val="18"/>
                <w:szCs w:val="18"/>
              </w:rPr>
            </w:pPr>
            <w:r w:rsidRPr="00F0474A">
              <w:rPr>
                <w:rFonts w:cs="Segoe UI"/>
                <w:sz w:val="18"/>
                <w:szCs w:val="18"/>
              </w:rPr>
              <w:t xml:space="preserve">There was no association between presence or severity of dementia or cognitive impairment and mortality in multivariate analysis: patients with </w:t>
            </w:r>
            <w:r w:rsidRPr="00F0474A">
              <w:rPr>
                <w:rFonts w:cs="Segoe UI"/>
                <w:sz w:val="18"/>
                <w:szCs w:val="18"/>
              </w:rPr>
              <w:lastRenderedPageBreak/>
              <w:t xml:space="preserve">dementia: 3.9% </w:t>
            </w:r>
            <w:proofErr w:type="spellStart"/>
            <w:r w:rsidRPr="00F0474A">
              <w:rPr>
                <w:rFonts w:cs="Segoe UI"/>
                <w:sz w:val="18"/>
                <w:szCs w:val="18"/>
              </w:rPr>
              <w:t>vs</w:t>
            </w:r>
            <w:proofErr w:type="spellEnd"/>
            <w:r w:rsidRPr="00F0474A">
              <w:rPr>
                <w:rFonts w:cs="Segoe UI"/>
                <w:sz w:val="18"/>
                <w:szCs w:val="18"/>
              </w:rPr>
              <w:t xml:space="preserve"> 6.3% with MCI and 5.8% with normal cognition, p=0.641. Clinical dementia rating (CDR) 0.5-1: OR 0.83 [0.07-9.59], CDR 2-3: OR 1.28 [1.12-13.52]</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lastRenderedPageBreak/>
              <w:t>Freedberg</w:t>
            </w:r>
            <w:proofErr w:type="spellEnd"/>
            <w:r w:rsidRPr="00F0474A">
              <w:rPr>
                <w:sz w:val="18"/>
                <w:szCs w:val="18"/>
              </w:rPr>
              <w:t xml:space="preserve"> 2008</w:t>
            </w:r>
          </w:p>
        </w:tc>
        <w:tc>
          <w:tcPr>
            <w:tcW w:w="1164" w:type="dxa"/>
          </w:tcPr>
          <w:p w:rsidR="007F4F7A" w:rsidRPr="00F0474A" w:rsidRDefault="007F4F7A" w:rsidP="007F4F7A">
            <w:pPr>
              <w:rPr>
                <w:sz w:val="18"/>
                <w:szCs w:val="18"/>
              </w:rPr>
            </w:pPr>
            <w:r w:rsidRPr="00F0474A">
              <w:rPr>
                <w:sz w:val="18"/>
                <w:szCs w:val="18"/>
              </w:rPr>
              <w:t>U.S.A.</w:t>
            </w:r>
          </w:p>
        </w:tc>
        <w:tc>
          <w:tcPr>
            <w:tcW w:w="2948" w:type="dxa"/>
          </w:tcPr>
          <w:p w:rsidR="007F4F7A" w:rsidRPr="00F0474A" w:rsidRDefault="007F4F7A" w:rsidP="007F4F7A">
            <w:pPr>
              <w:rPr>
                <w:sz w:val="18"/>
                <w:szCs w:val="18"/>
              </w:rPr>
            </w:pPr>
            <w:r w:rsidRPr="00F0474A">
              <w:rPr>
                <w:sz w:val="18"/>
                <w:szCs w:val="18"/>
              </w:rPr>
              <w:t>Hospitalised patients aged 85+ and above with/without cognitive impairment (100 in each group)</w:t>
            </w:r>
          </w:p>
        </w:tc>
        <w:tc>
          <w:tcPr>
            <w:tcW w:w="2410" w:type="dxa"/>
          </w:tcPr>
          <w:p w:rsidR="007F4F7A" w:rsidRPr="00F0474A" w:rsidRDefault="007F4F7A" w:rsidP="007F4F7A">
            <w:pPr>
              <w:rPr>
                <w:sz w:val="18"/>
                <w:szCs w:val="18"/>
              </w:rPr>
            </w:pPr>
            <w:r w:rsidRPr="00F0474A">
              <w:rPr>
                <w:sz w:val="18"/>
                <w:szCs w:val="18"/>
              </w:rPr>
              <w:t>Matched cohort on age and date of admission.</w:t>
            </w:r>
          </w:p>
          <w:p w:rsidR="007F4F7A" w:rsidRPr="00F0474A" w:rsidRDefault="007F4F7A" w:rsidP="007F4F7A">
            <w:pPr>
              <w:rPr>
                <w:sz w:val="18"/>
                <w:szCs w:val="18"/>
              </w:rPr>
            </w:pPr>
          </w:p>
        </w:tc>
        <w:tc>
          <w:tcPr>
            <w:tcW w:w="5812" w:type="dxa"/>
          </w:tcPr>
          <w:p w:rsidR="007F4F7A" w:rsidRPr="00F0474A" w:rsidRDefault="007F4F7A" w:rsidP="007F4F7A">
            <w:pPr>
              <w:rPr>
                <w:sz w:val="18"/>
                <w:szCs w:val="18"/>
              </w:rPr>
            </w:pPr>
            <w:r w:rsidRPr="00F0474A">
              <w:rPr>
                <w:sz w:val="18"/>
                <w:szCs w:val="18"/>
              </w:rPr>
              <w:t>Cognitive impairment was not associated with increased mortality in multivariate analysis: HR 3.99 [0.42-37.90]</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Kimata</w:t>
            </w:r>
            <w:proofErr w:type="spellEnd"/>
            <w:r w:rsidRPr="00F0474A">
              <w:rPr>
                <w:sz w:val="18"/>
                <w:szCs w:val="18"/>
              </w:rPr>
              <w:t xml:space="preserve"> 2008</w:t>
            </w:r>
          </w:p>
        </w:tc>
        <w:tc>
          <w:tcPr>
            <w:tcW w:w="1164" w:type="dxa"/>
          </w:tcPr>
          <w:p w:rsidR="007F4F7A" w:rsidRPr="00F0474A" w:rsidRDefault="007F4F7A" w:rsidP="007F4F7A">
            <w:pPr>
              <w:rPr>
                <w:sz w:val="18"/>
                <w:szCs w:val="18"/>
              </w:rPr>
            </w:pPr>
            <w:r w:rsidRPr="00F0474A">
              <w:rPr>
                <w:sz w:val="18"/>
                <w:szCs w:val="18"/>
              </w:rPr>
              <w:t>Japan</w:t>
            </w:r>
          </w:p>
        </w:tc>
        <w:tc>
          <w:tcPr>
            <w:tcW w:w="2948" w:type="dxa"/>
          </w:tcPr>
          <w:p w:rsidR="007F4F7A" w:rsidRPr="00F0474A" w:rsidRDefault="007F4F7A" w:rsidP="007F4F7A">
            <w:pPr>
              <w:rPr>
                <w:sz w:val="18"/>
                <w:szCs w:val="18"/>
              </w:rPr>
            </w:pPr>
            <w:r w:rsidRPr="00F0474A">
              <w:rPr>
                <w:sz w:val="18"/>
                <w:szCs w:val="18"/>
              </w:rPr>
              <w:t>Older patients with (n=62) and without dementia (n=1,775) with acute myocardial infarction (AMI)</w:t>
            </w:r>
          </w:p>
        </w:tc>
        <w:tc>
          <w:tcPr>
            <w:tcW w:w="2410" w:type="dxa"/>
          </w:tcPr>
          <w:p w:rsidR="007F4F7A" w:rsidRPr="00F0474A" w:rsidRDefault="007F4F7A" w:rsidP="007F4F7A">
            <w:pPr>
              <w:rPr>
                <w:sz w:val="18"/>
                <w:szCs w:val="18"/>
              </w:rPr>
            </w:pPr>
            <w:r w:rsidRPr="00F0474A">
              <w:rPr>
                <w:sz w:val="18"/>
                <w:szCs w:val="18"/>
              </w:rPr>
              <w:t>Prospective cohort</w:t>
            </w:r>
          </w:p>
        </w:tc>
        <w:tc>
          <w:tcPr>
            <w:tcW w:w="5812" w:type="dxa"/>
          </w:tcPr>
          <w:p w:rsidR="007F4F7A" w:rsidRPr="00F0474A" w:rsidRDefault="007F4F7A" w:rsidP="007F4F7A">
            <w:pPr>
              <w:rPr>
                <w:rFonts w:cs="Segoe UI"/>
                <w:sz w:val="18"/>
                <w:szCs w:val="18"/>
              </w:rPr>
            </w:pPr>
            <w:r w:rsidRPr="00F0474A">
              <w:rPr>
                <w:rFonts w:cs="Segoe UI"/>
                <w:sz w:val="18"/>
                <w:szCs w:val="18"/>
              </w:rPr>
              <w:t xml:space="preserve">Dementia had no association with increased mortality: 17.7% </w:t>
            </w:r>
            <w:proofErr w:type="spellStart"/>
            <w:r w:rsidRPr="00F0474A">
              <w:rPr>
                <w:rFonts w:cs="Segoe UI"/>
                <w:sz w:val="18"/>
                <w:szCs w:val="18"/>
              </w:rPr>
              <w:t>vs</w:t>
            </w:r>
            <w:proofErr w:type="spellEnd"/>
            <w:r w:rsidRPr="00F0474A">
              <w:rPr>
                <w:rFonts w:cs="Segoe UI"/>
                <w:sz w:val="18"/>
                <w:szCs w:val="18"/>
              </w:rPr>
              <w:t xml:space="preserve"> 11.1%, p=0.101</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Tehrani</w:t>
            </w:r>
            <w:proofErr w:type="spellEnd"/>
            <w:r w:rsidRPr="00F0474A">
              <w:rPr>
                <w:sz w:val="18"/>
                <w:szCs w:val="18"/>
              </w:rPr>
              <w:t xml:space="preserve"> 2013</w:t>
            </w:r>
          </w:p>
        </w:tc>
        <w:tc>
          <w:tcPr>
            <w:tcW w:w="1164" w:type="dxa"/>
          </w:tcPr>
          <w:p w:rsidR="007F4F7A" w:rsidRPr="00F0474A" w:rsidRDefault="007F4F7A" w:rsidP="007F4F7A">
            <w:pPr>
              <w:rPr>
                <w:sz w:val="18"/>
                <w:szCs w:val="18"/>
              </w:rPr>
            </w:pPr>
            <w:r w:rsidRPr="00F0474A">
              <w:rPr>
                <w:sz w:val="18"/>
                <w:szCs w:val="18"/>
              </w:rPr>
              <w:t>America</w:t>
            </w:r>
          </w:p>
        </w:tc>
        <w:tc>
          <w:tcPr>
            <w:tcW w:w="2948" w:type="dxa"/>
          </w:tcPr>
          <w:p w:rsidR="007F4F7A" w:rsidRPr="00F0474A" w:rsidRDefault="007F4F7A" w:rsidP="007F4F7A">
            <w:pPr>
              <w:rPr>
                <w:sz w:val="18"/>
                <w:szCs w:val="18"/>
              </w:rPr>
            </w:pPr>
            <w:r w:rsidRPr="00F0474A">
              <w:rPr>
                <w:sz w:val="18"/>
                <w:szCs w:val="18"/>
              </w:rPr>
              <w:t xml:space="preserve">631,734 Older patients with (n=15,335)/without dementia with AMI </w:t>
            </w:r>
          </w:p>
        </w:tc>
        <w:tc>
          <w:tcPr>
            <w:tcW w:w="2410" w:type="dxa"/>
          </w:tcPr>
          <w:p w:rsidR="007F4F7A" w:rsidRPr="00F0474A" w:rsidRDefault="007F4F7A" w:rsidP="007F4F7A">
            <w:pPr>
              <w:rPr>
                <w:sz w:val="18"/>
                <w:szCs w:val="18"/>
              </w:rPr>
            </w:pPr>
            <w:r w:rsidRPr="00F0474A">
              <w:rPr>
                <w:sz w:val="18"/>
                <w:szCs w:val="18"/>
              </w:rPr>
              <w:t>Retrospective cohort.</w:t>
            </w:r>
          </w:p>
          <w:p w:rsidR="007F4F7A" w:rsidRPr="00F0474A" w:rsidRDefault="007F4F7A" w:rsidP="007F4F7A">
            <w:pPr>
              <w:rPr>
                <w:sz w:val="18"/>
                <w:szCs w:val="18"/>
              </w:rPr>
            </w:pPr>
          </w:p>
        </w:tc>
        <w:tc>
          <w:tcPr>
            <w:tcW w:w="5812" w:type="dxa"/>
          </w:tcPr>
          <w:p w:rsidR="007F4F7A" w:rsidRPr="00F0474A" w:rsidRDefault="007F4F7A" w:rsidP="007F4F7A">
            <w:pPr>
              <w:rPr>
                <w:rFonts w:cs="Segoe UI"/>
                <w:sz w:val="18"/>
                <w:szCs w:val="18"/>
              </w:rPr>
            </w:pPr>
            <w:r w:rsidRPr="00F0474A">
              <w:rPr>
                <w:sz w:val="18"/>
                <w:szCs w:val="18"/>
              </w:rPr>
              <w:t>Dementia was a significant predictor of in-hospital mortality for hospitalised individuals with AMI: OR 1.22 [1.15-1.29]. However, there was less likelihood of in-hospital mortality in participants with dementia who received diagnostic catheterization (OR 0.36 [0.16–0.78] p &lt; .001), Percutaneous coronary infusion (PCI) (OR 0.57 [0.47–0.70] p &lt; .001), or CABG (OR 0.22 [0.08–0.56] p &lt; .001) than in those not receiving interventions.</w:t>
            </w:r>
          </w:p>
        </w:tc>
      </w:tr>
      <w:tr w:rsidR="007F4F7A" w:rsidRPr="00F0474A" w:rsidTr="00C07331">
        <w:tc>
          <w:tcPr>
            <w:tcW w:w="1666" w:type="dxa"/>
          </w:tcPr>
          <w:p w:rsidR="007F4F7A" w:rsidRPr="00F0474A" w:rsidRDefault="007F4F7A" w:rsidP="007F4F7A">
            <w:pPr>
              <w:rPr>
                <w:sz w:val="18"/>
                <w:szCs w:val="18"/>
              </w:rPr>
            </w:pPr>
            <w:proofErr w:type="spellStart"/>
            <w:r w:rsidRPr="00F0474A">
              <w:rPr>
                <w:sz w:val="18"/>
                <w:szCs w:val="18"/>
              </w:rPr>
              <w:t>Grosmaitre</w:t>
            </w:r>
            <w:proofErr w:type="spellEnd"/>
            <w:r w:rsidRPr="00F0474A">
              <w:rPr>
                <w:sz w:val="18"/>
                <w:szCs w:val="18"/>
              </w:rPr>
              <w:t xml:space="preserve"> 2013</w:t>
            </w:r>
          </w:p>
        </w:tc>
        <w:tc>
          <w:tcPr>
            <w:tcW w:w="1164" w:type="dxa"/>
          </w:tcPr>
          <w:p w:rsidR="007F4F7A" w:rsidRPr="00F0474A" w:rsidRDefault="007F4F7A" w:rsidP="007F4F7A">
            <w:pPr>
              <w:rPr>
                <w:sz w:val="18"/>
                <w:szCs w:val="18"/>
              </w:rPr>
            </w:pPr>
            <w:r w:rsidRPr="00F0474A">
              <w:rPr>
                <w:sz w:val="18"/>
                <w:szCs w:val="18"/>
              </w:rPr>
              <w:t>France</w:t>
            </w:r>
          </w:p>
        </w:tc>
        <w:tc>
          <w:tcPr>
            <w:tcW w:w="2948" w:type="dxa"/>
          </w:tcPr>
          <w:p w:rsidR="007F4F7A" w:rsidRPr="00F0474A" w:rsidRDefault="007F4F7A" w:rsidP="007F4F7A">
            <w:pPr>
              <w:rPr>
                <w:sz w:val="18"/>
                <w:szCs w:val="18"/>
              </w:rPr>
            </w:pPr>
            <w:r w:rsidRPr="00F0474A">
              <w:rPr>
                <w:sz w:val="18"/>
                <w:szCs w:val="18"/>
              </w:rPr>
              <w:t xml:space="preserve">255 patients aged 75+ admitted to emergency departments with ST-segment elevation MI (STEMI), including 39 patients with dementia </w:t>
            </w:r>
          </w:p>
        </w:tc>
        <w:tc>
          <w:tcPr>
            <w:tcW w:w="2410" w:type="dxa"/>
          </w:tcPr>
          <w:p w:rsidR="007F4F7A" w:rsidRPr="00F0474A" w:rsidRDefault="007F4F7A" w:rsidP="007F4F7A">
            <w:pPr>
              <w:rPr>
                <w:sz w:val="18"/>
                <w:szCs w:val="18"/>
              </w:rPr>
            </w:pPr>
            <w:r w:rsidRPr="00F0474A">
              <w:rPr>
                <w:sz w:val="18"/>
                <w:szCs w:val="18"/>
              </w:rPr>
              <w:t>Retrospective cohort</w:t>
            </w:r>
          </w:p>
        </w:tc>
        <w:tc>
          <w:tcPr>
            <w:tcW w:w="5812" w:type="dxa"/>
          </w:tcPr>
          <w:p w:rsidR="007F4F7A" w:rsidRPr="00F0474A" w:rsidRDefault="007F4F7A" w:rsidP="00D5256E">
            <w:pPr>
              <w:rPr>
                <w:rFonts w:cs="Segoe UI"/>
                <w:sz w:val="18"/>
                <w:szCs w:val="18"/>
              </w:rPr>
            </w:pPr>
            <w:r w:rsidRPr="00F0474A">
              <w:rPr>
                <w:sz w:val="18"/>
                <w:szCs w:val="18"/>
              </w:rPr>
              <w:t>Of 39 patients with dementia, 34 (87.2%) had atypical symptoms at presentation, whilst 5 (4.8%) had chest pain. Atypical symptoms were significantly associated with treatment delays, reduced access to potentially lifesaving treatment, and consequently higher mortality rates at 1 month.</w:t>
            </w:r>
          </w:p>
        </w:tc>
      </w:tr>
      <w:tr w:rsidR="00D822C7" w:rsidRPr="00F0474A" w:rsidTr="00C07331">
        <w:tc>
          <w:tcPr>
            <w:tcW w:w="1666" w:type="dxa"/>
          </w:tcPr>
          <w:p w:rsidR="00D822C7" w:rsidRPr="00F0474A" w:rsidRDefault="00D822C7" w:rsidP="00985C0A">
            <w:pPr>
              <w:rPr>
                <w:sz w:val="18"/>
                <w:szCs w:val="18"/>
              </w:rPr>
            </w:pPr>
            <w:proofErr w:type="spellStart"/>
            <w:r w:rsidRPr="00F0474A">
              <w:rPr>
                <w:rFonts w:cs="Segoe UI"/>
                <w:sz w:val="18"/>
                <w:szCs w:val="18"/>
              </w:rPr>
              <w:t>S</w:t>
            </w:r>
            <w:r w:rsidRPr="00F0474A">
              <w:rPr>
                <w:sz w:val="18"/>
                <w:szCs w:val="18"/>
              </w:rPr>
              <w:t>aposnik</w:t>
            </w:r>
            <w:proofErr w:type="spellEnd"/>
            <w:r w:rsidRPr="00F0474A">
              <w:rPr>
                <w:sz w:val="18"/>
                <w:szCs w:val="18"/>
              </w:rPr>
              <w:t xml:space="preserve"> 2012</w:t>
            </w:r>
          </w:p>
        </w:tc>
        <w:tc>
          <w:tcPr>
            <w:tcW w:w="1164" w:type="dxa"/>
          </w:tcPr>
          <w:p w:rsidR="00D822C7" w:rsidRPr="00F0474A" w:rsidRDefault="00D822C7" w:rsidP="00985C0A">
            <w:pPr>
              <w:rPr>
                <w:sz w:val="18"/>
                <w:szCs w:val="18"/>
              </w:rPr>
            </w:pPr>
            <w:r w:rsidRPr="00F0474A">
              <w:rPr>
                <w:sz w:val="18"/>
                <w:szCs w:val="18"/>
              </w:rPr>
              <w:t>Canada</w:t>
            </w:r>
          </w:p>
        </w:tc>
        <w:tc>
          <w:tcPr>
            <w:tcW w:w="2948" w:type="dxa"/>
          </w:tcPr>
          <w:p w:rsidR="00D822C7" w:rsidRPr="00F0474A" w:rsidRDefault="00D822C7" w:rsidP="00985C0A">
            <w:pPr>
              <w:rPr>
                <w:sz w:val="18"/>
                <w:szCs w:val="18"/>
              </w:rPr>
            </w:pPr>
            <w:r w:rsidRPr="00F0474A">
              <w:rPr>
                <w:sz w:val="18"/>
                <w:szCs w:val="18"/>
              </w:rPr>
              <w:t xml:space="preserve">Patients admitted to hospital with stroke: 877 with dementia and 877 without dementia. </w:t>
            </w:r>
          </w:p>
        </w:tc>
        <w:tc>
          <w:tcPr>
            <w:tcW w:w="2410" w:type="dxa"/>
          </w:tcPr>
          <w:p w:rsidR="00D822C7" w:rsidRPr="00F0474A" w:rsidRDefault="00D822C7" w:rsidP="00985C0A">
            <w:pPr>
              <w:rPr>
                <w:sz w:val="18"/>
                <w:szCs w:val="18"/>
              </w:rPr>
            </w:pPr>
            <w:r w:rsidRPr="00F0474A">
              <w:rPr>
                <w:sz w:val="18"/>
                <w:szCs w:val="18"/>
              </w:rPr>
              <w:t>Retrospective propensity-score matched cohort study</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sz w:val="18"/>
                <w:szCs w:val="18"/>
              </w:rPr>
              <w:t>No significant difference in mortality at discharge between patients with/without dementia: risk ratio (</w:t>
            </w:r>
            <w:r w:rsidRPr="00F0474A">
              <w:rPr>
                <w:rFonts w:cs="Segoe UI"/>
                <w:sz w:val="18"/>
                <w:szCs w:val="18"/>
              </w:rPr>
              <w:t>RR) 0.88 [0.74-1.05].</w:t>
            </w:r>
          </w:p>
        </w:tc>
      </w:tr>
      <w:tr w:rsidR="00D822C7" w:rsidRPr="00F0474A" w:rsidTr="00C07331">
        <w:tc>
          <w:tcPr>
            <w:tcW w:w="1666" w:type="dxa"/>
          </w:tcPr>
          <w:p w:rsidR="00D822C7" w:rsidRPr="00F0474A" w:rsidRDefault="00D822C7" w:rsidP="00985C0A">
            <w:pPr>
              <w:rPr>
                <w:sz w:val="18"/>
                <w:szCs w:val="18"/>
              </w:rPr>
            </w:pPr>
            <w:proofErr w:type="spellStart"/>
            <w:r w:rsidRPr="00F0474A">
              <w:rPr>
                <w:sz w:val="18"/>
                <w:szCs w:val="18"/>
              </w:rPr>
              <w:t>Pisani</w:t>
            </w:r>
            <w:proofErr w:type="spellEnd"/>
            <w:r w:rsidRPr="00F0474A">
              <w:rPr>
                <w:sz w:val="18"/>
                <w:szCs w:val="18"/>
              </w:rPr>
              <w:t xml:space="preserve"> 2005</w:t>
            </w:r>
          </w:p>
        </w:tc>
        <w:tc>
          <w:tcPr>
            <w:tcW w:w="1164" w:type="dxa"/>
          </w:tcPr>
          <w:p w:rsidR="00D822C7" w:rsidRPr="00F0474A" w:rsidRDefault="00D822C7" w:rsidP="00985C0A">
            <w:pPr>
              <w:rPr>
                <w:sz w:val="18"/>
                <w:szCs w:val="18"/>
              </w:rPr>
            </w:pPr>
            <w:r w:rsidRPr="00F0474A">
              <w:rPr>
                <w:sz w:val="18"/>
                <w:szCs w:val="18"/>
              </w:rPr>
              <w:t>U.S.A.</w:t>
            </w:r>
          </w:p>
        </w:tc>
        <w:tc>
          <w:tcPr>
            <w:tcW w:w="2948" w:type="dxa"/>
          </w:tcPr>
          <w:p w:rsidR="00D822C7" w:rsidRPr="00F0474A" w:rsidRDefault="00D822C7" w:rsidP="00985C0A">
            <w:pPr>
              <w:rPr>
                <w:sz w:val="18"/>
                <w:szCs w:val="18"/>
              </w:rPr>
            </w:pPr>
            <w:r w:rsidRPr="00F0474A">
              <w:rPr>
                <w:sz w:val="18"/>
                <w:szCs w:val="18"/>
              </w:rPr>
              <w:t>395 patients  age 65+ with an ICU admission during hospitalisation (n=66 with dementia as per Modified Blessed Dementia Rating Scale - MBDRS)</w:t>
            </w:r>
          </w:p>
        </w:tc>
        <w:tc>
          <w:tcPr>
            <w:tcW w:w="2410" w:type="dxa"/>
          </w:tcPr>
          <w:p w:rsidR="00D822C7" w:rsidRPr="00F0474A" w:rsidRDefault="00D822C7" w:rsidP="00985C0A">
            <w:pPr>
              <w:rPr>
                <w:sz w:val="18"/>
                <w:szCs w:val="18"/>
              </w:rPr>
            </w:pPr>
            <w:r w:rsidRPr="00F0474A">
              <w:rPr>
                <w:sz w:val="18"/>
                <w:szCs w:val="18"/>
              </w:rPr>
              <w:t xml:space="preserve">Prospective cohort </w:t>
            </w:r>
          </w:p>
          <w:p w:rsidR="00D822C7" w:rsidRPr="00F0474A" w:rsidRDefault="00D822C7" w:rsidP="00985C0A">
            <w:pPr>
              <w:rPr>
                <w:sz w:val="18"/>
                <w:szCs w:val="18"/>
              </w:rPr>
            </w:pPr>
          </w:p>
        </w:tc>
        <w:tc>
          <w:tcPr>
            <w:tcW w:w="5812" w:type="dxa"/>
          </w:tcPr>
          <w:p w:rsidR="00D822C7" w:rsidRPr="00F0474A" w:rsidRDefault="00D822C7" w:rsidP="00985C0A">
            <w:pPr>
              <w:rPr>
                <w:sz w:val="18"/>
                <w:szCs w:val="18"/>
              </w:rPr>
            </w:pPr>
            <w:r w:rsidRPr="00F0474A">
              <w:rPr>
                <w:rFonts w:cs="Segoe UI"/>
                <w:sz w:val="18"/>
                <w:szCs w:val="18"/>
              </w:rPr>
              <w:t xml:space="preserve">No association between presence of moderate-severe dementia and mortality (21% for patients with dementia </w:t>
            </w:r>
            <w:proofErr w:type="spellStart"/>
            <w:r w:rsidRPr="00F0474A">
              <w:rPr>
                <w:rFonts w:cs="Segoe UI"/>
                <w:sz w:val="18"/>
                <w:szCs w:val="18"/>
              </w:rPr>
              <w:t>vs</w:t>
            </w:r>
            <w:proofErr w:type="spellEnd"/>
            <w:r w:rsidRPr="00F0474A">
              <w:rPr>
                <w:rFonts w:cs="Segoe UI"/>
                <w:sz w:val="18"/>
                <w:szCs w:val="18"/>
              </w:rPr>
              <w:t xml:space="preserve"> 25%, p=0.53), despite higher APACHE II scores for patients with dementia on admission to ICU (24.9 </w:t>
            </w:r>
            <w:proofErr w:type="spellStart"/>
            <w:r w:rsidRPr="00F0474A">
              <w:rPr>
                <w:rFonts w:cs="Segoe UI"/>
                <w:sz w:val="18"/>
                <w:szCs w:val="18"/>
              </w:rPr>
              <w:t>vs</w:t>
            </w:r>
            <w:proofErr w:type="spellEnd"/>
            <w:r w:rsidRPr="00F0474A">
              <w:rPr>
                <w:rFonts w:cs="Segoe UI"/>
                <w:sz w:val="18"/>
                <w:szCs w:val="18"/>
              </w:rPr>
              <w:t xml:space="preserve"> 22.7, p=0.02) and higher likelihood of having their code status changed to less aggressive (24% </w:t>
            </w:r>
            <w:proofErr w:type="spellStart"/>
            <w:r w:rsidRPr="00F0474A">
              <w:rPr>
                <w:rFonts w:cs="Segoe UI"/>
                <w:sz w:val="18"/>
                <w:szCs w:val="18"/>
              </w:rPr>
              <w:t>vs</w:t>
            </w:r>
            <w:proofErr w:type="spellEnd"/>
            <w:r w:rsidRPr="00F0474A">
              <w:rPr>
                <w:rFonts w:cs="Segoe UI"/>
                <w:sz w:val="18"/>
                <w:szCs w:val="18"/>
              </w:rPr>
              <w:t xml:space="preserve"> 14%, p=0.04).</w:t>
            </w:r>
          </w:p>
        </w:tc>
      </w:tr>
    </w:tbl>
    <w:p w:rsidR="00D822C7" w:rsidRDefault="00D822C7" w:rsidP="00574618">
      <w:pPr>
        <w:rPr>
          <w:b/>
          <w:sz w:val="20"/>
          <w:szCs w:val="20"/>
        </w:rPr>
      </w:pPr>
    </w:p>
    <w:p w:rsidR="00D822C7" w:rsidRDefault="00D822C7" w:rsidP="00574618">
      <w:pPr>
        <w:rPr>
          <w:b/>
          <w:sz w:val="20"/>
          <w:szCs w:val="20"/>
        </w:rPr>
      </w:pPr>
    </w:p>
    <w:p w:rsidR="00D822C7" w:rsidRDefault="00D822C7" w:rsidP="00574618">
      <w:pPr>
        <w:rPr>
          <w:b/>
          <w:sz w:val="20"/>
          <w:szCs w:val="20"/>
        </w:rPr>
      </w:pPr>
    </w:p>
    <w:p w:rsidR="00C9568B" w:rsidRDefault="00C9568B" w:rsidP="00574618">
      <w:pPr>
        <w:rPr>
          <w:b/>
          <w:sz w:val="20"/>
          <w:szCs w:val="20"/>
        </w:rPr>
      </w:pPr>
    </w:p>
    <w:p w:rsidR="001F4264" w:rsidRDefault="001F4264">
      <w:pPr>
        <w:rPr>
          <w:b/>
        </w:rPr>
      </w:pPr>
      <w:r>
        <w:rPr>
          <w:b/>
        </w:rPr>
        <w:br w:type="page"/>
      </w:r>
    </w:p>
    <w:p w:rsidR="00574618" w:rsidRPr="00F0474A" w:rsidRDefault="00D822C7" w:rsidP="00574618">
      <w:pPr>
        <w:rPr>
          <w:b/>
        </w:rPr>
      </w:pPr>
      <w:r w:rsidRPr="00F0474A">
        <w:rPr>
          <w:b/>
        </w:rPr>
        <w:lastRenderedPageBreak/>
        <w:t>Table 4</w:t>
      </w:r>
      <w:r w:rsidR="00574618" w:rsidRPr="00F0474A">
        <w:rPr>
          <w:b/>
        </w:rPr>
        <w:t xml:space="preserve"> </w:t>
      </w:r>
      <w:r w:rsidRPr="00F0474A">
        <w:rPr>
          <w:b/>
        </w:rPr>
        <w:t>Resource utilisation and discharge destination</w:t>
      </w:r>
    </w:p>
    <w:tbl>
      <w:tblPr>
        <w:tblStyle w:val="TableGrid"/>
        <w:tblpPr w:leftFromText="180" w:rightFromText="180" w:vertAnchor="text" w:tblpY="1"/>
        <w:tblOverlap w:val="never"/>
        <w:tblW w:w="14000" w:type="dxa"/>
        <w:tblLook w:val="04A0" w:firstRow="1" w:lastRow="0" w:firstColumn="1" w:lastColumn="0" w:noHBand="0" w:noVBand="1"/>
      </w:tblPr>
      <w:tblGrid>
        <w:gridCol w:w="1666"/>
        <w:gridCol w:w="1164"/>
        <w:gridCol w:w="2948"/>
        <w:gridCol w:w="2410"/>
        <w:gridCol w:w="20"/>
        <w:gridCol w:w="5792"/>
      </w:tblGrid>
      <w:tr w:rsidR="00574618" w:rsidRPr="00F0474A" w:rsidTr="00C07331">
        <w:tc>
          <w:tcPr>
            <w:tcW w:w="1666" w:type="dxa"/>
          </w:tcPr>
          <w:p w:rsidR="00574618" w:rsidRPr="00F0474A" w:rsidRDefault="00574618" w:rsidP="00584B27">
            <w:pPr>
              <w:rPr>
                <w:b/>
                <w:sz w:val="18"/>
                <w:szCs w:val="18"/>
              </w:rPr>
            </w:pPr>
            <w:r w:rsidRPr="00F0474A">
              <w:rPr>
                <w:b/>
                <w:sz w:val="18"/>
                <w:szCs w:val="18"/>
              </w:rPr>
              <w:t>Authors, year</w:t>
            </w:r>
          </w:p>
        </w:tc>
        <w:tc>
          <w:tcPr>
            <w:tcW w:w="1164" w:type="dxa"/>
          </w:tcPr>
          <w:p w:rsidR="00574618" w:rsidRPr="00F0474A" w:rsidRDefault="00574618" w:rsidP="00584B27">
            <w:pPr>
              <w:rPr>
                <w:b/>
                <w:sz w:val="18"/>
                <w:szCs w:val="18"/>
              </w:rPr>
            </w:pPr>
            <w:r w:rsidRPr="00F0474A">
              <w:rPr>
                <w:b/>
                <w:sz w:val="18"/>
                <w:szCs w:val="18"/>
              </w:rPr>
              <w:t>Country</w:t>
            </w:r>
          </w:p>
        </w:tc>
        <w:tc>
          <w:tcPr>
            <w:tcW w:w="2948" w:type="dxa"/>
          </w:tcPr>
          <w:p w:rsidR="00574618" w:rsidRPr="00F0474A" w:rsidRDefault="00574618" w:rsidP="00584B27">
            <w:pPr>
              <w:rPr>
                <w:b/>
                <w:sz w:val="18"/>
                <w:szCs w:val="18"/>
              </w:rPr>
            </w:pPr>
            <w:r w:rsidRPr="00F0474A">
              <w:rPr>
                <w:b/>
                <w:sz w:val="18"/>
                <w:szCs w:val="18"/>
              </w:rPr>
              <w:t>Population</w:t>
            </w:r>
          </w:p>
        </w:tc>
        <w:tc>
          <w:tcPr>
            <w:tcW w:w="2430" w:type="dxa"/>
            <w:gridSpan w:val="2"/>
          </w:tcPr>
          <w:p w:rsidR="00574618" w:rsidRPr="00F0474A" w:rsidRDefault="00574618" w:rsidP="00584B27">
            <w:pPr>
              <w:rPr>
                <w:b/>
                <w:sz w:val="18"/>
                <w:szCs w:val="18"/>
              </w:rPr>
            </w:pPr>
            <w:r w:rsidRPr="00F0474A">
              <w:rPr>
                <w:b/>
                <w:sz w:val="18"/>
                <w:szCs w:val="18"/>
              </w:rPr>
              <w:t>Study design</w:t>
            </w:r>
          </w:p>
        </w:tc>
        <w:tc>
          <w:tcPr>
            <w:tcW w:w="5792" w:type="dxa"/>
          </w:tcPr>
          <w:p w:rsidR="00574618" w:rsidRPr="00F0474A" w:rsidRDefault="00574618" w:rsidP="00584B27">
            <w:pPr>
              <w:rPr>
                <w:b/>
                <w:sz w:val="18"/>
                <w:szCs w:val="18"/>
              </w:rPr>
            </w:pPr>
            <w:r w:rsidRPr="00F0474A">
              <w:rPr>
                <w:b/>
                <w:sz w:val="18"/>
                <w:szCs w:val="18"/>
              </w:rPr>
              <w:t>Main results</w:t>
            </w:r>
          </w:p>
        </w:tc>
      </w:tr>
      <w:tr w:rsidR="00574618" w:rsidRPr="00F0474A" w:rsidTr="0006301D">
        <w:tc>
          <w:tcPr>
            <w:tcW w:w="14000" w:type="dxa"/>
            <w:gridSpan w:val="6"/>
          </w:tcPr>
          <w:p w:rsidR="00574618" w:rsidRPr="00F0474A" w:rsidRDefault="00574618" w:rsidP="00584B27">
            <w:pPr>
              <w:rPr>
                <w:b/>
                <w:i/>
                <w:sz w:val="18"/>
                <w:szCs w:val="18"/>
              </w:rPr>
            </w:pPr>
            <w:r w:rsidRPr="00F0474A">
              <w:rPr>
                <w:b/>
                <w:i/>
                <w:sz w:val="18"/>
                <w:szCs w:val="18"/>
              </w:rPr>
              <w:t>Length of stay</w:t>
            </w:r>
          </w:p>
        </w:tc>
      </w:tr>
      <w:tr w:rsidR="003143E7" w:rsidRPr="00F0474A" w:rsidTr="00C07331">
        <w:tc>
          <w:tcPr>
            <w:tcW w:w="1666" w:type="dxa"/>
          </w:tcPr>
          <w:p w:rsidR="003143E7" w:rsidRPr="00F0474A" w:rsidRDefault="003143E7" w:rsidP="00584B27">
            <w:pPr>
              <w:rPr>
                <w:sz w:val="18"/>
                <w:szCs w:val="18"/>
              </w:rPr>
            </w:pPr>
            <w:proofErr w:type="spellStart"/>
            <w:r w:rsidRPr="00F0474A">
              <w:rPr>
                <w:sz w:val="18"/>
                <w:szCs w:val="18"/>
              </w:rPr>
              <w:t>Fogg</w:t>
            </w:r>
            <w:proofErr w:type="spellEnd"/>
            <w:r w:rsidRPr="00F0474A">
              <w:rPr>
                <w:sz w:val="18"/>
                <w:szCs w:val="18"/>
              </w:rPr>
              <w:t xml:space="preserve"> 2017</w:t>
            </w:r>
          </w:p>
        </w:tc>
        <w:tc>
          <w:tcPr>
            <w:tcW w:w="1164" w:type="dxa"/>
          </w:tcPr>
          <w:p w:rsidR="003143E7" w:rsidRPr="00F0474A" w:rsidRDefault="003143E7" w:rsidP="00584B27">
            <w:pPr>
              <w:rPr>
                <w:sz w:val="18"/>
                <w:szCs w:val="18"/>
              </w:rPr>
            </w:pPr>
            <w:r w:rsidRPr="00F0474A">
              <w:rPr>
                <w:sz w:val="18"/>
                <w:szCs w:val="18"/>
              </w:rPr>
              <w:t>UK</w:t>
            </w:r>
          </w:p>
        </w:tc>
        <w:tc>
          <w:tcPr>
            <w:tcW w:w="2948" w:type="dxa"/>
          </w:tcPr>
          <w:p w:rsidR="003143E7" w:rsidRPr="00F0474A" w:rsidRDefault="003143E7" w:rsidP="00584B27">
            <w:pPr>
              <w:rPr>
                <w:sz w:val="18"/>
                <w:szCs w:val="18"/>
              </w:rPr>
            </w:pPr>
            <w:r w:rsidRPr="00F0474A">
              <w:rPr>
                <w:sz w:val="18"/>
                <w:szCs w:val="18"/>
              </w:rPr>
              <w:t>19,269 acute hospital admissions of 13,652 patients aged 75+</w:t>
            </w:r>
          </w:p>
        </w:tc>
        <w:tc>
          <w:tcPr>
            <w:tcW w:w="2430" w:type="dxa"/>
            <w:gridSpan w:val="2"/>
          </w:tcPr>
          <w:p w:rsidR="003143E7" w:rsidRPr="00F0474A" w:rsidRDefault="003143E7" w:rsidP="00584B27">
            <w:pPr>
              <w:rPr>
                <w:sz w:val="18"/>
                <w:szCs w:val="18"/>
              </w:rPr>
            </w:pPr>
            <w:r w:rsidRPr="00F0474A">
              <w:rPr>
                <w:sz w:val="18"/>
                <w:szCs w:val="18"/>
              </w:rPr>
              <w:t>Retrospective cohort study</w:t>
            </w:r>
          </w:p>
        </w:tc>
        <w:tc>
          <w:tcPr>
            <w:tcW w:w="5792" w:type="dxa"/>
          </w:tcPr>
          <w:p w:rsidR="003143E7" w:rsidRPr="00F0474A" w:rsidRDefault="003143E7" w:rsidP="00584B27">
            <w:pPr>
              <w:rPr>
                <w:sz w:val="18"/>
                <w:szCs w:val="18"/>
              </w:rPr>
            </w:pPr>
            <w:r w:rsidRPr="00F0474A">
              <w:rPr>
                <w:sz w:val="18"/>
                <w:szCs w:val="18"/>
              </w:rPr>
              <w:t xml:space="preserve">Length of stay </w:t>
            </w:r>
            <w:r w:rsidR="00BE0406" w:rsidRPr="00F0474A">
              <w:rPr>
                <w:sz w:val="18"/>
                <w:szCs w:val="18"/>
              </w:rPr>
              <w:t xml:space="preserve">(LOS) </w:t>
            </w:r>
            <w:r w:rsidRPr="00F0474A">
              <w:rPr>
                <w:sz w:val="18"/>
                <w:szCs w:val="18"/>
              </w:rPr>
              <w:t>in days (median, IQR): patients with no CI: 6 (11); CI no diagnosis of dementia: 11 (16); diagnosis of dementia: 9 (17).</w:t>
            </w:r>
          </w:p>
        </w:tc>
      </w:tr>
      <w:tr w:rsidR="003143E7" w:rsidRPr="00F0474A" w:rsidTr="00C07331">
        <w:trPr>
          <w:trHeight w:val="808"/>
        </w:trPr>
        <w:tc>
          <w:tcPr>
            <w:tcW w:w="1666" w:type="dxa"/>
          </w:tcPr>
          <w:p w:rsidR="003143E7" w:rsidRPr="00F0474A" w:rsidRDefault="003143E7" w:rsidP="00584B27">
            <w:pPr>
              <w:rPr>
                <w:sz w:val="18"/>
                <w:szCs w:val="18"/>
              </w:rPr>
            </w:pPr>
            <w:proofErr w:type="spellStart"/>
            <w:r w:rsidRPr="00F0474A">
              <w:rPr>
                <w:sz w:val="18"/>
                <w:szCs w:val="18"/>
              </w:rPr>
              <w:t>Reynish</w:t>
            </w:r>
            <w:proofErr w:type="spellEnd"/>
            <w:r w:rsidRPr="00F0474A">
              <w:rPr>
                <w:sz w:val="18"/>
                <w:szCs w:val="18"/>
              </w:rPr>
              <w:t xml:space="preserve"> 2017</w:t>
            </w:r>
          </w:p>
        </w:tc>
        <w:tc>
          <w:tcPr>
            <w:tcW w:w="1164" w:type="dxa"/>
          </w:tcPr>
          <w:p w:rsidR="003143E7" w:rsidRPr="00F0474A" w:rsidRDefault="003143E7" w:rsidP="00584B27">
            <w:pPr>
              <w:rPr>
                <w:sz w:val="18"/>
                <w:szCs w:val="18"/>
              </w:rPr>
            </w:pPr>
            <w:r w:rsidRPr="00F0474A">
              <w:rPr>
                <w:sz w:val="18"/>
                <w:szCs w:val="18"/>
              </w:rPr>
              <w:t>UK</w:t>
            </w:r>
          </w:p>
        </w:tc>
        <w:tc>
          <w:tcPr>
            <w:tcW w:w="2948" w:type="dxa"/>
          </w:tcPr>
          <w:p w:rsidR="003143E7" w:rsidRPr="00F0474A" w:rsidRDefault="003143E7" w:rsidP="00584B27">
            <w:pPr>
              <w:rPr>
                <w:sz w:val="18"/>
                <w:szCs w:val="18"/>
              </w:rPr>
            </w:pPr>
            <w:r w:rsidRPr="00F0474A">
              <w:rPr>
                <w:sz w:val="18"/>
                <w:szCs w:val="18"/>
              </w:rPr>
              <w:t>10,014 emergency admissions of patients aged 65+</w:t>
            </w:r>
            <w:r w:rsidR="00E07253" w:rsidRPr="00F0474A">
              <w:rPr>
                <w:sz w:val="18"/>
                <w:szCs w:val="18"/>
              </w:rPr>
              <w:t>, including 38.5% with a cognitive spectrum disorder (CSD) – delirium, dementia, or AMT&lt;8</w:t>
            </w:r>
          </w:p>
        </w:tc>
        <w:tc>
          <w:tcPr>
            <w:tcW w:w="2430" w:type="dxa"/>
            <w:gridSpan w:val="2"/>
          </w:tcPr>
          <w:p w:rsidR="003143E7" w:rsidRPr="00F0474A" w:rsidRDefault="003143E7" w:rsidP="00584B27">
            <w:pPr>
              <w:rPr>
                <w:sz w:val="18"/>
                <w:szCs w:val="18"/>
              </w:rPr>
            </w:pPr>
            <w:r w:rsidRPr="00F0474A">
              <w:rPr>
                <w:sz w:val="18"/>
                <w:szCs w:val="18"/>
              </w:rPr>
              <w:t>Prospective cohort study</w:t>
            </w:r>
          </w:p>
          <w:p w:rsidR="00BE0406" w:rsidRPr="00F0474A" w:rsidRDefault="00BE0406" w:rsidP="00584B27">
            <w:pPr>
              <w:rPr>
                <w:sz w:val="18"/>
                <w:szCs w:val="18"/>
              </w:rPr>
            </w:pPr>
            <w:r w:rsidRPr="00F0474A">
              <w:rPr>
                <w:sz w:val="18"/>
                <w:szCs w:val="18"/>
              </w:rPr>
              <w:t xml:space="preserve"> </w:t>
            </w:r>
          </w:p>
        </w:tc>
        <w:tc>
          <w:tcPr>
            <w:tcW w:w="5792" w:type="dxa"/>
          </w:tcPr>
          <w:p w:rsidR="003143E7" w:rsidRPr="00F0474A" w:rsidRDefault="002A5F52" w:rsidP="00584B27">
            <w:pPr>
              <w:rPr>
                <w:sz w:val="18"/>
                <w:szCs w:val="18"/>
              </w:rPr>
            </w:pPr>
            <w:r w:rsidRPr="00F0474A">
              <w:rPr>
                <w:sz w:val="18"/>
                <w:szCs w:val="18"/>
              </w:rPr>
              <w:t xml:space="preserve">Mean </w:t>
            </w:r>
            <w:r w:rsidR="00BE0406" w:rsidRPr="00F0474A">
              <w:rPr>
                <w:sz w:val="18"/>
                <w:szCs w:val="18"/>
              </w:rPr>
              <w:t xml:space="preserve">LOS longer in patients with CSD than those with no CI: 25.0 </w:t>
            </w:r>
            <w:proofErr w:type="spellStart"/>
            <w:r w:rsidR="00BE0406" w:rsidRPr="00F0474A">
              <w:rPr>
                <w:sz w:val="18"/>
                <w:szCs w:val="18"/>
              </w:rPr>
              <w:t>vs</w:t>
            </w:r>
            <w:proofErr w:type="spellEnd"/>
            <w:r w:rsidR="00BE0406" w:rsidRPr="00F0474A">
              <w:rPr>
                <w:sz w:val="18"/>
                <w:szCs w:val="18"/>
              </w:rPr>
              <w:t xml:space="preserve"> 11.8 </w:t>
            </w:r>
            <w:r w:rsidRPr="00F0474A">
              <w:rPr>
                <w:sz w:val="18"/>
                <w:szCs w:val="18"/>
              </w:rPr>
              <w:t>days (difference 13.2 [11.2-15.3] p&lt;0.001)</w:t>
            </w:r>
            <w:r w:rsidR="00BE0406" w:rsidRPr="00F0474A">
              <w:rPr>
                <w:sz w:val="18"/>
                <w:szCs w:val="18"/>
              </w:rPr>
              <w:t>. Patients with DSD had significantly longer LOS than those with dementia alone (</w:t>
            </w:r>
            <w:r w:rsidRPr="00F0474A">
              <w:rPr>
                <w:sz w:val="18"/>
                <w:szCs w:val="18"/>
              </w:rPr>
              <w:t xml:space="preserve">34.3 </w:t>
            </w:r>
            <w:proofErr w:type="spellStart"/>
            <w:r w:rsidRPr="00F0474A">
              <w:rPr>
                <w:sz w:val="18"/>
                <w:szCs w:val="18"/>
              </w:rPr>
              <w:t>vs</w:t>
            </w:r>
            <w:proofErr w:type="spellEnd"/>
            <w:r w:rsidRPr="00F0474A">
              <w:rPr>
                <w:sz w:val="18"/>
                <w:szCs w:val="18"/>
              </w:rPr>
              <w:t xml:space="preserve"> </w:t>
            </w:r>
            <w:r w:rsidR="00BE0406" w:rsidRPr="00F0474A">
              <w:rPr>
                <w:sz w:val="18"/>
                <w:szCs w:val="18"/>
              </w:rPr>
              <w:t>20.1</w:t>
            </w:r>
            <w:r w:rsidRPr="00F0474A">
              <w:rPr>
                <w:sz w:val="18"/>
                <w:szCs w:val="18"/>
              </w:rPr>
              <w:t xml:space="preserve"> days</w:t>
            </w:r>
            <w:r w:rsidR="00BE0406" w:rsidRPr="00F0474A">
              <w:rPr>
                <w:sz w:val="18"/>
                <w:szCs w:val="18"/>
              </w:rPr>
              <w:t xml:space="preserve">, </w:t>
            </w:r>
            <w:r w:rsidRPr="00F0474A">
              <w:rPr>
                <w:sz w:val="18"/>
                <w:szCs w:val="18"/>
              </w:rPr>
              <w:t>p&lt;0.001</w:t>
            </w:r>
            <w:r w:rsidR="00BE0406" w:rsidRPr="00F0474A">
              <w:rPr>
                <w:sz w:val="18"/>
                <w:szCs w:val="18"/>
              </w:rPr>
              <w:t xml:space="preserve">) </w:t>
            </w:r>
            <w:r w:rsidRPr="00F0474A">
              <w:rPr>
                <w:sz w:val="18"/>
                <w:szCs w:val="18"/>
              </w:rPr>
              <w:t>or delirium alone (34.3 23.0 days, p&lt;0.001</w:t>
            </w:r>
            <w:r w:rsidR="00BE0406" w:rsidRPr="00F0474A">
              <w:rPr>
                <w:sz w:val="18"/>
                <w:szCs w:val="18"/>
              </w:rPr>
              <w:t xml:space="preserve">). </w:t>
            </w:r>
          </w:p>
        </w:tc>
      </w:tr>
      <w:tr w:rsidR="007823DB" w:rsidRPr="00F0474A" w:rsidTr="00C07331">
        <w:tc>
          <w:tcPr>
            <w:tcW w:w="1666" w:type="dxa"/>
          </w:tcPr>
          <w:p w:rsidR="007823DB" w:rsidRPr="00F0474A" w:rsidRDefault="007823DB" w:rsidP="00584B27">
            <w:pPr>
              <w:rPr>
                <w:sz w:val="18"/>
                <w:szCs w:val="18"/>
              </w:rPr>
            </w:pPr>
            <w:r w:rsidRPr="00F0474A">
              <w:rPr>
                <w:sz w:val="18"/>
                <w:szCs w:val="18"/>
              </w:rPr>
              <w:t>Power 2017</w:t>
            </w:r>
          </w:p>
        </w:tc>
        <w:tc>
          <w:tcPr>
            <w:tcW w:w="1164" w:type="dxa"/>
          </w:tcPr>
          <w:p w:rsidR="007823DB" w:rsidRPr="00F0474A" w:rsidRDefault="002A5F52" w:rsidP="00584B27">
            <w:pPr>
              <w:rPr>
                <w:sz w:val="18"/>
                <w:szCs w:val="18"/>
              </w:rPr>
            </w:pPr>
            <w:r w:rsidRPr="00F0474A">
              <w:rPr>
                <w:sz w:val="18"/>
                <w:szCs w:val="18"/>
              </w:rPr>
              <w:t>Ireland</w:t>
            </w:r>
          </w:p>
        </w:tc>
        <w:tc>
          <w:tcPr>
            <w:tcW w:w="2948" w:type="dxa"/>
          </w:tcPr>
          <w:p w:rsidR="007823DB" w:rsidRPr="00F0474A" w:rsidRDefault="002A5F52" w:rsidP="00584B27">
            <w:pPr>
              <w:rPr>
                <w:sz w:val="18"/>
                <w:szCs w:val="18"/>
              </w:rPr>
            </w:pPr>
            <w:r w:rsidRPr="00F0474A">
              <w:rPr>
                <w:sz w:val="18"/>
                <w:szCs w:val="18"/>
              </w:rPr>
              <w:t>143 patients aged 65+ admitted to hospital</w:t>
            </w:r>
            <w:r w:rsidR="005D5104" w:rsidRPr="00F0474A">
              <w:rPr>
                <w:sz w:val="18"/>
                <w:szCs w:val="18"/>
              </w:rPr>
              <w:t>, 39 dementia, 30 with mild cognitive impairment (MCI), 74 normal cognition</w:t>
            </w:r>
          </w:p>
        </w:tc>
        <w:tc>
          <w:tcPr>
            <w:tcW w:w="2430" w:type="dxa"/>
            <w:gridSpan w:val="2"/>
          </w:tcPr>
          <w:p w:rsidR="007823DB" w:rsidRPr="00F0474A" w:rsidRDefault="002A5F52" w:rsidP="00584B27">
            <w:pPr>
              <w:rPr>
                <w:sz w:val="18"/>
                <w:szCs w:val="18"/>
              </w:rPr>
            </w:pPr>
            <w:r w:rsidRPr="00F0474A">
              <w:rPr>
                <w:sz w:val="18"/>
                <w:szCs w:val="18"/>
              </w:rPr>
              <w:t>Prospective cohort study</w:t>
            </w:r>
          </w:p>
          <w:p w:rsidR="002A5F52" w:rsidRPr="00F0474A" w:rsidRDefault="002A5F52" w:rsidP="00584B27">
            <w:pPr>
              <w:rPr>
                <w:sz w:val="18"/>
                <w:szCs w:val="18"/>
              </w:rPr>
            </w:pPr>
          </w:p>
        </w:tc>
        <w:tc>
          <w:tcPr>
            <w:tcW w:w="5792" w:type="dxa"/>
          </w:tcPr>
          <w:p w:rsidR="007823DB" w:rsidRPr="00F0474A" w:rsidRDefault="005D5104" w:rsidP="00584B27">
            <w:pPr>
              <w:rPr>
                <w:sz w:val="18"/>
                <w:szCs w:val="18"/>
              </w:rPr>
            </w:pPr>
            <w:r w:rsidRPr="00F0474A">
              <w:rPr>
                <w:sz w:val="18"/>
                <w:szCs w:val="18"/>
              </w:rPr>
              <w:t xml:space="preserve">The mean hospital stay was 32.2 days for patients with dementia, 18.2 days with MCI and 17.0 days with normal cognition. After adjustment, patients with dementia remained in hospital 15.3 days </w:t>
            </w:r>
            <w:r w:rsidR="00AF4CC7" w:rsidRPr="00F0474A">
              <w:rPr>
                <w:sz w:val="18"/>
                <w:szCs w:val="18"/>
              </w:rPr>
              <w:t xml:space="preserve">[1.9-18.8] </w:t>
            </w:r>
            <w:r w:rsidRPr="00F0474A">
              <w:rPr>
                <w:sz w:val="18"/>
                <w:szCs w:val="18"/>
              </w:rPr>
              <w:t xml:space="preserve">longer </w:t>
            </w:r>
            <w:r w:rsidR="00AF4CC7" w:rsidRPr="00F0474A">
              <w:rPr>
                <w:sz w:val="18"/>
                <w:szCs w:val="18"/>
              </w:rPr>
              <w:t>than patients with normal cognition (p=0.047).</w:t>
            </w:r>
          </w:p>
        </w:tc>
      </w:tr>
      <w:tr w:rsidR="007823DB" w:rsidRPr="00F0474A" w:rsidTr="00C07331">
        <w:tc>
          <w:tcPr>
            <w:tcW w:w="1666" w:type="dxa"/>
          </w:tcPr>
          <w:p w:rsidR="007823DB" w:rsidRPr="00F0474A" w:rsidRDefault="007823DB" w:rsidP="00584B27">
            <w:pPr>
              <w:rPr>
                <w:sz w:val="18"/>
                <w:szCs w:val="18"/>
              </w:rPr>
            </w:pPr>
            <w:r w:rsidRPr="00F0474A">
              <w:rPr>
                <w:sz w:val="18"/>
                <w:szCs w:val="18"/>
              </w:rPr>
              <w:t>Bo 2016</w:t>
            </w:r>
          </w:p>
        </w:tc>
        <w:tc>
          <w:tcPr>
            <w:tcW w:w="1164" w:type="dxa"/>
          </w:tcPr>
          <w:p w:rsidR="007823DB" w:rsidRPr="00F0474A" w:rsidRDefault="00180319" w:rsidP="00584B27">
            <w:pPr>
              <w:rPr>
                <w:sz w:val="18"/>
                <w:szCs w:val="18"/>
              </w:rPr>
            </w:pPr>
            <w:r w:rsidRPr="00F0474A">
              <w:rPr>
                <w:sz w:val="18"/>
                <w:szCs w:val="18"/>
              </w:rPr>
              <w:t>Italy</w:t>
            </w:r>
          </w:p>
        </w:tc>
        <w:tc>
          <w:tcPr>
            <w:tcW w:w="2948" w:type="dxa"/>
          </w:tcPr>
          <w:p w:rsidR="007823DB" w:rsidRPr="00F0474A" w:rsidRDefault="00180319" w:rsidP="00584B27">
            <w:pPr>
              <w:rPr>
                <w:sz w:val="18"/>
                <w:szCs w:val="18"/>
              </w:rPr>
            </w:pPr>
            <w:r w:rsidRPr="00F0474A">
              <w:rPr>
                <w:sz w:val="18"/>
                <w:szCs w:val="18"/>
              </w:rPr>
              <w:t>1,568 patients age 65+ admitted to acute geriatric or medical wards</w:t>
            </w:r>
          </w:p>
        </w:tc>
        <w:tc>
          <w:tcPr>
            <w:tcW w:w="2430" w:type="dxa"/>
            <w:gridSpan w:val="2"/>
          </w:tcPr>
          <w:p w:rsidR="007823DB" w:rsidRPr="00F0474A" w:rsidRDefault="00180319" w:rsidP="00584B27">
            <w:pPr>
              <w:rPr>
                <w:sz w:val="18"/>
                <w:szCs w:val="18"/>
              </w:rPr>
            </w:pPr>
            <w:r w:rsidRPr="00F0474A">
              <w:rPr>
                <w:sz w:val="18"/>
                <w:szCs w:val="18"/>
              </w:rPr>
              <w:t>Prospective cohort study</w:t>
            </w:r>
          </w:p>
          <w:p w:rsidR="00180319" w:rsidRPr="00F0474A" w:rsidRDefault="00180319" w:rsidP="00584B27">
            <w:pPr>
              <w:rPr>
                <w:sz w:val="18"/>
                <w:szCs w:val="18"/>
              </w:rPr>
            </w:pPr>
          </w:p>
        </w:tc>
        <w:tc>
          <w:tcPr>
            <w:tcW w:w="5792" w:type="dxa"/>
          </w:tcPr>
          <w:p w:rsidR="007823DB" w:rsidRPr="00F0474A" w:rsidRDefault="00FA799C" w:rsidP="00584B27">
            <w:pPr>
              <w:rPr>
                <w:sz w:val="18"/>
                <w:szCs w:val="18"/>
              </w:rPr>
            </w:pPr>
            <w:r w:rsidRPr="00F0474A">
              <w:rPr>
                <w:sz w:val="18"/>
                <w:szCs w:val="18"/>
              </w:rPr>
              <w:t>For</w:t>
            </w:r>
            <w:r w:rsidR="00180319" w:rsidRPr="00F0474A">
              <w:rPr>
                <w:sz w:val="18"/>
                <w:szCs w:val="18"/>
              </w:rPr>
              <w:t xml:space="preserve"> patients </w:t>
            </w:r>
            <w:r w:rsidR="00EA5052" w:rsidRPr="00F0474A">
              <w:rPr>
                <w:sz w:val="18"/>
                <w:szCs w:val="18"/>
              </w:rPr>
              <w:t>admitted from home</w:t>
            </w:r>
            <w:r w:rsidRPr="00F0474A">
              <w:rPr>
                <w:sz w:val="18"/>
                <w:szCs w:val="18"/>
              </w:rPr>
              <w:t xml:space="preserve"> (approx. 90% of the sample), delayed discharge occurred in 392 patients, and was </w:t>
            </w:r>
            <w:r w:rsidR="00EA5052" w:rsidRPr="00F0474A">
              <w:rPr>
                <w:sz w:val="18"/>
                <w:szCs w:val="18"/>
              </w:rPr>
              <w:t>independently associated with cognitive impairment</w:t>
            </w:r>
            <w:r w:rsidRPr="00F0474A">
              <w:rPr>
                <w:sz w:val="18"/>
                <w:szCs w:val="18"/>
              </w:rPr>
              <w:t>:</w:t>
            </w:r>
            <w:r w:rsidR="00EA5052" w:rsidRPr="00F0474A">
              <w:rPr>
                <w:sz w:val="18"/>
                <w:szCs w:val="18"/>
              </w:rPr>
              <w:t xml:space="preserve"> OR 1.12</w:t>
            </w:r>
            <w:r w:rsidR="00E25A2D" w:rsidRPr="00F0474A">
              <w:rPr>
                <w:sz w:val="18"/>
                <w:szCs w:val="18"/>
              </w:rPr>
              <w:t xml:space="preserve"> </w:t>
            </w:r>
            <w:r w:rsidRPr="00F0474A">
              <w:rPr>
                <w:sz w:val="18"/>
                <w:szCs w:val="18"/>
              </w:rPr>
              <w:t xml:space="preserve">[1.05-1.19] Among patients admitted from intermediate or long-term facilities, lower cognitive impairment </w:t>
            </w:r>
            <w:r w:rsidR="00E25A2D" w:rsidRPr="00F0474A">
              <w:rPr>
                <w:sz w:val="18"/>
                <w:szCs w:val="18"/>
              </w:rPr>
              <w:t>was</w:t>
            </w:r>
            <w:r w:rsidRPr="00F0474A">
              <w:rPr>
                <w:sz w:val="18"/>
                <w:szCs w:val="18"/>
              </w:rPr>
              <w:t xml:space="preserve"> associated </w:t>
            </w:r>
            <w:r w:rsidR="00E25A2D" w:rsidRPr="00F0474A">
              <w:rPr>
                <w:sz w:val="18"/>
                <w:szCs w:val="18"/>
              </w:rPr>
              <w:t>with prolonged stay: OR 0.59 [0.39-0.88].</w:t>
            </w:r>
          </w:p>
        </w:tc>
      </w:tr>
      <w:tr w:rsidR="007823DB" w:rsidRPr="00F0474A" w:rsidTr="00C07331">
        <w:tc>
          <w:tcPr>
            <w:tcW w:w="1666" w:type="dxa"/>
          </w:tcPr>
          <w:p w:rsidR="007823DB" w:rsidRPr="00F0474A" w:rsidRDefault="007823DB" w:rsidP="00584B27">
            <w:pPr>
              <w:rPr>
                <w:sz w:val="18"/>
                <w:szCs w:val="18"/>
              </w:rPr>
            </w:pPr>
            <w:proofErr w:type="spellStart"/>
            <w:r w:rsidRPr="00F0474A">
              <w:rPr>
                <w:sz w:val="18"/>
                <w:szCs w:val="18"/>
              </w:rPr>
              <w:t>Tropea</w:t>
            </w:r>
            <w:proofErr w:type="spellEnd"/>
            <w:r w:rsidRPr="00F0474A">
              <w:rPr>
                <w:sz w:val="18"/>
                <w:szCs w:val="18"/>
              </w:rPr>
              <w:t xml:space="preserve"> 2016</w:t>
            </w:r>
          </w:p>
        </w:tc>
        <w:tc>
          <w:tcPr>
            <w:tcW w:w="1164" w:type="dxa"/>
          </w:tcPr>
          <w:p w:rsidR="007823DB" w:rsidRPr="00F0474A" w:rsidRDefault="00E25A2D" w:rsidP="00584B27">
            <w:pPr>
              <w:rPr>
                <w:sz w:val="18"/>
                <w:szCs w:val="18"/>
              </w:rPr>
            </w:pPr>
            <w:r w:rsidRPr="00F0474A">
              <w:rPr>
                <w:sz w:val="18"/>
                <w:szCs w:val="18"/>
              </w:rPr>
              <w:t>Australia</w:t>
            </w:r>
          </w:p>
        </w:tc>
        <w:tc>
          <w:tcPr>
            <w:tcW w:w="2948" w:type="dxa"/>
          </w:tcPr>
          <w:p w:rsidR="007823DB" w:rsidRPr="00F0474A" w:rsidRDefault="00E25A2D" w:rsidP="00584B27">
            <w:pPr>
              <w:rPr>
                <w:sz w:val="18"/>
                <w:szCs w:val="18"/>
              </w:rPr>
            </w:pPr>
            <w:r w:rsidRPr="00F0474A">
              <w:rPr>
                <w:sz w:val="18"/>
                <w:szCs w:val="18"/>
              </w:rPr>
              <w:t>93,300 hospital admissions of patients aged 50+, including 6,459 (6.9%) with CI.</w:t>
            </w:r>
          </w:p>
        </w:tc>
        <w:tc>
          <w:tcPr>
            <w:tcW w:w="2430" w:type="dxa"/>
            <w:gridSpan w:val="2"/>
          </w:tcPr>
          <w:p w:rsidR="007823DB" w:rsidRPr="00F0474A" w:rsidRDefault="00E25A2D" w:rsidP="00584B27">
            <w:pPr>
              <w:rPr>
                <w:sz w:val="18"/>
                <w:szCs w:val="18"/>
              </w:rPr>
            </w:pPr>
            <w:r w:rsidRPr="00F0474A">
              <w:rPr>
                <w:sz w:val="18"/>
                <w:szCs w:val="18"/>
              </w:rPr>
              <w:t>Retrospective cohort</w:t>
            </w:r>
          </w:p>
          <w:p w:rsidR="00E25A2D" w:rsidRPr="00F0474A" w:rsidRDefault="00E25A2D" w:rsidP="00584B27">
            <w:pPr>
              <w:rPr>
                <w:sz w:val="18"/>
                <w:szCs w:val="18"/>
              </w:rPr>
            </w:pPr>
          </w:p>
        </w:tc>
        <w:tc>
          <w:tcPr>
            <w:tcW w:w="5792" w:type="dxa"/>
          </w:tcPr>
          <w:p w:rsidR="007823DB" w:rsidRPr="00F0474A" w:rsidRDefault="00E25A2D" w:rsidP="00584B27">
            <w:pPr>
              <w:rPr>
                <w:sz w:val="18"/>
                <w:szCs w:val="18"/>
              </w:rPr>
            </w:pPr>
            <w:r w:rsidRPr="00F0474A">
              <w:rPr>
                <w:sz w:val="18"/>
                <w:szCs w:val="18"/>
              </w:rPr>
              <w:t xml:space="preserve">Patients with CI had a significantly longer adjusted median length of stay compared with the non-cognitively impaired group: 7.4 days (IQR 6.7–10.0) </w:t>
            </w:r>
            <w:proofErr w:type="spellStart"/>
            <w:r w:rsidRPr="00F0474A">
              <w:rPr>
                <w:sz w:val="18"/>
                <w:szCs w:val="18"/>
              </w:rPr>
              <w:t>vs</w:t>
            </w:r>
            <w:proofErr w:type="spellEnd"/>
            <w:r w:rsidRPr="00F0474A">
              <w:rPr>
                <w:sz w:val="18"/>
                <w:szCs w:val="18"/>
              </w:rPr>
              <w:t xml:space="preserve"> 6.6 days (IQR 5.7–8.3), p&lt;0.001</w:t>
            </w:r>
          </w:p>
        </w:tc>
      </w:tr>
      <w:tr w:rsidR="003727A1" w:rsidRPr="00F0474A" w:rsidTr="00C07331">
        <w:tc>
          <w:tcPr>
            <w:tcW w:w="1666" w:type="dxa"/>
          </w:tcPr>
          <w:p w:rsidR="003727A1" w:rsidRPr="00F0474A" w:rsidRDefault="003727A1" w:rsidP="003727A1">
            <w:pPr>
              <w:rPr>
                <w:sz w:val="18"/>
                <w:szCs w:val="18"/>
              </w:rPr>
            </w:pPr>
            <w:proofErr w:type="spellStart"/>
            <w:r w:rsidRPr="00F0474A">
              <w:rPr>
                <w:sz w:val="18"/>
                <w:szCs w:val="18"/>
              </w:rPr>
              <w:t>Guijarro</w:t>
            </w:r>
            <w:proofErr w:type="spellEnd"/>
            <w:r w:rsidRPr="00F0474A">
              <w:rPr>
                <w:sz w:val="18"/>
                <w:szCs w:val="18"/>
              </w:rPr>
              <w:t xml:space="preserve"> 2010</w:t>
            </w:r>
          </w:p>
        </w:tc>
        <w:tc>
          <w:tcPr>
            <w:tcW w:w="1164" w:type="dxa"/>
          </w:tcPr>
          <w:p w:rsidR="003727A1" w:rsidRPr="00F0474A" w:rsidRDefault="003727A1" w:rsidP="003727A1">
            <w:pPr>
              <w:rPr>
                <w:sz w:val="18"/>
                <w:szCs w:val="18"/>
              </w:rPr>
            </w:pPr>
            <w:r w:rsidRPr="00F0474A">
              <w:rPr>
                <w:sz w:val="18"/>
                <w:szCs w:val="18"/>
              </w:rPr>
              <w:t>Spain</w:t>
            </w:r>
          </w:p>
        </w:tc>
        <w:tc>
          <w:tcPr>
            <w:tcW w:w="2948" w:type="dxa"/>
          </w:tcPr>
          <w:p w:rsidR="003727A1" w:rsidRPr="00F0474A" w:rsidRDefault="003727A1" w:rsidP="003727A1">
            <w:pPr>
              <w:rPr>
                <w:sz w:val="18"/>
                <w:szCs w:val="18"/>
              </w:rPr>
            </w:pPr>
            <w:r>
              <w:rPr>
                <w:sz w:val="18"/>
                <w:szCs w:val="18"/>
              </w:rPr>
              <w:t>&gt;3 million hospital discharge records of p</w:t>
            </w:r>
            <w:r w:rsidRPr="00F0474A">
              <w:rPr>
                <w:sz w:val="18"/>
                <w:szCs w:val="18"/>
              </w:rPr>
              <w:t>atients aged 65+</w:t>
            </w:r>
            <w:r>
              <w:rPr>
                <w:sz w:val="18"/>
                <w:szCs w:val="18"/>
              </w:rPr>
              <w:t>, including</w:t>
            </w:r>
            <w:r w:rsidRPr="00F0474A">
              <w:rPr>
                <w:sz w:val="18"/>
                <w:szCs w:val="18"/>
              </w:rPr>
              <w:t xml:space="preserve"> n=40,482 </w:t>
            </w:r>
            <w:r>
              <w:rPr>
                <w:sz w:val="18"/>
                <w:szCs w:val="18"/>
              </w:rPr>
              <w:t>with</w:t>
            </w:r>
            <w:r w:rsidRPr="00F0474A">
              <w:rPr>
                <w:sz w:val="18"/>
                <w:szCs w:val="18"/>
              </w:rPr>
              <w:t xml:space="preserve"> dementia </w:t>
            </w:r>
          </w:p>
        </w:tc>
        <w:tc>
          <w:tcPr>
            <w:tcW w:w="2430" w:type="dxa"/>
            <w:gridSpan w:val="2"/>
          </w:tcPr>
          <w:p w:rsidR="003727A1" w:rsidRPr="00F0474A" w:rsidRDefault="003727A1" w:rsidP="003727A1">
            <w:pPr>
              <w:rPr>
                <w:sz w:val="18"/>
                <w:szCs w:val="18"/>
              </w:rPr>
            </w:pPr>
            <w:r w:rsidRPr="00F0474A">
              <w:rPr>
                <w:sz w:val="18"/>
                <w:szCs w:val="18"/>
              </w:rPr>
              <w:t>Retrospective cohort study</w:t>
            </w:r>
          </w:p>
          <w:p w:rsidR="003727A1" w:rsidRPr="00F0474A" w:rsidRDefault="003727A1" w:rsidP="003727A1">
            <w:pPr>
              <w:rPr>
                <w:sz w:val="18"/>
                <w:szCs w:val="18"/>
              </w:rPr>
            </w:pPr>
          </w:p>
        </w:tc>
        <w:tc>
          <w:tcPr>
            <w:tcW w:w="5792" w:type="dxa"/>
          </w:tcPr>
          <w:p w:rsidR="003727A1" w:rsidRPr="00F0474A" w:rsidRDefault="003727A1" w:rsidP="003727A1">
            <w:pPr>
              <w:rPr>
                <w:sz w:val="18"/>
                <w:szCs w:val="18"/>
              </w:rPr>
            </w:pPr>
            <w:r w:rsidRPr="00F0474A">
              <w:rPr>
                <w:rFonts w:cs="Segoe UI"/>
                <w:sz w:val="18"/>
                <w:szCs w:val="18"/>
              </w:rPr>
              <w:t>Patients with dementia had a longer average duration of hospital stay than those with no dementia: 13.4 vs. 10.7 days</w:t>
            </w:r>
          </w:p>
        </w:tc>
      </w:tr>
      <w:tr w:rsidR="004E2ACC" w:rsidRPr="00F0474A" w:rsidTr="00C07331">
        <w:tc>
          <w:tcPr>
            <w:tcW w:w="1666" w:type="dxa"/>
          </w:tcPr>
          <w:p w:rsidR="004E2ACC" w:rsidRPr="00F0474A" w:rsidRDefault="004E2ACC" w:rsidP="00584B27">
            <w:pPr>
              <w:rPr>
                <w:sz w:val="18"/>
                <w:szCs w:val="18"/>
              </w:rPr>
            </w:pPr>
            <w:r w:rsidRPr="00F0474A">
              <w:rPr>
                <w:sz w:val="18"/>
                <w:szCs w:val="18"/>
              </w:rPr>
              <w:t>Connolly 2015</w:t>
            </w:r>
          </w:p>
        </w:tc>
        <w:tc>
          <w:tcPr>
            <w:tcW w:w="1164" w:type="dxa"/>
          </w:tcPr>
          <w:p w:rsidR="004E2ACC" w:rsidRPr="00F0474A" w:rsidRDefault="004E2ACC" w:rsidP="00584B27">
            <w:pPr>
              <w:rPr>
                <w:sz w:val="18"/>
                <w:szCs w:val="18"/>
              </w:rPr>
            </w:pPr>
            <w:r w:rsidRPr="00F0474A">
              <w:rPr>
                <w:sz w:val="18"/>
                <w:szCs w:val="18"/>
              </w:rPr>
              <w:t>Ireland</w:t>
            </w:r>
          </w:p>
        </w:tc>
        <w:tc>
          <w:tcPr>
            <w:tcW w:w="2948" w:type="dxa"/>
          </w:tcPr>
          <w:p w:rsidR="004E2ACC" w:rsidRPr="00F0474A" w:rsidRDefault="00DA21B8" w:rsidP="00584B27">
            <w:pPr>
              <w:rPr>
                <w:sz w:val="18"/>
                <w:szCs w:val="18"/>
              </w:rPr>
            </w:pPr>
            <w:r w:rsidRPr="00F0474A">
              <w:rPr>
                <w:sz w:val="18"/>
                <w:szCs w:val="18"/>
              </w:rPr>
              <w:t>591,619 adult hospital admissions, with 6,702 discharges with a dementia record</w:t>
            </w:r>
          </w:p>
        </w:tc>
        <w:tc>
          <w:tcPr>
            <w:tcW w:w="2430" w:type="dxa"/>
            <w:gridSpan w:val="2"/>
          </w:tcPr>
          <w:p w:rsidR="004E2ACC" w:rsidRPr="00F0474A" w:rsidRDefault="00DA21B8" w:rsidP="00584B27">
            <w:pPr>
              <w:rPr>
                <w:sz w:val="18"/>
                <w:szCs w:val="18"/>
              </w:rPr>
            </w:pPr>
            <w:r w:rsidRPr="00F0474A">
              <w:rPr>
                <w:sz w:val="18"/>
                <w:szCs w:val="18"/>
              </w:rPr>
              <w:t>Retrospective cohort study</w:t>
            </w:r>
          </w:p>
        </w:tc>
        <w:tc>
          <w:tcPr>
            <w:tcW w:w="5792" w:type="dxa"/>
          </w:tcPr>
          <w:p w:rsidR="004E2ACC" w:rsidRPr="00F0474A" w:rsidRDefault="00DA21B8" w:rsidP="00584B27">
            <w:pPr>
              <w:rPr>
                <w:sz w:val="18"/>
                <w:szCs w:val="18"/>
              </w:rPr>
            </w:pPr>
            <w:r w:rsidRPr="00F0474A">
              <w:rPr>
                <w:sz w:val="18"/>
                <w:szCs w:val="18"/>
              </w:rPr>
              <w:t xml:space="preserve">The mean length of stay was higher for patients with dementia than those without across the age groups: 65-74: 24.4 </w:t>
            </w:r>
            <w:proofErr w:type="spellStart"/>
            <w:r w:rsidRPr="00F0474A">
              <w:rPr>
                <w:sz w:val="18"/>
                <w:szCs w:val="18"/>
              </w:rPr>
              <w:t>vs</w:t>
            </w:r>
            <w:proofErr w:type="spellEnd"/>
            <w:r w:rsidRPr="00F0474A">
              <w:rPr>
                <w:sz w:val="18"/>
                <w:szCs w:val="18"/>
              </w:rPr>
              <w:t xml:space="preserve"> 8.7 days; 75-84: 26.8 </w:t>
            </w:r>
            <w:proofErr w:type="spellStart"/>
            <w:r w:rsidRPr="00F0474A">
              <w:rPr>
                <w:sz w:val="18"/>
                <w:szCs w:val="18"/>
              </w:rPr>
              <w:t>vs</w:t>
            </w:r>
            <w:proofErr w:type="spellEnd"/>
            <w:r w:rsidRPr="00F0474A">
              <w:rPr>
                <w:sz w:val="18"/>
                <w:szCs w:val="18"/>
              </w:rPr>
              <w:t xml:space="preserve"> 11.0 days; 85+: 23.7 </w:t>
            </w:r>
            <w:proofErr w:type="spellStart"/>
            <w:r w:rsidRPr="00F0474A">
              <w:rPr>
                <w:sz w:val="18"/>
                <w:szCs w:val="18"/>
              </w:rPr>
              <w:t>vs</w:t>
            </w:r>
            <w:proofErr w:type="spellEnd"/>
            <w:r w:rsidRPr="00F0474A">
              <w:rPr>
                <w:sz w:val="18"/>
                <w:szCs w:val="18"/>
              </w:rPr>
              <w:t xml:space="preserve"> 12.8 days.</w:t>
            </w:r>
          </w:p>
        </w:tc>
      </w:tr>
      <w:tr w:rsidR="004E2ACC" w:rsidRPr="00F0474A" w:rsidTr="00C07331">
        <w:tc>
          <w:tcPr>
            <w:tcW w:w="1666" w:type="dxa"/>
          </w:tcPr>
          <w:p w:rsidR="004E2ACC" w:rsidRPr="00F0474A" w:rsidRDefault="004E2ACC" w:rsidP="00584B27">
            <w:pPr>
              <w:rPr>
                <w:sz w:val="18"/>
                <w:szCs w:val="18"/>
              </w:rPr>
            </w:pPr>
            <w:proofErr w:type="spellStart"/>
            <w:r w:rsidRPr="00F0474A">
              <w:rPr>
                <w:sz w:val="18"/>
                <w:szCs w:val="18"/>
              </w:rPr>
              <w:t>Wancata</w:t>
            </w:r>
            <w:proofErr w:type="spellEnd"/>
            <w:r w:rsidRPr="00F0474A">
              <w:rPr>
                <w:sz w:val="18"/>
                <w:szCs w:val="18"/>
              </w:rPr>
              <w:t xml:space="preserve"> 2003</w:t>
            </w:r>
          </w:p>
        </w:tc>
        <w:tc>
          <w:tcPr>
            <w:tcW w:w="1164" w:type="dxa"/>
          </w:tcPr>
          <w:p w:rsidR="004E2ACC" w:rsidRPr="00F0474A" w:rsidRDefault="00B26AD8" w:rsidP="00584B27">
            <w:pPr>
              <w:rPr>
                <w:sz w:val="18"/>
                <w:szCs w:val="18"/>
              </w:rPr>
            </w:pPr>
            <w:r w:rsidRPr="00F0474A">
              <w:rPr>
                <w:sz w:val="18"/>
                <w:szCs w:val="18"/>
              </w:rPr>
              <w:t>Austria</w:t>
            </w:r>
          </w:p>
        </w:tc>
        <w:tc>
          <w:tcPr>
            <w:tcW w:w="2948" w:type="dxa"/>
          </w:tcPr>
          <w:p w:rsidR="004E2ACC" w:rsidRPr="00F0474A" w:rsidRDefault="00B26AD8" w:rsidP="00584B27">
            <w:pPr>
              <w:rPr>
                <w:sz w:val="18"/>
                <w:szCs w:val="18"/>
              </w:rPr>
            </w:pPr>
            <w:r w:rsidRPr="00F0474A">
              <w:rPr>
                <w:sz w:val="18"/>
                <w:szCs w:val="18"/>
              </w:rPr>
              <w:t>372 patients aged 60+ admitted to 4 general hospitals</w:t>
            </w:r>
          </w:p>
        </w:tc>
        <w:tc>
          <w:tcPr>
            <w:tcW w:w="2430" w:type="dxa"/>
            <w:gridSpan w:val="2"/>
          </w:tcPr>
          <w:p w:rsidR="004E2ACC" w:rsidRPr="00F0474A" w:rsidRDefault="00B26AD8" w:rsidP="00584B27">
            <w:pPr>
              <w:rPr>
                <w:sz w:val="18"/>
                <w:szCs w:val="18"/>
              </w:rPr>
            </w:pPr>
            <w:r w:rsidRPr="00F0474A">
              <w:rPr>
                <w:sz w:val="18"/>
                <w:szCs w:val="18"/>
              </w:rPr>
              <w:t>Prospective cohort study</w:t>
            </w:r>
          </w:p>
          <w:p w:rsidR="00B26AD8" w:rsidRPr="00F0474A" w:rsidRDefault="00B26AD8" w:rsidP="00584B27">
            <w:pPr>
              <w:rPr>
                <w:sz w:val="18"/>
                <w:szCs w:val="18"/>
              </w:rPr>
            </w:pPr>
          </w:p>
        </w:tc>
        <w:tc>
          <w:tcPr>
            <w:tcW w:w="5792" w:type="dxa"/>
          </w:tcPr>
          <w:p w:rsidR="00B26AD8" w:rsidRPr="00F0474A" w:rsidRDefault="009509E9" w:rsidP="00584B27">
            <w:pPr>
              <w:rPr>
                <w:sz w:val="18"/>
                <w:szCs w:val="18"/>
              </w:rPr>
            </w:pPr>
            <w:r w:rsidRPr="00F0474A">
              <w:rPr>
                <w:sz w:val="18"/>
                <w:szCs w:val="18"/>
              </w:rPr>
              <w:t xml:space="preserve">The mean length of stay of patients with dementia with non-cognitive symptoms (e.g. depression or delusions) was 30.4 days, </w:t>
            </w:r>
            <w:proofErr w:type="spellStart"/>
            <w:r w:rsidRPr="00F0474A">
              <w:rPr>
                <w:sz w:val="18"/>
                <w:szCs w:val="18"/>
              </w:rPr>
              <w:t>vs</w:t>
            </w:r>
            <w:proofErr w:type="spellEnd"/>
            <w:r w:rsidRPr="00F0474A">
              <w:rPr>
                <w:sz w:val="18"/>
                <w:szCs w:val="18"/>
              </w:rPr>
              <w:t xml:space="preserve"> 23.0 days in patients without such symptoms, </w:t>
            </w:r>
            <w:proofErr w:type="spellStart"/>
            <w:r w:rsidRPr="00F0474A">
              <w:rPr>
                <w:sz w:val="18"/>
                <w:szCs w:val="18"/>
              </w:rPr>
              <w:t>vs</w:t>
            </w:r>
            <w:proofErr w:type="spellEnd"/>
            <w:r w:rsidRPr="00F0474A">
              <w:rPr>
                <w:sz w:val="18"/>
                <w:szCs w:val="18"/>
              </w:rPr>
              <w:t xml:space="preserve"> 16.9 days in patients with no cognitive impairment. </w:t>
            </w:r>
          </w:p>
          <w:p w:rsidR="004E2ACC" w:rsidRPr="00F0474A" w:rsidRDefault="004E2ACC" w:rsidP="00584B27">
            <w:pPr>
              <w:rPr>
                <w:sz w:val="18"/>
                <w:szCs w:val="18"/>
              </w:rPr>
            </w:pPr>
          </w:p>
        </w:tc>
      </w:tr>
      <w:tr w:rsidR="004E2ACC" w:rsidRPr="00F0474A" w:rsidTr="00C07331">
        <w:tc>
          <w:tcPr>
            <w:tcW w:w="1666" w:type="dxa"/>
          </w:tcPr>
          <w:p w:rsidR="004E2ACC" w:rsidRPr="00F0474A" w:rsidRDefault="004E2ACC" w:rsidP="00584B27">
            <w:pPr>
              <w:rPr>
                <w:sz w:val="18"/>
                <w:szCs w:val="18"/>
              </w:rPr>
            </w:pPr>
            <w:r w:rsidRPr="00F0474A">
              <w:rPr>
                <w:sz w:val="18"/>
                <w:szCs w:val="18"/>
              </w:rPr>
              <w:t>Li 2013</w:t>
            </w:r>
          </w:p>
        </w:tc>
        <w:tc>
          <w:tcPr>
            <w:tcW w:w="1164" w:type="dxa"/>
          </w:tcPr>
          <w:p w:rsidR="004E2ACC" w:rsidRPr="00F0474A" w:rsidRDefault="009509E9" w:rsidP="00584B27">
            <w:pPr>
              <w:rPr>
                <w:sz w:val="18"/>
                <w:szCs w:val="18"/>
              </w:rPr>
            </w:pPr>
            <w:r w:rsidRPr="00F0474A">
              <w:rPr>
                <w:sz w:val="18"/>
                <w:szCs w:val="18"/>
              </w:rPr>
              <w:t>China</w:t>
            </w:r>
          </w:p>
        </w:tc>
        <w:tc>
          <w:tcPr>
            <w:tcW w:w="2948" w:type="dxa"/>
          </w:tcPr>
          <w:p w:rsidR="004E2ACC" w:rsidRPr="00F0474A" w:rsidRDefault="009509E9" w:rsidP="00584B27">
            <w:pPr>
              <w:rPr>
                <w:sz w:val="18"/>
                <w:szCs w:val="18"/>
              </w:rPr>
            </w:pPr>
            <w:r w:rsidRPr="00F0474A">
              <w:rPr>
                <w:sz w:val="18"/>
                <w:szCs w:val="18"/>
              </w:rPr>
              <w:t xml:space="preserve">34,888 patients aged 60+ admitted to </w:t>
            </w:r>
            <w:r w:rsidR="00466C5C" w:rsidRPr="00F0474A">
              <w:rPr>
                <w:sz w:val="18"/>
                <w:szCs w:val="18"/>
              </w:rPr>
              <w:t xml:space="preserve">a tertiary </w:t>
            </w:r>
            <w:r w:rsidRPr="00F0474A">
              <w:rPr>
                <w:sz w:val="18"/>
                <w:szCs w:val="18"/>
              </w:rPr>
              <w:t>hospital</w:t>
            </w:r>
            <w:r w:rsidR="00191384" w:rsidRPr="00F0474A">
              <w:rPr>
                <w:sz w:val="18"/>
                <w:szCs w:val="18"/>
              </w:rPr>
              <w:t>, including 918 with dementia</w:t>
            </w:r>
          </w:p>
        </w:tc>
        <w:tc>
          <w:tcPr>
            <w:tcW w:w="2430" w:type="dxa"/>
            <w:gridSpan w:val="2"/>
          </w:tcPr>
          <w:p w:rsidR="004E2ACC" w:rsidRPr="00F0474A" w:rsidRDefault="00466C5C" w:rsidP="00584B27">
            <w:pPr>
              <w:rPr>
                <w:sz w:val="18"/>
                <w:szCs w:val="18"/>
              </w:rPr>
            </w:pPr>
            <w:r w:rsidRPr="00F0474A">
              <w:rPr>
                <w:sz w:val="18"/>
                <w:szCs w:val="18"/>
              </w:rPr>
              <w:t>Retrospective case-control study</w:t>
            </w:r>
          </w:p>
        </w:tc>
        <w:tc>
          <w:tcPr>
            <w:tcW w:w="5792" w:type="dxa"/>
          </w:tcPr>
          <w:p w:rsidR="004E2ACC" w:rsidRPr="00F0474A" w:rsidRDefault="00191384" w:rsidP="00584B27">
            <w:pPr>
              <w:rPr>
                <w:sz w:val="18"/>
                <w:szCs w:val="18"/>
              </w:rPr>
            </w:pPr>
            <w:r w:rsidRPr="00F0474A">
              <w:rPr>
                <w:sz w:val="18"/>
                <w:szCs w:val="18"/>
              </w:rPr>
              <w:t>Patients with dement</w:t>
            </w:r>
            <w:r w:rsidR="001615AE" w:rsidRPr="00F0474A">
              <w:rPr>
                <w:sz w:val="18"/>
                <w:szCs w:val="18"/>
              </w:rPr>
              <w:t>ia had a mean LOS of 13 days (Standard deviation (SD)</w:t>
            </w:r>
            <w:r w:rsidRPr="00F0474A">
              <w:rPr>
                <w:sz w:val="18"/>
                <w:szCs w:val="18"/>
              </w:rPr>
              <w:t xml:space="preserve"> 8-20) </w:t>
            </w:r>
            <w:proofErr w:type="spellStart"/>
            <w:r w:rsidRPr="00F0474A">
              <w:rPr>
                <w:sz w:val="18"/>
                <w:szCs w:val="18"/>
              </w:rPr>
              <w:t>vs</w:t>
            </w:r>
            <w:proofErr w:type="spellEnd"/>
            <w:r w:rsidRPr="00F0474A">
              <w:rPr>
                <w:sz w:val="18"/>
                <w:szCs w:val="18"/>
              </w:rPr>
              <w:t xml:space="preserve"> 15 days (SD 11-23) for those without, p&lt;0.001.</w:t>
            </w:r>
          </w:p>
        </w:tc>
      </w:tr>
      <w:tr w:rsidR="004E2ACC" w:rsidRPr="00F0474A" w:rsidTr="00C07331">
        <w:tc>
          <w:tcPr>
            <w:tcW w:w="1666" w:type="dxa"/>
          </w:tcPr>
          <w:p w:rsidR="004E2ACC" w:rsidRPr="00F0474A" w:rsidRDefault="004E2ACC" w:rsidP="00584B27">
            <w:pPr>
              <w:rPr>
                <w:sz w:val="18"/>
                <w:szCs w:val="18"/>
              </w:rPr>
            </w:pPr>
            <w:r w:rsidRPr="00F0474A">
              <w:rPr>
                <w:sz w:val="18"/>
                <w:szCs w:val="18"/>
              </w:rPr>
              <w:t>Annear 2013</w:t>
            </w:r>
          </w:p>
        </w:tc>
        <w:tc>
          <w:tcPr>
            <w:tcW w:w="1164" w:type="dxa"/>
          </w:tcPr>
          <w:p w:rsidR="004E2ACC" w:rsidRPr="00F0474A" w:rsidRDefault="001615AE" w:rsidP="00584B27">
            <w:pPr>
              <w:rPr>
                <w:sz w:val="18"/>
                <w:szCs w:val="18"/>
              </w:rPr>
            </w:pPr>
            <w:r w:rsidRPr="00F0474A">
              <w:rPr>
                <w:sz w:val="18"/>
                <w:szCs w:val="18"/>
              </w:rPr>
              <w:t>Australia</w:t>
            </w:r>
          </w:p>
        </w:tc>
        <w:tc>
          <w:tcPr>
            <w:tcW w:w="2948" w:type="dxa"/>
          </w:tcPr>
          <w:p w:rsidR="004E2ACC" w:rsidRPr="00F0474A" w:rsidRDefault="001615AE" w:rsidP="00584B27">
            <w:pPr>
              <w:rPr>
                <w:sz w:val="18"/>
                <w:szCs w:val="18"/>
              </w:rPr>
            </w:pPr>
            <w:r w:rsidRPr="00F0474A">
              <w:rPr>
                <w:sz w:val="18"/>
                <w:szCs w:val="18"/>
              </w:rPr>
              <w:t>4,332 hospital admissions of patients aged 55+</w:t>
            </w:r>
          </w:p>
        </w:tc>
        <w:tc>
          <w:tcPr>
            <w:tcW w:w="2430" w:type="dxa"/>
            <w:gridSpan w:val="2"/>
          </w:tcPr>
          <w:p w:rsidR="004E2ACC" w:rsidRPr="00F0474A" w:rsidRDefault="001615AE" w:rsidP="00584B27">
            <w:pPr>
              <w:rPr>
                <w:sz w:val="18"/>
                <w:szCs w:val="18"/>
              </w:rPr>
            </w:pPr>
            <w:r w:rsidRPr="00F0474A">
              <w:rPr>
                <w:sz w:val="18"/>
                <w:szCs w:val="18"/>
              </w:rPr>
              <w:t>Retrospective cohort</w:t>
            </w:r>
          </w:p>
        </w:tc>
        <w:tc>
          <w:tcPr>
            <w:tcW w:w="5792" w:type="dxa"/>
          </w:tcPr>
          <w:p w:rsidR="004E2ACC" w:rsidRPr="00F0474A" w:rsidRDefault="001615AE" w:rsidP="00584B27">
            <w:pPr>
              <w:rPr>
                <w:sz w:val="18"/>
                <w:szCs w:val="18"/>
              </w:rPr>
            </w:pPr>
            <w:r w:rsidRPr="00F0474A">
              <w:rPr>
                <w:sz w:val="18"/>
                <w:szCs w:val="18"/>
              </w:rPr>
              <w:t>Patients with dementia had a median hospital stay of 5 days in both 2013 and 2014, whereas people without had a stay of 2 days in 2013 and 3 days in 2014.</w:t>
            </w:r>
          </w:p>
        </w:tc>
      </w:tr>
      <w:tr w:rsidR="004E2ACC" w:rsidRPr="00F0474A" w:rsidTr="00C07331">
        <w:tc>
          <w:tcPr>
            <w:tcW w:w="1666" w:type="dxa"/>
          </w:tcPr>
          <w:p w:rsidR="004E2ACC" w:rsidRPr="00F0474A" w:rsidRDefault="004E2ACC" w:rsidP="00584B27">
            <w:pPr>
              <w:rPr>
                <w:sz w:val="18"/>
                <w:szCs w:val="18"/>
              </w:rPr>
            </w:pPr>
            <w:r w:rsidRPr="00F0474A">
              <w:rPr>
                <w:sz w:val="18"/>
                <w:szCs w:val="18"/>
              </w:rPr>
              <w:lastRenderedPageBreak/>
              <w:t>Draper 2011</w:t>
            </w:r>
          </w:p>
        </w:tc>
        <w:tc>
          <w:tcPr>
            <w:tcW w:w="1164" w:type="dxa"/>
          </w:tcPr>
          <w:p w:rsidR="004E2ACC" w:rsidRPr="00F0474A" w:rsidRDefault="004E2ACC" w:rsidP="00584B27">
            <w:pPr>
              <w:rPr>
                <w:sz w:val="18"/>
                <w:szCs w:val="18"/>
              </w:rPr>
            </w:pPr>
            <w:r w:rsidRPr="00F0474A">
              <w:rPr>
                <w:sz w:val="18"/>
                <w:szCs w:val="18"/>
              </w:rPr>
              <w:t>Australia</w:t>
            </w:r>
          </w:p>
        </w:tc>
        <w:tc>
          <w:tcPr>
            <w:tcW w:w="2948" w:type="dxa"/>
          </w:tcPr>
          <w:p w:rsidR="004E2ACC" w:rsidRPr="00F0474A" w:rsidRDefault="001615AE" w:rsidP="00584B27">
            <w:pPr>
              <w:rPr>
                <w:sz w:val="18"/>
                <w:szCs w:val="18"/>
              </w:rPr>
            </w:pPr>
            <w:r w:rsidRPr="00F0474A">
              <w:rPr>
                <w:sz w:val="18"/>
                <w:szCs w:val="18"/>
              </w:rPr>
              <w:t xml:space="preserve">409,000 hospitalisations </w:t>
            </w:r>
            <w:r w:rsidR="00F87AC0" w:rsidRPr="00F0474A">
              <w:rPr>
                <w:sz w:val="18"/>
                <w:szCs w:val="18"/>
              </w:rPr>
              <w:t xml:space="preserve">in 253,000 patients </w:t>
            </w:r>
            <w:r w:rsidRPr="00F0474A">
              <w:rPr>
                <w:sz w:val="18"/>
                <w:szCs w:val="18"/>
              </w:rPr>
              <w:t>age</w:t>
            </w:r>
            <w:r w:rsidR="00F87AC0" w:rsidRPr="00F0474A">
              <w:rPr>
                <w:sz w:val="18"/>
                <w:szCs w:val="18"/>
              </w:rPr>
              <w:t>d</w:t>
            </w:r>
            <w:r w:rsidRPr="00F0474A">
              <w:rPr>
                <w:sz w:val="18"/>
                <w:szCs w:val="18"/>
              </w:rPr>
              <w:t xml:space="preserve"> 50+. </w:t>
            </w:r>
          </w:p>
        </w:tc>
        <w:tc>
          <w:tcPr>
            <w:tcW w:w="2430" w:type="dxa"/>
            <w:gridSpan w:val="2"/>
          </w:tcPr>
          <w:p w:rsidR="004E2ACC" w:rsidRPr="00F0474A" w:rsidRDefault="000A260C" w:rsidP="00584B27">
            <w:pPr>
              <w:rPr>
                <w:sz w:val="18"/>
                <w:szCs w:val="18"/>
              </w:rPr>
            </w:pPr>
            <w:r w:rsidRPr="00F0474A">
              <w:rPr>
                <w:sz w:val="18"/>
                <w:szCs w:val="18"/>
              </w:rPr>
              <w:t>Retrospective cohort</w:t>
            </w:r>
          </w:p>
        </w:tc>
        <w:tc>
          <w:tcPr>
            <w:tcW w:w="5792" w:type="dxa"/>
          </w:tcPr>
          <w:p w:rsidR="004E2ACC" w:rsidRPr="00F0474A" w:rsidRDefault="000A260C" w:rsidP="00584B27">
            <w:pPr>
              <w:rPr>
                <w:sz w:val="18"/>
                <w:szCs w:val="18"/>
              </w:rPr>
            </w:pPr>
            <w:r w:rsidRPr="00F0474A">
              <w:rPr>
                <w:sz w:val="18"/>
                <w:szCs w:val="18"/>
              </w:rPr>
              <w:t xml:space="preserve">The </w:t>
            </w:r>
            <w:r w:rsidR="004E2ACC" w:rsidRPr="00F0474A">
              <w:rPr>
                <w:sz w:val="18"/>
                <w:szCs w:val="18"/>
              </w:rPr>
              <w:t>m</w:t>
            </w:r>
            <w:r w:rsidR="004E2ACC" w:rsidRPr="00F0474A">
              <w:rPr>
                <w:rFonts w:cs="Segoe UI"/>
                <w:sz w:val="18"/>
                <w:szCs w:val="18"/>
              </w:rPr>
              <w:t>ean length of stay for admissions for people with dementia was 16.</w:t>
            </w:r>
            <w:r w:rsidRPr="00F0474A">
              <w:rPr>
                <w:rFonts w:cs="Segoe UI"/>
                <w:sz w:val="18"/>
                <w:szCs w:val="18"/>
              </w:rPr>
              <w:t>5</w:t>
            </w:r>
            <w:r w:rsidR="004E2ACC" w:rsidRPr="00F0474A">
              <w:rPr>
                <w:rFonts w:cs="Segoe UI"/>
                <w:sz w:val="18"/>
                <w:szCs w:val="18"/>
              </w:rPr>
              <w:t xml:space="preserve"> days </w:t>
            </w:r>
            <w:proofErr w:type="spellStart"/>
            <w:r w:rsidRPr="00F0474A">
              <w:rPr>
                <w:rFonts w:cs="Segoe UI"/>
                <w:sz w:val="18"/>
                <w:szCs w:val="18"/>
              </w:rPr>
              <w:t>vs</w:t>
            </w:r>
            <w:proofErr w:type="spellEnd"/>
            <w:r w:rsidR="004E2ACC" w:rsidRPr="00F0474A">
              <w:rPr>
                <w:rFonts w:cs="Segoe UI"/>
                <w:sz w:val="18"/>
                <w:szCs w:val="18"/>
              </w:rPr>
              <w:t xml:space="preserve"> 8.9 days for those without dementia</w:t>
            </w:r>
            <w:r w:rsidRPr="00F0474A">
              <w:rPr>
                <w:rFonts w:cs="Segoe UI"/>
                <w:sz w:val="18"/>
                <w:szCs w:val="18"/>
              </w:rPr>
              <w:t xml:space="preserve"> (p&lt;0.0001)</w:t>
            </w:r>
          </w:p>
        </w:tc>
      </w:tr>
      <w:tr w:rsidR="004E2ACC" w:rsidRPr="00F0474A" w:rsidTr="00C07331">
        <w:tc>
          <w:tcPr>
            <w:tcW w:w="1666" w:type="dxa"/>
          </w:tcPr>
          <w:p w:rsidR="004E2ACC" w:rsidRPr="00F0474A" w:rsidRDefault="004E2ACC" w:rsidP="00584B27">
            <w:pPr>
              <w:rPr>
                <w:sz w:val="18"/>
                <w:szCs w:val="18"/>
              </w:rPr>
            </w:pPr>
            <w:r w:rsidRPr="00F0474A">
              <w:rPr>
                <w:sz w:val="18"/>
                <w:szCs w:val="18"/>
              </w:rPr>
              <w:t>Briggs 2016</w:t>
            </w:r>
          </w:p>
        </w:tc>
        <w:tc>
          <w:tcPr>
            <w:tcW w:w="1164" w:type="dxa"/>
          </w:tcPr>
          <w:p w:rsidR="004E2ACC" w:rsidRPr="00F0474A" w:rsidRDefault="000A260C" w:rsidP="00584B27">
            <w:pPr>
              <w:rPr>
                <w:sz w:val="18"/>
                <w:szCs w:val="18"/>
              </w:rPr>
            </w:pPr>
            <w:r w:rsidRPr="00F0474A">
              <w:rPr>
                <w:sz w:val="18"/>
                <w:szCs w:val="18"/>
              </w:rPr>
              <w:t>Ireland</w:t>
            </w:r>
          </w:p>
        </w:tc>
        <w:tc>
          <w:tcPr>
            <w:tcW w:w="2948" w:type="dxa"/>
          </w:tcPr>
          <w:p w:rsidR="004E2ACC" w:rsidRPr="00F0474A" w:rsidRDefault="000A260C" w:rsidP="00584B27">
            <w:pPr>
              <w:rPr>
                <w:sz w:val="18"/>
                <w:szCs w:val="18"/>
              </w:rPr>
            </w:pPr>
            <w:r w:rsidRPr="00F0474A">
              <w:rPr>
                <w:sz w:val="18"/>
                <w:szCs w:val="18"/>
              </w:rPr>
              <w:t>69,718 hospital admissions in patients 65+, including 1433 (2%) admissions with a diagnosis of dementia (929 patients)</w:t>
            </w:r>
          </w:p>
        </w:tc>
        <w:tc>
          <w:tcPr>
            <w:tcW w:w="2430" w:type="dxa"/>
            <w:gridSpan w:val="2"/>
          </w:tcPr>
          <w:p w:rsidR="004E2ACC" w:rsidRPr="00F0474A" w:rsidRDefault="000A260C" w:rsidP="00584B27">
            <w:pPr>
              <w:rPr>
                <w:sz w:val="18"/>
                <w:szCs w:val="18"/>
              </w:rPr>
            </w:pPr>
            <w:r w:rsidRPr="00F0474A">
              <w:rPr>
                <w:sz w:val="18"/>
                <w:szCs w:val="18"/>
              </w:rPr>
              <w:t>Retrospective cohort</w:t>
            </w:r>
          </w:p>
        </w:tc>
        <w:tc>
          <w:tcPr>
            <w:tcW w:w="5792" w:type="dxa"/>
          </w:tcPr>
          <w:p w:rsidR="004E2ACC" w:rsidRPr="00F0474A" w:rsidRDefault="000A260C" w:rsidP="00584B27">
            <w:pPr>
              <w:rPr>
                <w:sz w:val="18"/>
                <w:szCs w:val="18"/>
              </w:rPr>
            </w:pPr>
            <w:r w:rsidRPr="00F0474A">
              <w:rPr>
                <w:sz w:val="18"/>
                <w:szCs w:val="18"/>
              </w:rPr>
              <w:t xml:space="preserve">The mean LOS was </w:t>
            </w:r>
            <w:r w:rsidR="004E2ACC" w:rsidRPr="00F0474A">
              <w:rPr>
                <w:sz w:val="18"/>
                <w:szCs w:val="18"/>
              </w:rPr>
              <w:t xml:space="preserve">31 days </w:t>
            </w:r>
            <w:r w:rsidRPr="00F0474A">
              <w:rPr>
                <w:sz w:val="18"/>
                <w:szCs w:val="18"/>
              </w:rPr>
              <w:t xml:space="preserve">in patients with dementia, as compared to </w:t>
            </w:r>
            <w:r w:rsidR="004E2ACC" w:rsidRPr="00F0474A">
              <w:rPr>
                <w:sz w:val="18"/>
                <w:szCs w:val="18"/>
              </w:rPr>
              <w:t xml:space="preserve">14.1 days in patients </w:t>
            </w:r>
            <w:r w:rsidRPr="00F0474A">
              <w:rPr>
                <w:sz w:val="18"/>
                <w:szCs w:val="18"/>
              </w:rPr>
              <w:t>without a diagnosis.</w:t>
            </w:r>
            <w:r w:rsidR="004E2ACC" w:rsidRPr="00F0474A">
              <w:rPr>
                <w:sz w:val="18"/>
                <w:szCs w:val="18"/>
              </w:rPr>
              <w:t xml:space="preserve"> </w:t>
            </w:r>
          </w:p>
        </w:tc>
      </w:tr>
      <w:tr w:rsidR="0054147B" w:rsidRPr="00F0474A" w:rsidTr="00C07331">
        <w:tc>
          <w:tcPr>
            <w:tcW w:w="1666" w:type="dxa"/>
          </w:tcPr>
          <w:p w:rsidR="0054147B" w:rsidRPr="00F0474A" w:rsidRDefault="0054147B" w:rsidP="00584B27">
            <w:pPr>
              <w:rPr>
                <w:sz w:val="18"/>
                <w:szCs w:val="18"/>
              </w:rPr>
            </w:pPr>
            <w:r w:rsidRPr="00F0474A">
              <w:rPr>
                <w:sz w:val="18"/>
                <w:szCs w:val="18"/>
              </w:rPr>
              <w:t>Lang 2006</w:t>
            </w:r>
          </w:p>
        </w:tc>
        <w:tc>
          <w:tcPr>
            <w:tcW w:w="1164" w:type="dxa"/>
          </w:tcPr>
          <w:p w:rsidR="0054147B" w:rsidRPr="00F0474A" w:rsidRDefault="0054147B" w:rsidP="00584B27">
            <w:pPr>
              <w:rPr>
                <w:sz w:val="18"/>
                <w:szCs w:val="18"/>
              </w:rPr>
            </w:pPr>
            <w:r w:rsidRPr="00F0474A">
              <w:rPr>
                <w:sz w:val="18"/>
                <w:szCs w:val="18"/>
              </w:rPr>
              <w:t xml:space="preserve">France </w:t>
            </w:r>
          </w:p>
        </w:tc>
        <w:tc>
          <w:tcPr>
            <w:tcW w:w="2948" w:type="dxa"/>
          </w:tcPr>
          <w:p w:rsidR="0054147B" w:rsidRPr="00F0474A" w:rsidRDefault="00FC38DF" w:rsidP="00584B27">
            <w:pPr>
              <w:rPr>
                <w:sz w:val="18"/>
                <w:szCs w:val="18"/>
              </w:rPr>
            </w:pPr>
            <w:r w:rsidRPr="00F0474A">
              <w:rPr>
                <w:sz w:val="18"/>
                <w:szCs w:val="18"/>
              </w:rPr>
              <w:t xml:space="preserve">908 patients </w:t>
            </w:r>
            <w:r w:rsidR="00A60A7A" w:rsidRPr="00F0474A">
              <w:rPr>
                <w:sz w:val="18"/>
                <w:szCs w:val="18"/>
              </w:rPr>
              <w:t>aged 75+ with an acute admission to hospital</w:t>
            </w:r>
          </w:p>
        </w:tc>
        <w:tc>
          <w:tcPr>
            <w:tcW w:w="2430" w:type="dxa"/>
            <w:gridSpan w:val="2"/>
          </w:tcPr>
          <w:p w:rsidR="0054147B" w:rsidRPr="00F0474A" w:rsidRDefault="00A60A7A" w:rsidP="00584B27">
            <w:pPr>
              <w:rPr>
                <w:sz w:val="18"/>
                <w:szCs w:val="18"/>
              </w:rPr>
            </w:pPr>
            <w:proofErr w:type="spellStart"/>
            <w:r w:rsidRPr="00F0474A">
              <w:rPr>
                <w:sz w:val="18"/>
                <w:szCs w:val="18"/>
              </w:rPr>
              <w:t>Propsective</w:t>
            </w:r>
            <w:proofErr w:type="spellEnd"/>
            <w:r w:rsidRPr="00F0474A">
              <w:rPr>
                <w:sz w:val="18"/>
                <w:szCs w:val="18"/>
              </w:rPr>
              <w:t xml:space="preserve"> cohort</w:t>
            </w:r>
          </w:p>
          <w:p w:rsidR="00A60A7A" w:rsidRPr="00F0474A" w:rsidRDefault="00A60A7A" w:rsidP="00584B27">
            <w:pPr>
              <w:rPr>
                <w:sz w:val="18"/>
                <w:szCs w:val="18"/>
              </w:rPr>
            </w:pPr>
          </w:p>
        </w:tc>
        <w:tc>
          <w:tcPr>
            <w:tcW w:w="5792" w:type="dxa"/>
          </w:tcPr>
          <w:p w:rsidR="0054147B" w:rsidRPr="00F0474A" w:rsidRDefault="003B4927" w:rsidP="00584B27">
            <w:pPr>
              <w:rPr>
                <w:sz w:val="18"/>
                <w:szCs w:val="18"/>
              </w:rPr>
            </w:pPr>
            <w:r w:rsidRPr="00F0474A">
              <w:rPr>
                <w:sz w:val="18"/>
                <w:szCs w:val="18"/>
              </w:rPr>
              <w:t xml:space="preserve">Patients with CI were more likely to </w:t>
            </w:r>
            <w:r w:rsidR="00A60A7A" w:rsidRPr="00F0474A">
              <w:rPr>
                <w:sz w:val="18"/>
                <w:szCs w:val="18"/>
              </w:rPr>
              <w:t>stay more than 30 days in hospital</w:t>
            </w:r>
            <w:r w:rsidRPr="00F0474A">
              <w:rPr>
                <w:sz w:val="18"/>
                <w:szCs w:val="18"/>
              </w:rPr>
              <w:t xml:space="preserve">: OR </w:t>
            </w:r>
            <w:r w:rsidR="00A60A7A" w:rsidRPr="00F0474A">
              <w:rPr>
                <w:sz w:val="18"/>
                <w:szCs w:val="18"/>
              </w:rPr>
              <w:t>2.2 [1.2–4.0], including after adjustment by French</w:t>
            </w:r>
            <w:r w:rsidR="0054147B" w:rsidRPr="00F0474A">
              <w:rPr>
                <w:rFonts w:cs="Segoe UI"/>
                <w:sz w:val="18"/>
                <w:szCs w:val="18"/>
              </w:rPr>
              <w:t xml:space="preserve"> Diagnosis Related Groups</w:t>
            </w:r>
            <w:r w:rsidR="00A60A7A" w:rsidRPr="00F0474A">
              <w:rPr>
                <w:rFonts w:cs="Segoe UI"/>
                <w:sz w:val="18"/>
                <w:szCs w:val="18"/>
              </w:rPr>
              <w:t xml:space="preserve"> (f-DRGs): </w:t>
            </w:r>
            <w:r w:rsidR="0054147B" w:rsidRPr="00F0474A">
              <w:rPr>
                <w:rFonts w:cs="Segoe UI"/>
                <w:sz w:val="18"/>
                <w:szCs w:val="18"/>
              </w:rPr>
              <w:t xml:space="preserve"> </w:t>
            </w:r>
            <w:r w:rsidR="00A60A7A" w:rsidRPr="00F0474A">
              <w:rPr>
                <w:rFonts w:cs="Segoe UI"/>
                <w:sz w:val="18"/>
                <w:szCs w:val="18"/>
              </w:rPr>
              <w:t>OR 7.1 [2.3-49.9]</w:t>
            </w:r>
          </w:p>
        </w:tc>
      </w:tr>
      <w:tr w:rsidR="007F1DDA" w:rsidRPr="00F0474A" w:rsidTr="00C07331">
        <w:tc>
          <w:tcPr>
            <w:tcW w:w="1666" w:type="dxa"/>
          </w:tcPr>
          <w:p w:rsidR="007F1DDA" w:rsidRPr="00F0474A" w:rsidRDefault="007F1DDA" w:rsidP="007F1DDA">
            <w:pPr>
              <w:rPr>
                <w:rFonts w:cs="Segoe UI"/>
                <w:sz w:val="18"/>
                <w:szCs w:val="18"/>
              </w:rPr>
            </w:pPr>
            <w:proofErr w:type="spellStart"/>
            <w:r w:rsidRPr="00F0474A">
              <w:rPr>
                <w:rFonts w:cs="Segoe UI"/>
                <w:sz w:val="18"/>
                <w:szCs w:val="18"/>
              </w:rPr>
              <w:t>Caspe</w:t>
            </w:r>
            <w:proofErr w:type="spellEnd"/>
            <w:r w:rsidRPr="00F0474A">
              <w:rPr>
                <w:rFonts w:cs="Segoe UI"/>
                <w:sz w:val="18"/>
                <w:szCs w:val="18"/>
              </w:rPr>
              <w:t xml:space="preserve"> Healthcare Knowledge Systems (CHKS) 2013</w:t>
            </w:r>
          </w:p>
        </w:tc>
        <w:tc>
          <w:tcPr>
            <w:tcW w:w="1164" w:type="dxa"/>
          </w:tcPr>
          <w:p w:rsidR="007F1DDA" w:rsidRPr="00F0474A" w:rsidRDefault="007F1DDA" w:rsidP="007F1DDA">
            <w:pPr>
              <w:rPr>
                <w:sz w:val="18"/>
                <w:szCs w:val="18"/>
              </w:rPr>
            </w:pPr>
            <w:r w:rsidRPr="00F0474A">
              <w:rPr>
                <w:sz w:val="18"/>
                <w:szCs w:val="18"/>
              </w:rPr>
              <w:t>UK</w:t>
            </w:r>
          </w:p>
        </w:tc>
        <w:tc>
          <w:tcPr>
            <w:tcW w:w="2948" w:type="dxa"/>
          </w:tcPr>
          <w:p w:rsidR="007F1DDA" w:rsidRPr="00F0474A" w:rsidRDefault="007F1DDA" w:rsidP="007F1DDA">
            <w:pPr>
              <w:rPr>
                <w:sz w:val="18"/>
                <w:szCs w:val="18"/>
              </w:rPr>
            </w:pPr>
            <w:r w:rsidRPr="00F0474A">
              <w:rPr>
                <w:sz w:val="18"/>
                <w:szCs w:val="18"/>
              </w:rPr>
              <w:t>UK-wide hospital episode statistics of people aged 45+</w:t>
            </w:r>
          </w:p>
        </w:tc>
        <w:tc>
          <w:tcPr>
            <w:tcW w:w="2410" w:type="dxa"/>
          </w:tcPr>
          <w:p w:rsidR="007F1DDA" w:rsidRPr="00F0474A" w:rsidRDefault="007F1DDA" w:rsidP="007F1DDA">
            <w:pPr>
              <w:rPr>
                <w:sz w:val="18"/>
                <w:szCs w:val="18"/>
              </w:rPr>
            </w:pPr>
            <w:r w:rsidRPr="00F0474A">
              <w:rPr>
                <w:sz w:val="18"/>
                <w:szCs w:val="18"/>
              </w:rPr>
              <w:t>Retrospective analysis</w:t>
            </w:r>
          </w:p>
          <w:p w:rsidR="007F1DDA" w:rsidRPr="00F0474A" w:rsidRDefault="007F1DDA" w:rsidP="007F1DDA">
            <w:pPr>
              <w:rPr>
                <w:sz w:val="18"/>
                <w:szCs w:val="18"/>
              </w:rPr>
            </w:pPr>
          </w:p>
        </w:tc>
        <w:tc>
          <w:tcPr>
            <w:tcW w:w="5812" w:type="dxa"/>
            <w:gridSpan w:val="2"/>
          </w:tcPr>
          <w:p w:rsidR="007F1DDA" w:rsidRPr="00F0474A" w:rsidRDefault="007F1DDA" w:rsidP="007F1DDA">
            <w:pPr>
              <w:rPr>
                <w:sz w:val="18"/>
                <w:szCs w:val="18"/>
              </w:rPr>
            </w:pPr>
            <w:r w:rsidRPr="00F0474A">
              <w:rPr>
                <w:sz w:val="18"/>
                <w:szCs w:val="18"/>
              </w:rPr>
              <w:t xml:space="preserve">In 2011, standardised excess length of stay in patients with dementia estimated at 22.1%. </w:t>
            </w:r>
          </w:p>
        </w:tc>
      </w:tr>
      <w:tr w:rsidR="00BE7A32" w:rsidRPr="00F0474A" w:rsidTr="00C07331">
        <w:tc>
          <w:tcPr>
            <w:tcW w:w="1666" w:type="dxa"/>
          </w:tcPr>
          <w:p w:rsidR="00BE7A32" w:rsidRPr="00F0474A" w:rsidRDefault="00BE7A32" w:rsidP="00BE7A32">
            <w:pPr>
              <w:rPr>
                <w:sz w:val="18"/>
                <w:szCs w:val="18"/>
              </w:rPr>
            </w:pPr>
            <w:r w:rsidRPr="00F0474A">
              <w:rPr>
                <w:sz w:val="18"/>
                <w:szCs w:val="18"/>
              </w:rPr>
              <w:t>Holmes 2000</w:t>
            </w:r>
          </w:p>
        </w:tc>
        <w:tc>
          <w:tcPr>
            <w:tcW w:w="1164" w:type="dxa"/>
          </w:tcPr>
          <w:p w:rsidR="00BE7A32" w:rsidRPr="00F0474A" w:rsidRDefault="00BE7A32" w:rsidP="00BE7A32">
            <w:pPr>
              <w:rPr>
                <w:sz w:val="18"/>
                <w:szCs w:val="18"/>
              </w:rPr>
            </w:pPr>
            <w:r w:rsidRPr="00F0474A">
              <w:rPr>
                <w:sz w:val="18"/>
                <w:szCs w:val="18"/>
              </w:rPr>
              <w:t>UK</w:t>
            </w:r>
          </w:p>
        </w:tc>
        <w:tc>
          <w:tcPr>
            <w:tcW w:w="2948" w:type="dxa"/>
          </w:tcPr>
          <w:p w:rsidR="00BE7A32" w:rsidRPr="00F0474A" w:rsidRDefault="00BE7A32" w:rsidP="00BE7A32">
            <w:pPr>
              <w:rPr>
                <w:sz w:val="18"/>
                <w:szCs w:val="18"/>
              </w:rPr>
            </w:pPr>
            <w:r w:rsidRPr="00F0474A">
              <w:rPr>
                <w:sz w:val="18"/>
                <w:szCs w:val="18"/>
              </w:rPr>
              <w:t>731 patients aged 65+ with a hip fracture admitted to orthopaedic wards</w:t>
            </w:r>
          </w:p>
        </w:tc>
        <w:tc>
          <w:tcPr>
            <w:tcW w:w="2430" w:type="dxa"/>
            <w:gridSpan w:val="2"/>
          </w:tcPr>
          <w:p w:rsidR="00BE7A32" w:rsidRPr="00F0474A" w:rsidRDefault="00BE7A32" w:rsidP="00BE7A32">
            <w:pPr>
              <w:rPr>
                <w:sz w:val="18"/>
                <w:szCs w:val="18"/>
              </w:rPr>
            </w:pPr>
            <w:r w:rsidRPr="00F0474A">
              <w:rPr>
                <w:sz w:val="18"/>
                <w:szCs w:val="18"/>
              </w:rPr>
              <w:t>Prospective cohort</w:t>
            </w:r>
          </w:p>
          <w:p w:rsidR="00BE7A32" w:rsidRPr="00F0474A" w:rsidRDefault="00BE7A32" w:rsidP="00BE7A32">
            <w:pPr>
              <w:rPr>
                <w:sz w:val="18"/>
                <w:szCs w:val="18"/>
              </w:rPr>
            </w:pPr>
          </w:p>
        </w:tc>
        <w:tc>
          <w:tcPr>
            <w:tcW w:w="5792" w:type="dxa"/>
          </w:tcPr>
          <w:p w:rsidR="00BE7A32" w:rsidRPr="00F0474A" w:rsidRDefault="00BE7A32" w:rsidP="00BE7A32">
            <w:pPr>
              <w:rPr>
                <w:sz w:val="18"/>
                <w:szCs w:val="18"/>
              </w:rPr>
            </w:pPr>
            <w:r w:rsidRPr="00F0474A">
              <w:rPr>
                <w:rFonts w:cs="Segoe UI"/>
                <w:sz w:val="18"/>
                <w:szCs w:val="18"/>
              </w:rPr>
              <w:t>Concurrent dementia or delirium significantly decreased the likelihood of timely discharge as compared to patients with no psychiatric diagnosis: dementia – OR  0.47 [0.38-0.58]; delirium – OR 0.53 [0.41-0.68]</w:t>
            </w:r>
          </w:p>
        </w:tc>
      </w:tr>
      <w:tr w:rsidR="00BE7A32" w:rsidRPr="00F0474A" w:rsidTr="00C07331">
        <w:tc>
          <w:tcPr>
            <w:tcW w:w="1666" w:type="dxa"/>
          </w:tcPr>
          <w:p w:rsidR="00BE7A32" w:rsidRPr="00F0474A" w:rsidRDefault="00BE7A32" w:rsidP="00BE7A32">
            <w:pPr>
              <w:rPr>
                <w:sz w:val="18"/>
                <w:szCs w:val="18"/>
              </w:rPr>
            </w:pPr>
            <w:r w:rsidRPr="00F0474A">
              <w:rPr>
                <w:sz w:val="18"/>
                <w:szCs w:val="18"/>
              </w:rPr>
              <w:t>Murata 2015</w:t>
            </w:r>
          </w:p>
        </w:tc>
        <w:tc>
          <w:tcPr>
            <w:tcW w:w="1164" w:type="dxa"/>
          </w:tcPr>
          <w:p w:rsidR="00BE7A32" w:rsidRPr="00F0474A" w:rsidRDefault="00BE7A32" w:rsidP="00BE7A32">
            <w:pPr>
              <w:rPr>
                <w:sz w:val="18"/>
                <w:szCs w:val="18"/>
              </w:rPr>
            </w:pPr>
            <w:r w:rsidRPr="00F0474A">
              <w:rPr>
                <w:sz w:val="18"/>
                <w:szCs w:val="18"/>
              </w:rPr>
              <w:t>Japan</w:t>
            </w:r>
          </w:p>
        </w:tc>
        <w:tc>
          <w:tcPr>
            <w:tcW w:w="2948" w:type="dxa"/>
          </w:tcPr>
          <w:p w:rsidR="00BE7A32" w:rsidRPr="00F0474A" w:rsidRDefault="00BE7A32" w:rsidP="00BE7A32">
            <w:pPr>
              <w:rPr>
                <w:sz w:val="18"/>
                <w:szCs w:val="18"/>
              </w:rPr>
            </w:pPr>
            <w:r w:rsidRPr="00F0474A">
              <w:rPr>
                <w:sz w:val="18"/>
                <w:szCs w:val="18"/>
              </w:rPr>
              <w:t xml:space="preserve">14,569 patients aged 80+ treated by endoscopic </w:t>
            </w:r>
            <w:proofErr w:type="spellStart"/>
            <w:r w:rsidRPr="00F0474A">
              <w:rPr>
                <w:sz w:val="18"/>
                <w:szCs w:val="18"/>
              </w:rPr>
              <w:t>hemostasis</w:t>
            </w:r>
            <w:proofErr w:type="spellEnd"/>
            <w:r w:rsidRPr="00F0474A">
              <w:rPr>
                <w:sz w:val="18"/>
                <w:szCs w:val="18"/>
              </w:rPr>
              <w:t xml:space="preserve"> for haemorrhagic peptic ulcer disease, including 695 patients with dementia</w:t>
            </w:r>
          </w:p>
        </w:tc>
        <w:tc>
          <w:tcPr>
            <w:tcW w:w="2430" w:type="dxa"/>
            <w:gridSpan w:val="2"/>
          </w:tcPr>
          <w:p w:rsidR="00BE7A32" w:rsidRPr="00F0474A" w:rsidRDefault="00BE7A32" w:rsidP="00BE7A32">
            <w:pPr>
              <w:rPr>
                <w:sz w:val="18"/>
                <w:szCs w:val="18"/>
              </w:rPr>
            </w:pPr>
            <w:r w:rsidRPr="00F0474A">
              <w:rPr>
                <w:sz w:val="18"/>
                <w:szCs w:val="18"/>
              </w:rPr>
              <w:t>Retrospective cohort</w:t>
            </w:r>
          </w:p>
        </w:tc>
        <w:tc>
          <w:tcPr>
            <w:tcW w:w="5792" w:type="dxa"/>
          </w:tcPr>
          <w:p w:rsidR="00BE7A32" w:rsidRPr="00F0474A" w:rsidRDefault="00BE7A32" w:rsidP="00BE7A32">
            <w:pPr>
              <w:rPr>
                <w:rFonts w:cs="Segoe UI"/>
                <w:sz w:val="18"/>
                <w:szCs w:val="18"/>
              </w:rPr>
            </w:pPr>
            <w:r w:rsidRPr="00F0474A">
              <w:rPr>
                <w:sz w:val="18"/>
                <w:szCs w:val="18"/>
              </w:rPr>
              <w:t xml:space="preserve">Patients with dementia stayed an additional 3.12 </w:t>
            </w:r>
            <w:r w:rsidRPr="00F0474A">
              <w:rPr>
                <w:rFonts w:cs="Segoe UI"/>
                <w:sz w:val="18"/>
                <w:szCs w:val="18"/>
              </w:rPr>
              <w:t>[1.58-4.67] </w:t>
            </w:r>
            <w:r w:rsidRPr="00F0474A">
              <w:rPr>
                <w:sz w:val="18"/>
                <w:szCs w:val="18"/>
              </w:rPr>
              <w:t xml:space="preserve">days in hospital as compared to those without (p&lt;0.001). </w:t>
            </w:r>
          </w:p>
          <w:p w:rsidR="00BE7A32" w:rsidRPr="00F0474A" w:rsidRDefault="00BE7A32" w:rsidP="00BE7A32">
            <w:pPr>
              <w:rPr>
                <w:rFonts w:cs="Segoe UI"/>
                <w:sz w:val="18"/>
                <w:szCs w:val="18"/>
              </w:rPr>
            </w:pPr>
          </w:p>
        </w:tc>
      </w:tr>
      <w:tr w:rsidR="000F36AF" w:rsidRPr="00F0474A" w:rsidTr="00C07331">
        <w:tc>
          <w:tcPr>
            <w:tcW w:w="1666" w:type="dxa"/>
          </w:tcPr>
          <w:p w:rsidR="000F36AF" w:rsidRPr="00F0474A" w:rsidRDefault="000F36AF" w:rsidP="000F36AF">
            <w:pPr>
              <w:rPr>
                <w:rFonts w:cs="Segoe UI"/>
                <w:sz w:val="18"/>
                <w:szCs w:val="18"/>
              </w:rPr>
            </w:pPr>
            <w:proofErr w:type="spellStart"/>
            <w:r w:rsidRPr="00F0474A">
              <w:rPr>
                <w:rFonts w:cs="Segoe UI"/>
                <w:sz w:val="18"/>
                <w:szCs w:val="18"/>
              </w:rPr>
              <w:t>Zuliani</w:t>
            </w:r>
            <w:proofErr w:type="spellEnd"/>
            <w:r w:rsidRPr="00F0474A">
              <w:rPr>
                <w:rFonts w:cs="Segoe UI"/>
                <w:sz w:val="18"/>
                <w:szCs w:val="18"/>
              </w:rPr>
              <w:t xml:space="preserve"> 2011</w:t>
            </w:r>
          </w:p>
        </w:tc>
        <w:tc>
          <w:tcPr>
            <w:tcW w:w="1164" w:type="dxa"/>
          </w:tcPr>
          <w:p w:rsidR="000F36AF" w:rsidRPr="00F0474A" w:rsidRDefault="000F36AF" w:rsidP="000F36AF">
            <w:pPr>
              <w:rPr>
                <w:sz w:val="18"/>
                <w:szCs w:val="18"/>
              </w:rPr>
            </w:pPr>
            <w:r w:rsidRPr="00F0474A">
              <w:rPr>
                <w:sz w:val="18"/>
                <w:szCs w:val="18"/>
              </w:rPr>
              <w:t>Italy</w:t>
            </w:r>
          </w:p>
        </w:tc>
        <w:tc>
          <w:tcPr>
            <w:tcW w:w="2948" w:type="dxa"/>
          </w:tcPr>
          <w:p w:rsidR="000F36AF" w:rsidRPr="00F0474A" w:rsidRDefault="000F36AF" w:rsidP="000F36AF">
            <w:pPr>
              <w:rPr>
                <w:sz w:val="18"/>
                <w:szCs w:val="18"/>
              </w:rPr>
            </w:pPr>
            <w:r w:rsidRPr="00F0474A">
              <w:rPr>
                <w:sz w:val="18"/>
                <w:szCs w:val="18"/>
              </w:rPr>
              <w:t>51,838 patients aged 60+ admitted to hospital, 4,466 with a diagnosis of dementia</w:t>
            </w:r>
          </w:p>
        </w:tc>
        <w:tc>
          <w:tcPr>
            <w:tcW w:w="2410" w:type="dxa"/>
          </w:tcPr>
          <w:p w:rsidR="000F36AF" w:rsidRPr="00F0474A" w:rsidRDefault="000F36AF" w:rsidP="000F36AF">
            <w:pPr>
              <w:rPr>
                <w:sz w:val="18"/>
                <w:szCs w:val="18"/>
              </w:rPr>
            </w:pPr>
            <w:r w:rsidRPr="00F0474A">
              <w:rPr>
                <w:sz w:val="18"/>
                <w:szCs w:val="18"/>
              </w:rPr>
              <w:t>Retrospective cohort study</w:t>
            </w:r>
          </w:p>
          <w:p w:rsidR="000F36AF" w:rsidRPr="00F0474A" w:rsidRDefault="000F36AF" w:rsidP="000F36AF">
            <w:pPr>
              <w:rPr>
                <w:sz w:val="18"/>
                <w:szCs w:val="18"/>
              </w:rPr>
            </w:pPr>
          </w:p>
        </w:tc>
        <w:tc>
          <w:tcPr>
            <w:tcW w:w="5812" w:type="dxa"/>
            <w:gridSpan w:val="2"/>
          </w:tcPr>
          <w:p w:rsidR="000F36AF" w:rsidRPr="00F0474A" w:rsidRDefault="0006301D" w:rsidP="0006301D">
            <w:pPr>
              <w:rPr>
                <w:sz w:val="18"/>
                <w:szCs w:val="18"/>
              </w:rPr>
            </w:pPr>
            <w:r w:rsidRPr="00F0474A">
              <w:rPr>
                <w:sz w:val="18"/>
                <w:szCs w:val="18"/>
              </w:rPr>
              <w:t>Median length of stay</w:t>
            </w:r>
            <w:r w:rsidR="000F36AF" w:rsidRPr="00F0474A">
              <w:rPr>
                <w:sz w:val="18"/>
                <w:szCs w:val="18"/>
              </w:rPr>
              <w:t xml:space="preserve"> </w:t>
            </w:r>
            <w:r w:rsidRPr="00F0474A">
              <w:rPr>
                <w:sz w:val="18"/>
                <w:szCs w:val="18"/>
              </w:rPr>
              <w:t xml:space="preserve">7 days (IQR 4-12) </w:t>
            </w:r>
            <w:r w:rsidR="000F36AF" w:rsidRPr="00F0474A">
              <w:rPr>
                <w:sz w:val="18"/>
                <w:szCs w:val="18"/>
              </w:rPr>
              <w:t xml:space="preserve">in patients with no dementia, versus </w:t>
            </w:r>
            <w:r w:rsidRPr="00F0474A">
              <w:rPr>
                <w:sz w:val="18"/>
                <w:szCs w:val="18"/>
              </w:rPr>
              <w:t xml:space="preserve">8 days (IQR 5-12) </w:t>
            </w:r>
            <w:r w:rsidR="000F36AF" w:rsidRPr="00F0474A">
              <w:rPr>
                <w:sz w:val="18"/>
                <w:szCs w:val="18"/>
              </w:rPr>
              <w:t>in patients with dementia, p=0.</w:t>
            </w:r>
            <w:r w:rsidRPr="00F0474A">
              <w:rPr>
                <w:sz w:val="18"/>
                <w:szCs w:val="18"/>
              </w:rPr>
              <w:t>12</w:t>
            </w:r>
            <w:r w:rsidR="000F36AF" w:rsidRPr="00F0474A">
              <w:rPr>
                <w:sz w:val="18"/>
                <w:szCs w:val="18"/>
              </w:rPr>
              <w:t>.</w:t>
            </w:r>
          </w:p>
        </w:tc>
      </w:tr>
      <w:tr w:rsidR="00997D0F" w:rsidRPr="00F0474A" w:rsidTr="00C07331">
        <w:tc>
          <w:tcPr>
            <w:tcW w:w="1666" w:type="dxa"/>
          </w:tcPr>
          <w:p w:rsidR="00997D0F" w:rsidRPr="00F0474A" w:rsidRDefault="00997D0F" w:rsidP="00997D0F">
            <w:pPr>
              <w:rPr>
                <w:sz w:val="18"/>
                <w:szCs w:val="18"/>
              </w:rPr>
            </w:pPr>
            <w:proofErr w:type="spellStart"/>
            <w:r w:rsidRPr="00F0474A">
              <w:rPr>
                <w:sz w:val="18"/>
                <w:szCs w:val="18"/>
              </w:rPr>
              <w:t>Zekry</w:t>
            </w:r>
            <w:proofErr w:type="spellEnd"/>
            <w:r w:rsidRPr="00F0474A">
              <w:rPr>
                <w:sz w:val="18"/>
                <w:szCs w:val="18"/>
              </w:rPr>
              <w:t xml:space="preserve"> 2009</w:t>
            </w:r>
          </w:p>
        </w:tc>
        <w:tc>
          <w:tcPr>
            <w:tcW w:w="1164" w:type="dxa"/>
          </w:tcPr>
          <w:p w:rsidR="00997D0F" w:rsidRPr="00F0474A" w:rsidRDefault="00997D0F" w:rsidP="00997D0F">
            <w:pPr>
              <w:rPr>
                <w:sz w:val="18"/>
                <w:szCs w:val="18"/>
              </w:rPr>
            </w:pPr>
            <w:r w:rsidRPr="00F0474A">
              <w:rPr>
                <w:sz w:val="18"/>
                <w:szCs w:val="18"/>
              </w:rPr>
              <w:t>Switzerland</w:t>
            </w:r>
          </w:p>
        </w:tc>
        <w:tc>
          <w:tcPr>
            <w:tcW w:w="2948" w:type="dxa"/>
          </w:tcPr>
          <w:p w:rsidR="00997D0F" w:rsidRPr="00F0474A" w:rsidRDefault="00997D0F" w:rsidP="00997D0F">
            <w:pPr>
              <w:rPr>
                <w:sz w:val="18"/>
                <w:szCs w:val="18"/>
              </w:rPr>
            </w:pPr>
            <w:r w:rsidRPr="00F0474A">
              <w:rPr>
                <w:sz w:val="18"/>
                <w:szCs w:val="18"/>
              </w:rPr>
              <w:t>435 hospital patients aged 80+</w:t>
            </w:r>
          </w:p>
        </w:tc>
        <w:tc>
          <w:tcPr>
            <w:tcW w:w="2430" w:type="dxa"/>
            <w:gridSpan w:val="2"/>
          </w:tcPr>
          <w:p w:rsidR="00997D0F" w:rsidRPr="00F0474A" w:rsidRDefault="00997D0F" w:rsidP="00997D0F">
            <w:pPr>
              <w:rPr>
                <w:sz w:val="18"/>
                <w:szCs w:val="18"/>
              </w:rPr>
            </w:pPr>
            <w:r w:rsidRPr="00F0474A">
              <w:rPr>
                <w:sz w:val="18"/>
                <w:szCs w:val="18"/>
              </w:rPr>
              <w:t>Prospective cohort</w:t>
            </w:r>
          </w:p>
          <w:p w:rsidR="00997D0F" w:rsidRPr="00F0474A" w:rsidRDefault="00997D0F" w:rsidP="00997D0F">
            <w:pPr>
              <w:rPr>
                <w:sz w:val="18"/>
                <w:szCs w:val="18"/>
              </w:rPr>
            </w:pPr>
          </w:p>
        </w:tc>
        <w:tc>
          <w:tcPr>
            <w:tcW w:w="5792" w:type="dxa"/>
          </w:tcPr>
          <w:p w:rsidR="00997D0F" w:rsidRPr="00F0474A" w:rsidRDefault="00997D0F" w:rsidP="00FD17CC">
            <w:pPr>
              <w:rPr>
                <w:sz w:val="18"/>
                <w:szCs w:val="18"/>
              </w:rPr>
            </w:pPr>
            <w:r w:rsidRPr="00F0474A">
              <w:rPr>
                <w:sz w:val="18"/>
                <w:szCs w:val="18"/>
              </w:rPr>
              <w:t xml:space="preserve">The median length of stay varied from 41.5 days in patients with dementia: 31 days in patients with MCI, and 29 days in patients with normal cognition, p&lt;0.001. In multivariate analysis, length of stay was not independently related to cognition : </w:t>
            </w:r>
            <w:r w:rsidRPr="00F0474A">
              <w:rPr>
                <w:rFonts w:cs="Segoe UI"/>
                <w:sz w:val="18"/>
                <w:szCs w:val="18"/>
              </w:rPr>
              <w:t>Clinical dementia rating (CDR) 0.5-1: OR 2.12 [0.79-5.69]</w:t>
            </w:r>
            <w:r w:rsidR="00FD17CC" w:rsidRPr="00F0474A">
              <w:rPr>
                <w:rFonts w:cs="Segoe UI"/>
                <w:sz w:val="18"/>
                <w:szCs w:val="18"/>
              </w:rPr>
              <w:t xml:space="preserve"> p=0.134</w:t>
            </w:r>
            <w:r w:rsidRPr="00F0474A">
              <w:rPr>
                <w:rFonts w:cs="Segoe UI"/>
                <w:sz w:val="18"/>
                <w:szCs w:val="18"/>
              </w:rPr>
              <w:t xml:space="preserve">, CDR 2-3: OR </w:t>
            </w:r>
            <w:r w:rsidR="00FD17CC" w:rsidRPr="00F0474A">
              <w:rPr>
                <w:rFonts w:cs="Segoe UI"/>
                <w:sz w:val="18"/>
                <w:szCs w:val="18"/>
              </w:rPr>
              <w:t>2.15 [0.75-6.22</w:t>
            </w:r>
            <w:r w:rsidRPr="00F0474A">
              <w:rPr>
                <w:rFonts w:cs="Segoe UI"/>
                <w:sz w:val="18"/>
                <w:szCs w:val="18"/>
              </w:rPr>
              <w:t>], p=0.</w:t>
            </w:r>
            <w:r w:rsidR="00FD17CC" w:rsidRPr="00F0474A">
              <w:rPr>
                <w:rFonts w:cs="Segoe UI"/>
                <w:sz w:val="18"/>
                <w:szCs w:val="18"/>
              </w:rPr>
              <w:t>156</w:t>
            </w:r>
          </w:p>
        </w:tc>
      </w:tr>
      <w:tr w:rsidR="004E2ACC" w:rsidRPr="00F0474A" w:rsidTr="00C07331">
        <w:tc>
          <w:tcPr>
            <w:tcW w:w="1666" w:type="dxa"/>
          </w:tcPr>
          <w:p w:rsidR="004E2ACC" w:rsidRPr="00F0474A" w:rsidRDefault="004E2ACC" w:rsidP="00584B27">
            <w:pPr>
              <w:rPr>
                <w:sz w:val="18"/>
                <w:szCs w:val="18"/>
              </w:rPr>
            </w:pPr>
            <w:r w:rsidRPr="00F0474A">
              <w:rPr>
                <w:sz w:val="18"/>
                <w:szCs w:val="18"/>
              </w:rPr>
              <w:t>Timmons 2016</w:t>
            </w:r>
          </w:p>
        </w:tc>
        <w:tc>
          <w:tcPr>
            <w:tcW w:w="1164" w:type="dxa"/>
          </w:tcPr>
          <w:p w:rsidR="004E2ACC" w:rsidRPr="00F0474A" w:rsidRDefault="004E2ACC" w:rsidP="00584B27">
            <w:pPr>
              <w:rPr>
                <w:sz w:val="18"/>
                <w:szCs w:val="18"/>
              </w:rPr>
            </w:pPr>
            <w:r w:rsidRPr="00F0474A">
              <w:rPr>
                <w:sz w:val="18"/>
                <w:szCs w:val="18"/>
              </w:rPr>
              <w:t>Ireland</w:t>
            </w:r>
          </w:p>
        </w:tc>
        <w:tc>
          <w:tcPr>
            <w:tcW w:w="2948" w:type="dxa"/>
          </w:tcPr>
          <w:p w:rsidR="004E2ACC" w:rsidRPr="00F0474A" w:rsidRDefault="008B5FCF" w:rsidP="00584B27">
            <w:pPr>
              <w:rPr>
                <w:sz w:val="18"/>
                <w:szCs w:val="18"/>
              </w:rPr>
            </w:pPr>
            <w:r w:rsidRPr="00F0474A">
              <w:rPr>
                <w:sz w:val="18"/>
                <w:szCs w:val="18"/>
              </w:rPr>
              <w:t>660 inpatients with a diagnosis of dementia and LOS &gt;5 days</w:t>
            </w:r>
          </w:p>
        </w:tc>
        <w:tc>
          <w:tcPr>
            <w:tcW w:w="2430" w:type="dxa"/>
            <w:gridSpan w:val="2"/>
          </w:tcPr>
          <w:p w:rsidR="004E2ACC" w:rsidRPr="00F0474A" w:rsidRDefault="004E2ACC" w:rsidP="00584B27">
            <w:pPr>
              <w:rPr>
                <w:sz w:val="18"/>
                <w:szCs w:val="18"/>
              </w:rPr>
            </w:pPr>
            <w:r w:rsidRPr="00F0474A">
              <w:rPr>
                <w:sz w:val="18"/>
                <w:szCs w:val="18"/>
              </w:rPr>
              <w:t>National audit</w:t>
            </w:r>
            <w:r w:rsidR="008B5FCF" w:rsidRPr="00F0474A">
              <w:rPr>
                <w:sz w:val="18"/>
                <w:szCs w:val="18"/>
              </w:rPr>
              <w:t xml:space="preserve"> – retrospective chart review, interviews with senior management and ward managers</w:t>
            </w:r>
          </w:p>
        </w:tc>
        <w:tc>
          <w:tcPr>
            <w:tcW w:w="5792" w:type="dxa"/>
          </w:tcPr>
          <w:p w:rsidR="004E2ACC" w:rsidRPr="00F0474A" w:rsidRDefault="004E2ACC" w:rsidP="00584B27">
            <w:pPr>
              <w:rPr>
                <w:sz w:val="18"/>
                <w:szCs w:val="18"/>
              </w:rPr>
            </w:pPr>
            <w:r w:rsidRPr="00F0474A">
              <w:rPr>
                <w:sz w:val="18"/>
                <w:szCs w:val="18"/>
              </w:rPr>
              <w:t>72% of people of dementia did not have discharge planning initiated within 24 hours of admission, and less than 40% had a plan fo</w:t>
            </w:r>
            <w:r w:rsidR="004210C2" w:rsidRPr="00F0474A">
              <w:rPr>
                <w:sz w:val="18"/>
                <w:szCs w:val="18"/>
              </w:rPr>
              <w:t xml:space="preserve">r discharge recorded in the notes. The LOS was significantly greater for new discharges to residential care than to usual residence: median 35 </w:t>
            </w:r>
            <w:proofErr w:type="spellStart"/>
            <w:r w:rsidR="004210C2" w:rsidRPr="00F0474A">
              <w:rPr>
                <w:sz w:val="18"/>
                <w:szCs w:val="18"/>
              </w:rPr>
              <w:t>vs</w:t>
            </w:r>
            <w:proofErr w:type="spellEnd"/>
            <w:r w:rsidR="004210C2" w:rsidRPr="00F0474A">
              <w:rPr>
                <w:sz w:val="18"/>
                <w:szCs w:val="18"/>
              </w:rPr>
              <w:t xml:space="preserve"> 10 days, p&lt;0.001.</w:t>
            </w:r>
          </w:p>
        </w:tc>
      </w:tr>
      <w:tr w:rsidR="004E2ACC" w:rsidRPr="00F0474A" w:rsidTr="00C07331">
        <w:tc>
          <w:tcPr>
            <w:tcW w:w="1666" w:type="dxa"/>
          </w:tcPr>
          <w:p w:rsidR="004E2ACC" w:rsidRPr="00F0474A" w:rsidRDefault="004E2ACC" w:rsidP="00584B27">
            <w:pPr>
              <w:rPr>
                <w:sz w:val="18"/>
                <w:szCs w:val="18"/>
              </w:rPr>
            </w:pPr>
            <w:proofErr w:type="spellStart"/>
            <w:r w:rsidRPr="00F0474A">
              <w:rPr>
                <w:sz w:val="18"/>
                <w:szCs w:val="18"/>
              </w:rPr>
              <w:t>Saravay</w:t>
            </w:r>
            <w:proofErr w:type="spellEnd"/>
            <w:r w:rsidRPr="00F0474A">
              <w:rPr>
                <w:sz w:val="18"/>
                <w:szCs w:val="18"/>
              </w:rPr>
              <w:t xml:space="preserve"> 2004</w:t>
            </w:r>
          </w:p>
        </w:tc>
        <w:tc>
          <w:tcPr>
            <w:tcW w:w="1164" w:type="dxa"/>
          </w:tcPr>
          <w:p w:rsidR="004E2ACC" w:rsidRPr="00F0474A" w:rsidRDefault="004B34D2" w:rsidP="00584B27">
            <w:pPr>
              <w:rPr>
                <w:sz w:val="18"/>
                <w:szCs w:val="18"/>
              </w:rPr>
            </w:pPr>
            <w:r w:rsidRPr="00F0474A">
              <w:rPr>
                <w:sz w:val="18"/>
                <w:szCs w:val="18"/>
              </w:rPr>
              <w:t>U.S.</w:t>
            </w:r>
          </w:p>
        </w:tc>
        <w:tc>
          <w:tcPr>
            <w:tcW w:w="2948" w:type="dxa"/>
          </w:tcPr>
          <w:p w:rsidR="004E2ACC" w:rsidRPr="00F0474A" w:rsidRDefault="004B34D2" w:rsidP="00584B27">
            <w:pPr>
              <w:rPr>
                <w:sz w:val="18"/>
                <w:szCs w:val="18"/>
              </w:rPr>
            </w:pPr>
            <w:r w:rsidRPr="00F0474A">
              <w:rPr>
                <w:sz w:val="18"/>
                <w:szCs w:val="18"/>
              </w:rPr>
              <w:t>93 patients age 65+ admitted to hospital</w:t>
            </w:r>
          </w:p>
        </w:tc>
        <w:tc>
          <w:tcPr>
            <w:tcW w:w="2430" w:type="dxa"/>
            <w:gridSpan w:val="2"/>
          </w:tcPr>
          <w:p w:rsidR="004E2ACC" w:rsidRPr="00F0474A" w:rsidRDefault="00416DE8" w:rsidP="00584B27">
            <w:pPr>
              <w:rPr>
                <w:sz w:val="18"/>
                <w:szCs w:val="18"/>
              </w:rPr>
            </w:pPr>
            <w:r w:rsidRPr="00F0474A">
              <w:rPr>
                <w:sz w:val="18"/>
                <w:szCs w:val="18"/>
              </w:rPr>
              <w:t>Prospective cohort</w:t>
            </w:r>
          </w:p>
        </w:tc>
        <w:tc>
          <w:tcPr>
            <w:tcW w:w="5792" w:type="dxa"/>
          </w:tcPr>
          <w:p w:rsidR="004E2ACC" w:rsidRPr="00F0474A" w:rsidRDefault="00416DE8" w:rsidP="00416DE8">
            <w:pPr>
              <w:rPr>
                <w:sz w:val="18"/>
                <w:szCs w:val="18"/>
              </w:rPr>
            </w:pPr>
            <w:r w:rsidRPr="00F0474A">
              <w:rPr>
                <w:rFonts w:cs="Segoe UI"/>
                <w:sz w:val="18"/>
                <w:szCs w:val="18"/>
              </w:rPr>
              <w:t>Emergence of</w:t>
            </w:r>
            <w:r w:rsidR="004E2ACC" w:rsidRPr="00F0474A">
              <w:rPr>
                <w:rFonts w:cs="Segoe UI"/>
                <w:sz w:val="18"/>
                <w:szCs w:val="18"/>
              </w:rPr>
              <w:t xml:space="preserve"> mental signs and symptoms </w:t>
            </w:r>
            <w:r w:rsidRPr="00F0474A">
              <w:rPr>
                <w:rFonts w:cs="Segoe UI"/>
                <w:sz w:val="18"/>
                <w:szCs w:val="18"/>
              </w:rPr>
              <w:t xml:space="preserve">in patients with CI, dementia or delirium </w:t>
            </w:r>
            <w:r w:rsidR="004E2ACC" w:rsidRPr="00F0474A">
              <w:rPr>
                <w:rFonts w:cs="Segoe UI"/>
                <w:sz w:val="18"/>
                <w:szCs w:val="18"/>
              </w:rPr>
              <w:t>prior to behavioural disturbance</w:t>
            </w:r>
            <w:r w:rsidRPr="00F0474A">
              <w:rPr>
                <w:rFonts w:cs="Segoe UI"/>
                <w:sz w:val="18"/>
                <w:szCs w:val="18"/>
              </w:rPr>
              <w:t xml:space="preserve"> increase LOS</w:t>
            </w:r>
          </w:p>
        </w:tc>
      </w:tr>
      <w:tr w:rsidR="004C661E" w:rsidRPr="00F0474A" w:rsidTr="00C07331">
        <w:tc>
          <w:tcPr>
            <w:tcW w:w="1666" w:type="dxa"/>
          </w:tcPr>
          <w:p w:rsidR="004C661E" w:rsidRPr="00F0474A" w:rsidRDefault="004C661E" w:rsidP="004C661E">
            <w:pPr>
              <w:rPr>
                <w:sz w:val="18"/>
                <w:szCs w:val="18"/>
              </w:rPr>
            </w:pPr>
            <w:r w:rsidRPr="00F0474A">
              <w:rPr>
                <w:sz w:val="18"/>
                <w:szCs w:val="18"/>
              </w:rPr>
              <w:t>Chen 2011</w:t>
            </w:r>
          </w:p>
        </w:tc>
        <w:tc>
          <w:tcPr>
            <w:tcW w:w="1164" w:type="dxa"/>
          </w:tcPr>
          <w:p w:rsidR="004C661E" w:rsidRPr="00F0474A" w:rsidRDefault="004C661E" w:rsidP="004C661E">
            <w:pPr>
              <w:rPr>
                <w:sz w:val="18"/>
                <w:szCs w:val="18"/>
              </w:rPr>
            </w:pPr>
            <w:r w:rsidRPr="00F0474A">
              <w:rPr>
                <w:sz w:val="18"/>
                <w:szCs w:val="18"/>
              </w:rPr>
              <w:t>Australia</w:t>
            </w:r>
          </w:p>
        </w:tc>
        <w:tc>
          <w:tcPr>
            <w:tcW w:w="2948" w:type="dxa"/>
          </w:tcPr>
          <w:p w:rsidR="004C661E" w:rsidRPr="00F0474A" w:rsidRDefault="004C661E" w:rsidP="004C661E">
            <w:pPr>
              <w:rPr>
                <w:sz w:val="18"/>
                <w:szCs w:val="18"/>
              </w:rPr>
            </w:pPr>
            <w:r w:rsidRPr="00F0474A">
              <w:rPr>
                <w:sz w:val="18"/>
                <w:szCs w:val="18"/>
              </w:rPr>
              <w:t>408 patients aged 70+ admitted to hospital</w:t>
            </w:r>
          </w:p>
        </w:tc>
        <w:tc>
          <w:tcPr>
            <w:tcW w:w="2430" w:type="dxa"/>
            <w:gridSpan w:val="2"/>
          </w:tcPr>
          <w:p w:rsidR="004C661E" w:rsidRPr="00F0474A" w:rsidRDefault="004C661E" w:rsidP="004C661E">
            <w:pPr>
              <w:rPr>
                <w:sz w:val="18"/>
                <w:szCs w:val="18"/>
              </w:rPr>
            </w:pPr>
            <w:r w:rsidRPr="00F0474A">
              <w:rPr>
                <w:sz w:val="18"/>
                <w:szCs w:val="18"/>
              </w:rPr>
              <w:t>Retrospective case control.</w:t>
            </w:r>
          </w:p>
          <w:p w:rsidR="004C661E" w:rsidRPr="00F0474A" w:rsidRDefault="004C661E" w:rsidP="004C661E">
            <w:pPr>
              <w:rPr>
                <w:sz w:val="18"/>
                <w:szCs w:val="18"/>
              </w:rPr>
            </w:pPr>
          </w:p>
        </w:tc>
        <w:tc>
          <w:tcPr>
            <w:tcW w:w="5792" w:type="dxa"/>
          </w:tcPr>
          <w:p w:rsidR="004C661E" w:rsidRPr="00F0474A" w:rsidRDefault="00422958" w:rsidP="00422958">
            <w:pPr>
              <w:rPr>
                <w:rFonts w:cs="Segoe UI"/>
                <w:sz w:val="18"/>
                <w:szCs w:val="18"/>
              </w:rPr>
            </w:pPr>
            <w:r w:rsidRPr="00F0474A">
              <w:rPr>
                <w:rFonts w:cs="Segoe UI"/>
                <w:sz w:val="18"/>
                <w:szCs w:val="18"/>
              </w:rPr>
              <w:t>Cognitive impairment</w:t>
            </w:r>
            <w:r w:rsidR="004C661E" w:rsidRPr="00F0474A">
              <w:rPr>
                <w:rFonts w:cs="Segoe UI"/>
                <w:sz w:val="18"/>
                <w:szCs w:val="18"/>
              </w:rPr>
              <w:t xml:space="preserve"> </w:t>
            </w:r>
            <w:r w:rsidRPr="00F0474A">
              <w:rPr>
                <w:rFonts w:cs="Segoe UI"/>
                <w:sz w:val="18"/>
                <w:szCs w:val="18"/>
              </w:rPr>
              <w:t>is related to an increased risk of recurrent falls, and patients with recurrent falls are more likely to have a</w:t>
            </w:r>
            <w:r w:rsidR="004C661E" w:rsidRPr="00F0474A">
              <w:rPr>
                <w:rFonts w:cs="Segoe UI"/>
                <w:sz w:val="18"/>
                <w:szCs w:val="18"/>
              </w:rPr>
              <w:t xml:space="preserve"> LOS &gt;5 weeks</w:t>
            </w:r>
            <w:r w:rsidRPr="00F0474A">
              <w:rPr>
                <w:rFonts w:cs="Segoe UI"/>
                <w:sz w:val="18"/>
                <w:szCs w:val="18"/>
              </w:rPr>
              <w:t xml:space="preserve"> (50.7% of patients with recurrent falls </w:t>
            </w:r>
            <w:proofErr w:type="spellStart"/>
            <w:r w:rsidRPr="00F0474A">
              <w:rPr>
                <w:rFonts w:cs="Segoe UI"/>
                <w:sz w:val="18"/>
                <w:szCs w:val="18"/>
              </w:rPr>
              <w:t>vs</w:t>
            </w:r>
            <w:proofErr w:type="spellEnd"/>
            <w:r w:rsidRPr="00F0474A">
              <w:rPr>
                <w:rFonts w:cs="Segoe UI"/>
                <w:sz w:val="18"/>
                <w:szCs w:val="18"/>
              </w:rPr>
              <w:t xml:space="preserve"> 27.2% with a single fall, and 23.2% with no falls, p&lt;0.001)</w:t>
            </w:r>
          </w:p>
        </w:tc>
      </w:tr>
      <w:tr w:rsidR="000F5898" w:rsidRPr="00F0474A" w:rsidTr="00C07331">
        <w:tc>
          <w:tcPr>
            <w:tcW w:w="1666" w:type="dxa"/>
          </w:tcPr>
          <w:p w:rsidR="000F5898" w:rsidRPr="00F0474A" w:rsidRDefault="000F5898" w:rsidP="000F5898">
            <w:pPr>
              <w:rPr>
                <w:sz w:val="18"/>
                <w:szCs w:val="18"/>
              </w:rPr>
            </w:pPr>
            <w:r w:rsidRPr="00F0474A">
              <w:rPr>
                <w:sz w:val="18"/>
                <w:szCs w:val="18"/>
              </w:rPr>
              <w:t>Bail 2015</w:t>
            </w:r>
          </w:p>
        </w:tc>
        <w:tc>
          <w:tcPr>
            <w:tcW w:w="1164" w:type="dxa"/>
          </w:tcPr>
          <w:p w:rsidR="000F5898" w:rsidRPr="00F0474A" w:rsidRDefault="000F5898" w:rsidP="000F5898">
            <w:pPr>
              <w:rPr>
                <w:sz w:val="18"/>
                <w:szCs w:val="18"/>
              </w:rPr>
            </w:pPr>
            <w:r w:rsidRPr="00F0474A">
              <w:rPr>
                <w:sz w:val="18"/>
                <w:szCs w:val="18"/>
              </w:rPr>
              <w:t>Australia</w:t>
            </w:r>
          </w:p>
        </w:tc>
        <w:tc>
          <w:tcPr>
            <w:tcW w:w="2948" w:type="dxa"/>
          </w:tcPr>
          <w:p w:rsidR="000F5898" w:rsidRPr="00F0474A" w:rsidRDefault="000F5898" w:rsidP="000F5898">
            <w:pPr>
              <w:rPr>
                <w:sz w:val="18"/>
                <w:szCs w:val="18"/>
              </w:rPr>
            </w:pPr>
            <w:r w:rsidRPr="00F0474A">
              <w:rPr>
                <w:sz w:val="18"/>
                <w:szCs w:val="18"/>
              </w:rPr>
              <w:t xml:space="preserve">426,276 overnight hospital episodes in patients aged 50+, matched 1 </w:t>
            </w:r>
            <w:r w:rsidRPr="00F0474A">
              <w:rPr>
                <w:sz w:val="18"/>
                <w:szCs w:val="18"/>
              </w:rPr>
              <w:lastRenderedPageBreak/>
              <w:t xml:space="preserve">patient with dementia:4 patients without dementia </w:t>
            </w:r>
          </w:p>
        </w:tc>
        <w:tc>
          <w:tcPr>
            <w:tcW w:w="2430" w:type="dxa"/>
            <w:gridSpan w:val="2"/>
          </w:tcPr>
          <w:p w:rsidR="000F5898" w:rsidRPr="00F0474A" w:rsidRDefault="000F5898" w:rsidP="000F5898">
            <w:pPr>
              <w:rPr>
                <w:sz w:val="18"/>
                <w:szCs w:val="18"/>
              </w:rPr>
            </w:pPr>
            <w:r w:rsidRPr="00F0474A">
              <w:rPr>
                <w:sz w:val="18"/>
                <w:szCs w:val="18"/>
              </w:rPr>
              <w:lastRenderedPageBreak/>
              <w:t>Retrospective cohort study</w:t>
            </w:r>
          </w:p>
          <w:p w:rsidR="000F5898" w:rsidRPr="00F0474A" w:rsidRDefault="000F5898" w:rsidP="000F5898">
            <w:pPr>
              <w:rPr>
                <w:sz w:val="18"/>
                <w:szCs w:val="18"/>
              </w:rPr>
            </w:pPr>
          </w:p>
        </w:tc>
        <w:tc>
          <w:tcPr>
            <w:tcW w:w="5792" w:type="dxa"/>
          </w:tcPr>
          <w:p w:rsidR="000F5898" w:rsidRPr="00F0474A" w:rsidRDefault="000F5898" w:rsidP="000F5898">
            <w:pPr>
              <w:rPr>
                <w:sz w:val="18"/>
                <w:szCs w:val="18"/>
              </w:rPr>
            </w:pPr>
            <w:r w:rsidRPr="00F0474A">
              <w:rPr>
                <w:sz w:val="18"/>
                <w:szCs w:val="18"/>
              </w:rPr>
              <w:t xml:space="preserve">People with dementia had increased LOS (10.9 </w:t>
            </w:r>
            <w:proofErr w:type="spellStart"/>
            <w:r w:rsidRPr="00F0474A">
              <w:rPr>
                <w:sz w:val="18"/>
                <w:szCs w:val="18"/>
              </w:rPr>
              <w:t>vs</w:t>
            </w:r>
            <w:proofErr w:type="spellEnd"/>
            <w:r w:rsidRPr="00F0474A">
              <w:rPr>
                <w:sz w:val="18"/>
                <w:szCs w:val="18"/>
              </w:rPr>
              <w:t xml:space="preserve"> 7.1 days). </w:t>
            </w:r>
          </w:p>
        </w:tc>
      </w:tr>
      <w:tr w:rsidR="004C661E" w:rsidRPr="00F0474A" w:rsidTr="00C07331">
        <w:tc>
          <w:tcPr>
            <w:tcW w:w="1666" w:type="dxa"/>
          </w:tcPr>
          <w:p w:rsidR="004C661E" w:rsidRPr="00F0474A" w:rsidRDefault="004C661E" w:rsidP="004C661E">
            <w:pPr>
              <w:rPr>
                <w:sz w:val="18"/>
                <w:szCs w:val="18"/>
              </w:rPr>
            </w:pPr>
            <w:r w:rsidRPr="00F0474A">
              <w:rPr>
                <w:sz w:val="18"/>
                <w:szCs w:val="18"/>
              </w:rPr>
              <w:lastRenderedPageBreak/>
              <w:t>Chang 2015</w:t>
            </w:r>
          </w:p>
        </w:tc>
        <w:tc>
          <w:tcPr>
            <w:tcW w:w="1164" w:type="dxa"/>
          </w:tcPr>
          <w:p w:rsidR="004C661E" w:rsidRPr="00F0474A" w:rsidRDefault="001C6336" w:rsidP="004C661E">
            <w:pPr>
              <w:rPr>
                <w:sz w:val="18"/>
                <w:szCs w:val="18"/>
              </w:rPr>
            </w:pPr>
            <w:r w:rsidRPr="00F0474A">
              <w:rPr>
                <w:sz w:val="18"/>
                <w:szCs w:val="18"/>
              </w:rPr>
              <w:t>Taiwan</w:t>
            </w:r>
          </w:p>
        </w:tc>
        <w:tc>
          <w:tcPr>
            <w:tcW w:w="2948" w:type="dxa"/>
          </w:tcPr>
          <w:p w:rsidR="004C661E" w:rsidRPr="00F0474A" w:rsidRDefault="00DE6096" w:rsidP="001C6336">
            <w:pPr>
              <w:rPr>
                <w:sz w:val="18"/>
                <w:szCs w:val="18"/>
              </w:rPr>
            </w:pPr>
            <w:r w:rsidRPr="00F0474A">
              <w:rPr>
                <w:sz w:val="18"/>
                <w:szCs w:val="18"/>
              </w:rPr>
              <w:t xml:space="preserve">203 patients aged 65+ with </w:t>
            </w:r>
            <w:r w:rsidR="001C6336" w:rsidRPr="00F0474A">
              <w:rPr>
                <w:sz w:val="18"/>
                <w:szCs w:val="18"/>
              </w:rPr>
              <w:t xml:space="preserve">Alzheimer’s, vascular </w:t>
            </w:r>
            <w:r w:rsidRPr="00F0474A">
              <w:rPr>
                <w:sz w:val="18"/>
                <w:szCs w:val="18"/>
              </w:rPr>
              <w:t>dementia</w:t>
            </w:r>
            <w:r w:rsidR="001C6336" w:rsidRPr="00F0474A">
              <w:rPr>
                <w:sz w:val="18"/>
                <w:szCs w:val="18"/>
              </w:rPr>
              <w:t xml:space="preserve"> or Parkinsonism-related dementia admitted to hospital</w:t>
            </w:r>
            <w:r w:rsidR="00F8206E" w:rsidRPr="00F0474A">
              <w:rPr>
                <w:sz w:val="18"/>
                <w:szCs w:val="18"/>
              </w:rPr>
              <w:t xml:space="preserve"> at least once over 4 year period (472 admissions)</w:t>
            </w:r>
          </w:p>
        </w:tc>
        <w:tc>
          <w:tcPr>
            <w:tcW w:w="2430" w:type="dxa"/>
            <w:gridSpan w:val="2"/>
          </w:tcPr>
          <w:p w:rsidR="004C661E" w:rsidRPr="00F0474A" w:rsidRDefault="001C6336" w:rsidP="004C661E">
            <w:pPr>
              <w:rPr>
                <w:sz w:val="18"/>
                <w:szCs w:val="18"/>
              </w:rPr>
            </w:pPr>
            <w:r w:rsidRPr="00F0474A">
              <w:rPr>
                <w:sz w:val="18"/>
                <w:szCs w:val="18"/>
              </w:rPr>
              <w:t>Prospective cohort</w:t>
            </w:r>
          </w:p>
        </w:tc>
        <w:tc>
          <w:tcPr>
            <w:tcW w:w="5792" w:type="dxa"/>
          </w:tcPr>
          <w:p w:rsidR="00D71E86" w:rsidRPr="00F0474A" w:rsidRDefault="00DE6096" w:rsidP="00F8206E">
            <w:pPr>
              <w:rPr>
                <w:rFonts w:cs="Segoe UI"/>
                <w:sz w:val="18"/>
                <w:szCs w:val="18"/>
              </w:rPr>
            </w:pPr>
            <w:r w:rsidRPr="00F0474A">
              <w:rPr>
                <w:rFonts w:cs="Segoe UI"/>
                <w:sz w:val="18"/>
                <w:szCs w:val="18"/>
              </w:rPr>
              <w:t>Of the dementia subtypes, p</w:t>
            </w:r>
            <w:r w:rsidR="004C661E" w:rsidRPr="00F0474A">
              <w:rPr>
                <w:rFonts w:cs="Segoe UI"/>
                <w:sz w:val="18"/>
                <w:szCs w:val="18"/>
              </w:rPr>
              <w:t xml:space="preserve">atients with Alzheimer’s </w:t>
            </w:r>
            <w:r w:rsidRPr="00F0474A">
              <w:rPr>
                <w:rFonts w:cs="Segoe UI"/>
                <w:sz w:val="18"/>
                <w:szCs w:val="18"/>
              </w:rPr>
              <w:t>had</w:t>
            </w:r>
            <w:r w:rsidR="004C661E" w:rsidRPr="00F0474A">
              <w:rPr>
                <w:rFonts w:cs="Segoe UI"/>
                <w:sz w:val="18"/>
                <w:szCs w:val="18"/>
              </w:rPr>
              <w:t xml:space="preserve"> the shortest hospital stays</w:t>
            </w:r>
            <w:r w:rsidR="00F8206E" w:rsidRPr="00F0474A">
              <w:rPr>
                <w:rFonts w:cs="Segoe UI"/>
                <w:sz w:val="18"/>
                <w:szCs w:val="18"/>
              </w:rPr>
              <w:t xml:space="preserve"> (mean 10.2 days)</w:t>
            </w:r>
            <w:r w:rsidR="004C661E" w:rsidRPr="00F0474A">
              <w:rPr>
                <w:rFonts w:cs="Segoe UI"/>
                <w:sz w:val="18"/>
                <w:szCs w:val="18"/>
              </w:rPr>
              <w:t>, followed by vascular dementia</w:t>
            </w:r>
            <w:r w:rsidR="00F8206E" w:rsidRPr="00F0474A">
              <w:rPr>
                <w:rFonts w:cs="Segoe UI"/>
                <w:sz w:val="18"/>
                <w:szCs w:val="18"/>
              </w:rPr>
              <w:t xml:space="preserve"> (16.8 days)</w:t>
            </w:r>
            <w:r w:rsidR="004C661E" w:rsidRPr="00F0474A">
              <w:rPr>
                <w:rFonts w:cs="Segoe UI"/>
                <w:sz w:val="18"/>
                <w:szCs w:val="18"/>
              </w:rPr>
              <w:t>, and then Parkinsonism related dementia</w:t>
            </w:r>
            <w:r w:rsidR="00F8206E" w:rsidRPr="00F0474A">
              <w:rPr>
                <w:rFonts w:cs="Segoe UI"/>
                <w:sz w:val="18"/>
                <w:szCs w:val="18"/>
              </w:rPr>
              <w:t xml:space="preserve"> (17.4 days), p=0.010</w:t>
            </w:r>
            <w:r w:rsidRPr="00F0474A">
              <w:rPr>
                <w:rFonts w:cs="Segoe UI"/>
                <w:sz w:val="18"/>
                <w:szCs w:val="18"/>
              </w:rPr>
              <w:t xml:space="preserve">. </w:t>
            </w:r>
            <w:r w:rsidR="00F8206E" w:rsidRPr="00F0474A">
              <w:rPr>
                <w:sz w:val="18"/>
                <w:szCs w:val="18"/>
              </w:rPr>
              <w:t>The following were independently associated with</w:t>
            </w:r>
            <w:r w:rsidR="004C661E" w:rsidRPr="00F0474A">
              <w:rPr>
                <w:sz w:val="18"/>
                <w:szCs w:val="18"/>
              </w:rPr>
              <w:t xml:space="preserve"> </w:t>
            </w:r>
            <w:r w:rsidRPr="00F0474A">
              <w:rPr>
                <w:sz w:val="18"/>
                <w:szCs w:val="18"/>
              </w:rPr>
              <w:t>prolong</w:t>
            </w:r>
            <w:r w:rsidR="00F8206E" w:rsidRPr="00F0474A">
              <w:rPr>
                <w:sz w:val="18"/>
                <w:szCs w:val="18"/>
              </w:rPr>
              <w:t>ed</w:t>
            </w:r>
            <w:r w:rsidRPr="00F0474A">
              <w:rPr>
                <w:sz w:val="18"/>
                <w:szCs w:val="18"/>
              </w:rPr>
              <w:t xml:space="preserve"> hospital stay (&gt;14 days)</w:t>
            </w:r>
            <w:r w:rsidR="004C661E" w:rsidRPr="00F0474A">
              <w:rPr>
                <w:sz w:val="18"/>
                <w:szCs w:val="18"/>
              </w:rPr>
              <w:t>, specifically</w:t>
            </w:r>
            <w:r w:rsidRPr="00F0474A">
              <w:rPr>
                <w:sz w:val="18"/>
                <w:szCs w:val="18"/>
              </w:rPr>
              <w:t>:</w:t>
            </w:r>
            <w:r w:rsidR="004C661E" w:rsidRPr="00F0474A">
              <w:rPr>
                <w:sz w:val="18"/>
                <w:szCs w:val="18"/>
              </w:rPr>
              <w:t xml:space="preserve"> </w:t>
            </w:r>
            <w:r w:rsidR="00F8206E" w:rsidRPr="00F0474A">
              <w:rPr>
                <w:rFonts w:cs="Segoe UI"/>
                <w:sz w:val="18"/>
                <w:szCs w:val="18"/>
              </w:rPr>
              <w:t>diabetes mellitus: OR 2.7 [1.17-6.66]</w:t>
            </w:r>
            <w:r w:rsidRPr="00F0474A">
              <w:rPr>
                <w:rFonts w:cs="Segoe UI"/>
                <w:sz w:val="18"/>
                <w:szCs w:val="18"/>
              </w:rPr>
              <w:t>, p=0.02</w:t>
            </w:r>
            <w:r w:rsidR="00F8206E" w:rsidRPr="00F0474A">
              <w:rPr>
                <w:rFonts w:cs="Segoe UI"/>
                <w:sz w:val="18"/>
                <w:szCs w:val="18"/>
              </w:rPr>
              <w:t xml:space="preserve">; pneumonia: </w:t>
            </w:r>
            <w:r w:rsidR="004C661E" w:rsidRPr="00F0474A">
              <w:rPr>
                <w:rFonts w:cs="Segoe UI"/>
                <w:sz w:val="18"/>
                <w:szCs w:val="18"/>
              </w:rPr>
              <w:t>OR 11.21</w:t>
            </w:r>
            <w:r w:rsidR="00F8206E" w:rsidRPr="00F0474A">
              <w:rPr>
                <w:rFonts w:cs="Segoe UI"/>
                <w:sz w:val="18"/>
                <w:szCs w:val="18"/>
              </w:rPr>
              <w:t xml:space="preserve"> [3.40-37.01]</w:t>
            </w:r>
            <w:proofErr w:type="gramStart"/>
            <w:r w:rsidR="00F8206E" w:rsidRPr="00F0474A">
              <w:rPr>
                <w:rFonts w:cs="Segoe UI"/>
                <w:sz w:val="18"/>
                <w:szCs w:val="18"/>
              </w:rPr>
              <w:t xml:space="preserve">, </w:t>
            </w:r>
            <w:r w:rsidRPr="00F0474A">
              <w:rPr>
                <w:rFonts w:cs="Segoe UI"/>
                <w:sz w:val="18"/>
                <w:szCs w:val="18"/>
              </w:rPr>
              <w:t xml:space="preserve"> p</w:t>
            </w:r>
            <w:proofErr w:type="gramEnd"/>
            <w:r w:rsidRPr="00F0474A">
              <w:rPr>
                <w:rFonts w:cs="Segoe UI"/>
                <w:sz w:val="18"/>
                <w:szCs w:val="18"/>
              </w:rPr>
              <w:t>&lt;0.001</w:t>
            </w:r>
            <w:r w:rsidR="00F8206E" w:rsidRPr="00F0474A">
              <w:rPr>
                <w:rFonts w:cs="Segoe UI"/>
                <w:sz w:val="18"/>
                <w:szCs w:val="18"/>
              </w:rPr>
              <w:t>;</w:t>
            </w:r>
            <w:r w:rsidR="004C661E" w:rsidRPr="00F0474A">
              <w:rPr>
                <w:rFonts w:cs="Segoe UI"/>
                <w:sz w:val="18"/>
                <w:szCs w:val="18"/>
              </w:rPr>
              <w:t xml:space="preserve"> fall-related hip fracture</w:t>
            </w:r>
            <w:r w:rsidR="005A7D55" w:rsidRPr="00F0474A">
              <w:rPr>
                <w:rFonts w:cs="Segoe UI"/>
                <w:sz w:val="18"/>
                <w:szCs w:val="18"/>
              </w:rPr>
              <w:t xml:space="preserve">: </w:t>
            </w:r>
            <w:r w:rsidR="004C661E" w:rsidRPr="00F0474A">
              <w:rPr>
                <w:rFonts w:cs="Segoe UI"/>
                <w:sz w:val="18"/>
                <w:szCs w:val="18"/>
              </w:rPr>
              <w:t>OR 4.76</w:t>
            </w:r>
            <w:r w:rsidR="005A7D55" w:rsidRPr="00F0474A">
              <w:rPr>
                <w:rFonts w:cs="Segoe UI"/>
                <w:sz w:val="18"/>
                <w:szCs w:val="18"/>
              </w:rPr>
              <w:t xml:space="preserve"> [1.18-19.29], </w:t>
            </w:r>
            <w:r w:rsidRPr="00F0474A">
              <w:rPr>
                <w:rFonts w:cs="Segoe UI"/>
                <w:sz w:val="18"/>
                <w:szCs w:val="18"/>
              </w:rPr>
              <w:t>p=0.029</w:t>
            </w:r>
            <w:r w:rsidR="004C661E" w:rsidRPr="00F0474A">
              <w:rPr>
                <w:rFonts w:cs="Segoe UI"/>
                <w:sz w:val="18"/>
                <w:szCs w:val="18"/>
              </w:rPr>
              <w:t>.</w:t>
            </w:r>
          </w:p>
        </w:tc>
      </w:tr>
      <w:tr w:rsidR="004C661E" w:rsidRPr="00F0474A" w:rsidTr="0006301D">
        <w:tc>
          <w:tcPr>
            <w:tcW w:w="14000" w:type="dxa"/>
            <w:gridSpan w:val="6"/>
          </w:tcPr>
          <w:p w:rsidR="004C661E" w:rsidRPr="00F0474A" w:rsidRDefault="004C661E" w:rsidP="004C661E">
            <w:pPr>
              <w:rPr>
                <w:b/>
                <w:i/>
                <w:sz w:val="18"/>
                <w:szCs w:val="18"/>
              </w:rPr>
            </w:pPr>
            <w:r w:rsidRPr="00F0474A">
              <w:rPr>
                <w:b/>
                <w:i/>
                <w:sz w:val="18"/>
                <w:szCs w:val="18"/>
              </w:rPr>
              <w:t>Costs</w:t>
            </w:r>
          </w:p>
        </w:tc>
      </w:tr>
      <w:tr w:rsidR="00164240" w:rsidRPr="00F0474A" w:rsidTr="00C07331">
        <w:tc>
          <w:tcPr>
            <w:tcW w:w="1666" w:type="dxa"/>
          </w:tcPr>
          <w:p w:rsidR="00164240" w:rsidRPr="00F0474A" w:rsidRDefault="00164240" w:rsidP="00164240">
            <w:pPr>
              <w:rPr>
                <w:rFonts w:cs="Segoe UI"/>
                <w:sz w:val="18"/>
                <w:szCs w:val="18"/>
              </w:rPr>
            </w:pPr>
            <w:proofErr w:type="spellStart"/>
            <w:r w:rsidRPr="00F0474A">
              <w:rPr>
                <w:rFonts w:cs="Segoe UI"/>
                <w:sz w:val="18"/>
                <w:szCs w:val="18"/>
              </w:rPr>
              <w:t>Caspe</w:t>
            </w:r>
            <w:proofErr w:type="spellEnd"/>
            <w:r w:rsidRPr="00F0474A">
              <w:rPr>
                <w:rFonts w:cs="Segoe UI"/>
                <w:sz w:val="18"/>
                <w:szCs w:val="18"/>
              </w:rPr>
              <w:t xml:space="preserve"> Healthcare Knowledge Systems (CHKS) 2013</w:t>
            </w:r>
          </w:p>
        </w:tc>
        <w:tc>
          <w:tcPr>
            <w:tcW w:w="1164" w:type="dxa"/>
          </w:tcPr>
          <w:p w:rsidR="00164240" w:rsidRPr="00F0474A" w:rsidRDefault="00164240" w:rsidP="00164240">
            <w:pPr>
              <w:rPr>
                <w:sz w:val="18"/>
                <w:szCs w:val="18"/>
              </w:rPr>
            </w:pPr>
            <w:r w:rsidRPr="00F0474A">
              <w:rPr>
                <w:sz w:val="18"/>
                <w:szCs w:val="18"/>
              </w:rPr>
              <w:t>UK</w:t>
            </w:r>
          </w:p>
        </w:tc>
        <w:tc>
          <w:tcPr>
            <w:tcW w:w="2948" w:type="dxa"/>
          </w:tcPr>
          <w:p w:rsidR="00164240" w:rsidRPr="00F0474A" w:rsidRDefault="00164240" w:rsidP="00164240">
            <w:pPr>
              <w:rPr>
                <w:sz w:val="18"/>
                <w:szCs w:val="18"/>
              </w:rPr>
            </w:pPr>
            <w:r w:rsidRPr="00F0474A">
              <w:rPr>
                <w:sz w:val="18"/>
                <w:szCs w:val="18"/>
              </w:rPr>
              <w:t>UK-wide hospital episode statistics of people aged 45+</w:t>
            </w:r>
          </w:p>
        </w:tc>
        <w:tc>
          <w:tcPr>
            <w:tcW w:w="2410" w:type="dxa"/>
          </w:tcPr>
          <w:p w:rsidR="00164240" w:rsidRPr="00F0474A" w:rsidRDefault="00164240" w:rsidP="00164240">
            <w:pPr>
              <w:rPr>
                <w:sz w:val="18"/>
                <w:szCs w:val="18"/>
              </w:rPr>
            </w:pPr>
            <w:r w:rsidRPr="00F0474A">
              <w:rPr>
                <w:sz w:val="18"/>
                <w:szCs w:val="18"/>
              </w:rPr>
              <w:t>Retrospective analysis</w:t>
            </w:r>
          </w:p>
          <w:p w:rsidR="00164240" w:rsidRPr="00F0474A" w:rsidRDefault="00164240" w:rsidP="00164240">
            <w:pPr>
              <w:rPr>
                <w:sz w:val="18"/>
                <w:szCs w:val="18"/>
              </w:rPr>
            </w:pPr>
          </w:p>
        </w:tc>
        <w:tc>
          <w:tcPr>
            <w:tcW w:w="5812" w:type="dxa"/>
            <w:gridSpan w:val="2"/>
          </w:tcPr>
          <w:p w:rsidR="00164240" w:rsidRPr="00F0474A" w:rsidRDefault="00164240" w:rsidP="006A72E8">
            <w:pPr>
              <w:rPr>
                <w:sz w:val="18"/>
                <w:szCs w:val="18"/>
              </w:rPr>
            </w:pPr>
            <w:r w:rsidRPr="00F0474A">
              <w:rPr>
                <w:sz w:val="18"/>
                <w:szCs w:val="18"/>
              </w:rPr>
              <w:t xml:space="preserve">In 2011, </w:t>
            </w:r>
            <w:r w:rsidR="006A72E8" w:rsidRPr="00F0474A">
              <w:rPr>
                <w:sz w:val="18"/>
                <w:szCs w:val="18"/>
              </w:rPr>
              <w:t>additional costs attributed to</w:t>
            </w:r>
            <w:r w:rsidRPr="00F0474A">
              <w:rPr>
                <w:sz w:val="18"/>
                <w:szCs w:val="18"/>
              </w:rPr>
              <w:t xml:space="preserve"> excess length of stay in patients with dementia estimated at </w:t>
            </w:r>
            <w:r w:rsidR="006A72E8" w:rsidRPr="00F0474A">
              <w:rPr>
                <w:sz w:val="18"/>
                <w:szCs w:val="18"/>
              </w:rPr>
              <w:t>£83.8 million.</w:t>
            </w:r>
            <w:r w:rsidRPr="00F0474A">
              <w:rPr>
                <w:sz w:val="18"/>
                <w:szCs w:val="18"/>
              </w:rPr>
              <w:t xml:space="preserve"> </w:t>
            </w:r>
          </w:p>
        </w:tc>
      </w:tr>
      <w:tr w:rsidR="00164240" w:rsidRPr="00F0474A" w:rsidTr="00C07331">
        <w:tc>
          <w:tcPr>
            <w:tcW w:w="1666" w:type="dxa"/>
          </w:tcPr>
          <w:p w:rsidR="00164240" w:rsidRPr="00F0474A" w:rsidRDefault="00164240" w:rsidP="00164240">
            <w:pPr>
              <w:rPr>
                <w:sz w:val="18"/>
                <w:szCs w:val="18"/>
              </w:rPr>
            </w:pPr>
            <w:r w:rsidRPr="00F0474A">
              <w:rPr>
                <w:sz w:val="18"/>
                <w:szCs w:val="18"/>
              </w:rPr>
              <w:t>Briggs 2016</w:t>
            </w:r>
          </w:p>
        </w:tc>
        <w:tc>
          <w:tcPr>
            <w:tcW w:w="1164" w:type="dxa"/>
          </w:tcPr>
          <w:p w:rsidR="00164240" w:rsidRPr="00F0474A" w:rsidRDefault="00164240" w:rsidP="00164240">
            <w:pPr>
              <w:rPr>
                <w:sz w:val="18"/>
                <w:szCs w:val="18"/>
              </w:rPr>
            </w:pPr>
            <w:r w:rsidRPr="00F0474A">
              <w:rPr>
                <w:sz w:val="18"/>
                <w:szCs w:val="18"/>
              </w:rPr>
              <w:t>Ireland</w:t>
            </w:r>
          </w:p>
        </w:tc>
        <w:tc>
          <w:tcPr>
            <w:tcW w:w="2948" w:type="dxa"/>
          </w:tcPr>
          <w:p w:rsidR="00164240" w:rsidRPr="00F0474A" w:rsidRDefault="00164240" w:rsidP="00164240">
            <w:pPr>
              <w:rPr>
                <w:sz w:val="18"/>
                <w:szCs w:val="18"/>
              </w:rPr>
            </w:pPr>
            <w:r w:rsidRPr="00F0474A">
              <w:rPr>
                <w:sz w:val="18"/>
                <w:szCs w:val="18"/>
              </w:rPr>
              <w:t>69,718 hospital admissions in patients 65+, including 1433 (2%) admissions with a diagnosis of dementia (929 patients)</w:t>
            </w:r>
          </w:p>
        </w:tc>
        <w:tc>
          <w:tcPr>
            <w:tcW w:w="2430" w:type="dxa"/>
            <w:gridSpan w:val="2"/>
          </w:tcPr>
          <w:p w:rsidR="00164240" w:rsidRPr="00F0474A" w:rsidRDefault="00164240" w:rsidP="00164240">
            <w:pPr>
              <w:rPr>
                <w:sz w:val="18"/>
                <w:szCs w:val="18"/>
              </w:rPr>
            </w:pPr>
            <w:r w:rsidRPr="00F0474A">
              <w:rPr>
                <w:sz w:val="18"/>
                <w:szCs w:val="18"/>
              </w:rPr>
              <w:t>Retrospective cohort</w:t>
            </w:r>
          </w:p>
        </w:tc>
        <w:tc>
          <w:tcPr>
            <w:tcW w:w="5792" w:type="dxa"/>
          </w:tcPr>
          <w:p w:rsidR="00164240" w:rsidRPr="00F0474A" w:rsidRDefault="00164240" w:rsidP="00164240">
            <w:pPr>
              <w:rPr>
                <w:sz w:val="18"/>
                <w:szCs w:val="18"/>
              </w:rPr>
            </w:pPr>
            <w:r w:rsidRPr="00F0474A">
              <w:rPr>
                <w:sz w:val="18"/>
                <w:szCs w:val="18"/>
              </w:rPr>
              <w:t xml:space="preserve">The average cost for a patient with dementia was almost three times that of a patient with no dementia: £13,832 </w:t>
            </w:r>
            <w:proofErr w:type="spellStart"/>
            <w:r w:rsidRPr="00F0474A">
              <w:rPr>
                <w:sz w:val="18"/>
                <w:szCs w:val="18"/>
              </w:rPr>
              <w:t>vs</w:t>
            </w:r>
            <w:proofErr w:type="spellEnd"/>
            <w:r w:rsidRPr="00F0474A">
              <w:rPr>
                <w:sz w:val="18"/>
                <w:szCs w:val="18"/>
              </w:rPr>
              <w:t xml:space="preserve"> £5,404 </w:t>
            </w:r>
          </w:p>
        </w:tc>
      </w:tr>
      <w:tr w:rsidR="00BC0187" w:rsidRPr="00F0474A" w:rsidTr="00C07331">
        <w:tc>
          <w:tcPr>
            <w:tcW w:w="1666" w:type="dxa"/>
          </w:tcPr>
          <w:p w:rsidR="00BC0187" w:rsidRPr="00F0474A" w:rsidRDefault="00BC0187" w:rsidP="00BC0187">
            <w:pPr>
              <w:rPr>
                <w:sz w:val="18"/>
                <w:szCs w:val="18"/>
              </w:rPr>
            </w:pPr>
            <w:proofErr w:type="spellStart"/>
            <w:r w:rsidRPr="00F0474A">
              <w:rPr>
                <w:sz w:val="18"/>
                <w:szCs w:val="18"/>
              </w:rPr>
              <w:t>Tropea</w:t>
            </w:r>
            <w:proofErr w:type="spellEnd"/>
            <w:r w:rsidRPr="00F0474A">
              <w:rPr>
                <w:sz w:val="18"/>
                <w:szCs w:val="18"/>
              </w:rPr>
              <w:t xml:space="preserve"> 2016</w:t>
            </w:r>
          </w:p>
        </w:tc>
        <w:tc>
          <w:tcPr>
            <w:tcW w:w="1164" w:type="dxa"/>
          </w:tcPr>
          <w:p w:rsidR="00BC0187" w:rsidRPr="00F0474A" w:rsidRDefault="00BC0187" w:rsidP="00BC0187">
            <w:pPr>
              <w:rPr>
                <w:sz w:val="18"/>
                <w:szCs w:val="18"/>
              </w:rPr>
            </w:pPr>
            <w:r w:rsidRPr="00F0474A">
              <w:rPr>
                <w:sz w:val="18"/>
                <w:szCs w:val="18"/>
              </w:rPr>
              <w:t>Australia</w:t>
            </w:r>
          </w:p>
        </w:tc>
        <w:tc>
          <w:tcPr>
            <w:tcW w:w="2948" w:type="dxa"/>
          </w:tcPr>
          <w:p w:rsidR="00BC0187" w:rsidRPr="00F0474A" w:rsidRDefault="00BC0187" w:rsidP="00BC0187">
            <w:pPr>
              <w:rPr>
                <w:sz w:val="18"/>
                <w:szCs w:val="18"/>
              </w:rPr>
            </w:pPr>
            <w:r w:rsidRPr="00F0474A">
              <w:rPr>
                <w:sz w:val="18"/>
                <w:szCs w:val="18"/>
              </w:rPr>
              <w:t>93,300 hospital admissions of patients aged 50+, including 6,459 (6.9%) with CI.</w:t>
            </w:r>
          </w:p>
        </w:tc>
        <w:tc>
          <w:tcPr>
            <w:tcW w:w="2430" w:type="dxa"/>
            <w:gridSpan w:val="2"/>
          </w:tcPr>
          <w:p w:rsidR="00BC0187" w:rsidRPr="00F0474A" w:rsidRDefault="00BC0187" w:rsidP="00BC0187">
            <w:pPr>
              <w:rPr>
                <w:sz w:val="18"/>
                <w:szCs w:val="18"/>
              </w:rPr>
            </w:pPr>
            <w:r w:rsidRPr="00F0474A">
              <w:rPr>
                <w:sz w:val="18"/>
                <w:szCs w:val="18"/>
              </w:rPr>
              <w:t>Retrospective cohort</w:t>
            </w:r>
          </w:p>
          <w:p w:rsidR="00BC0187" w:rsidRPr="00F0474A" w:rsidRDefault="00BC0187" w:rsidP="00BC0187">
            <w:pPr>
              <w:rPr>
                <w:sz w:val="18"/>
                <w:szCs w:val="18"/>
              </w:rPr>
            </w:pPr>
          </w:p>
        </w:tc>
        <w:tc>
          <w:tcPr>
            <w:tcW w:w="5792" w:type="dxa"/>
          </w:tcPr>
          <w:p w:rsidR="00BC0187" w:rsidRPr="00F0474A" w:rsidRDefault="00BC0187" w:rsidP="00BC0187">
            <w:pPr>
              <w:rPr>
                <w:sz w:val="18"/>
                <w:szCs w:val="18"/>
              </w:rPr>
            </w:pPr>
            <w:r w:rsidRPr="00F0474A">
              <w:rPr>
                <w:sz w:val="18"/>
                <w:szCs w:val="18"/>
              </w:rPr>
              <w:t>CI (</w:t>
            </w:r>
            <w:r w:rsidR="001B7D68" w:rsidRPr="00F0474A">
              <w:rPr>
                <w:sz w:val="18"/>
                <w:szCs w:val="18"/>
              </w:rPr>
              <w:t xml:space="preserve">defined </w:t>
            </w:r>
            <w:r w:rsidRPr="00F0474A">
              <w:rPr>
                <w:sz w:val="18"/>
                <w:szCs w:val="18"/>
              </w:rPr>
              <w:t>as dementia or delirium c</w:t>
            </w:r>
            <w:r w:rsidR="001B7D68" w:rsidRPr="00F0474A">
              <w:rPr>
                <w:sz w:val="18"/>
                <w:szCs w:val="18"/>
              </w:rPr>
              <w:t>oded during admission) increased</w:t>
            </w:r>
            <w:r w:rsidRPr="00F0474A">
              <w:rPr>
                <w:sz w:val="18"/>
                <w:szCs w:val="18"/>
              </w:rPr>
              <w:t xml:space="preserve"> costs</w:t>
            </w:r>
            <w:r w:rsidR="001B7D68" w:rsidRPr="00F0474A">
              <w:rPr>
                <w:sz w:val="18"/>
                <w:szCs w:val="18"/>
              </w:rPr>
              <w:t xml:space="preserve"> of hospitalisation</w:t>
            </w:r>
            <w:r w:rsidRPr="00F0474A">
              <w:rPr>
                <w:sz w:val="18"/>
                <w:szCs w:val="18"/>
              </w:rPr>
              <w:t xml:space="preserve"> by 51%.</w:t>
            </w:r>
          </w:p>
        </w:tc>
      </w:tr>
      <w:tr w:rsidR="00F312A4" w:rsidRPr="00F0474A" w:rsidTr="00C07331">
        <w:tc>
          <w:tcPr>
            <w:tcW w:w="1666" w:type="dxa"/>
          </w:tcPr>
          <w:p w:rsidR="00F312A4" w:rsidRPr="00F0474A" w:rsidRDefault="00F312A4" w:rsidP="00F312A4">
            <w:pPr>
              <w:rPr>
                <w:sz w:val="18"/>
                <w:szCs w:val="18"/>
              </w:rPr>
            </w:pPr>
            <w:r w:rsidRPr="00F0474A">
              <w:rPr>
                <w:sz w:val="18"/>
                <w:szCs w:val="18"/>
              </w:rPr>
              <w:t>Annear 2016</w:t>
            </w:r>
          </w:p>
        </w:tc>
        <w:tc>
          <w:tcPr>
            <w:tcW w:w="1164" w:type="dxa"/>
          </w:tcPr>
          <w:p w:rsidR="00F312A4" w:rsidRPr="00F0474A" w:rsidRDefault="00F312A4" w:rsidP="00F312A4">
            <w:pPr>
              <w:rPr>
                <w:sz w:val="18"/>
                <w:szCs w:val="18"/>
              </w:rPr>
            </w:pPr>
            <w:r w:rsidRPr="00F0474A">
              <w:rPr>
                <w:sz w:val="18"/>
                <w:szCs w:val="18"/>
              </w:rPr>
              <w:t>Australia</w:t>
            </w:r>
          </w:p>
        </w:tc>
        <w:tc>
          <w:tcPr>
            <w:tcW w:w="2948" w:type="dxa"/>
          </w:tcPr>
          <w:p w:rsidR="00F312A4" w:rsidRPr="00F0474A" w:rsidRDefault="00F312A4" w:rsidP="00F312A4">
            <w:pPr>
              <w:rPr>
                <w:sz w:val="18"/>
                <w:szCs w:val="18"/>
              </w:rPr>
            </w:pPr>
            <w:r w:rsidRPr="00F0474A">
              <w:rPr>
                <w:sz w:val="18"/>
                <w:szCs w:val="18"/>
              </w:rPr>
              <w:t>4,332 hospital admissions of patients aged 55+</w:t>
            </w:r>
          </w:p>
        </w:tc>
        <w:tc>
          <w:tcPr>
            <w:tcW w:w="2430" w:type="dxa"/>
            <w:gridSpan w:val="2"/>
          </w:tcPr>
          <w:p w:rsidR="00F312A4" w:rsidRPr="00F0474A" w:rsidRDefault="00F312A4" w:rsidP="00F312A4">
            <w:pPr>
              <w:rPr>
                <w:sz w:val="18"/>
                <w:szCs w:val="18"/>
              </w:rPr>
            </w:pPr>
            <w:r w:rsidRPr="00F0474A">
              <w:rPr>
                <w:sz w:val="18"/>
                <w:szCs w:val="18"/>
              </w:rPr>
              <w:t>Retrospective cohort</w:t>
            </w:r>
          </w:p>
        </w:tc>
        <w:tc>
          <w:tcPr>
            <w:tcW w:w="5792" w:type="dxa"/>
          </w:tcPr>
          <w:p w:rsidR="00F312A4" w:rsidRPr="00F0474A" w:rsidRDefault="00F312A4" w:rsidP="00F312A4">
            <w:pPr>
              <w:rPr>
                <w:sz w:val="18"/>
                <w:szCs w:val="18"/>
              </w:rPr>
            </w:pPr>
            <w:r w:rsidRPr="00F0474A">
              <w:rPr>
                <w:sz w:val="18"/>
                <w:szCs w:val="18"/>
              </w:rPr>
              <w:t>Costs of a hospital stay  for people with the dementia in the winter months of 2013 and 2014 exceeded the costs of patients without dementia by at least 39%</w:t>
            </w:r>
          </w:p>
        </w:tc>
      </w:tr>
      <w:tr w:rsidR="006A72E8" w:rsidRPr="00F0474A" w:rsidTr="00C07331">
        <w:tc>
          <w:tcPr>
            <w:tcW w:w="1666" w:type="dxa"/>
          </w:tcPr>
          <w:p w:rsidR="006A72E8" w:rsidRPr="00F0474A" w:rsidRDefault="006A72E8" w:rsidP="006A72E8">
            <w:pPr>
              <w:rPr>
                <w:sz w:val="18"/>
                <w:szCs w:val="18"/>
              </w:rPr>
            </w:pPr>
            <w:r w:rsidRPr="00F0474A">
              <w:rPr>
                <w:sz w:val="18"/>
                <w:szCs w:val="18"/>
              </w:rPr>
              <w:t>Connolly 2015</w:t>
            </w:r>
          </w:p>
        </w:tc>
        <w:tc>
          <w:tcPr>
            <w:tcW w:w="1164" w:type="dxa"/>
          </w:tcPr>
          <w:p w:rsidR="006A72E8" w:rsidRPr="00F0474A" w:rsidRDefault="006A72E8" w:rsidP="006A72E8">
            <w:pPr>
              <w:rPr>
                <w:sz w:val="18"/>
                <w:szCs w:val="18"/>
              </w:rPr>
            </w:pPr>
            <w:r w:rsidRPr="00F0474A">
              <w:rPr>
                <w:sz w:val="18"/>
                <w:szCs w:val="18"/>
              </w:rPr>
              <w:t>Ireland</w:t>
            </w:r>
          </w:p>
        </w:tc>
        <w:tc>
          <w:tcPr>
            <w:tcW w:w="2948" w:type="dxa"/>
          </w:tcPr>
          <w:p w:rsidR="006A72E8" w:rsidRPr="00F0474A" w:rsidRDefault="006A72E8" w:rsidP="006A72E8">
            <w:pPr>
              <w:rPr>
                <w:sz w:val="18"/>
                <w:szCs w:val="18"/>
              </w:rPr>
            </w:pPr>
            <w:r w:rsidRPr="00F0474A">
              <w:rPr>
                <w:sz w:val="18"/>
                <w:szCs w:val="18"/>
              </w:rPr>
              <w:t>591,619 adult hospital admissions, with 6,702 discharges with a dementia record</w:t>
            </w:r>
          </w:p>
        </w:tc>
        <w:tc>
          <w:tcPr>
            <w:tcW w:w="2430" w:type="dxa"/>
            <w:gridSpan w:val="2"/>
          </w:tcPr>
          <w:p w:rsidR="006A72E8" w:rsidRPr="00F0474A" w:rsidRDefault="006A72E8" w:rsidP="006A72E8">
            <w:pPr>
              <w:rPr>
                <w:sz w:val="18"/>
                <w:szCs w:val="18"/>
              </w:rPr>
            </w:pPr>
            <w:r w:rsidRPr="00F0474A">
              <w:rPr>
                <w:sz w:val="18"/>
                <w:szCs w:val="18"/>
              </w:rPr>
              <w:t>Retrospective cohort study</w:t>
            </w:r>
          </w:p>
        </w:tc>
        <w:tc>
          <w:tcPr>
            <w:tcW w:w="5792" w:type="dxa"/>
          </w:tcPr>
          <w:p w:rsidR="006A72E8" w:rsidRPr="00F0474A" w:rsidRDefault="006A72E8" w:rsidP="006A72E8">
            <w:pPr>
              <w:rPr>
                <w:sz w:val="18"/>
                <w:szCs w:val="18"/>
              </w:rPr>
            </w:pPr>
            <w:r w:rsidRPr="00F0474A">
              <w:rPr>
                <w:sz w:val="18"/>
                <w:szCs w:val="18"/>
              </w:rPr>
              <w:t>Estimated that the extra length of stay in patients with dementia results in an additional 246,908 hospital days per annum, at a cost of 199 million Euros</w:t>
            </w:r>
          </w:p>
        </w:tc>
      </w:tr>
      <w:tr w:rsidR="006A72E8" w:rsidRPr="00F0474A" w:rsidTr="00C07331">
        <w:tc>
          <w:tcPr>
            <w:tcW w:w="1666" w:type="dxa"/>
          </w:tcPr>
          <w:p w:rsidR="006A72E8" w:rsidRPr="00F0474A" w:rsidRDefault="006A72E8" w:rsidP="006A72E8">
            <w:pPr>
              <w:rPr>
                <w:sz w:val="18"/>
                <w:szCs w:val="18"/>
              </w:rPr>
            </w:pPr>
            <w:r w:rsidRPr="00F0474A">
              <w:rPr>
                <w:sz w:val="18"/>
                <w:szCs w:val="18"/>
              </w:rPr>
              <w:t>Murata 2015</w:t>
            </w:r>
          </w:p>
        </w:tc>
        <w:tc>
          <w:tcPr>
            <w:tcW w:w="1164" w:type="dxa"/>
          </w:tcPr>
          <w:p w:rsidR="006A72E8" w:rsidRPr="00F0474A" w:rsidRDefault="006A72E8" w:rsidP="006A72E8">
            <w:pPr>
              <w:rPr>
                <w:sz w:val="18"/>
                <w:szCs w:val="18"/>
              </w:rPr>
            </w:pPr>
            <w:r w:rsidRPr="00F0474A">
              <w:rPr>
                <w:sz w:val="18"/>
                <w:szCs w:val="18"/>
              </w:rPr>
              <w:t>Japan</w:t>
            </w:r>
          </w:p>
        </w:tc>
        <w:tc>
          <w:tcPr>
            <w:tcW w:w="2948" w:type="dxa"/>
          </w:tcPr>
          <w:p w:rsidR="006A72E8" w:rsidRPr="00F0474A" w:rsidRDefault="006A72E8" w:rsidP="006A72E8">
            <w:pPr>
              <w:rPr>
                <w:sz w:val="18"/>
                <w:szCs w:val="18"/>
              </w:rPr>
            </w:pPr>
            <w:r w:rsidRPr="00F0474A">
              <w:rPr>
                <w:sz w:val="18"/>
                <w:szCs w:val="18"/>
              </w:rPr>
              <w:t xml:space="preserve">14,569 patients aged 80+ treated by endoscopic </w:t>
            </w:r>
            <w:proofErr w:type="spellStart"/>
            <w:r w:rsidRPr="00F0474A">
              <w:rPr>
                <w:sz w:val="18"/>
                <w:szCs w:val="18"/>
              </w:rPr>
              <w:t>hemostasis</w:t>
            </w:r>
            <w:proofErr w:type="spellEnd"/>
            <w:r w:rsidRPr="00F0474A">
              <w:rPr>
                <w:sz w:val="18"/>
                <w:szCs w:val="18"/>
              </w:rPr>
              <w:t xml:space="preserve"> for haemorrhagic peptic ulcer disease, including 695 patients with dementia</w:t>
            </w:r>
          </w:p>
        </w:tc>
        <w:tc>
          <w:tcPr>
            <w:tcW w:w="2430" w:type="dxa"/>
            <w:gridSpan w:val="2"/>
          </w:tcPr>
          <w:p w:rsidR="006A72E8" w:rsidRPr="00F0474A" w:rsidRDefault="006A72E8" w:rsidP="006A72E8">
            <w:pPr>
              <w:rPr>
                <w:sz w:val="18"/>
                <w:szCs w:val="18"/>
              </w:rPr>
            </w:pPr>
            <w:r w:rsidRPr="00F0474A">
              <w:rPr>
                <w:sz w:val="18"/>
                <w:szCs w:val="18"/>
              </w:rPr>
              <w:t>Retrospective cohort</w:t>
            </w:r>
          </w:p>
        </w:tc>
        <w:tc>
          <w:tcPr>
            <w:tcW w:w="5792" w:type="dxa"/>
          </w:tcPr>
          <w:p w:rsidR="003727A1" w:rsidRDefault="006A72E8" w:rsidP="003727A1">
            <w:pPr>
              <w:pStyle w:val="CommentText"/>
            </w:pPr>
            <w:r w:rsidRPr="00F0474A">
              <w:rPr>
                <w:rFonts w:cs="Segoe UI"/>
                <w:sz w:val="18"/>
                <w:szCs w:val="18"/>
              </w:rPr>
              <w:t>Average additional costs for patients with dementia were 1171 USD on average</w:t>
            </w:r>
            <w:r w:rsidR="003727A1">
              <w:rPr>
                <w:rFonts w:cs="Segoe UI"/>
                <w:sz w:val="18"/>
                <w:szCs w:val="18"/>
              </w:rPr>
              <w:t xml:space="preserve"> (95% CI 533.8-1,809.5) p&lt;0.001</w:t>
            </w:r>
            <w:r w:rsidRPr="00F0474A">
              <w:rPr>
                <w:rFonts w:cs="Segoe UI"/>
                <w:sz w:val="18"/>
                <w:szCs w:val="18"/>
              </w:rPr>
              <w:t>.</w:t>
            </w:r>
            <w:r w:rsidR="003727A1">
              <w:rPr>
                <w:rFonts w:cs="Segoe UI"/>
                <w:sz w:val="18"/>
                <w:szCs w:val="18"/>
              </w:rPr>
              <w:t xml:space="preserve"> </w:t>
            </w:r>
            <w:r w:rsidR="003727A1">
              <w:t xml:space="preserve"> </w:t>
            </w:r>
          </w:p>
          <w:p w:rsidR="006A72E8" w:rsidRPr="00F0474A" w:rsidRDefault="006A72E8" w:rsidP="006A72E8">
            <w:pPr>
              <w:rPr>
                <w:sz w:val="18"/>
                <w:szCs w:val="18"/>
              </w:rPr>
            </w:pPr>
          </w:p>
        </w:tc>
      </w:tr>
      <w:tr w:rsidR="00F312A4" w:rsidRPr="00F0474A" w:rsidTr="00C07331">
        <w:tc>
          <w:tcPr>
            <w:tcW w:w="1666" w:type="dxa"/>
          </w:tcPr>
          <w:p w:rsidR="00F312A4" w:rsidRPr="00F0474A" w:rsidRDefault="00F312A4" w:rsidP="00F312A4">
            <w:pPr>
              <w:rPr>
                <w:sz w:val="18"/>
                <w:szCs w:val="18"/>
              </w:rPr>
            </w:pPr>
            <w:r w:rsidRPr="00F0474A">
              <w:rPr>
                <w:sz w:val="18"/>
                <w:szCs w:val="18"/>
              </w:rPr>
              <w:t>Bail 2015</w:t>
            </w:r>
          </w:p>
        </w:tc>
        <w:tc>
          <w:tcPr>
            <w:tcW w:w="1164" w:type="dxa"/>
          </w:tcPr>
          <w:p w:rsidR="00F312A4" w:rsidRPr="00F0474A" w:rsidRDefault="00F312A4" w:rsidP="00F312A4">
            <w:pPr>
              <w:rPr>
                <w:sz w:val="18"/>
                <w:szCs w:val="18"/>
              </w:rPr>
            </w:pPr>
            <w:r w:rsidRPr="00F0474A">
              <w:rPr>
                <w:sz w:val="18"/>
                <w:szCs w:val="18"/>
              </w:rPr>
              <w:t>Australia</w:t>
            </w:r>
          </w:p>
        </w:tc>
        <w:tc>
          <w:tcPr>
            <w:tcW w:w="2948" w:type="dxa"/>
          </w:tcPr>
          <w:p w:rsidR="00F312A4" w:rsidRPr="00F0474A" w:rsidRDefault="00F312A4" w:rsidP="00F312A4">
            <w:pPr>
              <w:rPr>
                <w:sz w:val="18"/>
                <w:szCs w:val="18"/>
              </w:rPr>
            </w:pPr>
            <w:r w:rsidRPr="00F0474A">
              <w:rPr>
                <w:sz w:val="18"/>
                <w:szCs w:val="18"/>
              </w:rPr>
              <w:t xml:space="preserve">426,276 overnight hospital episodes in patients aged 50+, matched 1 patient with dementia:4 patients without dementia </w:t>
            </w:r>
          </w:p>
        </w:tc>
        <w:tc>
          <w:tcPr>
            <w:tcW w:w="2430" w:type="dxa"/>
            <w:gridSpan w:val="2"/>
          </w:tcPr>
          <w:p w:rsidR="00F312A4" w:rsidRPr="00F0474A" w:rsidRDefault="00F312A4" w:rsidP="00F312A4">
            <w:pPr>
              <w:rPr>
                <w:sz w:val="18"/>
                <w:szCs w:val="18"/>
              </w:rPr>
            </w:pPr>
            <w:r w:rsidRPr="00F0474A">
              <w:rPr>
                <w:sz w:val="18"/>
                <w:szCs w:val="18"/>
              </w:rPr>
              <w:t>Retrospective cohort study</w:t>
            </w:r>
          </w:p>
          <w:p w:rsidR="00F312A4" w:rsidRPr="00F0474A" w:rsidRDefault="00F312A4" w:rsidP="00F312A4">
            <w:pPr>
              <w:rPr>
                <w:sz w:val="18"/>
                <w:szCs w:val="18"/>
              </w:rPr>
            </w:pPr>
          </w:p>
        </w:tc>
        <w:tc>
          <w:tcPr>
            <w:tcW w:w="5792" w:type="dxa"/>
          </w:tcPr>
          <w:p w:rsidR="00F312A4" w:rsidRPr="00F0474A" w:rsidRDefault="00F312A4" w:rsidP="00F312A4">
            <w:pPr>
              <w:rPr>
                <w:sz w:val="18"/>
                <w:szCs w:val="18"/>
              </w:rPr>
            </w:pPr>
            <w:r w:rsidRPr="00F0474A">
              <w:rPr>
                <w:sz w:val="18"/>
                <w:szCs w:val="18"/>
              </w:rPr>
              <w:t>Patients with dementia who had complications during hospitalisation accounted for 10.4% of hospital episodes, but comprised 22% of the extra costs.</w:t>
            </w:r>
          </w:p>
        </w:tc>
      </w:tr>
      <w:tr w:rsidR="006A72E8" w:rsidRPr="00F0474A" w:rsidTr="00C07331">
        <w:tc>
          <w:tcPr>
            <w:tcW w:w="1666" w:type="dxa"/>
          </w:tcPr>
          <w:p w:rsidR="006A72E8" w:rsidRPr="00F0474A" w:rsidRDefault="006A72E8" w:rsidP="006A72E8">
            <w:pPr>
              <w:rPr>
                <w:sz w:val="18"/>
                <w:szCs w:val="18"/>
              </w:rPr>
            </w:pPr>
            <w:r w:rsidRPr="00F0474A">
              <w:rPr>
                <w:sz w:val="18"/>
                <w:szCs w:val="18"/>
              </w:rPr>
              <w:t>Lane 1998</w:t>
            </w:r>
          </w:p>
        </w:tc>
        <w:tc>
          <w:tcPr>
            <w:tcW w:w="1164" w:type="dxa"/>
          </w:tcPr>
          <w:p w:rsidR="006A72E8" w:rsidRPr="00F0474A" w:rsidRDefault="006A72E8" w:rsidP="006A72E8">
            <w:pPr>
              <w:rPr>
                <w:sz w:val="18"/>
                <w:szCs w:val="18"/>
              </w:rPr>
            </w:pPr>
            <w:r w:rsidRPr="00F0474A">
              <w:rPr>
                <w:sz w:val="18"/>
                <w:szCs w:val="18"/>
              </w:rPr>
              <w:t>U.S.</w:t>
            </w:r>
          </w:p>
        </w:tc>
        <w:tc>
          <w:tcPr>
            <w:tcW w:w="2948" w:type="dxa"/>
          </w:tcPr>
          <w:p w:rsidR="006A72E8" w:rsidRPr="00F0474A" w:rsidRDefault="006A72E8" w:rsidP="006A72E8">
            <w:pPr>
              <w:rPr>
                <w:sz w:val="18"/>
                <w:szCs w:val="18"/>
              </w:rPr>
            </w:pPr>
            <w:r w:rsidRPr="00F0474A">
              <w:rPr>
                <w:sz w:val="18"/>
                <w:szCs w:val="18"/>
              </w:rPr>
              <w:t>3,109 patients with Alzheimer’s disease at end-of-life</w:t>
            </w:r>
          </w:p>
        </w:tc>
        <w:tc>
          <w:tcPr>
            <w:tcW w:w="2430" w:type="dxa"/>
            <w:gridSpan w:val="2"/>
          </w:tcPr>
          <w:p w:rsidR="006A72E8" w:rsidRPr="00F0474A" w:rsidRDefault="00DB77DC" w:rsidP="006A72E8">
            <w:pPr>
              <w:rPr>
                <w:sz w:val="18"/>
                <w:szCs w:val="18"/>
              </w:rPr>
            </w:pPr>
            <w:r w:rsidRPr="00F0474A">
              <w:rPr>
                <w:sz w:val="18"/>
                <w:szCs w:val="18"/>
              </w:rPr>
              <w:t>Retrospective cohort</w:t>
            </w:r>
          </w:p>
        </w:tc>
        <w:tc>
          <w:tcPr>
            <w:tcW w:w="5792" w:type="dxa"/>
          </w:tcPr>
          <w:p w:rsidR="006A72E8" w:rsidRPr="00F0474A" w:rsidRDefault="006A72E8" w:rsidP="006A72E8">
            <w:pPr>
              <w:rPr>
                <w:sz w:val="18"/>
                <w:szCs w:val="18"/>
              </w:rPr>
            </w:pPr>
            <w:r w:rsidRPr="00F0474A">
              <w:rPr>
                <w:rFonts w:cs="Segoe UI"/>
                <w:sz w:val="18"/>
                <w:szCs w:val="18"/>
              </w:rPr>
              <w:t xml:space="preserve">51% died in hospital, where the costs for end-of-life care are estimated to be six times higher than hospice or home care. </w:t>
            </w:r>
          </w:p>
        </w:tc>
      </w:tr>
      <w:tr w:rsidR="004C661E" w:rsidRPr="00F0474A" w:rsidTr="00C07331">
        <w:tc>
          <w:tcPr>
            <w:tcW w:w="1666" w:type="dxa"/>
          </w:tcPr>
          <w:p w:rsidR="004C661E" w:rsidRPr="00F0474A" w:rsidRDefault="004C661E" w:rsidP="004C661E">
            <w:pPr>
              <w:rPr>
                <w:sz w:val="18"/>
                <w:szCs w:val="18"/>
              </w:rPr>
            </w:pPr>
            <w:proofErr w:type="spellStart"/>
            <w:r w:rsidRPr="00F0474A">
              <w:rPr>
                <w:sz w:val="18"/>
                <w:szCs w:val="18"/>
              </w:rPr>
              <w:t>Araw</w:t>
            </w:r>
            <w:proofErr w:type="spellEnd"/>
            <w:r w:rsidRPr="00F0474A">
              <w:rPr>
                <w:sz w:val="18"/>
                <w:szCs w:val="18"/>
              </w:rPr>
              <w:t xml:space="preserve"> 2003</w:t>
            </w:r>
          </w:p>
        </w:tc>
        <w:tc>
          <w:tcPr>
            <w:tcW w:w="1164" w:type="dxa"/>
          </w:tcPr>
          <w:p w:rsidR="004C661E" w:rsidRPr="00F0474A" w:rsidRDefault="004C661E" w:rsidP="004C661E">
            <w:pPr>
              <w:rPr>
                <w:sz w:val="18"/>
                <w:szCs w:val="18"/>
              </w:rPr>
            </w:pPr>
            <w:r w:rsidRPr="00F0474A">
              <w:rPr>
                <w:sz w:val="18"/>
                <w:szCs w:val="18"/>
              </w:rPr>
              <w:t>U.S.</w:t>
            </w:r>
          </w:p>
        </w:tc>
        <w:tc>
          <w:tcPr>
            <w:tcW w:w="2948" w:type="dxa"/>
          </w:tcPr>
          <w:p w:rsidR="004C661E" w:rsidRPr="00F0474A" w:rsidRDefault="008D4A34" w:rsidP="004C661E">
            <w:pPr>
              <w:rPr>
                <w:sz w:val="18"/>
                <w:szCs w:val="18"/>
              </w:rPr>
            </w:pPr>
            <w:r w:rsidRPr="00F0474A">
              <w:rPr>
                <w:sz w:val="18"/>
                <w:szCs w:val="18"/>
              </w:rPr>
              <w:t>60 hospitalised patients with end-stage dementia</w:t>
            </w:r>
          </w:p>
        </w:tc>
        <w:tc>
          <w:tcPr>
            <w:tcW w:w="2430" w:type="dxa"/>
            <w:gridSpan w:val="2"/>
          </w:tcPr>
          <w:p w:rsidR="004C661E" w:rsidRPr="00F0474A" w:rsidRDefault="008D4A34" w:rsidP="004C661E">
            <w:pPr>
              <w:rPr>
                <w:sz w:val="18"/>
                <w:szCs w:val="18"/>
              </w:rPr>
            </w:pPr>
            <w:r w:rsidRPr="00F0474A">
              <w:rPr>
                <w:sz w:val="18"/>
                <w:szCs w:val="18"/>
              </w:rPr>
              <w:t>Retrospective cohort</w:t>
            </w:r>
          </w:p>
        </w:tc>
        <w:tc>
          <w:tcPr>
            <w:tcW w:w="5792" w:type="dxa"/>
          </w:tcPr>
          <w:p w:rsidR="004C661E" w:rsidRPr="00F0474A" w:rsidRDefault="008D4A34" w:rsidP="008D4A34">
            <w:pPr>
              <w:rPr>
                <w:rFonts w:cs="Segoe UI"/>
                <w:sz w:val="18"/>
                <w:szCs w:val="18"/>
              </w:rPr>
            </w:pPr>
            <w:r w:rsidRPr="00F0474A">
              <w:rPr>
                <w:sz w:val="18"/>
                <w:szCs w:val="18"/>
              </w:rPr>
              <w:t>P</w:t>
            </w:r>
            <w:r w:rsidR="004C661E" w:rsidRPr="00F0474A">
              <w:rPr>
                <w:sz w:val="18"/>
                <w:szCs w:val="18"/>
              </w:rPr>
              <w:t xml:space="preserve">atients </w:t>
            </w:r>
            <w:r w:rsidRPr="00F0474A">
              <w:rPr>
                <w:sz w:val="18"/>
                <w:szCs w:val="18"/>
              </w:rPr>
              <w:t xml:space="preserve">with dementia </w:t>
            </w:r>
            <w:r w:rsidR="004C661E" w:rsidRPr="00F0474A">
              <w:rPr>
                <w:sz w:val="18"/>
                <w:szCs w:val="18"/>
              </w:rPr>
              <w:t xml:space="preserve">who had received a palliative care consultation </w:t>
            </w:r>
            <w:r w:rsidRPr="00F0474A">
              <w:rPr>
                <w:sz w:val="18"/>
                <w:szCs w:val="18"/>
              </w:rPr>
              <w:t>reduced the average daily pharmacy cost</w:t>
            </w:r>
            <w:r w:rsidR="004C661E" w:rsidRPr="00F0474A">
              <w:rPr>
                <w:sz w:val="18"/>
                <w:szCs w:val="18"/>
              </w:rPr>
              <w:t xml:space="preserve"> from </w:t>
            </w:r>
            <w:r w:rsidRPr="00F0474A">
              <w:rPr>
                <w:rFonts w:cs="Segoe UI"/>
                <w:sz w:val="18"/>
                <w:szCs w:val="18"/>
              </w:rPr>
              <w:t xml:space="preserve">31.16 USD to </w:t>
            </w:r>
            <w:r w:rsidR="004C661E" w:rsidRPr="00F0474A">
              <w:rPr>
                <w:rFonts w:cs="Segoe UI"/>
                <w:sz w:val="18"/>
                <w:szCs w:val="18"/>
              </w:rPr>
              <w:t xml:space="preserve">20.83 </w:t>
            </w:r>
            <w:r w:rsidRPr="00F0474A">
              <w:rPr>
                <w:rFonts w:cs="Segoe UI"/>
                <w:sz w:val="18"/>
                <w:szCs w:val="18"/>
              </w:rPr>
              <w:t xml:space="preserve">USD </w:t>
            </w:r>
            <w:r w:rsidR="004C661E" w:rsidRPr="00F0474A">
              <w:rPr>
                <w:rFonts w:cs="Segoe UI"/>
                <w:sz w:val="18"/>
                <w:szCs w:val="18"/>
              </w:rPr>
              <w:t>(p&lt;0.003)</w:t>
            </w:r>
            <w:r w:rsidR="004C661E" w:rsidRPr="00F0474A">
              <w:rPr>
                <w:sz w:val="18"/>
                <w:szCs w:val="18"/>
              </w:rPr>
              <w:t>, even though there was a</w:t>
            </w:r>
            <w:r w:rsidRPr="00F0474A">
              <w:rPr>
                <w:sz w:val="18"/>
                <w:szCs w:val="18"/>
              </w:rPr>
              <w:t>n</w:t>
            </w:r>
            <w:r w:rsidR="004C661E" w:rsidRPr="00F0474A">
              <w:rPr>
                <w:sz w:val="18"/>
                <w:szCs w:val="18"/>
              </w:rPr>
              <w:t xml:space="preserve"> increase in the </w:t>
            </w:r>
            <w:r w:rsidRPr="00F0474A">
              <w:rPr>
                <w:sz w:val="18"/>
                <w:szCs w:val="18"/>
              </w:rPr>
              <w:t xml:space="preserve">prescribing (and </w:t>
            </w:r>
            <w:r w:rsidRPr="00F0474A">
              <w:rPr>
                <w:sz w:val="18"/>
                <w:szCs w:val="18"/>
              </w:rPr>
              <w:lastRenderedPageBreak/>
              <w:t xml:space="preserve">therefore </w:t>
            </w:r>
            <w:r w:rsidR="004C661E" w:rsidRPr="00F0474A">
              <w:rPr>
                <w:sz w:val="18"/>
                <w:szCs w:val="18"/>
              </w:rPr>
              <w:t>costs</w:t>
            </w:r>
            <w:r w:rsidRPr="00F0474A">
              <w:rPr>
                <w:sz w:val="18"/>
                <w:szCs w:val="18"/>
              </w:rPr>
              <w:t>)</w:t>
            </w:r>
            <w:r w:rsidR="004C661E" w:rsidRPr="00F0474A">
              <w:rPr>
                <w:sz w:val="18"/>
                <w:szCs w:val="18"/>
              </w:rPr>
              <w:t xml:space="preserve"> of analgesics and anti</w:t>
            </w:r>
            <w:r w:rsidRPr="00F0474A">
              <w:rPr>
                <w:sz w:val="18"/>
                <w:szCs w:val="18"/>
              </w:rPr>
              <w:t>-</w:t>
            </w:r>
            <w:r w:rsidR="004C661E" w:rsidRPr="00F0474A">
              <w:rPr>
                <w:sz w:val="18"/>
                <w:szCs w:val="18"/>
              </w:rPr>
              <w:t>emetics.</w:t>
            </w:r>
          </w:p>
        </w:tc>
      </w:tr>
      <w:tr w:rsidR="004C661E" w:rsidRPr="00F0474A" w:rsidTr="0006301D">
        <w:tc>
          <w:tcPr>
            <w:tcW w:w="14000" w:type="dxa"/>
            <w:gridSpan w:val="6"/>
          </w:tcPr>
          <w:p w:rsidR="004C661E" w:rsidRPr="00F0474A" w:rsidRDefault="004C661E" w:rsidP="004C661E">
            <w:pPr>
              <w:rPr>
                <w:b/>
                <w:i/>
                <w:sz w:val="18"/>
                <w:szCs w:val="18"/>
              </w:rPr>
            </w:pPr>
            <w:r w:rsidRPr="00F0474A">
              <w:rPr>
                <w:b/>
                <w:i/>
                <w:sz w:val="18"/>
                <w:szCs w:val="18"/>
              </w:rPr>
              <w:lastRenderedPageBreak/>
              <w:t>Discharge to a nursing or residential care home</w:t>
            </w:r>
          </w:p>
        </w:tc>
      </w:tr>
      <w:tr w:rsidR="009218A8" w:rsidRPr="00F0474A" w:rsidTr="00C07331">
        <w:tc>
          <w:tcPr>
            <w:tcW w:w="1666" w:type="dxa"/>
          </w:tcPr>
          <w:p w:rsidR="009218A8" w:rsidRPr="00F0474A" w:rsidRDefault="009218A8" w:rsidP="009218A8">
            <w:pPr>
              <w:rPr>
                <w:sz w:val="18"/>
                <w:szCs w:val="18"/>
              </w:rPr>
            </w:pPr>
            <w:proofErr w:type="spellStart"/>
            <w:r w:rsidRPr="00F0474A">
              <w:rPr>
                <w:sz w:val="18"/>
                <w:szCs w:val="18"/>
              </w:rPr>
              <w:t>Fogg</w:t>
            </w:r>
            <w:proofErr w:type="spellEnd"/>
            <w:r w:rsidRPr="00F0474A">
              <w:rPr>
                <w:sz w:val="18"/>
                <w:szCs w:val="18"/>
              </w:rPr>
              <w:t xml:space="preserve"> 2017</w:t>
            </w:r>
          </w:p>
        </w:tc>
        <w:tc>
          <w:tcPr>
            <w:tcW w:w="1164" w:type="dxa"/>
          </w:tcPr>
          <w:p w:rsidR="009218A8" w:rsidRPr="00F0474A" w:rsidRDefault="009218A8" w:rsidP="009218A8">
            <w:pPr>
              <w:rPr>
                <w:sz w:val="18"/>
                <w:szCs w:val="18"/>
              </w:rPr>
            </w:pPr>
            <w:r w:rsidRPr="00F0474A">
              <w:rPr>
                <w:sz w:val="18"/>
                <w:szCs w:val="18"/>
              </w:rPr>
              <w:t>UK</w:t>
            </w:r>
          </w:p>
        </w:tc>
        <w:tc>
          <w:tcPr>
            <w:tcW w:w="2948" w:type="dxa"/>
          </w:tcPr>
          <w:p w:rsidR="009218A8" w:rsidRPr="00F0474A" w:rsidRDefault="009218A8" w:rsidP="009218A8">
            <w:pPr>
              <w:rPr>
                <w:sz w:val="18"/>
                <w:szCs w:val="18"/>
              </w:rPr>
            </w:pPr>
            <w:r w:rsidRPr="00F0474A">
              <w:rPr>
                <w:sz w:val="18"/>
                <w:szCs w:val="18"/>
              </w:rPr>
              <w:t>19,269 acute hospital admissions of 13,652 patients aged 75+</w:t>
            </w:r>
          </w:p>
        </w:tc>
        <w:tc>
          <w:tcPr>
            <w:tcW w:w="2410" w:type="dxa"/>
          </w:tcPr>
          <w:p w:rsidR="009218A8" w:rsidRPr="00F0474A" w:rsidRDefault="009218A8" w:rsidP="009218A8">
            <w:pPr>
              <w:rPr>
                <w:sz w:val="18"/>
                <w:szCs w:val="18"/>
              </w:rPr>
            </w:pPr>
            <w:r w:rsidRPr="00F0474A">
              <w:rPr>
                <w:sz w:val="18"/>
                <w:szCs w:val="18"/>
              </w:rPr>
              <w:t>Retrospective cohort study</w:t>
            </w:r>
          </w:p>
        </w:tc>
        <w:tc>
          <w:tcPr>
            <w:tcW w:w="5812" w:type="dxa"/>
            <w:gridSpan w:val="2"/>
          </w:tcPr>
          <w:p w:rsidR="009218A8" w:rsidRPr="00F0474A" w:rsidRDefault="009218A8" w:rsidP="009218A8">
            <w:pPr>
              <w:rPr>
                <w:rFonts w:cs="Segoe UI"/>
                <w:sz w:val="18"/>
                <w:szCs w:val="18"/>
              </w:rPr>
            </w:pPr>
            <w:r w:rsidRPr="00F0474A">
              <w:rPr>
                <w:rFonts w:cs="Segoe UI"/>
                <w:sz w:val="18"/>
                <w:szCs w:val="18"/>
              </w:rPr>
              <w:t>Patients with cognitive impairment (no dementia diagnosis) and those with a dementia diagnosis have higher rates of being discharged to a nursing or residential home than patients with no CI: 11.3% and 16.3% versus 3.5%, p&lt;0.001.</w:t>
            </w:r>
          </w:p>
        </w:tc>
      </w:tr>
      <w:tr w:rsidR="003932BE" w:rsidRPr="00F0474A" w:rsidTr="00C07331">
        <w:tc>
          <w:tcPr>
            <w:tcW w:w="1666" w:type="dxa"/>
          </w:tcPr>
          <w:p w:rsidR="003932BE" w:rsidRPr="00F0474A" w:rsidRDefault="003932BE" w:rsidP="003932BE">
            <w:pPr>
              <w:rPr>
                <w:sz w:val="18"/>
                <w:szCs w:val="18"/>
              </w:rPr>
            </w:pPr>
            <w:r w:rsidRPr="00F0474A">
              <w:rPr>
                <w:sz w:val="18"/>
                <w:szCs w:val="18"/>
              </w:rPr>
              <w:t>Harrison 2017</w:t>
            </w:r>
          </w:p>
        </w:tc>
        <w:tc>
          <w:tcPr>
            <w:tcW w:w="1164" w:type="dxa"/>
          </w:tcPr>
          <w:p w:rsidR="003932BE" w:rsidRPr="00F0474A" w:rsidRDefault="003932BE" w:rsidP="003932BE">
            <w:pPr>
              <w:rPr>
                <w:sz w:val="18"/>
                <w:szCs w:val="18"/>
              </w:rPr>
            </w:pPr>
            <w:r w:rsidRPr="00F0474A">
              <w:rPr>
                <w:sz w:val="18"/>
                <w:szCs w:val="18"/>
              </w:rPr>
              <w:t>Scotland</w:t>
            </w:r>
          </w:p>
        </w:tc>
        <w:tc>
          <w:tcPr>
            <w:tcW w:w="2948" w:type="dxa"/>
          </w:tcPr>
          <w:p w:rsidR="003932BE" w:rsidRPr="00F0474A" w:rsidRDefault="003932BE" w:rsidP="003932BE">
            <w:pPr>
              <w:rPr>
                <w:sz w:val="18"/>
                <w:szCs w:val="18"/>
              </w:rPr>
            </w:pPr>
            <w:r w:rsidRPr="00F0474A">
              <w:rPr>
                <w:sz w:val="18"/>
                <w:szCs w:val="18"/>
              </w:rPr>
              <w:t>100 adult patients (18+) with an emergency hospital admission from home and discharged to a care home</w:t>
            </w:r>
          </w:p>
        </w:tc>
        <w:tc>
          <w:tcPr>
            <w:tcW w:w="2430" w:type="dxa"/>
            <w:gridSpan w:val="2"/>
          </w:tcPr>
          <w:p w:rsidR="003932BE" w:rsidRPr="00F0474A" w:rsidRDefault="003932BE" w:rsidP="003932BE">
            <w:pPr>
              <w:rPr>
                <w:sz w:val="18"/>
                <w:szCs w:val="18"/>
              </w:rPr>
            </w:pPr>
            <w:r w:rsidRPr="00F0474A">
              <w:rPr>
                <w:sz w:val="18"/>
                <w:szCs w:val="18"/>
              </w:rPr>
              <w:t>Retrospective cohort</w:t>
            </w:r>
          </w:p>
        </w:tc>
        <w:tc>
          <w:tcPr>
            <w:tcW w:w="5792" w:type="dxa"/>
          </w:tcPr>
          <w:p w:rsidR="003932BE" w:rsidRPr="00F0474A" w:rsidRDefault="003932BE" w:rsidP="009E5C17">
            <w:pPr>
              <w:rPr>
                <w:sz w:val="18"/>
                <w:szCs w:val="18"/>
              </w:rPr>
            </w:pPr>
            <w:r w:rsidRPr="00F0474A">
              <w:rPr>
                <w:sz w:val="18"/>
                <w:szCs w:val="18"/>
              </w:rPr>
              <w:t xml:space="preserve">75% of new discharges to care homes were in people with </w:t>
            </w:r>
            <w:proofErr w:type="spellStart"/>
            <w:r w:rsidRPr="00F0474A">
              <w:rPr>
                <w:sz w:val="18"/>
                <w:szCs w:val="18"/>
              </w:rPr>
              <w:t>with</w:t>
            </w:r>
            <w:proofErr w:type="spellEnd"/>
            <w:r w:rsidRPr="00F0474A">
              <w:rPr>
                <w:sz w:val="18"/>
                <w:szCs w:val="18"/>
              </w:rPr>
              <w:t xml:space="preserve"> cognitive impairment – 55% with dementia, and 20% with CI (no dementia diagnosis)</w:t>
            </w:r>
            <w:r w:rsidR="009E5C17" w:rsidRPr="00F0474A">
              <w:rPr>
                <w:sz w:val="18"/>
                <w:szCs w:val="18"/>
              </w:rPr>
              <w:t xml:space="preserve">. Interdisciplinary standards should be set to support assessment and appropriate care for these patients. </w:t>
            </w:r>
          </w:p>
        </w:tc>
      </w:tr>
      <w:tr w:rsidR="00462390" w:rsidRPr="00F0474A" w:rsidTr="00C07331">
        <w:tc>
          <w:tcPr>
            <w:tcW w:w="1666" w:type="dxa"/>
          </w:tcPr>
          <w:p w:rsidR="00462390" w:rsidRPr="00F0474A" w:rsidRDefault="00462390" w:rsidP="00462390">
            <w:pPr>
              <w:rPr>
                <w:sz w:val="18"/>
                <w:szCs w:val="18"/>
              </w:rPr>
            </w:pPr>
            <w:r w:rsidRPr="00F0474A">
              <w:rPr>
                <w:sz w:val="18"/>
                <w:szCs w:val="18"/>
              </w:rPr>
              <w:t>Power 2017</w:t>
            </w:r>
          </w:p>
        </w:tc>
        <w:tc>
          <w:tcPr>
            <w:tcW w:w="1164" w:type="dxa"/>
          </w:tcPr>
          <w:p w:rsidR="00462390" w:rsidRPr="00F0474A" w:rsidRDefault="00462390" w:rsidP="00462390">
            <w:pPr>
              <w:rPr>
                <w:sz w:val="18"/>
                <w:szCs w:val="18"/>
              </w:rPr>
            </w:pPr>
            <w:r w:rsidRPr="00F0474A">
              <w:rPr>
                <w:sz w:val="18"/>
                <w:szCs w:val="18"/>
              </w:rPr>
              <w:t>Ireland</w:t>
            </w:r>
          </w:p>
        </w:tc>
        <w:tc>
          <w:tcPr>
            <w:tcW w:w="2948" w:type="dxa"/>
          </w:tcPr>
          <w:p w:rsidR="00462390" w:rsidRPr="00F0474A" w:rsidRDefault="00462390" w:rsidP="00462390">
            <w:pPr>
              <w:rPr>
                <w:sz w:val="18"/>
                <w:szCs w:val="18"/>
              </w:rPr>
            </w:pPr>
            <w:r w:rsidRPr="00F0474A">
              <w:rPr>
                <w:sz w:val="18"/>
                <w:szCs w:val="18"/>
              </w:rPr>
              <w:t>143 patients aged 65+ admitted to hospital, 39 dementia, 30 with mild cognitive impairment (MCI), 74 normal cognition</w:t>
            </w:r>
          </w:p>
        </w:tc>
        <w:tc>
          <w:tcPr>
            <w:tcW w:w="2430" w:type="dxa"/>
            <w:gridSpan w:val="2"/>
          </w:tcPr>
          <w:p w:rsidR="00462390" w:rsidRPr="00F0474A" w:rsidRDefault="00462390" w:rsidP="00462390">
            <w:pPr>
              <w:rPr>
                <w:sz w:val="18"/>
                <w:szCs w:val="18"/>
              </w:rPr>
            </w:pPr>
            <w:r w:rsidRPr="00F0474A">
              <w:rPr>
                <w:sz w:val="18"/>
                <w:szCs w:val="18"/>
              </w:rPr>
              <w:t>Prospective cohort study</w:t>
            </w:r>
          </w:p>
          <w:p w:rsidR="00462390" w:rsidRPr="00F0474A" w:rsidRDefault="00462390" w:rsidP="00462390">
            <w:pPr>
              <w:rPr>
                <w:sz w:val="18"/>
                <w:szCs w:val="18"/>
              </w:rPr>
            </w:pPr>
          </w:p>
        </w:tc>
        <w:tc>
          <w:tcPr>
            <w:tcW w:w="5792" w:type="dxa"/>
          </w:tcPr>
          <w:p w:rsidR="00462390" w:rsidRPr="00F0474A" w:rsidRDefault="006A0CC2" w:rsidP="00462390">
            <w:pPr>
              <w:rPr>
                <w:sz w:val="18"/>
                <w:szCs w:val="18"/>
              </w:rPr>
            </w:pPr>
            <w:r w:rsidRPr="00F0474A">
              <w:rPr>
                <w:sz w:val="18"/>
                <w:szCs w:val="18"/>
              </w:rPr>
              <w:t xml:space="preserve">Patients with dementia were less likely to be discharged home (70.5%), as compared to those with normal cognition (88.8%) or mild cognitive impairment </w:t>
            </w:r>
            <w:r w:rsidR="00AE6F41" w:rsidRPr="00F0474A">
              <w:rPr>
                <w:sz w:val="18"/>
                <w:szCs w:val="18"/>
              </w:rPr>
              <w:t xml:space="preserve">(MCI) </w:t>
            </w:r>
            <w:r w:rsidRPr="00F0474A">
              <w:rPr>
                <w:sz w:val="18"/>
                <w:szCs w:val="18"/>
              </w:rPr>
              <w:t>(90%)</w:t>
            </w:r>
          </w:p>
        </w:tc>
      </w:tr>
      <w:tr w:rsidR="00B62F3A" w:rsidRPr="00F0474A" w:rsidTr="00C07331">
        <w:tc>
          <w:tcPr>
            <w:tcW w:w="1666" w:type="dxa"/>
          </w:tcPr>
          <w:p w:rsidR="00B62F3A" w:rsidRPr="00F0474A" w:rsidRDefault="00B62F3A" w:rsidP="00B62F3A">
            <w:pPr>
              <w:rPr>
                <w:sz w:val="18"/>
                <w:szCs w:val="18"/>
              </w:rPr>
            </w:pPr>
            <w:proofErr w:type="spellStart"/>
            <w:r w:rsidRPr="00F0474A">
              <w:rPr>
                <w:sz w:val="18"/>
                <w:szCs w:val="18"/>
              </w:rPr>
              <w:t>Zekry</w:t>
            </w:r>
            <w:proofErr w:type="spellEnd"/>
            <w:r w:rsidRPr="00F0474A">
              <w:rPr>
                <w:sz w:val="18"/>
                <w:szCs w:val="18"/>
              </w:rPr>
              <w:t xml:space="preserve"> 2009</w:t>
            </w:r>
          </w:p>
        </w:tc>
        <w:tc>
          <w:tcPr>
            <w:tcW w:w="1164" w:type="dxa"/>
          </w:tcPr>
          <w:p w:rsidR="00B62F3A" w:rsidRPr="00F0474A" w:rsidRDefault="00B62F3A" w:rsidP="00B62F3A">
            <w:pPr>
              <w:rPr>
                <w:sz w:val="18"/>
                <w:szCs w:val="18"/>
              </w:rPr>
            </w:pPr>
            <w:r w:rsidRPr="00F0474A">
              <w:rPr>
                <w:sz w:val="18"/>
                <w:szCs w:val="18"/>
              </w:rPr>
              <w:t>Switzerland</w:t>
            </w:r>
          </w:p>
        </w:tc>
        <w:tc>
          <w:tcPr>
            <w:tcW w:w="2948" w:type="dxa"/>
          </w:tcPr>
          <w:p w:rsidR="00B62F3A" w:rsidRPr="00F0474A" w:rsidRDefault="00B62F3A" w:rsidP="00B62F3A">
            <w:pPr>
              <w:rPr>
                <w:sz w:val="18"/>
                <w:szCs w:val="18"/>
              </w:rPr>
            </w:pPr>
            <w:r w:rsidRPr="00F0474A">
              <w:rPr>
                <w:sz w:val="18"/>
                <w:szCs w:val="18"/>
              </w:rPr>
              <w:t>435 hospital patients aged 80+</w:t>
            </w:r>
          </w:p>
        </w:tc>
        <w:tc>
          <w:tcPr>
            <w:tcW w:w="2430" w:type="dxa"/>
            <w:gridSpan w:val="2"/>
          </w:tcPr>
          <w:p w:rsidR="00B62F3A" w:rsidRPr="00F0474A" w:rsidRDefault="00B62F3A" w:rsidP="00B62F3A">
            <w:pPr>
              <w:rPr>
                <w:sz w:val="18"/>
                <w:szCs w:val="18"/>
              </w:rPr>
            </w:pPr>
            <w:r w:rsidRPr="00F0474A">
              <w:rPr>
                <w:sz w:val="18"/>
                <w:szCs w:val="18"/>
              </w:rPr>
              <w:t>Prospective cohort</w:t>
            </w:r>
          </w:p>
          <w:p w:rsidR="00B62F3A" w:rsidRPr="00F0474A" w:rsidRDefault="00B62F3A" w:rsidP="00B62F3A">
            <w:pPr>
              <w:rPr>
                <w:sz w:val="18"/>
                <w:szCs w:val="18"/>
              </w:rPr>
            </w:pPr>
          </w:p>
        </w:tc>
        <w:tc>
          <w:tcPr>
            <w:tcW w:w="5792" w:type="dxa"/>
          </w:tcPr>
          <w:p w:rsidR="00B62F3A" w:rsidRPr="00F0474A" w:rsidRDefault="00B62F3A" w:rsidP="00997D0F">
            <w:pPr>
              <w:rPr>
                <w:sz w:val="18"/>
                <w:szCs w:val="18"/>
              </w:rPr>
            </w:pPr>
            <w:r w:rsidRPr="00F0474A">
              <w:rPr>
                <w:sz w:val="18"/>
                <w:szCs w:val="18"/>
              </w:rPr>
              <w:t xml:space="preserve">Dementia is an </w:t>
            </w:r>
            <w:r w:rsidR="00997D0F" w:rsidRPr="00F0474A">
              <w:rPr>
                <w:sz w:val="18"/>
                <w:szCs w:val="18"/>
              </w:rPr>
              <w:t xml:space="preserve">independent </w:t>
            </w:r>
            <w:r w:rsidRPr="00F0474A">
              <w:rPr>
                <w:sz w:val="18"/>
                <w:szCs w:val="18"/>
              </w:rPr>
              <w:t>predictor of institutionalisation, i.e. a new admission to a nursing home or other long-term care facility, with patients with severe dementia being four times more likely to be institutionalised. Rates of institutionalisation were: patients with dementia: 20.1%, patients with MCI: 8.3%, normal cognition: 8.2%, p=0.001</w:t>
            </w:r>
            <w:r w:rsidRPr="00F0474A">
              <w:rPr>
                <w:rFonts w:cs="Segoe UI"/>
                <w:sz w:val="18"/>
                <w:szCs w:val="18"/>
              </w:rPr>
              <w:t xml:space="preserve"> Clinical dementia rating (CDR) 0.5-1: OR </w:t>
            </w:r>
            <w:r w:rsidR="00997D0F" w:rsidRPr="00F0474A">
              <w:rPr>
                <w:rFonts w:cs="Segoe UI"/>
                <w:sz w:val="18"/>
                <w:szCs w:val="18"/>
              </w:rPr>
              <w:t>1.69</w:t>
            </w:r>
            <w:r w:rsidRPr="00F0474A">
              <w:rPr>
                <w:rFonts w:cs="Segoe UI"/>
                <w:sz w:val="18"/>
                <w:szCs w:val="18"/>
              </w:rPr>
              <w:t xml:space="preserve"> [</w:t>
            </w:r>
            <w:r w:rsidR="00997D0F" w:rsidRPr="00F0474A">
              <w:rPr>
                <w:rFonts w:cs="Segoe UI"/>
                <w:sz w:val="18"/>
                <w:szCs w:val="18"/>
              </w:rPr>
              <w:t>0.45</w:t>
            </w:r>
            <w:r w:rsidRPr="00F0474A">
              <w:rPr>
                <w:rFonts w:cs="Segoe UI"/>
                <w:sz w:val="18"/>
                <w:szCs w:val="18"/>
              </w:rPr>
              <w:t>-</w:t>
            </w:r>
            <w:r w:rsidR="00997D0F" w:rsidRPr="00F0474A">
              <w:rPr>
                <w:rFonts w:cs="Segoe UI"/>
                <w:sz w:val="18"/>
                <w:szCs w:val="18"/>
              </w:rPr>
              <w:t>6.42</w:t>
            </w:r>
            <w:r w:rsidRPr="00F0474A">
              <w:rPr>
                <w:rFonts w:cs="Segoe UI"/>
                <w:sz w:val="18"/>
                <w:szCs w:val="18"/>
              </w:rPr>
              <w:t>]</w:t>
            </w:r>
            <w:r w:rsidR="00997D0F" w:rsidRPr="00F0474A">
              <w:rPr>
                <w:rFonts w:cs="Segoe UI"/>
                <w:sz w:val="18"/>
                <w:szCs w:val="18"/>
              </w:rPr>
              <w:t xml:space="preserve"> p=0.438</w:t>
            </w:r>
            <w:r w:rsidRPr="00F0474A">
              <w:rPr>
                <w:rFonts w:cs="Segoe UI"/>
                <w:sz w:val="18"/>
                <w:szCs w:val="18"/>
              </w:rPr>
              <w:t xml:space="preserve">, CDR 2-3: OR </w:t>
            </w:r>
            <w:r w:rsidR="00997D0F" w:rsidRPr="00F0474A">
              <w:rPr>
                <w:rFonts w:cs="Segoe UI"/>
                <w:sz w:val="18"/>
                <w:szCs w:val="18"/>
              </w:rPr>
              <w:t>4.17 [1.07-16.26</w:t>
            </w:r>
            <w:r w:rsidRPr="00F0474A">
              <w:rPr>
                <w:rFonts w:cs="Segoe UI"/>
                <w:sz w:val="18"/>
                <w:szCs w:val="18"/>
              </w:rPr>
              <w:t>]</w:t>
            </w:r>
            <w:r w:rsidR="00997D0F" w:rsidRPr="00F0474A">
              <w:rPr>
                <w:rFonts w:cs="Segoe UI"/>
                <w:sz w:val="18"/>
                <w:szCs w:val="18"/>
              </w:rPr>
              <w:t>, p=0.040</w:t>
            </w:r>
          </w:p>
        </w:tc>
      </w:tr>
      <w:tr w:rsidR="007F1DDA" w:rsidRPr="00F0474A" w:rsidTr="00C07331">
        <w:tc>
          <w:tcPr>
            <w:tcW w:w="1666" w:type="dxa"/>
          </w:tcPr>
          <w:p w:rsidR="007F1DDA" w:rsidRPr="00F0474A" w:rsidRDefault="007F1DDA" w:rsidP="007F1DDA">
            <w:pPr>
              <w:rPr>
                <w:rFonts w:cs="Segoe UI"/>
                <w:sz w:val="18"/>
                <w:szCs w:val="18"/>
              </w:rPr>
            </w:pPr>
            <w:proofErr w:type="spellStart"/>
            <w:r w:rsidRPr="00F0474A">
              <w:rPr>
                <w:rFonts w:cs="Segoe UI"/>
                <w:sz w:val="18"/>
                <w:szCs w:val="18"/>
              </w:rPr>
              <w:t>Caspe</w:t>
            </w:r>
            <w:proofErr w:type="spellEnd"/>
            <w:r w:rsidRPr="00F0474A">
              <w:rPr>
                <w:rFonts w:cs="Segoe UI"/>
                <w:sz w:val="18"/>
                <w:szCs w:val="18"/>
              </w:rPr>
              <w:t xml:space="preserve"> Healthcare Knowledge Systems (CHKS) 2013</w:t>
            </w:r>
          </w:p>
        </w:tc>
        <w:tc>
          <w:tcPr>
            <w:tcW w:w="1164" w:type="dxa"/>
          </w:tcPr>
          <w:p w:rsidR="007F1DDA" w:rsidRPr="00F0474A" w:rsidRDefault="007F1DDA" w:rsidP="007F1DDA">
            <w:pPr>
              <w:rPr>
                <w:sz w:val="18"/>
                <w:szCs w:val="18"/>
              </w:rPr>
            </w:pPr>
            <w:r w:rsidRPr="00F0474A">
              <w:rPr>
                <w:sz w:val="18"/>
                <w:szCs w:val="18"/>
              </w:rPr>
              <w:t>UK</w:t>
            </w:r>
          </w:p>
        </w:tc>
        <w:tc>
          <w:tcPr>
            <w:tcW w:w="2948" w:type="dxa"/>
          </w:tcPr>
          <w:p w:rsidR="007F1DDA" w:rsidRPr="00F0474A" w:rsidRDefault="007F1DDA" w:rsidP="007F1DDA">
            <w:pPr>
              <w:rPr>
                <w:sz w:val="18"/>
                <w:szCs w:val="18"/>
              </w:rPr>
            </w:pPr>
            <w:r w:rsidRPr="00F0474A">
              <w:rPr>
                <w:sz w:val="18"/>
                <w:szCs w:val="18"/>
              </w:rPr>
              <w:t>UK-wide hospital episode statistics of people aged 45+</w:t>
            </w:r>
          </w:p>
        </w:tc>
        <w:tc>
          <w:tcPr>
            <w:tcW w:w="2410" w:type="dxa"/>
          </w:tcPr>
          <w:p w:rsidR="007F1DDA" w:rsidRPr="00F0474A" w:rsidRDefault="007F1DDA" w:rsidP="007F1DDA">
            <w:pPr>
              <w:rPr>
                <w:sz w:val="18"/>
                <w:szCs w:val="18"/>
              </w:rPr>
            </w:pPr>
            <w:r w:rsidRPr="00F0474A">
              <w:rPr>
                <w:sz w:val="18"/>
                <w:szCs w:val="18"/>
              </w:rPr>
              <w:t>Retrospective analysis</w:t>
            </w:r>
          </w:p>
          <w:p w:rsidR="007F1DDA" w:rsidRPr="00F0474A" w:rsidRDefault="007F1DDA" w:rsidP="007F1DDA">
            <w:pPr>
              <w:rPr>
                <w:sz w:val="18"/>
                <w:szCs w:val="18"/>
              </w:rPr>
            </w:pPr>
          </w:p>
        </w:tc>
        <w:tc>
          <w:tcPr>
            <w:tcW w:w="5812" w:type="dxa"/>
            <w:gridSpan w:val="2"/>
          </w:tcPr>
          <w:p w:rsidR="007F1DDA" w:rsidRPr="00F0474A" w:rsidRDefault="007F1DDA" w:rsidP="007C1D91">
            <w:pPr>
              <w:rPr>
                <w:sz w:val="18"/>
                <w:szCs w:val="18"/>
              </w:rPr>
            </w:pPr>
            <w:r w:rsidRPr="00F0474A">
              <w:rPr>
                <w:sz w:val="18"/>
                <w:szCs w:val="18"/>
              </w:rPr>
              <w:t>In 2011,</w:t>
            </w:r>
            <w:r w:rsidR="007C1D91" w:rsidRPr="00F0474A">
              <w:rPr>
                <w:sz w:val="18"/>
                <w:szCs w:val="18"/>
              </w:rPr>
              <w:t xml:space="preserve"> deficit in the number of people with dementia with non-elective admissions returning to their usual place of residence </w:t>
            </w:r>
            <w:r w:rsidRPr="00F0474A">
              <w:rPr>
                <w:sz w:val="18"/>
                <w:szCs w:val="18"/>
              </w:rPr>
              <w:t xml:space="preserve">estimated at </w:t>
            </w:r>
            <w:r w:rsidR="007C1D91" w:rsidRPr="00F0474A">
              <w:rPr>
                <w:sz w:val="18"/>
                <w:szCs w:val="18"/>
              </w:rPr>
              <w:t>7</w:t>
            </w:r>
            <w:r w:rsidRPr="00F0474A">
              <w:rPr>
                <w:sz w:val="18"/>
                <w:szCs w:val="18"/>
              </w:rPr>
              <w:t xml:space="preserve">.1%. </w:t>
            </w:r>
          </w:p>
        </w:tc>
      </w:tr>
      <w:tr w:rsidR="00A2297A" w:rsidRPr="00F0474A" w:rsidTr="00C07331">
        <w:tc>
          <w:tcPr>
            <w:tcW w:w="1666" w:type="dxa"/>
          </w:tcPr>
          <w:p w:rsidR="00A2297A" w:rsidRPr="00F0474A" w:rsidRDefault="00A2297A" w:rsidP="00A2297A">
            <w:pPr>
              <w:rPr>
                <w:sz w:val="18"/>
                <w:szCs w:val="18"/>
              </w:rPr>
            </w:pPr>
            <w:r w:rsidRPr="00F0474A">
              <w:rPr>
                <w:sz w:val="18"/>
                <w:szCs w:val="18"/>
              </w:rPr>
              <w:t>Draper 2011</w:t>
            </w:r>
          </w:p>
        </w:tc>
        <w:tc>
          <w:tcPr>
            <w:tcW w:w="1164" w:type="dxa"/>
          </w:tcPr>
          <w:p w:rsidR="00A2297A" w:rsidRPr="00F0474A" w:rsidRDefault="00A2297A" w:rsidP="00A2297A">
            <w:pPr>
              <w:rPr>
                <w:sz w:val="18"/>
                <w:szCs w:val="18"/>
              </w:rPr>
            </w:pPr>
            <w:r w:rsidRPr="00F0474A">
              <w:rPr>
                <w:sz w:val="18"/>
                <w:szCs w:val="18"/>
              </w:rPr>
              <w:t>Australia</w:t>
            </w:r>
          </w:p>
        </w:tc>
        <w:tc>
          <w:tcPr>
            <w:tcW w:w="2948" w:type="dxa"/>
          </w:tcPr>
          <w:p w:rsidR="00A2297A" w:rsidRPr="00F0474A" w:rsidRDefault="00A2297A" w:rsidP="00A2297A">
            <w:pPr>
              <w:rPr>
                <w:sz w:val="18"/>
                <w:szCs w:val="18"/>
              </w:rPr>
            </w:pPr>
            <w:r w:rsidRPr="00F0474A">
              <w:rPr>
                <w:sz w:val="18"/>
                <w:szCs w:val="18"/>
              </w:rPr>
              <w:t xml:space="preserve">253,000 patients aged 50+ admitted to hospital, including 20,793 with dementia. </w:t>
            </w:r>
          </w:p>
        </w:tc>
        <w:tc>
          <w:tcPr>
            <w:tcW w:w="2430" w:type="dxa"/>
            <w:gridSpan w:val="2"/>
          </w:tcPr>
          <w:p w:rsidR="00A2297A" w:rsidRPr="00F0474A" w:rsidRDefault="00A2297A" w:rsidP="00A2297A">
            <w:pPr>
              <w:rPr>
                <w:sz w:val="18"/>
                <w:szCs w:val="18"/>
              </w:rPr>
            </w:pPr>
            <w:r w:rsidRPr="00F0474A">
              <w:rPr>
                <w:sz w:val="18"/>
                <w:szCs w:val="18"/>
              </w:rPr>
              <w:t>Retrospective cohort.</w:t>
            </w:r>
          </w:p>
          <w:p w:rsidR="00A2297A" w:rsidRPr="00F0474A" w:rsidRDefault="00A2297A" w:rsidP="00A2297A">
            <w:pPr>
              <w:rPr>
                <w:sz w:val="18"/>
                <w:szCs w:val="18"/>
              </w:rPr>
            </w:pPr>
          </w:p>
        </w:tc>
        <w:tc>
          <w:tcPr>
            <w:tcW w:w="5792" w:type="dxa"/>
          </w:tcPr>
          <w:p w:rsidR="00A2297A" w:rsidRPr="00F0474A" w:rsidRDefault="00A2297A" w:rsidP="008533EC">
            <w:pPr>
              <w:rPr>
                <w:sz w:val="18"/>
                <w:szCs w:val="18"/>
              </w:rPr>
            </w:pPr>
            <w:r w:rsidRPr="00F0474A">
              <w:rPr>
                <w:sz w:val="18"/>
                <w:szCs w:val="18"/>
              </w:rPr>
              <w:t xml:space="preserve">Patients with dementia were more likely to be </w:t>
            </w:r>
            <w:r w:rsidR="008533EC" w:rsidRPr="00F0474A">
              <w:rPr>
                <w:sz w:val="18"/>
                <w:szCs w:val="18"/>
              </w:rPr>
              <w:t xml:space="preserve">discharged to a nursing home across the age groups, increasing from 8.2% in 50-64 years to 22.4% in 85+ years. </w:t>
            </w:r>
          </w:p>
        </w:tc>
      </w:tr>
      <w:tr w:rsidR="00FD17CC" w:rsidRPr="00F0474A" w:rsidTr="00C07331">
        <w:tc>
          <w:tcPr>
            <w:tcW w:w="1666" w:type="dxa"/>
          </w:tcPr>
          <w:p w:rsidR="00FD17CC" w:rsidRPr="00F0474A" w:rsidRDefault="00FD17CC" w:rsidP="00FD17CC">
            <w:pPr>
              <w:rPr>
                <w:sz w:val="18"/>
                <w:szCs w:val="18"/>
              </w:rPr>
            </w:pPr>
            <w:r w:rsidRPr="00F0474A">
              <w:rPr>
                <w:sz w:val="18"/>
                <w:szCs w:val="18"/>
              </w:rPr>
              <w:t>Harrison 2017</w:t>
            </w:r>
          </w:p>
        </w:tc>
        <w:tc>
          <w:tcPr>
            <w:tcW w:w="1164" w:type="dxa"/>
          </w:tcPr>
          <w:p w:rsidR="00FD17CC" w:rsidRPr="00F0474A" w:rsidRDefault="003932BE" w:rsidP="00FD17CC">
            <w:pPr>
              <w:rPr>
                <w:sz w:val="18"/>
                <w:szCs w:val="18"/>
              </w:rPr>
            </w:pPr>
            <w:r w:rsidRPr="00F0474A">
              <w:rPr>
                <w:sz w:val="18"/>
                <w:szCs w:val="18"/>
              </w:rPr>
              <w:t>Various</w:t>
            </w:r>
          </w:p>
        </w:tc>
        <w:tc>
          <w:tcPr>
            <w:tcW w:w="2948" w:type="dxa"/>
          </w:tcPr>
          <w:p w:rsidR="00FD17CC" w:rsidRPr="00F0474A" w:rsidRDefault="003932BE" w:rsidP="003932BE">
            <w:pPr>
              <w:rPr>
                <w:sz w:val="18"/>
                <w:szCs w:val="18"/>
              </w:rPr>
            </w:pPr>
            <w:r w:rsidRPr="00F0474A">
              <w:rPr>
                <w:rFonts w:cs="Segoe UI"/>
                <w:sz w:val="18"/>
                <w:szCs w:val="18"/>
              </w:rPr>
              <w:t>Observational studies of patients admitted directly to long-term institutional care following acute hospitalisation, where factors associated with institutionalisation were reported. 23 studies (354,985 participants)</w:t>
            </w:r>
          </w:p>
        </w:tc>
        <w:tc>
          <w:tcPr>
            <w:tcW w:w="2430" w:type="dxa"/>
            <w:gridSpan w:val="2"/>
          </w:tcPr>
          <w:p w:rsidR="00FD17CC" w:rsidRPr="00F0474A" w:rsidRDefault="003932BE" w:rsidP="00FD17CC">
            <w:pPr>
              <w:rPr>
                <w:sz w:val="18"/>
                <w:szCs w:val="18"/>
              </w:rPr>
            </w:pPr>
            <w:r w:rsidRPr="00F0474A">
              <w:rPr>
                <w:sz w:val="18"/>
                <w:szCs w:val="18"/>
              </w:rPr>
              <w:t>S</w:t>
            </w:r>
            <w:r w:rsidR="00FD17CC" w:rsidRPr="00F0474A">
              <w:rPr>
                <w:sz w:val="18"/>
                <w:szCs w:val="18"/>
              </w:rPr>
              <w:t>ystematic review</w:t>
            </w:r>
            <w:r w:rsidRPr="00F0474A">
              <w:rPr>
                <w:sz w:val="18"/>
                <w:szCs w:val="18"/>
              </w:rPr>
              <w:t xml:space="preserve"> and meta-analysis</w:t>
            </w:r>
          </w:p>
        </w:tc>
        <w:tc>
          <w:tcPr>
            <w:tcW w:w="5792" w:type="dxa"/>
          </w:tcPr>
          <w:p w:rsidR="00FD17CC" w:rsidRPr="00F0474A" w:rsidRDefault="003932BE" w:rsidP="003932BE">
            <w:pPr>
              <w:rPr>
                <w:sz w:val="18"/>
                <w:szCs w:val="18"/>
              </w:rPr>
            </w:pPr>
            <w:r w:rsidRPr="00F0474A">
              <w:rPr>
                <w:sz w:val="18"/>
                <w:szCs w:val="18"/>
              </w:rPr>
              <w:t xml:space="preserve">For the 11 studies included in the quantitative synthesis, patients with dementia had </w:t>
            </w:r>
            <w:proofErr w:type="gramStart"/>
            <w:r w:rsidRPr="00F0474A">
              <w:rPr>
                <w:sz w:val="18"/>
                <w:szCs w:val="18"/>
              </w:rPr>
              <w:t>an increased odds</w:t>
            </w:r>
            <w:proofErr w:type="gramEnd"/>
            <w:r w:rsidRPr="00F0474A">
              <w:rPr>
                <w:sz w:val="18"/>
                <w:szCs w:val="18"/>
              </w:rPr>
              <w:t xml:space="preserve"> of institutionalisation: pooled OR </w:t>
            </w:r>
            <w:r w:rsidR="00FD17CC" w:rsidRPr="00F0474A">
              <w:rPr>
                <w:rFonts w:cs="Segoe UI"/>
                <w:sz w:val="18"/>
                <w:szCs w:val="18"/>
              </w:rPr>
              <w:t>2.14 [1.24-3.70]</w:t>
            </w:r>
            <w:r w:rsidR="00FD17CC" w:rsidRPr="00F0474A">
              <w:rPr>
                <w:sz w:val="18"/>
                <w:szCs w:val="18"/>
              </w:rPr>
              <w:t>.</w:t>
            </w:r>
          </w:p>
        </w:tc>
      </w:tr>
      <w:tr w:rsidR="00AE6F41" w:rsidRPr="00F0474A" w:rsidTr="00C07331">
        <w:tc>
          <w:tcPr>
            <w:tcW w:w="1666" w:type="dxa"/>
          </w:tcPr>
          <w:p w:rsidR="00AE6F41" w:rsidRPr="00F0474A" w:rsidRDefault="00AE6F41" w:rsidP="00AE6F41">
            <w:pPr>
              <w:rPr>
                <w:sz w:val="18"/>
                <w:szCs w:val="18"/>
              </w:rPr>
            </w:pPr>
            <w:proofErr w:type="spellStart"/>
            <w:r w:rsidRPr="00F0474A">
              <w:rPr>
                <w:sz w:val="18"/>
                <w:szCs w:val="18"/>
              </w:rPr>
              <w:t>Kasteridis</w:t>
            </w:r>
            <w:proofErr w:type="spellEnd"/>
            <w:r w:rsidRPr="00F0474A">
              <w:rPr>
                <w:sz w:val="18"/>
                <w:szCs w:val="18"/>
              </w:rPr>
              <w:t xml:space="preserve"> 2016</w:t>
            </w:r>
          </w:p>
        </w:tc>
        <w:tc>
          <w:tcPr>
            <w:tcW w:w="1164" w:type="dxa"/>
          </w:tcPr>
          <w:p w:rsidR="00AE6F41" w:rsidRPr="00F0474A" w:rsidRDefault="00AE6F41" w:rsidP="00AE6F41">
            <w:pPr>
              <w:rPr>
                <w:sz w:val="18"/>
                <w:szCs w:val="18"/>
              </w:rPr>
            </w:pPr>
            <w:r w:rsidRPr="00F0474A">
              <w:rPr>
                <w:sz w:val="18"/>
                <w:szCs w:val="18"/>
              </w:rPr>
              <w:t>England</w:t>
            </w:r>
          </w:p>
        </w:tc>
        <w:tc>
          <w:tcPr>
            <w:tcW w:w="2948" w:type="dxa"/>
          </w:tcPr>
          <w:p w:rsidR="00AE6F41" w:rsidRPr="00F0474A" w:rsidRDefault="00AE6F41" w:rsidP="00AE6F41">
            <w:pPr>
              <w:rPr>
                <w:sz w:val="18"/>
                <w:szCs w:val="18"/>
              </w:rPr>
            </w:pPr>
            <w:r w:rsidRPr="00F0474A">
              <w:rPr>
                <w:sz w:val="18"/>
                <w:szCs w:val="18"/>
              </w:rPr>
              <w:t>31,120 patients with a primary diagnosis of dementia admitted to hospital and 139,267 patients with dementia admitted for ambulatory care sensitive conditions</w:t>
            </w:r>
          </w:p>
        </w:tc>
        <w:tc>
          <w:tcPr>
            <w:tcW w:w="2430" w:type="dxa"/>
            <w:gridSpan w:val="2"/>
          </w:tcPr>
          <w:p w:rsidR="00AE6F41" w:rsidRPr="00F0474A" w:rsidRDefault="00AE6F41" w:rsidP="00AE6F41">
            <w:pPr>
              <w:rPr>
                <w:sz w:val="18"/>
                <w:szCs w:val="18"/>
              </w:rPr>
            </w:pPr>
            <w:r w:rsidRPr="00F0474A">
              <w:rPr>
                <w:sz w:val="18"/>
                <w:szCs w:val="18"/>
              </w:rPr>
              <w:t>Retrospective cohort study</w:t>
            </w:r>
          </w:p>
          <w:p w:rsidR="00AE6F41" w:rsidRPr="00F0474A" w:rsidRDefault="00AE6F41" w:rsidP="00AE6F41">
            <w:pPr>
              <w:rPr>
                <w:sz w:val="18"/>
                <w:szCs w:val="18"/>
              </w:rPr>
            </w:pPr>
          </w:p>
        </w:tc>
        <w:tc>
          <w:tcPr>
            <w:tcW w:w="5792" w:type="dxa"/>
          </w:tcPr>
          <w:p w:rsidR="00AE6F41" w:rsidRPr="00F0474A" w:rsidRDefault="00AE6F41" w:rsidP="00AE6F41">
            <w:pPr>
              <w:rPr>
                <w:sz w:val="18"/>
                <w:szCs w:val="18"/>
              </w:rPr>
            </w:pPr>
            <w:r w:rsidRPr="00F0474A">
              <w:rPr>
                <w:sz w:val="18"/>
                <w:szCs w:val="18"/>
              </w:rPr>
              <w:t>19% of patients with dementia were discharged to a care home, falling to 14% in patients with an ambulatory care sensitive condition</w:t>
            </w:r>
          </w:p>
        </w:tc>
      </w:tr>
      <w:tr w:rsidR="009E5C17" w:rsidRPr="00F0474A" w:rsidTr="00C07331">
        <w:tc>
          <w:tcPr>
            <w:tcW w:w="1666" w:type="dxa"/>
          </w:tcPr>
          <w:p w:rsidR="009E5C17" w:rsidRPr="00F0474A" w:rsidRDefault="009E5C17" w:rsidP="009E5C17">
            <w:pPr>
              <w:rPr>
                <w:sz w:val="18"/>
                <w:szCs w:val="18"/>
              </w:rPr>
            </w:pPr>
            <w:proofErr w:type="spellStart"/>
            <w:r w:rsidRPr="00F0474A">
              <w:rPr>
                <w:sz w:val="18"/>
                <w:szCs w:val="18"/>
              </w:rPr>
              <w:lastRenderedPageBreak/>
              <w:t>Saposnik</w:t>
            </w:r>
            <w:proofErr w:type="spellEnd"/>
            <w:r w:rsidRPr="00F0474A">
              <w:rPr>
                <w:sz w:val="18"/>
                <w:szCs w:val="18"/>
              </w:rPr>
              <w:t xml:space="preserve"> 2012</w:t>
            </w:r>
          </w:p>
        </w:tc>
        <w:tc>
          <w:tcPr>
            <w:tcW w:w="1164" w:type="dxa"/>
          </w:tcPr>
          <w:p w:rsidR="009E5C17" w:rsidRPr="00F0474A" w:rsidRDefault="009E5C17" w:rsidP="009E5C17">
            <w:pPr>
              <w:rPr>
                <w:sz w:val="18"/>
                <w:szCs w:val="18"/>
              </w:rPr>
            </w:pPr>
            <w:r w:rsidRPr="00F0474A">
              <w:rPr>
                <w:sz w:val="18"/>
                <w:szCs w:val="18"/>
              </w:rPr>
              <w:t>Canada</w:t>
            </w:r>
          </w:p>
        </w:tc>
        <w:tc>
          <w:tcPr>
            <w:tcW w:w="2948" w:type="dxa"/>
          </w:tcPr>
          <w:p w:rsidR="009E5C17" w:rsidRPr="00F0474A" w:rsidRDefault="009E5C17" w:rsidP="009E5C17">
            <w:pPr>
              <w:rPr>
                <w:sz w:val="18"/>
                <w:szCs w:val="18"/>
              </w:rPr>
            </w:pPr>
            <w:r w:rsidRPr="00F0474A">
              <w:rPr>
                <w:sz w:val="18"/>
                <w:szCs w:val="18"/>
              </w:rPr>
              <w:t xml:space="preserve">Patients admitted to hospital with stroke: 877 with dementia and 877 without dementia. </w:t>
            </w:r>
          </w:p>
        </w:tc>
        <w:tc>
          <w:tcPr>
            <w:tcW w:w="2430" w:type="dxa"/>
            <w:gridSpan w:val="2"/>
          </w:tcPr>
          <w:p w:rsidR="009E5C17" w:rsidRPr="00F0474A" w:rsidRDefault="009E5C17" w:rsidP="009E5C17">
            <w:pPr>
              <w:rPr>
                <w:sz w:val="18"/>
                <w:szCs w:val="18"/>
              </w:rPr>
            </w:pPr>
            <w:r w:rsidRPr="00F0474A">
              <w:rPr>
                <w:sz w:val="18"/>
                <w:szCs w:val="18"/>
              </w:rPr>
              <w:t>Retrospective propensity-score matched cohort study</w:t>
            </w:r>
          </w:p>
          <w:p w:rsidR="009E5C17" w:rsidRPr="00F0474A" w:rsidRDefault="009E5C17" w:rsidP="009E5C17">
            <w:pPr>
              <w:rPr>
                <w:sz w:val="18"/>
                <w:szCs w:val="18"/>
              </w:rPr>
            </w:pPr>
          </w:p>
        </w:tc>
        <w:tc>
          <w:tcPr>
            <w:tcW w:w="5792" w:type="dxa"/>
          </w:tcPr>
          <w:p w:rsidR="009E5C17" w:rsidRPr="00F0474A" w:rsidRDefault="002E6C7B" w:rsidP="002E6C7B">
            <w:pPr>
              <w:rPr>
                <w:sz w:val="18"/>
                <w:szCs w:val="18"/>
              </w:rPr>
            </w:pPr>
            <w:r w:rsidRPr="00F0474A">
              <w:rPr>
                <w:rFonts w:cs="ProximaNova-Light"/>
                <w:color w:val="000000"/>
                <w:sz w:val="18"/>
                <w:szCs w:val="18"/>
              </w:rPr>
              <w:t xml:space="preserve">There was no difference in the proportion of patients going home at discharge: </w:t>
            </w:r>
            <w:r w:rsidRPr="00F0474A">
              <w:rPr>
                <w:rFonts w:cs="Segoe UI"/>
                <w:sz w:val="18"/>
                <w:szCs w:val="18"/>
              </w:rPr>
              <w:t>19.6% with dementia, 19.4% without dementia, RR 1.01 [0.84-1.22]</w:t>
            </w:r>
          </w:p>
        </w:tc>
      </w:tr>
      <w:tr w:rsidR="009E5C17" w:rsidRPr="00F0474A" w:rsidTr="00C07331">
        <w:tc>
          <w:tcPr>
            <w:tcW w:w="1666" w:type="dxa"/>
          </w:tcPr>
          <w:p w:rsidR="009E5C17" w:rsidRPr="00F0474A" w:rsidRDefault="009E5C17" w:rsidP="009E5C17">
            <w:pPr>
              <w:rPr>
                <w:sz w:val="18"/>
                <w:szCs w:val="18"/>
              </w:rPr>
            </w:pPr>
            <w:r w:rsidRPr="00F0474A">
              <w:rPr>
                <w:sz w:val="18"/>
                <w:szCs w:val="18"/>
              </w:rPr>
              <w:t>Leung 2010</w:t>
            </w:r>
          </w:p>
        </w:tc>
        <w:tc>
          <w:tcPr>
            <w:tcW w:w="1164" w:type="dxa"/>
          </w:tcPr>
          <w:p w:rsidR="009E5C17" w:rsidRPr="00F0474A" w:rsidRDefault="009E5C17" w:rsidP="009E5C17">
            <w:pPr>
              <w:rPr>
                <w:sz w:val="18"/>
                <w:szCs w:val="18"/>
              </w:rPr>
            </w:pPr>
            <w:r w:rsidRPr="00F0474A">
              <w:rPr>
                <w:sz w:val="18"/>
                <w:szCs w:val="18"/>
              </w:rPr>
              <w:t>UK</w:t>
            </w:r>
          </w:p>
        </w:tc>
        <w:tc>
          <w:tcPr>
            <w:tcW w:w="2948" w:type="dxa"/>
          </w:tcPr>
          <w:p w:rsidR="009E5C17" w:rsidRPr="00F0474A" w:rsidRDefault="009E5C17" w:rsidP="009E5C17">
            <w:pPr>
              <w:rPr>
                <w:sz w:val="18"/>
                <w:szCs w:val="18"/>
              </w:rPr>
            </w:pPr>
            <w:r w:rsidRPr="00F0474A">
              <w:rPr>
                <w:sz w:val="18"/>
                <w:szCs w:val="18"/>
              </w:rPr>
              <w:t>N/A</w:t>
            </w:r>
          </w:p>
        </w:tc>
        <w:tc>
          <w:tcPr>
            <w:tcW w:w="2430" w:type="dxa"/>
            <w:gridSpan w:val="2"/>
          </w:tcPr>
          <w:p w:rsidR="009E5C17" w:rsidRPr="00F0474A" w:rsidRDefault="009E5C17" w:rsidP="009E5C17">
            <w:pPr>
              <w:rPr>
                <w:sz w:val="18"/>
                <w:szCs w:val="18"/>
              </w:rPr>
            </w:pPr>
            <w:r w:rsidRPr="00F0474A">
              <w:rPr>
                <w:sz w:val="18"/>
                <w:szCs w:val="18"/>
              </w:rPr>
              <w:t>Review</w:t>
            </w:r>
          </w:p>
        </w:tc>
        <w:tc>
          <w:tcPr>
            <w:tcW w:w="5792" w:type="dxa"/>
          </w:tcPr>
          <w:p w:rsidR="009E5C17" w:rsidRPr="00F0474A" w:rsidRDefault="009E5C17" w:rsidP="009E5C17">
            <w:pPr>
              <w:rPr>
                <w:sz w:val="18"/>
                <w:szCs w:val="18"/>
              </w:rPr>
            </w:pPr>
            <w:r w:rsidRPr="00F0474A">
              <w:rPr>
                <w:sz w:val="18"/>
                <w:szCs w:val="18"/>
              </w:rPr>
              <w:t>Poor, uncoordinated hospital care may contribute to increased rates of nursing home admissions in people with dementia</w:t>
            </w:r>
          </w:p>
        </w:tc>
      </w:tr>
      <w:tr w:rsidR="009E5C17" w:rsidRPr="00F0474A" w:rsidTr="00C07331">
        <w:tc>
          <w:tcPr>
            <w:tcW w:w="1666" w:type="dxa"/>
          </w:tcPr>
          <w:p w:rsidR="009E5C17" w:rsidRPr="00F0474A" w:rsidRDefault="009E5C17" w:rsidP="009E5C17">
            <w:pPr>
              <w:rPr>
                <w:sz w:val="18"/>
                <w:szCs w:val="18"/>
              </w:rPr>
            </w:pPr>
            <w:proofErr w:type="spellStart"/>
            <w:r w:rsidRPr="00F0474A">
              <w:rPr>
                <w:sz w:val="18"/>
                <w:szCs w:val="18"/>
              </w:rPr>
              <w:t>Wancata</w:t>
            </w:r>
            <w:proofErr w:type="spellEnd"/>
            <w:r w:rsidRPr="00F0474A">
              <w:rPr>
                <w:sz w:val="18"/>
                <w:szCs w:val="18"/>
              </w:rPr>
              <w:t xml:space="preserve"> 2003</w:t>
            </w:r>
          </w:p>
        </w:tc>
        <w:tc>
          <w:tcPr>
            <w:tcW w:w="1164" w:type="dxa"/>
          </w:tcPr>
          <w:p w:rsidR="009E5C17" w:rsidRPr="00F0474A" w:rsidRDefault="009E5C17" w:rsidP="009E5C17">
            <w:pPr>
              <w:rPr>
                <w:sz w:val="18"/>
                <w:szCs w:val="18"/>
              </w:rPr>
            </w:pPr>
            <w:r w:rsidRPr="00F0474A">
              <w:rPr>
                <w:sz w:val="18"/>
                <w:szCs w:val="18"/>
              </w:rPr>
              <w:t>Austria</w:t>
            </w:r>
          </w:p>
        </w:tc>
        <w:tc>
          <w:tcPr>
            <w:tcW w:w="2948" w:type="dxa"/>
          </w:tcPr>
          <w:p w:rsidR="009E5C17" w:rsidRPr="00F0474A" w:rsidRDefault="009E5C17" w:rsidP="009E5C17">
            <w:pPr>
              <w:rPr>
                <w:sz w:val="18"/>
                <w:szCs w:val="18"/>
              </w:rPr>
            </w:pPr>
            <w:r w:rsidRPr="00F0474A">
              <w:rPr>
                <w:sz w:val="18"/>
                <w:szCs w:val="18"/>
              </w:rPr>
              <w:t>372 patients aged 60+ admitted to 4 general hospitals</w:t>
            </w:r>
          </w:p>
        </w:tc>
        <w:tc>
          <w:tcPr>
            <w:tcW w:w="2430" w:type="dxa"/>
            <w:gridSpan w:val="2"/>
          </w:tcPr>
          <w:p w:rsidR="009E5C17" w:rsidRPr="00F0474A" w:rsidRDefault="009E5C17" w:rsidP="009E5C17">
            <w:pPr>
              <w:rPr>
                <w:sz w:val="18"/>
                <w:szCs w:val="18"/>
              </w:rPr>
            </w:pPr>
            <w:r w:rsidRPr="00F0474A">
              <w:rPr>
                <w:sz w:val="18"/>
                <w:szCs w:val="18"/>
              </w:rPr>
              <w:t>Prospective cohort study</w:t>
            </w:r>
          </w:p>
          <w:p w:rsidR="009E5C17" w:rsidRPr="00F0474A" w:rsidRDefault="009E5C17" w:rsidP="009E5C17">
            <w:pPr>
              <w:rPr>
                <w:sz w:val="18"/>
                <w:szCs w:val="18"/>
              </w:rPr>
            </w:pPr>
          </w:p>
        </w:tc>
        <w:tc>
          <w:tcPr>
            <w:tcW w:w="5792" w:type="dxa"/>
          </w:tcPr>
          <w:p w:rsidR="009E5C17" w:rsidRPr="00F0474A" w:rsidRDefault="009E5C17" w:rsidP="009E5C17">
            <w:pPr>
              <w:rPr>
                <w:sz w:val="18"/>
                <w:szCs w:val="18"/>
              </w:rPr>
            </w:pPr>
            <w:r w:rsidRPr="00F0474A">
              <w:rPr>
                <w:sz w:val="18"/>
                <w:szCs w:val="18"/>
              </w:rPr>
              <w:t xml:space="preserve">Both cognitive and non-cognitive symptoms of dementia, including depression, agitation and delusions, were significant independent predictors of nursing home placement. Dementia without non-cognitive symptoms: </w:t>
            </w:r>
            <w:proofErr w:type="spellStart"/>
            <w:r w:rsidRPr="00F0474A">
              <w:rPr>
                <w:sz w:val="18"/>
                <w:szCs w:val="18"/>
              </w:rPr>
              <w:t>aOR</w:t>
            </w:r>
            <w:proofErr w:type="spellEnd"/>
            <w:r w:rsidRPr="00F0474A">
              <w:rPr>
                <w:sz w:val="18"/>
                <w:szCs w:val="18"/>
              </w:rPr>
              <w:t xml:space="preserve"> 2.28 [1.37-3.79], p=0.001; dementia with non-cognitive symptoms: </w:t>
            </w:r>
            <w:proofErr w:type="spellStart"/>
            <w:r w:rsidRPr="00F0474A">
              <w:rPr>
                <w:sz w:val="18"/>
                <w:szCs w:val="18"/>
              </w:rPr>
              <w:t>aOR</w:t>
            </w:r>
            <w:proofErr w:type="spellEnd"/>
            <w:r w:rsidRPr="00F0474A">
              <w:rPr>
                <w:sz w:val="18"/>
                <w:szCs w:val="18"/>
              </w:rPr>
              <w:t xml:space="preserve"> 3.61 [1.76-7.38], p&lt;0.001. In patients with dementia, more severe CI and an increased number of non-cognitive symptoms increased likelihood of institutionalisation: </w:t>
            </w:r>
            <w:proofErr w:type="spellStart"/>
            <w:r w:rsidRPr="00F0474A">
              <w:rPr>
                <w:sz w:val="18"/>
                <w:szCs w:val="18"/>
              </w:rPr>
              <w:t>aOR</w:t>
            </w:r>
            <w:proofErr w:type="spellEnd"/>
            <w:r w:rsidRPr="00F0474A">
              <w:rPr>
                <w:sz w:val="18"/>
                <w:szCs w:val="18"/>
              </w:rPr>
              <w:t xml:space="preserve"> 2.82[1.10-7.19], p=0.030 and </w:t>
            </w:r>
            <w:proofErr w:type="spellStart"/>
            <w:r w:rsidRPr="00F0474A">
              <w:rPr>
                <w:sz w:val="18"/>
                <w:szCs w:val="18"/>
              </w:rPr>
              <w:t>aOR</w:t>
            </w:r>
            <w:proofErr w:type="spellEnd"/>
            <w:r w:rsidRPr="00F0474A">
              <w:rPr>
                <w:sz w:val="18"/>
                <w:szCs w:val="18"/>
              </w:rPr>
              <w:t xml:space="preserve"> 1.38 [1.01-1.88] respectively.</w:t>
            </w:r>
          </w:p>
        </w:tc>
      </w:tr>
      <w:tr w:rsidR="009E5C17" w:rsidRPr="00F0474A" w:rsidTr="00C07331">
        <w:tc>
          <w:tcPr>
            <w:tcW w:w="1666" w:type="dxa"/>
          </w:tcPr>
          <w:p w:rsidR="009E5C17" w:rsidRPr="00F0474A" w:rsidRDefault="009E5C17" w:rsidP="009E5C17">
            <w:pPr>
              <w:rPr>
                <w:sz w:val="18"/>
                <w:szCs w:val="18"/>
              </w:rPr>
            </w:pPr>
            <w:proofErr w:type="spellStart"/>
            <w:r w:rsidRPr="00F0474A">
              <w:rPr>
                <w:rFonts w:cs="Segoe UI"/>
                <w:sz w:val="18"/>
                <w:szCs w:val="18"/>
              </w:rPr>
              <w:t>Tochimoto</w:t>
            </w:r>
            <w:proofErr w:type="spellEnd"/>
            <w:r w:rsidRPr="00F0474A">
              <w:rPr>
                <w:rFonts w:cs="Segoe UI"/>
                <w:sz w:val="18"/>
                <w:szCs w:val="18"/>
              </w:rPr>
              <w:t xml:space="preserve"> 2015</w:t>
            </w:r>
          </w:p>
        </w:tc>
        <w:tc>
          <w:tcPr>
            <w:tcW w:w="1164" w:type="dxa"/>
          </w:tcPr>
          <w:p w:rsidR="009E5C17" w:rsidRPr="00F0474A" w:rsidRDefault="009E5C17" w:rsidP="009E5C17">
            <w:pPr>
              <w:rPr>
                <w:sz w:val="18"/>
                <w:szCs w:val="18"/>
              </w:rPr>
            </w:pPr>
            <w:r w:rsidRPr="00F0474A">
              <w:rPr>
                <w:sz w:val="18"/>
                <w:szCs w:val="18"/>
              </w:rPr>
              <w:t>Japan</w:t>
            </w:r>
          </w:p>
        </w:tc>
        <w:tc>
          <w:tcPr>
            <w:tcW w:w="2948" w:type="dxa"/>
          </w:tcPr>
          <w:p w:rsidR="009E5C17" w:rsidRPr="00F0474A" w:rsidRDefault="009E5C17" w:rsidP="009E5C17">
            <w:pPr>
              <w:rPr>
                <w:sz w:val="18"/>
                <w:szCs w:val="18"/>
              </w:rPr>
            </w:pPr>
            <w:r w:rsidRPr="00F0474A">
              <w:rPr>
                <w:sz w:val="18"/>
                <w:szCs w:val="18"/>
              </w:rPr>
              <w:t>391 patients with dementia hospitalised for treatment of BPSD</w:t>
            </w:r>
          </w:p>
        </w:tc>
        <w:tc>
          <w:tcPr>
            <w:tcW w:w="2430" w:type="dxa"/>
            <w:gridSpan w:val="2"/>
          </w:tcPr>
          <w:p w:rsidR="009E5C17" w:rsidRPr="00F0474A" w:rsidRDefault="009E5C17" w:rsidP="009E5C17">
            <w:pPr>
              <w:rPr>
                <w:sz w:val="18"/>
                <w:szCs w:val="18"/>
              </w:rPr>
            </w:pPr>
            <w:r w:rsidRPr="00F0474A">
              <w:rPr>
                <w:sz w:val="18"/>
                <w:szCs w:val="18"/>
              </w:rPr>
              <w:t>Prospective cohort study (chart review)</w:t>
            </w:r>
          </w:p>
          <w:p w:rsidR="009E5C17" w:rsidRPr="00F0474A" w:rsidRDefault="009E5C17" w:rsidP="009E5C17">
            <w:pPr>
              <w:rPr>
                <w:sz w:val="18"/>
                <w:szCs w:val="18"/>
              </w:rPr>
            </w:pPr>
          </w:p>
        </w:tc>
        <w:tc>
          <w:tcPr>
            <w:tcW w:w="5792" w:type="dxa"/>
          </w:tcPr>
          <w:p w:rsidR="009E5C17" w:rsidRPr="00F0474A" w:rsidRDefault="009E5C17" w:rsidP="009E5C17">
            <w:pPr>
              <w:rPr>
                <w:sz w:val="18"/>
                <w:szCs w:val="18"/>
              </w:rPr>
            </w:pPr>
            <w:r w:rsidRPr="00F0474A">
              <w:rPr>
                <w:sz w:val="18"/>
                <w:szCs w:val="18"/>
              </w:rPr>
              <w:t xml:space="preserve">Aggressiveness in BPSD at admission was independently associated with not being discharged home: </w:t>
            </w:r>
            <w:proofErr w:type="spellStart"/>
            <w:r w:rsidRPr="00F0474A">
              <w:rPr>
                <w:sz w:val="18"/>
                <w:szCs w:val="18"/>
              </w:rPr>
              <w:t>aOR</w:t>
            </w:r>
            <w:proofErr w:type="spellEnd"/>
            <w:r w:rsidRPr="00F0474A">
              <w:rPr>
                <w:sz w:val="18"/>
                <w:szCs w:val="18"/>
              </w:rPr>
              <w:t xml:space="preserve"> 0.56 [0.36-0.87], p=0.010 </w:t>
            </w:r>
          </w:p>
        </w:tc>
      </w:tr>
      <w:tr w:rsidR="009E5C17" w:rsidRPr="00F0474A" w:rsidTr="00C07331">
        <w:tc>
          <w:tcPr>
            <w:tcW w:w="1666" w:type="dxa"/>
          </w:tcPr>
          <w:p w:rsidR="009E5C17" w:rsidRPr="00F0474A" w:rsidRDefault="009E5C17" w:rsidP="009E5C17">
            <w:pPr>
              <w:rPr>
                <w:rFonts w:cs="Segoe UI"/>
                <w:sz w:val="18"/>
                <w:szCs w:val="18"/>
              </w:rPr>
            </w:pPr>
            <w:r w:rsidRPr="00F0474A">
              <w:rPr>
                <w:rFonts w:cs="Segoe UI"/>
                <w:sz w:val="18"/>
                <w:szCs w:val="18"/>
              </w:rPr>
              <w:t>Brindle 2005</w:t>
            </w:r>
          </w:p>
        </w:tc>
        <w:tc>
          <w:tcPr>
            <w:tcW w:w="1164" w:type="dxa"/>
          </w:tcPr>
          <w:p w:rsidR="009E5C17" w:rsidRPr="00F0474A" w:rsidRDefault="009E5C17" w:rsidP="009E5C17">
            <w:pPr>
              <w:rPr>
                <w:sz w:val="18"/>
                <w:szCs w:val="18"/>
              </w:rPr>
            </w:pPr>
            <w:r w:rsidRPr="00F0474A">
              <w:rPr>
                <w:sz w:val="18"/>
                <w:szCs w:val="18"/>
              </w:rPr>
              <w:t>UK</w:t>
            </w:r>
          </w:p>
        </w:tc>
        <w:tc>
          <w:tcPr>
            <w:tcW w:w="2948" w:type="dxa"/>
          </w:tcPr>
          <w:p w:rsidR="009E5C17" w:rsidRPr="00F0474A" w:rsidRDefault="009E5C17" w:rsidP="009E5C17">
            <w:pPr>
              <w:rPr>
                <w:sz w:val="18"/>
                <w:szCs w:val="18"/>
              </w:rPr>
            </w:pPr>
            <w:r w:rsidRPr="00F0474A">
              <w:rPr>
                <w:sz w:val="18"/>
                <w:szCs w:val="18"/>
              </w:rPr>
              <w:t>n/a</w:t>
            </w:r>
          </w:p>
        </w:tc>
        <w:tc>
          <w:tcPr>
            <w:tcW w:w="2430" w:type="dxa"/>
            <w:gridSpan w:val="2"/>
          </w:tcPr>
          <w:p w:rsidR="009E5C17" w:rsidRPr="00F0474A" w:rsidRDefault="009E5C17" w:rsidP="009E5C17">
            <w:pPr>
              <w:rPr>
                <w:sz w:val="18"/>
                <w:szCs w:val="18"/>
              </w:rPr>
            </w:pPr>
            <w:r w:rsidRPr="00F0474A">
              <w:rPr>
                <w:sz w:val="18"/>
                <w:szCs w:val="18"/>
              </w:rPr>
              <w:t>Discussion paper</w:t>
            </w:r>
          </w:p>
        </w:tc>
        <w:tc>
          <w:tcPr>
            <w:tcW w:w="5792" w:type="dxa"/>
          </w:tcPr>
          <w:p w:rsidR="009E5C17" w:rsidRPr="00F0474A" w:rsidRDefault="009E5C17" w:rsidP="009E5C17">
            <w:pPr>
              <w:rPr>
                <w:sz w:val="18"/>
                <w:szCs w:val="18"/>
              </w:rPr>
            </w:pPr>
            <w:r w:rsidRPr="00F0474A">
              <w:rPr>
                <w:sz w:val="18"/>
                <w:szCs w:val="18"/>
              </w:rPr>
              <w:t>Whether the wishes of the individual concerned have been met should be considered in discharge planning, as they may differ markedly from those of health care professionals, carers or relatives, thus promoting choice and person-centred care.</w:t>
            </w:r>
          </w:p>
        </w:tc>
      </w:tr>
      <w:tr w:rsidR="009E5C17" w:rsidRPr="00F0474A" w:rsidTr="00C07331">
        <w:tc>
          <w:tcPr>
            <w:tcW w:w="1666" w:type="dxa"/>
          </w:tcPr>
          <w:p w:rsidR="009E5C17" w:rsidRPr="00F0474A" w:rsidRDefault="00F0474A" w:rsidP="009E5C17">
            <w:pPr>
              <w:rPr>
                <w:sz w:val="18"/>
                <w:szCs w:val="18"/>
              </w:rPr>
            </w:pPr>
            <w:r w:rsidRPr="00F0474A">
              <w:rPr>
                <w:sz w:val="18"/>
                <w:szCs w:val="18"/>
              </w:rPr>
              <w:t>Royal College of Psychiatrists</w:t>
            </w:r>
            <w:r w:rsidR="009E5C17" w:rsidRPr="00F0474A">
              <w:rPr>
                <w:sz w:val="18"/>
                <w:szCs w:val="18"/>
              </w:rPr>
              <w:t>, 2017</w:t>
            </w:r>
          </w:p>
        </w:tc>
        <w:tc>
          <w:tcPr>
            <w:tcW w:w="1164" w:type="dxa"/>
          </w:tcPr>
          <w:p w:rsidR="009E5C17" w:rsidRPr="00F0474A" w:rsidRDefault="009E5C17" w:rsidP="009E5C17">
            <w:pPr>
              <w:rPr>
                <w:sz w:val="18"/>
                <w:szCs w:val="18"/>
              </w:rPr>
            </w:pPr>
            <w:r w:rsidRPr="00F0474A">
              <w:rPr>
                <w:sz w:val="18"/>
                <w:szCs w:val="18"/>
              </w:rPr>
              <w:t>United Kingdom</w:t>
            </w:r>
          </w:p>
        </w:tc>
        <w:tc>
          <w:tcPr>
            <w:tcW w:w="2948" w:type="dxa"/>
          </w:tcPr>
          <w:p w:rsidR="009E5C17" w:rsidRPr="00F0474A" w:rsidRDefault="009E5C17" w:rsidP="009E5C17">
            <w:pPr>
              <w:rPr>
                <w:sz w:val="18"/>
                <w:szCs w:val="18"/>
              </w:rPr>
            </w:pPr>
            <w:r w:rsidRPr="00F0474A">
              <w:rPr>
                <w:sz w:val="18"/>
                <w:szCs w:val="18"/>
              </w:rPr>
              <w:t>Patients with dementia in the acute setting.</w:t>
            </w:r>
          </w:p>
        </w:tc>
        <w:tc>
          <w:tcPr>
            <w:tcW w:w="2430" w:type="dxa"/>
            <w:gridSpan w:val="2"/>
          </w:tcPr>
          <w:p w:rsidR="009E5C17" w:rsidRPr="00F0474A" w:rsidRDefault="009F1359" w:rsidP="009F1359">
            <w:pPr>
              <w:rPr>
                <w:sz w:val="18"/>
                <w:szCs w:val="18"/>
              </w:rPr>
            </w:pPr>
            <w:r>
              <w:rPr>
                <w:sz w:val="18"/>
                <w:szCs w:val="18"/>
              </w:rPr>
              <w:t>National a</w:t>
            </w:r>
            <w:r w:rsidR="009E5C17" w:rsidRPr="00F0474A">
              <w:rPr>
                <w:sz w:val="18"/>
                <w:szCs w:val="18"/>
              </w:rPr>
              <w:t>udit</w:t>
            </w:r>
          </w:p>
        </w:tc>
        <w:tc>
          <w:tcPr>
            <w:tcW w:w="5792" w:type="dxa"/>
          </w:tcPr>
          <w:p w:rsidR="009E5C17" w:rsidRPr="00F0474A" w:rsidRDefault="009E5C17" w:rsidP="009E5C17">
            <w:pPr>
              <w:rPr>
                <w:sz w:val="18"/>
                <w:szCs w:val="18"/>
              </w:rPr>
            </w:pPr>
            <w:r w:rsidRPr="00F0474A">
              <w:rPr>
                <w:rFonts w:cs="Segoe UI"/>
                <w:sz w:val="18"/>
                <w:szCs w:val="18"/>
              </w:rPr>
              <w:t>Over one third of patients did not have their consent to a change in residence after discharge,</w:t>
            </w:r>
            <w:r w:rsidRPr="00F0474A">
              <w:rPr>
                <w:rFonts w:cs="ProximaNova-Light"/>
                <w:color w:val="000000"/>
                <w:sz w:val="18"/>
                <w:szCs w:val="18"/>
              </w:rPr>
              <w:t xml:space="preserve"> or evidence that a best </w:t>
            </w:r>
            <w:proofErr w:type="gramStart"/>
            <w:r w:rsidRPr="00F0474A">
              <w:rPr>
                <w:rFonts w:cs="ProximaNova-Light"/>
                <w:color w:val="000000"/>
                <w:sz w:val="18"/>
                <w:szCs w:val="18"/>
              </w:rPr>
              <w:t>interests</w:t>
            </w:r>
            <w:proofErr w:type="gramEnd"/>
            <w:r w:rsidRPr="00F0474A">
              <w:rPr>
                <w:rFonts w:cs="ProximaNova-Light"/>
                <w:color w:val="000000"/>
                <w:sz w:val="18"/>
                <w:szCs w:val="18"/>
              </w:rPr>
              <w:t xml:space="preserve"> decision making process had taken place, in the case that they lacked capacity. 54% of carer’s comments regarding discharge/care transfer said that discharge was unsafe and poorly planned, which may lead to readmissions to hospital due to lack of readiness of support in the discharge location.</w:t>
            </w:r>
          </w:p>
        </w:tc>
      </w:tr>
    </w:tbl>
    <w:p w:rsidR="00574618" w:rsidRPr="00A01B82" w:rsidRDefault="00584B27">
      <w:pPr>
        <w:rPr>
          <w:sz w:val="20"/>
          <w:szCs w:val="20"/>
        </w:rPr>
      </w:pPr>
      <w:r>
        <w:rPr>
          <w:sz w:val="20"/>
          <w:szCs w:val="20"/>
        </w:rPr>
        <w:br w:type="textWrapping" w:clear="all"/>
      </w:r>
    </w:p>
    <w:sectPr w:rsidR="00574618" w:rsidRPr="00A01B82" w:rsidSect="000674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ProximaNova-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format - APA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pzrevtzfzvfeed0d7pxpeer5zaxet0zrpv&quot;&gt;My EndNote Library&lt;record-ids&gt;&lt;item&gt;1307&lt;/item&gt;&lt;/record-ids&gt;&lt;/item&gt;&lt;/Libraries&gt;"/>
  </w:docVars>
  <w:rsids>
    <w:rsidRoot w:val="00E12807"/>
    <w:rsid w:val="00006375"/>
    <w:rsid w:val="00046132"/>
    <w:rsid w:val="000557F9"/>
    <w:rsid w:val="000576C3"/>
    <w:rsid w:val="0006301D"/>
    <w:rsid w:val="000674D6"/>
    <w:rsid w:val="000707A9"/>
    <w:rsid w:val="00073BF8"/>
    <w:rsid w:val="00077D34"/>
    <w:rsid w:val="0008754B"/>
    <w:rsid w:val="000914A8"/>
    <w:rsid w:val="000A260C"/>
    <w:rsid w:val="000C1CEE"/>
    <w:rsid w:val="000D2EFC"/>
    <w:rsid w:val="000D6A52"/>
    <w:rsid w:val="000F36AF"/>
    <w:rsid w:val="000F5898"/>
    <w:rsid w:val="001202FA"/>
    <w:rsid w:val="00143481"/>
    <w:rsid w:val="00156127"/>
    <w:rsid w:val="0015778B"/>
    <w:rsid w:val="00160AF6"/>
    <w:rsid w:val="001615AE"/>
    <w:rsid w:val="00164240"/>
    <w:rsid w:val="00165CBB"/>
    <w:rsid w:val="001661CC"/>
    <w:rsid w:val="001711AE"/>
    <w:rsid w:val="00172B83"/>
    <w:rsid w:val="001744FB"/>
    <w:rsid w:val="0017785F"/>
    <w:rsid w:val="00180319"/>
    <w:rsid w:val="00181D6E"/>
    <w:rsid w:val="0018233F"/>
    <w:rsid w:val="00190739"/>
    <w:rsid w:val="00191384"/>
    <w:rsid w:val="00194B0C"/>
    <w:rsid w:val="00194BB1"/>
    <w:rsid w:val="001A30CF"/>
    <w:rsid w:val="001B4C95"/>
    <w:rsid w:val="001B7C44"/>
    <w:rsid w:val="001B7D68"/>
    <w:rsid w:val="001C6336"/>
    <w:rsid w:val="001E2598"/>
    <w:rsid w:val="001F1B2C"/>
    <w:rsid w:val="001F4264"/>
    <w:rsid w:val="00200E25"/>
    <w:rsid w:val="00206D29"/>
    <w:rsid w:val="00214092"/>
    <w:rsid w:val="002168E5"/>
    <w:rsid w:val="002212B7"/>
    <w:rsid w:val="00222D3C"/>
    <w:rsid w:val="00241770"/>
    <w:rsid w:val="00245C04"/>
    <w:rsid w:val="00254EF5"/>
    <w:rsid w:val="002617D4"/>
    <w:rsid w:val="002644D8"/>
    <w:rsid w:val="00276C1C"/>
    <w:rsid w:val="002816F2"/>
    <w:rsid w:val="00284808"/>
    <w:rsid w:val="00287683"/>
    <w:rsid w:val="002957B3"/>
    <w:rsid w:val="0029626B"/>
    <w:rsid w:val="002A302B"/>
    <w:rsid w:val="002A54F4"/>
    <w:rsid w:val="002A5F52"/>
    <w:rsid w:val="002A61B7"/>
    <w:rsid w:val="002B6EE1"/>
    <w:rsid w:val="002E07B6"/>
    <w:rsid w:val="002E6C7B"/>
    <w:rsid w:val="002F50E9"/>
    <w:rsid w:val="0030103D"/>
    <w:rsid w:val="0030386A"/>
    <w:rsid w:val="003143E7"/>
    <w:rsid w:val="00320DBC"/>
    <w:rsid w:val="003242EC"/>
    <w:rsid w:val="00325C39"/>
    <w:rsid w:val="00327A3B"/>
    <w:rsid w:val="003312B6"/>
    <w:rsid w:val="003341AF"/>
    <w:rsid w:val="00341192"/>
    <w:rsid w:val="00350BCF"/>
    <w:rsid w:val="003710ED"/>
    <w:rsid w:val="003727A1"/>
    <w:rsid w:val="0037798A"/>
    <w:rsid w:val="00380B67"/>
    <w:rsid w:val="003932BE"/>
    <w:rsid w:val="003B4927"/>
    <w:rsid w:val="003C0C80"/>
    <w:rsid w:val="003C286C"/>
    <w:rsid w:val="003C3BC7"/>
    <w:rsid w:val="00400C04"/>
    <w:rsid w:val="00405216"/>
    <w:rsid w:val="00406721"/>
    <w:rsid w:val="00416DE8"/>
    <w:rsid w:val="004210C2"/>
    <w:rsid w:val="00422958"/>
    <w:rsid w:val="004232A4"/>
    <w:rsid w:val="00435B9C"/>
    <w:rsid w:val="00436EE4"/>
    <w:rsid w:val="00440D89"/>
    <w:rsid w:val="00442F96"/>
    <w:rsid w:val="00462390"/>
    <w:rsid w:val="00466C5C"/>
    <w:rsid w:val="0049018A"/>
    <w:rsid w:val="004B34D2"/>
    <w:rsid w:val="004B3A5D"/>
    <w:rsid w:val="004B3ABF"/>
    <w:rsid w:val="004C661E"/>
    <w:rsid w:val="004E2ACC"/>
    <w:rsid w:val="004E2C45"/>
    <w:rsid w:val="004E3294"/>
    <w:rsid w:val="004E7E89"/>
    <w:rsid w:val="00524440"/>
    <w:rsid w:val="00526A69"/>
    <w:rsid w:val="00526F82"/>
    <w:rsid w:val="00537471"/>
    <w:rsid w:val="0054147B"/>
    <w:rsid w:val="00543B60"/>
    <w:rsid w:val="005442EC"/>
    <w:rsid w:val="0055709E"/>
    <w:rsid w:val="00560043"/>
    <w:rsid w:val="00572BFD"/>
    <w:rsid w:val="00574618"/>
    <w:rsid w:val="00584B27"/>
    <w:rsid w:val="00591F23"/>
    <w:rsid w:val="0059406E"/>
    <w:rsid w:val="005962B8"/>
    <w:rsid w:val="005A77B5"/>
    <w:rsid w:val="005A7D55"/>
    <w:rsid w:val="005C204A"/>
    <w:rsid w:val="005D506A"/>
    <w:rsid w:val="005D5104"/>
    <w:rsid w:val="005E35CF"/>
    <w:rsid w:val="005E3946"/>
    <w:rsid w:val="005F28E2"/>
    <w:rsid w:val="00612097"/>
    <w:rsid w:val="00613550"/>
    <w:rsid w:val="00621DEA"/>
    <w:rsid w:val="00645929"/>
    <w:rsid w:val="006562AF"/>
    <w:rsid w:val="006610E7"/>
    <w:rsid w:val="006620F6"/>
    <w:rsid w:val="00684808"/>
    <w:rsid w:val="0068766C"/>
    <w:rsid w:val="00691CB1"/>
    <w:rsid w:val="006A0CC2"/>
    <w:rsid w:val="006A2CF4"/>
    <w:rsid w:val="006A5F27"/>
    <w:rsid w:val="006A637F"/>
    <w:rsid w:val="006A6D41"/>
    <w:rsid w:val="006A72E8"/>
    <w:rsid w:val="006C4F14"/>
    <w:rsid w:val="006D202A"/>
    <w:rsid w:val="006E03B2"/>
    <w:rsid w:val="006E49FD"/>
    <w:rsid w:val="006F46C4"/>
    <w:rsid w:val="006F6982"/>
    <w:rsid w:val="007202F5"/>
    <w:rsid w:val="0072320C"/>
    <w:rsid w:val="00726C4E"/>
    <w:rsid w:val="00727217"/>
    <w:rsid w:val="00737233"/>
    <w:rsid w:val="0074745C"/>
    <w:rsid w:val="00753BE0"/>
    <w:rsid w:val="007823DB"/>
    <w:rsid w:val="00785478"/>
    <w:rsid w:val="007A049E"/>
    <w:rsid w:val="007C1765"/>
    <w:rsid w:val="007C1A60"/>
    <w:rsid w:val="007C1D91"/>
    <w:rsid w:val="007E2F50"/>
    <w:rsid w:val="007F1DDA"/>
    <w:rsid w:val="007F4F7A"/>
    <w:rsid w:val="00807218"/>
    <w:rsid w:val="00807A89"/>
    <w:rsid w:val="008131A9"/>
    <w:rsid w:val="00831B18"/>
    <w:rsid w:val="008533EC"/>
    <w:rsid w:val="008635CB"/>
    <w:rsid w:val="008715D3"/>
    <w:rsid w:val="00871E85"/>
    <w:rsid w:val="008776BE"/>
    <w:rsid w:val="0088735B"/>
    <w:rsid w:val="00891680"/>
    <w:rsid w:val="00895ABE"/>
    <w:rsid w:val="008A3C0C"/>
    <w:rsid w:val="008A5AC2"/>
    <w:rsid w:val="008B2957"/>
    <w:rsid w:val="008B5FCF"/>
    <w:rsid w:val="008B6506"/>
    <w:rsid w:val="008D4A34"/>
    <w:rsid w:val="008E5C34"/>
    <w:rsid w:val="008F2D5D"/>
    <w:rsid w:val="009218A8"/>
    <w:rsid w:val="0092486B"/>
    <w:rsid w:val="009316C2"/>
    <w:rsid w:val="00944A0D"/>
    <w:rsid w:val="009509E9"/>
    <w:rsid w:val="009559F4"/>
    <w:rsid w:val="009674F8"/>
    <w:rsid w:val="00985C0A"/>
    <w:rsid w:val="009873AB"/>
    <w:rsid w:val="009942F9"/>
    <w:rsid w:val="00997D0F"/>
    <w:rsid w:val="009A05CF"/>
    <w:rsid w:val="009B7BD8"/>
    <w:rsid w:val="009C6C81"/>
    <w:rsid w:val="009D4FD9"/>
    <w:rsid w:val="009E5C17"/>
    <w:rsid w:val="009F1359"/>
    <w:rsid w:val="009F5C44"/>
    <w:rsid w:val="00A01B82"/>
    <w:rsid w:val="00A06CA5"/>
    <w:rsid w:val="00A2297A"/>
    <w:rsid w:val="00A27622"/>
    <w:rsid w:val="00A35F5D"/>
    <w:rsid w:val="00A470C4"/>
    <w:rsid w:val="00A55138"/>
    <w:rsid w:val="00A60A7A"/>
    <w:rsid w:val="00A61A4F"/>
    <w:rsid w:val="00A675F4"/>
    <w:rsid w:val="00A73445"/>
    <w:rsid w:val="00A8799E"/>
    <w:rsid w:val="00A87D9A"/>
    <w:rsid w:val="00A95167"/>
    <w:rsid w:val="00AA17BE"/>
    <w:rsid w:val="00AB334D"/>
    <w:rsid w:val="00AB5E84"/>
    <w:rsid w:val="00AC50BE"/>
    <w:rsid w:val="00AC78AF"/>
    <w:rsid w:val="00AD7CF3"/>
    <w:rsid w:val="00AE2122"/>
    <w:rsid w:val="00AE2B99"/>
    <w:rsid w:val="00AE6F41"/>
    <w:rsid w:val="00AF0BC9"/>
    <w:rsid w:val="00AF4CC7"/>
    <w:rsid w:val="00B00AB5"/>
    <w:rsid w:val="00B02A3F"/>
    <w:rsid w:val="00B04EA3"/>
    <w:rsid w:val="00B05CB8"/>
    <w:rsid w:val="00B10DD0"/>
    <w:rsid w:val="00B221F7"/>
    <w:rsid w:val="00B26AD8"/>
    <w:rsid w:val="00B37258"/>
    <w:rsid w:val="00B37A9A"/>
    <w:rsid w:val="00B45304"/>
    <w:rsid w:val="00B511AD"/>
    <w:rsid w:val="00B62F3A"/>
    <w:rsid w:val="00BA3EED"/>
    <w:rsid w:val="00BA618A"/>
    <w:rsid w:val="00BC0187"/>
    <w:rsid w:val="00BD0C6A"/>
    <w:rsid w:val="00BD1CE3"/>
    <w:rsid w:val="00BD438C"/>
    <w:rsid w:val="00BD4F5F"/>
    <w:rsid w:val="00BD70D0"/>
    <w:rsid w:val="00BD7837"/>
    <w:rsid w:val="00BE0406"/>
    <w:rsid w:val="00BE7A32"/>
    <w:rsid w:val="00BF0E34"/>
    <w:rsid w:val="00C01D76"/>
    <w:rsid w:val="00C0250F"/>
    <w:rsid w:val="00C07331"/>
    <w:rsid w:val="00C12E7E"/>
    <w:rsid w:val="00C1459A"/>
    <w:rsid w:val="00C22978"/>
    <w:rsid w:val="00C23B8C"/>
    <w:rsid w:val="00C33248"/>
    <w:rsid w:val="00C41560"/>
    <w:rsid w:val="00C455E2"/>
    <w:rsid w:val="00C53C84"/>
    <w:rsid w:val="00C55507"/>
    <w:rsid w:val="00C624C2"/>
    <w:rsid w:val="00C62ADF"/>
    <w:rsid w:val="00C7543E"/>
    <w:rsid w:val="00C9568B"/>
    <w:rsid w:val="00CA53B7"/>
    <w:rsid w:val="00CD1FAE"/>
    <w:rsid w:val="00CE3B64"/>
    <w:rsid w:val="00CF469E"/>
    <w:rsid w:val="00D05FA8"/>
    <w:rsid w:val="00D1079C"/>
    <w:rsid w:val="00D25654"/>
    <w:rsid w:val="00D3447D"/>
    <w:rsid w:val="00D3492B"/>
    <w:rsid w:val="00D40418"/>
    <w:rsid w:val="00D5256E"/>
    <w:rsid w:val="00D5579B"/>
    <w:rsid w:val="00D605A2"/>
    <w:rsid w:val="00D6288F"/>
    <w:rsid w:val="00D71E86"/>
    <w:rsid w:val="00D822C7"/>
    <w:rsid w:val="00D826C7"/>
    <w:rsid w:val="00D85FDF"/>
    <w:rsid w:val="00D9074C"/>
    <w:rsid w:val="00D91A3F"/>
    <w:rsid w:val="00DA21B8"/>
    <w:rsid w:val="00DA44B3"/>
    <w:rsid w:val="00DA62F2"/>
    <w:rsid w:val="00DA7434"/>
    <w:rsid w:val="00DB601B"/>
    <w:rsid w:val="00DB77DC"/>
    <w:rsid w:val="00DC543B"/>
    <w:rsid w:val="00DD0112"/>
    <w:rsid w:val="00DD3A5B"/>
    <w:rsid w:val="00DD4204"/>
    <w:rsid w:val="00DE6096"/>
    <w:rsid w:val="00E06432"/>
    <w:rsid w:val="00E07253"/>
    <w:rsid w:val="00E1165D"/>
    <w:rsid w:val="00E12807"/>
    <w:rsid w:val="00E15CBD"/>
    <w:rsid w:val="00E20F34"/>
    <w:rsid w:val="00E25A2D"/>
    <w:rsid w:val="00E332E8"/>
    <w:rsid w:val="00E36FBD"/>
    <w:rsid w:val="00E428A8"/>
    <w:rsid w:val="00E66A06"/>
    <w:rsid w:val="00EA2BA8"/>
    <w:rsid w:val="00EA5052"/>
    <w:rsid w:val="00EA7F18"/>
    <w:rsid w:val="00EE2B7F"/>
    <w:rsid w:val="00EF090D"/>
    <w:rsid w:val="00EF53B8"/>
    <w:rsid w:val="00F03BD0"/>
    <w:rsid w:val="00F0474A"/>
    <w:rsid w:val="00F30D54"/>
    <w:rsid w:val="00F312A4"/>
    <w:rsid w:val="00F31A50"/>
    <w:rsid w:val="00F31B22"/>
    <w:rsid w:val="00F37445"/>
    <w:rsid w:val="00F65B81"/>
    <w:rsid w:val="00F7231B"/>
    <w:rsid w:val="00F8206E"/>
    <w:rsid w:val="00F83DF5"/>
    <w:rsid w:val="00F87AC0"/>
    <w:rsid w:val="00F94FD2"/>
    <w:rsid w:val="00FA04CB"/>
    <w:rsid w:val="00FA799C"/>
    <w:rsid w:val="00FB4AA0"/>
    <w:rsid w:val="00FC38DF"/>
    <w:rsid w:val="00FC412A"/>
    <w:rsid w:val="00FD17CC"/>
    <w:rsid w:val="00FD6AC7"/>
    <w:rsid w:val="00FE30EC"/>
    <w:rsid w:val="00FE76DD"/>
    <w:rsid w:val="00FF6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A3F"/>
    <w:rPr>
      <w:sz w:val="16"/>
      <w:szCs w:val="16"/>
    </w:rPr>
  </w:style>
  <w:style w:type="paragraph" w:styleId="CommentText">
    <w:name w:val="annotation text"/>
    <w:basedOn w:val="Normal"/>
    <w:link w:val="CommentTextChar"/>
    <w:uiPriority w:val="99"/>
    <w:semiHidden/>
    <w:unhideWhenUsed/>
    <w:rsid w:val="00D91A3F"/>
    <w:pPr>
      <w:spacing w:line="240" w:lineRule="auto"/>
    </w:pPr>
    <w:rPr>
      <w:sz w:val="20"/>
      <w:szCs w:val="20"/>
    </w:rPr>
  </w:style>
  <w:style w:type="character" w:customStyle="1" w:styleId="CommentTextChar">
    <w:name w:val="Comment Text Char"/>
    <w:basedOn w:val="DefaultParagraphFont"/>
    <w:link w:val="CommentText"/>
    <w:uiPriority w:val="99"/>
    <w:semiHidden/>
    <w:rsid w:val="00D91A3F"/>
    <w:rPr>
      <w:sz w:val="20"/>
      <w:szCs w:val="20"/>
    </w:rPr>
  </w:style>
  <w:style w:type="paragraph" w:styleId="BalloonText">
    <w:name w:val="Balloon Text"/>
    <w:basedOn w:val="Normal"/>
    <w:link w:val="BalloonTextChar"/>
    <w:uiPriority w:val="99"/>
    <w:semiHidden/>
    <w:unhideWhenUsed/>
    <w:rsid w:val="00D91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A3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17D4"/>
    <w:rPr>
      <w:b/>
      <w:bCs/>
    </w:rPr>
  </w:style>
  <w:style w:type="character" w:customStyle="1" w:styleId="CommentSubjectChar">
    <w:name w:val="Comment Subject Char"/>
    <w:basedOn w:val="CommentTextChar"/>
    <w:link w:val="CommentSubject"/>
    <w:uiPriority w:val="99"/>
    <w:semiHidden/>
    <w:rsid w:val="002617D4"/>
    <w:rPr>
      <w:b/>
      <w:bCs/>
      <w:sz w:val="20"/>
      <w:szCs w:val="20"/>
    </w:rPr>
  </w:style>
  <w:style w:type="character" w:customStyle="1" w:styleId="tgc">
    <w:name w:val="_tgc"/>
    <w:basedOn w:val="DefaultParagraphFont"/>
    <w:rsid w:val="00165CBB"/>
  </w:style>
  <w:style w:type="character" w:styleId="Hyperlink">
    <w:name w:val="Hyperlink"/>
    <w:basedOn w:val="DefaultParagraphFont"/>
    <w:uiPriority w:val="99"/>
    <w:unhideWhenUsed/>
    <w:rsid w:val="00D34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A3F"/>
    <w:rPr>
      <w:sz w:val="16"/>
      <w:szCs w:val="16"/>
    </w:rPr>
  </w:style>
  <w:style w:type="paragraph" w:styleId="CommentText">
    <w:name w:val="annotation text"/>
    <w:basedOn w:val="Normal"/>
    <w:link w:val="CommentTextChar"/>
    <w:uiPriority w:val="99"/>
    <w:semiHidden/>
    <w:unhideWhenUsed/>
    <w:rsid w:val="00D91A3F"/>
    <w:pPr>
      <w:spacing w:line="240" w:lineRule="auto"/>
    </w:pPr>
    <w:rPr>
      <w:sz w:val="20"/>
      <w:szCs w:val="20"/>
    </w:rPr>
  </w:style>
  <w:style w:type="character" w:customStyle="1" w:styleId="CommentTextChar">
    <w:name w:val="Comment Text Char"/>
    <w:basedOn w:val="DefaultParagraphFont"/>
    <w:link w:val="CommentText"/>
    <w:uiPriority w:val="99"/>
    <w:semiHidden/>
    <w:rsid w:val="00D91A3F"/>
    <w:rPr>
      <w:sz w:val="20"/>
      <w:szCs w:val="20"/>
    </w:rPr>
  </w:style>
  <w:style w:type="paragraph" w:styleId="BalloonText">
    <w:name w:val="Balloon Text"/>
    <w:basedOn w:val="Normal"/>
    <w:link w:val="BalloonTextChar"/>
    <w:uiPriority w:val="99"/>
    <w:semiHidden/>
    <w:unhideWhenUsed/>
    <w:rsid w:val="00D91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A3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17D4"/>
    <w:rPr>
      <w:b/>
      <w:bCs/>
    </w:rPr>
  </w:style>
  <w:style w:type="character" w:customStyle="1" w:styleId="CommentSubjectChar">
    <w:name w:val="Comment Subject Char"/>
    <w:basedOn w:val="CommentTextChar"/>
    <w:link w:val="CommentSubject"/>
    <w:uiPriority w:val="99"/>
    <w:semiHidden/>
    <w:rsid w:val="002617D4"/>
    <w:rPr>
      <w:b/>
      <w:bCs/>
      <w:sz w:val="20"/>
      <w:szCs w:val="20"/>
    </w:rPr>
  </w:style>
  <w:style w:type="character" w:customStyle="1" w:styleId="tgc">
    <w:name w:val="_tgc"/>
    <w:basedOn w:val="DefaultParagraphFont"/>
    <w:rsid w:val="00165CBB"/>
  </w:style>
  <w:style w:type="character" w:styleId="Hyperlink">
    <w:name w:val="Hyperlink"/>
    <w:basedOn w:val="DefaultParagraphFont"/>
    <w:uiPriority w:val="99"/>
    <w:unhideWhenUsed/>
    <w:rsid w:val="00D34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1409</TotalTime>
  <Pages>15</Pages>
  <Words>6955</Words>
  <Characters>39645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Fogg</dc:creator>
  <cp:lastModifiedBy>Carole Fogg</cp:lastModifiedBy>
  <cp:revision>16</cp:revision>
  <dcterms:created xsi:type="dcterms:W3CDTF">2017-11-06T15:39:00Z</dcterms:created>
  <dcterms:modified xsi:type="dcterms:W3CDTF">2018-02-10T10:21:00Z</dcterms:modified>
</cp:coreProperties>
</file>