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2551D" w14:textId="77EB3BF2" w:rsidR="00956D76" w:rsidRPr="009A1578" w:rsidRDefault="00956D76" w:rsidP="00934254">
      <w:pPr>
        <w:spacing w:line="480" w:lineRule="auto"/>
        <w:jc w:val="both"/>
        <w:rPr>
          <w:rFonts w:ascii="Times New Roman" w:hAnsi="Times New Roman" w:cs="Times New Roman"/>
          <w:b/>
        </w:rPr>
      </w:pPr>
      <w:bookmarkStart w:id="0" w:name="_GoBack"/>
      <w:bookmarkEnd w:id="0"/>
      <w:r w:rsidRPr="009A1578">
        <w:rPr>
          <w:rFonts w:ascii="Times New Roman" w:hAnsi="Times New Roman" w:cs="Times New Roman"/>
          <w:b/>
        </w:rPr>
        <w:t>Social inequality and fracture</w:t>
      </w:r>
      <w:r w:rsidR="0044221F" w:rsidRPr="009A1578">
        <w:rPr>
          <w:rFonts w:ascii="Times New Roman" w:hAnsi="Times New Roman" w:cs="Times New Roman"/>
          <w:b/>
        </w:rPr>
        <w:t>s</w:t>
      </w:r>
      <w:r w:rsidR="00AA3EF2" w:rsidRPr="009A1578">
        <w:rPr>
          <w:rFonts w:ascii="Times New Roman" w:hAnsi="Times New Roman" w:cs="Times New Roman"/>
          <w:b/>
        </w:rPr>
        <w:t>-</w:t>
      </w:r>
      <w:r w:rsidRPr="009A1578">
        <w:rPr>
          <w:rFonts w:ascii="Times New Roman" w:hAnsi="Times New Roman" w:cs="Times New Roman"/>
          <w:b/>
        </w:rPr>
        <w:t xml:space="preserve"> Secular trends in the Danish population</w:t>
      </w:r>
      <w:r w:rsidR="00AA3EF2" w:rsidRPr="009A1578">
        <w:rPr>
          <w:rFonts w:ascii="Times New Roman" w:hAnsi="Times New Roman" w:cs="Times New Roman"/>
          <w:b/>
        </w:rPr>
        <w:t xml:space="preserve">: a </w:t>
      </w:r>
      <w:r w:rsidR="00313AFA" w:rsidRPr="009A1578">
        <w:rPr>
          <w:rFonts w:ascii="Times New Roman" w:hAnsi="Times New Roman" w:cs="Times New Roman"/>
          <w:b/>
          <w:noProof/>
        </w:rPr>
        <w:t>case</w:t>
      </w:r>
      <w:r w:rsidR="00460F59" w:rsidRPr="009A1578">
        <w:rPr>
          <w:rFonts w:ascii="Times New Roman" w:hAnsi="Times New Roman" w:cs="Times New Roman"/>
          <w:b/>
          <w:noProof/>
        </w:rPr>
        <w:t>-</w:t>
      </w:r>
      <w:r w:rsidR="00313AFA" w:rsidRPr="009A1578">
        <w:rPr>
          <w:rFonts w:ascii="Times New Roman" w:hAnsi="Times New Roman" w:cs="Times New Roman"/>
          <w:b/>
          <w:noProof/>
        </w:rPr>
        <w:t>control</w:t>
      </w:r>
      <w:r w:rsidR="00313AFA" w:rsidRPr="009A1578">
        <w:rPr>
          <w:rFonts w:ascii="Times New Roman" w:hAnsi="Times New Roman" w:cs="Times New Roman"/>
          <w:b/>
        </w:rPr>
        <w:t xml:space="preserve"> study</w:t>
      </w:r>
    </w:p>
    <w:p w14:paraId="35BF4091" w14:textId="1782EDD1" w:rsidR="00956D76" w:rsidRPr="009A1578" w:rsidRDefault="00956D76" w:rsidP="00934254">
      <w:pPr>
        <w:spacing w:line="480" w:lineRule="auto"/>
        <w:jc w:val="both"/>
        <w:rPr>
          <w:rFonts w:ascii="Times New Roman" w:hAnsi="Times New Roman" w:cs="Times New Roman"/>
          <w:b/>
        </w:rPr>
      </w:pPr>
    </w:p>
    <w:p w14:paraId="7889CC44" w14:textId="3F58A643" w:rsidR="00BF03AB" w:rsidRPr="009A1578" w:rsidRDefault="00BF03AB" w:rsidP="00934254">
      <w:pPr>
        <w:spacing w:line="480" w:lineRule="auto"/>
        <w:rPr>
          <w:rFonts w:ascii="Times New Roman" w:hAnsi="Times New Roman" w:cs="Times New Roman"/>
          <w:vertAlign w:val="superscript"/>
        </w:rPr>
      </w:pPr>
      <w:r w:rsidRPr="009A1578">
        <w:rPr>
          <w:rFonts w:ascii="Times New Roman" w:hAnsi="Times New Roman" w:cs="Times New Roman"/>
        </w:rPr>
        <w:t>Louise Hansen</w:t>
      </w:r>
      <w:r w:rsidRPr="009A1578">
        <w:rPr>
          <w:rFonts w:ascii="Times New Roman" w:hAnsi="Times New Roman" w:cs="Times New Roman"/>
          <w:vertAlign w:val="superscript"/>
        </w:rPr>
        <w:t>1</w:t>
      </w:r>
      <w:r w:rsidRPr="009A1578">
        <w:rPr>
          <w:rFonts w:ascii="Times New Roman" w:hAnsi="Times New Roman" w:cs="Times New Roman"/>
        </w:rPr>
        <w:t>, Andrew Judge</w:t>
      </w:r>
      <w:r w:rsidRPr="009A1578">
        <w:rPr>
          <w:rFonts w:ascii="Times New Roman" w:hAnsi="Times New Roman" w:cs="Times New Roman"/>
          <w:vertAlign w:val="superscript"/>
        </w:rPr>
        <w:t>2</w:t>
      </w:r>
      <w:r w:rsidRPr="009A1578">
        <w:rPr>
          <w:rFonts w:ascii="Times New Roman" w:hAnsi="Times New Roman" w:cs="Times New Roman"/>
        </w:rPr>
        <w:t xml:space="preserve">, </w:t>
      </w:r>
      <w:r w:rsidR="004C06F4" w:rsidRPr="009A1578">
        <w:rPr>
          <w:rFonts w:ascii="Times New Roman" w:hAnsi="Times New Roman" w:cs="Times New Roman"/>
        </w:rPr>
        <w:t xml:space="preserve">M </w:t>
      </w:r>
      <w:r w:rsidRPr="009A1578">
        <w:rPr>
          <w:rFonts w:ascii="Times New Roman" w:hAnsi="Times New Roman" w:cs="Times New Roman"/>
        </w:rPr>
        <w:t>Kassim Javaid</w:t>
      </w:r>
      <w:r w:rsidR="004C06F4" w:rsidRPr="009A1578">
        <w:rPr>
          <w:rFonts w:ascii="Times New Roman" w:hAnsi="Times New Roman" w:cs="Times New Roman"/>
          <w:vertAlign w:val="superscript"/>
        </w:rPr>
        <w:t>3</w:t>
      </w:r>
      <w:r w:rsidRPr="009A1578">
        <w:rPr>
          <w:rFonts w:ascii="Times New Roman" w:hAnsi="Times New Roman" w:cs="Times New Roman"/>
        </w:rPr>
        <w:t>, Cyrus Cooper</w:t>
      </w:r>
      <w:r w:rsidR="004C06F4" w:rsidRPr="009A1578">
        <w:rPr>
          <w:rFonts w:ascii="Times New Roman" w:hAnsi="Times New Roman" w:cs="Times New Roman"/>
          <w:vertAlign w:val="superscript"/>
        </w:rPr>
        <w:t>3,4,5</w:t>
      </w:r>
      <w:r w:rsidRPr="009A1578">
        <w:rPr>
          <w:rFonts w:ascii="Times New Roman" w:hAnsi="Times New Roman" w:cs="Times New Roman"/>
        </w:rPr>
        <w:t>, Peter Vestergaard</w:t>
      </w:r>
      <w:r w:rsidR="00FB725A" w:rsidRPr="009A1578">
        <w:rPr>
          <w:rFonts w:ascii="Times New Roman" w:hAnsi="Times New Roman" w:cs="Times New Roman"/>
          <w:vertAlign w:val="superscript"/>
        </w:rPr>
        <w:t>6,7</w:t>
      </w:r>
      <w:r w:rsidRPr="009A1578">
        <w:rPr>
          <w:rFonts w:ascii="Times New Roman" w:hAnsi="Times New Roman" w:cs="Times New Roman"/>
        </w:rPr>
        <w:t>, Bo Abrahamsen</w:t>
      </w:r>
      <w:r w:rsidR="00FB725A" w:rsidRPr="009A1578">
        <w:rPr>
          <w:rFonts w:ascii="Times New Roman" w:hAnsi="Times New Roman" w:cs="Times New Roman"/>
          <w:vertAlign w:val="superscript"/>
        </w:rPr>
        <w:t>8,9</w:t>
      </w:r>
      <w:r w:rsidR="000C18B8" w:rsidRPr="009A1578">
        <w:rPr>
          <w:rFonts w:ascii="Times New Roman" w:hAnsi="Times New Roman" w:cs="Times New Roman"/>
          <w:vertAlign w:val="superscript"/>
        </w:rPr>
        <w:t>,</w:t>
      </w:r>
      <w:r w:rsidR="001015FD" w:rsidRPr="009A1578">
        <w:rPr>
          <w:rFonts w:ascii="Times New Roman" w:hAnsi="Times New Roman" w:cs="Times New Roman"/>
          <w:vertAlign w:val="superscript"/>
        </w:rPr>
        <w:t>10,</w:t>
      </w:r>
      <w:r w:rsidRPr="009A1578">
        <w:rPr>
          <w:rFonts w:ascii="Times New Roman" w:hAnsi="Times New Roman" w:cs="Times New Roman"/>
          <w:vertAlign w:val="superscript"/>
        </w:rPr>
        <w:t>+</w:t>
      </w:r>
      <w:r w:rsidRPr="009A1578">
        <w:rPr>
          <w:rFonts w:ascii="Times New Roman" w:hAnsi="Times New Roman" w:cs="Times New Roman"/>
        </w:rPr>
        <w:t>, Nicholas C Harvey</w:t>
      </w:r>
      <w:r w:rsidR="004C06F4" w:rsidRPr="009A1578">
        <w:rPr>
          <w:rFonts w:ascii="Times New Roman" w:hAnsi="Times New Roman" w:cs="Times New Roman"/>
          <w:vertAlign w:val="superscript"/>
        </w:rPr>
        <w:t>4,5</w:t>
      </w:r>
      <w:r w:rsidR="000C18B8" w:rsidRPr="009A1578">
        <w:rPr>
          <w:rFonts w:ascii="Times New Roman" w:hAnsi="Times New Roman" w:cs="Times New Roman"/>
          <w:vertAlign w:val="superscript"/>
        </w:rPr>
        <w:t>,</w:t>
      </w:r>
      <w:r w:rsidRPr="009A1578">
        <w:rPr>
          <w:rFonts w:ascii="Times New Roman" w:hAnsi="Times New Roman" w:cs="Times New Roman"/>
          <w:vertAlign w:val="superscript"/>
        </w:rPr>
        <w:t>+</w:t>
      </w:r>
    </w:p>
    <w:p w14:paraId="596E50E0" w14:textId="77777777" w:rsidR="00BF03AB" w:rsidRPr="009A1578" w:rsidRDefault="00BF03AB" w:rsidP="00934254">
      <w:pPr>
        <w:spacing w:line="480" w:lineRule="auto"/>
        <w:rPr>
          <w:rFonts w:ascii="Times New Roman" w:hAnsi="Times New Roman" w:cs="Times New Roman"/>
          <w:vertAlign w:val="superscript"/>
        </w:rPr>
      </w:pPr>
    </w:p>
    <w:p w14:paraId="78218B19" w14:textId="5325C548" w:rsidR="00BF03AB" w:rsidRPr="009A1578" w:rsidRDefault="00BF03AB" w:rsidP="00934254">
      <w:pPr>
        <w:spacing w:line="480" w:lineRule="auto"/>
        <w:rPr>
          <w:rFonts w:ascii="Times New Roman" w:hAnsi="Times New Roman" w:cs="Times New Roman"/>
        </w:rPr>
      </w:pPr>
      <w:r w:rsidRPr="009A1578">
        <w:rPr>
          <w:rFonts w:ascii="Times New Roman" w:hAnsi="Times New Roman" w:cs="Times New Roman"/>
          <w:vertAlign w:val="superscript"/>
        </w:rPr>
        <w:t>+</w:t>
      </w:r>
      <w:r w:rsidRPr="009A1578">
        <w:rPr>
          <w:rFonts w:ascii="Times New Roman" w:hAnsi="Times New Roman" w:cs="Times New Roman"/>
        </w:rPr>
        <w:t>BA and NCH are joint senior authors</w:t>
      </w:r>
    </w:p>
    <w:p w14:paraId="3C7AE530" w14:textId="77777777" w:rsidR="00BF03AB" w:rsidRPr="009A1578" w:rsidRDefault="00BF03AB" w:rsidP="00934254">
      <w:pPr>
        <w:spacing w:line="480" w:lineRule="auto"/>
        <w:rPr>
          <w:rFonts w:ascii="Times New Roman" w:hAnsi="Times New Roman" w:cs="Times New Roman"/>
        </w:rPr>
      </w:pPr>
    </w:p>
    <w:p w14:paraId="0D0566EC" w14:textId="5907D14B" w:rsidR="00934254" w:rsidRPr="009A1578" w:rsidRDefault="008B7BD4" w:rsidP="008B7BD4">
      <w:pPr>
        <w:tabs>
          <w:tab w:val="left" w:pos="360"/>
        </w:tabs>
        <w:spacing w:line="480" w:lineRule="auto"/>
        <w:ind w:left="360" w:hanging="360"/>
        <w:rPr>
          <w:rFonts w:ascii="Times New Roman" w:hAnsi="Times New Roman" w:cs="Times New Roman"/>
        </w:rPr>
      </w:pPr>
      <w:r w:rsidRPr="009A1578">
        <w:rPr>
          <w:rFonts w:ascii="Times New Roman" w:hAnsi="Times New Roman" w:cs="Times New Roman"/>
        </w:rPr>
        <w:t>1)</w:t>
      </w:r>
      <w:r w:rsidRPr="009A1578">
        <w:rPr>
          <w:rFonts w:ascii="Times New Roman" w:hAnsi="Times New Roman" w:cs="Times New Roman"/>
        </w:rPr>
        <w:tab/>
      </w:r>
      <w:r w:rsidR="00BF03AB" w:rsidRPr="009A1578">
        <w:rPr>
          <w:rFonts w:ascii="Times New Roman" w:hAnsi="Times New Roman" w:cs="Times New Roman"/>
        </w:rPr>
        <w:t xml:space="preserve">Danish Center for Healthcare Improvements, Department of Business and Management, Aalborg University, </w:t>
      </w:r>
      <w:r w:rsidR="000C18B8" w:rsidRPr="009A1578">
        <w:rPr>
          <w:rFonts w:ascii="Times New Roman" w:hAnsi="Times New Roman" w:cs="Times New Roman"/>
        </w:rPr>
        <w:t xml:space="preserve">Aalborg, </w:t>
      </w:r>
      <w:r w:rsidR="00BF03AB" w:rsidRPr="009A1578">
        <w:rPr>
          <w:rFonts w:ascii="Times New Roman" w:hAnsi="Times New Roman" w:cs="Times New Roman"/>
        </w:rPr>
        <w:t xml:space="preserve">Denmark; </w:t>
      </w:r>
    </w:p>
    <w:p w14:paraId="3B27EA3C" w14:textId="24B58E9E" w:rsidR="004C06F4" w:rsidRPr="009A1578" w:rsidRDefault="008B7BD4" w:rsidP="008B7BD4">
      <w:pPr>
        <w:tabs>
          <w:tab w:val="left" w:pos="360"/>
        </w:tabs>
        <w:spacing w:line="480" w:lineRule="auto"/>
        <w:ind w:left="360" w:hanging="360"/>
        <w:rPr>
          <w:rFonts w:ascii="Times New Roman" w:hAnsi="Times New Roman" w:cs="Times New Roman"/>
        </w:rPr>
      </w:pPr>
      <w:r w:rsidRPr="009A1578">
        <w:rPr>
          <w:rFonts w:ascii="Times New Roman" w:hAnsi="Times New Roman" w:cs="Times New Roman"/>
        </w:rPr>
        <w:t>2)</w:t>
      </w:r>
      <w:r w:rsidRPr="009A1578">
        <w:rPr>
          <w:rFonts w:ascii="Times New Roman" w:hAnsi="Times New Roman" w:cs="Times New Roman"/>
        </w:rPr>
        <w:tab/>
      </w:r>
      <w:r w:rsidR="004C06F4" w:rsidRPr="009A1578">
        <w:rPr>
          <w:rFonts w:ascii="Times New Roman" w:hAnsi="Times New Roman" w:cs="Times New Roman"/>
        </w:rPr>
        <w:t>University of Bristol</w:t>
      </w:r>
    </w:p>
    <w:p w14:paraId="6C93B82F" w14:textId="311266FB" w:rsidR="00934254" w:rsidRPr="009A1578" w:rsidRDefault="004C06F4"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hAnsi="Times New Roman" w:cs="Times New Roman"/>
        </w:rPr>
        <w:t>3</w:t>
      </w:r>
      <w:r w:rsidR="008B7BD4" w:rsidRPr="009A1578">
        <w:rPr>
          <w:rFonts w:ascii="Times New Roman" w:hAnsi="Times New Roman" w:cs="Times New Roman"/>
        </w:rPr>
        <w:t>)</w:t>
      </w:r>
      <w:r w:rsidR="008B7BD4" w:rsidRPr="009A1578">
        <w:rPr>
          <w:rFonts w:ascii="Times New Roman" w:hAnsi="Times New Roman" w:cs="Times New Roman"/>
        </w:rPr>
        <w:tab/>
      </w:r>
      <w:r w:rsidR="00BF03AB" w:rsidRPr="009A1578">
        <w:rPr>
          <w:rFonts w:ascii="Times New Roman" w:eastAsia="Times New Roman" w:hAnsi="Times New Roman" w:cs="Times New Roman"/>
          <w:lang w:eastAsia="da-DK"/>
        </w:rPr>
        <w:t xml:space="preserve">NIHR </w:t>
      </w:r>
      <w:r w:rsidRPr="009A1578">
        <w:rPr>
          <w:rFonts w:ascii="Times New Roman" w:eastAsia="Times New Roman" w:hAnsi="Times New Roman" w:cs="Times New Roman"/>
          <w:lang w:eastAsia="da-DK"/>
        </w:rPr>
        <w:t xml:space="preserve">Oxford </w:t>
      </w:r>
      <w:r w:rsidR="00BF03AB" w:rsidRPr="009A1578">
        <w:rPr>
          <w:rFonts w:ascii="Times New Roman" w:eastAsia="Times New Roman" w:hAnsi="Times New Roman" w:cs="Times New Roman"/>
          <w:lang w:eastAsia="da-DK"/>
        </w:rPr>
        <w:t xml:space="preserve">Biomedical Research </w:t>
      </w:r>
      <w:r w:rsidRPr="009A1578">
        <w:rPr>
          <w:rFonts w:ascii="Times New Roman" w:eastAsia="Times New Roman" w:hAnsi="Times New Roman" w:cs="Times New Roman"/>
          <w:lang w:eastAsia="da-DK"/>
        </w:rPr>
        <w:t>Centre</w:t>
      </w:r>
      <w:r w:rsidR="00BF03AB" w:rsidRPr="009A1578">
        <w:rPr>
          <w:rFonts w:ascii="Times New Roman" w:eastAsia="Times New Roman" w:hAnsi="Times New Roman" w:cs="Times New Roman"/>
          <w:lang w:eastAsia="da-DK"/>
        </w:rPr>
        <w:t>, University of Oxford, Oxford, U</w:t>
      </w:r>
      <w:r w:rsidR="00934254" w:rsidRPr="009A1578">
        <w:rPr>
          <w:rFonts w:ascii="Times New Roman" w:eastAsia="Times New Roman" w:hAnsi="Times New Roman" w:cs="Times New Roman"/>
          <w:lang w:eastAsia="da-DK"/>
        </w:rPr>
        <w:t xml:space="preserve">nited </w:t>
      </w:r>
      <w:r w:rsidR="00BF03AB" w:rsidRPr="009A1578">
        <w:rPr>
          <w:rFonts w:ascii="Times New Roman" w:eastAsia="Times New Roman" w:hAnsi="Times New Roman" w:cs="Times New Roman"/>
          <w:lang w:eastAsia="da-DK"/>
        </w:rPr>
        <w:t>K</w:t>
      </w:r>
      <w:r w:rsidR="00934254" w:rsidRPr="009A1578">
        <w:rPr>
          <w:rFonts w:ascii="Times New Roman" w:eastAsia="Times New Roman" w:hAnsi="Times New Roman" w:cs="Times New Roman"/>
          <w:lang w:eastAsia="da-DK"/>
        </w:rPr>
        <w:t>ingdom</w:t>
      </w:r>
      <w:r w:rsidR="00BF03AB" w:rsidRPr="009A1578">
        <w:rPr>
          <w:rFonts w:ascii="Times New Roman" w:eastAsia="Times New Roman" w:hAnsi="Times New Roman" w:cs="Times New Roman"/>
          <w:lang w:eastAsia="da-DK"/>
        </w:rPr>
        <w:t xml:space="preserve">; </w:t>
      </w:r>
    </w:p>
    <w:p w14:paraId="01173514" w14:textId="2F65B905" w:rsidR="00934254" w:rsidRPr="009A1578" w:rsidRDefault="004C06F4"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4</w:t>
      </w:r>
      <w:r w:rsidR="00BF03AB" w:rsidRPr="009A1578">
        <w:rPr>
          <w:rFonts w:ascii="Times New Roman" w:eastAsia="Times New Roman" w:hAnsi="Times New Roman" w:cs="Times New Roman"/>
          <w:lang w:eastAsia="da-DK"/>
        </w:rPr>
        <w:t>)</w:t>
      </w:r>
      <w:r w:rsidR="008B7BD4" w:rsidRPr="009A1578">
        <w:rPr>
          <w:rFonts w:ascii="Times New Roman" w:eastAsia="Times New Roman" w:hAnsi="Times New Roman" w:cs="Times New Roman"/>
          <w:lang w:eastAsia="da-DK"/>
        </w:rPr>
        <w:tab/>
      </w:r>
      <w:r w:rsidR="00BF03AB" w:rsidRPr="009A1578">
        <w:rPr>
          <w:rFonts w:ascii="Times New Roman" w:eastAsia="Times New Roman" w:hAnsi="Times New Roman" w:cs="Times New Roman"/>
          <w:lang w:eastAsia="da-DK"/>
        </w:rPr>
        <w:t>MRC Lifecourse Epidemiology Unit, University of Southampton, Southampton, U</w:t>
      </w:r>
      <w:r w:rsidR="00934254" w:rsidRPr="009A1578">
        <w:rPr>
          <w:rFonts w:ascii="Times New Roman" w:eastAsia="Times New Roman" w:hAnsi="Times New Roman" w:cs="Times New Roman"/>
          <w:lang w:eastAsia="da-DK"/>
        </w:rPr>
        <w:t xml:space="preserve">nited </w:t>
      </w:r>
      <w:r w:rsidR="00BF03AB" w:rsidRPr="009A1578">
        <w:rPr>
          <w:rFonts w:ascii="Times New Roman" w:eastAsia="Times New Roman" w:hAnsi="Times New Roman" w:cs="Times New Roman"/>
          <w:lang w:eastAsia="da-DK"/>
        </w:rPr>
        <w:t>K</w:t>
      </w:r>
      <w:r w:rsidR="00934254" w:rsidRPr="009A1578">
        <w:rPr>
          <w:rFonts w:ascii="Times New Roman" w:eastAsia="Times New Roman" w:hAnsi="Times New Roman" w:cs="Times New Roman"/>
          <w:lang w:eastAsia="da-DK"/>
        </w:rPr>
        <w:t>ingdom</w:t>
      </w:r>
      <w:r w:rsidR="00BF03AB" w:rsidRPr="009A1578">
        <w:rPr>
          <w:rFonts w:ascii="Times New Roman" w:eastAsia="Times New Roman" w:hAnsi="Times New Roman" w:cs="Times New Roman"/>
          <w:lang w:eastAsia="da-DK"/>
        </w:rPr>
        <w:t xml:space="preserve">; </w:t>
      </w:r>
    </w:p>
    <w:p w14:paraId="65F073C0" w14:textId="47E45B5F" w:rsidR="00A85C62" w:rsidRPr="009A1578" w:rsidRDefault="008B7BD4"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5)</w:t>
      </w:r>
      <w:r w:rsidRPr="009A1578">
        <w:rPr>
          <w:rFonts w:ascii="Times New Roman" w:eastAsia="Times New Roman" w:hAnsi="Times New Roman" w:cs="Times New Roman"/>
          <w:lang w:eastAsia="da-DK"/>
        </w:rPr>
        <w:tab/>
      </w:r>
      <w:r w:rsidR="00A85C62" w:rsidRPr="009A1578">
        <w:rPr>
          <w:rFonts w:ascii="Times New Roman" w:eastAsia="Times New Roman" w:hAnsi="Times New Roman" w:cs="Times New Roman"/>
          <w:lang w:eastAsia="da-DK"/>
        </w:rPr>
        <w:t>NIHR Southampton Biomedical Research Centre, University of Southampton and University Hospital Southampton NHS Foundation Trust, Tremona Road, Southampton, UK</w:t>
      </w:r>
    </w:p>
    <w:p w14:paraId="71AC1590" w14:textId="6850B81F" w:rsidR="00934254" w:rsidRPr="009A1578" w:rsidRDefault="001015FD"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6</w:t>
      </w:r>
      <w:r w:rsidR="00BF03AB" w:rsidRPr="009A1578">
        <w:rPr>
          <w:rFonts w:ascii="Times New Roman" w:eastAsia="Times New Roman" w:hAnsi="Times New Roman" w:cs="Times New Roman"/>
          <w:lang w:eastAsia="da-DK"/>
        </w:rPr>
        <w:t>)</w:t>
      </w:r>
      <w:r w:rsidR="008B7BD4" w:rsidRPr="009A1578">
        <w:rPr>
          <w:rFonts w:ascii="Times New Roman" w:eastAsia="Times New Roman" w:hAnsi="Times New Roman" w:cs="Times New Roman"/>
          <w:lang w:eastAsia="da-DK"/>
        </w:rPr>
        <w:tab/>
      </w:r>
      <w:r w:rsidR="000C18B8" w:rsidRPr="009A1578">
        <w:rPr>
          <w:rFonts w:ascii="Times New Roman" w:eastAsia="Times New Roman" w:hAnsi="Times New Roman" w:cs="Times New Roman"/>
          <w:lang w:eastAsia="da-DK"/>
        </w:rPr>
        <w:t xml:space="preserve">Department of Clinical Medicine, Aalborg University, Aalborg, Denmark; </w:t>
      </w:r>
    </w:p>
    <w:p w14:paraId="0E0F68AC" w14:textId="11A14417" w:rsidR="00934254" w:rsidRPr="009A1578" w:rsidRDefault="001015FD"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7</w:t>
      </w:r>
      <w:r w:rsidR="008B7BD4" w:rsidRPr="009A1578">
        <w:rPr>
          <w:rFonts w:ascii="Times New Roman" w:eastAsia="Times New Roman" w:hAnsi="Times New Roman" w:cs="Times New Roman"/>
          <w:lang w:eastAsia="da-DK"/>
        </w:rPr>
        <w:t>)</w:t>
      </w:r>
      <w:r w:rsidR="008B7BD4" w:rsidRPr="009A1578">
        <w:rPr>
          <w:rFonts w:ascii="Times New Roman" w:eastAsia="Times New Roman" w:hAnsi="Times New Roman" w:cs="Times New Roman"/>
          <w:lang w:eastAsia="da-DK"/>
        </w:rPr>
        <w:tab/>
      </w:r>
      <w:r w:rsidR="000C18B8" w:rsidRPr="009A1578">
        <w:rPr>
          <w:rFonts w:ascii="Times New Roman" w:eastAsia="Times New Roman" w:hAnsi="Times New Roman" w:cs="Times New Roman"/>
          <w:lang w:eastAsia="da-DK"/>
        </w:rPr>
        <w:t xml:space="preserve">Department of Endocrinology, Aalborg University Hospital, Aalborg, Denmark; </w:t>
      </w:r>
    </w:p>
    <w:p w14:paraId="7785B184" w14:textId="77E1D77B" w:rsidR="00FB725A" w:rsidRPr="009A1578" w:rsidRDefault="001015FD"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8</w:t>
      </w:r>
      <w:r w:rsidR="000C18B8" w:rsidRPr="009A1578">
        <w:rPr>
          <w:rFonts w:ascii="Times New Roman" w:eastAsia="Times New Roman" w:hAnsi="Times New Roman" w:cs="Times New Roman"/>
          <w:lang w:eastAsia="da-DK"/>
        </w:rPr>
        <w:t>)</w:t>
      </w:r>
      <w:r w:rsidR="008B7BD4" w:rsidRPr="009A1578">
        <w:rPr>
          <w:rFonts w:ascii="Times New Roman" w:eastAsia="Times New Roman" w:hAnsi="Times New Roman" w:cs="Times New Roman"/>
          <w:lang w:eastAsia="da-DK"/>
        </w:rPr>
        <w:tab/>
      </w:r>
      <w:r w:rsidR="000C18B8" w:rsidRPr="009A1578">
        <w:rPr>
          <w:rFonts w:ascii="Times New Roman" w:eastAsia="Times New Roman" w:hAnsi="Times New Roman" w:cs="Times New Roman"/>
          <w:lang w:eastAsia="da-DK"/>
        </w:rPr>
        <w:t xml:space="preserve">Institute </w:t>
      </w:r>
      <w:r w:rsidR="000C18B8" w:rsidRPr="009A1578">
        <w:rPr>
          <w:rFonts w:ascii="Times New Roman" w:eastAsia="Times New Roman" w:hAnsi="Times New Roman" w:cs="Times New Roman"/>
          <w:noProof/>
          <w:lang w:eastAsia="da-DK"/>
        </w:rPr>
        <w:t>of</w:t>
      </w:r>
      <w:r w:rsidR="000C18B8" w:rsidRPr="009A1578">
        <w:rPr>
          <w:rFonts w:ascii="Times New Roman" w:eastAsia="Times New Roman" w:hAnsi="Times New Roman" w:cs="Times New Roman"/>
          <w:lang w:eastAsia="da-DK"/>
        </w:rPr>
        <w:t xml:space="preserve"> Clinical Research, University of Southern Denmark, Odense, Denmark; </w:t>
      </w:r>
    </w:p>
    <w:p w14:paraId="2EB4DB0B" w14:textId="621ABC51" w:rsidR="00934254" w:rsidRPr="009A1578" w:rsidRDefault="001015FD"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9</w:t>
      </w:r>
      <w:r w:rsidR="008B7BD4" w:rsidRPr="009A1578">
        <w:rPr>
          <w:rFonts w:ascii="Times New Roman" w:eastAsia="Times New Roman" w:hAnsi="Times New Roman" w:cs="Times New Roman"/>
          <w:lang w:eastAsia="da-DK"/>
        </w:rPr>
        <w:t>)</w:t>
      </w:r>
      <w:r w:rsidR="008B7BD4" w:rsidRPr="009A1578">
        <w:rPr>
          <w:rFonts w:ascii="Times New Roman" w:eastAsia="Times New Roman" w:hAnsi="Times New Roman" w:cs="Times New Roman"/>
          <w:lang w:eastAsia="da-DK"/>
        </w:rPr>
        <w:tab/>
      </w:r>
      <w:r w:rsidR="000C18B8" w:rsidRPr="009A1578">
        <w:rPr>
          <w:rFonts w:ascii="Times New Roman" w:eastAsia="Times New Roman" w:hAnsi="Times New Roman" w:cs="Times New Roman"/>
          <w:lang w:eastAsia="da-DK"/>
        </w:rPr>
        <w:t xml:space="preserve">Department of Internal Medicine, Holbæk Hospital, Holbæk, Denmark; </w:t>
      </w:r>
    </w:p>
    <w:p w14:paraId="4BFB8BDE" w14:textId="174A3F7B" w:rsidR="00FB725A" w:rsidRPr="009A1578" w:rsidRDefault="001015FD" w:rsidP="008B7BD4">
      <w:pPr>
        <w:tabs>
          <w:tab w:val="left" w:pos="360"/>
        </w:tabs>
        <w:spacing w:line="480" w:lineRule="auto"/>
        <w:ind w:left="360" w:hanging="360"/>
        <w:rPr>
          <w:rFonts w:ascii="Times New Roman" w:eastAsia="Times New Roman" w:hAnsi="Times New Roman" w:cs="Times New Roman"/>
          <w:lang w:eastAsia="da-DK"/>
        </w:rPr>
      </w:pPr>
      <w:r w:rsidRPr="009A1578">
        <w:rPr>
          <w:rFonts w:ascii="Times New Roman" w:eastAsia="Times New Roman" w:hAnsi="Times New Roman" w:cs="Times New Roman"/>
          <w:lang w:eastAsia="da-DK"/>
        </w:rPr>
        <w:t>10</w:t>
      </w:r>
      <w:r w:rsidR="008B7BD4" w:rsidRPr="009A1578">
        <w:rPr>
          <w:rFonts w:ascii="Times New Roman" w:eastAsia="Times New Roman" w:hAnsi="Times New Roman" w:cs="Times New Roman"/>
          <w:lang w:eastAsia="da-DK"/>
        </w:rPr>
        <w:t>)</w:t>
      </w:r>
      <w:r w:rsidR="008B7BD4" w:rsidRPr="009A1578">
        <w:rPr>
          <w:rFonts w:ascii="Times New Roman" w:eastAsia="Times New Roman" w:hAnsi="Times New Roman" w:cs="Times New Roman"/>
          <w:lang w:eastAsia="da-DK"/>
        </w:rPr>
        <w:tab/>
      </w:r>
      <w:r w:rsidR="000C18B8" w:rsidRPr="009A1578">
        <w:rPr>
          <w:rFonts w:ascii="Times New Roman" w:eastAsia="Times New Roman" w:hAnsi="Times New Roman" w:cs="Times New Roman"/>
          <w:lang w:eastAsia="da-DK"/>
        </w:rPr>
        <w:t xml:space="preserve">Odense Exploratory Patient Network (OPEN), </w:t>
      </w:r>
      <w:r w:rsidR="00AA449C" w:rsidRPr="009A1578">
        <w:rPr>
          <w:rFonts w:ascii="Times New Roman" w:eastAsia="Times New Roman" w:hAnsi="Times New Roman" w:cs="Times New Roman"/>
          <w:lang w:eastAsia="da-DK"/>
        </w:rPr>
        <w:t xml:space="preserve">University of Southern Denmark and Odense University Hospital, </w:t>
      </w:r>
      <w:r w:rsidR="000C18B8" w:rsidRPr="009A1578">
        <w:rPr>
          <w:rFonts w:ascii="Times New Roman" w:eastAsia="Times New Roman" w:hAnsi="Times New Roman" w:cs="Times New Roman"/>
          <w:lang w:eastAsia="da-DK"/>
        </w:rPr>
        <w:t>Odense, Denmark</w:t>
      </w:r>
    </w:p>
    <w:p w14:paraId="0EF6120B" w14:textId="77777777" w:rsidR="00FB725A" w:rsidRPr="009A1578" w:rsidRDefault="00FB725A" w:rsidP="00934254">
      <w:pPr>
        <w:spacing w:line="480" w:lineRule="auto"/>
        <w:rPr>
          <w:rFonts w:ascii="Times New Roman" w:eastAsia="Times New Roman" w:hAnsi="Times New Roman" w:cs="Times New Roman"/>
          <w:b/>
          <w:lang w:eastAsia="da-DK"/>
        </w:rPr>
      </w:pPr>
      <w:r w:rsidRPr="009A1578">
        <w:rPr>
          <w:rFonts w:ascii="Times New Roman" w:eastAsia="Times New Roman" w:hAnsi="Times New Roman" w:cs="Times New Roman"/>
          <w:b/>
          <w:lang w:eastAsia="da-DK"/>
        </w:rPr>
        <w:t>Corresponding author:</w:t>
      </w:r>
    </w:p>
    <w:p w14:paraId="6CD4BC77" w14:textId="21AFEDE6" w:rsidR="007856FD" w:rsidRPr="009A1578" w:rsidRDefault="007856FD" w:rsidP="007856FD">
      <w:pPr>
        <w:spacing w:line="480" w:lineRule="auto"/>
        <w:rPr>
          <w:rFonts w:ascii="Times New Roman" w:hAnsi="Times New Roman" w:cs="Times New Roman"/>
        </w:rPr>
      </w:pPr>
      <w:r w:rsidRPr="009A1578">
        <w:rPr>
          <w:rFonts w:ascii="Times New Roman" w:hAnsi="Times New Roman" w:cs="Times New Roman"/>
        </w:rPr>
        <w:lastRenderedPageBreak/>
        <w:t>Professor Nicholas Harvey, MRC Lifecourse Epidemiology Unit, University of Southampton, Southampton General Hospital, Southampton, SO16 6YD</w:t>
      </w:r>
    </w:p>
    <w:p w14:paraId="0A3A1218" w14:textId="67B06803" w:rsidR="00FB725A" w:rsidRPr="009A1578" w:rsidRDefault="007856FD" w:rsidP="007856FD">
      <w:pPr>
        <w:spacing w:line="480" w:lineRule="auto"/>
        <w:rPr>
          <w:rFonts w:ascii="Times New Roman" w:hAnsi="Times New Roman" w:cs="Times New Roman"/>
        </w:rPr>
      </w:pPr>
      <w:r w:rsidRPr="009A1578">
        <w:rPr>
          <w:rFonts w:ascii="Times New Roman" w:hAnsi="Times New Roman" w:cs="Times New Roman"/>
        </w:rPr>
        <w:t xml:space="preserve">Email: </w:t>
      </w:r>
      <w:hyperlink r:id="rId8" w:history="1">
        <w:r w:rsidRPr="009A1578">
          <w:rPr>
            <w:rStyle w:val="Hyperlink"/>
            <w:rFonts w:ascii="Times New Roman" w:hAnsi="Times New Roman" w:cs="Times New Roman"/>
          </w:rPr>
          <w:t>nch@mrc.soton.ac.uk</w:t>
        </w:r>
      </w:hyperlink>
      <w:r w:rsidRPr="009A1578">
        <w:rPr>
          <w:rFonts w:ascii="Times New Roman" w:hAnsi="Times New Roman" w:cs="Times New Roman"/>
        </w:rPr>
        <w:t>; Tel: +44 (0) 23 8077 7624; Fax: +44 (0) 23 8070 4021</w:t>
      </w:r>
      <w:r w:rsidR="00BF03AB" w:rsidRPr="009A1578">
        <w:rPr>
          <w:rFonts w:ascii="Times New Roman" w:hAnsi="Times New Roman" w:cs="Times New Roman"/>
        </w:rPr>
        <w:br w:type="page"/>
      </w:r>
    </w:p>
    <w:p w14:paraId="3CC3D09E" w14:textId="4FE403FD" w:rsidR="00956D76" w:rsidRPr="009A1578" w:rsidRDefault="00956D76" w:rsidP="00934254">
      <w:pPr>
        <w:spacing w:line="480" w:lineRule="auto"/>
        <w:jc w:val="both"/>
        <w:rPr>
          <w:rFonts w:ascii="Times New Roman" w:hAnsi="Times New Roman" w:cs="Times New Roman"/>
          <w:b/>
        </w:rPr>
      </w:pPr>
      <w:r w:rsidRPr="009A1578">
        <w:rPr>
          <w:rFonts w:ascii="Times New Roman" w:hAnsi="Times New Roman" w:cs="Times New Roman"/>
          <w:b/>
        </w:rPr>
        <w:lastRenderedPageBreak/>
        <w:t>Abstract:</w:t>
      </w:r>
    </w:p>
    <w:p w14:paraId="17A5422A" w14:textId="29B0F22D" w:rsidR="006753D0" w:rsidRPr="009A1578" w:rsidRDefault="003661FA" w:rsidP="0051139C">
      <w:pPr>
        <w:spacing w:line="480" w:lineRule="auto"/>
        <w:jc w:val="both"/>
        <w:rPr>
          <w:rFonts w:ascii="Times New Roman" w:hAnsi="Times New Roman" w:cs="Times New Roman"/>
          <w:b/>
        </w:rPr>
      </w:pPr>
      <w:r>
        <w:rPr>
          <w:rFonts w:ascii="Times New Roman" w:hAnsi="Times New Roman" w:cs="Times New Roman"/>
          <w:b/>
        </w:rPr>
        <w:t>Purpose/ Introduction</w:t>
      </w:r>
    </w:p>
    <w:p w14:paraId="12B13C4F" w14:textId="01680421" w:rsidR="006753D0" w:rsidRPr="009A1578" w:rsidRDefault="00D84FBD" w:rsidP="0051139C">
      <w:pPr>
        <w:spacing w:line="480" w:lineRule="auto"/>
        <w:jc w:val="both"/>
        <w:rPr>
          <w:rFonts w:ascii="Times New Roman" w:hAnsi="Times New Roman" w:cs="Times New Roman"/>
        </w:rPr>
      </w:pPr>
      <w:r w:rsidRPr="009A1578">
        <w:rPr>
          <w:rFonts w:ascii="Times New Roman" w:hAnsi="Times New Roman" w:cs="Times New Roman"/>
        </w:rPr>
        <w:t>We explored whether</w:t>
      </w:r>
      <w:r w:rsidR="00445A8A" w:rsidRPr="009A1578">
        <w:rPr>
          <w:rFonts w:ascii="Times New Roman" w:hAnsi="Times New Roman" w:cs="Times New Roman"/>
        </w:rPr>
        <w:t xml:space="preserve"> the</w:t>
      </w:r>
      <w:r w:rsidRPr="009A1578">
        <w:rPr>
          <w:rFonts w:ascii="Times New Roman" w:hAnsi="Times New Roman" w:cs="Times New Roman"/>
        </w:rPr>
        <w:t xml:space="preserve"> </w:t>
      </w:r>
      <w:r w:rsidRPr="009A1578">
        <w:rPr>
          <w:rFonts w:ascii="Times New Roman" w:hAnsi="Times New Roman" w:cs="Times New Roman"/>
          <w:noProof/>
        </w:rPr>
        <w:t>risk</w:t>
      </w:r>
      <w:r w:rsidRPr="009A1578">
        <w:rPr>
          <w:rFonts w:ascii="Times New Roman" w:hAnsi="Times New Roman" w:cs="Times New Roman"/>
        </w:rPr>
        <w:t xml:space="preserve"> of hip</w:t>
      </w:r>
      <w:r w:rsidR="0044221F" w:rsidRPr="009A1578">
        <w:rPr>
          <w:rFonts w:ascii="Times New Roman" w:hAnsi="Times New Roman" w:cs="Times New Roman"/>
        </w:rPr>
        <w:t>, humerus and wrist</w:t>
      </w:r>
      <w:r w:rsidRPr="009A1578">
        <w:rPr>
          <w:rFonts w:ascii="Times New Roman" w:hAnsi="Times New Roman" w:cs="Times New Roman"/>
        </w:rPr>
        <w:t xml:space="preserve"> fracture was associated with markers of inequality </w:t>
      </w:r>
      <w:r w:rsidR="0055479D" w:rsidRPr="009A1578">
        <w:rPr>
          <w:rFonts w:ascii="Times New Roman" w:hAnsi="Times New Roman" w:cs="Times New Roman"/>
        </w:rPr>
        <w:t>using data from Danish health r</w:t>
      </w:r>
      <w:r w:rsidRPr="009A1578">
        <w:rPr>
          <w:rFonts w:ascii="Times New Roman" w:hAnsi="Times New Roman" w:cs="Times New Roman"/>
        </w:rPr>
        <w:t>egistries.</w:t>
      </w:r>
      <w:r w:rsidR="00FC167E" w:rsidRPr="009A1578">
        <w:rPr>
          <w:rFonts w:ascii="Times New Roman" w:hAnsi="Times New Roman" w:cs="Times New Roman"/>
        </w:rPr>
        <w:t xml:space="preserve"> </w:t>
      </w:r>
    </w:p>
    <w:p w14:paraId="63609D56" w14:textId="48464B09" w:rsidR="006753D0" w:rsidRPr="009A1578" w:rsidRDefault="006753D0" w:rsidP="0051139C">
      <w:pPr>
        <w:spacing w:line="480" w:lineRule="auto"/>
        <w:jc w:val="both"/>
        <w:rPr>
          <w:rFonts w:ascii="Times New Roman" w:hAnsi="Times New Roman" w:cs="Times New Roman"/>
          <w:b/>
        </w:rPr>
      </w:pPr>
      <w:r w:rsidRPr="009A1578">
        <w:rPr>
          <w:rFonts w:ascii="Times New Roman" w:hAnsi="Times New Roman" w:cs="Times New Roman"/>
          <w:b/>
        </w:rPr>
        <w:t>Methods</w:t>
      </w:r>
    </w:p>
    <w:p w14:paraId="4BB97F98" w14:textId="3519399A" w:rsidR="006753D0" w:rsidRPr="009A1578" w:rsidRDefault="00D84FBD" w:rsidP="0051139C">
      <w:pPr>
        <w:spacing w:line="480" w:lineRule="auto"/>
        <w:jc w:val="both"/>
        <w:rPr>
          <w:rFonts w:ascii="Times New Roman" w:hAnsi="Times New Roman" w:cs="Times New Roman"/>
        </w:rPr>
      </w:pPr>
      <w:r w:rsidRPr="009A1578">
        <w:rPr>
          <w:rFonts w:ascii="Times New Roman" w:hAnsi="Times New Roman" w:cs="Times New Roman"/>
        </w:rPr>
        <w:t xml:space="preserve">All patients </w:t>
      </w:r>
      <w:r w:rsidR="00ED7E4A">
        <w:rPr>
          <w:rFonts w:ascii="Times New Roman" w:hAnsi="Times New Roman" w:cs="Times New Roman"/>
        </w:rPr>
        <w:t>5</w:t>
      </w:r>
      <w:r w:rsidRPr="009A1578">
        <w:rPr>
          <w:rFonts w:ascii="Times New Roman" w:hAnsi="Times New Roman" w:cs="Times New Roman"/>
        </w:rPr>
        <w:t xml:space="preserve">0 years or older with a primary hip (ICD10: S720, S721, </w:t>
      </w:r>
      <w:r w:rsidRPr="009A1578">
        <w:rPr>
          <w:rFonts w:ascii="Times New Roman" w:hAnsi="Times New Roman" w:cs="Times New Roman"/>
          <w:noProof/>
        </w:rPr>
        <w:t>S722</w:t>
      </w:r>
      <w:r w:rsidR="00445A8A" w:rsidRPr="009A1578">
        <w:rPr>
          <w:rFonts w:ascii="Times New Roman" w:hAnsi="Times New Roman" w:cs="Times New Roman"/>
          <w:noProof/>
        </w:rPr>
        <w:t>,</w:t>
      </w:r>
      <w:r w:rsidRPr="009A1578">
        <w:rPr>
          <w:rFonts w:ascii="Times New Roman" w:hAnsi="Times New Roman" w:cs="Times New Roman"/>
        </w:rPr>
        <w:t xml:space="preserve"> and S729)</w:t>
      </w:r>
      <w:r w:rsidR="00386E83" w:rsidRPr="009A1578">
        <w:rPr>
          <w:rFonts w:ascii="Times New Roman" w:hAnsi="Times New Roman" w:cs="Times New Roman"/>
        </w:rPr>
        <w:t xml:space="preserve"> humerus (ICD10: S422, S423, S424, S425, S426, and S427) or wrist (ICD10: S52) fracture</w:t>
      </w:r>
      <w:r w:rsidR="00122D27">
        <w:rPr>
          <w:rFonts w:ascii="Times New Roman" w:hAnsi="Times New Roman" w:cs="Times New Roman"/>
        </w:rPr>
        <w:t xml:space="preserve"> were identified from 1/1/1995 to 31/12/</w:t>
      </w:r>
      <w:r w:rsidRPr="009A1578">
        <w:rPr>
          <w:rFonts w:ascii="Times New Roman" w:hAnsi="Times New Roman" w:cs="Times New Roman"/>
        </w:rPr>
        <w:t xml:space="preserve">2011. </w:t>
      </w:r>
      <w:r w:rsidR="00386E83" w:rsidRPr="009A1578">
        <w:rPr>
          <w:rFonts w:ascii="Times New Roman" w:hAnsi="Times New Roman" w:cs="Times New Roman"/>
        </w:rPr>
        <w:t>F</w:t>
      </w:r>
      <w:r w:rsidRPr="009A1578">
        <w:rPr>
          <w:rFonts w:ascii="Times New Roman" w:hAnsi="Times New Roman" w:cs="Times New Roman"/>
        </w:rPr>
        <w:t xml:space="preserve">racture patients </w:t>
      </w:r>
      <w:r w:rsidR="00934254" w:rsidRPr="009A1578">
        <w:rPr>
          <w:rFonts w:ascii="Times New Roman" w:hAnsi="Times New Roman" w:cs="Times New Roman"/>
        </w:rPr>
        <w:t xml:space="preserve">were </w:t>
      </w:r>
      <w:r w:rsidRPr="009A1578">
        <w:rPr>
          <w:rFonts w:ascii="Times New Roman" w:hAnsi="Times New Roman" w:cs="Times New Roman"/>
        </w:rPr>
        <w:t xml:space="preserve">matched 1:1 </w:t>
      </w:r>
      <w:r w:rsidR="00934254" w:rsidRPr="009A1578">
        <w:rPr>
          <w:rFonts w:ascii="Times New Roman" w:hAnsi="Times New Roman" w:cs="Times New Roman"/>
        </w:rPr>
        <w:t>by</w:t>
      </w:r>
      <w:r w:rsidRPr="009A1578">
        <w:rPr>
          <w:rFonts w:ascii="Times New Roman" w:hAnsi="Times New Roman" w:cs="Times New Roman"/>
        </w:rPr>
        <w:t xml:space="preserve"> age, </w:t>
      </w:r>
      <w:r w:rsidR="00934254" w:rsidRPr="009A1578">
        <w:rPr>
          <w:rFonts w:ascii="Times New Roman" w:hAnsi="Times New Roman" w:cs="Times New Roman"/>
        </w:rPr>
        <w:t>sex</w:t>
      </w:r>
      <w:r w:rsidRPr="009A1578">
        <w:rPr>
          <w:rFonts w:ascii="Times New Roman" w:hAnsi="Times New Roman" w:cs="Times New Roman"/>
        </w:rPr>
        <w:t xml:space="preserve"> a</w:t>
      </w:r>
      <w:r w:rsidR="00862149" w:rsidRPr="009A1578">
        <w:rPr>
          <w:rFonts w:ascii="Times New Roman" w:hAnsi="Times New Roman" w:cs="Times New Roman"/>
        </w:rPr>
        <w:t>nd year of fracture</w:t>
      </w:r>
      <w:r w:rsidR="006753D0" w:rsidRPr="009A1578">
        <w:rPr>
          <w:rFonts w:ascii="Times New Roman" w:hAnsi="Times New Roman" w:cs="Times New Roman"/>
        </w:rPr>
        <w:t>,</w:t>
      </w:r>
      <w:r w:rsidR="00862149" w:rsidRPr="009A1578">
        <w:rPr>
          <w:rFonts w:ascii="Times New Roman" w:hAnsi="Times New Roman" w:cs="Times New Roman"/>
        </w:rPr>
        <w:t xml:space="preserve"> to </w:t>
      </w:r>
      <w:r w:rsidR="00862149" w:rsidRPr="009A1578">
        <w:rPr>
          <w:rFonts w:ascii="Times New Roman" w:hAnsi="Times New Roman" w:cs="Times New Roman"/>
          <w:noProof/>
        </w:rPr>
        <w:t>a non-</w:t>
      </w:r>
      <w:r w:rsidRPr="009A1578">
        <w:rPr>
          <w:rFonts w:ascii="Times New Roman" w:hAnsi="Times New Roman" w:cs="Times New Roman"/>
          <w:noProof/>
        </w:rPr>
        <w:t>fracture</w:t>
      </w:r>
      <w:r w:rsidRPr="009A1578">
        <w:rPr>
          <w:rFonts w:ascii="Times New Roman" w:hAnsi="Times New Roman" w:cs="Times New Roman"/>
        </w:rPr>
        <w:t xml:space="preserve"> control.</w:t>
      </w:r>
      <w:r w:rsidR="00FC167E" w:rsidRPr="009A1578">
        <w:rPr>
          <w:rFonts w:ascii="Times New Roman" w:hAnsi="Times New Roman" w:cs="Times New Roman"/>
        </w:rPr>
        <w:t xml:space="preserve"> </w:t>
      </w:r>
      <w:r w:rsidR="00FB725A" w:rsidRPr="009A1578">
        <w:rPr>
          <w:rFonts w:ascii="Times New Roman" w:hAnsi="Times New Roman" w:cs="Times New Roman"/>
        </w:rPr>
        <w:t xml:space="preserve">Markers of inequality were: </w:t>
      </w:r>
      <w:r w:rsidR="00590CB9" w:rsidRPr="009A1578">
        <w:rPr>
          <w:rFonts w:ascii="Times New Roman" w:hAnsi="Times New Roman" w:cs="Times New Roman"/>
        </w:rPr>
        <w:t>I</w:t>
      </w:r>
      <w:r w:rsidRPr="009A1578">
        <w:rPr>
          <w:rFonts w:ascii="Times New Roman" w:hAnsi="Times New Roman" w:cs="Times New Roman"/>
        </w:rPr>
        <w:t>ncome</w:t>
      </w:r>
      <w:r w:rsidR="006753D0" w:rsidRPr="009A1578">
        <w:rPr>
          <w:rFonts w:ascii="Times New Roman" w:hAnsi="Times New Roman" w:cs="Times New Roman"/>
        </w:rPr>
        <w:t xml:space="preserve"> (fifths)</w:t>
      </w:r>
      <w:r w:rsidR="00386E83" w:rsidRPr="009A1578">
        <w:rPr>
          <w:rFonts w:ascii="Times New Roman" w:hAnsi="Times New Roman" w:cs="Times New Roman"/>
        </w:rPr>
        <w:t xml:space="preserve">; </w:t>
      </w:r>
      <w:r w:rsidR="004B347B" w:rsidRPr="009A1578">
        <w:rPr>
          <w:rFonts w:ascii="Times New Roman" w:hAnsi="Times New Roman" w:cs="Times New Roman"/>
        </w:rPr>
        <w:t>marital</w:t>
      </w:r>
      <w:r w:rsidR="00386E83" w:rsidRPr="009A1578">
        <w:rPr>
          <w:rFonts w:ascii="Times New Roman" w:hAnsi="Times New Roman" w:cs="Times New Roman"/>
        </w:rPr>
        <w:t xml:space="preserve"> status</w:t>
      </w:r>
      <w:r w:rsidR="006753D0" w:rsidRPr="009A1578">
        <w:rPr>
          <w:rFonts w:ascii="Times New Roman" w:hAnsi="Times New Roman" w:cs="Times New Roman"/>
        </w:rPr>
        <w:t xml:space="preserve"> (</w:t>
      </w:r>
      <w:r w:rsidR="00386E83" w:rsidRPr="009A1578">
        <w:rPr>
          <w:rFonts w:ascii="Times New Roman" w:hAnsi="Times New Roman" w:cs="Times New Roman"/>
        </w:rPr>
        <w:t xml:space="preserve">married, divorced, widowed </w:t>
      </w:r>
      <w:r w:rsidR="006753D0" w:rsidRPr="009A1578">
        <w:rPr>
          <w:rFonts w:ascii="Times New Roman" w:hAnsi="Times New Roman" w:cs="Times New Roman"/>
        </w:rPr>
        <w:t xml:space="preserve">or </w:t>
      </w:r>
      <w:r w:rsidR="00386E83" w:rsidRPr="009A1578">
        <w:rPr>
          <w:rFonts w:ascii="Times New Roman" w:hAnsi="Times New Roman" w:cs="Times New Roman"/>
        </w:rPr>
        <w:t>unmarried</w:t>
      </w:r>
      <w:r w:rsidR="006753D0" w:rsidRPr="009A1578">
        <w:rPr>
          <w:rFonts w:ascii="Times New Roman" w:hAnsi="Times New Roman" w:cs="Times New Roman"/>
        </w:rPr>
        <w:t>)</w:t>
      </w:r>
      <w:r w:rsidR="00386E83" w:rsidRPr="009A1578">
        <w:rPr>
          <w:rFonts w:ascii="Times New Roman" w:hAnsi="Times New Roman" w:cs="Times New Roman"/>
        </w:rPr>
        <w:t>; area of residence</w:t>
      </w:r>
      <w:r w:rsidR="006753D0" w:rsidRPr="009A1578">
        <w:rPr>
          <w:rFonts w:ascii="Times New Roman" w:hAnsi="Times New Roman" w:cs="Times New Roman"/>
        </w:rPr>
        <w:t xml:space="preserve"> (</w:t>
      </w:r>
      <w:r w:rsidR="00D06D3C" w:rsidRPr="009A1578">
        <w:rPr>
          <w:rFonts w:ascii="Times New Roman" w:hAnsi="Times New Roman" w:cs="Times New Roman"/>
        </w:rPr>
        <w:t>remote, rural, intermediate or urban</w:t>
      </w:r>
      <w:r w:rsidR="006753D0" w:rsidRPr="009A1578">
        <w:rPr>
          <w:rFonts w:ascii="Times New Roman" w:hAnsi="Times New Roman" w:cs="Times New Roman"/>
        </w:rPr>
        <w:t>)</w:t>
      </w:r>
      <w:r w:rsidRPr="009A1578">
        <w:rPr>
          <w:rFonts w:ascii="Times New Roman" w:hAnsi="Times New Roman" w:cs="Times New Roman"/>
        </w:rPr>
        <w:t xml:space="preserve">. </w:t>
      </w:r>
      <w:r w:rsidR="00D06D3C" w:rsidRPr="009A1578">
        <w:rPr>
          <w:rFonts w:ascii="Times New Roman" w:hAnsi="Times New Roman" w:cs="Times New Roman"/>
        </w:rPr>
        <w:t>Conditional l</w:t>
      </w:r>
      <w:r w:rsidR="0055479D" w:rsidRPr="009A1578">
        <w:rPr>
          <w:rFonts w:ascii="Times New Roman" w:hAnsi="Times New Roman" w:cs="Times New Roman"/>
        </w:rPr>
        <w:t>ogistic</w:t>
      </w:r>
      <w:r w:rsidRPr="009A1578">
        <w:rPr>
          <w:rFonts w:ascii="Times New Roman" w:hAnsi="Times New Roman" w:cs="Times New Roman"/>
        </w:rPr>
        <w:t xml:space="preserve"> regression </w:t>
      </w:r>
      <w:r w:rsidR="00934254" w:rsidRPr="009A1578">
        <w:rPr>
          <w:rFonts w:ascii="Times New Roman" w:hAnsi="Times New Roman" w:cs="Times New Roman"/>
        </w:rPr>
        <w:t>was used to investigate associations</w:t>
      </w:r>
      <w:r w:rsidRPr="009A1578">
        <w:rPr>
          <w:rFonts w:ascii="Times New Roman" w:hAnsi="Times New Roman" w:cs="Times New Roman"/>
        </w:rPr>
        <w:t xml:space="preserve"> between </w:t>
      </w:r>
      <w:r w:rsidR="00122D27">
        <w:rPr>
          <w:rFonts w:ascii="Times New Roman" w:hAnsi="Times New Roman" w:cs="Times New Roman"/>
        </w:rPr>
        <w:t>these exposures</w:t>
      </w:r>
      <w:r w:rsidR="008611D2" w:rsidRPr="009A1578">
        <w:rPr>
          <w:rFonts w:ascii="Times New Roman" w:hAnsi="Times New Roman" w:cs="Times New Roman"/>
        </w:rPr>
        <w:t>,</w:t>
      </w:r>
      <w:r w:rsidRPr="009A1578">
        <w:rPr>
          <w:rFonts w:ascii="Times New Roman" w:hAnsi="Times New Roman" w:cs="Times New Roman"/>
        </w:rPr>
        <w:t xml:space="preserve"> and </w:t>
      </w:r>
      <w:r w:rsidR="0055479D" w:rsidRPr="009A1578">
        <w:rPr>
          <w:rFonts w:ascii="Times New Roman" w:hAnsi="Times New Roman" w:cs="Times New Roman"/>
        </w:rPr>
        <w:t>risk</w:t>
      </w:r>
      <w:r w:rsidRPr="009A1578">
        <w:rPr>
          <w:rFonts w:ascii="Times New Roman" w:hAnsi="Times New Roman" w:cs="Times New Roman"/>
        </w:rPr>
        <w:t xml:space="preserve"> of fracture, adjusting for co</w:t>
      </w:r>
      <w:r w:rsidR="0055479D" w:rsidRPr="009A1578">
        <w:rPr>
          <w:rFonts w:ascii="Times New Roman" w:hAnsi="Times New Roman" w:cs="Times New Roman"/>
        </w:rPr>
        <w:t>variates</w:t>
      </w:r>
      <w:r w:rsidRPr="009A1578">
        <w:rPr>
          <w:rFonts w:ascii="Times New Roman" w:hAnsi="Times New Roman" w:cs="Times New Roman"/>
        </w:rPr>
        <w:t xml:space="preserve"> (smoking, alcohol</w:t>
      </w:r>
      <w:r w:rsidR="006753D0" w:rsidRPr="009A1578">
        <w:rPr>
          <w:rFonts w:ascii="Times New Roman" w:hAnsi="Times New Roman" w:cs="Times New Roman"/>
        </w:rPr>
        <w:t xml:space="preserve"> </w:t>
      </w:r>
      <w:r w:rsidR="00CF4226" w:rsidRPr="009A1578">
        <w:rPr>
          <w:rFonts w:ascii="Times New Roman" w:hAnsi="Times New Roman" w:cs="Times New Roman"/>
        </w:rPr>
        <w:t>and</w:t>
      </w:r>
      <w:r w:rsidRPr="009A1578">
        <w:rPr>
          <w:rFonts w:ascii="Times New Roman" w:hAnsi="Times New Roman" w:cs="Times New Roman"/>
        </w:rPr>
        <w:t xml:space="preserve"> Charlson co-morbidity). Interactions were fitted between </w:t>
      </w:r>
      <w:r w:rsidR="0055479D" w:rsidRPr="009A1578">
        <w:rPr>
          <w:rFonts w:ascii="Times New Roman" w:hAnsi="Times New Roman" w:cs="Times New Roman"/>
        </w:rPr>
        <w:t xml:space="preserve">exposure and covariates where appropriate. </w:t>
      </w:r>
    </w:p>
    <w:p w14:paraId="6C14452D" w14:textId="77777777" w:rsidR="006753D0" w:rsidRPr="009A1578" w:rsidRDefault="006753D0" w:rsidP="0051139C">
      <w:pPr>
        <w:spacing w:line="480" w:lineRule="auto"/>
        <w:jc w:val="both"/>
        <w:rPr>
          <w:rFonts w:ascii="Times New Roman" w:hAnsi="Times New Roman" w:cs="Times New Roman"/>
          <w:b/>
        </w:rPr>
      </w:pPr>
      <w:r w:rsidRPr="009A1578">
        <w:rPr>
          <w:rFonts w:ascii="Times New Roman" w:hAnsi="Times New Roman" w:cs="Times New Roman"/>
          <w:b/>
        </w:rPr>
        <w:t>Results</w:t>
      </w:r>
    </w:p>
    <w:p w14:paraId="2A3B29FA" w14:textId="4B971A9D" w:rsidR="006753D0" w:rsidRPr="009A1578" w:rsidRDefault="00795D69" w:rsidP="0051139C">
      <w:pPr>
        <w:spacing w:line="480" w:lineRule="auto"/>
        <w:jc w:val="both"/>
        <w:rPr>
          <w:rFonts w:ascii="Times New Roman" w:hAnsi="Times New Roman" w:cs="Times New Roman"/>
        </w:rPr>
      </w:pPr>
      <w:r w:rsidRPr="009A1578">
        <w:rPr>
          <w:rFonts w:ascii="Times New Roman" w:hAnsi="Times New Roman" w:cs="Times New Roman"/>
        </w:rPr>
        <w:t>A total of</w:t>
      </w:r>
      <w:r w:rsidR="0055479D" w:rsidRPr="009A1578">
        <w:rPr>
          <w:rFonts w:ascii="Times New Roman" w:hAnsi="Times New Roman" w:cs="Times New Roman"/>
        </w:rPr>
        <w:t xml:space="preserve"> </w:t>
      </w:r>
      <w:r w:rsidR="00FB725A" w:rsidRPr="009A1578">
        <w:rPr>
          <w:rFonts w:ascii="Times New Roman" w:hAnsi="Times New Roman" w:cs="Times New Roman"/>
        </w:rPr>
        <w:t>189,838</w:t>
      </w:r>
      <w:r w:rsidR="00D84FBD" w:rsidRPr="009A1578">
        <w:rPr>
          <w:rFonts w:ascii="Times New Roman" w:hAnsi="Times New Roman" w:cs="Times New Roman"/>
        </w:rPr>
        <w:t xml:space="preserve"> fracture patients </w:t>
      </w:r>
      <w:r w:rsidR="00590CB9" w:rsidRPr="009A1578">
        <w:rPr>
          <w:rFonts w:ascii="Times New Roman" w:hAnsi="Times New Roman" w:cs="Times New Roman"/>
        </w:rPr>
        <w:t>(</w:t>
      </w:r>
      <w:r w:rsidR="009D4362" w:rsidRPr="009A1578">
        <w:rPr>
          <w:rFonts w:ascii="Times New Roman" w:hAnsi="Times New Roman" w:cs="Times New Roman"/>
        </w:rPr>
        <w:t>37,500</w:t>
      </w:r>
      <w:r w:rsidR="00590CB9" w:rsidRPr="009A1578">
        <w:rPr>
          <w:rFonts w:ascii="Times New Roman" w:hAnsi="Times New Roman" w:cs="Times New Roman"/>
        </w:rPr>
        <w:t xml:space="preserve"> hip</w:t>
      </w:r>
      <w:r w:rsidR="006753D0" w:rsidRPr="009A1578">
        <w:rPr>
          <w:rFonts w:ascii="Times New Roman" w:hAnsi="Times New Roman" w:cs="Times New Roman"/>
        </w:rPr>
        <w:t>;</w:t>
      </w:r>
      <w:r w:rsidR="00590CB9" w:rsidRPr="009A1578">
        <w:rPr>
          <w:rFonts w:ascii="Times New Roman" w:hAnsi="Times New Roman" w:cs="Times New Roman"/>
        </w:rPr>
        <w:t xml:space="preserve"> </w:t>
      </w:r>
      <w:r w:rsidR="00386620" w:rsidRPr="009A1578">
        <w:rPr>
          <w:rFonts w:ascii="Times New Roman" w:hAnsi="Times New Roman" w:cs="Times New Roman"/>
        </w:rPr>
        <w:t>45,602</w:t>
      </w:r>
      <w:r w:rsidR="00590CB9" w:rsidRPr="009A1578">
        <w:rPr>
          <w:rFonts w:ascii="Times New Roman" w:hAnsi="Times New Roman" w:cs="Times New Roman"/>
        </w:rPr>
        <w:t xml:space="preserve"> humerus</w:t>
      </w:r>
      <w:r w:rsidR="006753D0" w:rsidRPr="009A1578">
        <w:rPr>
          <w:rFonts w:ascii="Times New Roman" w:hAnsi="Times New Roman" w:cs="Times New Roman"/>
        </w:rPr>
        <w:t>;</w:t>
      </w:r>
      <w:r w:rsidR="00590CB9" w:rsidRPr="009A1578">
        <w:rPr>
          <w:rFonts w:ascii="Times New Roman" w:hAnsi="Times New Roman" w:cs="Times New Roman"/>
        </w:rPr>
        <w:t xml:space="preserve"> and </w:t>
      </w:r>
      <w:r w:rsidR="00F96B91" w:rsidRPr="009A1578">
        <w:rPr>
          <w:rFonts w:ascii="Times New Roman" w:hAnsi="Times New Roman" w:cs="Times New Roman"/>
        </w:rPr>
        <w:t>106,736</w:t>
      </w:r>
      <w:r w:rsidR="00590CB9" w:rsidRPr="009A1578">
        <w:rPr>
          <w:rFonts w:ascii="Times New Roman" w:hAnsi="Times New Roman" w:cs="Times New Roman"/>
        </w:rPr>
        <w:t xml:space="preserve"> wrist) </w:t>
      </w:r>
      <w:r w:rsidR="00D84FBD" w:rsidRPr="009A1578">
        <w:rPr>
          <w:rFonts w:ascii="Times New Roman" w:hAnsi="Times New Roman" w:cs="Times New Roman"/>
        </w:rPr>
        <w:t xml:space="preserve">and </w:t>
      </w:r>
      <w:r w:rsidR="00FB725A" w:rsidRPr="009A1578">
        <w:rPr>
          <w:rFonts w:ascii="Times New Roman" w:hAnsi="Times New Roman" w:cs="Times New Roman"/>
        </w:rPr>
        <w:t xml:space="preserve">189,838 </w:t>
      </w:r>
      <w:r w:rsidR="00D84FBD" w:rsidRPr="009A1578">
        <w:rPr>
          <w:rFonts w:ascii="Times New Roman" w:hAnsi="Times New Roman" w:cs="Times New Roman"/>
        </w:rPr>
        <w:t xml:space="preserve">controls </w:t>
      </w:r>
      <w:r w:rsidRPr="009A1578">
        <w:rPr>
          <w:rFonts w:ascii="Times New Roman" w:hAnsi="Times New Roman" w:cs="Times New Roman"/>
        </w:rPr>
        <w:t>were included</w:t>
      </w:r>
      <w:r w:rsidR="00D84FBD" w:rsidRPr="009A1578">
        <w:rPr>
          <w:rFonts w:ascii="Times New Roman" w:hAnsi="Times New Roman" w:cs="Times New Roman"/>
        </w:rPr>
        <w:t>.</w:t>
      </w:r>
      <w:r w:rsidRPr="009A1578">
        <w:rPr>
          <w:rFonts w:ascii="Times New Roman" w:hAnsi="Times New Roman" w:cs="Times New Roman"/>
        </w:rPr>
        <w:t xml:space="preserve"> </w:t>
      </w:r>
      <w:r w:rsidR="00FB725A" w:rsidRPr="009A1578">
        <w:rPr>
          <w:rFonts w:ascii="Times New Roman" w:hAnsi="Times New Roman" w:cs="Times New Roman"/>
        </w:rPr>
        <w:t>Mean age was 73.9 years (hip)</w:t>
      </w:r>
      <w:r w:rsidR="006753D0" w:rsidRPr="009A1578">
        <w:rPr>
          <w:rFonts w:ascii="Times New Roman" w:hAnsi="Times New Roman" w:cs="Times New Roman"/>
        </w:rPr>
        <w:t>,</w:t>
      </w:r>
      <w:r w:rsidR="00FB725A" w:rsidRPr="009A1578">
        <w:rPr>
          <w:rFonts w:ascii="Times New Roman" w:hAnsi="Times New Roman" w:cs="Times New Roman"/>
        </w:rPr>
        <w:t xml:space="preserve"> 67.5 years (humerus)</w:t>
      </w:r>
      <w:r w:rsidR="006753D0" w:rsidRPr="009A1578">
        <w:rPr>
          <w:rFonts w:ascii="Times New Roman" w:hAnsi="Times New Roman" w:cs="Times New Roman"/>
        </w:rPr>
        <w:t>,</w:t>
      </w:r>
      <w:r w:rsidR="00FB725A" w:rsidRPr="009A1578">
        <w:rPr>
          <w:rFonts w:ascii="Times New Roman" w:hAnsi="Times New Roman" w:cs="Times New Roman"/>
        </w:rPr>
        <w:t xml:space="preserve"> and 65.3 years (wrist). </w:t>
      </w:r>
      <w:r w:rsidR="002A6CA7" w:rsidRPr="009A1578">
        <w:rPr>
          <w:rFonts w:ascii="Times New Roman" w:hAnsi="Times New Roman" w:cs="Times New Roman"/>
        </w:rPr>
        <w:t xml:space="preserve">High </w:t>
      </w:r>
      <w:r w:rsidR="00FE3BD7" w:rsidRPr="009A1578">
        <w:rPr>
          <w:rFonts w:ascii="Times New Roman" w:hAnsi="Times New Roman" w:cs="Times New Roman"/>
        </w:rPr>
        <w:t xml:space="preserve">income </w:t>
      </w:r>
      <w:r w:rsidR="002A6CA7" w:rsidRPr="009A1578">
        <w:rPr>
          <w:rFonts w:ascii="Times New Roman" w:hAnsi="Times New Roman" w:cs="Times New Roman"/>
        </w:rPr>
        <w:t>(5</w:t>
      </w:r>
      <w:r w:rsidR="002A6CA7" w:rsidRPr="009A1578">
        <w:rPr>
          <w:rFonts w:ascii="Times New Roman" w:hAnsi="Times New Roman" w:cs="Times New Roman"/>
          <w:vertAlign w:val="superscript"/>
        </w:rPr>
        <w:t>th</w:t>
      </w:r>
      <w:r w:rsidR="002A6CA7" w:rsidRPr="009A1578">
        <w:rPr>
          <w:rFonts w:ascii="Times New Roman" w:hAnsi="Times New Roman" w:cs="Times New Roman"/>
        </w:rPr>
        <w:t xml:space="preserve"> quintile) </w:t>
      </w:r>
      <w:r w:rsidR="00FE3BD7" w:rsidRPr="009A1578">
        <w:rPr>
          <w:rFonts w:ascii="Times New Roman" w:hAnsi="Times New Roman" w:cs="Times New Roman"/>
        </w:rPr>
        <w:t>was significantly associated with</w:t>
      </w:r>
      <w:r w:rsidR="00460F59" w:rsidRPr="009A1578">
        <w:rPr>
          <w:rFonts w:ascii="Times New Roman" w:hAnsi="Times New Roman" w:cs="Times New Roman"/>
        </w:rPr>
        <w:t xml:space="preserve"> a</w:t>
      </w:r>
      <w:r w:rsidR="00FE3BD7" w:rsidRPr="009A1578">
        <w:rPr>
          <w:rFonts w:ascii="Times New Roman" w:hAnsi="Times New Roman" w:cs="Times New Roman"/>
        </w:rPr>
        <w:t xml:space="preserve"> </w:t>
      </w:r>
      <w:r w:rsidR="00FE3BD7" w:rsidRPr="009A1578">
        <w:rPr>
          <w:rFonts w:ascii="Times New Roman" w:hAnsi="Times New Roman" w:cs="Times New Roman"/>
          <w:noProof/>
        </w:rPr>
        <w:t>lower odds ratio</w:t>
      </w:r>
      <w:r w:rsidR="00FE3BD7" w:rsidRPr="009A1578">
        <w:rPr>
          <w:rFonts w:ascii="Times New Roman" w:hAnsi="Times New Roman" w:cs="Times New Roman"/>
        </w:rPr>
        <w:t xml:space="preserve"> of all three fractures, compared </w:t>
      </w:r>
      <w:r w:rsidR="00C82E86">
        <w:rPr>
          <w:rFonts w:ascii="Times New Roman" w:hAnsi="Times New Roman" w:cs="Times New Roman"/>
        </w:rPr>
        <w:t xml:space="preserve">to </w:t>
      </w:r>
      <w:r w:rsidR="00FE3BD7" w:rsidRPr="009A1578">
        <w:rPr>
          <w:rFonts w:ascii="Times New Roman" w:hAnsi="Times New Roman" w:cs="Times New Roman"/>
        </w:rPr>
        <w:t>average income (3</w:t>
      </w:r>
      <w:r w:rsidR="00FE3BD7" w:rsidRPr="009A1578">
        <w:rPr>
          <w:rFonts w:ascii="Times New Roman" w:hAnsi="Times New Roman" w:cs="Times New Roman"/>
          <w:vertAlign w:val="superscript"/>
        </w:rPr>
        <w:t>rd</w:t>
      </w:r>
      <w:r w:rsidR="00FE3BD7" w:rsidRPr="009A1578">
        <w:rPr>
          <w:rFonts w:ascii="Times New Roman" w:hAnsi="Times New Roman" w:cs="Times New Roman"/>
        </w:rPr>
        <w:t xml:space="preserve"> quintile). </w:t>
      </w:r>
      <w:r w:rsidR="002A6CA7" w:rsidRPr="009A1578">
        <w:rPr>
          <w:rFonts w:ascii="Times New Roman" w:hAnsi="Times New Roman" w:cs="Times New Roman"/>
        </w:rPr>
        <w:t>M</w:t>
      </w:r>
      <w:r w:rsidR="00FE3BD7" w:rsidRPr="009A1578">
        <w:rPr>
          <w:rFonts w:ascii="Times New Roman" w:hAnsi="Times New Roman" w:cs="Times New Roman"/>
        </w:rPr>
        <w:t xml:space="preserve">arried </w:t>
      </w:r>
      <w:r w:rsidR="002A6CA7" w:rsidRPr="009A1578">
        <w:rPr>
          <w:rFonts w:ascii="Times New Roman" w:hAnsi="Times New Roman" w:cs="Times New Roman"/>
        </w:rPr>
        <w:t>subjects had</w:t>
      </w:r>
      <w:r w:rsidR="00FE3BD7" w:rsidRPr="009A1578">
        <w:rPr>
          <w:rFonts w:ascii="Times New Roman" w:hAnsi="Times New Roman" w:cs="Times New Roman"/>
        </w:rPr>
        <w:t xml:space="preserve"> a significantly </w:t>
      </w:r>
      <w:r w:rsidR="002A6CA7" w:rsidRPr="009A1578">
        <w:rPr>
          <w:rFonts w:ascii="Times New Roman" w:hAnsi="Times New Roman" w:cs="Times New Roman"/>
        </w:rPr>
        <w:t>decreased</w:t>
      </w:r>
      <w:r w:rsidR="00FE3BD7" w:rsidRPr="009A1578">
        <w:rPr>
          <w:rFonts w:ascii="Times New Roman" w:hAnsi="Times New Roman" w:cs="Times New Roman"/>
        </w:rPr>
        <w:t xml:space="preserve"> odds ratio across all three fractures.</w:t>
      </w:r>
      <w:r w:rsidR="002A6CA7" w:rsidRPr="009A1578">
        <w:rPr>
          <w:rFonts w:ascii="Times New Roman" w:hAnsi="Times New Roman" w:cs="Times New Roman"/>
        </w:rPr>
        <w:t xml:space="preserve"> </w:t>
      </w:r>
      <w:r w:rsidR="00313AFA" w:rsidRPr="009A1578">
        <w:rPr>
          <w:rFonts w:ascii="Times New Roman" w:hAnsi="Times New Roman" w:cs="Times New Roman"/>
        </w:rPr>
        <w:t>However</w:t>
      </w:r>
      <w:r w:rsidR="002A6CA7" w:rsidRPr="009A1578">
        <w:rPr>
          <w:rFonts w:ascii="Times New Roman" w:hAnsi="Times New Roman" w:cs="Times New Roman"/>
        </w:rPr>
        <w:t xml:space="preserve">, no overall secular difference was observed </w:t>
      </w:r>
      <w:r w:rsidR="00B57D5D" w:rsidRPr="009A1578">
        <w:rPr>
          <w:rFonts w:ascii="Times New Roman" w:hAnsi="Times New Roman" w:cs="Times New Roman"/>
        </w:rPr>
        <w:t xml:space="preserve">regarding the influence of </w:t>
      </w:r>
      <w:r w:rsidR="002A6CA7" w:rsidRPr="009A1578">
        <w:rPr>
          <w:rFonts w:ascii="Times New Roman" w:hAnsi="Times New Roman" w:cs="Times New Roman"/>
        </w:rPr>
        <w:t>the markers of inequality.</w:t>
      </w:r>
      <w:r w:rsidR="00FC167E" w:rsidRPr="009A1578">
        <w:rPr>
          <w:rFonts w:ascii="Times New Roman" w:hAnsi="Times New Roman" w:cs="Times New Roman"/>
        </w:rPr>
        <w:t xml:space="preserve"> </w:t>
      </w:r>
    </w:p>
    <w:p w14:paraId="60C908C8" w14:textId="77777777" w:rsidR="006753D0" w:rsidRPr="009A1578" w:rsidRDefault="006753D0" w:rsidP="0051139C">
      <w:pPr>
        <w:spacing w:line="480" w:lineRule="auto"/>
        <w:jc w:val="both"/>
        <w:rPr>
          <w:rFonts w:ascii="Times New Roman" w:hAnsi="Times New Roman" w:cs="Times New Roman"/>
          <w:b/>
        </w:rPr>
      </w:pPr>
      <w:r w:rsidRPr="009A1578">
        <w:rPr>
          <w:rFonts w:ascii="Times New Roman" w:hAnsi="Times New Roman" w:cs="Times New Roman"/>
          <w:b/>
        </w:rPr>
        <w:t>Conclusion</w:t>
      </w:r>
    </w:p>
    <w:p w14:paraId="7A0E887D" w14:textId="1F2E8597" w:rsidR="0051139C" w:rsidRPr="009A1578" w:rsidRDefault="007625EF" w:rsidP="0051139C">
      <w:pPr>
        <w:spacing w:line="480" w:lineRule="auto"/>
        <w:jc w:val="both"/>
        <w:rPr>
          <w:rFonts w:ascii="Times New Roman" w:hAnsi="Times New Roman" w:cs="Times New Roman"/>
        </w:rPr>
      </w:pPr>
      <w:r w:rsidRPr="009A1578">
        <w:rPr>
          <w:rFonts w:ascii="Times New Roman" w:hAnsi="Times New Roman" w:cs="Times New Roman"/>
        </w:rPr>
        <w:lastRenderedPageBreak/>
        <w:t>I</w:t>
      </w:r>
      <w:r w:rsidR="0051139C" w:rsidRPr="009A1578">
        <w:rPr>
          <w:rFonts w:ascii="Times New Roman" w:hAnsi="Times New Roman" w:cs="Times New Roman"/>
        </w:rPr>
        <w:t xml:space="preserve">n conclusion, we have demonstrated </w:t>
      </w:r>
      <w:r w:rsidR="0051139C" w:rsidRPr="00A16C16">
        <w:rPr>
          <w:rFonts w:ascii="Times New Roman" w:hAnsi="Times New Roman" w:cs="Times New Roman"/>
          <w:noProof/>
        </w:rPr>
        <w:t>important</w:t>
      </w:r>
      <w:r w:rsidR="00313AFA" w:rsidRPr="009A1578">
        <w:rPr>
          <w:rFonts w:ascii="Times New Roman" w:hAnsi="Times New Roman" w:cs="Times New Roman"/>
        </w:rPr>
        <w:t xml:space="preserve">, stable </w:t>
      </w:r>
      <w:r w:rsidR="0051139C" w:rsidRPr="009A1578">
        <w:rPr>
          <w:rFonts w:ascii="Times New Roman" w:hAnsi="Times New Roman" w:cs="Times New Roman"/>
        </w:rPr>
        <w:t>associations between social inequality, assessed using income</w:t>
      </w:r>
      <w:r w:rsidR="00590CB9" w:rsidRPr="009A1578">
        <w:rPr>
          <w:rFonts w:ascii="Times New Roman" w:hAnsi="Times New Roman" w:cs="Times New Roman"/>
        </w:rPr>
        <w:t xml:space="preserve">, </w:t>
      </w:r>
      <w:r w:rsidR="00FC167E" w:rsidRPr="009A1578">
        <w:rPr>
          <w:rFonts w:ascii="Times New Roman" w:hAnsi="Times New Roman" w:cs="Times New Roman"/>
        </w:rPr>
        <w:t>marital</w:t>
      </w:r>
      <w:r w:rsidR="00590CB9" w:rsidRPr="009A1578">
        <w:rPr>
          <w:rFonts w:ascii="Times New Roman" w:hAnsi="Times New Roman" w:cs="Times New Roman"/>
        </w:rPr>
        <w:t xml:space="preserve"> status,</w:t>
      </w:r>
      <w:r w:rsidR="0051139C" w:rsidRPr="009A1578">
        <w:rPr>
          <w:rFonts w:ascii="Times New Roman" w:hAnsi="Times New Roman" w:cs="Times New Roman"/>
        </w:rPr>
        <w:t xml:space="preserve"> and</w:t>
      </w:r>
      <w:r w:rsidR="00590CB9" w:rsidRPr="009A1578">
        <w:rPr>
          <w:rFonts w:ascii="Times New Roman" w:hAnsi="Times New Roman" w:cs="Times New Roman"/>
        </w:rPr>
        <w:t xml:space="preserve"> area of residence</w:t>
      </w:r>
      <w:r w:rsidR="0051139C" w:rsidRPr="009A1578">
        <w:rPr>
          <w:rFonts w:ascii="Times New Roman" w:hAnsi="Times New Roman" w:cs="Times New Roman"/>
        </w:rPr>
        <w:t>, and fracture at the p</w:t>
      </w:r>
      <w:r w:rsidR="00F94B61" w:rsidRPr="009A1578">
        <w:rPr>
          <w:rFonts w:ascii="Times New Roman" w:hAnsi="Times New Roman" w:cs="Times New Roman"/>
        </w:rPr>
        <w:t>opulation level. These findings</w:t>
      </w:r>
      <w:r w:rsidR="0051139C" w:rsidRPr="009A1578">
        <w:rPr>
          <w:rFonts w:ascii="Times New Roman" w:hAnsi="Times New Roman" w:cs="Times New Roman"/>
        </w:rPr>
        <w:t xml:space="preserve"> can inform approaches to healthcare, and suggest that much thought should be given to novel interventions ai</w:t>
      </w:r>
      <w:r w:rsidR="00590CB9" w:rsidRPr="009A1578">
        <w:rPr>
          <w:rFonts w:ascii="Times New Roman" w:hAnsi="Times New Roman" w:cs="Times New Roman"/>
        </w:rPr>
        <w:t>med</w:t>
      </w:r>
      <w:r w:rsidR="00FC167E" w:rsidRPr="009A1578">
        <w:rPr>
          <w:rFonts w:ascii="Times New Roman" w:hAnsi="Times New Roman" w:cs="Times New Roman"/>
        </w:rPr>
        <w:t xml:space="preserve"> </w:t>
      </w:r>
      <w:r w:rsidR="00FC167E" w:rsidRPr="009A1578">
        <w:rPr>
          <w:rFonts w:ascii="Times New Roman" w:hAnsi="Times New Roman" w:cs="Times New Roman"/>
          <w:noProof/>
        </w:rPr>
        <w:t>especially</w:t>
      </w:r>
      <w:r w:rsidR="00590CB9" w:rsidRPr="009A1578">
        <w:rPr>
          <w:rFonts w:ascii="Times New Roman" w:hAnsi="Times New Roman" w:cs="Times New Roman"/>
        </w:rPr>
        <w:t xml:space="preserve"> at those living alone</w:t>
      </w:r>
      <w:r w:rsidR="0051139C" w:rsidRPr="009A1578">
        <w:rPr>
          <w:rFonts w:ascii="Times New Roman" w:hAnsi="Times New Roman" w:cs="Times New Roman"/>
        </w:rPr>
        <w:t>, and ideally societal measures to reduce social inequality.</w:t>
      </w:r>
    </w:p>
    <w:p w14:paraId="0A912177" w14:textId="77777777" w:rsidR="0001247A" w:rsidRPr="009A1578" w:rsidRDefault="0001247A" w:rsidP="0051139C">
      <w:pPr>
        <w:spacing w:line="480" w:lineRule="auto"/>
        <w:jc w:val="both"/>
        <w:rPr>
          <w:rFonts w:ascii="Times New Roman" w:hAnsi="Times New Roman" w:cs="Times New Roman"/>
        </w:rPr>
      </w:pPr>
    </w:p>
    <w:p w14:paraId="70503131" w14:textId="77777777" w:rsidR="006753D0" w:rsidRPr="009A1578" w:rsidRDefault="00956D76" w:rsidP="00934254">
      <w:pPr>
        <w:spacing w:line="480" w:lineRule="auto"/>
        <w:jc w:val="both"/>
        <w:rPr>
          <w:rFonts w:ascii="Times New Roman" w:hAnsi="Times New Roman" w:cs="Times New Roman"/>
        </w:rPr>
      </w:pPr>
      <w:r w:rsidRPr="009A1578">
        <w:rPr>
          <w:rFonts w:ascii="Times New Roman" w:hAnsi="Times New Roman" w:cs="Times New Roman"/>
          <w:b/>
        </w:rPr>
        <w:t>Keywords:</w:t>
      </w:r>
      <w:r w:rsidR="00934254" w:rsidRPr="009A1578">
        <w:rPr>
          <w:rFonts w:ascii="Times New Roman" w:hAnsi="Times New Roman" w:cs="Times New Roman"/>
          <w:b/>
        </w:rPr>
        <w:t xml:space="preserve"> </w:t>
      </w:r>
      <w:r w:rsidR="00934254" w:rsidRPr="009A1578">
        <w:rPr>
          <w:rFonts w:ascii="Times New Roman" w:hAnsi="Times New Roman" w:cs="Times New Roman"/>
        </w:rPr>
        <w:t xml:space="preserve">Osteoporosis; epidemiology; </w:t>
      </w:r>
      <w:r w:rsidR="00590CB9" w:rsidRPr="009A1578">
        <w:rPr>
          <w:rFonts w:ascii="Times New Roman" w:hAnsi="Times New Roman" w:cs="Times New Roman"/>
        </w:rPr>
        <w:t>fracture; inequality</w:t>
      </w:r>
      <w:r w:rsidR="00934254" w:rsidRPr="009A1578">
        <w:rPr>
          <w:rFonts w:ascii="Times New Roman" w:hAnsi="Times New Roman" w:cs="Times New Roman"/>
        </w:rPr>
        <w:t>; social economic</w:t>
      </w:r>
    </w:p>
    <w:p w14:paraId="581EA535" w14:textId="77777777" w:rsidR="00785FF7" w:rsidRPr="009A1578" w:rsidRDefault="00785FF7" w:rsidP="00934254">
      <w:pPr>
        <w:spacing w:line="480" w:lineRule="auto"/>
        <w:jc w:val="both"/>
        <w:rPr>
          <w:rFonts w:ascii="Times New Roman" w:hAnsi="Times New Roman" w:cs="Times New Roman"/>
        </w:rPr>
      </w:pPr>
    </w:p>
    <w:p w14:paraId="2AB4C77C" w14:textId="1450D31A" w:rsidR="00785FF7" w:rsidRPr="009A1578" w:rsidRDefault="00785FF7" w:rsidP="00934254">
      <w:pPr>
        <w:spacing w:line="480" w:lineRule="auto"/>
        <w:jc w:val="both"/>
        <w:rPr>
          <w:rFonts w:ascii="Times New Roman" w:hAnsi="Times New Roman" w:cs="Times New Roman"/>
          <w:b/>
        </w:rPr>
      </w:pPr>
      <w:r w:rsidRPr="009A1578">
        <w:rPr>
          <w:rFonts w:ascii="Times New Roman" w:hAnsi="Times New Roman" w:cs="Times New Roman"/>
          <w:b/>
        </w:rPr>
        <w:t>Summary</w:t>
      </w:r>
    </w:p>
    <w:p w14:paraId="7455A2BB" w14:textId="0081A61E" w:rsidR="00785FF7" w:rsidRPr="009A1578" w:rsidRDefault="00785FF7" w:rsidP="00934254">
      <w:pPr>
        <w:spacing w:line="480" w:lineRule="auto"/>
        <w:jc w:val="both"/>
        <w:rPr>
          <w:rFonts w:ascii="Times New Roman" w:hAnsi="Times New Roman" w:cs="Times New Roman"/>
        </w:rPr>
      </w:pPr>
      <w:r w:rsidRPr="009A1578">
        <w:rPr>
          <w:rFonts w:ascii="Times New Roman" w:hAnsi="Times New Roman" w:cs="Times New Roman"/>
        </w:rPr>
        <w:t xml:space="preserve">We examined links between markers of social inequality and fracture risk in the Danish population, demonstrating that high income and being married </w:t>
      </w:r>
      <w:r w:rsidR="00460F59" w:rsidRPr="009A1578">
        <w:rPr>
          <w:rFonts w:ascii="Times New Roman" w:hAnsi="Times New Roman" w:cs="Times New Roman"/>
        </w:rPr>
        <w:t>are associated with a significantly lower risk.</w:t>
      </w:r>
    </w:p>
    <w:p w14:paraId="6800908E" w14:textId="77777777" w:rsidR="006753D0" w:rsidRPr="009A1578" w:rsidRDefault="006753D0" w:rsidP="00934254">
      <w:pPr>
        <w:spacing w:line="480" w:lineRule="auto"/>
        <w:jc w:val="both"/>
        <w:rPr>
          <w:rFonts w:ascii="Times New Roman" w:hAnsi="Times New Roman" w:cs="Times New Roman"/>
        </w:rPr>
      </w:pPr>
    </w:p>
    <w:p w14:paraId="56C3C8A9" w14:textId="77777777" w:rsidR="006753D0" w:rsidRPr="009A1578" w:rsidRDefault="006753D0" w:rsidP="00934254">
      <w:pPr>
        <w:spacing w:line="480" w:lineRule="auto"/>
        <w:jc w:val="both"/>
        <w:rPr>
          <w:rFonts w:ascii="Times New Roman" w:hAnsi="Times New Roman" w:cs="Times New Roman"/>
          <w:b/>
        </w:rPr>
      </w:pPr>
      <w:r w:rsidRPr="009A1578">
        <w:rPr>
          <w:rFonts w:ascii="Times New Roman" w:hAnsi="Times New Roman" w:cs="Times New Roman"/>
          <w:b/>
        </w:rPr>
        <w:t>Disclosures</w:t>
      </w:r>
    </w:p>
    <w:p w14:paraId="08F04335" w14:textId="13C1F088" w:rsidR="006753D0" w:rsidRPr="009A1578" w:rsidRDefault="006753D0" w:rsidP="006753D0">
      <w:pPr>
        <w:spacing w:line="480" w:lineRule="auto"/>
        <w:rPr>
          <w:rFonts w:ascii="Times New Roman" w:hAnsi="Times New Roman" w:cs="Times New Roman"/>
        </w:rPr>
      </w:pPr>
      <w:r w:rsidRPr="009A1578">
        <w:rPr>
          <w:rFonts w:ascii="Times New Roman" w:hAnsi="Times New Roman" w:cs="Times New Roman"/>
        </w:rPr>
        <w:t>Louise Hansen, Andrew Judge, M Kassim Javaid, Cyrus Cooper, Peter Vestergaard, Nicholas C Harvey declare that they have no conflicts of interest.</w:t>
      </w:r>
      <w:r w:rsidR="003C2ED2" w:rsidRPr="009A1578">
        <w:rPr>
          <w:rFonts w:ascii="Times New Roman" w:hAnsi="Times New Roman" w:cs="Times New Roman"/>
        </w:rPr>
        <w:t xml:space="preserve"> Bo Abrahamsen has institutional research grants from UCB and Novartis with funds paid to the institution.</w:t>
      </w:r>
    </w:p>
    <w:p w14:paraId="6B9AD0F9" w14:textId="044F0AB8" w:rsidR="00956D76" w:rsidRPr="009A1578" w:rsidRDefault="006753D0" w:rsidP="00934254">
      <w:pPr>
        <w:spacing w:line="480" w:lineRule="auto"/>
        <w:jc w:val="both"/>
        <w:rPr>
          <w:rFonts w:ascii="Times New Roman" w:hAnsi="Times New Roman" w:cs="Times New Roman"/>
          <w:b/>
        </w:rPr>
      </w:pPr>
      <w:r w:rsidRPr="009A1578">
        <w:rPr>
          <w:rFonts w:ascii="Times New Roman" w:hAnsi="Times New Roman" w:cs="Times New Roman"/>
          <w:b/>
        </w:rPr>
        <w:t xml:space="preserve"> </w:t>
      </w:r>
      <w:r w:rsidR="00956D76" w:rsidRPr="009A1578">
        <w:rPr>
          <w:rFonts w:ascii="Times New Roman" w:hAnsi="Times New Roman" w:cs="Times New Roman"/>
          <w:b/>
        </w:rPr>
        <w:br w:type="page"/>
      </w:r>
    </w:p>
    <w:p w14:paraId="73980AD0" w14:textId="4D3880CF" w:rsidR="00956D76" w:rsidRPr="009A1578" w:rsidRDefault="00956D76" w:rsidP="00934254">
      <w:pPr>
        <w:spacing w:line="480" w:lineRule="auto"/>
        <w:jc w:val="both"/>
        <w:rPr>
          <w:rFonts w:ascii="Times New Roman" w:hAnsi="Times New Roman" w:cs="Times New Roman"/>
          <w:b/>
        </w:rPr>
      </w:pPr>
      <w:r w:rsidRPr="009A1578">
        <w:rPr>
          <w:rFonts w:ascii="Times New Roman" w:hAnsi="Times New Roman" w:cs="Times New Roman"/>
          <w:b/>
        </w:rPr>
        <w:lastRenderedPageBreak/>
        <w:t>Introduction</w:t>
      </w:r>
    </w:p>
    <w:p w14:paraId="742F7B04" w14:textId="5AADD0F8" w:rsidR="00A961B0" w:rsidRPr="009A1578" w:rsidRDefault="009D61E1" w:rsidP="00934254">
      <w:pPr>
        <w:spacing w:line="480" w:lineRule="auto"/>
        <w:jc w:val="both"/>
        <w:rPr>
          <w:rFonts w:ascii="Times New Roman" w:hAnsi="Times New Roman" w:cs="Times New Roman"/>
        </w:rPr>
      </w:pPr>
      <w:r w:rsidRPr="009A1578">
        <w:rPr>
          <w:rFonts w:ascii="Times New Roman" w:hAnsi="Times New Roman" w:cs="Times New Roman"/>
        </w:rPr>
        <w:t>Osteoporotic</w:t>
      </w:r>
      <w:r w:rsidR="00D84FBD" w:rsidRPr="009A1578">
        <w:rPr>
          <w:rFonts w:ascii="Times New Roman" w:hAnsi="Times New Roman" w:cs="Times New Roman"/>
        </w:rPr>
        <w:t xml:space="preserve"> fractures</w:t>
      </w:r>
      <w:r w:rsidR="00DF3B97" w:rsidRPr="009A1578">
        <w:rPr>
          <w:rFonts w:ascii="Times New Roman" w:hAnsi="Times New Roman" w:cs="Times New Roman"/>
        </w:rPr>
        <w:t xml:space="preserve"> are </w:t>
      </w:r>
      <w:r w:rsidR="003E4D8D" w:rsidRPr="009A1578">
        <w:rPr>
          <w:rFonts w:ascii="Times New Roman" w:hAnsi="Times New Roman" w:cs="Times New Roman"/>
        </w:rPr>
        <w:t xml:space="preserve">a </w:t>
      </w:r>
      <w:r w:rsidR="00460F59" w:rsidRPr="009A1578">
        <w:rPr>
          <w:rFonts w:ascii="Times New Roman" w:hAnsi="Times New Roman" w:cs="Times New Roman"/>
          <w:noProof/>
        </w:rPr>
        <w:t>significant</w:t>
      </w:r>
      <w:r w:rsidR="003E4D8D" w:rsidRPr="009A1578">
        <w:rPr>
          <w:rFonts w:ascii="Times New Roman" w:hAnsi="Times New Roman" w:cs="Times New Roman"/>
        </w:rPr>
        <w:t xml:space="preserve"> healthcare issue in</w:t>
      </w:r>
      <w:r w:rsidR="00DF3B97" w:rsidRPr="009A1578">
        <w:rPr>
          <w:rFonts w:ascii="Times New Roman" w:hAnsi="Times New Roman" w:cs="Times New Roman"/>
        </w:rPr>
        <w:t xml:space="preserve"> developed countries, despite </w:t>
      </w:r>
      <w:r w:rsidR="007173FD" w:rsidRPr="009A1578">
        <w:rPr>
          <w:rFonts w:ascii="Times New Roman" w:hAnsi="Times New Roman" w:cs="Times New Roman"/>
        </w:rPr>
        <w:t>a</w:t>
      </w:r>
      <w:r w:rsidR="00DF3B97" w:rsidRPr="009A1578">
        <w:rPr>
          <w:rFonts w:ascii="Times New Roman" w:hAnsi="Times New Roman" w:cs="Times New Roman"/>
        </w:rPr>
        <w:t xml:space="preserve"> decrease in incidence rate</w:t>
      </w:r>
      <w:r w:rsidR="007173FD" w:rsidRPr="009A1578">
        <w:rPr>
          <w:rFonts w:ascii="Times New Roman" w:hAnsi="Times New Roman" w:cs="Times New Roman"/>
        </w:rPr>
        <w:t>s</w:t>
      </w:r>
      <w:r w:rsidR="00DF3B97" w:rsidRPr="009A1578">
        <w:rPr>
          <w:rFonts w:ascii="Times New Roman" w:hAnsi="Times New Roman" w:cs="Times New Roman"/>
        </w:rPr>
        <w:t xml:space="preserve"> </w:t>
      </w:r>
      <w:r w:rsidRPr="009A1578">
        <w:rPr>
          <w:rFonts w:ascii="Times New Roman" w:hAnsi="Times New Roman" w:cs="Times New Roman"/>
        </w:rPr>
        <w:t>of</w:t>
      </w:r>
      <w:r w:rsidR="00DF3B97" w:rsidRPr="009A1578">
        <w:rPr>
          <w:rFonts w:ascii="Times New Roman" w:hAnsi="Times New Roman" w:cs="Times New Roman"/>
        </w:rPr>
        <w:t xml:space="preserve"> </w:t>
      </w:r>
      <w:r w:rsidRPr="009A1578">
        <w:rPr>
          <w:rFonts w:ascii="Times New Roman" w:hAnsi="Times New Roman" w:cs="Times New Roman"/>
        </w:rPr>
        <w:t xml:space="preserve">hip fractures in </w:t>
      </w:r>
      <w:r w:rsidR="00DF3B97" w:rsidRPr="009A1578">
        <w:rPr>
          <w:rFonts w:ascii="Times New Roman" w:hAnsi="Times New Roman" w:cs="Times New Roman"/>
        </w:rPr>
        <w:t>the last decade</w:t>
      </w:r>
      <w:r w:rsidR="003E4D8D" w:rsidRPr="009A1578">
        <w:rPr>
          <w:rFonts w:ascii="Times New Roman" w:hAnsi="Times New Roman" w:cs="Times New Roman"/>
        </w:rPr>
        <w:t xml:space="preserve"> in many such populations</w:t>
      </w:r>
      <w:r w:rsidR="00FB7377" w:rsidRPr="009A1578">
        <w:rPr>
          <w:rFonts w:ascii="Times New Roman" w:hAnsi="Times New Roman" w:cs="Times New Roman"/>
        </w:rPr>
        <w:t xml:space="preserve"> </w:t>
      </w:r>
      <w:r w:rsidR="00DF3B97"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"ISSN" : "0937-941X", "author" : [ { "dropping-particle" : "", "family" : "Hansen", "given" : "L", "non-dropping-particle" : "", "parse-names" : false, "suffix" : "" }, { "dropping-particle" : "", "family" : "Petersen", "given" : "K D", "non-dropping-particle" : "", "parse-names" : false, "suffix" : "" }, { "dropping-particle" : "", "family" : "Eriksen", "given" : "S a.", "non-dropping-particle" : "", "parse-names" : false, "suffix" : "" }, { "dropping-particle" : "", "family" : "Langdahl", "given" : "B L", "non-dropping-particle" : "", "parse-names" : false, "suffix" : "" }, { "dropping-particle" : "", "family" : "Eiken", "given" : "P a.", "non-dropping-particle" : "", "parse-names" : false, "suffix" : "" }, { "dropping-particle" : "", "family" : "Brixen", "given" : "K", "non-dropping-particle" : "", "parse-names" : false, "suffix" : "" }, { "dropping-particle" : "", "family" : "Abrahamsen", "given" : "B", "non-dropping-particle" : "", "parse-names" : false, "suffix" : "" }, { "dropping-particle" : "", "family" : "Jensen", "given" : "J.-E. B", "non-dropping-particle" : "", "parse-names" : false, "suffix" : "" }, { "dropping-particle" : "", "family" : "Harsl\u00f8f", "given" : "T", "non-dropping-particle" : "", "parse-names" : false, "suffix" : "" }, { "dropping-particle" : "", "family" : "Vestergaard", "given" : "P", "non-dropping-particle" : "", "parse-names" : false, "suffix" : "" } ], "container-title" : "Osteoporosis International", "id" : "ITEM-1", "issue" : "2", "issued" : { "date-parts" : [ [ "2014" ] ] }, "page" : "513-519", "title" : "Subsequent fracture rates in a nationwide population-based cohort study with a 10-year perspective", "type" : "article-journal", "volume" : "26" }, "uris" : [ "http://www.mendeley.com/documents/?uuid=5ed9faf3-6edd-478c-9121-a5616c2f0927" ] }, { "id" : "ITEM-2", "itemData" : { "DOI" : "10.1007/s10654-012-9711-9", "ISSN" : "0393-2990", "author" : [ { "dropping-particle" : "", "family" : "Omsland", "given" : "Tone K", "non-dropping-particle" : "", "parse-names" : false, "suffix" : "" }, { "dropping-particle" : "", "family" : "Holvik", "given" : "Kristin", "non-dropping-particle" : "", "parse-names" : false, "suffix" : "" }, { "dropping-particle" : "", "family" : "Meyer", "given" : "Haakon E", "non-dropping-particle" : "", "parse-names" : false, "suffix" : "" }, { "dropping-particle" : "", "family" : "Center", "given" : "Jacqueline R", "non-dropping-particle" : "", "parse-names" : false, "suffix" : "" }, { "dropping-particle" : "", "family" : "Emaus", "given" : "Nina", "non-dropping-particle" : "", "parse-names" : false, "suffix" : "" }, { "dropping-particle" : "", "family" : "Tell", "given" : "Grethe S", "non-dropping-particle" : "", "parse-names" : false, "suffix" : "" }, { "dropping-particle" : "", "family" : "Schei", "given" : "Berit", "non-dropping-particle" : "", "parse-names" : false, "suffix" : "" }, { "dropping-particle" : "", "family" : "Tverdal", "given" : "Aage", "non-dropping-particle" : "", "parse-names" : false, "suffix" : "" }, { "dropping-particle" : "", "family" : "Gjesdal", "given" : "Clara G", "non-dropping-particle" : "", "parse-names" : false, "suffix" : "" }, { "dropping-particle" : "", "family" : "Grimnes", "given" : "Guri", "non-dropping-particle" : "", "parse-names" : false, "suffix" : "" }, { "dropping-particle" : "", "family" : "Forsmo", "given" : "Siri", "non-dropping-particle" : "", "parse-names" : false, "suffix" : "" }, { "dropping-particle" : "", "family" : "Eisman", "given" : "John A", "non-dropping-particle" : "", "parse-names" : false, "suffix" : "" }, { "dropping-particle" : "", "family" : "S\u00f8gaard", "given" : "Anne Johanne", "non-dropping-particle" : "", "parse-names" : false, "suffix" : "" } ], "container-title" : "European Journal of Epidemiology", "id" : "ITEM-2", "issue" : "10", "issued" : { "date-parts" : [ [ "2012" ] ] }, "page" : "807-814", "publisher" : "Springer Netherlands", "title" : "Hip fractures in Norway 1999\u20132008: time trends in total incidence and second hip fracture rates. A NOREPOS study", "type" : "article-journal", "volume" : "27" }, "uris" : [ "http://www.mendeley.com/documents/?uuid=766d7452-3b34-4d82-98f7-017a677e1561" ] } ], "mendeley" : { "formattedCitation" : "[1,2]", "plainTextFormattedCitation" : "[1,2]", "previouslyFormattedCitation" : "[1,2]" }, "properties" : { "noteIndex" : 0 }, "schema" : "https://github.com/citation-style-language/schema/raw/master/csl-citation.json" }</w:instrText>
      </w:r>
      <w:r w:rsidR="00DF3B97" w:rsidRPr="009A1578">
        <w:rPr>
          <w:rFonts w:ascii="Times New Roman" w:hAnsi="Times New Roman" w:cs="Times New Roman"/>
        </w:rPr>
        <w:fldChar w:fldCharType="separate"/>
      </w:r>
      <w:r w:rsidR="00FB7377" w:rsidRPr="009A1578">
        <w:rPr>
          <w:rFonts w:ascii="Times New Roman" w:hAnsi="Times New Roman" w:cs="Times New Roman"/>
          <w:noProof/>
        </w:rPr>
        <w:t>[1,2]</w:t>
      </w:r>
      <w:r w:rsidR="00DF3B97" w:rsidRPr="009A1578">
        <w:rPr>
          <w:rFonts w:ascii="Times New Roman" w:hAnsi="Times New Roman" w:cs="Times New Roman"/>
        </w:rPr>
        <w:fldChar w:fldCharType="end"/>
      </w:r>
      <w:r w:rsidR="00DF3B97" w:rsidRPr="009A1578">
        <w:rPr>
          <w:rFonts w:ascii="Times New Roman" w:hAnsi="Times New Roman" w:cs="Times New Roman"/>
        </w:rPr>
        <w:t>.</w:t>
      </w:r>
      <w:r w:rsidR="008B54FB" w:rsidRPr="009A1578">
        <w:rPr>
          <w:rFonts w:ascii="Times New Roman" w:hAnsi="Times New Roman" w:cs="Times New Roman"/>
        </w:rPr>
        <w:t xml:space="preserve"> </w:t>
      </w:r>
      <w:r w:rsidR="00603149" w:rsidRPr="009A1578">
        <w:rPr>
          <w:rFonts w:ascii="Times New Roman" w:hAnsi="Times New Roman" w:cs="Times New Roman"/>
        </w:rPr>
        <w:t>In Denmark, femoral neck fractures are the 14</w:t>
      </w:r>
      <w:r w:rsidR="00603149" w:rsidRPr="009A1578">
        <w:rPr>
          <w:rFonts w:ascii="Times New Roman" w:hAnsi="Times New Roman" w:cs="Times New Roman"/>
          <w:vertAlign w:val="superscript"/>
        </w:rPr>
        <w:t>th</w:t>
      </w:r>
      <w:r w:rsidR="00603149" w:rsidRPr="009A1578">
        <w:rPr>
          <w:rFonts w:ascii="Times New Roman" w:hAnsi="Times New Roman" w:cs="Times New Roman"/>
        </w:rPr>
        <w:t xml:space="preserve"> most common cause of admission to hospital and account for 2% of all admissions </w:t>
      </w:r>
      <w:r w:rsidR="00603149"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"DOI" : "10.2147/CLEP.S91125", "ISSN" : "1179-1349", "PMID" : "26604824", "author" : [ { "dropping-particle" : "", "family" : "Schmidt", "given" : "M", "non-dropping-particle" : "", "parse-names" : false, "suffix" : "" }, { "dropping-particle" : "", "family" : "Schmidt", "given" : "S A J", "non-dropping-particle" : "", "parse-names" : false, "suffix" : "" }, { "dropping-particle" : "", "family" : "Sandegaard", "given" : "J L", "non-dropping-particle" : "", "parse-names" : false, "suffix" : "" }, { "dropping-particle" : "", "family" : "Eherenstein", "given" : "V", "non-dropping-particle" : "", "parse-names" : false, "suffix" : "" }, { "dropping-particle" : "", "family" : "Pedersen", "given" : "L", "non-dropping-particle" : "", "parse-names" : false, "suffix" : "" }, { "dropping-particle" : "", "family" : "S\u00f8rensen", "given" : "H T", "non-dropping-particle" : "", "parse-names" : false, "suffix" : "" } ], "container-title" : "Clinical epidemiology", "id" : "ITEM-1", "issued" : { "date-parts" : [ [ "2015" ] ] }, "page" : "449-490", "title" : "The Danish National Patient Registry: a review of content, data quality, and research potential", "type" : "article-journal", "volume" : "7" }, "uris" : [ "http://www.mendeley.com/documents/?uuid=99813485-fe7e-49bd-a3b1-a4e819e50fcf" ] } ], "mendeley" : { "formattedCitation" : "[3]", "plainTextFormattedCitation" : "[3]", "previouslyFormattedCitation" : "[3]" }, "properties" : { "noteIndex" : 0 }, "schema" : "https://github.com/citation-style-language/schema/raw/master/csl-citation.json" }</w:instrText>
      </w:r>
      <w:r w:rsidR="00603149" w:rsidRPr="009A1578">
        <w:rPr>
          <w:rFonts w:ascii="Times New Roman" w:hAnsi="Times New Roman" w:cs="Times New Roman"/>
        </w:rPr>
        <w:fldChar w:fldCharType="separate"/>
      </w:r>
      <w:r w:rsidR="00603149" w:rsidRPr="009A1578">
        <w:rPr>
          <w:rFonts w:ascii="Times New Roman" w:hAnsi="Times New Roman" w:cs="Times New Roman"/>
          <w:noProof/>
        </w:rPr>
        <w:t>[3]</w:t>
      </w:r>
      <w:r w:rsidR="00603149" w:rsidRPr="009A1578">
        <w:rPr>
          <w:rFonts w:ascii="Times New Roman" w:hAnsi="Times New Roman" w:cs="Times New Roman"/>
        </w:rPr>
        <w:fldChar w:fldCharType="end"/>
      </w:r>
      <w:r w:rsidR="00603149" w:rsidRPr="009A1578">
        <w:rPr>
          <w:rFonts w:ascii="Times New Roman" w:hAnsi="Times New Roman" w:cs="Times New Roman"/>
        </w:rPr>
        <w:t xml:space="preserve">. </w:t>
      </w:r>
      <w:r w:rsidRPr="009A1578">
        <w:rPr>
          <w:rFonts w:ascii="Times New Roman" w:hAnsi="Times New Roman" w:cs="Times New Roman"/>
        </w:rPr>
        <w:t xml:space="preserve">Additionally, </w:t>
      </w:r>
      <w:r w:rsidR="005F21B8" w:rsidRPr="009A1578">
        <w:rPr>
          <w:rFonts w:ascii="Times New Roman" w:hAnsi="Times New Roman" w:cs="Times New Roman"/>
        </w:rPr>
        <w:t>wrist</w:t>
      </w:r>
      <w:r w:rsidR="007D43FA" w:rsidRPr="009A1578">
        <w:rPr>
          <w:rFonts w:ascii="Times New Roman" w:hAnsi="Times New Roman" w:cs="Times New Roman"/>
        </w:rPr>
        <w:t xml:space="preserve"> fractures</w:t>
      </w:r>
      <w:r w:rsidRPr="009A1578">
        <w:rPr>
          <w:rFonts w:ascii="Times New Roman" w:hAnsi="Times New Roman" w:cs="Times New Roman"/>
        </w:rPr>
        <w:t xml:space="preserve"> are the </w:t>
      </w:r>
      <w:r w:rsidR="007D43FA" w:rsidRPr="009A1578">
        <w:rPr>
          <w:rFonts w:ascii="Times New Roman" w:hAnsi="Times New Roman" w:cs="Times New Roman"/>
        </w:rPr>
        <w:t>fifth</w:t>
      </w:r>
      <w:r w:rsidRPr="009A1578">
        <w:rPr>
          <w:rFonts w:ascii="Times New Roman" w:hAnsi="Times New Roman" w:cs="Times New Roman"/>
        </w:rPr>
        <w:t xml:space="preserve"> </w:t>
      </w:r>
      <w:r w:rsidR="007D43FA" w:rsidRPr="009A1578">
        <w:rPr>
          <w:rFonts w:ascii="Times New Roman" w:hAnsi="Times New Roman" w:cs="Times New Roman"/>
        </w:rPr>
        <w:t xml:space="preserve">most common reason </w:t>
      </w:r>
      <w:r w:rsidRPr="009A1578">
        <w:rPr>
          <w:rFonts w:ascii="Times New Roman" w:hAnsi="Times New Roman" w:cs="Times New Roman"/>
        </w:rPr>
        <w:t>for emergency room contacts and</w:t>
      </w:r>
      <w:r w:rsidR="00460F59" w:rsidRPr="009A1578">
        <w:rPr>
          <w:rFonts w:ascii="Times New Roman" w:hAnsi="Times New Roman" w:cs="Times New Roman"/>
        </w:rPr>
        <w:t xml:space="preserve"> the</w:t>
      </w:r>
      <w:r w:rsidRPr="009A1578">
        <w:rPr>
          <w:rFonts w:ascii="Times New Roman" w:hAnsi="Times New Roman" w:cs="Times New Roman"/>
        </w:rPr>
        <w:t xml:space="preserve"> </w:t>
      </w:r>
      <w:r w:rsidR="007D43FA" w:rsidRPr="009A1578">
        <w:rPr>
          <w:rFonts w:ascii="Times New Roman" w:hAnsi="Times New Roman" w:cs="Times New Roman"/>
          <w:noProof/>
        </w:rPr>
        <w:t>seventh</w:t>
      </w:r>
      <w:r w:rsidRPr="009A1578">
        <w:rPr>
          <w:rFonts w:ascii="Times New Roman" w:hAnsi="Times New Roman" w:cs="Times New Roman"/>
          <w:noProof/>
        </w:rPr>
        <w:t xml:space="preserve"> most common reason</w:t>
      </w:r>
      <w:r w:rsidRPr="009A1578">
        <w:rPr>
          <w:rFonts w:ascii="Times New Roman" w:hAnsi="Times New Roman" w:cs="Times New Roman"/>
        </w:rPr>
        <w:t xml:space="preserve"> for an outpatient visit [3]. Osteoporotic</w:t>
      </w:r>
      <w:r w:rsidR="008B54FB" w:rsidRPr="009A1578">
        <w:rPr>
          <w:rFonts w:ascii="Times New Roman" w:hAnsi="Times New Roman" w:cs="Times New Roman"/>
        </w:rPr>
        <w:t xml:space="preserve"> fractures result in subsequent excess morbidity and mortality </w:t>
      </w:r>
      <w:r w:rsidR="008B54FB"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"author" : [ { "dropping-particle" : "", "family" : "Ryg", "given" : "Jesper", "non-dropping-particle" : "", "parse-names" : false, "suffix" : "" }, { "dropping-particle" : "", "family" : "Rejnmark", "given" : "Lars", "non-dropping-particle" : "", "parse-names" : false, "suffix" : "" }, { "dropping-particle" : "", "family" : "Overgaard", "given" : "Soren", "non-dropping-particle" : "", "parse-names" : false, "suffix" : "" }, { "dropping-particle" : "", "family" : "Brixen", "given" : "Kim", "non-dropping-particle" : "", "parse-names" : false, "suffix" : "" }, { "dropping-particle" : "", "family" : "Vestergaard", "given" : "Peter", "non-dropping-particle" : "", "parse-names" : false, "suffix" : "" } ], "container-title" : "J Bone Miner Res", "id" : "ITEM-1", "issue" : "7", "issued" : { "date-parts" : [ [ "2009" ] ] }, "page" : "1299-1307", "title" : "Hip Fracture Patients at Risk of Second Hip Fracture: A Nationwide Population-Based Cohort Study of 169,145 Cases During 1977\u20132001", "type" : "article-journal", "volume" : "24" }, "uris" : [ "http://www.mendeley.com/documents/?uuid=bad0474c-ceb7-43a8-9668-e2ce470c11ae" ] }, { "id" : "ITEM-2", "itemData" : { "DOI" : "10.1001/jama.2009.50", "ISBN" : "0098-7484", "ISSN" : "1538-3598", "PMID" : "19190316", "abstract" : "CONTEXT: There are few data on long-term mortality following osteoporotic fracture and fewer following subsequent fracture. OBJECTIVES: To examine long-term mortality risk in women and men following all osteoporotic fractures and to assess the association of subsequent fracture with that risk. DESIGN, SETTING, AND PARTICIPANTS: Prospective cohort from the Dubbo Osteoporosis Epidemiology Study of community-dwelling women and men aged 60 years and older from Dubbo, Australia, who sustained a fracture between April 1989 and May 2007. MAIN OUTCOME MEASURES: Age- and sex-specific standardized mortality ratios (SMRs) compared with the overall Dubbo population for hip, vertebral, major, and minor fractures. RESULTS: In women, there were 952 low-trauma fractures followed by 461 deaths, and in men, 343 fractures were followed by 197 deaths. Age-adjusted SMRs were increased following hip fractures (SMRs, 2.43 [95% confidence interval [CI], 2.02-2.93] and 3.51 [95% CI, 2.65-4.66]), vertebral fractures (SMRs, 1.82 [95% CI, 1.52-2.17] and 2.12 [95% CI, 1.66-2.72]), major fractures (SMRs, 1.65 [95% CI, 1.31-2.08] and 1.70 [95% CI, 1.23-2.36]), and minor fractures (SMRs, 1.42 [95% CI, 1.19-1.70] and 1.33 [95% CI, 0.99-1.80]) for both women and men, respectively. Mortality was increased for all ages for all fractures except minor fractures for which increased mortality was only apparent for those older than 75 years. Increased mortality risk persisted for 5 years for all fractures and up to 10 years for hip fractures. Increases in absolute mortality that were above expected, for 5 years after fracture, ranged from 1.3 to 13.2 per 100 person-years in women and from 2.7 to 22.3 per 100 person-years in men, depending on fracture type. Subsequent fracture was associated with an increased mortality hazard ratio of 1.91 (95% CI, 1.54-2.37) in women and 2.99 (95% CI, 2.11-4.24) in men. Mortality risk following a subsequent fracture then declined but beyond 5 years still remained higher than in the general population (SMR, 1.41 [95% CI, 1.01-1.97] and SMR, 1.78 [95% CI, 0.96-3.31] for women and men, respectively). Predictors of mortality after any fragility fracture for both men and women included age, quadriceps weakness, and subsequent fracture but not comorbidities. Low bone mineral density, having smoked, and sway were also predictors for women and less physical activity for men. CONCLUSIONS: In a sample of older women and men, all low-trauma fractures were associated with\u2026", "author" : [ { "dropping-particle" : "", "family" : "Bliuc", "given" : "Dana", "non-dropping-particle" : "", "parse-names" : false, "suffix" : "" }, { "dropping-particle" : "", "family" : "Nguyen", "given" : "Nguyen D", "non-dropping-particle" : "", "parse-names" : false, "suffix" : "" }, { "dropping-particle" : "", "family" : "Milch", "given" : "Vivienne E", "non-dropping-particle" : "", "parse-names" : false, "suffix" : "" }, { "dropping-particle" : "V", "family" : "Nguyen", "given" : "Tuan", "non-dropping-particle" : "", "parse-names" : false, "suffix" : "" }, { "dropping-particle" : "", "family" : "Eisman", "given" : "John A", "non-dropping-particle" : "", "parse-names" : false, "suffix" : "" }, { "dropping-particle" : "", "family" : "Center", "given" : "Jacqueline R", "non-dropping-particle" : "", "parse-names" : false, "suffix" : "" } ], "container-title" : "JAMA : the journal of the American Medical Association", "id" : "ITEM-2", "issue" : "5", "issued" : { "date-parts" : [ [ "2009" ] ] }, "page" : "513-21", "title" : "Mortality risk associated with low-trauma osteoporotic fracture and subsequent fracture in men and women", "type" : "article-journal", "volume" : "301" }, "uris" : [ "http://www.mendeley.com/documents/?uuid=1737dfcf-1a25-4fab-950e-63be568e106b", "http://www.mendeley.com/documents/?uuid=c63370ab-66c5-4742-8f42-72478cb87734" ] } ], "mendeley" : { "formattedCitation" : "[4,5]", "plainTextFormattedCitation" : "[4,5]", "previouslyFormattedCitation" : "[4,5]" }, "properties" : { "noteIndex" : 0 }, "schema" : "https://github.com/citation-style-language/schema/raw/master/csl-citation.json" }</w:instrText>
      </w:r>
      <w:r w:rsidR="008B54FB" w:rsidRPr="009A1578">
        <w:rPr>
          <w:rFonts w:ascii="Times New Roman" w:hAnsi="Times New Roman" w:cs="Times New Roman"/>
        </w:rPr>
        <w:fldChar w:fldCharType="separate"/>
      </w:r>
      <w:r w:rsidR="00603149" w:rsidRPr="009A1578">
        <w:rPr>
          <w:rFonts w:ascii="Times New Roman" w:hAnsi="Times New Roman" w:cs="Times New Roman"/>
          <w:noProof/>
        </w:rPr>
        <w:t>[4,5]</w:t>
      </w:r>
      <w:r w:rsidR="008B54FB" w:rsidRPr="009A1578">
        <w:rPr>
          <w:rFonts w:ascii="Times New Roman" w:hAnsi="Times New Roman" w:cs="Times New Roman"/>
        </w:rPr>
        <w:fldChar w:fldCharType="end"/>
      </w:r>
      <w:r w:rsidR="008B54FB" w:rsidRPr="009A1578">
        <w:rPr>
          <w:rFonts w:ascii="Times New Roman" w:hAnsi="Times New Roman" w:cs="Times New Roman"/>
        </w:rPr>
        <w:t xml:space="preserve"> </w:t>
      </w:r>
      <w:r w:rsidR="003E4D8D" w:rsidRPr="009A1578">
        <w:rPr>
          <w:rFonts w:ascii="Times New Roman" w:hAnsi="Times New Roman" w:cs="Times New Roman"/>
        </w:rPr>
        <w:t>and significantly affect</w:t>
      </w:r>
      <w:r w:rsidR="00460F59" w:rsidRPr="009A1578">
        <w:rPr>
          <w:rFonts w:ascii="Times New Roman" w:hAnsi="Times New Roman" w:cs="Times New Roman"/>
        </w:rPr>
        <w:t xml:space="preserve"> the</w:t>
      </w:r>
      <w:r w:rsidR="008B54FB" w:rsidRPr="009A1578">
        <w:rPr>
          <w:rFonts w:ascii="Times New Roman" w:hAnsi="Times New Roman" w:cs="Times New Roman"/>
        </w:rPr>
        <w:t xml:space="preserve"> </w:t>
      </w:r>
      <w:r w:rsidR="008B54FB" w:rsidRPr="009A1578">
        <w:rPr>
          <w:rFonts w:ascii="Times New Roman" w:hAnsi="Times New Roman" w:cs="Times New Roman"/>
          <w:noProof/>
        </w:rPr>
        <w:t>quality</w:t>
      </w:r>
      <w:r w:rsidR="008B54FB" w:rsidRPr="009A1578">
        <w:rPr>
          <w:rFonts w:ascii="Times New Roman" w:hAnsi="Times New Roman" w:cs="Times New Roman"/>
        </w:rPr>
        <w:t xml:space="preserve"> of life </w:t>
      </w:r>
      <w:r w:rsidR="008B54FB"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"ISSN" : "0937-941X", "author" : [ { "dropping-particle" : "", "family" : "Si", "given" : "L", "non-dropping-particle" : "", "parse-names" : false, "suffix" : "" }, { "dropping-particle" : "", "family" : "Winzenberg", "given" : "T M", "non-dropping-particle" : "", "parse-names" : false, "suffix" : "" }, { "dropping-particle" : "", "family" : "Graaff", "given" : "B", "non-dropping-particle" : "de", "parse-names" : false, "suffix" : "" }, { "dropping-particle" : "", "family" : "Palmer", "given" : "a. J", "non-dropping-particle" : "", "parse-names" : false, "suffix" : "" } ], "container-title" : "Osteoporosis International", "id" : "ITEM-1", "issued" : { "date-parts" : [ [ "2014" ] ] }, "page" : "1987-1997", "title" : "A systematic review and meta-analysis of utility-based quality of life for osteoporosis-related conditions", "type" : "article-journal", "volume" : "25" }, "uris" : [ "http://www.mendeley.com/documents/?uuid=675e9b04-fdea-4b6e-b4b1-98d5226d4a7d" ] } ], "mendeley" : { "formattedCitation" : "[6]", "plainTextFormattedCitation" : "[6]", "previouslyFormattedCitation" : "[6]" }, "properties" : { "noteIndex" : 0 }, "schema" : "https://github.com/citation-style-language/schema/raw/master/csl-citation.json" }</w:instrText>
      </w:r>
      <w:r w:rsidR="008B54FB" w:rsidRPr="009A1578">
        <w:rPr>
          <w:rFonts w:ascii="Times New Roman" w:hAnsi="Times New Roman" w:cs="Times New Roman"/>
        </w:rPr>
        <w:fldChar w:fldCharType="separate"/>
      </w:r>
      <w:r w:rsidR="00603149" w:rsidRPr="009A1578">
        <w:rPr>
          <w:rFonts w:ascii="Times New Roman" w:hAnsi="Times New Roman" w:cs="Times New Roman"/>
          <w:noProof/>
        </w:rPr>
        <w:t>[6]</w:t>
      </w:r>
      <w:r w:rsidR="008B54FB" w:rsidRPr="009A1578">
        <w:rPr>
          <w:rFonts w:ascii="Times New Roman" w:hAnsi="Times New Roman" w:cs="Times New Roman"/>
        </w:rPr>
        <w:fldChar w:fldCharType="end"/>
      </w:r>
      <w:r w:rsidR="008B54FB" w:rsidRPr="009A1578">
        <w:rPr>
          <w:rFonts w:ascii="Times New Roman" w:hAnsi="Times New Roman" w:cs="Times New Roman"/>
        </w:rPr>
        <w:t>.</w:t>
      </w:r>
      <w:r w:rsidR="00DF3B97" w:rsidRPr="009A1578">
        <w:rPr>
          <w:rFonts w:ascii="Times New Roman" w:hAnsi="Times New Roman" w:cs="Times New Roman"/>
        </w:rPr>
        <w:t xml:space="preserve"> </w:t>
      </w:r>
      <w:r w:rsidR="003E4D8D" w:rsidRPr="009A1578">
        <w:rPr>
          <w:rFonts w:ascii="Times New Roman" w:hAnsi="Times New Roman" w:cs="Times New Roman"/>
        </w:rPr>
        <w:t>Whilst there is much information on clinical risk factors for fracture</w:t>
      </w:r>
      <w:r w:rsidR="007D43FA" w:rsidRPr="009A1578">
        <w:rPr>
          <w:rFonts w:ascii="Times New Roman" w:hAnsi="Times New Roman" w:cs="Times New Roman"/>
        </w:rPr>
        <w:t>s</w:t>
      </w:r>
      <w:r w:rsidR="00A961B0" w:rsidRPr="009A1578">
        <w:rPr>
          <w:rFonts w:ascii="Times New Roman" w:hAnsi="Times New Roman" w:cs="Times New Roman"/>
        </w:rPr>
        <w:t xml:space="preserve"> </w:t>
      </w:r>
      <w:r w:rsidR="00A961B0" w:rsidRPr="009A1578">
        <w:rPr>
          <w:rFonts w:ascii="Times New Roman" w:hAnsi="Times New Roman" w:cs="Times New Roman"/>
          <w:noProof/>
        </w:rPr>
        <w:fldChar w:fldCharType="begin" w:fldLock="1"/>
      </w:r>
      <w:r w:rsidR="00546760" w:rsidRPr="009A1578">
        <w:rPr>
          <w:rFonts w:ascii="Times New Roman" w:hAnsi="Times New Roman" w:cs="Times New Roman"/>
          <w:noProof/>
        </w:rPr>
        <w:instrText>ADDIN CSL_CITATION { "citationItems" : [ { "id" : "ITEM-1", "itemData" : { "ISSN" : "2047-6396", "PMID" : "25228987", "abstract" : "Although many strong risk factors for osteoporosis-such as family history, fracture history and age-are not modifiable, a number of important risk factors are potential targets for intervention. Thus, simple, non-pharmacological intervention in patients at increased risk of osteoporotic fractures could include reduction of excessive alcohol intake, smoking cessation, adequate nutrition, patient education, daily physical activity and a careful review of medications that could increase the risk of falls and fractures. There remains, however, an unmet need for high-quality intervention studies in most of these areas.", "author" : [ { "dropping-particle" : "", "family" : "Abrahamsen", "given" : "Bo", "non-dropping-particle" : "", "parse-names" : false, "suffix" : "" }, { "dropping-particle" : "", "family" : "Brask-Lindemann", "given" : "Dorthe", "non-dropping-particle" : "", "parse-names" : false, "suffix" : "" }, { "dropping-particle" : "", "family" : "Rubin", "given" : "Katrine Hass", "non-dropping-particle" : "", "parse-names" : false, "suffix" : "" }, { "dropping-particle" : "", "family" : "Schwarz", "given" : "Peter", "non-dropping-particle" : "", "parse-names" : false, "suffix" : "" } ], "container-title" : "BoneKEy reports", "id" : "ITEM-1", "issued" : { "date-parts" : [ [ "2014" ] ] }, "page" : "574", "publisher" : "Nature Publishing Group", "title" : "A review of lifestyle, smoking and other modifiable risk factors for osteoporotic fractures.", "type" : "article-journal", "volume" : "3" }, "uris" : [ "http://www.mendeley.com/documents/?uuid=9e14b6a3-7390-4c6e-ad72-ecd8ac3a6b4a" ] } ], "mendeley" : { "formattedCitation" : "[7]", "plainTextFormattedCitation" : "[7]", "previouslyFormattedCitation" : "[7]" }, "properties" : { "noteIndex" : 0 }, "schema" : "https://github.com/citation-style-language/schema/raw/master/csl-citation.json" }</w:instrText>
      </w:r>
      <w:r w:rsidR="00A961B0" w:rsidRPr="009A1578">
        <w:rPr>
          <w:rFonts w:ascii="Times New Roman" w:hAnsi="Times New Roman" w:cs="Times New Roman"/>
          <w:noProof/>
        </w:rPr>
        <w:fldChar w:fldCharType="separate"/>
      </w:r>
      <w:r w:rsidR="007D43FA" w:rsidRPr="009A1578">
        <w:rPr>
          <w:rFonts w:ascii="Times New Roman" w:hAnsi="Times New Roman" w:cs="Times New Roman"/>
          <w:noProof/>
        </w:rPr>
        <w:t>[7]</w:t>
      </w:r>
      <w:r w:rsidR="00A961B0" w:rsidRPr="009A1578">
        <w:rPr>
          <w:rFonts w:ascii="Times New Roman" w:hAnsi="Times New Roman" w:cs="Times New Roman"/>
          <w:noProof/>
        </w:rPr>
        <w:fldChar w:fldCharType="end"/>
      </w:r>
      <w:r w:rsidR="00445A8A" w:rsidRPr="009A1578">
        <w:rPr>
          <w:rFonts w:ascii="Times New Roman" w:hAnsi="Times New Roman" w:cs="Times New Roman"/>
          <w:noProof/>
        </w:rPr>
        <w:t>,</w:t>
      </w:r>
      <w:r w:rsidR="00A961B0" w:rsidRPr="009A1578">
        <w:rPr>
          <w:rFonts w:ascii="Times New Roman" w:hAnsi="Times New Roman" w:cs="Times New Roman"/>
        </w:rPr>
        <w:t xml:space="preserve"> </w:t>
      </w:r>
      <w:r w:rsidR="003E4D8D" w:rsidRPr="009A1578">
        <w:rPr>
          <w:rFonts w:ascii="Times New Roman" w:hAnsi="Times New Roman" w:cs="Times New Roman"/>
        </w:rPr>
        <w:t xml:space="preserve">there has been much less work directed at </w:t>
      </w:r>
      <w:r w:rsidR="00A961B0" w:rsidRPr="009A1578">
        <w:rPr>
          <w:rFonts w:ascii="Times New Roman" w:hAnsi="Times New Roman" w:cs="Times New Roman"/>
        </w:rPr>
        <w:t xml:space="preserve">societal risk factors such as education and income. </w:t>
      </w:r>
    </w:p>
    <w:p w14:paraId="2DE59A56" w14:textId="6C0CFBFE" w:rsidR="00A708F0" w:rsidRPr="009A1578" w:rsidRDefault="00251527" w:rsidP="00934254">
      <w:pPr>
        <w:spacing w:line="480" w:lineRule="auto"/>
        <w:jc w:val="both"/>
        <w:rPr>
          <w:rFonts w:ascii="Times New Roman" w:hAnsi="Times New Roman" w:cs="Times New Roman"/>
          <w:b/>
        </w:rPr>
      </w:pPr>
      <w:r w:rsidRPr="009A1578">
        <w:rPr>
          <w:rFonts w:ascii="Times New Roman" w:hAnsi="Times New Roman" w:cs="Times New Roman"/>
        </w:rPr>
        <w:t xml:space="preserve">The social determinants of health can be divided into societal-level influences and individual-level risk </w:t>
      </w:r>
      <w:r w:rsidRPr="009A1578">
        <w:rPr>
          <w:rFonts w:ascii="Times New Roman" w:hAnsi="Times New Roman" w:cs="Times New Roman"/>
          <w:noProof/>
        </w:rPr>
        <w:t>factor</w:t>
      </w:r>
      <w:r w:rsidR="00445A8A" w:rsidRPr="009A1578">
        <w:rPr>
          <w:rFonts w:ascii="Times New Roman" w:hAnsi="Times New Roman" w:cs="Times New Roman"/>
          <w:noProof/>
        </w:rPr>
        <w:t>s</w:t>
      </w:r>
      <w:r w:rsidRPr="009A1578">
        <w:rPr>
          <w:rFonts w:ascii="Times New Roman" w:hAnsi="Times New Roman" w:cs="Times New Roman"/>
        </w:rPr>
        <w:t xml:space="preserve"> such as ethnicity, religion, socioeconomic status, and disability </w:t>
      </w:r>
      <w:r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"ISSN" : "0887-378X", "PMID" : "15016245", "abstract" : "Public health policy in older industrialized societies is being reconfigured to improve population health and to address inequalities in the social distribution of health. The concept of social determinants is central to these policies, with tackling the social influences on health seen as a way to reduce health inequalities. But the social factors promoting and undermining the health of individuals and populations should not be confused with the social processes underlying their unequal distribution. This distinction is important because, despite better health and improvement in health determinants, social disparities persist. The article argues that more emphasis on social inequalities is required for a determinants-oriented approach to be able to inform policies to address health inequalities.", "author" : [ { "dropping-particle" : "", "family" : "Graham", "given" : "Hilary", "non-dropping-particle" : "", "parse-names" : false, "suffix" : "" } ], "container-title" : "The Milbank quarterly", "id" : "ITEM-1", "issue" : "1", "issued" : { "date-parts" : [ [ "2004" ] ] }, "page" : "101-124", "title" : "Social determinants and their unequal distribution: clarifying policy understandings.", "type" : "article-journal", "volume" : "82" }, "uris" : [ "http://www.mendeley.com/documents/?uuid=590c4435-353a-4de3-9cd7-eaa7f10f43a5" ] }, { "id" : "ITEM-2", "itemData" : { "author" : [ { "dropping-particle" : "", "family" : "Baker", "given" : "EA", "non-dropping-particle" : "", "parse-names" : false, "suffix" : "" }, { "dropping-particle" : "", "family" : "Metzler", "given" : "MM", "non-dropping-particle" : "", "parse-names" : false, "suffix" : "" }, { "dropping-particle" : "", "family" : "Galea", "given" : "S", "non-dropping-particle" : "", "parse-names" : false, "suffix" : "" } ], "container-title" : "American Journal of Public Health", "id" : "ITEM-2", "issue" : "4", "issued" : { "date-parts" : [ [ "2005" ] ] }, "page" : "553-556", "title" : "Addressing Social Determinants of Health Disparities: Learning From Doing", "type" : "article-journal", "volume" : "95" }, "uris" : [ "http://www.mendeley.com/documents/?uuid=f56e4d2a-8dd1-42e0-abc6-c8affdb76a67", "http://www.mendeley.com/documents/?uuid=74dcd1aa-dbd4-4219-a485-402f6078247d" ] } ], "mendeley" : { "formattedCitation" : "[8,9]", "plainTextFormattedCitation" : "[8,9]", "previouslyFormattedCitation" : "[8,9]" }, "properties" : { "noteIndex" : 0 }, "schema" : "https://github.com/citation-style-language/schema/raw/master/csl-citation.json" }</w:instrText>
      </w:r>
      <w:r w:rsidRPr="009A1578">
        <w:rPr>
          <w:rFonts w:ascii="Times New Roman" w:hAnsi="Times New Roman" w:cs="Times New Roman"/>
        </w:rPr>
        <w:fldChar w:fldCharType="separate"/>
      </w:r>
      <w:r w:rsidR="007D43FA" w:rsidRPr="009A1578">
        <w:rPr>
          <w:rFonts w:ascii="Times New Roman" w:hAnsi="Times New Roman" w:cs="Times New Roman"/>
          <w:noProof/>
        </w:rPr>
        <w:t>[8,9]</w:t>
      </w:r>
      <w:r w:rsidRPr="009A1578">
        <w:rPr>
          <w:rFonts w:ascii="Times New Roman" w:hAnsi="Times New Roman" w:cs="Times New Roman"/>
        </w:rPr>
        <w:fldChar w:fldCharType="end"/>
      </w:r>
      <w:r w:rsidR="005504AD" w:rsidRPr="009A1578">
        <w:rPr>
          <w:rFonts w:ascii="Times New Roman" w:hAnsi="Times New Roman" w:cs="Times New Roman"/>
        </w:rPr>
        <w:t xml:space="preserve">. </w:t>
      </w:r>
      <w:r w:rsidR="003E4D8D" w:rsidRPr="009A1578">
        <w:rPr>
          <w:rFonts w:ascii="Times New Roman" w:hAnsi="Times New Roman" w:cs="Times New Roman"/>
        </w:rPr>
        <w:t>S</w:t>
      </w:r>
      <w:r w:rsidR="00D42B03" w:rsidRPr="009A1578">
        <w:rPr>
          <w:rFonts w:ascii="Times New Roman" w:hAnsi="Times New Roman" w:cs="Times New Roman"/>
        </w:rPr>
        <w:t xml:space="preserve">ocial inequality appears to be increasing in many countries around the </w:t>
      </w:r>
      <w:r w:rsidR="00D42B03" w:rsidRPr="009A1578">
        <w:rPr>
          <w:rFonts w:ascii="Times New Roman" w:hAnsi="Times New Roman" w:cs="Times New Roman"/>
          <w:noProof/>
        </w:rPr>
        <w:t>world</w:t>
      </w:r>
      <w:r w:rsidR="00445A8A" w:rsidRPr="009A1578">
        <w:rPr>
          <w:rFonts w:ascii="Times New Roman" w:hAnsi="Times New Roman" w:cs="Times New Roman"/>
          <w:noProof/>
        </w:rPr>
        <w:t>,</w:t>
      </w:r>
      <w:r w:rsidR="00D42B03" w:rsidRPr="009A1578">
        <w:rPr>
          <w:rFonts w:ascii="Times New Roman" w:hAnsi="Times New Roman" w:cs="Times New Roman"/>
        </w:rPr>
        <w:t xml:space="preserve"> and this leads to </w:t>
      </w:r>
      <w:r w:rsidR="009C227F" w:rsidRPr="009A1578">
        <w:rPr>
          <w:rFonts w:ascii="Times New Roman" w:hAnsi="Times New Roman" w:cs="Times New Roman"/>
        </w:rPr>
        <w:t>unwanted differences in</w:t>
      </w:r>
      <w:r w:rsidR="00D42B03" w:rsidRPr="009A1578">
        <w:rPr>
          <w:rFonts w:ascii="Times New Roman" w:hAnsi="Times New Roman" w:cs="Times New Roman"/>
        </w:rPr>
        <w:t xml:space="preserve"> </w:t>
      </w:r>
      <w:r w:rsidR="009C227F" w:rsidRPr="009A1578">
        <w:rPr>
          <w:rFonts w:ascii="Times New Roman" w:hAnsi="Times New Roman" w:cs="Times New Roman"/>
        </w:rPr>
        <w:t>outcome of the same treatment strategy</w:t>
      </w:r>
      <w:r w:rsidR="003E4D8D" w:rsidRPr="009A1578">
        <w:rPr>
          <w:rFonts w:ascii="Times New Roman" w:hAnsi="Times New Roman" w:cs="Times New Roman"/>
        </w:rPr>
        <w:t xml:space="preserve"> across strata of the population</w:t>
      </w:r>
      <w:r w:rsidR="009C227F" w:rsidRPr="009A1578">
        <w:rPr>
          <w:rFonts w:ascii="Times New Roman" w:hAnsi="Times New Roman" w:cs="Times New Roman"/>
        </w:rPr>
        <w:t xml:space="preserve">. </w:t>
      </w:r>
      <w:r w:rsidR="00F168AD" w:rsidRPr="009A1578">
        <w:rPr>
          <w:rFonts w:ascii="Times New Roman" w:hAnsi="Times New Roman" w:cs="Times New Roman"/>
        </w:rPr>
        <w:t xml:space="preserve">The association between </w:t>
      </w:r>
      <w:r w:rsidR="001C28B5" w:rsidRPr="009A1578">
        <w:rPr>
          <w:rFonts w:ascii="Times New Roman" w:hAnsi="Times New Roman" w:cs="Times New Roman"/>
        </w:rPr>
        <w:t>risk</w:t>
      </w:r>
      <w:r w:rsidR="00F168AD" w:rsidRPr="009A1578">
        <w:rPr>
          <w:rFonts w:ascii="Times New Roman" w:hAnsi="Times New Roman" w:cs="Times New Roman"/>
        </w:rPr>
        <w:t xml:space="preserve"> of fracture and </w:t>
      </w:r>
      <w:r w:rsidR="007173FD" w:rsidRPr="009A1578">
        <w:rPr>
          <w:rFonts w:ascii="Times New Roman" w:hAnsi="Times New Roman" w:cs="Times New Roman"/>
        </w:rPr>
        <w:t xml:space="preserve">different measures of socioeconomic status have </w:t>
      </w:r>
      <w:r w:rsidR="00F168AD" w:rsidRPr="009A1578">
        <w:rPr>
          <w:rFonts w:ascii="Times New Roman" w:hAnsi="Times New Roman" w:cs="Times New Roman"/>
        </w:rPr>
        <w:t xml:space="preserve">been investigated </w:t>
      </w:r>
      <w:r w:rsidR="007173FD" w:rsidRPr="009A1578">
        <w:rPr>
          <w:rFonts w:ascii="Times New Roman" w:hAnsi="Times New Roman" w:cs="Times New Roman"/>
        </w:rPr>
        <w:t xml:space="preserve">predominantly in </w:t>
      </w:r>
      <w:r w:rsidR="00D95D65" w:rsidRPr="009A1578">
        <w:rPr>
          <w:rFonts w:ascii="Times New Roman" w:hAnsi="Times New Roman" w:cs="Times New Roman"/>
        </w:rPr>
        <w:t>retrospective observational studies</w:t>
      </w:r>
      <w:r w:rsidR="0001247A" w:rsidRPr="009A1578">
        <w:rPr>
          <w:rFonts w:ascii="Times New Roman" w:hAnsi="Times New Roman" w:cs="Times New Roman"/>
        </w:rPr>
        <w:t xml:space="preserve"> </w:t>
      </w:r>
      <w:r w:rsidR="00D42B03"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"DOI" : "10.1002/jbmr.2579", "ISSN" : "1523-4681", "PMID" : "26085117", "abstract" : "Hip fractures are associated with high excess mortality. Education is an important determinant of health, but little is known about educational inequalities in post-hip fracture mortality. Our objective was to investigate educational inequalities in post-hip fracture mortality and to examine whether comorbidity or family composition could explain any association. We conducted a register-based population study of Norwegians aged 50 years and older from 2002 to 2010. We measured total mortality according to educational attainment in 56,269 hip fracture patients (NORHip) and in the general Norwegian population. Both absolute and relative educational inequalities in mortality in people with and without hip fracture were compared. There was an educational gradient in post-hip fracture mortality in both sexes. Compared with those with primary education only, the age-adjusted relative risk (RR) of mortality in hip fracture patients with tertiary education was 0.82 (95{%} confidence interval [CI] 0.77-0.87) in men and 0.79 (95{%} CI 0.75-0.84) in women. Additional adjustments for Charlson comorbidity index, marital status, and number of children did not materially change the estimates. Regardless of educational attainment, the 1-year age-adjusted mortality was three- to fivefold higher in hip fracture patients compared with peers in the general population without fracture. The absolute differences in 1-year mortality according to educational attainment were considerably larger in hip fracture patients than in the population without hip fracture. Absolute educational inequalities in mortality were higher after hip fracture compared with the general population without hip fracture and were not mediated by comorbidity or family composition. Investigation of other possible mediating factors might help to identify new targets for interventions, based on lower educational attainment, to reduce post-hip fracture mortality. {\u00a9} 2015 American Society for Bone and Mineral Research.", "author" : [ { "dropping-particle" : "", "family" : "Omsland", "given" : "Tone K", "non-dropping-particle" : "", "parse-names" : false, "suffix" : "" }, { "dropping-particle" : "", "family" : "Eisman", "given" : "John a.", "non-dropping-particle" : "", "parse-names" : false, "suffix" : "" }, { "dropping-particle" : "", "family" : "Naess", "given" : "\u00d8yvind", "non-dropping-particle" : "", "parse-names" : false, "suffix" : "" }, { "dropping-particle" : "", "family" : "Center", "given" : "Jacqueline R", "non-dropping-particle" : "", "parse-names" : false, "suffix" : "" }, { "dropping-particle" : "", "family" : "Gjesdal", "given" : "Clara G", "non-dropping-particle" : "", "parse-names" : false, "suffix" : "" }, { "dropping-particle" : "", "family" : "Tell", "given" : "Grethe S", "non-dropping-particle" : "", "parse-names" : false, "suffix" : "" }, { "dropping-particle" : "", "family" : "Emaus", "given" : "Nina", "non-dropping-particle" : "", "parse-names" : false, "suffix" : "" }, { "dropping-particle" : "", "family" : "Meyer", "given" : "Haakon E", "non-dropping-particle" : "", "parse-names" : false, "suffix" : "" }, { "dropping-particle" : "", "family" : "S\u00f8gaard", "given" : "Anne Johanne", "non-dropping-particle" : "", "parse-names" : false, "suffix" : "" }, { "dropping-particle" : "", "family" : "Holvik", "given" : "Kristin", "non-dropping-particle" : "", "parse-names" : false, "suffix" : "" }, { "dropping-particle" : "", "family" : "Schei", "given" : "Berit", "non-dropping-particle" : "", "parse-names" : false, "suffix" : "" }, { "dropping-particle" : "", "family" : "Forsmo", "given" : "Siri", "non-dropping-particle" : "", "parse-names" : false, "suffix" : "" }, { "dropping-particle" : "", "family" : "Magnus", "given" : "Jeanette H", "non-dropping-particle" : "", "parse-names" : false, "suffix" : "" } ], "container-title" : "Journal of bone and mineral research", "id" : "ITEM-1", "issue" : "12", "issued" : { "date-parts" : [ [ "2015", "12" ] ] }, "page" : "2221-2228", "title" : "Educational Inequalities in Post-Hip Fracture Mortality: A NOREPOS Studys.", "type" : "article-journal", "volume" : "30" }, "uris" : [ "http://www.mendeley.com/documents/?uuid=44abd0b1-beb3-4c8e-b7c4-aecea30bea1d" ] }, { "id" : "ITEM-2", "itemData" : { "ISSN" : "1403-4948", "PMID" : "16861187", "abstract" : "AIMS: To investigate the effects of income and other socioeconomic variables on fracture risk adjusted for disease-related confounders as fractures are a major public health problem. METHODS: Case-control study where all subjects in Denmark with a fracture during the year 2000 (n = 124,655) served as cases. From the general population three age- and gender-matched subjects were selected as controls (n = 373,962). Adjustment were made for income, living with someone vs. living alone, having a job vs. being out of work, education, comorbidity (Charlson index), number of bed days in hospital, number of contacts with general practitioner, use of corticosteroids, prior fracture, and alcoholism. RESULTS: Income was not associated with fracture risk on adjustment for the other covariates. Living with someone was associated with a decreased risk of any fracture in all ages. A higher level of education was associated with a decreased fracture risk in the age groups{&lt;}60 years, but an increased fracture risk among subjects{&gt;}or=60 years. Being at work was associated with a decreased hip fracture risk among subjects{&gt;}or=40 years. Alcoholism and a prior fracture were significant predictors of fracture in all age groups. CONCLUSIONS: Income does not predict fracture risk in Denmark after adjustment for other social and comorbidity variables. This may signal neutralization of the effect by socioeconomic compensation or that income was the product of underlying socioeconomic variables.", "author" : [ { "dropping-particle" : "", "family" : "Vestergaard", "given" : "Peter", "non-dropping-particle" : "", "parse-names" : false, "suffix" : "" }, { "dropping-particle" : "", "family" : "Rejnmark", "given" : "Lars", "non-dropping-particle" : "", "parse-names" : false, "suffix" : "" }, { "dropping-particle" : "", "family" : "Mosekilde", "given" : "Leif", "non-dropping-particle" : "", "parse-names" : false, "suffix" : "" } ], "container-title" : "Scandinavian journal of public health", "id" : "ITEM-2", "issue" : "4", "issued" : { "date-parts" : [ [ "2006", "1" ] ] }, "page" : "371-377", "title" : "Socioeconomic aspects of fractures within universal public healthcare: a nationwide case-control study from Denmark.", "type" : "article-journal", "volume" : "34" }, "uris" : [ "http://www.mendeley.com/documents/?uuid=92928ab5-0097-419e-bb2e-34740f302c6f" ] }, { "id" : "ITEM-3", "itemData" : { "author" : [ { "dropping-particle" : "", "family" : "Farahmand", "given" : "P", "non-dropping-particle" : "", "parse-names" : false, "suffix" : "" }, { "dropping-particle" : "", "family" : "Persson", "given" : "P G", "non-dropping-particle" : "", "parse-names" : false, "suffix" : "" }, { "dropping-particle" : "", "family" : "Michaelsson", "given" : "K", "non-dropping-particle" : "", "parse-names" : false, "suffix" : "" }, { "dropping-particle" : "", "family" : "Baron", "given" : "J A", "non-dropping-particle" : "", "parse-names" : false, "suffix" : "" }, { "dropping-particle" : "", "family" : "Parker", "given" : "M G", "non-dropping-particle" : "", "parse-names" : false, "suffix" : "" }, { "dropping-particle" : "", "family" : "Ljunghall", "given" : "S", "non-dropping-particle" : "", "parse-names" : false, "suffix" : "" } ], "container-title" : "Osteoporosis International", "id" : "ITEM-3", "issue" : "9", "issued" : { "date-parts" : [ [ "2000" ] ] }, "page" : "803-808", "title" : "Socioeconomic Status , Marital Status and Hip Fracture Risk : A Population-Based Case-Control Study", "type" : "article-journal", "volume" : "11" }, "uris" : [ "http://www.mendeley.com/documents/?uuid=8f06ea9d-3653-41d2-92ee-e7c2322f7f33" ] }, { "id" : "ITEM-4", "itemData" : { "DOI" : "10.1093/ageing/afl167", "ISSN" : "0002-0729", "author" : [ { "dropping-particle" : "", "family" : "Peel", "given" : "N M", "non-dropping-particle" : "", "parse-names" : false, "suffix" : "" }, { "dropping-particle" : "", "family" : "McClure", "given" : "R J", "non-dropping-particle" : "", "parse-names" : false, "suffix" : "" }, { "dropping-particle" : "", "family" : "Hendrikz", "given" : "J K", "non-dropping-particle" : "", "parse-names" : false, "suffix" : "" } ], "container-title" : "Age and Ageing", "id" : "ITEM-4", "issue" : "2", "issued" : { "date-parts" : [ [ "2007" ] ] }, "page" : "145-151", "title" : "Psychosocial factors associated with fall-related hip fractures", "type" : "article-journal", "volume" : "36" }, "uris" : [ "http://www.mendeley.com/documents/?uuid=ccfbe8c8-c906-47a6-8f09-cee9141d3606" ] } ], "mendeley" : { "formattedCitation" : "[10\u201313]", "plainTextFormattedCitation" : "[10\u201313]", "previouslyFormattedCitation" : "[10\u201313]" }, "properties" : { "noteIndex" : 0 }, "schema" : "https://github.com/citation-style-language/schema/raw/master/csl-citation.json" }</w:instrText>
      </w:r>
      <w:r w:rsidR="00D42B03" w:rsidRPr="009A1578">
        <w:rPr>
          <w:rFonts w:ascii="Times New Roman" w:hAnsi="Times New Roman" w:cs="Times New Roman"/>
        </w:rPr>
        <w:fldChar w:fldCharType="separate"/>
      </w:r>
      <w:r w:rsidR="007D43FA" w:rsidRPr="009A1578">
        <w:rPr>
          <w:rFonts w:ascii="Times New Roman" w:hAnsi="Times New Roman" w:cs="Times New Roman"/>
          <w:noProof/>
        </w:rPr>
        <w:t>[10–13]</w:t>
      </w:r>
      <w:r w:rsidR="00D42B03" w:rsidRPr="009A1578">
        <w:rPr>
          <w:rFonts w:ascii="Times New Roman" w:hAnsi="Times New Roman" w:cs="Times New Roman"/>
        </w:rPr>
        <w:fldChar w:fldCharType="end"/>
      </w:r>
      <w:r w:rsidR="00D95D65" w:rsidRPr="009A1578">
        <w:rPr>
          <w:rFonts w:ascii="Times New Roman" w:hAnsi="Times New Roman" w:cs="Times New Roman"/>
        </w:rPr>
        <w:t xml:space="preserve">. The results from these studies provide limited evidence for the association </w:t>
      </w:r>
      <w:r w:rsidR="00022773" w:rsidRPr="009A1578">
        <w:rPr>
          <w:rFonts w:ascii="Times New Roman" w:hAnsi="Times New Roman" w:cs="Times New Roman"/>
        </w:rPr>
        <w:t xml:space="preserve">between outcome and </w:t>
      </w:r>
      <w:r w:rsidR="00022773" w:rsidRPr="009A1578">
        <w:rPr>
          <w:rFonts w:ascii="Times New Roman" w:hAnsi="Times New Roman" w:cs="Times New Roman"/>
          <w:noProof/>
        </w:rPr>
        <w:t>exposures</w:t>
      </w:r>
      <w:r w:rsidR="00445A8A" w:rsidRPr="009A1578">
        <w:rPr>
          <w:rFonts w:ascii="Times New Roman" w:hAnsi="Times New Roman" w:cs="Times New Roman"/>
          <w:noProof/>
        </w:rPr>
        <w:t>,</w:t>
      </w:r>
      <w:r w:rsidR="00022773" w:rsidRPr="009A1578">
        <w:rPr>
          <w:rFonts w:ascii="Times New Roman" w:hAnsi="Times New Roman" w:cs="Times New Roman"/>
        </w:rPr>
        <w:t xml:space="preserve"> and thus more research is needed to investigate whether measures of socioeconomic status</w:t>
      </w:r>
      <w:r w:rsidR="00D95D65" w:rsidRPr="009A1578">
        <w:rPr>
          <w:rFonts w:ascii="Times New Roman" w:hAnsi="Times New Roman" w:cs="Times New Roman"/>
        </w:rPr>
        <w:t xml:space="preserve"> </w:t>
      </w:r>
      <w:r w:rsidR="00022773" w:rsidRPr="009A1578">
        <w:rPr>
          <w:rFonts w:ascii="Times New Roman" w:hAnsi="Times New Roman" w:cs="Times New Roman"/>
        </w:rPr>
        <w:t xml:space="preserve">could be used for future prevention strategies for </w:t>
      </w:r>
      <w:r w:rsidR="009D61E1" w:rsidRPr="009A1578">
        <w:rPr>
          <w:rFonts w:ascii="Times New Roman" w:hAnsi="Times New Roman" w:cs="Times New Roman"/>
        </w:rPr>
        <w:t>osteoporotic</w:t>
      </w:r>
      <w:r w:rsidR="00022773" w:rsidRPr="009A1578">
        <w:rPr>
          <w:rFonts w:ascii="Times New Roman" w:hAnsi="Times New Roman" w:cs="Times New Roman"/>
        </w:rPr>
        <w:t xml:space="preserve"> fractures. </w:t>
      </w:r>
      <w:r w:rsidR="00A708F0" w:rsidRPr="009A1578">
        <w:rPr>
          <w:rFonts w:ascii="Times New Roman" w:hAnsi="Times New Roman" w:cs="Times New Roman"/>
        </w:rPr>
        <w:t xml:space="preserve">Thus the aim of the current study </w:t>
      </w:r>
      <w:r w:rsidR="0001247A" w:rsidRPr="009A1578">
        <w:rPr>
          <w:rFonts w:ascii="Times New Roman" w:hAnsi="Times New Roman" w:cs="Times New Roman"/>
        </w:rPr>
        <w:t>w</w:t>
      </w:r>
      <w:r w:rsidR="00A708F0" w:rsidRPr="009A1578">
        <w:rPr>
          <w:rFonts w:ascii="Times New Roman" w:hAnsi="Times New Roman" w:cs="Times New Roman"/>
        </w:rPr>
        <w:t xml:space="preserve">as to </w:t>
      </w:r>
      <w:r w:rsidR="00A708F0" w:rsidRPr="009A1578">
        <w:rPr>
          <w:rFonts w:ascii="Times New Roman" w:hAnsi="Times New Roman" w:cs="Times New Roman"/>
          <w:noProof/>
        </w:rPr>
        <w:t>investigate</w:t>
      </w:r>
      <w:r w:rsidR="00A708F0" w:rsidRPr="009A1578">
        <w:rPr>
          <w:rFonts w:ascii="Times New Roman" w:hAnsi="Times New Roman" w:cs="Times New Roman"/>
        </w:rPr>
        <w:t xml:space="preserve"> the association </w:t>
      </w:r>
      <w:r w:rsidR="00313AFA" w:rsidRPr="009A1578">
        <w:rPr>
          <w:rFonts w:ascii="Times New Roman" w:hAnsi="Times New Roman" w:cs="Times New Roman"/>
        </w:rPr>
        <w:t xml:space="preserve">over time </w:t>
      </w:r>
      <w:r w:rsidR="00A708F0" w:rsidRPr="009A1578">
        <w:rPr>
          <w:rFonts w:ascii="Times New Roman" w:hAnsi="Times New Roman" w:cs="Times New Roman"/>
        </w:rPr>
        <w:t>between</w:t>
      </w:r>
      <w:r w:rsidR="00460F59" w:rsidRPr="009A1578">
        <w:rPr>
          <w:rFonts w:ascii="Times New Roman" w:hAnsi="Times New Roman" w:cs="Times New Roman"/>
        </w:rPr>
        <w:t xml:space="preserve"> the</w:t>
      </w:r>
      <w:r w:rsidR="00A708F0" w:rsidRPr="009A1578">
        <w:rPr>
          <w:rFonts w:ascii="Times New Roman" w:hAnsi="Times New Roman" w:cs="Times New Roman"/>
        </w:rPr>
        <w:t xml:space="preserve"> </w:t>
      </w:r>
      <w:r w:rsidR="001C28B5" w:rsidRPr="009A1578">
        <w:rPr>
          <w:rFonts w:ascii="Times New Roman" w:hAnsi="Times New Roman" w:cs="Times New Roman"/>
          <w:noProof/>
        </w:rPr>
        <w:t>risk</w:t>
      </w:r>
      <w:r w:rsidR="003E4D8D" w:rsidRPr="009A1578">
        <w:rPr>
          <w:rFonts w:ascii="Times New Roman" w:hAnsi="Times New Roman" w:cs="Times New Roman"/>
        </w:rPr>
        <w:t xml:space="preserve"> of </w:t>
      </w:r>
      <w:r w:rsidR="00A708F0" w:rsidRPr="009A1578">
        <w:rPr>
          <w:rFonts w:ascii="Times New Roman" w:hAnsi="Times New Roman" w:cs="Times New Roman"/>
        </w:rPr>
        <w:t>hip</w:t>
      </w:r>
      <w:r w:rsidR="009D61E1" w:rsidRPr="009A1578">
        <w:rPr>
          <w:rFonts w:ascii="Times New Roman" w:hAnsi="Times New Roman" w:cs="Times New Roman"/>
        </w:rPr>
        <w:t>, humerus and</w:t>
      </w:r>
      <w:r w:rsidR="00A708F0" w:rsidRPr="009A1578">
        <w:rPr>
          <w:rFonts w:ascii="Times New Roman" w:hAnsi="Times New Roman" w:cs="Times New Roman"/>
        </w:rPr>
        <w:t xml:space="preserve"> </w:t>
      </w:r>
      <w:r w:rsidR="005F21B8" w:rsidRPr="009A1578">
        <w:rPr>
          <w:rFonts w:ascii="Times New Roman" w:hAnsi="Times New Roman" w:cs="Times New Roman"/>
        </w:rPr>
        <w:t>wrist</w:t>
      </w:r>
      <w:r w:rsidR="009D61E1" w:rsidRPr="009A1578">
        <w:rPr>
          <w:rFonts w:ascii="Times New Roman" w:hAnsi="Times New Roman" w:cs="Times New Roman"/>
        </w:rPr>
        <w:t xml:space="preserve"> </w:t>
      </w:r>
      <w:r w:rsidR="00A708F0" w:rsidRPr="009A1578">
        <w:rPr>
          <w:rFonts w:ascii="Times New Roman" w:hAnsi="Times New Roman" w:cs="Times New Roman"/>
        </w:rPr>
        <w:t>fracture</w:t>
      </w:r>
      <w:r w:rsidR="0001247A" w:rsidRPr="009A1578">
        <w:rPr>
          <w:rFonts w:ascii="Times New Roman" w:hAnsi="Times New Roman" w:cs="Times New Roman"/>
        </w:rPr>
        <w:t>,</w:t>
      </w:r>
      <w:r w:rsidR="00A708F0" w:rsidRPr="009A1578">
        <w:rPr>
          <w:rFonts w:ascii="Times New Roman" w:hAnsi="Times New Roman" w:cs="Times New Roman"/>
        </w:rPr>
        <w:t xml:space="preserve"> and </w:t>
      </w:r>
      <w:r w:rsidR="00C564BF" w:rsidRPr="009A1578">
        <w:rPr>
          <w:rFonts w:ascii="Times New Roman" w:hAnsi="Times New Roman" w:cs="Times New Roman"/>
        </w:rPr>
        <w:t>markers of inequality</w:t>
      </w:r>
      <w:r w:rsidR="00A708F0" w:rsidRPr="009A1578">
        <w:rPr>
          <w:rFonts w:ascii="Times New Roman" w:hAnsi="Times New Roman" w:cs="Times New Roman"/>
        </w:rPr>
        <w:t xml:space="preserve"> (</w:t>
      </w:r>
      <w:r w:rsidR="005F21B8" w:rsidRPr="009A1578">
        <w:rPr>
          <w:rFonts w:ascii="Times New Roman" w:hAnsi="Times New Roman" w:cs="Times New Roman"/>
        </w:rPr>
        <w:t>area of</w:t>
      </w:r>
      <w:r w:rsidR="009D61E1" w:rsidRPr="009A1578">
        <w:rPr>
          <w:rFonts w:ascii="Times New Roman" w:hAnsi="Times New Roman" w:cs="Times New Roman"/>
        </w:rPr>
        <w:t xml:space="preserve"> residence, marital status</w:t>
      </w:r>
      <w:r w:rsidR="0004659E" w:rsidRPr="009A1578">
        <w:rPr>
          <w:rFonts w:ascii="Times New Roman" w:hAnsi="Times New Roman" w:cs="Times New Roman"/>
        </w:rPr>
        <w:t>,</w:t>
      </w:r>
      <w:r w:rsidR="00A708F0" w:rsidRPr="009A1578">
        <w:rPr>
          <w:rFonts w:ascii="Times New Roman" w:hAnsi="Times New Roman" w:cs="Times New Roman"/>
        </w:rPr>
        <w:t xml:space="preserve"> and income)</w:t>
      </w:r>
      <w:r w:rsidR="00B54B65" w:rsidRPr="009A1578">
        <w:rPr>
          <w:rFonts w:ascii="Times New Roman" w:hAnsi="Times New Roman" w:cs="Times New Roman"/>
        </w:rPr>
        <w:t xml:space="preserve"> in a population-based study</w:t>
      </w:r>
      <w:r w:rsidR="00A708F0" w:rsidRPr="009A1578">
        <w:rPr>
          <w:rFonts w:ascii="Times New Roman" w:hAnsi="Times New Roman" w:cs="Times New Roman"/>
        </w:rPr>
        <w:t>.</w:t>
      </w:r>
    </w:p>
    <w:p w14:paraId="3A04E3AE" w14:textId="77777777" w:rsidR="00CF4226" w:rsidRPr="009A1578" w:rsidRDefault="00CF4226">
      <w:pPr>
        <w:rPr>
          <w:rFonts w:ascii="Times New Roman" w:hAnsi="Times New Roman" w:cs="Times New Roman"/>
          <w:b/>
        </w:rPr>
      </w:pPr>
      <w:r w:rsidRPr="009A1578">
        <w:rPr>
          <w:rFonts w:ascii="Times New Roman" w:hAnsi="Times New Roman" w:cs="Times New Roman"/>
          <w:b/>
        </w:rPr>
        <w:br w:type="page"/>
      </w:r>
    </w:p>
    <w:p w14:paraId="6C47AF9F" w14:textId="13A19CB1" w:rsidR="00F30B38" w:rsidRPr="009A1578" w:rsidRDefault="00956D76" w:rsidP="00934254">
      <w:pPr>
        <w:spacing w:line="480" w:lineRule="auto"/>
        <w:jc w:val="both"/>
        <w:rPr>
          <w:rFonts w:ascii="Times New Roman" w:hAnsi="Times New Roman" w:cs="Times New Roman"/>
          <w:b/>
        </w:rPr>
      </w:pPr>
      <w:r w:rsidRPr="009A1578">
        <w:rPr>
          <w:rFonts w:ascii="Times New Roman" w:hAnsi="Times New Roman" w:cs="Times New Roman"/>
          <w:b/>
        </w:rPr>
        <w:lastRenderedPageBreak/>
        <w:t>Methods</w:t>
      </w:r>
    </w:p>
    <w:p w14:paraId="0A991EC0" w14:textId="17CA6183" w:rsidR="006A24B2" w:rsidRPr="009A1578" w:rsidRDefault="00683074" w:rsidP="00934254">
      <w:pPr>
        <w:spacing w:line="480" w:lineRule="auto"/>
        <w:jc w:val="both"/>
        <w:rPr>
          <w:rFonts w:ascii="Times New Roman" w:hAnsi="Times New Roman" w:cs="Times New Roman"/>
          <w:i/>
        </w:rPr>
      </w:pPr>
      <w:r w:rsidRPr="009A1578">
        <w:rPr>
          <w:rFonts w:ascii="Times New Roman" w:hAnsi="Times New Roman" w:cs="Times New Roman"/>
          <w:i/>
        </w:rPr>
        <w:t>Source of data and s</w:t>
      </w:r>
      <w:r w:rsidR="006A24B2" w:rsidRPr="009A1578">
        <w:rPr>
          <w:rFonts w:ascii="Times New Roman" w:hAnsi="Times New Roman" w:cs="Times New Roman"/>
          <w:i/>
        </w:rPr>
        <w:t xml:space="preserve">tudy population </w:t>
      </w:r>
    </w:p>
    <w:p w14:paraId="1E8AC852" w14:textId="6E58036D" w:rsidR="006622C0" w:rsidRPr="009A1578" w:rsidRDefault="006622C0" w:rsidP="00934254">
      <w:pPr>
        <w:spacing w:line="480" w:lineRule="auto"/>
        <w:jc w:val="both"/>
        <w:rPr>
          <w:rFonts w:ascii="Times New Roman" w:hAnsi="Times New Roman" w:cs="Times New Roman"/>
        </w:rPr>
      </w:pPr>
      <w:r w:rsidRPr="009A1578">
        <w:rPr>
          <w:rFonts w:ascii="Times New Roman" w:hAnsi="Times New Roman" w:cs="Times New Roman"/>
        </w:rPr>
        <w:t>We conducted a population-based case-control study with d</w:t>
      </w:r>
      <w:r w:rsidR="004B347B" w:rsidRPr="009A1578">
        <w:rPr>
          <w:rFonts w:ascii="Times New Roman" w:hAnsi="Times New Roman" w:cs="Times New Roman"/>
        </w:rPr>
        <w:t>ata obtained from t</w:t>
      </w:r>
      <w:r w:rsidR="001C28B5" w:rsidRPr="009A1578">
        <w:rPr>
          <w:rFonts w:ascii="Times New Roman" w:hAnsi="Times New Roman" w:cs="Times New Roman"/>
        </w:rPr>
        <w:t>he Danish h</w:t>
      </w:r>
      <w:r w:rsidR="006A24B2" w:rsidRPr="009A1578">
        <w:rPr>
          <w:rFonts w:ascii="Times New Roman" w:hAnsi="Times New Roman" w:cs="Times New Roman"/>
        </w:rPr>
        <w:t xml:space="preserve">ealth </w:t>
      </w:r>
      <w:r w:rsidR="001C28B5" w:rsidRPr="009A1578">
        <w:rPr>
          <w:rFonts w:ascii="Times New Roman" w:hAnsi="Times New Roman" w:cs="Times New Roman"/>
        </w:rPr>
        <w:t>r</w:t>
      </w:r>
      <w:r w:rsidR="006A24B2" w:rsidRPr="009A1578">
        <w:rPr>
          <w:rFonts w:ascii="Times New Roman" w:hAnsi="Times New Roman" w:cs="Times New Roman"/>
        </w:rPr>
        <w:t xml:space="preserve">egistries. </w:t>
      </w:r>
      <w:r w:rsidR="004B347B" w:rsidRPr="009A1578">
        <w:rPr>
          <w:rFonts w:ascii="Times New Roman" w:hAnsi="Times New Roman" w:cs="Times New Roman"/>
        </w:rPr>
        <w:t xml:space="preserve">The cases and </w:t>
      </w:r>
      <w:r w:rsidR="0004659E" w:rsidRPr="009A1578">
        <w:rPr>
          <w:rFonts w:ascii="Times New Roman" w:hAnsi="Times New Roman" w:cs="Times New Roman"/>
        </w:rPr>
        <w:t>control</w:t>
      </w:r>
      <w:r w:rsidR="004B347B" w:rsidRPr="009A1578">
        <w:rPr>
          <w:rFonts w:ascii="Times New Roman" w:hAnsi="Times New Roman" w:cs="Times New Roman"/>
        </w:rPr>
        <w:t>s</w:t>
      </w:r>
      <w:r w:rsidR="0004659E" w:rsidRPr="009A1578">
        <w:rPr>
          <w:rFonts w:ascii="Times New Roman" w:hAnsi="Times New Roman" w:cs="Times New Roman"/>
        </w:rPr>
        <w:t xml:space="preserve"> were identified using</w:t>
      </w:r>
      <w:r w:rsidR="004B347B" w:rsidRPr="009A1578">
        <w:rPr>
          <w:rFonts w:ascii="Times New Roman" w:hAnsi="Times New Roman" w:cs="Times New Roman"/>
        </w:rPr>
        <w:t xml:space="preserve"> t</w:t>
      </w:r>
      <w:r w:rsidR="005E67A0" w:rsidRPr="009A1578">
        <w:rPr>
          <w:rFonts w:ascii="Times New Roman" w:hAnsi="Times New Roman" w:cs="Times New Roman"/>
        </w:rPr>
        <w:t xml:space="preserve">he National </w:t>
      </w:r>
      <w:r w:rsidR="0039219D" w:rsidRPr="009A1578">
        <w:rPr>
          <w:rFonts w:ascii="Times New Roman" w:hAnsi="Times New Roman" w:cs="Times New Roman"/>
        </w:rPr>
        <w:t>Patient</w:t>
      </w:r>
      <w:r w:rsidR="005E67A0" w:rsidRPr="009A1578">
        <w:rPr>
          <w:rFonts w:ascii="Times New Roman" w:hAnsi="Times New Roman" w:cs="Times New Roman"/>
        </w:rPr>
        <w:t xml:space="preserve"> Register </w:t>
      </w:r>
      <w:r w:rsidR="00C82E86" w:rsidRPr="00F67B48">
        <w:rPr>
          <w:rFonts w:ascii="Times New Roman" w:hAnsi="Times New Roman" w:cs="Times New Roman"/>
        </w:rPr>
        <w:t xml:space="preserve">with complete coverage of inpatient contacts to the </w:t>
      </w:r>
      <w:r w:rsidR="00C82E86" w:rsidRPr="00F67B48">
        <w:rPr>
          <w:rFonts w:ascii="Times New Roman" w:hAnsi="Times New Roman" w:cs="Times New Roman"/>
          <w:noProof/>
        </w:rPr>
        <w:t>hospital</w:t>
      </w:r>
      <w:r w:rsidR="00C82E86" w:rsidRPr="00F67B48">
        <w:rPr>
          <w:rFonts w:ascii="Times New Roman" w:hAnsi="Times New Roman" w:cs="Times New Roman"/>
        </w:rPr>
        <w:t xml:space="preserve"> since 1977 and outpatient contacts since 1994</w:t>
      </w:r>
      <w:r w:rsidR="00C82E86" w:rsidRPr="00C82E86">
        <w:rPr>
          <w:rFonts w:ascii="Times New Roman" w:hAnsi="Times New Roman" w:cs="Times New Roman"/>
        </w:rPr>
        <w:t xml:space="preserve">. </w:t>
      </w:r>
      <w:r w:rsidR="006A5C06" w:rsidRPr="009A1578">
        <w:rPr>
          <w:rFonts w:ascii="Times New Roman" w:hAnsi="Times New Roman" w:cs="Times New Roman"/>
        </w:rPr>
        <w:t>The Danish h</w:t>
      </w:r>
      <w:r w:rsidR="0039219D" w:rsidRPr="009A1578">
        <w:rPr>
          <w:rFonts w:ascii="Times New Roman" w:hAnsi="Times New Roman" w:cs="Times New Roman"/>
        </w:rPr>
        <w:t xml:space="preserve">ealth </w:t>
      </w:r>
      <w:r w:rsidR="006A5C06" w:rsidRPr="009A1578">
        <w:rPr>
          <w:rFonts w:ascii="Times New Roman" w:hAnsi="Times New Roman" w:cs="Times New Roman"/>
        </w:rPr>
        <w:t>r</w:t>
      </w:r>
      <w:r w:rsidR="0039219D" w:rsidRPr="009A1578">
        <w:rPr>
          <w:rFonts w:ascii="Times New Roman" w:hAnsi="Times New Roman" w:cs="Times New Roman"/>
        </w:rPr>
        <w:t xml:space="preserve">egistries comprise all contacts with healthcare services both at public and private facilities for all 5.7 million citizens. The National Patient Register was the source of identification of cases for this study and includes </w:t>
      </w:r>
      <w:r w:rsidR="0039219D" w:rsidRPr="009A1578">
        <w:rPr>
          <w:rFonts w:ascii="Times New Roman" w:hAnsi="Times New Roman" w:cs="Times New Roman"/>
          <w:noProof/>
        </w:rPr>
        <w:t>comp</w:t>
      </w:r>
      <w:r w:rsidR="00445A8A" w:rsidRPr="009A1578">
        <w:rPr>
          <w:rFonts w:ascii="Times New Roman" w:hAnsi="Times New Roman" w:cs="Times New Roman"/>
          <w:noProof/>
        </w:rPr>
        <w:t>let</w:t>
      </w:r>
      <w:r w:rsidR="0039219D" w:rsidRPr="009A1578">
        <w:rPr>
          <w:rFonts w:ascii="Times New Roman" w:hAnsi="Times New Roman" w:cs="Times New Roman"/>
          <w:noProof/>
        </w:rPr>
        <w:t>e</w:t>
      </w:r>
      <w:r w:rsidR="0039219D" w:rsidRPr="009A1578">
        <w:rPr>
          <w:rFonts w:ascii="Times New Roman" w:hAnsi="Times New Roman" w:cs="Times New Roman"/>
        </w:rPr>
        <w:t xml:space="preserve"> registrations on</w:t>
      </w:r>
      <w:r w:rsidR="00460F59" w:rsidRPr="009A1578">
        <w:rPr>
          <w:rFonts w:ascii="Times New Roman" w:hAnsi="Times New Roman" w:cs="Times New Roman"/>
        </w:rPr>
        <w:t xml:space="preserve"> the</w:t>
      </w:r>
      <w:r w:rsidR="0039219D" w:rsidRPr="009A1578">
        <w:rPr>
          <w:rFonts w:ascii="Times New Roman" w:hAnsi="Times New Roman" w:cs="Times New Roman"/>
        </w:rPr>
        <w:t xml:space="preserve"> </w:t>
      </w:r>
      <w:r w:rsidR="008648C0" w:rsidRPr="009A1578">
        <w:rPr>
          <w:rFonts w:ascii="Times New Roman" w:hAnsi="Times New Roman" w:cs="Times New Roman"/>
          <w:noProof/>
        </w:rPr>
        <w:t>classification</w:t>
      </w:r>
      <w:r w:rsidR="008648C0" w:rsidRPr="009A1578">
        <w:rPr>
          <w:rFonts w:ascii="Times New Roman" w:hAnsi="Times New Roman" w:cs="Times New Roman"/>
        </w:rPr>
        <w:t xml:space="preserve"> of diseases (ICD10 codes), surgical procedures (NCSP codes)</w:t>
      </w:r>
      <w:r w:rsidR="004B347B" w:rsidRPr="009A1578">
        <w:rPr>
          <w:rFonts w:ascii="Times New Roman" w:hAnsi="Times New Roman" w:cs="Times New Roman"/>
        </w:rPr>
        <w:t>,</w:t>
      </w:r>
      <w:r w:rsidR="008648C0" w:rsidRPr="009A1578">
        <w:rPr>
          <w:rFonts w:ascii="Times New Roman" w:hAnsi="Times New Roman" w:cs="Times New Roman"/>
        </w:rPr>
        <w:t xml:space="preserve"> and administrative variables (time and place of treatment). In </w:t>
      </w:r>
      <w:r w:rsidR="008648C0" w:rsidRPr="009A1578">
        <w:rPr>
          <w:rFonts w:ascii="Times New Roman" w:hAnsi="Times New Roman" w:cs="Times New Roman"/>
          <w:noProof/>
        </w:rPr>
        <w:t>Denmark</w:t>
      </w:r>
      <w:r w:rsidR="00445A8A" w:rsidRPr="009A1578">
        <w:rPr>
          <w:rFonts w:ascii="Times New Roman" w:hAnsi="Times New Roman" w:cs="Times New Roman"/>
          <w:noProof/>
        </w:rPr>
        <w:t>,</w:t>
      </w:r>
      <w:r w:rsidR="004B347B" w:rsidRPr="009A1578">
        <w:rPr>
          <w:rFonts w:ascii="Times New Roman" w:hAnsi="Times New Roman" w:cs="Times New Roman"/>
        </w:rPr>
        <w:t xml:space="preserve"> all citizens are </w:t>
      </w:r>
      <w:r w:rsidR="008648C0" w:rsidRPr="009A1578">
        <w:rPr>
          <w:rFonts w:ascii="Times New Roman" w:hAnsi="Times New Roman" w:cs="Times New Roman"/>
        </w:rPr>
        <w:t>provided with a personal identification number at birth or at occupancy in the country</w:t>
      </w:r>
      <w:r w:rsidR="00DC1F16" w:rsidRPr="009A1578">
        <w:rPr>
          <w:rFonts w:ascii="Times New Roman" w:hAnsi="Times New Roman" w:cs="Times New Roman"/>
        </w:rPr>
        <w:t xml:space="preserve">. This </w:t>
      </w:r>
      <w:r w:rsidR="00DC1F16" w:rsidRPr="009A1578">
        <w:rPr>
          <w:rFonts w:ascii="Times New Roman" w:hAnsi="Times New Roman" w:cs="Times New Roman"/>
          <w:noProof/>
        </w:rPr>
        <w:t>number</w:t>
      </w:r>
      <w:r w:rsidR="00DC1F16" w:rsidRPr="009A1578">
        <w:rPr>
          <w:rFonts w:ascii="Times New Roman" w:hAnsi="Times New Roman" w:cs="Times New Roman"/>
        </w:rPr>
        <w:t xml:space="preserve"> is used for all contact</w:t>
      </w:r>
      <w:r w:rsidR="00300CE7" w:rsidRPr="009A1578">
        <w:rPr>
          <w:rFonts w:ascii="Times New Roman" w:hAnsi="Times New Roman" w:cs="Times New Roman"/>
        </w:rPr>
        <w:t xml:space="preserve"> with </w:t>
      </w:r>
      <w:r w:rsidR="00DC1F16" w:rsidRPr="009A1578">
        <w:rPr>
          <w:rFonts w:ascii="Times New Roman" w:hAnsi="Times New Roman" w:cs="Times New Roman"/>
        </w:rPr>
        <w:t>government</w:t>
      </w:r>
      <w:r w:rsidR="00300CE7" w:rsidRPr="009A1578">
        <w:rPr>
          <w:rFonts w:ascii="Times New Roman" w:hAnsi="Times New Roman" w:cs="Times New Roman"/>
        </w:rPr>
        <w:t>al agencies</w:t>
      </w:r>
      <w:r w:rsidR="00DC1F16" w:rsidRPr="009A1578">
        <w:rPr>
          <w:rFonts w:ascii="Times New Roman" w:hAnsi="Times New Roman" w:cs="Times New Roman"/>
        </w:rPr>
        <w:t xml:space="preserve"> and hence also within the healthcare system and can thus be used to </w:t>
      </w:r>
      <w:r w:rsidR="003E4D8D" w:rsidRPr="009A1578">
        <w:rPr>
          <w:rFonts w:ascii="Times New Roman" w:hAnsi="Times New Roman" w:cs="Times New Roman"/>
        </w:rPr>
        <w:t>link</w:t>
      </w:r>
      <w:r w:rsidR="00DC1F16" w:rsidRPr="009A1578">
        <w:rPr>
          <w:rFonts w:ascii="Times New Roman" w:hAnsi="Times New Roman" w:cs="Times New Roman"/>
        </w:rPr>
        <w:t xml:space="preserve"> information </w:t>
      </w:r>
      <w:r w:rsidR="004D474D" w:rsidRPr="009A1578">
        <w:rPr>
          <w:rFonts w:ascii="Times New Roman" w:hAnsi="Times New Roman" w:cs="Times New Roman"/>
        </w:rPr>
        <w:t>about</w:t>
      </w:r>
      <w:r w:rsidR="00DC1F16" w:rsidRPr="009A1578">
        <w:rPr>
          <w:rFonts w:ascii="Times New Roman" w:hAnsi="Times New Roman" w:cs="Times New Roman"/>
        </w:rPr>
        <w:t xml:space="preserve"> citizens between different registers. </w:t>
      </w:r>
    </w:p>
    <w:p w14:paraId="2BD13250" w14:textId="4B1E106E" w:rsidR="005E67A0" w:rsidRPr="009A1578" w:rsidRDefault="005E67A0" w:rsidP="00934254">
      <w:pPr>
        <w:spacing w:line="480" w:lineRule="auto"/>
        <w:jc w:val="both"/>
        <w:rPr>
          <w:rFonts w:ascii="Times New Roman" w:hAnsi="Times New Roman" w:cs="Times New Roman"/>
        </w:rPr>
      </w:pPr>
      <w:r w:rsidRPr="009A1578">
        <w:rPr>
          <w:rFonts w:ascii="Times New Roman" w:hAnsi="Times New Roman" w:cs="Times New Roman"/>
        </w:rPr>
        <w:t xml:space="preserve">All patients </w:t>
      </w:r>
      <w:r w:rsidRPr="000408E8">
        <w:rPr>
          <w:rFonts w:ascii="Times New Roman" w:hAnsi="Times New Roman" w:cs="Times New Roman"/>
        </w:rPr>
        <w:t xml:space="preserve">aged </w:t>
      </w:r>
      <w:r w:rsidR="00F5389B" w:rsidRPr="000408E8">
        <w:rPr>
          <w:rFonts w:ascii="Times New Roman" w:hAnsi="Times New Roman" w:cs="Times New Roman"/>
        </w:rPr>
        <w:t>5</w:t>
      </w:r>
      <w:r w:rsidRPr="000408E8">
        <w:rPr>
          <w:rFonts w:ascii="Times New Roman" w:hAnsi="Times New Roman" w:cs="Times New Roman"/>
        </w:rPr>
        <w:t>0 years or over</w:t>
      </w:r>
      <w:r w:rsidRPr="009A1578">
        <w:rPr>
          <w:rFonts w:ascii="Times New Roman" w:hAnsi="Times New Roman" w:cs="Times New Roman"/>
        </w:rPr>
        <w:t xml:space="preserve"> with a primary hip fracture (ICD10 diagnosis codes S720, S721, </w:t>
      </w:r>
      <w:r w:rsidRPr="009A1578">
        <w:rPr>
          <w:rFonts w:ascii="Times New Roman" w:hAnsi="Times New Roman" w:cs="Times New Roman"/>
          <w:noProof/>
        </w:rPr>
        <w:t>S722</w:t>
      </w:r>
      <w:r w:rsidR="00445A8A" w:rsidRPr="009A1578">
        <w:rPr>
          <w:rFonts w:ascii="Times New Roman" w:hAnsi="Times New Roman" w:cs="Times New Roman"/>
          <w:noProof/>
        </w:rPr>
        <w:t>,</w:t>
      </w:r>
      <w:r w:rsidRPr="009A1578">
        <w:rPr>
          <w:rFonts w:ascii="Times New Roman" w:hAnsi="Times New Roman" w:cs="Times New Roman"/>
        </w:rPr>
        <w:t xml:space="preserve"> and S729)</w:t>
      </w:r>
      <w:r w:rsidR="00F5389B" w:rsidRPr="009A1578">
        <w:rPr>
          <w:rFonts w:ascii="Times New Roman" w:hAnsi="Times New Roman" w:cs="Times New Roman"/>
        </w:rPr>
        <w:t>, humerus fracture (ICD 10 diagnosis code</w:t>
      </w:r>
      <w:r w:rsidR="004B347B" w:rsidRPr="009A1578">
        <w:rPr>
          <w:rFonts w:ascii="Times New Roman" w:hAnsi="Times New Roman" w:cs="Times New Roman"/>
        </w:rPr>
        <w:t>s S422, S423, S424, S425, S426, and S427</w:t>
      </w:r>
      <w:r w:rsidR="00F5389B" w:rsidRPr="009A1578">
        <w:rPr>
          <w:rFonts w:ascii="Times New Roman" w:hAnsi="Times New Roman" w:cs="Times New Roman"/>
        </w:rPr>
        <w:t>)</w:t>
      </w:r>
      <w:r w:rsidRPr="009A1578">
        <w:rPr>
          <w:rFonts w:ascii="Times New Roman" w:hAnsi="Times New Roman" w:cs="Times New Roman"/>
        </w:rPr>
        <w:t xml:space="preserve"> </w:t>
      </w:r>
      <w:r w:rsidR="00F5389B" w:rsidRPr="009A1578">
        <w:rPr>
          <w:rFonts w:ascii="Times New Roman" w:hAnsi="Times New Roman" w:cs="Times New Roman"/>
        </w:rPr>
        <w:t>or wrist fracture (ICD 10 diagnosis code</w:t>
      </w:r>
      <w:r w:rsidR="00C564BF" w:rsidRPr="009A1578">
        <w:rPr>
          <w:rFonts w:ascii="Times New Roman" w:hAnsi="Times New Roman" w:cs="Times New Roman"/>
        </w:rPr>
        <w:t>s S52</w:t>
      </w:r>
      <w:r w:rsidR="00F5389B" w:rsidRPr="009A1578">
        <w:rPr>
          <w:rFonts w:ascii="Times New Roman" w:hAnsi="Times New Roman" w:cs="Times New Roman"/>
        </w:rPr>
        <w:t xml:space="preserve">) </w:t>
      </w:r>
      <w:r w:rsidRPr="009A1578">
        <w:rPr>
          <w:rFonts w:ascii="Times New Roman" w:hAnsi="Times New Roman" w:cs="Times New Roman"/>
        </w:rPr>
        <w:t xml:space="preserve">were identified for the period January </w:t>
      </w:r>
      <w:r w:rsidRPr="009A1578">
        <w:rPr>
          <w:rFonts w:ascii="Times New Roman" w:hAnsi="Times New Roman" w:cs="Times New Roman"/>
          <w:noProof/>
        </w:rPr>
        <w:t>1</w:t>
      </w:r>
      <w:r w:rsidRPr="009A1578">
        <w:rPr>
          <w:rFonts w:ascii="Times New Roman" w:hAnsi="Times New Roman" w:cs="Times New Roman"/>
          <w:noProof/>
          <w:vertAlign w:val="superscript"/>
        </w:rPr>
        <w:t>st</w:t>
      </w:r>
      <w:r w:rsidR="00445A8A" w:rsidRPr="009A1578">
        <w:rPr>
          <w:rFonts w:ascii="Times New Roman" w:hAnsi="Times New Roman" w:cs="Times New Roman"/>
          <w:noProof/>
        </w:rPr>
        <w:t>,</w:t>
      </w:r>
      <w:r w:rsidRPr="009A1578">
        <w:rPr>
          <w:rFonts w:ascii="Times New Roman" w:hAnsi="Times New Roman" w:cs="Times New Roman"/>
        </w:rPr>
        <w:t xml:space="preserve"> 1995 to December </w:t>
      </w:r>
      <w:r w:rsidRPr="009A1578">
        <w:rPr>
          <w:rFonts w:ascii="Times New Roman" w:hAnsi="Times New Roman" w:cs="Times New Roman"/>
          <w:noProof/>
        </w:rPr>
        <w:t>31</w:t>
      </w:r>
      <w:r w:rsidRPr="009A1578">
        <w:rPr>
          <w:rFonts w:ascii="Times New Roman" w:hAnsi="Times New Roman" w:cs="Times New Roman"/>
          <w:noProof/>
          <w:vertAlign w:val="superscript"/>
        </w:rPr>
        <w:t>st</w:t>
      </w:r>
      <w:r w:rsidR="00445A8A" w:rsidRPr="009A1578">
        <w:rPr>
          <w:rFonts w:ascii="Times New Roman" w:hAnsi="Times New Roman" w:cs="Times New Roman"/>
          <w:noProof/>
        </w:rPr>
        <w:t>,</w:t>
      </w:r>
      <w:r w:rsidRPr="009A1578">
        <w:rPr>
          <w:rFonts w:ascii="Times New Roman" w:hAnsi="Times New Roman" w:cs="Times New Roman"/>
        </w:rPr>
        <w:t xml:space="preserve"> 2011.</w:t>
      </w:r>
      <w:r w:rsidR="00F5389B" w:rsidRPr="009A1578">
        <w:rPr>
          <w:rFonts w:ascii="Times New Roman" w:hAnsi="Times New Roman" w:cs="Times New Roman"/>
        </w:rPr>
        <w:t xml:space="preserve"> </w:t>
      </w:r>
      <w:r w:rsidR="004B347B" w:rsidRPr="009A1578">
        <w:rPr>
          <w:rFonts w:ascii="Times New Roman" w:hAnsi="Times New Roman" w:cs="Times New Roman"/>
        </w:rPr>
        <w:t>F</w:t>
      </w:r>
      <w:r w:rsidRPr="009A1578">
        <w:rPr>
          <w:rFonts w:ascii="Times New Roman" w:hAnsi="Times New Roman" w:cs="Times New Roman"/>
        </w:rPr>
        <w:t xml:space="preserve">racture patients were matched 1:1 </w:t>
      </w:r>
      <w:r w:rsidR="003E4D8D" w:rsidRPr="009A1578">
        <w:rPr>
          <w:rFonts w:ascii="Times New Roman" w:hAnsi="Times New Roman" w:cs="Times New Roman"/>
        </w:rPr>
        <w:t>by</w:t>
      </w:r>
      <w:r w:rsidRPr="009A1578">
        <w:rPr>
          <w:rFonts w:ascii="Times New Roman" w:hAnsi="Times New Roman" w:cs="Times New Roman"/>
        </w:rPr>
        <w:t xml:space="preserve"> age, </w:t>
      </w:r>
      <w:r w:rsidR="003E4D8D" w:rsidRPr="009A1578">
        <w:rPr>
          <w:rFonts w:ascii="Times New Roman" w:hAnsi="Times New Roman" w:cs="Times New Roman"/>
        </w:rPr>
        <w:t>sex</w:t>
      </w:r>
      <w:r w:rsidRPr="009A1578">
        <w:rPr>
          <w:rFonts w:ascii="Times New Roman" w:hAnsi="Times New Roman" w:cs="Times New Roman"/>
        </w:rPr>
        <w:t xml:space="preserve"> an</w:t>
      </w:r>
      <w:r w:rsidR="00862149" w:rsidRPr="009A1578">
        <w:rPr>
          <w:rFonts w:ascii="Times New Roman" w:hAnsi="Times New Roman" w:cs="Times New Roman"/>
        </w:rPr>
        <w:t>d year of fracture to a non-</w:t>
      </w:r>
      <w:r w:rsidRPr="009A1578">
        <w:rPr>
          <w:rFonts w:ascii="Times New Roman" w:hAnsi="Times New Roman" w:cs="Times New Roman"/>
        </w:rPr>
        <w:t xml:space="preserve">fracture control. </w:t>
      </w:r>
    </w:p>
    <w:p w14:paraId="5B6934B6" w14:textId="4653F5ED" w:rsidR="003C2ED2" w:rsidRPr="009A1578" w:rsidRDefault="003C2ED2" w:rsidP="00934254">
      <w:pPr>
        <w:spacing w:line="480" w:lineRule="auto"/>
        <w:jc w:val="both"/>
        <w:rPr>
          <w:rFonts w:ascii="Times New Roman" w:hAnsi="Times New Roman" w:cs="Times New Roman"/>
        </w:rPr>
      </w:pPr>
      <w:r w:rsidRPr="009A1578">
        <w:rPr>
          <w:rFonts w:ascii="Times New Roman" w:hAnsi="Times New Roman" w:cs="Times New Roman"/>
        </w:rPr>
        <w:t>Data for the study was supplied anonymized by Statistics Denmark Division of Research Services (project reference number: 703381)</w:t>
      </w:r>
      <w:r w:rsidR="001015FD" w:rsidRPr="009A1578">
        <w:rPr>
          <w:rFonts w:ascii="Times New Roman" w:hAnsi="Times New Roman" w:cs="Times New Roman"/>
        </w:rPr>
        <w:t xml:space="preserve"> and subject to control by the Danish Data Protection Agency</w:t>
      </w:r>
      <w:r w:rsidRPr="009A1578">
        <w:rPr>
          <w:rFonts w:ascii="Times New Roman" w:hAnsi="Times New Roman" w:cs="Times New Roman"/>
        </w:rPr>
        <w:t xml:space="preserve">.  </w:t>
      </w:r>
      <w:r w:rsidR="00415633" w:rsidRPr="009A1578">
        <w:rPr>
          <w:rFonts w:ascii="Times New Roman" w:hAnsi="Times New Roman" w:cs="Times New Roman"/>
        </w:rPr>
        <w:t>Ethics committee approval is not required for epidemiology studies in Denmark.</w:t>
      </w:r>
    </w:p>
    <w:p w14:paraId="1529512A" w14:textId="77777777" w:rsidR="00F353DE" w:rsidRPr="009A1578" w:rsidRDefault="00F353DE" w:rsidP="00934254">
      <w:pPr>
        <w:spacing w:line="480" w:lineRule="auto"/>
        <w:jc w:val="both"/>
        <w:rPr>
          <w:rFonts w:ascii="Times New Roman" w:hAnsi="Times New Roman" w:cs="Times New Roman"/>
          <w:b/>
        </w:rPr>
      </w:pPr>
    </w:p>
    <w:p w14:paraId="4A510576" w14:textId="13FA7ABE" w:rsidR="00105AD1" w:rsidRPr="009A1578" w:rsidRDefault="00105AD1" w:rsidP="00934254">
      <w:pPr>
        <w:spacing w:line="480" w:lineRule="auto"/>
        <w:jc w:val="both"/>
        <w:rPr>
          <w:rFonts w:ascii="Times New Roman" w:hAnsi="Times New Roman" w:cs="Times New Roman"/>
          <w:i/>
        </w:rPr>
      </w:pPr>
      <w:r w:rsidRPr="009A1578">
        <w:rPr>
          <w:rFonts w:ascii="Times New Roman" w:hAnsi="Times New Roman" w:cs="Times New Roman"/>
          <w:i/>
        </w:rPr>
        <w:t>Exposures</w:t>
      </w:r>
    </w:p>
    <w:p w14:paraId="511E376F" w14:textId="12A7E2D4" w:rsidR="0090663E" w:rsidRPr="009A1578" w:rsidRDefault="0090663E" w:rsidP="0090663E">
      <w:pPr>
        <w:spacing w:line="480" w:lineRule="auto"/>
        <w:jc w:val="both"/>
        <w:rPr>
          <w:rFonts w:ascii="Times New Roman" w:hAnsi="Times New Roman" w:cs="Times New Roman"/>
        </w:rPr>
      </w:pPr>
      <w:r w:rsidRPr="009A1578">
        <w:rPr>
          <w:rFonts w:ascii="Times New Roman" w:hAnsi="Times New Roman" w:cs="Times New Roman"/>
        </w:rPr>
        <w:lastRenderedPageBreak/>
        <w:t xml:space="preserve">Income is recorded as the amount of DKK (kroner) each person earned as registered in the latest annual tax return before fracture. All incomes were adjusted for </w:t>
      </w:r>
      <w:r w:rsidRPr="009A1578">
        <w:rPr>
          <w:rFonts w:ascii="Times New Roman" w:hAnsi="Times New Roman" w:cs="Times New Roman"/>
          <w:noProof/>
        </w:rPr>
        <w:t>differential timing</w:t>
      </w:r>
      <w:r w:rsidRPr="009A1578">
        <w:rPr>
          <w:rFonts w:ascii="Times New Roman" w:hAnsi="Times New Roman" w:cs="Times New Roman"/>
        </w:rPr>
        <w:t xml:space="preserve"> to 2011 prices using the consumer price index from Statistics Denmark</w:t>
      </w:r>
      <w:r w:rsidR="00683074" w:rsidRPr="009A1578">
        <w:rPr>
          <w:rFonts w:ascii="Times New Roman" w:hAnsi="Times New Roman" w:cs="Times New Roman"/>
        </w:rPr>
        <w:t xml:space="preserve"> and converted to € at the rate 1€ = 7.46 DKK</w:t>
      </w:r>
      <w:r w:rsidRPr="009A1578">
        <w:rPr>
          <w:rFonts w:ascii="Times New Roman" w:hAnsi="Times New Roman" w:cs="Times New Roman"/>
        </w:rPr>
        <w:t xml:space="preserve">. Income was grouped into </w:t>
      </w:r>
      <w:r w:rsidR="00A24B06" w:rsidRPr="009A1578">
        <w:rPr>
          <w:rFonts w:ascii="Times New Roman" w:hAnsi="Times New Roman" w:cs="Times New Roman"/>
        </w:rPr>
        <w:t>fifths for analysis.</w:t>
      </w:r>
      <w:r w:rsidRPr="009A1578">
        <w:rPr>
          <w:rFonts w:ascii="Times New Roman" w:hAnsi="Times New Roman" w:cs="Times New Roman"/>
        </w:rPr>
        <w:t xml:space="preserve"> </w:t>
      </w:r>
    </w:p>
    <w:p w14:paraId="58F17862" w14:textId="08D52183" w:rsidR="0004659E" w:rsidRDefault="00D34C9E">
      <w:pPr>
        <w:spacing w:line="480" w:lineRule="auto"/>
        <w:jc w:val="both"/>
        <w:rPr>
          <w:rFonts w:ascii="Times New Roman" w:hAnsi="Times New Roman" w:cs="Times New Roman"/>
        </w:rPr>
      </w:pPr>
      <w:r w:rsidRPr="009A1578">
        <w:rPr>
          <w:rFonts w:ascii="Times New Roman" w:hAnsi="Times New Roman" w:cs="Times New Roman"/>
        </w:rPr>
        <w:t xml:space="preserve">As the regional government reimburses the healthcare provider whenever a patient is treated, this allows registration </w:t>
      </w:r>
      <w:r w:rsidRPr="009A1578">
        <w:rPr>
          <w:rFonts w:ascii="Times New Roman" w:hAnsi="Times New Roman" w:cs="Times New Roman"/>
          <w:noProof/>
        </w:rPr>
        <w:t>on</w:t>
      </w:r>
      <w:r w:rsidR="00460F59" w:rsidRPr="009A1578">
        <w:rPr>
          <w:rFonts w:ascii="Times New Roman" w:hAnsi="Times New Roman" w:cs="Times New Roman"/>
        </w:rPr>
        <w:t xml:space="preserve"> </w:t>
      </w:r>
      <w:r w:rsidR="00460F59" w:rsidRPr="00C82E86">
        <w:rPr>
          <w:rFonts w:ascii="Times New Roman" w:hAnsi="Times New Roman" w:cs="Times New Roman"/>
        </w:rPr>
        <w:t>the</w:t>
      </w:r>
      <w:r w:rsidRPr="00C82E86">
        <w:rPr>
          <w:rFonts w:ascii="Times New Roman" w:hAnsi="Times New Roman" w:cs="Times New Roman"/>
        </w:rPr>
        <w:t xml:space="preserve"> </w:t>
      </w:r>
      <w:r w:rsidRPr="00C82E86">
        <w:rPr>
          <w:rFonts w:ascii="Times New Roman" w:hAnsi="Times New Roman" w:cs="Times New Roman"/>
          <w:noProof/>
        </w:rPr>
        <w:t>area</w:t>
      </w:r>
      <w:r w:rsidRPr="00C82E86">
        <w:rPr>
          <w:rFonts w:ascii="Times New Roman" w:hAnsi="Times New Roman" w:cs="Times New Roman"/>
        </w:rPr>
        <w:t xml:space="preserve"> of residence via the National Patient Register, from which data for this study were retrieved. </w:t>
      </w:r>
      <w:r w:rsidR="00C82E86" w:rsidRPr="00F67B48">
        <w:rPr>
          <w:rFonts w:ascii="Times New Roman" w:hAnsi="Times New Roman" w:cs="Times New Roman"/>
        </w:rPr>
        <w:t xml:space="preserve">The classification of the </w:t>
      </w:r>
      <w:r w:rsidR="00C82E86" w:rsidRPr="00F67B48">
        <w:rPr>
          <w:rFonts w:ascii="Times New Roman" w:hAnsi="Times New Roman" w:cs="Times New Roman"/>
          <w:noProof/>
        </w:rPr>
        <w:t>area</w:t>
      </w:r>
      <w:r w:rsidR="00C82E86" w:rsidRPr="00F67B48">
        <w:rPr>
          <w:rFonts w:ascii="Times New Roman" w:hAnsi="Times New Roman" w:cs="Times New Roman"/>
        </w:rPr>
        <w:t xml:space="preserve"> of residence, which we obtained from the Civic Person Register, is based on a previous </w:t>
      </w:r>
      <w:r w:rsidR="004B347B" w:rsidRPr="00C82E86">
        <w:rPr>
          <w:rFonts w:ascii="Times New Roman" w:hAnsi="Times New Roman" w:cs="Times New Roman"/>
        </w:rPr>
        <w:t>categorization by the Ministry for Food, Agriculture</w:t>
      </w:r>
      <w:r w:rsidR="00460F59" w:rsidRPr="00C82E86">
        <w:rPr>
          <w:rFonts w:ascii="Times New Roman" w:hAnsi="Times New Roman" w:cs="Times New Roman"/>
        </w:rPr>
        <w:t>,</w:t>
      </w:r>
      <w:r w:rsidR="004B347B" w:rsidRPr="00C82E86">
        <w:rPr>
          <w:rFonts w:ascii="Times New Roman" w:hAnsi="Times New Roman" w:cs="Times New Roman"/>
        </w:rPr>
        <w:t xml:space="preserve"> </w:t>
      </w:r>
      <w:r w:rsidR="004B347B" w:rsidRPr="00C82E86">
        <w:rPr>
          <w:rFonts w:ascii="Times New Roman" w:hAnsi="Times New Roman" w:cs="Times New Roman"/>
          <w:noProof/>
        </w:rPr>
        <w:t>and</w:t>
      </w:r>
      <w:r w:rsidR="004B347B" w:rsidRPr="00C82E86">
        <w:rPr>
          <w:rFonts w:ascii="Times New Roman" w:hAnsi="Times New Roman" w:cs="Times New Roman"/>
        </w:rPr>
        <w:t xml:space="preserve"> Fisheries of Denmark, where municipalities </w:t>
      </w:r>
      <w:r w:rsidR="004B347B" w:rsidRPr="009A1578">
        <w:rPr>
          <w:rFonts w:ascii="Times New Roman" w:hAnsi="Times New Roman" w:cs="Times New Roman"/>
        </w:rPr>
        <w:t>are grouped as remote, rural, intermediate or urban</w:t>
      </w:r>
      <w:r w:rsidR="00A24B06" w:rsidRPr="009A1578">
        <w:rPr>
          <w:rFonts w:ascii="Times New Roman" w:hAnsi="Times New Roman" w:cs="Times New Roman"/>
        </w:rPr>
        <w:t xml:space="preserve"> </w:t>
      </w:r>
      <w:r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"author" : [ { "dropping-particle" : "", "family" : "Velf\u00e6rdsministeriet", "given" : "", "non-dropping-particle" : "", "parse-names" : false, "suffix" : "" }, { "dropping-particle" : "", "family" : "Ministeriet for F\u00f8devarer Landbrug og Fiskeri", "given" : "", "non-dropping-particle" : "", "parse-names" : false, "suffix" : "" } ], "id" : "ITEM-1", "issued" : { "date-parts" : [ [ "2009" ] ] }, "number-of-pages" : "96", "publisher-place" : "K\u00f8benhavn K", "title" : "Landdistriktsredeg\u00f8relse 2009", "type" : "report" }, "uris" : [ "http://www.mendeley.com/documents/?uuid=876862b1-8ed5-468d-9d69-fca1cfbcbd5a", "http://www.mendeley.com/documents/?uuid=380ffc98-8815-4cd8-8288-2d4a30dc1880" ] } ], "mendeley" : { "formattedCitation" : "[14]", "plainTextFormattedCitation" : "[14]", "previouslyFormattedCitation" : "[14]" }, "properties" : { "noteIndex" : 0 }, "schema" : "https://github.com/citation-style-language/schema/raw/master/csl-citation.json" }</w:instrText>
      </w:r>
      <w:r w:rsidRPr="009A1578">
        <w:rPr>
          <w:rFonts w:ascii="Times New Roman" w:hAnsi="Times New Roman" w:cs="Times New Roman"/>
        </w:rPr>
        <w:fldChar w:fldCharType="separate"/>
      </w:r>
      <w:r w:rsidRPr="009A1578">
        <w:rPr>
          <w:rFonts w:ascii="Times New Roman" w:hAnsi="Times New Roman" w:cs="Times New Roman"/>
          <w:noProof/>
        </w:rPr>
        <w:t>[14]</w:t>
      </w:r>
      <w:r w:rsidRPr="009A1578">
        <w:rPr>
          <w:rFonts w:ascii="Times New Roman" w:hAnsi="Times New Roman" w:cs="Times New Roman"/>
        </w:rPr>
        <w:fldChar w:fldCharType="end"/>
      </w:r>
      <w:r w:rsidR="00A24B06" w:rsidRPr="009A1578">
        <w:rPr>
          <w:rFonts w:ascii="Times New Roman" w:hAnsi="Times New Roman" w:cs="Times New Roman"/>
        </w:rPr>
        <w:t>.</w:t>
      </w:r>
      <w:r w:rsidRPr="009A1578">
        <w:rPr>
          <w:rFonts w:ascii="Times New Roman" w:hAnsi="Times New Roman" w:cs="Times New Roman"/>
        </w:rPr>
        <w:t xml:space="preserve"> Hence, within-country variations can be investigated.</w:t>
      </w:r>
    </w:p>
    <w:p w14:paraId="69E71CF3" w14:textId="72503F9D" w:rsidR="0007144B" w:rsidRPr="00F67B48" w:rsidRDefault="0007144B" w:rsidP="00F67B48">
      <w:pPr>
        <w:pStyle w:val="PlainText"/>
        <w:spacing w:line="480" w:lineRule="auto"/>
        <w:rPr>
          <w:rFonts w:ascii="Times New Roman" w:eastAsiaTheme="minorEastAsia" w:hAnsi="Times New Roman" w:cs="Times New Roman"/>
          <w:sz w:val="24"/>
          <w:szCs w:val="24"/>
          <w:lang w:val="en-US"/>
        </w:rPr>
      </w:pPr>
      <w:r w:rsidRPr="00F67B48">
        <w:rPr>
          <w:rFonts w:ascii="Times New Roman" w:eastAsiaTheme="minorEastAsia" w:hAnsi="Times New Roman" w:cs="Times New Roman"/>
          <w:sz w:val="24"/>
          <w:szCs w:val="24"/>
          <w:lang w:val="en-US"/>
        </w:rPr>
        <w:t>The type of municipality is determined using fourteen indicator variables, which divides the 98 Danish municipalities into four classes: remote, rural, intermediate or urban. Remote and rural municipalities are primarily associated with migration to urban areas and higher unemployment. Intermediate and urban municipalities have a younger population and lower unemployment rates.</w:t>
      </w:r>
    </w:p>
    <w:p w14:paraId="624E8924" w14:textId="6AC9B6F8" w:rsidR="0007144B" w:rsidRPr="00F67B48" w:rsidRDefault="0007144B" w:rsidP="00F67B48">
      <w:pPr>
        <w:pStyle w:val="PlainText"/>
        <w:numPr>
          <w:ilvl w:val="0"/>
          <w:numId w:val="12"/>
        </w:numPr>
        <w:spacing w:line="480" w:lineRule="auto"/>
        <w:rPr>
          <w:rFonts w:ascii="Times New Roman" w:eastAsiaTheme="minorEastAsia" w:hAnsi="Times New Roman" w:cs="Times New Roman"/>
          <w:sz w:val="24"/>
          <w:szCs w:val="24"/>
          <w:lang w:val="en-US"/>
        </w:rPr>
      </w:pPr>
      <w:r w:rsidRPr="00F67B48">
        <w:rPr>
          <w:rFonts w:ascii="Times New Roman" w:eastAsiaTheme="minorEastAsia" w:hAnsi="Times New Roman" w:cs="Times New Roman"/>
          <w:sz w:val="24"/>
          <w:szCs w:val="24"/>
          <w:lang w:val="en-US"/>
        </w:rPr>
        <w:t>Remote areas</w:t>
      </w:r>
      <w:r w:rsidR="00C0719F">
        <w:rPr>
          <w:rFonts w:ascii="Times New Roman" w:eastAsiaTheme="minorEastAsia" w:hAnsi="Times New Roman" w:cs="Times New Roman"/>
          <w:sz w:val="24"/>
          <w:szCs w:val="24"/>
          <w:lang w:val="en-US"/>
        </w:rPr>
        <w:t xml:space="preserve"> (n=16 municipalities)</w:t>
      </w:r>
      <w:r w:rsidRPr="00F67B48">
        <w:rPr>
          <w:rFonts w:ascii="Times New Roman" w:eastAsiaTheme="minorEastAsia" w:hAnsi="Times New Roman" w:cs="Times New Roman"/>
          <w:sz w:val="24"/>
          <w:szCs w:val="24"/>
          <w:lang w:val="en-US"/>
        </w:rPr>
        <w:t xml:space="preserve"> are characterised as areas where more than half of the inhabitants live outside cities with more than 3000 inhabitants and where there is more than 30 minutes’ drive to a major city.</w:t>
      </w:r>
      <w:r w:rsidR="00C0719F">
        <w:rPr>
          <w:rFonts w:ascii="Times New Roman" w:eastAsiaTheme="minorEastAsia" w:hAnsi="Times New Roman" w:cs="Times New Roman"/>
          <w:sz w:val="24"/>
          <w:szCs w:val="24"/>
          <w:lang w:val="en-US"/>
        </w:rPr>
        <w:t xml:space="preserve"> </w:t>
      </w:r>
    </w:p>
    <w:p w14:paraId="79F0155F" w14:textId="545F7389" w:rsidR="0007144B" w:rsidRPr="00F67B48" w:rsidRDefault="0007144B" w:rsidP="00F67B48">
      <w:pPr>
        <w:pStyle w:val="PlainText"/>
        <w:numPr>
          <w:ilvl w:val="0"/>
          <w:numId w:val="12"/>
        </w:numPr>
        <w:spacing w:line="480" w:lineRule="auto"/>
        <w:rPr>
          <w:rFonts w:ascii="Times New Roman" w:eastAsiaTheme="minorEastAsia" w:hAnsi="Times New Roman" w:cs="Times New Roman"/>
          <w:sz w:val="24"/>
          <w:szCs w:val="24"/>
          <w:lang w:val="en-US"/>
        </w:rPr>
      </w:pPr>
      <w:r w:rsidRPr="00F67B48">
        <w:rPr>
          <w:rFonts w:ascii="Times New Roman" w:eastAsiaTheme="minorEastAsia" w:hAnsi="Times New Roman" w:cs="Times New Roman"/>
          <w:sz w:val="24"/>
          <w:szCs w:val="24"/>
          <w:lang w:val="en-US"/>
        </w:rPr>
        <w:t>Rural areas</w:t>
      </w:r>
      <w:r w:rsidR="00C0719F">
        <w:rPr>
          <w:rFonts w:ascii="Times New Roman" w:eastAsiaTheme="minorEastAsia" w:hAnsi="Times New Roman" w:cs="Times New Roman"/>
          <w:sz w:val="24"/>
          <w:szCs w:val="24"/>
          <w:lang w:val="en-US"/>
        </w:rPr>
        <w:t xml:space="preserve"> (n=29 municipalities)</w:t>
      </w:r>
      <w:r w:rsidRPr="00F67B48">
        <w:rPr>
          <w:rFonts w:ascii="Times New Roman" w:eastAsiaTheme="minorEastAsia" w:hAnsi="Times New Roman" w:cs="Times New Roman"/>
          <w:sz w:val="24"/>
          <w:szCs w:val="24"/>
          <w:lang w:val="en-US"/>
        </w:rPr>
        <w:t xml:space="preserve"> are characterised as areas where more than half of the inhabitants live outside cities with more than 3000 inhabitants but where there is less than 30 minutes’ drive to a major city.</w:t>
      </w:r>
    </w:p>
    <w:p w14:paraId="0A70E1EA" w14:textId="4DDCF9D1" w:rsidR="0007144B" w:rsidRPr="00F67B48" w:rsidRDefault="0007144B" w:rsidP="00F67B48">
      <w:pPr>
        <w:pStyle w:val="PlainText"/>
        <w:numPr>
          <w:ilvl w:val="0"/>
          <w:numId w:val="12"/>
        </w:numPr>
        <w:spacing w:line="480" w:lineRule="auto"/>
        <w:rPr>
          <w:rFonts w:ascii="Times New Roman" w:eastAsiaTheme="minorEastAsia" w:hAnsi="Times New Roman" w:cs="Times New Roman"/>
          <w:sz w:val="24"/>
          <w:szCs w:val="24"/>
          <w:lang w:val="en-US"/>
        </w:rPr>
      </w:pPr>
      <w:r w:rsidRPr="00F67B48">
        <w:rPr>
          <w:rFonts w:ascii="Times New Roman" w:eastAsiaTheme="minorEastAsia" w:hAnsi="Times New Roman" w:cs="Times New Roman"/>
          <w:sz w:val="24"/>
          <w:szCs w:val="24"/>
          <w:lang w:val="en-US"/>
        </w:rPr>
        <w:t>Intermediate areas</w:t>
      </w:r>
      <w:r w:rsidR="00C0719F">
        <w:rPr>
          <w:rFonts w:ascii="Times New Roman" w:eastAsiaTheme="minorEastAsia" w:hAnsi="Times New Roman" w:cs="Times New Roman"/>
          <w:sz w:val="24"/>
          <w:szCs w:val="24"/>
          <w:lang w:val="en-US"/>
        </w:rPr>
        <w:t xml:space="preserve"> (n=18 municipalities)</w:t>
      </w:r>
      <w:r w:rsidR="00C0719F" w:rsidRPr="007B708B">
        <w:rPr>
          <w:rFonts w:ascii="Times New Roman" w:eastAsiaTheme="minorEastAsia" w:hAnsi="Times New Roman" w:cs="Times New Roman"/>
          <w:sz w:val="24"/>
          <w:szCs w:val="24"/>
          <w:lang w:val="en-US"/>
        </w:rPr>
        <w:t xml:space="preserve"> </w:t>
      </w:r>
      <w:r w:rsidRPr="00F67B48">
        <w:rPr>
          <w:rFonts w:ascii="Times New Roman" w:eastAsiaTheme="minorEastAsia" w:hAnsi="Times New Roman" w:cs="Times New Roman"/>
          <w:sz w:val="24"/>
          <w:szCs w:val="24"/>
          <w:lang w:val="en-US"/>
        </w:rPr>
        <w:t xml:space="preserve"> are characterised as areas where at least half of the inhabitants live in cities with more than 3000 inhabitants but where there is more than 30 minutes’ drive to a major city.</w:t>
      </w:r>
    </w:p>
    <w:p w14:paraId="27977FFD" w14:textId="33719E36" w:rsidR="0007144B" w:rsidRPr="00F67B48" w:rsidRDefault="0007144B" w:rsidP="00F67B48">
      <w:pPr>
        <w:pStyle w:val="PlainText"/>
        <w:numPr>
          <w:ilvl w:val="0"/>
          <w:numId w:val="12"/>
        </w:numPr>
        <w:spacing w:line="480" w:lineRule="auto"/>
        <w:rPr>
          <w:rFonts w:ascii="Times New Roman" w:eastAsiaTheme="minorEastAsia" w:hAnsi="Times New Roman" w:cs="Times New Roman"/>
          <w:sz w:val="24"/>
          <w:szCs w:val="24"/>
          <w:lang w:val="en-US"/>
        </w:rPr>
      </w:pPr>
      <w:r w:rsidRPr="00F67B48">
        <w:rPr>
          <w:rFonts w:ascii="Times New Roman" w:eastAsiaTheme="minorEastAsia" w:hAnsi="Times New Roman" w:cs="Times New Roman"/>
          <w:sz w:val="24"/>
          <w:szCs w:val="24"/>
          <w:lang w:val="en-US"/>
        </w:rPr>
        <w:t xml:space="preserve">Urban areas </w:t>
      </w:r>
      <w:r w:rsidR="00C0719F">
        <w:rPr>
          <w:rFonts w:ascii="Times New Roman" w:eastAsiaTheme="minorEastAsia" w:hAnsi="Times New Roman" w:cs="Times New Roman"/>
          <w:sz w:val="24"/>
          <w:szCs w:val="24"/>
          <w:lang w:val="en-US"/>
        </w:rPr>
        <w:t>(n=35 municipalities)</w:t>
      </w:r>
      <w:r w:rsidR="00C0719F" w:rsidRPr="007B708B">
        <w:rPr>
          <w:rFonts w:ascii="Times New Roman" w:eastAsiaTheme="minorEastAsia" w:hAnsi="Times New Roman" w:cs="Times New Roman"/>
          <w:sz w:val="24"/>
          <w:szCs w:val="24"/>
          <w:lang w:val="en-US"/>
        </w:rPr>
        <w:t xml:space="preserve"> </w:t>
      </w:r>
      <w:r w:rsidRPr="00F67B48">
        <w:rPr>
          <w:rFonts w:ascii="Times New Roman" w:eastAsiaTheme="minorEastAsia" w:hAnsi="Times New Roman" w:cs="Times New Roman"/>
          <w:sz w:val="24"/>
          <w:szCs w:val="24"/>
          <w:lang w:val="en-US"/>
        </w:rPr>
        <w:t xml:space="preserve">are characterised as areas where at least half of the inhabitants live in cities with more than 3000 inhabitants but where there is less than 30 </w:t>
      </w:r>
      <w:r w:rsidR="00E20769">
        <w:rPr>
          <w:rFonts w:ascii="Times New Roman" w:eastAsiaTheme="minorEastAsia" w:hAnsi="Times New Roman" w:cs="Times New Roman"/>
          <w:sz w:val="24"/>
          <w:szCs w:val="24"/>
          <w:lang w:val="en-US"/>
        </w:rPr>
        <w:t>minutes’ drive to a major city.</w:t>
      </w:r>
    </w:p>
    <w:p w14:paraId="1BC0D49C" w14:textId="77777777" w:rsidR="0007144B" w:rsidRPr="00E20769" w:rsidRDefault="0007144B">
      <w:pPr>
        <w:spacing w:line="480" w:lineRule="auto"/>
        <w:jc w:val="both"/>
        <w:rPr>
          <w:rFonts w:ascii="Times New Roman" w:hAnsi="Times New Roman" w:cs="Times New Roman"/>
        </w:rPr>
      </w:pPr>
    </w:p>
    <w:p w14:paraId="0B43894B" w14:textId="28CEC7E3" w:rsidR="006746EC" w:rsidRPr="009A1578" w:rsidRDefault="0004659E">
      <w:pPr>
        <w:spacing w:line="480" w:lineRule="auto"/>
        <w:jc w:val="both"/>
        <w:rPr>
          <w:rFonts w:ascii="Times New Roman" w:hAnsi="Times New Roman" w:cs="Times New Roman"/>
        </w:rPr>
      </w:pPr>
      <w:r w:rsidRPr="009A1578">
        <w:rPr>
          <w:rFonts w:ascii="Times New Roman" w:hAnsi="Times New Roman" w:cs="Times New Roman"/>
        </w:rPr>
        <w:t>Marital status</w:t>
      </w:r>
      <w:r w:rsidR="003F1F08" w:rsidRPr="009A1578">
        <w:rPr>
          <w:rFonts w:ascii="Times New Roman" w:hAnsi="Times New Roman" w:cs="Times New Roman"/>
        </w:rPr>
        <w:t xml:space="preserve"> is registered in the Civil Registration System for all citizens and is in this study defined</w:t>
      </w:r>
      <w:r w:rsidR="00D34C9E" w:rsidRPr="009A1578">
        <w:rPr>
          <w:rFonts w:ascii="Times New Roman" w:hAnsi="Times New Roman" w:cs="Times New Roman"/>
        </w:rPr>
        <w:t xml:space="preserve"> </w:t>
      </w:r>
      <w:r w:rsidR="003F1F08" w:rsidRPr="009A1578">
        <w:rPr>
          <w:rFonts w:ascii="Times New Roman" w:hAnsi="Times New Roman" w:cs="Times New Roman"/>
        </w:rPr>
        <w:t xml:space="preserve">as </w:t>
      </w:r>
      <w:r w:rsidR="006F10C2" w:rsidRPr="009A1578">
        <w:rPr>
          <w:rFonts w:ascii="Times New Roman" w:hAnsi="Times New Roman" w:cs="Times New Roman"/>
        </w:rPr>
        <w:t xml:space="preserve">married, divorced, widowed </w:t>
      </w:r>
      <w:r w:rsidR="00A24B06" w:rsidRPr="009A1578">
        <w:rPr>
          <w:rFonts w:ascii="Times New Roman" w:hAnsi="Times New Roman" w:cs="Times New Roman"/>
        </w:rPr>
        <w:t xml:space="preserve">or </w:t>
      </w:r>
      <w:r w:rsidR="006F10C2" w:rsidRPr="009A1578">
        <w:rPr>
          <w:rFonts w:ascii="Times New Roman" w:hAnsi="Times New Roman" w:cs="Times New Roman"/>
        </w:rPr>
        <w:t>unmarried</w:t>
      </w:r>
      <w:r w:rsidR="003F1F08" w:rsidRPr="009A1578">
        <w:rPr>
          <w:rFonts w:ascii="Times New Roman" w:hAnsi="Times New Roman" w:cs="Times New Roman"/>
        </w:rPr>
        <w:t>, as according to the classification from Statistics Denmark.</w:t>
      </w:r>
      <w:r w:rsidR="00C00046" w:rsidRPr="009A1578">
        <w:rPr>
          <w:rFonts w:ascii="Times New Roman" w:hAnsi="Times New Roman" w:cs="Times New Roman"/>
        </w:rPr>
        <w:t xml:space="preserve"> Both cases and controls had to have a valid registration of income, </w:t>
      </w:r>
      <w:r w:rsidR="00C00046" w:rsidRPr="009A1578">
        <w:rPr>
          <w:rFonts w:ascii="Times New Roman" w:hAnsi="Times New Roman" w:cs="Times New Roman"/>
          <w:noProof/>
        </w:rPr>
        <w:t>area</w:t>
      </w:r>
      <w:r w:rsidR="00C00046" w:rsidRPr="009A1578">
        <w:rPr>
          <w:rFonts w:ascii="Times New Roman" w:hAnsi="Times New Roman" w:cs="Times New Roman"/>
        </w:rPr>
        <w:t xml:space="preserve"> of residence, and marital status to be included in the study. Hence, if either one had a missing value</w:t>
      </w:r>
      <w:r w:rsidR="00460F59" w:rsidRPr="009A1578">
        <w:rPr>
          <w:rFonts w:ascii="Times New Roman" w:hAnsi="Times New Roman" w:cs="Times New Roman"/>
        </w:rPr>
        <w:t>,</w:t>
      </w:r>
      <w:r w:rsidR="00C00046" w:rsidRPr="009A1578">
        <w:rPr>
          <w:rFonts w:ascii="Times New Roman" w:hAnsi="Times New Roman" w:cs="Times New Roman"/>
        </w:rPr>
        <w:t xml:space="preserve"> </w:t>
      </w:r>
      <w:r w:rsidR="00C00046" w:rsidRPr="009A1578">
        <w:rPr>
          <w:rFonts w:ascii="Times New Roman" w:hAnsi="Times New Roman" w:cs="Times New Roman"/>
          <w:noProof/>
        </w:rPr>
        <w:t>the</w:t>
      </w:r>
      <w:r w:rsidR="00C00046" w:rsidRPr="009A1578">
        <w:rPr>
          <w:rFonts w:ascii="Times New Roman" w:hAnsi="Times New Roman" w:cs="Times New Roman"/>
        </w:rPr>
        <w:t xml:space="preserve"> pair was excluded </w:t>
      </w:r>
      <w:r w:rsidR="00C00046" w:rsidRPr="009A1578">
        <w:rPr>
          <w:rFonts w:ascii="Times New Roman" w:hAnsi="Times New Roman" w:cs="Times New Roman"/>
          <w:noProof/>
        </w:rPr>
        <w:t>f</w:t>
      </w:r>
      <w:r w:rsidR="00460F59" w:rsidRPr="009A1578">
        <w:rPr>
          <w:rFonts w:ascii="Times New Roman" w:hAnsi="Times New Roman" w:cs="Times New Roman"/>
          <w:noProof/>
        </w:rPr>
        <w:t>rom</w:t>
      </w:r>
      <w:r w:rsidR="00C00046" w:rsidRPr="009A1578">
        <w:rPr>
          <w:rFonts w:ascii="Times New Roman" w:hAnsi="Times New Roman" w:cs="Times New Roman"/>
        </w:rPr>
        <w:t xml:space="preserve"> further analysis. </w:t>
      </w:r>
    </w:p>
    <w:p w14:paraId="1547D3CB" w14:textId="77777777" w:rsidR="006F10C2" w:rsidRPr="009A1578" w:rsidRDefault="006F10C2" w:rsidP="00934254">
      <w:pPr>
        <w:spacing w:line="480" w:lineRule="auto"/>
        <w:jc w:val="both"/>
        <w:rPr>
          <w:rFonts w:ascii="Times New Roman" w:hAnsi="Times New Roman" w:cs="Times New Roman"/>
        </w:rPr>
      </w:pPr>
    </w:p>
    <w:p w14:paraId="38F6B38D" w14:textId="334996DC" w:rsidR="006746EC" w:rsidRPr="009A1578" w:rsidRDefault="001C28B5" w:rsidP="00934254">
      <w:pPr>
        <w:spacing w:line="480" w:lineRule="auto"/>
        <w:jc w:val="both"/>
        <w:rPr>
          <w:rFonts w:ascii="Times New Roman" w:hAnsi="Times New Roman" w:cs="Times New Roman"/>
          <w:i/>
        </w:rPr>
      </w:pPr>
      <w:r w:rsidRPr="009A1578">
        <w:rPr>
          <w:rFonts w:ascii="Times New Roman" w:hAnsi="Times New Roman" w:cs="Times New Roman"/>
          <w:i/>
        </w:rPr>
        <w:t>Covariates</w:t>
      </w:r>
    </w:p>
    <w:p w14:paraId="6B52EFA1" w14:textId="70F8166B" w:rsidR="006746EC" w:rsidRPr="009A1578" w:rsidRDefault="00CC0DB6" w:rsidP="00934254">
      <w:pPr>
        <w:spacing w:line="480" w:lineRule="auto"/>
        <w:jc w:val="both"/>
        <w:rPr>
          <w:rFonts w:ascii="Times New Roman" w:hAnsi="Times New Roman" w:cs="Times New Roman"/>
        </w:rPr>
      </w:pPr>
      <w:r w:rsidRPr="009A1578">
        <w:rPr>
          <w:rFonts w:ascii="Times New Roman" w:hAnsi="Times New Roman" w:cs="Times New Roman"/>
        </w:rPr>
        <w:t>Patients were classified as smokers</w:t>
      </w:r>
      <w:r w:rsidR="009B2EED" w:rsidRPr="009A1578">
        <w:rPr>
          <w:rFonts w:ascii="Times New Roman" w:hAnsi="Times New Roman" w:cs="Times New Roman"/>
        </w:rPr>
        <w:t xml:space="preserve"> (current </w:t>
      </w:r>
      <w:r w:rsidR="009B2EED" w:rsidRPr="009A1578">
        <w:rPr>
          <w:rFonts w:ascii="Times New Roman" w:hAnsi="Times New Roman" w:cs="Times New Roman"/>
          <w:noProof/>
        </w:rPr>
        <w:t>vs</w:t>
      </w:r>
      <w:r w:rsidR="00445A8A" w:rsidRPr="009A1578">
        <w:rPr>
          <w:rFonts w:ascii="Times New Roman" w:hAnsi="Times New Roman" w:cs="Times New Roman"/>
          <w:noProof/>
        </w:rPr>
        <w:t>.</w:t>
      </w:r>
      <w:r w:rsidR="009B2EED" w:rsidRPr="009A1578">
        <w:rPr>
          <w:rFonts w:ascii="Times New Roman" w:hAnsi="Times New Roman" w:cs="Times New Roman"/>
        </w:rPr>
        <w:t xml:space="preserve"> former status is unknown)</w:t>
      </w:r>
      <w:r w:rsidR="001C28B5" w:rsidRPr="009A1578">
        <w:rPr>
          <w:rFonts w:ascii="Times New Roman" w:hAnsi="Times New Roman" w:cs="Times New Roman"/>
        </w:rPr>
        <w:t xml:space="preserve"> or non-smokers</w:t>
      </w:r>
      <w:r w:rsidRPr="009A1578">
        <w:rPr>
          <w:rFonts w:ascii="Times New Roman" w:hAnsi="Times New Roman" w:cs="Times New Roman"/>
        </w:rPr>
        <w:t xml:space="preserve"> through either</w:t>
      </w:r>
      <w:r w:rsidR="001C28B5" w:rsidRPr="009A1578">
        <w:rPr>
          <w:rFonts w:ascii="Times New Roman" w:hAnsi="Times New Roman" w:cs="Times New Roman"/>
        </w:rPr>
        <w:t xml:space="preserve"> a</w:t>
      </w:r>
      <w:r w:rsidRPr="009A1578">
        <w:rPr>
          <w:rFonts w:ascii="Times New Roman" w:hAnsi="Times New Roman" w:cs="Times New Roman"/>
        </w:rPr>
        <w:t xml:space="preserve"> </w:t>
      </w:r>
      <w:r w:rsidR="009B2EED" w:rsidRPr="009A1578">
        <w:rPr>
          <w:rFonts w:ascii="Times New Roman" w:hAnsi="Times New Roman" w:cs="Times New Roman"/>
        </w:rPr>
        <w:t xml:space="preserve">chronic obstructive pulmonary disease </w:t>
      </w:r>
      <w:r w:rsidRPr="009A1578">
        <w:rPr>
          <w:rFonts w:ascii="Times New Roman" w:hAnsi="Times New Roman" w:cs="Times New Roman"/>
        </w:rPr>
        <w:t>(COPD</w:t>
      </w:r>
      <w:r w:rsidR="009B2EED" w:rsidRPr="009A1578">
        <w:rPr>
          <w:rFonts w:ascii="Times New Roman" w:hAnsi="Times New Roman" w:cs="Times New Roman"/>
        </w:rPr>
        <w:t>)</w:t>
      </w:r>
      <w:r w:rsidRPr="009A1578">
        <w:rPr>
          <w:rFonts w:ascii="Times New Roman" w:hAnsi="Times New Roman" w:cs="Times New Roman"/>
        </w:rPr>
        <w:t xml:space="preserve"> diagnosis,</w:t>
      </w:r>
      <w:r w:rsidR="00445A8A" w:rsidRPr="009A1578">
        <w:rPr>
          <w:rFonts w:ascii="Times New Roman" w:hAnsi="Times New Roman" w:cs="Times New Roman"/>
        </w:rPr>
        <w:t xml:space="preserve"> a</w:t>
      </w:r>
      <w:r w:rsidRPr="009A1578">
        <w:rPr>
          <w:rFonts w:ascii="Times New Roman" w:hAnsi="Times New Roman" w:cs="Times New Roman"/>
        </w:rPr>
        <w:t xml:space="preserve"> </w:t>
      </w:r>
      <w:r w:rsidRPr="009A1578">
        <w:rPr>
          <w:rFonts w:ascii="Times New Roman" w:hAnsi="Times New Roman" w:cs="Times New Roman"/>
          <w:noProof/>
        </w:rPr>
        <w:t>prescripti</w:t>
      </w:r>
      <w:r w:rsidR="0086078A" w:rsidRPr="009A1578">
        <w:rPr>
          <w:rFonts w:ascii="Times New Roman" w:hAnsi="Times New Roman" w:cs="Times New Roman"/>
          <w:noProof/>
        </w:rPr>
        <w:t>on</w:t>
      </w:r>
      <w:r w:rsidR="0086078A" w:rsidRPr="009A1578">
        <w:rPr>
          <w:rFonts w:ascii="Times New Roman" w:hAnsi="Times New Roman" w:cs="Times New Roman"/>
        </w:rPr>
        <w:t xml:space="preserve"> for </w:t>
      </w:r>
      <w:r w:rsidR="0086078A" w:rsidRPr="009A1578">
        <w:rPr>
          <w:rFonts w:ascii="Times New Roman" w:hAnsi="Times New Roman" w:cs="Times New Roman"/>
          <w:noProof/>
        </w:rPr>
        <w:t>bronc</w:t>
      </w:r>
      <w:r w:rsidR="00445A8A" w:rsidRPr="009A1578">
        <w:rPr>
          <w:rFonts w:ascii="Times New Roman" w:hAnsi="Times New Roman" w:cs="Times New Roman"/>
          <w:noProof/>
        </w:rPr>
        <w:t>h</w:t>
      </w:r>
      <w:r w:rsidR="0086078A" w:rsidRPr="009A1578">
        <w:rPr>
          <w:rFonts w:ascii="Times New Roman" w:hAnsi="Times New Roman" w:cs="Times New Roman"/>
          <w:noProof/>
        </w:rPr>
        <w:t>odilator</w:t>
      </w:r>
      <w:r w:rsidR="0086078A" w:rsidRPr="009A1578">
        <w:rPr>
          <w:rFonts w:ascii="Times New Roman" w:hAnsi="Times New Roman" w:cs="Times New Roman"/>
        </w:rPr>
        <w:t>/</w:t>
      </w:r>
      <w:r w:rsidR="0086078A" w:rsidRPr="00C82E86">
        <w:rPr>
          <w:rFonts w:ascii="Times New Roman" w:hAnsi="Times New Roman" w:cs="Times New Roman"/>
        </w:rPr>
        <w:t>corticoste</w:t>
      </w:r>
      <w:r w:rsidRPr="00C82E86">
        <w:rPr>
          <w:rFonts w:ascii="Times New Roman" w:hAnsi="Times New Roman" w:cs="Times New Roman"/>
        </w:rPr>
        <w:t>r</w:t>
      </w:r>
      <w:r w:rsidR="0086078A" w:rsidRPr="00C82E86">
        <w:rPr>
          <w:rFonts w:ascii="Times New Roman" w:hAnsi="Times New Roman" w:cs="Times New Roman"/>
        </w:rPr>
        <w:t>o</w:t>
      </w:r>
      <w:r w:rsidRPr="00C82E86">
        <w:rPr>
          <w:rFonts w:ascii="Times New Roman" w:hAnsi="Times New Roman" w:cs="Times New Roman"/>
        </w:rPr>
        <w:t>ids or smokin</w:t>
      </w:r>
      <w:r w:rsidR="009B2EED" w:rsidRPr="00C82E86">
        <w:rPr>
          <w:rFonts w:ascii="Times New Roman" w:hAnsi="Times New Roman" w:cs="Times New Roman"/>
        </w:rPr>
        <w:t>g cessation drug (ATC: N07BA01)</w:t>
      </w:r>
      <w:r w:rsidR="005F6B94" w:rsidRPr="00C82E86">
        <w:rPr>
          <w:rFonts w:ascii="Times New Roman" w:hAnsi="Times New Roman" w:cs="Times New Roman"/>
        </w:rPr>
        <w:t xml:space="preserve"> </w:t>
      </w:r>
      <w:r w:rsidR="005F6B94" w:rsidRPr="008126B0">
        <w:rPr>
          <w:rFonts w:ascii="Times New Roman" w:hAnsi="Times New Roman" w:cs="Times New Roman"/>
        </w:rPr>
        <w:fldChar w:fldCharType="begin" w:fldLock="1"/>
      </w:r>
      <w:r w:rsidR="00546760" w:rsidRPr="00C82E86">
        <w:rPr>
          <w:rFonts w:ascii="Times New Roman" w:hAnsi="Times New Roman" w:cs="Times New Roman"/>
        </w:rPr>
        <w:instrText>ADDIN CSL_CITATION { "citationItems" : [ { "id" : "ITEM-1", "itemData" : { "DOI" : "10.1210/jc.2012-3375", "ISSN" : "1945-7197", "PMID" : "23365121", "abstract" : "BACKGROUND Although hypothyroidism is associated with increased morbidity, an association with increased mortality is still debated. Our objective was to investigate, at a nationwide level, whether a diagnosis of hypothyroidism influences mortality. METHODS In an observational cohort study from January 1, 1978 until December 31, 2008 using record-linkage data from nationwide Danish health registers, 3587 singletons and 682 twins diagnosed with hypothyroidism were identified. Hypothyroid individuals were matched 1:4 with nonhypothyroid controls with respect to age and gender and followed over a mean period of 5.6 years (range 0-30 years). The hazard ratio (HR) for mortality was calculated using Cox regression analyses. Comorbidity was evaluated using the Charlson score (CS). RESULTS In singletons with hypothyroidism, the mortality risk was increased (HR 1.52; 95{%} confidence interval [CI]: 1.41-1.65). Although the effect attenuated, hypothyroidism remained associated with increased mortality when evaluating subjects with a CS = 0 (HR 1.23; 95{%} CI: 1.05-1.44). In twin pairs discordant for hypothyroidism, the hypothyroid twin had excess mortality compared with the corresponding euthyroid cotwin (HR 1.40; 95{%} CI 0.95-2.05). However, after stratifying for zygosity, hypothyroidism was associated with excess mortality in dizygotic twin pairs (HR 1.61; 95{%} CI 1.00-2.58), whereas the association attenuated in monozygotic pairs (HR 1.06; 95{%} CI 0.55-2.05). CONCLUSIONS Hypothyroidism is associated with an excess mortality of around 50{%}, which to some degree is explained by comorbidity. In addition, the finding of an association between hypothyroidism and mortality within disease discordant dizygotic but not monozygotic twin pairs indicates that the association between hypothyroidism and mortality is also influenced by genetic confounding.", "author" : [ { "dropping-particle" : "", "family" : "Thvilum", "given" : "Marianne", "non-dropping-particle" : "", "parse-names" : false, "suffix" : "" }, { "dropping-particle" : "", "family" : "Brandt", "given" : "Frans", "non-dropping-particle" : "", "parse-names" : false, "suffix" : "" }, { "dropping-particle" : "", "family" : "Almind", "given" : "Dorthe", "non-dropping-particle" : "", "parse-names" : false, "suffix" : "" }, { "dropping-particle" : "", "family" : "Christensen", "given" : "Kaare", "non-dropping-particle" : "", "parse-names" : false, "suffix" : "" }, { "dropping-particle" : "", "family" : "Heged\u00fcs", "given" : "Laszlo", "non-dropping-particle" : "", "parse-names" : false, "suffix" : "" }, { "dropping-particle" : "", "family" : "Brix", "given" : "Thomas Heiberg", "non-dropping-particle" : "", "parse-names" : false, "suffix" : "" } ], "container-title" : "The Journal of clinical endocrinology and metabolism", "id" : "ITEM-1", "issue" : "3", "issued" : { "date-parts" : [ [ "2013", "3" ] ] }, "page" : "1069-1075", "publisher" : "The Endocrine Society", "title" : "Excess mortality in patients diagnosed with hypothyroidism: a nationwide cohort study of singletons and twins.", "type" : "article-journal", "volume" : "98" }, "uris" : [ "http://www.mendeley.com/documents/?uuid=32b4c4af-7bf1-478f-a3d8-a4e91000130b" ] } ], "mendeley" : { "formattedCitation" : "[15]", "plainTextFormattedCitation" : "[15]", "previouslyFormattedCitation" : "[15]" }, "properties" : { "noteIndex" : 0 }, "schema" : "https://github.com/citation-style-language/schema/raw/master/csl-citation.json" }</w:instrText>
      </w:r>
      <w:r w:rsidR="005F6B94" w:rsidRPr="008126B0">
        <w:rPr>
          <w:rFonts w:ascii="Times New Roman" w:hAnsi="Times New Roman" w:cs="Times New Roman"/>
        </w:rPr>
        <w:fldChar w:fldCharType="separate"/>
      </w:r>
      <w:r w:rsidR="007D43FA" w:rsidRPr="00C82E86">
        <w:rPr>
          <w:rFonts w:ascii="Times New Roman" w:hAnsi="Times New Roman" w:cs="Times New Roman"/>
          <w:noProof/>
        </w:rPr>
        <w:t>[15]</w:t>
      </w:r>
      <w:r w:rsidR="005F6B94" w:rsidRPr="008126B0">
        <w:rPr>
          <w:rFonts w:ascii="Times New Roman" w:hAnsi="Times New Roman" w:cs="Times New Roman"/>
        </w:rPr>
        <w:fldChar w:fldCharType="end"/>
      </w:r>
      <w:r w:rsidR="001C28B5" w:rsidRPr="00C82E86">
        <w:rPr>
          <w:rFonts w:ascii="Times New Roman" w:hAnsi="Times New Roman" w:cs="Times New Roman"/>
        </w:rPr>
        <w:t>. Excess alcohol consumption</w:t>
      </w:r>
      <w:r w:rsidRPr="00C82E86">
        <w:rPr>
          <w:rFonts w:ascii="Times New Roman" w:hAnsi="Times New Roman" w:cs="Times New Roman"/>
        </w:rPr>
        <w:t xml:space="preserve"> was defined as either an </w:t>
      </w:r>
      <w:r w:rsidRPr="00C82E86">
        <w:rPr>
          <w:rFonts w:ascii="Times New Roman" w:hAnsi="Times New Roman" w:cs="Times New Roman"/>
          <w:noProof/>
        </w:rPr>
        <w:t>alcohol</w:t>
      </w:r>
      <w:r w:rsidR="00445A8A" w:rsidRPr="00C82E86">
        <w:rPr>
          <w:rFonts w:ascii="Times New Roman" w:hAnsi="Times New Roman" w:cs="Times New Roman"/>
          <w:noProof/>
        </w:rPr>
        <w:t>-</w:t>
      </w:r>
      <w:r w:rsidRPr="00C82E86">
        <w:rPr>
          <w:rFonts w:ascii="Times New Roman" w:hAnsi="Times New Roman" w:cs="Times New Roman"/>
          <w:noProof/>
        </w:rPr>
        <w:t>related</w:t>
      </w:r>
      <w:r w:rsidR="00C564BF" w:rsidRPr="00C82E86">
        <w:rPr>
          <w:rFonts w:ascii="Times New Roman" w:hAnsi="Times New Roman" w:cs="Times New Roman"/>
        </w:rPr>
        <w:t xml:space="preserve"> diagnosis (ICD-10: F10</w:t>
      </w:r>
      <w:r w:rsidRPr="00C82E86">
        <w:rPr>
          <w:rFonts w:ascii="Times New Roman" w:hAnsi="Times New Roman" w:cs="Times New Roman"/>
        </w:rPr>
        <w:t xml:space="preserve">) </w:t>
      </w:r>
      <w:r w:rsidR="00C82E86" w:rsidRPr="00F67B48">
        <w:rPr>
          <w:rFonts w:ascii="Times New Roman" w:hAnsi="Times New Roman" w:cs="Times New Roman"/>
        </w:rPr>
        <w:t>or treatment with medications exclusively used in management of alcohol dependence (Disulfiram ATC: N07BB01 or Acamprosate N07BB03)</w:t>
      </w:r>
      <w:r w:rsidR="00C82E86" w:rsidRPr="00C82E86">
        <w:rPr>
          <w:rFonts w:ascii="Times New Roman" w:hAnsi="Times New Roman" w:cs="Times New Roman"/>
        </w:rPr>
        <w:t xml:space="preserve">. </w:t>
      </w:r>
      <w:r w:rsidR="009B2EED" w:rsidRPr="00C82E86">
        <w:rPr>
          <w:rFonts w:ascii="Times New Roman" w:hAnsi="Times New Roman" w:cs="Times New Roman"/>
        </w:rPr>
        <w:t xml:space="preserve">The classifications of both smoking and </w:t>
      </w:r>
      <w:r w:rsidR="001C28B5" w:rsidRPr="00C82E86">
        <w:rPr>
          <w:rFonts w:ascii="Times New Roman" w:hAnsi="Times New Roman" w:cs="Times New Roman"/>
        </w:rPr>
        <w:t>excess alcohol consumption</w:t>
      </w:r>
      <w:r w:rsidR="009B2EED" w:rsidRPr="00C82E86">
        <w:rPr>
          <w:rFonts w:ascii="Times New Roman" w:hAnsi="Times New Roman" w:cs="Times New Roman"/>
        </w:rPr>
        <w:t xml:space="preserve"> will only capture those individuals </w:t>
      </w:r>
      <w:r w:rsidR="009B2EED" w:rsidRPr="009A1578">
        <w:rPr>
          <w:rFonts w:ascii="Times New Roman" w:hAnsi="Times New Roman" w:cs="Times New Roman"/>
        </w:rPr>
        <w:t>with treatment requirements or complications from this addiction</w:t>
      </w:r>
      <w:r w:rsidR="00AA7368" w:rsidRPr="009A1578">
        <w:rPr>
          <w:rFonts w:ascii="Times New Roman" w:hAnsi="Times New Roman" w:cs="Times New Roman"/>
        </w:rPr>
        <w:t xml:space="preserve"> but served as the only method to control for these known clinical risk factors in this register-based design</w:t>
      </w:r>
      <w:r w:rsidR="00A23CCE" w:rsidRPr="009A1578">
        <w:rPr>
          <w:rFonts w:ascii="Times New Roman" w:hAnsi="Times New Roman" w:cs="Times New Roman"/>
        </w:rPr>
        <w:t xml:space="preserve">. </w:t>
      </w:r>
      <w:r w:rsidR="00447459">
        <w:rPr>
          <w:rFonts w:ascii="Times New Roman" w:hAnsi="Times New Roman" w:cs="Times New Roman"/>
        </w:rPr>
        <w:t xml:space="preserve">The previous use of anti-osteoporotic medication (ATC: </w:t>
      </w:r>
      <w:r w:rsidR="00E27862" w:rsidRPr="00E27862">
        <w:rPr>
          <w:rFonts w:ascii="Times New Roman" w:hAnsi="Times New Roman" w:cs="Times New Roman"/>
        </w:rPr>
        <w:t>G03XC01, H05AA02, H05BA, M05BX04</w:t>
      </w:r>
      <w:r w:rsidR="00447459">
        <w:rPr>
          <w:rFonts w:ascii="Times New Roman" w:hAnsi="Times New Roman" w:cs="Times New Roman"/>
        </w:rPr>
        <w:t xml:space="preserve">) in the year leading up to fracture was additionally registered. </w:t>
      </w:r>
      <w:r w:rsidR="00AB7046" w:rsidRPr="009A1578">
        <w:rPr>
          <w:rFonts w:ascii="Times New Roman" w:hAnsi="Times New Roman" w:cs="Times New Roman"/>
        </w:rPr>
        <w:t xml:space="preserve">The degree of co-morbidity was classified for each patient by using the Charlson </w:t>
      </w:r>
      <w:r w:rsidR="00AB7046" w:rsidRPr="009A1578">
        <w:rPr>
          <w:rFonts w:ascii="Times New Roman" w:hAnsi="Times New Roman" w:cs="Times New Roman"/>
          <w:noProof/>
        </w:rPr>
        <w:t>Comorbidity</w:t>
      </w:r>
      <w:r w:rsidR="00AB7046" w:rsidRPr="009A1578">
        <w:rPr>
          <w:rFonts w:ascii="Times New Roman" w:hAnsi="Times New Roman" w:cs="Times New Roman"/>
        </w:rPr>
        <w:t xml:space="preserve"> Index</w:t>
      </w:r>
      <w:r w:rsidR="00AA7368" w:rsidRPr="009A1578">
        <w:rPr>
          <w:rFonts w:ascii="Times New Roman" w:hAnsi="Times New Roman" w:cs="Times New Roman"/>
        </w:rPr>
        <w:t xml:space="preserve"> </w:t>
      </w:r>
      <w:r w:rsidR="00AA7368"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"author" : [ { "dropping-particle" : "", "family" : "Charlson", "given" : "M E", "non-dropping-particle" : "", "parse-names" : false, "suffix" : "" }, { "dropping-particle" : "", "family" : "Pompei", "given" : "P", "non-dropping-particle" : "", "parse-names" : false, "suffix" : "" }, { "dropping-particle" : "", "family" : "Ales", "given" : "K L", "non-dropping-particle" : "", "parse-names" : false, "suffix" : "" }, { "dropping-particle" : "", "family" : "McKenzie", "given" : "C R", "non-dropping-particle" : "", "parse-names" : false, "suffix" : "" } ], "container-title" : "Journal of Chronic Diseases", "id" : "ITEM-1", "issue" : "5", "issued" : { "date-parts" : [ [ "1987" ] ] }, "page" : "373-383", "title" : "A new method of classifying prognostic comorbidity in longitudinal studies: development and validation.", "type" : "article-journal", "volume" : "40" }, "uris" : [ "http://www.mendeley.com/documents/?uuid=740603c2-b7e6-4e79-9e00-33f80ca158c6" ] } ], "mendeley" : { "formattedCitation" : "[16]", "plainTextFormattedCitation" : "[16]", "previouslyFormattedCitation" : "[16]" }, "properties" : { "noteIndex" : 0 }, "schema" : "https://github.com/citation-style-language/schema/raw/master/csl-citation.json" }</w:instrText>
      </w:r>
      <w:r w:rsidR="00AA7368" w:rsidRPr="009A1578">
        <w:rPr>
          <w:rFonts w:ascii="Times New Roman" w:hAnsi="Times New Roman" w:cs="Times New Roman"/>
        </w:rPr>
        <w:fldChar w:fldCharType="separate"/>
      </w:r>
      <w:r w:rsidR="007D43FA" w:rsidRPr="009A1578">
        <w:rPr>
          <w:rFonts w:ascii="Times New Roman" w:hAnsi="Times New Roman" w:cs="Times New Roman"/>
          <w:noProof/>
        </w:rPr>
        <w:t>[16]</w:t>
      </w:r>
      <w:r w:rsidR="00AA7368" w:rsidRPr="009A1578">
        <w:rPr>
          <w:rFonts w:ascii="Times New Roman" w:hAnsi="Times New Roman" w:cs="Times New Roman"/>
        </w:rPr>
        <w:fldChar w:fldCharType="end"/>
      </w:r>
      <w:r w:rsidR="00AB7046" w:rsidRPr="009A1578">
        <w:rPr>
          <w:rFonts w:ascii="Times New Roman" w:hAnsi="Times New Roman" w:cs="Times New Roman"/>
        </w:rPr>
        <w:t>. Diagnostic data from across all diagnostic fields was used to create a weighted score</w:t>
      </w:r>
      <w:r w:rsidR="00460F59" w:rsidRPr="009A1578">
        <w:rPr>
          <w:rFonts w:ascii="Times New Roman" w:hAnsi="Times New Roman" w:cs="Times New Roman"/>
        </w:rPr>
        <w:t>,</w:t>
      </w:r>
      <w:r w:rsidR="00AB7046" w:rsidRPr="009A1578">
        <w:rPr>
          <w:rFonts w:ascii="Times New Roman" w:hAnsi="Times New Roman" w:cs="Times New Roman"/>
        </w:rPr>
        <w:t xml:space="preserve"> </w:t>
      </w:r>
      <w:r w:rsidR="00AB7046" w:rsidRPr="009A1578">
        <w:rPr>
          <w:rFonts w:ascii="Times New Roman" w:hAnsi="Times New Roman" w:cs="Times New Roman"/>
          <w:noProof/>
        </w:rPr>
        <w:t>and</w:t>
      </w:r>
      <w:r w:rsidR="00AB7046" w:rsidRPr="009A1578">
        <w:rPr>
          <w:rFonts w:ascii="Times New Roman" w:hAnsi="Times New Roman" w:cs="Times New Roman"/>
        </w:rPr>
        <w:t xml:space="preserve"> an</w:t>
      </w:r>
      <w:r w:rsidR="00382DD1" w:rsidRPr="009A1578">
        <w:rPr>
          <w:rFonts w:ascii="Times New Roman" w:hAnsi="Times New Roman" w:cs="Times New Roman"/>
        </w:rPr>
        <w:t xml:space="preserve"> ordinal variable </w:t>
      </w:r>
      <w:r w:rsidR="00A23CCE" w:rsidRPr="009A1578">
        <w:rPr>
          <w:rFonts w:ascii="Times New Roman" w:hAnsi="Times New Roman" w:cs="Times New Roman"/>
        </w:rPr>
        <w:t xml:space="preserve">was </w:t>
      </w:r>
      <w:r w:rsidR="00382DD1" w:rsidRPr="009A1578">
        <w:rPr>
          <w:rFonts w:ascii="Times New Roman" w:hAnsi="Times New Roman" w:cs="Times New Roman"/>
        </w:rPr>
        <w:t>created (none: Co-morbidity Index Score 0</w:t>
      </w:r>
      <w:r w:rsidR="00A23CCE" w:rsidRPr="009A1578">
        <w:rPr>
          <w:rFonts w:ascii="Times New Roman" w:hAnsi="Times New Roman" w:cs="Times New Roman"/>
        </w:rPr>
        <w:t>;</w:t>
      </w:r>
      <w:r w:rsidR="00AB7046" w:rsidRPr="009A1578">
        <w:rPr>
          <w:rFonts w:ascii="Times New Roman" w:hAnsi="Times New Roman" w:cs="Times New Roman"/>
        </w:rPr>
        <w:t xml:space="preserve"> mild</w:t>
      </w:r>
      <w:r w:rsidR="00382DD1" w:rsidRPr="009A1578">
        <w:rPr>
          <w:rFonts w:ascii="Times New Roman" w:hAnsi="Times New Roman" w:cs="Times New Roman"/>
        </w:rPr>
        <w:t>: Co-morbidi</w:t>
      </w:r>
      <w:r w:rsidR="00A23CCE" w:rsidRPr="009A1578">
        <w:rPr>
          <w:rFonts w:ascii="Times New Roman" w:hAnsi="Times New Roman" w:cs="Times New Roman"/>
        </w:rPr>
        <w:t>ty Index Score 1;</w:t>
      </w:r>
      <w:r w:rsidR="00382DD1" w:rsidRPr="009A1578">
        <w:rPr>
          <w:rFonts w:ascii="Times New Roman" w:hAnsi="Times New Roman" w:cs="Times New Roman"/>
        </w:rPr>
        <w:t xml:space="preserve"> </w:t>
      </w:r>
      <w:r w:rsidR="00382DD1" w:rsidRPr="009A1578">
        <w:rPr>
          <w:rFonts w:ascii="Times New Roman" w:hAnsi="Times New Roman" w:cs="Times New Roman"/>
          <w:noProof/>
        </w:rPr>
        <w:t>moderate</w:t>
      </w:r>
      <w:r w:rsidR="00382DD1" w:rsidRPr="009A1578">
        <w:rPr>
          <w:rFonts w:ascii="Times New Roman" w:hAnsi="Times New Roman" w:cs="Times New Roman"/>
        </w:rPr>
        <w:t>:</w:t>
      </w:r>
      <w:r w:rsidR="00AB7046" w:rsidRPr="009A1578">
        <w:rPr>
          <w:rFonts w:ascii="Times New Roman" w:hAnsi="Times New Roman" w:cs="Times New Roman"/>
        </w:rPr>
        <w:t xml:space="preserve"> </w:t>
      </w:r>
      <w:r w:rsidR="00382DD1" w:rsidRPr="009A1578">
        <w:rPr>
          <w:rFonts w:ascii="Times New Roman" w:hAnsi="Times New Roman" w:cs="Times New Roman"/>
        </w:rPr>
        <w:t>Co-morbidity Index Score 2</w:t>
      </w:r>
      <w:r w:rsidR="00A23CCE" w:rsidRPr="009A1578">
        <w:rPr>
          <w:rFonts w:ascii="Times New Roman" w:hAnsi="Times New Roman" w:cs="Times New Roman"/>
        </w:rPr>
        <w:t>;</w:t>
      </w:r>
      <w:r w:rsidR="00AB7046" w:rsidRPr="009A1578">
        <w:rPr>
          <w:rFonts w:ascii="Times New Roman" w:hAnsi="Times New Roman" w:cs="Times New Roman"/>
        </w:rPr>
        <w:t xml:space="preserve"> severe</w:t>
      </w:r>
      <w:r w:rsidR="00382DD1" w:rsidRPr="009A1578">
        <w:rPr>
          <w:rFonts w:ascii="Times New Roman" w:hAnsi="Times New Roman" w:cs="Times New Roman"/>
        </w:rPr>
        <w:t>:</w:t>
      </w:r>
      <w:r w:rsidR="00AB7046" w:rsidRPr="009A1578">
        <w:rPr>
          <w:rFonts w:ascii="Times New Roman" w:hAnsi="Times New Roman" w:cs="Times New Roman"/>
        </w:rPr>
        <w:t xml:space="preserve"> </w:t>
      </w:r>
      <w:r w:rsidR="00382DD1" w:rsidRPr="009A1578">
        <w:rPr>
          <w:rFonts w:ascii="Times New Roman" w:hAnsi="Times New Roman" w:cs="Times New Roman"/>
        </w:rPr>
        <w:t xml:space="preserve">Co-morbidity Index Score </w:t>
      </w:r>
      <w:r w:rsidR="00AB7046" w:rsidRPr="009A1578">
        <w:rPr>
          <w:rFonts w:ascii="Times New Roman" w:hAnsi="Times New Roman" w:cs="Times New Roman"/>
        </w:rPr>
        <w:t>3</w:t>
      </w:r>
      <w:r w:rsidR="00382DD1" w:rsidRPr="009A1578">
        <w:rPr>
          <w:rFonts w:ascii="Times New Roman" w:hAnsi="Times New Roman" w:cs="Times New Roman"/>
        </w:rPr>
        <w:t xml:space="preserve"> or more</w:t>
      </w:r>
      <w:r w:rsidR="00AB7046" w:rsidRPr="009A1578">
        <w:rPr>
          <w:rFonts w:ascii="Times New Roman" w:hAnsi="Times New Roman" w:cs="Times New Roman"/>
        </w:rPr>
        <w:t xml:space="preserve">). The confounding effects of age, </w:t>
      </w:r>
      <w:r w:rsidR="00A033E5" w:rsidRPr="009A1578">
        <w:rPr>
          <w:rFonts w:ascii="Times New Roman" w:hAnsi="Times New Roman" w:cs="Times New Roman"/>
        </w:rPr>
        <w:t>sex</w:t>
      </w:r>
      <w:r w:rsidR="00AB7046" w:rsidRPr="009A1578">
        <w:rPr>
          <w:rFonts w:ascii="Times New Roman" w:hAnsi="Times New Roman" w:cs="Times New Roman"/>
        </w:rPr>
        <w:t xml:space="preserve"> and year of fracture are balanced by design through matching.</w:t>
      </w:r>
    </w:p>
    <w:p w14:paraId="4A605B8D" w14:textId="77777777" w:rsidR="00E626C0" w:rsidRPr="009A1578" w:rsidRDefault="00E626C0" w:rsidP="00934254">
      <w:pPr>
        <w:spacing w:line="480" w:lineRule="auto"/>
        <w:jc w:val="both"/>
        <w:rPr>
          <w:rFonts w:ascii="Times New Roman" w:hAnsi="Times New Roman" w:cs="Times New Roman"/>
        </w:rPr>
      </w:pPr>
    </w:p>
    <w:p w14:paraId="6DA511DA" w14:textId="63624837" w:rsidR="00E626C0" w:rsidRPr="009A1578" w:rsidRDefault="00E626C0" w:rsidP="00934254">
      <w:pPr>
        <w:spacing w:line="480" w:lineRule="auto"/>
        <w:jc w:val="both"/>
        <w:rPr>
          <w:rFonts w:ascii="Times New Roman" w:hAnsi="Times New Roman" w:cs="Times New Roman"/>
          <w:i/>
        </w:rPr>
      </w:pPr>
      <w:r w:rsidRPr="009A1578">
        <w:rPr>
          <w:rFonts w:ascii="Times New Roman" w:hAnsi="Times New Roman" w:cs="Times New Roman"/>
          <w:i/>
        </w:rPr>
        <w:lastRenderedPageBreak/>
        <w:t>Statistical methods</w:t>
      </w:r>
    </w:p>
    <w:p w14:paraId="70AACC08" w14:textId="4D9AD4B6" w:rsidR="00E626C0" w:rsidRPr="009A1578" w:rsidRDefault="00DC500C" w:rsidP="00934254">
      <w:pPr>
        <w:spacing w:line="480" w:lineRule="auto"/>
        <w:jc w:val="both"/>
        <w:rPr>
          <w:rFonts w:ascii="Times New Roman" w:hAnsi="Times New Roman" w:cs="Times New Roman"/>
        </w:rPr>
      </w:pPr>
      <w:r w:rsidRPr="009A1578">
        <w:rPr>
          <w:rFonts w:ascii="Times New Roman" w:hAnsi="Times New Roman" w:cs="Times New Roman"/>
        </w:rPr>
        <w:t xml:space="preserve">The outcome is a binary variable of whether or not a patient </w:t>
      </w:r>
      <w:r w:rsidR="00CE367C" w:rsidRPr="009A1578">
        <w:rPr>
          <w:rFonts w:ascii="Times New Roman" w:hAnsi="Times New Roman" w:cs="Times New Roman"/>
        </w:rPr>
        <w:t>sustained</w:t>
      </w:r>
      <w:r w:rsidRPr="009A1578">
        <w:rPr>
          <w:rFonts w:ascii="Times New Roman" w:hAnsi="Times New Roman" w:cs="Times New Roman"/>
        </w:rPr>
        <w:t xml:space="preserve"> a fracture</w:t>
      </w:r>
      <w:r w:rsidR="00460F59" w:rsidRPr="009A1578">
        <w:rPr>
          <w:rFonts w:ascii="Times New Roman" w:hAnsi="Times New Roman" w:cs="Times New Roman"/>
        </w:rPr>
        <w:t>,</w:t>
      </w:r>
      <w:r w:rsidR="00CF4226" w:rsidRPr="009A1578">
        <w:rPr>
          <w:rFonts w:ascii="Times New Roman" w:hAnsi="Times New Roman" w:cs="Times New Roman"/>
        </w:rPr>
        <w:t xml:space="preserve"> </w:t>
      </w:r>
      <w:r w:rsidR="00CF4226" w:rsidRPr="009A1578">
        <w:rPr>
          <w:rFonts w:ascii="Times New Roman" w:hAnsi="Times New Roman" w:cs="Times New Roman"/>
          <w:i/>
          <w:noProof/>
        </w:rPr>
        <w:t>i.e.</w:t>
      </w:r>
      <w:r w:rsidR="00CF4226" w:rsidRPr="009A1578">
        <w:rPr>
          <w:rFonts w:ascii="Times New Roman" w:hAnsi="Times New Roman" w:cs="Times New Roman"/>
        </w:rPr>
        <w:t xml:space="preserve"> case or control</w:t>
      </w:r>
      <w:r w:rsidRPr="009A1578">
        <w:rPr>
          <w:rFonts w:ascii="Times New Roman" w:hAnsi="Times New Roman" w:cs="Times New Roman"/>
        </w:rPr>
        <w:t xml:space="preserve">. </w:t>
      </w:r>
      <w:r w:rsidR="00486B77" w:rsidRPr="009A1578">
        <w:rPr>
          <w:rFonts w:ascii="Times New Roman" w:hAnsi="Times New Roman" w:cs="Times New Roman"/>
        </w:rPr>
        <w:t>Conditional l</w:t>
      </w:r>
      <w:r w:rsidR="00423C28" w:rsidRPr="009A1578">
        <w:rPr>
          <w:rFonts w:ascii="Times New Roman" w:hAnsi="Times New Roman" w:cs="Times New Roman"/>
        </w:rPr>
        <w:t>ogistic</w:t>
      </w:r>
      <w:r w:rsidR="00DC1654" w:rsidRPr="009A1578">
        <w:rPr>
          <w:rFonts w:ascii="Times New Roman" w:hAnsi="Times New Roman" w:cs="Times New Roman"/>
        </w:rPr>
        <w:t xml:space="preserve"> regression modeling </w:t>
      </w:r>
      <w:r w:rsidR="00DC1654" w:rsidRPr="009A1578">
        <w:rPr>
          <w:rFonts w:ascii="Times New Roman" w:hAnsi="Times New Roman" w:cs="Times New Roman"/>
          <w:noProof/>
        </w:rPr>
        <w:t>w</w:t>
      </w:r>
      <w:r w:rsidR="00460F59" w:rsidRPr="009A1578">
        <w:rPr>
          <w:rFonts w:ascii="Times New Roman" w:hAnsi="Times New Roman" w:cs="Times New Roman"/>
          <w:noProof/>
        </w:rPr>
        <w:t>as</w:t>
      </w:r>
      <w:r w:rsidR="00C74C5C" w:rsidRPr="009A1578">
        <w:rPr>
          <w:rFonts w:ascii="Times New Roman" w:hAnsi="Times New Roman" w:cs="Times New Roman"/>
        </w:rPr>
        <w:t xml:space="preserve"> used to describe the association of income</w:t>
      </w:r>
      <w:r w:rsidR="00DC1654" w:rsidRPr="009A1578">
        <w:rPr>
          <w:rFonts w:ascii="Times New Roman" w:hAnsi="Times New Roman" w:cs="Times New Roman"/>
        </w:rPr>
        <w:t xml:space="preserve">, </w:t>
      </w:r>
      <w:r w:rsidR="00DC1654" w:rsidRPr="009A1578">
        <w:rPr>
          <w:rFonts w:ascii="Times New Roman" w:hAnsi="Times New Roman" w:cs="Times New Roman"/>
          <w:noProof/>
        </w:rPr>
        <w:t>area</w:t>
      </w:r>
      <w:r w:rsidR="00DC1654" w:rsidRPr="009A1578">
        <w:rPr>
          <w:rFonts w:ascii="Times New Roman" w:hAnsi="Times New Roman" w:cs="Times New Roman"/>
        </w:rPr>
        <w:t xml:space="preserve"> of residence, and marital status</w:t>
      </w:r>
      <w:r w:rsidR="00C74C5C" w:rsidRPr="009A1578">
        <w:rPr>
          <w:rFonts w:ascii="Times New Roman" w:hAnsi="Times New Roman" w:cs="Times New Roman"/>
        </w:rPr>
        <w:t xml:space="preserve"> on </w:t>
      </w:r>
      <w:r w:rsidR="00881633" w:rsidRPr="009A1578">
        <w:rPr>
          <w:rFonts w:ascii="Times New Roman" w:hAnsi="Times New Roman" w:cs="Times New Roman"/>
        </w:rPr>
        <w:t>risk</w:t>
      </w:r>
      <w:r w:rsidR="00C74C5C" w:rsidRPr="009A1578">
        <w:rPr>
          <w:rFonts w:ascii="Times New Roman" w:hAnsi="Times New Roman" w:cs="Times New Roman"/>
        </w:rPr>
        <w:t xml:space="preserve"> of hip</w:t>
      </w:r>
      <w:r w:rsidR="00DC1654" w:rsidRPr="009A1578">
        <w:rPr>
          <w:rFonts w:ascii="Times New Roman" w:hAnsi="Times New Roman" w:cs="Times New Roman"/>
        </w:rPr>
        <w:t>, humerus and wrist</w:t>
      </w:r>
      <w:r w:rsidR="00C74C5C" w:rsidRPr="009A1578">
        <w:rPr>
          <w:rFonts w:ascii="Times New Roman" w:hAnsi="Times New Roman" w:cs="Times New Roman"/>
        </w:rPr>
        <w:t xml:space="preserve"> fracture</w:t>
      </w:r>
      <w:r w:rsidR="00DC1654" w:rsidRPr="009A1578">
        <w:rPr>
          <w:rFonts w:ascii="Times New Roman" w:hAnsi="Times New Roman" w:cs="Times New Roman"/>
        </w:rPr>
        <w:t>s</w:t>
      </w:r>
      <w:r w:rsidR="00C74C5C" w:rsidRPr="009A1578">
        <w:rPr>
          <w:rFonts w:ascii="Times New Roman" w:hAnsi="Times New Roman" w:cs="Times New Roman"/>
        </w:rPr>
        <w:t xml:space="preserve">, adjusting for </w:t>
      </w:r>
      <w:r w:rsidR="00881633" w:rsidRPr="009A1578">
        <w:rPr>
          <w:rFonts w:ascii="Times New Roman" w:hAnsi="Times New Roman" w:cs="Times New Roman"/>
        </w:rPr>
        <w:t>covariates</w:t>
      </w:r>
      <w:r w:rsidR="00C74C5C" w:rsidRPr="009A1578">
        <w:rPr>
          <w:rFonts w:ascii="Times New Roman" w:hAnsi="Times New Roman" w:cs="Times New Roman"/>
        </w:rPr>
        <w:t xml:space="preserve">. </w:t>
      </w:r>
      <w:r w:rsidR="00423C28" w:rsidRPr="009A1578">
        <w:rPr>
          <w:rFonts w:ascii="Times New Roman" w:hAnsi="Times New Roman" w:cs="Times New Roman"/>
        </w:rPr>
        <w:t xml:space="preserve">For </w:t>
      </w:r>
      <w:r w:rsidR="00FC167E" w:rsidRPr="009A1578">
        <w:rPr>
          <w:rFonts w:ascii="Times New Roman" w:hAnsi="Times New Roman" w:cs="Times New Roman"/>
        </w:rPr>
        <w:t xml:space="preserve">hip, humerus, and wrist fractures, </w:t>
      </w:r>
      <w:r w:rsidR="00423C28" w:rsidRPr="009A1578">
        <w:rPr>
          <w:rFonts w:ascii="Times New Roman" w:hAnsi="Times New Roman" w:cs="Times New Roman"/>
        </w:rPr>
        <w:t>the model</w:t>
      </w:r>
      <w:r w:rsidR="00FC167E" w:rsidRPr="009A1578">
        <w:rPr>
          <w:rFonts w:ascii="Times New Roman" w:hAnsi="Times New Roman" w:cs="Times New Roman"/>
        </w:rPr>
        <w:t xml:space="preserve"> included</w:t>
      </w:r>
      <w:r w:rsidR="00423C28" w:rsidRPr="009A1578">
        <w:rPr>
          <w:rFonts w:ascii="Times New Roman" w:hAnsi="Times New Roman" w:cs="Times New Roman"/>
        </w:rPr>
        <w:t xml:space="preserve"> i</w:t>
      </w:r>
      <w:r w:rsidR="003C3659" w:rsidRPr="009A1578">
        <w:rPr>
          <w:rFonts w:ascii="Times New Roman" w:hAnsi="Times New Roman" w:cs="Times New Roman"/>
        </w:rPr>
        <w:t xml:space="preserve">nteractions </w:t>
      </w:r>
      <w:r w:rsidR="00C564BF" w:rsidRPr="009A1578">
        <w:rPr>
          <w:rFonts w:ascii="Times New Roman" w:hAnsi="Times New Roman" w:cs="Times New Roman"/>
        </w:rPr>
        <w:t xml:space="preserve">where appropriate; </w:t>
      </w:r>
      <w:r w:rsidR="00C564BF" w:rsidRPr="009A1578">
        <w:rPr>
          <w:rFonts w:ascii="Times New Roman" w:hAnsi="Times New Roman" w:cs="Times New Roman"/>
          <w:noProof/>
        </w:rPr>
        <w:t>i.e.</w:t>
      </w:r>
      <w:r w:rsidR="00460F59" w:rsidRPr="009A1578">
        <w:rPr>
          <w:rFonts w:ascii="Times New Roman" w:hAnsi="Times New Roman" w:cs="Times New Roman"/>
          <w:noProof/>
        </w:rPr>
        <w:t>,</w:t>
      </w:r>
      <w:r w:rsidR="00C564BF" w:rsidRPr="009A1578">
        <w:rPr>
          <w:rFonts w:ascii="Times New Roman" w:hAnsi="Times New Roman" w:cs="Times New Roman"/>
        </w:rPr>
        <w:t xml:space="preserve"> between two covariates</w:t>
      </w:r>
      <w:r w:rsidR="003C3659" w:rsidRPr="009A1578">
        <w:rPr>
          <w:rFonts w:ascii="Times New Roman" w:hAnsi="Times New Roman" w:cs="Times New Roman"/>
        </w:rPr>
        <w:t xml:space="preserve"> </w:t>
      </w:r>
      <w:r w:rsidR="00C564BF" w:rsidRPr="009A1578">
        <w:rPr>
          <w:rFonts w:ascii="Times New Roman" w:hAnsi="Times New Roman" w:cs="Times New Roman"/>
        </w:rPr>
        <w:t>(</w:t>
      </w:r>
      <w:r w:rsidR="003C3659" w:rsidRPr="009A1578">
        <w:rPr>
          <w:rFonts w:ascii="Times New Roman" w:hAnsi="Times New Roman" w:cs="Times New Roman"/>
          <w:noProof/>
        </w:rPr>
        <w:t>income</w:t>
      </w:r>
      <w:r w:rsidR="00C564BF" w:rsidRPr="009A1578">
        <w:rPr>
          <w:rFonts w:ascii="Times New Roman" w:hAnsi="Times New Roman" w:cs="Times New Roman"/>
          <w:noProof/>
        </w:rPr>
        <w:t xml:space="preserve"> and marital status)</w:t>
      </w:r>
      <w:r w:rsidR="003C3659" w:rsidRPr="009A1578">
        <w:rPr>
          <w:rFonts w:ascii="Times New Roman" w:hAnsi="Times New Roman" w:cs="Times New Roman"/>
        </w:rPr>
        <w:t xml:space="preserve"> and </w:t>
      </w:r>
      <w:r w:rsidR="00881633" w:rsidRPr="009A1578">
        <w:rPr>
          <w:rFonts w:ascii="Times New Roman" w:hAnsi="Times New Roman" w:cs="Times New Roman"/>
        </w:rPr>
        <w:t>Charlson Comorbidity Index</w:t>
      </w:r>
      <w:r w:rsidR="00423C28" w:rsidRPr="009A1578">
        <w:rPr>
          <w:rFonts w:ascii="Times New Roman" w:hAnsi="Times New Roman" w:cs="Times New Roman"/>
        </w:rPr>
        <w:t xml:space="preserve">. </w:t>
      </w:r>
      <w:r w:rsidR="00683074" w:rsidRPr="009A1578">
        <w:rPr>
          <w:rFonts w:ascii="Times New Roman" w:hAnsi="Times New Roman" w:cs="Times New Roman"/>
        </w:rPr>
        <w:t>Furthermore, secular trends were investigated by combining results from subgroups classified as 1995-2000, 2001-2006 or 2007-2011 for</w:t>
      </w:r>
      <w:r w:rsidR="00460F59" w:rsidRPr="009A1578">
        <w:rPr>
          <w:rFonts w:ascii="Times New Roman" w:hAnsi="Times New Roman" w:cs="Times New Roman"/>
        </w:rPr>
        <w:t xml:space="preserve"> the</w:t>
      </w:r>
      <w:r w:rsidR="00683074" w:rsidRPr="009A1578">
        <w:rPr>
          <w:rFonts w:ascii="Times New Roman" w:hAnsi="Times New Roman" w:cs="Times New Roman"/>
        </w:rPr>
        <w:t xml:space="preserve"> </w:t>
      </w:r>
      <w:r w:rsidR="00683074" w:rsidRPr="009A1578">
        <w:rPr>
          <w:rFonts w:ascii="Times New Roman" w:hAnsi="Times New Roman" w:cs="Times New Roman"/>
          <w:noProof/>
        </w:rPr>
        <w:t>year</w:t>
      </w:r>
      <w:r w:rsidR="00683074" w:rsidRPr="009A1578">
        <w:rPr>
          <w:rFonts w:ascii="Times New Roman" w:hAnsi="Times New Roman" w:cs="Times New Roman"/>
        </w:rPr>
        <w:t xml:space="preserve"> of fracture. </w:t>
      </w:r>
      <w:r w:rsidR="00DC1F16" w:rsidRPr="009A1578">
        <w:rPr>
          <w:rFonts w:ascii="Times New Roman" w:hAnsi="Times New Roman" w:cs="Times New Roman"/>
        </w:rPr>
        <w:t>All data management was carried out within the closed-circuit research server prov</w:t>
      </w:r>
      <w:r w:rsidR="00300CE7" w:rsidRPr="009A1578">
        <w:rPr>
          <w:rFonts w:ascii="Times New Roman" w:hAnsi="Times New Roman" w:cs="Times New Roman"/>
        </w:rPr>
        <w:t>ided by Statistics Denmark</w:t>
      </w:r>
      <w:r w:rsidR="00313AFA" w:rsidRPr="009A1578">
        <w:rPr>
          <w:rFonts w:ascii="Times New Roman" w:hAnsi="Times New Roman" w:cs="Times New Roman"/>
        </w:rPr>
        <w:t xml:space="preserve"> </w:t>
      </w:r>
      <w:r w:rsidR="00423C28" w:rsidRPr="009A1578">
        <w:rPr>
          <w:rFonts w:ascii="Times New Roman" w:hAnsi="Times New Roman" w:cs="Times New Roman"/>
        </w:rPr>
        <w:t>and analyzed using Stata 14</w:t>
      </w:r>
      <w:r w:rsidR="00C564BF" w:rsidRPr="009A1578">
        <w:rPr>
          <w:rFonts w:ascii="Times New Roman" w:hAnsi="Times New Roman" w:cs="Times New Roman"/>
        </w:rPr>
        <w:t xml:space="preserve"> (StataCorp, College Station, TX, USA)</w:t>
      </w:r>
      <w:r w:rsidR="00300CE7" w:rsidRPr="009A1578">
        <w:rPr>
          <w:rFonts w:ascii="Times New Roman" w:hAnsi="Times New Roman" w:cs="Times New Roman"/>
        </w:rPr>
        <w:t>.</w:t>
      </w:r>
    </w:p>
    <w:p w14:paraId="5637908A" w14:textId="77777777" w:rsidR="00E16210" w:rsidRPr="009A1578" w:rsidRDefault="00E16210" w:rsidP="00934254">
      <w:pPr>
        <w:spacing w:line="480" w:lineRule="auto"/>
        <w:jc w:val="both"/>
        <w:rPr>
          <w:rFonts w:ascii="Times New Roman" w:hAnsi="Times New Roman" w:cs="Times New Roman"/>
        </w:rPr>
      </w:pPr>
    </w:p>
    <w:p w14:paraId="69BEEC91" w14:textId="639D8730" w:rsidR="00083136" w:rsidRPr="009A1578" w:rsidRDefault="00083136">
      <w:pPr>
        <w:rPr>
          <w:rFonts w:ascii="Times New Roman" w:hAnsi="Times New Roman" w:cs="Times New Roman"/>
          <w:b/>
        </w:rPr>
      </w:pPr>
    </w:p>
    <w:p w14:paraId="2CB0DD98" w14:textId="10961C0E" w:rsidR="00E16210" w:rsidRPr="009A1578" w:rsidRDefault="00956D76" w:rsidP="00934254">
      <w:pPr>
        <w:spacing w:line="480" w:lineRule="auto"/>
        <w:jc w:val="both"/>
        <w:rPr>
          <w:rFonts w:ascii="Times New Roman" w:hAnsi="Times New Roman" w:cs="Times New Roman"/>
          <w:b/>
        </w:rPr>
      </w:pPr>
      <w:r w:rsidRPr="009A1578">
        <w:rPr>
          <w:rFonts w:ascii="Times New Roman" w:hAnsi="Times New Roman" w:cs="Times New Roman"/>
          <w:b/>
        </w:rPr>
        <w:t>Results</w:t>
      </w:r>
    </w:p>
    <w:p w14:paraId="54D4843E" w14:textId="77E2234D" w:rsidR="00432DE5" w:rsidRPr="009A1578" w:rsidRDefault="00432DE5" w:rsidP="00934254">
      <w:pPr>
        <w:spacing w:line="480" w:lineRule="auto"/>
        <w:jc w:val="both"/>
        <w:rPr>
          <w:rFonts w:ascii="Times New Roman" w:hAnsi="Times New Roman" w:cs="Times New Roman"/>
          <w:i/>
        </w:rPr>
      </w:pPr>
      <w:r w:rsidRPr="009A1578">
        <w:rPr>
          <w:rFonts w:ascii="Times New Roman" w:hAnsi="Times New Roman" w:cs="Times New Roman"/>
          <w:i/>
        </w:rPr>
        <w:t>Study population</w:t>
      </w:r>
    </w:p>
    <w:p w14:paraId="03E31AB0" w14:textId="46F137A3" w:rsidR="00950277" w:rsidRPr="009A1578" w:rsidRDefault="00142FBE" w:rsidP="00230B51">
      <w:pPr>
        <w:spacing w:line="480" w:lineRule="auto"/>
        <w:jc w:val="both"/>
        <w:rPr>
          <w:rFonts w:ascii="Times New Roman" w:hAnsi="Times New Roman" w:cs="Times New Roman"/>
        </w:rPr>
      </w:pPr>
      <w:r w:rsidRPr="009A1578">
        <w:rPr>
          <w:rFonts w:ascii="Times New Roman" w:hAnsi="Times New Roman" w:cs="Times New Roman"/>
        </w:rPr>
        <w:t xml:space="preserve">From the </w:t>
      </w:r>
      <w:r w:rsidR="00F94B61" w:rsidRPr="009A1578">
        <w:rPr>
          <w:rFonts w:ascii="Times New Roman" w:hAnsi="Times New Roman" w:cs="Times New Roman"/>
        </w:rPr>
        <w:t>dataset,</w:t>
      </w:r>
      <w:r w:rsidRPr="009A1578">
        <w:rPr>
          <w:rFonts w:ascii="Times New Roman" w:hAnsi="Times New Roman" w:cs="Times New Roman"/>
        </w:rPr>
        <w:t xml:space="preserve"> </w:t>
      </w:r>
      <w:r w:rsidR="00F94B61" w:rsidRPr="009A1578">
        <w:rPr>
          <w:rFonts w:ascii="Times New Roman" w:hAnsi="Times New Roman" w:cs="Times New Roman"/>
        </w:rPr>
        <w:t>671,958</w:t>
      </w:r>
      <w:r w:rsidR="00B615C0" w:rsidRPr="009A1578">
        <w:rPr>
          <w:rFonts w:ascii="Times New Roman" w:hAnsi="Times New Roman" w:cs="Times New Roman"/>
        </w:rPr>
        <w:t xml:space="preserve"> fracture patien</w:t>
      </w:r>
      <w:r w:rsidR="00655CCE" w:rsidRPr="009A1578">
        <w:rPr>
          <w:rFonts w:ascii="Times New Roman" w:hAnsi="Times New Roman" w:cs="Times New Roman"/>
        </w:rPr>
        <w:t>t</w:t>
      </w:r>
      <w:r w:rsidR="00B615C0" w:rsidRPr="009A1578">
        <w:rPr>
          <w:rFonts w:ascii="Times New Roman" w:hAnsi="Times New Roman" w:cs="Times New Roman"/>
        </w:rPr>
        <w:t>s</w:t>
      </w:r>
      <w:r w:rsidR="00655CCE" w:rsidRPr="009A1578">
        <w:rPr>
          <w:rFonts w:ascii="Times New Roman" w:hAnsi="Times New Roman" w:cs="Times New Roman"/>
        </w:rPr>
        <w:t xml:space="preserve"> were identified</w:t>
      </w:r>
      <w:r w:rsidR="00460F59" w:rsidRPr="009A1578">
        <w:rPr>
          <w:rFonts w:ascii="Times New Roman" w:hAnsi="Times New Roman" w:cs="Times New Roman"/>
        </w:rPr>
        <w:t>,</w:t>
      </w:r>
      <w:r w:rsidR="00655CCE" w:rsidRPr="009A1578">
        <w:rPr>
          <w:rFonts w:ascii="Times New Roman" w:hAnsi="Times New Roman" w:cs="Times New Roman"/>
        </w:rPr>
        <w:t xml:space="preserve"> </w:t>
      </w:r>
      <w:r w:rsidR="00655CCE" w:rsidRPr="009A1578">
        <w:rPr>
          <w:rFonts w:ascii="Times New Roman" w:hAnsi="Times New Roman" w:cs="Times New Roman"/>
          <w:noProof/>
        </w:rPr>
        <w:t>and</w:t>
      </w:r>
      <w:r w:rsidR="00655CCE" w:rsidRPr="009A1578">
        <w:rPr>
          <w:rFonts w:ascii="Times New Roman" w:hAnsi="Times New Roman" w:cs="Times New Roman"/>
        </w:rPr>
        <w:t xml:space="preserve"> </w:t>
      </w:r>
      <w:r w:rsidR="00432DE5" w:rsidRPr="009A1578">
        <w:rPr>
          <w:rFonts w:ascii="Times New Roman" w:hAnsi="Times New Roman" w:cs="Times New Roman"/>
        </w:rPr>
        <w:t xml:space="preserve">after </w:t>
      </w:r>
      <w:r w:rsidR="00E27B0A" w:rsidRPr="009A1578">
        <w:rPr>
          <w:rFonts w:ascii="Times New Roman" w:hAnsi="Times New Roman" w:cs="Times New Roman"/>
        </w:rPr>
        <w:t>exclu</w:t>
      </w:r>
      <w:r w:rsidR="00432DE5" w:rsidRPr="009A1578">
        <w:rPr>
          <w:rFonts w:ascii="Times New Roman" w:hAnsi="Times New Roman" w:cs="Times New Roman"/>
        </w:rPr>
        <w:t>sion based</w:t>
      </w:r>
      <w:r w:rsidR="00E27B0A" w:rsidRPr="009A1578">
        <w:rPr>
          <w:rFonts w:ascii="Times New Roman" w:hAnsi="Times New Roman" w:cs="Times New Roman"/>
        </w:rPr>
        <w:t xml:space="preserve"> on predefined characteristics and</w:t>
      </w:r>
      <w:r w:rsidR="00A669F9" w:rsidRPr="009A1578">
        <w:rPr>
          <w:rFonts w:ascii="Times New Roman" w:hAnsi="Times New Roman" w:cs="Times New Roman"/>
        </w:rPr>
        <w:t xml:space="preserve"> matching</w:t>
      </w:r>
      <w:r w:rsidR="00655CCE" w:rsidRPr="009A1578">
        <w:rPr>
          <w:rFonts w:ascii="Times New Roman" w:hAnsi="Times New Roman" w:cs="Times New Roman"/>
        </w:rPr>
        <w:t xml:space="preserve"> to a non-fracture control</w:t>
      </w:r>
      <w:r w:rsidR="00F94B61" w:rsidRPr="009A1578">
        <w:rPr>
          <w:rFonts w:ascii="Times New Roman" w:hAnsi="Times New Roman" w:cs="Times New Roman"/>
        </w:rPr>
        <w:t xml:space="preserve">, </w:t>
      </w:r>
      <w:r w:rsidR="007A1ED4" w:rsidRPr="009A1578">
        <w:rPr>
          <w:rFonts w:ascii="Times New Roman" w:hAnsi="Times New Roman" w:cs="Times New Roman"/>
        </w:rPr>
        <w:t>702,758</w:t>
      </w:r>
      <w:r w:rsidR="00F94B61" w:rsidRPr="009A1578">
        <w:rPr>
          <w:rFonts w:ascii="Times New Roman" w:hAnsi="Times New Roman" w:cs="Times New Roman"/>
        </w:rPr>
        <w:t xml:space="preserve"> </w:t>
      </w:r>
      <w:r w:rsidR="00CE367C" w:rsidRPr="009A1578">
        <w:rPr>
          <w:rFonts w:ascii="Times New Roman" w:hAnsi="Times New Roman" w:cs="Times New Roman"/>
        </w:rPr>
        <w:t>individuals</w:t>
      </w:r>
      <w:r w:rsidR="00ED0732" w:rsidRPr="009A1578">
        <w:rPr>
          <w:rFonts w:ascii="Times New Roman" w:hAnsi="Times New Roman" w:cs="Times New Roman"/>
        </w:rPr>
        <w:t xml:space="preserve"> (351,379 cases </w:t>
      </w:r>
      <w:r w:rsidR="00ED0732" w:rsidRPr="009A1578">
        <w:rPr>
          <w:rFonts w:ascii="Times New Roman" w:hAnsi="Times New Roman" w:cs="Times New Roman"/>
          <w:noProof/>
        </w:rPr>
        <w:t>and</w:t>
      </w:r>
      <w:r w:rsidR="00ED0732" w:rsidRPr="009A1578">
        <w:rPr>
          <w:rFonts w:ascii="Times New Roman" w:hAnsi="Times New Roman" w:cs="Times New Roman"/>
        </w:rPr>
        <w:t xml:space="preserve"> </w:t>
      </w:r>
      <w:r w:rsidR="00ED0732" w:rsidRPr="009A1578">
        <w:rPr>
          <w:rFonts w:ascii="Times New Roman" w:hAnsi="Times New Roman" w:cs="Times New Roman"/>
          <w:noProof/>
        </w:rPr>
        <w:t>equivalent</w:t>
      </w:r>
      <w:r w:rsidR="00460F59" w:rsidRPr="009A1578">
        <w:rPr>
          <w:rFonts w:ascii="Times New Roman" w:hAnsi="Times New Roman" w:cs="Times New Roman"/>
          <w:noProof/>
        </w:rPr>
        <w:t xml:space="preserve"> number of</w:t>
      </w:r>
      <w:r w:rsidR="00ED0732" w:rsidRPr="009A1578">
        <w:rPr>
          <w:rFonts w:ascii="Times New Roman" w:hAnsi="Times New Roman" w:cs="Times New Roman"/>
        </w:rPr>
        <w:t xml:space="preserve"> controls)</w:t>
      </w:r>
      <w:r w:rsidR="00CE367C" w:rsidRPr="009A1578">
        <w:rPr>
          <w:rFonts w:ascii="Times New Roman" w:hAnsi="Times New Roman" w:cs="Times New Roman"/>
        </w:rPr>
        <w:t xml:space="preserve"> </w:t>
      </w:r>
      <w:r w:rsidR="00E27B0A" w:rsidRPr="009A1578">
        <w:rPr>
          <w:rFonts w:ascii="Times New Roman" w:hAnsi="Times New Roman" w:cs="Times New Roman"/>
        </w:rPr>
        <w:t xml:space="preserve">were included </w:t>
      </w:r>
      <w:r w:rsidR="00CE367C" w:rsidRPr="009A1578">
        <w:rPr>
          <w:rFonts w:ascii="Times New Roman" w:hAnsi="Times New Roman" w:cs="Times New Roman"/>
        </w:rPr>
        <w:t xml:space="preserve">for </w:t>
      </w:r>
      <w:r w:rsidR="00E27B0A" w:rsidRPr="009A1578">
        <w:rPr>
          <w:rFonts w:ascii="Times New Roman" w:hAnsi="Times New Roman" w:cs="Times New Roman"/>
        </w:rPr>
        <w:t xml:space="preserve">further </w:t>
      </w:r>
      <w:r w:rsidR="00CE367C" w:rsidRPr="009A1578">
        <w:rPr>
          <w:rFonts w:ascii="Times New Roman" w:hAnsi="Times New Roman" w:cs="Times New Roman"/>
        </w:rPr>
        <w:t>analysis</w:t>
      </w:r>
      <w:r w:rsidR="00655CCE" w:rsidRPr="009A1578">
        <w:rPr>
          <w:rFonts w:ascii="Times New Roman" w:hAnsi="Times New Roman" w:cs="Times New Roman"/>
        </w:rPr>
        <w:t xml:space="preserve">. </w:t>
      </w:r>
      <w:r w:rsidR="00B615C0" w:rsidRPr="009A1578">
        <w:rPr>
          <w:rFonts w:ascii="Times New Roman" w:hAnsi="Times New Roman" w:cs="Times New Roman"/>
        </w:rPr>
        <w:t xml:space="preserve">Information on </w:t>
      </w:r>
      <w:r w:rsidR="00CE367C" w:rsidRPr="009A1578">
        <w:rPr>
          <w:rFonts w:ascii="Times New Roman" w:hAnsi="Times New Roman" w:cs="Times New Roman"/>
        </w:rPr>
        <w:t>income</w:t>
      </w:r>
      <w:r w:rsidR="00F94B61" w:rsidRPr="009A1578">
        <w:rPr>
          <w:rFonts w:ascii="Times New Roman" w:hAnsi="Times New Roman" w:cs="Times New Roman"/>
        </w:rPr>
        <w:t>,</w:t>
      </w:r>
      <w:r w:rsidR="00CE367C" w:rsidRPr="009A1578">
        <w:rPr>
          <w:rFonts w:ascii="Times New Roman" w:hAnsi="Times New Roman" w:cs="Times New Roman"/>
        </w:rPr>
        <w:t xml:space="preserve"> </w:t>
      </w:r>
      <w:r w:rsidR="00F94B61" w:rsidRPr="009A1578">
        <w:rPr>
          <w:rFonts w:ascii="Times New Roman" w:hAnsi="Times New Roman" w:cs="Times New Roman"/>
        </w:rPr>
        <w:t>marital status</w:t>
      </w:r>
      <w:r w:rsidR="00460F59" w:rsidRPr="009A1578">
        <w:rPr>
          <w:rFonts w:ascii="Times New Roman" w:hAnsi="Times New Roman" w:cs="Times New Roman"/>
        </w:rPr>
        <w:t>,</w:t>
      </w:r>
      <w:r w:rsidR="00F94B61" w:rsidRPr="009A1578">
        <w:rPr>
          <w:rFonts w:ascii="Times New Roman" w:hAnsi="Times New Roman" w:cs="Times New Roman"/>
        </w:rPr>
        <w:t xml:space="preserve"> </w:t>
      </w:r>
      <w:r w:rsidR="00F94B61" w:rsidRPr="009A1578">
        <w:rPr>
          <w:rFonts w:ascii="Times New Roman" w:hAnsi="Times New Roman" w:cs="Times New Roman"/>
          <w:noProof/>
        </w:rPr>
        <w:t>and</w:t>
      </w:r>
      <w:r w:rsidR="00F94B61" w:rsidRPr="009A1578">
        <w:rPr>
          <w:rFonts w:ascii="Times New Roman" w:hAnsi="Times New Roman" w:cs="Times New Roman"/>
        </w:rPr>
        <w:t xml:space="preserve"> area of residence </w:t>
      </w:r>
      <w:r w:rsidR="00B615C0" w:rsidRPr="009A1578">
        <w:rPr>
          <w:rFonts w:ascii="Times New Roman" w:hAnsi="Times New Roman" w:cs="Times New Roman"/>
          <w:noProof/>
        </w:rPr>
        <w:t>w</w:t>
      </w:r>
      <w:r w:rsidR="00A437EC" w:rsidRPr="009A1578">
        <w:rPr>
          <w:rFonts w:ascii="Times New Roman" w:hAnsi="Times New Roman" w:cs="Times New Roman"/>
          <w:noProof/>
        </w:rPr>
        <w:t>as</w:t>
      </w:r>
      <w:r w:rsidR="00B615C0" w:rsidRPr="009A1578">
        <w:rPr>
          <w:rFonts w:ascii="Times New Roman" w:hAnsi="Times New Roman" w:cs="Times New Roman"/>
        </w:rPr>
        <w:t xml:space="preserve"> only available </w:t>
      </w:r>
      <w:r w:rsidR="00BB7710" w:rsidRPr="009A1578">
        <w:rPr>
          <w:rFonts w:ascii="Times New Roman" w:hAnsi="Times New Roman" w:cs="Times New Roman"/>
        </w:rPr>
        <w:t xml:space="preserve">from Statistics Denmark </w:t>
      </w:r>
      <w:r w:rsidR="00B615C0" w:rsidRPr="009A1578">
        <w:rPr>
          <w:rFonts w:ascii="Times New Roman" w:hAnsi="Times New Roman" w:cs="Times New Roman"/>
        </w:rPr>
        <w:t xml:space="preserve">for </w:t>
      </w:r>
      <w:r w:rsidR="00432DE5" w:rsidRPr="009A1578">
        <w:rPr>
          <w:rFonts w:ascii="Times New Roman" w:hAnsi="Times New Roman" w:cs="Times New Roman"/>
        </w:rPr>
        <w:t>a subset</w:t>
      </w:r>
      <w:r w:rsidR="00B615C0" w:rsidRPr="009A1578">
        <w:rPr>
          <w:rFonts w:ascii="Times New Roman" w:hAnsi="Times New Roman" w:cs="Times New Roman"/>
        </w:rPr>
        <w:t xml:space="preserve"> of patients</w:t>
      </w:r>
      <w:r w:rsidR="00ED0732" w:rsidRPr="009A1578">
        <w:rPr>
          <w:rFonts w:ascii="Times New Roman" w:hAnsi="Times New Roman" w:cs="Times New Roman"/>
        </w:rPr>
        <w:t>, mainly due to substantial lack of income data</w:t>
      </w:r>
      <w:r w:rsidR="000A02DD" w:rsidRPr="009A1578">
        <w:rPr>
          <w:rFonts w:ascii="Times New Roman" w:hAnsi="Times New Roman" w:cs="Times New Roman"/>
        </w:rPr>
        <w:t>.</w:t>
      </w:r>
      <w:r w:rsidR="008E1171">
        <w:rPr>
          <w:rFonts w:ascii="Times New Roman" w:hAnsi="Times New Roman" w:cs="Times New Roman"/>
        </w:rPr>
        <w:t xml:space="preserve"> The eligible population differed from the </w:t>
      </w:r>
      <w:r w:rsidR="00F32317">
        <w:rPr>
          <w:rFonts w:ascii="Times New Roman" w:hAnsi="Times New Roman" w:cs="Times New Roman"/>
        </w:rPr>
        <w:t xml:space="preserve">included population on some clinically relevant parameters, as the included population was a </w:t>
      </w:r>
      <w:r w:rsidR="00433AE3">
        <w:rPr>
          <w:rFonts w:ascii="Times New Roman" w:hAnsi="Times New Roman" w:cs="Times New Roman"/>
        </w:rPr>
        <w:t>little</w:t>
      </w:r>
      <w:r w:rsidR="00F32317">
        <w:rPr>
          <w:rFonts w:ascii="Times New Roman" w:hAnsi="Times New Roman" w:cs="Times New Roman"/>
        </w:rPr>
        <w:t xml:space="preserve"> younger</w:t>
      </w:r>
      <w:r w:rsidR="004809E2">
        <w:rPr>
          <w:rFonts w:ascii="Times New Roman" w:hAnsi="Times New Roman" w:cs="Times New Roman"/>
        </w:rPr>
        <w:t xml:space="preserve"> (4-6 year)</w:t>
      </w:r>
      <w:r w:rsidR="00F32317">
        <w:rPr>
          <w:rFonts w:ascii="Times New Roman" w:hAnsi="Times New Roman" w:cs="Times New Roman"/>
        </w:rPr>
        <w:t xml:space="preserve">, more likely </w:t>
      </w:r>
      <w:r w:rsidR="00433AE3">
        <w:rPr>
          <w:rFonts w:ascii="Times New Roman" w:hAnsi="Times New Roman" w:cs="Times New Roman"/>
        </w:rPr>
        <w:t xml:space="preserve">to be </w:t>
      </w:r>
      <w:r w:rsidR="00F32317">
        <w:rPr>
          <w:rFonts w:ascii="Times New Roman" w:hAnsi="Times New Roman" w:cs="Times New Roman"/>
        </w:rPr>
        <w:t>male</w:t>
      </w:r>
      <w:r w:rsidR="004809E2">
        <w:rPr>
          <w:rFonts w:ascii="Times New Roman" w:hAnsi="Times New Roman" w:cs="Times New Roman"/>
        </w:rPr>
        <w:t xml:space="preserve"> (1.5-3.6 percentage points)</w:t>
      </w:r>
      <w:r w:rsidR="00F32317">
        <w:rPr>
          <w:rFonts w:ascii="Times New Roman" w:hAnsi="Times New Roman" w:cs="Times New Roman"/>
        </w:rPr>
        <w:t xml:space="preserve"> and included for analysis in later years.</w:t>
      </w:r>
      <w:r w:rsidR="00E27B0A" w:rsidRPr="009A1578">
        <w:rPr>
          <w:rFonts w:ascii="Times New Roman" w:hAnsi="Times New Roman" w:cs="Times New Roman"/>
        </w:rPr>
        <w:t xml:space="preserve"> </w:t>
      </w:r>
      <w:r w:rsidR="00F32317">
        <w:rPr>
          <w:rFonts w:ascii="Times New Roman" w:hAnsi="Times New Roman" w:cs="Times New Roman"/>
        </w:rPr>
        <w:t xml:space="preserve">For more details between the two populations, see </w:t>
      </w:r>
      <w:r w:rsidR="00433AE3">
        <w:rPr>
          <w:rFonts w:ascii="Times New Roman" w:hAnsi="Times New Roman" w:cs="Times New Roman"/>
        </w:rPr>
        <w:t>S</w:t>
      </w:r>
      <w:r w:rsidR="008E1171">
        <w:rPr>
          <w:rFonts w:ascii="Times New Roman" w:hAnsi="Times New Roman" w:cs="Times New Roman"/>
        </w:rPr>
        <w:t xml:space="preserve">upplementary </w:t>
      </w:r>
      <w:r w:rsidR="00433AE3">
        <w:rPr>
          <w:rFonts w:ascii="Times New Roman" w:hAnsi="Times New Roman" w:cs="Times New Roman"/>
        </w:rPr>
        <w:t>T</w:t>
      </w:r>
      <w:r w:rsidR="008E1171">
        <w:rPr>
          <w:rFonts w:ascii="Times New Roman" w:hAnsi="Times New Roman" w:cs="Times New Roman"/>
        </w:rPr>
        <w:t>able 1.</w:t>
      </w:r>
      <w:r w:rsidR="005C72C1" w:rsidRPr="009A1578">
        <w:rPr>
          <w:rFonts w:ascii="Times New Roman" w:hAnsi="Times New Roman" w:cs="Times New Roman"/>
        </w:rPr>
        <w:t xml:space="preserve"> </w:t>
      </w:r>
      <w:r w:rsidR="00F32317">
        <w:rPr>
          <w:rFonts w:ascii="Times New Roman" w:hAnsi="Times New Roman" w:cs="Times New Roman"/>
        </w:rPr>
        <w:t>T</w:t>
      </w:r>
      <w:r w:rsidR="005C72C1" w:rsidRPr="009A1578">
        <w:rPr>
          <w:rFonts w:ascii="Times New Roman" w:hAnsi="Times New Roman" w:cs="Times New Roman"/>
        </w:rPr>
        <w:t xml:space="preserve">he final analyses included </w:t>
      </w:r>
      <w:r w:rsidR="00F94B61" w:rsidRPr="009A1578">
        <w:rPr>
          <w:rFonts w:ascii="Times New Roman" w:hAnsi="Times New Roman" w:cs="Times New Roman"/>
        </w:rPr>
        <w:t xml:space="preserve">189,838 </w:t>
      </w:r>
      <w:r w:rsidR="005C72C1" w:rsidRPr="009A1578">
        <w:rPr>
          <w:rFonts w:ascii="Times New Roman" w:hAnsi="Times New Roman" w:cs="Times New Roman"/>
        </w:rPr>
        <w:t xml:space="preserve">fracture cases and </w:t>
      </w:r>
      <w:r w:rsidR="00313AFA" w:rsidRPr="009A1578">
        <w:rPr>
          <w:rFonts w:ascii="Times New Roman" w:hAnsi="Times New Roman" w:cs="Times New Roman"/>
        </w:rPr>
        <w:t xml:space="preserve">an </w:t>
      </w:r>
      <w:r w:rsidR="005C72C1" w:rsidRPr="009A1578">
        <w:rPr>
          <w:rFonts w:ascii="Times New Roman" w:hAnsi="Times New Roman" w:cs="Times New Roman"/>
        </w:rPr>
        <w:t xml:space="preserve">equivalent </w:t>
      </w:r>
      <w:r w:rsidR="00313AFA" w:rsidRPr="009A1578">
        <w:rPr>
          <w:rFonts w:ascii="Times New Roman" w:hAnsi="Times New Roman" w:cs="Times New Roman"/>
        </w:rPr>
        <w:t xml:space="preserve">number of </w:t>
      </w:r>
      <w:r w:rsidR="005C72C1" w:rsidRPr="009A1578">
        <w:rPr>
          <w:rFonts w:ascii="Times New Roman" w:hAnsi="Times New Roman" w:cs="Times New Roman"/>
        </w:rPr>
        <w:t>control</w:t>
      </w:r>
      <w:r w:rsidR="00313AFA" w:rsidRPr="009A1578">
        <w:rPr>
          <w:rFonts w:ascii="Times New Roman" w:hAnsi="Times New Roman" w:cs="Times New Roman"/>
        </w:rPr>
        <w:t xml:space="preserve"> subjects</w:t>
      </w:r>
      <w:r w:rsidR="005C72C1" w:rsidRPr="009A1578">
        <w:rPr>
          <w:rFonts w:ascii="Times New Roman" w:hAnsi="Times New Roman" w:cs="Times New Roman"/>
        </w:rPr>
        <w:t>.</w:t>
      </w:r>
      <w:r w:rsidR="00432DE5" w:rsidRPr="009A1578">
        <w:rPr>
          <w:rFonts w:ascii="Times New Roman" w:hAnsi="Times New Roman" w:cs="Times New Roman"/>
        </w:rPr>
        <w:t xml:space="preserve"> D</w:t>
      </w:r>
      <w:r w:rsidR="000A02DD" w:rsidRPr="009A1578">
        <w:rPr>
          <w:rFonts w:ascii="Times New Roman" w:hAnsi="Times New Roman" w:cs="Times New Roman"/>
        </w:rPr>
        <w:t xml:space="preserve">emographics of fracture patients and controls are as described in </w:t>
      </w:r>
      <w:r w:rsidR="00432DE5" w:rsidRPr="009A1578">
        <w:rPr>
          <w:rFonts w:ascii="Times New Roman" w:hAnsi="Times New Roman" w:cs="Times New Roman"/>
        </w:rPr>
        <w:t>T</w:t>
      </w:r>
      <w:r w:rsidR="000A02DD" w:rsidRPr="009A1578">
        <w:rPr>
          <w:rFonts w:ascii="Times New Roman" w:hAnsi="Times New Roman" w:cs="Times New Roman"/>
        </w:rPr>
        <w:t>able 1.</w:t>
      </w:r>
      <w:r w:rsidR="00382DD1" w:rsidRPr="009A1578">
        <w:rPr>
          <w:rFonts w:ascii="Times New Roman" w:hAnsi="Times New Roman" w:cs="Times New Roman"/>
        </w:rPr>
        <w:t xml:space="preserve"> </w:t>
      </w:r>
      <w:r w:rsidR="00230B51" w:rsidRPr="009A1578">
        <w:rPr>
          <w:rFonts w:ascii="Times New Roman" w:hAnsi="Times New Roman" w:cs="Times New Roman"/>
        </w:rPr>
        <w:t xml:space="preserve">As </w:t>
      </w:r>
      <w:r w:rsidR="00230B51" w:rsidRPr="009A1578">
        <w:rPr>
          <w:rFonts w:ascii="Times New Roman" w:hAnsi="Times New Roman" w:cs="Times New Roman"/>
        </w:rPr>
        <w:lastRenderedPageBreak/>
        <w:t xml:space="preserve">expected, </w:t>
      </w:r>
      <w:r w:rsidR="00432DE5" w:rsidRPr="009A1578">
        <w:rPr>
          <w:rFonts w:ascii="Times New Roman" w:hAnsi="Times New Roman" w:cs="Times New Roman"/>
        </w:rPr>
        <w:t xml:space="preserve">patients with a </w:t>
      </w:r>
      <w:r w:rsidR="00230B51" w:rsidRPr="009A1578">
        <w:rPr>
          <w:rFonts w:ascii="Times New Roman" w:hAnsi="Times New Roman" w:cs="Times New Roman"/>
        </w:rPr>
        <w:t>wrist fracture</w:t>
      </w:r>
      <w:r w:rsidR="00432DE5" w:rsidRPr="009A1578">
        <w:rPr>
          <w:rFonts w:ascii="Times New Roman" w:hAnsi="Times New Roman" w:cs="Times New Roman"/>
        </w:rPr>
        <w:t xml:space="preserve"> were on</w:t>
      </w:r>
      <w:r w:rsidR="00230B51" w:rsidRPr="009A1578">
        <w:rPr>
          <w:rFonts w:ascii="Times New Roman" w:hAnsi="Times New Roman" w:cs="Times New Roman"/>
        </w:rPr>
        <w:t xml:space="preserve"> average youngest and hip fracture patients on average were oldest. The majority of individuals included for analysis were women (68.9-79.5% of women </w:t>
      </w:r>
      <w:r w:rsidR="00230B51" w:rsidRPr="009A1578">
        <w:rPr>
          <w:rFonts w:ascii="Times New Roman" w:hAnsi="Times New Roman" w:cs="Times New Roman"/>
          <w:noProof/>
        </w:rPr>
        <w:t>vs</w:t>
      </w:r>
      <w:r w:rsidR="00230B51" w:rsidRPr="009A1578">
        <w:rPr>
          <w:rFonts w:ascii="Times New Roman" w:hAnsi="Times New Roman" w:cs="Times New Roman"/>
        </w:rPr>
        <w:t xml:space="preserve"> 20.5-31.2% men). </w:t>
      </w:r>
      <w:r w:rsidR="00230B51" w:rsidRPr="009A1578">
        <w:rPr>
          <w:rFonts w:ascii="Times New Roman" w:eastAsia="Times New Roman" w:hAnsi="Times New Roman" w:cs="Times New Roman"/>
          <w:color w:val="000000"/>
          <w:lang w:val="en-GB"/>
        </w:rPr>
        <w:t xml:space="preserve">Furthermore, individuals who sustained a fracture were more likely to smoke, drink excess alcohol and have higher Charlson </w:t>
      </w:r>
      <w:r w:rsidR="00230B51" w:rsidRPr="009A1578">
        <w:rPr>
          <w:rFonts w:ascii="Times New Roman" w:eastAsia="Times New Roman" w:hAnsi="Times New Roman" w:cs="Times New Roman"/>
          <w:noProof/>
          <w:color w:val="000000"/>
          <w:lang w:val="en-GB"/>
        </w:rPr>
        <w:t>Comorbidity</w:t>
      </w:r>
      <w:r w:rsidR="00230B51" w:rsidRPr="009A1578">
        <w:rPr>
          <w:rFonts w:ascii="Times New Roman" w:eastAsia="Times New Roman" w:hAnsi="Times New Roman" w:cs="Times New Roman"/>
          <w:color w:val="000000"/>
          <w:lang w:val="en-GB"/>
        </w:rPr>
        <w:t xml:space="preserve"> Index scores compared to the matched controls (</w:t>
      </w:r>
      <w:r w:rsidR="00432DE5" w:rsidRPr="009A1578">
        <w:rPr>
          <w:rFonts w:ascii="Times New Roman" w:eastAsia="Times New Roman" w:hAnsi="Times New Roman" w:cs="Times New Roman"/>
          <w:color w:val="000000"/>
          <w:lang w:val="en-GB"/>
        </w:rPr>
        <w:t>T</w:t>
      </w:r>
      <w:r w:rsidR="00230B51" w:rsidRPr="009A1578">
        <w:rPr>
          <w:rFonts w:ascii="Times New Roman" w:eastAsia="Times New Roman" w:hAnsi="Times New Roman" w:cs="Times New Roman"/>
          <w:color w:val="000000"/>
          <w:lang w:val="en-GB"/>
        </w:rPr>
        <w:t>able 1). The exposure variables were also significant</w:t>
      </w:r>
      <w:r w:rsidR="004D039F" w:rsidRPr="009A1578">
        <w:rPr>
          <w:rFonts w:ascii="Times New Roman" w:eastAsia="Times New Roman" w:hAnsi="Times New Roman" w:cs="Times New Roman"/>
          <w:color w:val="000000"/>
          <w:lang w:val="en-GB"/>
        </w:rPr>
        <w:t>ly</w:t>
      </w:r>
      <w:r w:rsidR="00F4386B" w:rsidRPr="009A1578">
        <w:rPr>
          <w:rFonts w:ascii="Times New Roman" w:eastAsia="Times New Roman" w:hAnsi="Times New Roman" w:cs="Times New Roman"/>
          <w:color w:val="000000"/>
          <w:lang w:val="en-GB"/>
        </w:rPr>
        <w:t xml:space="preserve"> different</w:t>
      </w:r>
      <w:r w:rsidR="00230B51" w:rsidRPr="009A1578">
        <w:rPr>
          <w:rFonts w:ascii="Times New Roman" w:eastAsia="Times New Roman" w:hAnsi="Times New Roman" w:cs="Times New Roman"/>
          <w:color w:val="000000"/>
          <w:lang w:val="en-GB"/>
        </w:rPr>
        <w:t xml:space="preserve"> distributed between fracture and </w:t>
      </w:r>
      <w:r w:rsidR="00230B51" w:rsidRPr="009A1578">
        <w:rPr>
          <w:rFonts w:ascii="Times New Roman" w:eastAsia="Times New Roman" w:hAnsi="Times New Roman" w:cs="Times New Roman"/>
          <w:noProof/>
          <w:color w:val="000000"/>
          <w:lang w:val="en-GB"/>
        </w:rPr>
        <w:t>controls</w:t>
      </w:r>
      <w:r w:rsidR="00230B51" w:rsidRPr="009A1578">
        <w:rPr>
          <w:rFonts w:ascii="Times New Roman" w:eastAsia="Times New Roman" w:hAnsi="Times New Roman" w:cs="Times New Roman"/>
          <w:color w:val="000000"/>
          <w:lang w:val="en-GB"/>
        </w:rPr>
        <w:t xml:space="preserve"> with fracture patients having both lower income, living in urban communities and more often </w:t>
      </w:r>
      <w:r w:rsidR="00E928F3" w:rsidRPr="009A1578">
        <w:rPr>
          <w:rFonts w:ascii="Times New Roman" w:eastAsia="Times New Roman" w:hAnsi="Times New Roman" w:cs="Times New Roman"/>
          <w:color w:val="000000"/>
          <w:lang w:val="en-GB"/>
        </w:rPr>
        <w:t>living alone</w:t>
      </w:r>
      <w:r w:rsidR="00230B51" w:rsidRPr="009A1578">
        <w:rPr>
          <w:rFonts w:ascii="Times New Roman" w:eastAsia="Times New Roman" w:hAnsi="Times New Roman" w:cs="Times New Roman"/>
          <w:color w:val="000000"/>
          <w:lang w:val="en-GB"/>
        </w:rPr>
        <w:t xml:space="preserve"> (</w:t>
      </w:r>
      <w:r w:rsidR="00432DE5" w:rsidRPr="009A1578">
        <w:rPr>
          <w:rFonts w:ascii="Times New Roman" w:eastAsia="Times New Roman" w:hAnsi="Times New Roman" w:cs="Times New Roman"/>
          <w:color w:val="000000"/>
          <w:lang w:val="en-GB"/>
        </w:rPr>
        <w:t>T</w:t>
      </w:r>
      <w:r w:rsidR="00230B51" w:rsidRPr="009A1578">
        <w:rPr>
          <w:rFonts w:ascii="Times New Roman" w:eastAsia="Times New Roman" w:hAnsi="Times New Roman" w:cs="Times New Roman"/>
          <w:color w:val="000000"/>
          <w:lang w:val="en-GB"/>
        </w:rPr>
        <w:t>able 1).</w:t>
      </w:r>
      <w:r w:rsidR="00432DE5" w:rsidRPr="009A1578">
        <w:rPr>
          <w:rFonts w:ascii="Times New Roman" w:eastAsia="Times New Roman" w:hAnsi="Times New Roman" w:cs="Times New Roman"/>
          <w:color w:val="000000"/>
          <w:lang w:val="en-GB"/>
        </w:rPr>
        <w:t xml:space="preserve"> </w:t>
      </w:r>
      <w:r w:rsidR="004D039F" w:rsidRPr="009A1578">
        <w:rPr>
          <w:rFonts w:ascii="Times New Roman" w:eastAsia="Times New Roman" w:hAnsi="Times New Roman" w:cs="Times New Roman"/>
          <w:color w:val="000000"/>
          <w:lang w:val="en-GB"/>
        </w:rPr>
        <w:t>T</w:t>
      </w:r>
      <w:r w:rsidR="00950277" w:rsidRPr="009A1578">
        <w:rPr>
          <w:rFonts w:ascii="Times New Roman" w:eastAsia="Times New Roman" w:hAnsi="Times New Roman" w:cs="Times New Roman"/>
          <w:color w:val="000000"/>
          <w:lang w:val="en-GB"/>
        </w:rPr>
        <w:t xml:space="preserve">he three fracture </w:t>
      </w:r>
      <w:r w:rsidR="004D039F" w:rsidRPr="009A1578">
        <w:rPr>
          <w:rFonts w:ascii="Times New Roman" w:eastAsia="Times New Roman" w:hAnsi="Times New Roman" w:cs="Times New Roman"/>
          <w:color w:val="000000"/>
          <w:lang w:val="en-GB"/>
        </w:rPr>
        <w:t xml:space="preserve">types </w:t>
      </w:r>
      <w:r w:rsidR="00950277" w:rsidRPr="009A1578">
        <w:rPr>
          <w:rFonts w:ascii="Times New Roman" w:eastAsia="Times New Roman" w:hAnsi="Times New Roman" w:cs="Times New Roman"/>
          <w:color w:val="000000"/>
          <w:lang w:val="en-GB"/>
        </w:rPr>
        <w:t>investigated</w:t>
      </w:r>
      <w:r w:rsidR="00432DE5" w:rsidRPr="009A1578">
        <w:rPr>
          <w:rFonts w:ascii="Times New Roman" w:eastAsia="Times New Roman" w:hAnsi="Times New Roman" w:cs="Times New Roman"/>
          <w:color w:val="000000"/>
          <w:lang w:val="en-GB"/>
        </w:rPr>
        <w:t xml:space="preserve"> (Table 2</w:t>
      </w:r>
      <w:r w:rsidR="004D039F" w:rsidRPr="009A1578">
        <w:rPr>
          <w:rFonts w:ascii="Times New Roman" w:eastAsia="Times New Roman" w:hAnsi="Times New Roman" w:cs="Times New Roman"/>
          <w:color w:val="000000"/>
          <w:lang w:val="en-GB"/>
        </w:rPr>
        <w:t xml:space="preserve">) exhibited </w:t>
      </w:r>
      <w:r w:rsidR="00950277" w:rsidRPr="009A1578">
        <w:rPr>
          <w:rFonts w:ascii="Times New Roman" w:eastAsia="Times New Roman" w:hAnsi="Times New Roman" w:cs="Times New Roman"/>
          <w:color w:val="000000"/>
          <w:lang w:val="en-GB"/>
        </w:rPr>
        <w:t xml:space="preserve">a similar </w:t>
      </w:r>
      <w:r w:rsidR="004D039F" w:rsidRPr="009A1578">
        <w:rPr>
          <w:rFonts w:ascii="Times New Roman" w:eastAsia="Times New Roman" w:hAnsi="Times New Roman" w:cs="Times New Roman"/>
          <w:color w:val="000000"/>
          <w:lang w:val="en-GB"/>
        </w:rPr>
        <w:t xml:space="preserve">overall </w:t>
      </w:r>
      <w:r w:rsidR="00950277" w:rsidRPr="009A1578">
        <w:rPr>
          <w:rFonts w:ascii="Times New Roman" w:eastAsia="Times New Roman" w:hAnsi="Times New Roman" w:cs="Times New Roman"/>
          <w:color w:val="000000"/>
          <w:lang w:val="en-GB"/>
        </w:rPr>
        <w:t xml:space="preserve">tendency </w:t>
      </w:r>
      <w:r w:rsidR="004D039F" w:rsidRPr="009A1578">
        <w:rPr>
          <w:rFonts w:ascii="Times New Roman" w:eastAsia="Times New Roman" w:hAnsi="Times New Roman" w:cs="Times New Roman"/>
          <w:noProof/>
          <w:color w:val="000000"/>
          <w:lang w:val="en-GB"/>
        </w:rPr>
        <w:t>in terms</w:t>
      </w:r>
      <w:r w:rsidR="00950277" w:rsidRPr="009A1578">
        <w:rPr>
          <w:rFonts w:ascii="Times New Roman" w:eastAsia="Times New Roman" w:hAnsi="Times New Roman" w:cs="Times New Roman"/>
          <w:color w:val="000000"/>
          <w:lang w:val="en-GB"/>
        </w:rPr>
        <w:t xml:space="preserve"> </w:t>
      </w:r>
      <w:r w:rsidR="004D039F" w:rsidRPr="009A1578">
        <w:rPr>
          <w:rFonts w:ascii="Times New Roman" w:eastAsia="Times New Roman" w:hAnsi="Times New Roman" w:cs="Times New Roman"/>
          <w:color w:val="000000"/>
          <w:lang w:val="en-GB"/>
        </w:rPr>
        <w:t xml:space="preserve">of </w:t>
      </w:r>
      <w:r w:rsidR="00950277" w:rsidRPr="009A1578">
        <w:rPr>
          <w:rFonts w:ascii="Times New Roman" w:eastAsia="Times New Roman" w:hAnsi="Times New Roman" w:cs="Times New Roman"/>
          <w:color w:val="000000"/>
          <w:lang w:val="en-GB"/>
        </w:rPr>
        <w:t xml:space="preserve">the </w:t>
      </w:r>
      <w:r w:rsidR="004D039F" w:rsidRPr="009A1578">
        <w:rPr>
          <w:rFonts w:ascii="Times New Roman" w:eastAsia="Times New Roman" w:hAnsi="Times New Roman" w:cs="Times New Roman"/>
          <w:color w:val="000000"/>
          <w:lang w:val="en-GB"/>
        </w:rPr>
        <w:t>association with income</w:t>
      </w:r>
      <w:r w:rsidR="00950277" w:rsidRPr="009A1578">
        <w:rPr>
          <w:rFonts w:ascii="Times New Roman" w:eastAsia="Times New Roman" w:hAnsi="Times New Roman" w:cs="Times New Roman"/>
          <w:color w:val="000000"/>
          <w:lang w:val="en-GB"/>
        </w:rPr>
        <w:t xml:space="preserve">, where it </w:t>
      </w:r>
      <w:r w:rsidR="00432DE5" w:rsidRPr="009A1578">
        <w:rPr>
          <w:rFonts w:ascii="Times New Roman" w:eastAsia="Times New Roman" w:hAnsi="Times New Roman" w:cs="Times New Roman"/>
          <w:color w:val="000000"/>
          <w:lang w:val="en-GB"/>
        </w:rPr>
        <w:t>appeared that</w:t>
      </w:r>
      <w:r w:rsidR="00950277" w:rsidRPr="009A1578">
        <w:rPr>
          <w:rFonts w:ascii="Times New Roman" w:eastAsia="Times New Roman" w:hAnsi="Times New Roman" w:cs="Times New Roman"/>
          <w:color w:val="000000"/>
          <w:lang w:val="en-GB"/>
        </w:rPr>
        <w:t xml:space="preserve"> </w:t>
      </w:r>
      <w:r w:rsidR="00314CCC" w:rsidRPr="009A1578">
        <w:rPr>
          <w:rFonts w:ascii="Times New Roman" w:eastAsia="Times New Roman" w:hAnsi="Times New Roman" w:cs="Times New Roman"/>
          <w:color w:val="000000"/>
          <w:lang w:val="en-GB"/>
        </w:rPr>
        <w:t>high</w:t>
      </w:r>
      <w:r w:rsidR="00950277" w:rsidRPr="009A1578">
        <w:rPr>
          <w:rFonts w:ascii="Times New Roman" w:eastAsia="Times New Roman" w:hAnsi="Times New Roman" w:cs="Times New Roman"/>
          <w:color w:val="000000"/>
          <w:lang w:val="en-GB"/>
        </w:rPr>
        <w:t xml:space="preserve"> income is a significant </w:t>
      </w:r>
      <w:r w:rsidR="00432DE5" w:rsidRPr="009A1578">
        <w:rPr>
          <w:rFonts w:ascii="Times New Roman" w:eastAsia="Times New Roman" w:hAnsi="Times New Roman" w:cs="Times New Roman"/>
          <w:color w:val="000000"/>
          <w:lang w:val="en-GB"/>
        </w:rPr>
        <w:t xml:space="preserve">protective </w:t>
      </w:r>
      <w:r w:rsidR="00314CCC" w:rsidRPr="009A1578">
        <w:rPr>
          <w:rFonts w:ascii="Times New Roman" w:eastAsia="Times New Roman" w:hAnsi="Times New Roman" w:cs="Times New Roman"/>
          <w:color w:val="000000"/>
          <w:lang w:val="en-GB"/>
        </w:rPr>
        <w:t xml:space="preserve">factor for </w:t>
      </w:r>
      <w:r w:rsidR="00950277" w:rsidRPr="009A1578">
        <w:rPr>
          <w:rFonts w:ascii="Times New Roman" w:eastAsia="Times New Roman" w:hAnsi="Times New Roman" w:cs="Times New Roman"/>
          <w:color w:val="000000"/>
          <w:lang w:val="en-GB"/>
        </w:rPr>
        <w:t>risk for fracture.</w:t>
      </w:r>
      <w:r w:rsidR="00A9148E" w:rsidRPr="009A1578">
        <w:rPr>
          <w:rFonts w:ascii="Times New Roman" w:eastAsia="Times New Roman" w:hAnsi="Times New Roman" w:cs="Times New Roman"/>
          <w:color w:val="000000"/>
          <w:lang w:val="en-GB"/>
        </w:rPr>
        <w:t xml:space="preserve"> </w:t>
      </w:r>
      <w:r w:rsidR="00A437EC" w:rsidRPr="009A1578">
        <w:rPr>
          <w:rFonts w:ascii="Times New Roman" w:eastAsia="Times New Roman" w:hAnsi="Times New Roman" w:cs="Times New Roman"/>
          <w:noProof/>
          <w:color w:val="000000"/>
          <w:lang w:val="en-GB"/>
        </w:rPr>
        <w:t>This was most</w:t>
      </w:r>
      <w:r w:rsidR="00A9148E" w:rsidRPr="009A1578">
        <w:rPr>
          <w:rFonts w:ascii="Times New Roman" w:eastAsia="Times New Roman" w:hAnsi="Times New Roman" w:cs="Times New Roman"/>
          <w:noProof/>
          <w:color w:val="000000"/>
          <w:lang w:val="en-GB"/>
        </w:rPr>
        <w:t xml:space="preserve"> pronounced for hip fractures and least for wrist fracture.</w:t>
      </w:r>
      <w:r w:rsidR="00950277" w:rsidRPr="009A1578">
        <w:rPr>
          <w:rFonts w:ascii="Times New Roman" w:eastAsia="Times New Roman" w:hAnsi="Times New Roman" w:cs="Times New Roman"/>
          <w:color w:val="000000"/>
          <w:lang w:val="en-GB"/>
        </w:rPr>
        <w:t xml:space="preserve"> </w:t>
      </w:r>
      <w:r w:rsidR="00314CCC" w:rsidRPr="009A1578">
        <w:rPr>
          <w:rFonts w:ascii="Times New Roman" w:eastAsia="Times New Roman" w:hAnsi="Times New Roman" w:cs="Times New Roman"/>
          <w:color w:val="000000"/>
          <w:lang w:val="en-GB"/>
        </w:rPr>
        <w:t xml:space="preserve">People living alone had a </w:t>
      </w:r>
      <w:r w:rsidR="00314CCC" w:rsidRPr="009A1578">
        <w:rPr>
          <w:rFonts w:ascii="Times New Roman" w:eastAsia="Times New Roman" w:hAnsi="Times New Roman" w:cs="Times New Roman"/>
          <w:noProof/>
          <w:color w:val="000000"/>
          <w:lang w:val="en-GB"/>
        </w:rPr>
        <w:t>significant</w:t>
      </w:r>
      <w:r w:rsidR="00A437EC" w:rsidRPr="009A1578">
        <w:rPr>
          <w:rFonts w:ascii="Times New Roman" w:eastAsia="Times New Roman" w:hAnsi="Times New Roman" w:cs="Times New Roman"/>
          <w:noProof/>
          <w:color w:val="000000"/>
          <w:lang w:val="en-GB"/>
        </w:rPr>
        <w:t>ly</w:t>
      </w:r>
      <w:r w:rsidR="00314CCC" w:rsidRPr="009A1578">
        <w:rPr>
          <w:rFonts w:ascii="Times New Roman" w:eastAsia="Times New Roman" w:hAnsi="Times New Roman" w:cs="Times New Roman"/>
          <w:color w:val="000000"/>
          <w:lang w:val="en-GB"/>
        </w:rPr>
        <w:t xml:space="preserve"> increase</w:t>
      </w:r>
      <w:r w:rsidR="00C927CB" w:rsidRPr="009A1578">
        <w:rPr>
          <w:rFonts w:ascii="Times New Roman" w:eastAsia="Times New Roman" w:hAnsi="Times New Roman" w:cs="Times New Roman"/>
          <w:color w:val="000000"/>
          <w:lang w:val="en-GB"/>
        </w:rPr>
        <w:t>d risk for fracture;</w:t>
      </w:r>
      <w:r w:rsidR="00314CCC" w:rsidRPr="009A1578">
        <w:rPr>
          <w:rFonts w:ascii="Times New Roman" w:eastAsia="Times New Roman" w:hAnsi="Times New Roman" w:cs="Times New Roman"/>
          <w:color w:val="000000"/>
          <w:lang w:val="en-GB"/>
        </w:rPr>
        <w:t xml:space="preserve"> </w:t>
      </w:r>
      <w:r w:rsidR="00C927CB" w:rsidRPr="009A1578">
        <w:rPr>
          <w:rFonts w:ascii="Times New Roman" w:eastAsia="Times New Roman" w:hAnsi="Times New Roman" w:cs="Times New Roman"/>
          <w:color w:val="000000"/>
          <w:lang w:val="en-GB"/>
        </w:rPr>
        <w:t>u</w:t>
      </w:r>
      <w:r w:rsidR="00950277" w:rsidRPr="009A1578">
        <w:rPr>
          <w:rFonts w:ascii="Times New Roman" w:eastAsia="Times New Roman" w:hAnsi="Times New Roman" w:cs="Times New Roman"/>
          <w:color w:val="000000"/>
          <w:lang w:val="en-GB"/>
        </w:rPr>
        <w:t>nmarried individuals had the highest likelihood of fracture followed by divorced and widowed individuals</w:t>
      </w:r>
      <w:r w:rsidR="002D6717" w:rsidRPr="009A1578">
        <w:rPr>
          <w:rFonts w:ascii="Times New Roman" w:eastAsia="Times New Roman" w:hAnsi="Times New Roman" w:cs="Times New Roman"/>
          <w:color w:val="000000"/>
          <w:lang w:val="en-GB"/>
        </w:rPr>
        <w:t xml:space="preserve">. </w:t>
      </w:r>
      <w:r w:rsidR="00F4386B" w:rsidRPr="009A1578">
        <w:rPr>
          <w:rFonts w:ascii="Times New Roman" w:eastAsia="Times New Roman" w:hAnsi="Times New Roman" w:cs="Times New Roman"/>
          <w:color w:val="000000"/>
          <w:lang w:val="en-GB"/>
        </w:rPr>
        <w:t>People livin</w:t>
      </w:r>
      <w:r w:rsidR="00C82E86">
        <w:rPr>
          <w:rFonts w:ascii="Times New Roman" w:eastAsia="Times New Roman" w:hAnsi="Times New Roman" w:cs="Times New Roman"/>
          <w:color w:val="000000"/>
          <w:lang w:val="en-GB"/>
        </w:rPr>
        <w:t>g</w:t>
      </w:r>
      <w:r w:rsidR="00F4386B" w:rsidRPr="009A1578">
        <w:rPr>
          <w:rFonts w:ascii="Times New Roman" w:eastAsia="Times New Roman" w:hAnsi="Times New Roman" w:cs="Times New Roman"/>
          <w:color w:val="000000"/>
          <w:lang w:val="en-GB"/>
        </w:rPr>
        <w:t xml:space="preserve"> in urban areas were more likely to sustain a h</w:t>
      </w:r>
      <w:r w:rsidR="002D6717" w:rsidRPr="009A1578">
        <w:rPr>
          <w:rFonts w:ascii="Times New Roman" w:eastAsia="Times New Roman" w:hAnsi="Times New Roman" w:cs="Times New Roman"/>
          <w:color w:val="000000"/>
          <w:lang w:val="en-GB"/>
        </w:rPr>
        <w:t xml:space="preserve">umerus and wrist fracture, whereas </w:t>
      </w:r>
      <w:r w:rsidR="00F4386B" w:rsidRPr="009A1578">
        <w:rPr>
          <w:rFonts w:ascii="Times New Roman" w:eastAsia="Times New Roman" w:hAnsi="Times New Roman" w:cs="Times New Roman"/>
          <w:color w:val="000000"/>
          <w:lang w:val="en-GB"/>
        </w:rPr>
        <w:t>people livin</w:t>
      </w:r>
      <w:r w:rsidR="00C82E86">
        <w:rPr>
          <w:rFonts w:ascii="Times New Roman" w:eastAsia="Times New Roman" w:hAnsi="Times New Roman" w:cs="Times New Roman"/>
          <w:color w:val="000000"/>
          <w:lang w:val="en-GB"/>
        </w:rPr>
        <w:t>g</w:t>
      </w:r>
      <w:r w:rsidR="00F4386B" w:rsidRPr="009A1578">
        <w:rPr>
          <w:rFonts w:ascii="Times New Roman" w:eastAsia="Times New Roman" w:hAnsi="Times New Roman" w:cs="Times New Roman"/>
          <w:color w:val="000000"/>
          <w:lang w:val="en-GB"/>
        </w:rPr>
        <w:t xml:space="preserve"> in remote areas were more likely to sustain a </w:t>
      </w:r>
      <w:r w:rsidR="002D6717" w:rsidRPr="009A1578">
        <w:rPr>
          <w:rFonts w:ascii="Times New Roman" w:eastAsia="Times New Roman" w:hAnsi="Times New Roman" w:cs="Times New Roman"/>
          <w:color w:val="000000"/>
          <w:lang w:val="en-GB"/>
        </w:rPr>
        <w:t>hip fracture</w:t>
      </w:r>
      <w:r w:rsidR="00F4386B" w:rsidRPr="009A1578">
        <w:rPr>
          <w:rFonts w:ascii="Times New Roman" w:eastAsia="Times New Roman" w:hAnsi="Times New Roman" w:cs="Times New Roman"/>
          <w:color w:val="000000"/>
          <w:lang w:val="en-GB"/>
        </w:rPr>
        <w:t>.</w:t>
      </w:r>
      <w:r w:rsidR="002D6717" w:rsidRPr="009A1578">
        <w:rPr>
          <w:rFonts w:ascii="Times New Roman" w:eastAsia="Times New Roman" w:hAnsi="Times New Roman" w:cs="Times New Roman"/>
          <w:color w:val="000000"/>
          <w:lang w:val="en-GB"/>
        </w:rPr>
        <w:t xml:space="preserve"> </w:t>
      </w:r>
    </w:p>
    <w:p w14:paraId="7466F93F" w14:textId="77777777" w:rsidR="00A033E5" w:rsidRPr="009A1578" w:rsidRDefault="00A033E5" w:rsidP="00934254">
      <w:pPr>
        <w:spacing w:line="480" w:lineRule="auto"/>
        <w:jc w:val="both"/>
        <w:rPr>
          <w:rFonts w:ascii="Times New Roman" w:eastAsia="Times New Roman" w:hAnsi="Times New Roman" w:cs="Times New Roman"/>
          <w:color w:val="000000"/>
        </w:rPr>
      </w:pPr>
    </w:p>
    <w:p w14:paraId="60316DBA" w14:textId="1CA6EF41" w:rsidR="00A033E5" w:rsidRPr="009A1578" w:rsidRDefault="00A033E5" w:rsidP="00934254">
      <w:pPr>
        <w:spacing w:line="480" w:lineRule="auto"/>
        <w:jc w:val="both"/>
        <w:rPr>
          <w:rFonts w:ascii="Times New Roman" w:hAnsi="Times New Roman" w:cs="Times New Roman"/>
        </w:rPr>
      </w:pPr>
      <w:r w:rsidRPr="009A1578">
        <w:rPr>
          <w:rFonts w:ascii="Times New Roman" w:hAnsi="Times New Roman" w:cs="Times New Roman"/>
          <w:i/>
        </w:rPr>
        <w:t>Soci</w:t>
      </w:r>
      <w:r w:rsidR="00896D20" w:rsidRPr="009A1578">
        <w:rPr>
          <w:rFonts w:ascii="Times New Roman" w:hAnsi="Times New Roman" w:cs="Times New Roman"/>
          <w:i/>
        </w:rPr>
        <w:t>o</w:t>
      </w:r>
      <w:r w:rsidRPr="009A1578">
        <w:rPr>
          <w:rFonts w:ascii="Times New Roman" w:hAnsi="Times New Roman" w:cs="Times New Roman"/>
          <w:i/>
        </w:rPr>
        <w:t xml:space="preserve">economic status and hip fracture </w:t>
      </w:r>
      <w:r w:rsidR="00F4386B" w:rsidRPr="009A1578">
        <w:rPr>
          <w:rFonts w:ascii="Times New Roman" w:hAnsi="Times New Roman" w:cs="Times New Roman"/>
          <w:i/>
        </w:rPr>
        <w:t>risk</w:t>
      </w:r>
    </w:p>
    <w:p w14:paraId="464B3A57" w14:textId="1D5254C0" w:rsidR="00562270" w:rsidRPr="009A1578" w:rsidRDefault="00A437EC" w:rsidP="00230B51">
      <w:pPr>
        <w:spacing w:line="480" w:lineRule="auto"/>
        <w:jc w:val="both"/>
        <w:rPr>
          <w:rFonts w:ascii="Times New Roman" w:hAnsi="Times New Roman" w:cs="Times New Roman"/>
        </w:rPr>
      </w:pPr>
      <w:r w:rsidRPr="009A1578">
        <w:rPr>
          <w:rFonts w:ascii="Times New Roman" w:hAnsi="Times New Roman" w:cs="Times New Roman"/>
          <w:noProof/>
        </w:rPr>
        <w:t>R</w:t>
      </w:r>
      <w:r w:rsidR="00E7456C" w:rsidRPr="009A1578">
        <w:rPr>
          <w:rFonts w:ascii="Times New Roman" w:hAnsi="Times New Roman" w:cs="Times New Roman"/>
        </w:rPr>
        <w:t>educed odds of hip fracture was</w:t>
      </w:r>
      <w:r w:rsidR="00E04490" w:rsidRPr="009A1578">
        <w:rPr>
          <w:rFonts w:ascii="Times New Roman" w:hAnsi="Times New Roman" w:cs="Times New Roman"/>
        </w:rPr>
        <w:t xml:space="preserve"> observed for</w:t>
      </w:r>
      <w:r w:rsidR="00E7456C" w:rsidRPr="009A1578">
        <w:rPr>
          <w:rFonts w:ascii="Times New Roman" w:hAnsi="Times New Roman" w:cs="Times New Roman"/>
        </w:rPr>
        <w:t xml:space="preserve"> </w:t>
      </w:r>
      <w:r w:rsidRPr="009A1578">
        <w:rPr>
          <w:rFonts w:ascii="Times New Roman" w:hAnsi="Times New Roman" w:cs="Times New Roman"/>
          <w:noProof/>
        </w:rPr>
        <w:t xml:space="preserve">the </w:t>
      </w:r>
      <w:r w:rsidR="00E7456C" w:rsidRPr="009A1578">
        <w:rPr>
          <w:rFonts w:ascii="Times New Roman" w:hAnsi="Times New Roman" w:cs="Times New Roman"/>
          <w:noProof/>
        </w:rPr>
        <w:t>highest fifth</w:t>
      </w:r>
      <w:r w:rsidR="00E7456C" w:rsidRPr="009A1578">
        <w:rPr>
          <w:rFonts w:ascii="Times New Roman" w:hAnsi="Times New Roman" w:cs="Times New Roman"/>
        </w:rPr>
        <w:t xml:space="preserve"> of income</w:t>
      </w:r>
      <w:r w:rsidR="00E04490" w:rsidRPr="009A1578">
        <w:rPr>
          <w:rFonts w:ascii="Times New Roman" w:hAnsi="Times New Roman" w:cs="Times New Roman"/>
        </w:rPr>
        <w:t xml:space="preserve"> compared to th</w:t>
      </w:r>
      <w:r w:rsidR="00E7456C" w:rsidRPr="009A1578">
        <w:rPr>
          <w:rFonts w:ascii="Times New Roman" w:hAnsi="Times New Roman" w:cs="Times New Roman"/>
        </w:rPr>
        <w:t>ird (a</w:t>
      </w:r>
      <w:r w:rsidR="00E04490" w:rsidRPr="009A1578">
        <w:rPr>
          <w:rFonts w:ascii="Times New Roman" w:hAnsi="Times New Roman" w:cs="Times New Roman"/>
        </w:rPr>
        <w:t>verage</w:t>
      </w:r>
      <w:r w:rsidR="00E7456C" w:rsidRPr="009A1578">
        <w:rPr>
          <w:rFonts w:ascii="Times New Roman" w:hAnsi="Times New Roman" w:cs="Times New Roman"/>
        </w:rPr>
        <w:t>) group</w:t>
      </w:r>
      <w:r w:rsidR="00E04490" w:rsidRPr="009A1578">
        <w:rPr>
          <w:rFonts w:ascii="Times New Roman" w:hAnsi="Times New Roman" w:cs="Times New Roman"/>
        </w:rPr>
        <w:t xml:space="preserve"> (</w:t>
      </w:r>
      <w:r w:rsidR="00E7456C" w:rsidRPr="009A1578">
        <w:rPr>
          <w:rFonts w:ascii="Times New Roman" w:hAnsi="Times New Roman" w:cs="Times New Roman"/>
        </w:rPr>
        <w:t>Odds ratio (</w:t>
      </w:r>
      <w:r w:rsidR="00E04490" w:rsidRPr="009A1578">
        <w:rPr>
          <w:rFonts w:ascii="Times New Roman" w:hAnsi="Times New Roman" w:cs="Times New Roman"/>
        </w:rPr>
        <w:t>OR</w:t>
      </w:r>
      <w:r w:rsidR="00E7456C" w:rsidRPr="009A1578">
        <w:rPr>
          <w:rFonts w:ascii="Times New Roman" w:hAnsi="Times New Roman" w:cs="Times New Roman"/>
        </w:rPr>
        <w:t>)</w:t>
      </w:r>
      <w:r w:rsidR="00E04490" w:rsidRPr="009A1578">
        <w:rPr>
          <w:rFonts w:ascii="Times New Roman" w:hAnsi="Times New Roman" w:cs="Times New Roman"/>
        </w:rPr>
        <w:t>: 0.78, 95% CI 0.72; 0.85)</w:t>
      </w:r>
      <w:r w:rsidR="00230B51" w:rsidRPr="009A1578">
        <w:rPr>
          <w:rFonts w:ascii="Times New Roman" w:hAnsi="Times New Roman" w:cs="Times New Roman"/>
        </w:rPr>
        <w:t xml:space="preserve">, </w:t>
      </w:r>
      <w:r w:rsidR="00E7456C" w:rsidRPr="009A1578">
        <w:rPr>
          <w:rFonts w:ascii="Times New Roman" w:hAnsi="Times New Roman" w:cs="Times New Roman"/>
        </w:rPr>
        <w:t>T</w:t>
      </w:r>
      <w:r w:rsidR="00230B51" w:rsidRPr="009A1578">
        <w:rPr>
          <w:rFonts w:ascii="Times New Roman" w:hAnsi="Times New Roman" w:cs="Times New Roman"/>
        </w:rPr>
        <w:t>able 2</w:t>
      </w:r>
      <w:r w:rsidR="003B0EED" w:rsidRPr="009A1578">
        <w:rPr>
          <w:rFonts w:ascii="Times New Roman" w:hAnsi="Times New Roman" w:cs="Times New Roman"/>
        </w:rPr>
        <w:t xml:space="preserve">. </w:t>
      </w:r>
      <w:r w:rsidR="00E7456C" w:rsidRPr="009A1578">
        <w:rPr>
          <w:rFonts w:ascii="Times New Roman" w:hAnsi="Times New Roman" w:cs="Times New Roman"/>
        </w:rPr>
        <w:t>The l</w:t>
      </w:r>
      <w:r w:rsidR="00230B51" w:rsidRPr="009A1578">
        <w:rPr>
          <w:rFonts w:ascii="Times New Roman" w:hAnsi="Times New Roman" w:cs="Times New Roman"/>
        </w:rPr>
        <w:t xml:space="preserve">ikelihood of hip fracture was </w:t>
      </w:r>
      <w:r w:rsidR="00562270" w:rsidRPr="009A1578">
        <w:rPr>
          <w:rFonts w:ascii="Times New Roman" w:hAnsi="Times New Roman" w:cs="Times New Roman"/>
        </w:rPr>
        <w:t>highest</w:t>
      </w:r>
      <w:r w:rsidR="00230B51" w:rsidRPr="009A1578">
        <w:rPr>
          <w:rFonts w:ascii="Times New Roman" w:hAnsi="Times New Roman" w:cs="Times New Roman"/>
        </w:rPr>
        <w:t xml:space="preserve"> in </w:t>
      </w:r>
      <w:r w:rsidR="00562270" w:rsidRPr="009A1578">
        <w:rPr>
          <w:rFonts w:ascii="Times New Roman" w:hAnsi="Times New Roman" w:cs="Times New Roman"/>
        </w:rPr>
        <w:t>un</w:t>
      </w:r>
      <w:r w:rsidR="00230B51" w:rsidRPr="009A1578">
        <w:rPr>
          <w:rFonts w:ascii="Times New Roman" w:hAnsi="Times New Roman" w:cs="Times New Roman"/>
        </w:rPr>
        <w:t xml:space="preserve">married </w:t>
      </w:r>
      <w:r w:rsidR="00562270" w:rsidRPr="009A1578">
        <w:rPr>
          <w:rFonts w:ascii="Times New Roman" w:hAnsi="Times New Roman" w:cs="Times New Roman"/>
        </w:rPr>
        <w:t>individuals (OR: 2.2</w:t>
      </w:r>
      <w:r w:rsidR="00E04490" w:rsidRPr="009A1578">
        <w:rPr>
          <w:rFonts w:ascii="Times New Roman" w:hAnsi="Times New Roman" w:cs="Times New Roman"/>
        </w:rPr>
        <w:t>5</w:t>
      </w:r>
      <w:r w:rsidR="00562270" w:rsidRPr="009A1578">
        <w:rPr>
          <w:rFonts w:ascii="Times New Roman" w:hAnsi="Times New Roman" w:cs="Times New Roman"/>
        </w:rPr>
        <w:t xml:space="preserve">, 95% CI </w:t>
      </w:r>
      <w:r w:rsidR="00E04490" w:rsidRPr="009A1578">
        <w:rPr>
          <w:rFonts w:ascii="Times New Roman" w:hAnsi="Times New Roman" w:cs="Times New Roman"/>
        </w:rPr>
        <w:t>2.02</w:t>
      </w:r>
      <w:r w:rsidR="00562270" w:rsidRPr="009A1578">
        <w:rPr>
          <w:rFonts w:ascii="Times New Roman" w:hAnsi="Times New Roman" w:cs="Times New Roman"/>
        </w:rPr>
        <w:t>-2.</w:t>
      </w:r>
      <w:r w:rsidR="00E04490" w:rsidRPr="009A1578">
        <w:rPr>
          <w:rFonts w:ascii="Times New Roman" w:hAnsi="Times New Roman" w:cs="Times New Roman"/>
        </w:rPr>
        <w:t>51</w:t>
      </w:r>
      <w:r w:rsidR="00562270" w:rsidRPr="009A1578">
        <w:rPr>
          <w:rFonts w:ascii="Times New Roman" w:hAnsi="Times New Roman" w:cs="Times New Roman"/>
        </w:rPr>
        <w:t>)</w:t>
      </w:r>
      <w:r w:rsidR="00230B51" w:rsidRPr="009A1578">
        <w:rPr>
          <w:rFonts w:ascii="Times New Roman" w:hAnsi="Times New Roman" w:cs="Times New Roman"/>
          <w:noProof/>
        </w:rPr>
        <w:t xml:space="preserve">, compared with </w:t>
      </w:r>
      <w:r w:rsidR="00562270" w:rsidRPr="009A1578">
        <w:rPr>
          <w:rFonts w:ascii="Times New Roman" w:hAnsi="Times New Roman" w:cs="Times New Roman"/>
          <w:noProof/>
        </w:rPr>
        <w:t xml:space="preserve">married </w:t>
      </w:r>
      <w:r w:rsidR="00230B51" w:rsidRPr="009A1578">
        <w:rPr>
          <w:rFonts w:ascii="Times New Roman" w:hAnsi="Times New Roman" w:cs="Times New Roman"/>
          <w:noProof/>
        </w:rPr>
        <w:t>indiv</w:t>
      </w:r>
      <w:r w:rsidR="00562270" w:rsidRPr="009A1578">
        <w:rPr>
          <w:rFonts w:ascii="Times New Roman" w:hAnsi="Times New Roman" w:cs="Times New Roman"/>
          <w:noProof/>
        </w:rPr>
        <w:t>iduals</w:t>
      </w:r>
      <w:r w:rsidR="00230B51" w:rsidRPr="009A1578">
        <w:rPr>
          <w:rFonts w:ascii="Times New Roman" w:hAnsi="Times New Roman" w:cs="Times New Roman"/>
        </w:rPr>
        <w:t>.</w:t>
      </w:r>
      <w:r w:rsidR="00562270" w:rsidRPr="009A1578">
        <w:rPr>
          <w:rFonts w:ascii="Times New Roman" w:hAnsi="Times New Roman" w:cs="Times New Roman"/>
        </w:rPr>
        <w:t xml:space="preserve"> The likelihood of hip fracture was also significantly higher for widowed and divorced individuals compared to married. </w:t>
      </w:r>
      <w:r w:rsidR="00E7456C" w:rsidRPr="009A1578">
        <w:rPr>
          <w:rFonts w:ascii="Times New Roman" w:hAnsi="Times New Roman" w:cs="Times New Roman"/>
        </w:rPr>
        <w:t xml:space="preserve">The odds of </w:t>
      </w:r>
      <w:r w:rsidR="00562270" w:rsidRPr="009A1578">
        <w:rPr>
          <w:rFonts w:ascii="Times New Roman" w:hAnsi="Times New Roman" w:cs="Times New Roman"/>
        </w:rPr>
        <w:t xml:space="preserve">hip fracture </w:t>
      </w:r>
      <w:r w:rsidR="00E7456C" w:rsidRPr="009A1578">
        <w:rPr>
          <w:rFonts w:ascii="Times New Roman" w:hAnsi="Times New Roman" w:cs="Times New Roman"/>
        </w:rPr>
        <w:t xml:space="preserve">were </w:t>
      </w:r>
      <w:r w:rsidR="00562270" w:rsidRPr="009A1578">
        <w:rPr>
          <w:rFonts w:ascii="Times New Roman" w:hAnsi="Times New Roman" w:cs="Times New Roman"/>
        </w:rPr>
        <w:t>significantly decreased for both rural (OR: 0.9</w:t>
      </w:r>
      <w:r w:rsidR="00E04490" w:rsidRPr="009A1578">
        <w:rPr>
          <w:rFonts w:ascii="Times New Roman" w:hAnsi="Times New Roman" w:cs="Times New Roman"/>
        </w:rPr>
        <w:t>5, 95% CI 0.</w:t>
      </w:r>
      <w:r w:rsidR="00562270" w:rsidRPr="009A1578">
        <w:rPr>
          <w:rFonts w:ascii="Times New Roman" w:hAnsi="Times New Roman" w:cs="Times New Roman"/>
        </w:rPr>
        <w:t>9</w:t>
      </w:r>
      <w:r w:rsidR="00E04490" w:rsidRPr="009A1578">
        <w:rPr>
          <w:rFonts w:ascii="Times New Roman" w:hAnsi="Times New Roman" w:cs="Times New Roman"/>
        </w:rPr>
        <w:t>0</w:t>
      </w:r>
      <w:r w:rsidR="00562270" w:rsidRPr="009A1578">
        <w:rPr>
          <w:rFonts w:ascii="Times New Roman" w:hAnsi="Times New Roman" w:cs="Times New Roman"/>
        </w:rPr>
        <w:t>-0.99) and urban (OR: 0.94, 95% CI 0.89-0.9</w:t>
      </w:r>
      <w:r w:rsidR="00E04490" w:rsidRPr="009A1578">
        <w:rPr>
          <w:rFonts w:ascii="Times New Roman" w:hAnsi="Times New Roman" w:cs="Times New Roman"/>
        </w:rPr>
        <w:t>9</w:t>
      </w:r>
      <w:r w:rsidR="00562270" w:rsidRPr="009A1578">
        <w:rPr>
          <w:rFonts w:ascii="Times New Roman" w:hAnsi="Times New Roman" w:cs="Times New Roman"/>
        </w:rPr>
        <w:t>) residents compared to those individuals living in remote areas</w:t>
      </w:r>
      <w:r w:rsidR="00E7456C" w:rsidRPr="009A1578">
        <w:rPr>
          <w:rFonts w:ascii="Times New Roman" w:hAnsi="Times New Roman" w:cs="Times New Roman"/>
        </w:rPr>
        <w:t xml:space="preserve">. Table 2 </w:t>
      </w:r>
      <w:r w:rsidR="00D74849" w:rsidRPr="009A1578">
        <w:rPr>
          <w:rFonts w:ascii="Times New Roman" w:hAnsi="Times New Roman" w:cs="Times New Roman"/>
        </w:rPr>
        <w:t>summarizes</w:t>
      </w:r>
      <w:r w:rsidR="00E7456C" w:rsidRPr="009A1578">
        <w:rPr>
          <w:rFonts w:ascii="Times New Roman" w:hAnsi="Times New Roman" w:cs="Times New Roman"/>
        </w:rPr>
        <w:t xml:space="preserve"> these findings.</w:t>
      </w:r>
    </w:p>
    <w:p w14:paraId="4E863606" w14:textId="77777777" w:rsidR="00E04490" w:rsidRPr="009A1578" w:rsidRDefault="00E04490" w:rsidP="00230B51">
      <w:pPr>
        <w:spacing w:line="480" w:lineRule="auto"/>
        <w:jc w:val="both"/>
        <w:rPr>
          <w:rFonts w:ascii="Times New Roman" w:hAnsi="Times New Roman" w:cs="Times New Roman"/>
        </w:rPr>
      </w:pPr>
    </w:p>
    <w:p w14:paraId="4AF8A16B" w14:textId="1A6EAE83" w:rsidR="00562270" w:rsidRPr="009A1578" w:rsidRDefault="00562270" w:rsidP="00562270">
      <w:pPr>
        <w:spacing w:line="480" w:lineRule="auto"/>
        <w:jc w:val="both"/>
        <w:rPr>
          <w:rFonts w:ascii="Times New Roman" w:hAnsi="Times New Roman" w:cs="Times New Roman"/>
        </w:rPr>
      </w:pPr>
      <w:r w:rsidRPr="009A1578">
        <w:rPr>
          <w:rFonts w:ascii="Times New Roman" w:hAnsi="Times New Roman" w:cs="Times New Roman"/>
          <w:i/>
        </w:rPr>
        <w:t>Soci</w:t>
      </w:r>
      <w:r w:rsidR="00896D20" w:rsidRPr="009A1578">
        <w:rPr>
          <w:rFonts w:ascii="Times New Roman" w:hAnsi="Times New Roman" w:cs="Times New Roman"/>
          <w:i/>
        </w:rPr>
        <w:t>o</w:t>
      </w:r>
      <w:r w:rsidRPr="009A1578">
        <w:rPr>
          <w:rFonts w:ascii="Times New Roman" w:hAnsi="Times New Roman" w:cs="Times New Roman"/>
          <w:i/>
        </w:rPr>
        <w:t xml:space="preserve">economic status and humerus fracture </w:t>
      </w:r>
      <w:r w:rsidR="00F4386B" w:rsidRPr="009A1578">
        <w:rPr>
          <w:rFonts w:ascii="Times New Roman" w:hAnsi="Times New Roman" w:cs="Times New Roman"/>
          <w:i/>
        </w:rPr>
        <w:t>risk</w:t>
      </w:r>
    </w:p>
    <w:p w14:paraId="3F556BA0" w14:textId="202ACF14" w:rsidR="00562270" w:rsidRPr="009A1578" w:rsidRDefault="00D74849" w:rsidP="00562270">
      <w:pPr>
        <w:spacing w:line="480" w:lineRule="auto"/>
        <w:jc w:val="both"/>
        <w:rPr>
          <w:rFonts w:ascii="Times New Roman" w:hAnsi="Times New Roman" w:cs="Times New Roman"/>
        </w:rPr>
      </w:pPr>
      <w:r w:rsidRPr="009A1578">
        <w:rPr>
          <w:rFonts w:ascii="Times New Roman" w:hAnsi="Times New Roman" w:cs="Times New Roman"/>
        </w:rPr>
        <w:lastRenderedPageBreak/>
        <w:t>Similarly, reduced odds of humerus fracture was observed for</w:t>
      </w:r>
      <w:r w:rsidR="00447C1E" w:rsidRPr="009A1578">
        <w:rPr>
          <w:rFonts w:ascii="Times New Roman" w:hAnsi="Times New Roman" w:cs="Times New Roman"/>
        </w:rPr>
        <w:t xml:space="preserve"> the</w:t>
      </w:r>
      <w:r w:rsidRPr="009A1578">
        <w:rPr>
          <w:rFonts w:ascii="Times New Roman" w:hAnsi="Times New Roman" w:cs="Times New Roman"/>
        </w:rPr>
        <w:t xml:space="preserve"> </w:t>
      </w:r>
      <w:r w:rsidRPr="009A1578">
        <w:rPr>
          <w:rFonts w:ascii="Times New Roman" w:hAnsi="Times New Roman" w:cs="Times New Roman"/>
          <w:noProof/>
        </w:rPr>
        <w:t>highest fifth</w:t>
      </w:r>
      <w:r w:rsidRPr="009A1578">
        <w:rPr>
          <w:rFonts w:ascii="Times New Roman" w:hAnsi="Times New Roman" w:cs="Times New Roman"/>
        </w:rPr>
        <w:t xml:space="preserve"> of income compared to third (average) group</w:t>
      </w:r>
      <w:r w:rsidR="00E04490" w:rsidRPr="009A1578">
        <w:rPr>
          <w:rFonts w:ascii="Times New Roman" w:hAnsi="Times New Roman" w:cs="Times New Roman"/>
        </w:rPr>
        <w:t xml:space="preserve"> (OR: 0.85, 95% CI 0.80; 0.91), </w:t>
      </w:r>
      <w:r w:rsidRPr="009A1578">
        <w:rPr>
          <w:rFonts w:ascii="Times New Roman" w:hAnsi="Times New Roman" w:cs="Times New Roman"/>
        </w:rPr>
        <w:t>T</w:t>
      </w:r>
      <w:r w:rsidR="00E04490" w:rsidRPr="009A1578">
        <w:rPr>
          <w:rFonts w:ascii="Times New Roman" w:hAnsi="Times New Roman" w:cs="Times New Roman"/>
        </w:rPr>
        <w:t xml:space="preserve">able 2. </w:t>
      </w:r>
      <w:r w:rsidRPr="009A1578">
        <w:rPr>
          <w:rFonts w:ascii="Times New Roman" w:hAnsi="Times New Roman" w:cs="Times New Roman"/>
        </w:rPr>
        <w:t>The l</w:t>
      </w:r>
      <w:r w:rsidR="00562270" w:rsidRPr="009A1578">
        <w:rPr>
          <w:rFonts w:ascii="Times New Roman" w:hAnsi="Times New Roman" w:cs="Times New Roman"/>
        </w:rPr>
        <w:t>ikelihood of humerus fracture was highest in unmarried individuals (OR: 1.</w:t>
      </w:r>
      <w:r w:rsidR="00E04490" w:rsidRPr="009A1578">
        <w:rPr>
          <w:rFonts w:ascii="Times New Roman" w:hAnsi="Times New Roman" w:cs="Times New Roman"/>
        </w:rPr>
        <w:t>68</w:t>
      </w:r>
      <w:r w:rsidR="00562270" w:rsidRPr="009A1578">
        <w:rPr>
          <w:rFonts w:ascii="Times New Roman" w:hAnsi="Times New Roman" w:cs="Times New Roman"/>
        </w:rPr>
        <w:t>, 95% CI 1.5</w:t>
      </w:r>
      <w:r w:rsidR="00E04490" w:rsidRPr="009A1578">
        <w:rPr>
          <w:rFonts w:ascii="Times New Roman" w:hAnsi="Times New Roman" w:cs="Times New Roman"/>
        </w:rPr>
        <w:t>5</w:t>
      </w:r>
      <w:r w:rsidR="00562270" w:rsidRPr="009A1578">
        <w:rPr>
          <w:rFonts w:ascii="Times New Roman" w:hAnsi="Times New Roman" w:cs="Times New Roman"/>
        </w:rPr>
        <w:t>-1.8</w:t>
      </w:r>
      <w:r w:rsidR="00E04490" w:rsidRPr="009A1578">
        <w:rPr>
          <w:rFonts w:ascii="Times New Roman" w:hAnsi="Times New Roman" w:cs="Times New Roman"/>
        </w:rPr>
        <w:t>2</w:t>
      </w:r>
      <w:r w:rsidR="00562270" w:rsidRPr="009A1578">
        <w:rPr>
          <w:rFonts w:ascii="Times New Roman" w:hAnsi="Times New Roman" w:cs="Times New Roman"/>
        </w:rPr>
        <w:t>)</w:t>
      </w:r>
      <w:r w:rsidR="00562270" w:rsidRPr="009A1578">
        <w:rPr>
          <w:rFonts w:ascii="Times New Roman" w:hAnsi="Times New Roman" w:cs="Times New Roman"/>
          <w:noProof/>
        </w:rPr>
        <w:t>, compared with married individuals</w:t>
      </w:r>
      <w:r w:rsidR="00562270" w:rsidRPr="009A1578">
        <w:rPr>
          <w:rFonts w:ascii="Times New Roman" w:hAnsi="Times New Roman" w:cs="Times New Roman"/>
        </w:rPr>
        <w:t xml:space="preserve">. </w:t>
      </w:r>
      <w:r w:rsidRPr="009A1578">
        <w:rPr>
          <w:rFonts w:ascii="Times New Roman" w:hAnsi="Times New Roman" w:cs="Times New Roman"/>
        </w:rPr>
        <w:t>H</w:t>
      </w:r>
      <w:r w:rsidR="00D763ED" w:rsidRPr="009A1578">
        <w:rPr>
          <w:rFonts w:ascii="Times New Roman" w:hAnsi="Times New Roman" w:cs="Times New Roman"/>
        </w:rPr>
        <w:t>umerus</w:t>
      </w:r>
      <w:r w:rsidR="00562270" w:rsidRPr="009A1578">
        <w:rPr>
          <w:rFonts w:ascii="Times New Roman" w:hAnsi="Times New Roman" w:cs="Times New Roman"/>
        </w:rPr>
        <w:t xml:space="preserve"> fracture was also significantly </w:t>
      </w:r>
      <w:r w:rsidRPr="009A1578">
        <w:rPr>
          <w:rFonts w:ascii="Times New Roman" w:hAnsi="Times New Roman" w:cs="Times New Roman"/>
        </w:rPr>
        <w:t xml:space="preserve">more likely </w:t>
      </w:r>
      <w:r w:rsidR="00562270" w:rsidRPr="009A1578">
        <w:rPr>
          <w:rFonts w:ascii="Times New Roman" w:hAnsi="Times New Roman" w:cs="Times New Roman"/>
        </w:rPr>
        <w:t xml:space="preserve">for widowed and divorced individuals compared to married. </w:t>
      </w:r>
      <w:r w:rsidRPr="009A1578">
        <w:rPr>
          <w:rFonts w:ascii="Times New Roman" w:hAnsi="Times New Roman" w:cs="Times New Roman"/>
        </w:rPr>
        <w:t xml:space="preserve">The odds </w:t>
      </w:r>
      <w:r w:rsidR="00562270" w:rsidRPr="009A1578">
        <w:rPr>
          <w:rFonts w:ascii="Times New Roman" w:hAnsi="Times New Roman" w:cs="Times New Roman"/>
        </w:rPr>
        <w:t xml:space="preserve">of </w:t>
      </w:r>
      <w:r w:rsidR="00D763ED" w:rsidRPr="009A1578">
        <w:rPr>
          <w:rFonts w:ascii="Times New Roman" w:hAnsi="Times New Roman" w:cs="Times New Roman"/>
        </w:rPr>
        <w:t>humerus</w:t>
      </w:r>
      <w:r w:rsidR="00562270" w:rsidRPr="009A1578">
        <w:rPr>
          <w:rFonts w:ascii="Times New Roman" w:hAnsi="Times New Roman" w:cs="Times New Roman"/>
        </w:rPr>
        <w:t xml:space="preserve"> fracture</w:t>
      </w:r>
      <w:r w:rsidR="00950277" w:rsidRPr="009A1578">
        <w:rPr>
          <w:rFonts w:ascii="Times New Roman" w:hAnsi="Times New Roman" w:cs="Times New Roman"/>
        </w:rPr>
        <w:t xml:space="preserve"> </w:t>
      </w:r>
      <w:r w:rsidRPr="009A1578">
        <w:rPr>
          <w:rFonts w:ascii="Times New Roman" w:hAnsi="Times New Roman" w:cs="Times New Roman"/>
        </w:rPr>
        <w:t xml:space="preserve">were </w:t>
      </w:r>
      <w:r w:rsidR="00562270" w:rsidRPr="009A1578">
        <w:rPr>
          <w:rFonts w:ascii="Times New Roman" w:hAnsi="Times New Roman" w:cs="Times New Roman"/>
        </w:rPr>
        <w:t xml:space="preserve">significantly </w:t>
      </w:r>
      <w:r w:rsidR="00D763ED" w:rsidRPr="009A1578">
        <w:rPr>
          <w:rFonts w:ascii="Times New Roman" w:hAnsi="Times New Roman" w:cs="Times New Roman"/>
        </w:rPr>
        <w:t>increased</w:t>
      </w:r>
      <w:r w:rsidR="00562270" w:rsidRPr="009A1578">
        <w:rPr>
          <w:rFonts w:ascii="Times New Roman" w:hAnsi="Times New Roman" w:cs="Times New Roman"/>
        </w:rPr>
        <w:t xml:space="preserve"> for urban </w:t>
      </w:r>
      <w:r w:rsidR="00D763ED" w:rsidRPr="009A1578">
        <w:rPr>
          <w:rFonts w:ascii="Times New Roman" w:hAnsi="Times New Roman" w:cs="Times New Roman"/>
        </w:rPr>
        <w:t xml:space="preserve">residents </w:t>
      </w:r>
      <w:r w:rsidR="00562270" w:rsidRPr="009A1578">
        <w:rPr>
          <w:rFonts w:ascii="Times New Roman" w:hAnsi="Times New Roman" w:cs="Times New Roman"/>
        </w:rPr>
        <w:t xml:space="preserve">(OR: </w:t>
      </w:r>
      <w:r w:rsidR="00D763ED" w:rsidRPr="009A1578">
        <w:rPr>
          <w:rFonts w:ascii="Times New Roman" w:hAnsi="Times New Roman" w:cs="Times New Roman"/>
        </w:rPr>
        <w:t>1.2</w:t>
      </w:r>
      <w:r w:rsidR="00E04490" w:rsidRPr="009A1578">
        <w:rPr>
          <w:rFonts w:ascii="Times New Roman" w:hAnsi="Times New Roman" w:cs="Times New Roman"/>
        </w:rPr>
        <w:t>2</w:t>
      </w:r>
      <w:r w:rsidR="00562270" w:rsidRPr="009A1578">
        <w:rPr>
          <w:rFonts w:ascii="Times New Roman" w:hAnsi="Times New Roman" w:cs="Times New Roman"/>
        </w:rPr>
        <w:t xml:space="preserve">, 95% CI </w:t>
      </w:r>
      <w:r w:rsidR="00D763ED" w:rsidRPr="009A1578">
        <w:rPr>
          <w:rFonts w:ascii="Times New Roman" w:hAnsi="Times New Roman" w:cs="Times New Roman"/>
        </w:rPr>
        <w:t>1.1</w:t>
      </w:r>
      <w:r w:rsidR="00E04490" w:rsidRPr="009A1578">
        <w:rPr>
          <w:rFonts w:ascii="Times New Roman" w:hAnsi="Times New Roman" w:cs="Times New Roman"/>
        </w:rPr>
        <w:t>6</w:t>
      </w:r>
      <w:r w:rsidR="00562270" w:rsidRPr="009A1578">
        <w:rPr>
          <w:rFonts w:ascii="Times New Roman" w:hAnsi="Times New Roman" w:cs="Times New Roman"/>
        </w:rPr>
        <w:t>-</w:t>
      </w:r>
      <w:r w:rsidR="00D763ED" w:rsidRPr="009A1578">
        <w:rPr>
          <w:rFonts w:ascii="Times New Roman" w:hAnsi="Times New Roman" w:cs="Times New Roman"/>
        </w:rPr>
        <w:t>1.2</w:t>
      </w:r>
      <w:r w:rsidR="00E04490" w:rsidRPr="009A1578">
        <w:rPr>
          <w:rFonts w:ascii="Times New Roman" w:hAnsi="Times New Roman" w:cs="Times New Roman"/>
        </w:rPr>
        <w:t>8</w:t>
      </w:r>
      <w:r w:rsidR="00562270" w:rsidRPr="009A1578">
        <w:rPr>
          <w:rFonts w:ascii="Times New Roman" w:hAnsi="Times New Roman" w:cs="Times New Roman"/>
        </w:rPr>
        <w:t>) compared to those individuals living in remote areas</w:t>
      </w:r>
      <w:r w:rsidRPr="009A1578">
        <w:rPr>
          <w:rFonts w:ascii="Times New Roman" w:hAnsi="Times New Roman" w:cs="Times New Roman"/>
        </w:rPr>
        <w:t>. These results are again summarized in Table 2.</w:t>
      </w:r>
    </w:p>
    <w:p w14:paraId="581DA736" w14:textId="46AC5EAE" w:rsidR="000A02DD" w:rsidRPr="009A1578" w:rsidRDefault="000A02DD" w:rsidP="00934254">
      <w:pPr>
        <w:spacing w:line="480" w:lineRule="auto"/>
        <w:jc w:val="both"/>
        <w:rPr>
          <w:rFonts w:ascii="Times New Roman" w:hAnsi="Times New Roman" w:cs="Times New Roman"/>
          <w:highlight w:val="yellow"/>
        </w:rPr>
      </w:pPr>
    </w:p>
    <w:p w14:paraId="712244BD" w14:textId="17A08FAE" w:rsidR="00562270" w:rsidRPr="009A1578" w:rsidRDefault="00562270" w:rsidP="00562270">
      <w:pPr>
        <w:spacing w:line="480" w:lineRule="auto"/>
        <w:jc w:val="both"/>
        <w:rPr>
          <w:rFonts w:ascii="Times New Roman" w:hAnsi="Times New Roman" w:cs="Times New Roman"/>
        </w:rPr>
      </w:pPr>
      <w:r w:rsidRPr="009A1578">
        <w:rPr>
          <w:rFonts w:ascii="Times New Roman" w:hAnsi="Times New Roman" w:cs="Times New Roman"/>
          <w:i/>
        </w:rPr>
        <w:t>Soci</w:t>
      </w:r>
      <w:r w:rsidR="00896D20" w:rsidRPr="009A1578">
        <w:rPr>
          <w:rFonts w:ascii="Times New Roman" w:hAnsi="Times New Roman" w:cs="Times New Roman"/>
          <w:i/>
        </w:rPr>
        <w:t>o</w:t>
      </w:r>
      <w:r w:rsidRPr="009A1578">
        <w:rPr>
          <w:rFonts w:ascii="Times New Roman" w:hAnsi="Times New Roman" w:cs="Times New Roman"/>
          <w:i/>
        </w:rPr>
        <w:t xml:space="preserve">economic status and wrist fracture </w:t>
      </w:r>
      <w:r w:rsidR="00F4386B" w:rsidRPr="009A1578">
        <w:rPr>
          <w:rFonts w:ascii="Times New Roman" w:hAnsi="Times New Roman" w:cs="Times New Roman"/>
          <w:i/>
        </w:rPr>
        <w:t>risk</w:t>
      </w:r>
    </w:p>
    <w:p w14:paraId="5DB90975" w14:textId="66B440DB" w:rsidR="00562270" w:rsidRPr="009A1578" w:rsidRDefault="00980E37" w:rsidP="00934254">
      <w:pPr>
        <w:spacing w:line="480" w:lineRule="auto"/>
        <w:jc w:val="both"/>
        <w:rPr>
          <w:rFonts w:ascii="Times New Roman" w:hAnsi="Times New Roman" w:cs="Times New Roman"/>
        </w:rPr>
      </w:pPr>
      <w:r w:rsidRPr="009A1578">
        <w:rPr>
          <w:rFonts w:ascii="Times New Roman" w:hAnsi="Times New Roman" w:cs="Times New Roman"/>
        </w:rPr>
        <w:t>Consistent with the findings for hip and humer</w:t>
      </w:r>
      <w:r w:rsidR="00E52345" w:rsidRPr="009A1578">
        <w:rPr>
          <w:rFonts w:ascii="Times New Roman" w:hAnsi="Times New Roman" w:cs="Times New Roman"/>
        </w:rPr>
        <w:t>us</w:t>
      </w:r>
      <w:r w:rsidRPr="009A1578">
        <w:rPr>
          <w:rFonts w:ascii="Times New Roman" w:hAnsi="Times New Roman" w:cs="Times New Roman"/>
        </w:rPr>
        <w:t xml:space="preserve"> fracture, reduced odds of wrist fracture was observed for </w:t>
      </w:r>
      <w:r w:rsidR="00447C1E" w:rsidRPr="009A1578">
        <w:rPr>
          <w:rFonts w:ascii="Times New Roman" w:hAnsi="Times New Roman" w:cs="Times New Roman"/>
          <w:noProof/>
        </w:rPr>
        <w:t xml:space="preserve">the </w:t>
      </w:r>
      <w:r w:rsidRPr="009A1578">
        <w:rPr>
          <w:rFonts w:ascii="Times New Roman" w:hAnsi="Times New Roman" w:cs="Times New Roman"/>
          <w:noProof/>
        </w:rPr>
        <w:t>highest fifth</w:t>
      </w:r>
      <w:r w:rsidRPr="009A1578">
        <w:rPr>
          <w:rFonts w:ascii="Times New Roman" w:hAnsi="Times New Roman" w:cs="Times New Roman"/>
        </w:rPr>
        <w:t xml:space="preserve"> of income compared to third (average) group </w:t>
      </w:r>
      <w:r w:rsidR="00A9148E" w:rsidRPr="009A1578">
        <w:rPr>
          <w:rFonts w:ascii="Times New Roman" w:hAnsi="Times New Roman" w:cs="Times New Roman"/>
        </w:rPr>
        <w:t xml:space="preserve">(OR: 0.95, 95% CI 0.91; 0.99), </w:t>
      </w:r>
      <w:r w:rsidRPr="009A1578">
        <w:rPr>
          <w:rFonts w:ascii="Times New Roman" w:hAnsi="Times New Roman" w:cs="Times New Roman"/>
        </w:rPr>
        <w:t>T</w:t>
      </w:r>
      <w:r w:rsidR="00A9148E" w:rsidRPr="009A1578">
        <w:rPr>
          <w:rFonts w:ascii="Times New Roman" w:hAnsi="Times New Roman" w:cs="Times New Roman"/>
        </w:rPr>
        <w:t xml:space="preserve">able 2. </w:t>
      </w:r>
      <w:r w:rsidRPr="009A1578">
        <w:rPr>
          <w:rFonts w:ascii="Times New Roman" w:hAnsi="Times New Roman" w:cs="Times New Roman"/>
        </w:rPr>
        <w:t xml:space="preserve">The odds </w:t>
      </w:r>
      <w:r w:rsidR="00562270" w:rsidRPr="009A1578">
        <w:rPr>
          <w:rFonts w:ascii="Times New Roman" w:hAnsi="Times New Roman" w:cs="Times New Roman"/>
        </w:rPr>
        <w:t xml:space="preserve">of </w:t>
      </w:r>
      <w:r w:rsidR="00950277" w:rsidRPr="009A1578">
        <w:rPr>
          <w:rFonts w:ascii="Times New Roman" w:hAnsi="Times New Roman" w:cs="Times New Roman"/>
        </w:rPr>
        <w:t>wrist</w:t>
      </w:r>
      <w:r w:rsidR="00562270" w:rsidRPr="009A1578">
        <w:rPr>
          <w:rFonts w:ascii="Times New Roman" w:hAnsi="Times New Roman" w:cs="Times New Roman"/>
        </w:rPr>
        <w:t xml:space="preserve"> fracture was highest in unmarried individuals (OR: </w:t>
      </w:r>
      <w:r w:rsidR="00950277" w:rsidRPr="009A1578">
        <w:rPr>
          <w:rFonts w:ascii="Times New Roman" w:hAnsi="Times New Roman" w:cs="Times New Roman"/>
        </w:rPr>
        <w:t>1.</w:t>
      </w:r>
      <w:r w:rsidR="00A9148E" w:rsidRPr="009A1578">
        <w:rPr>
          <w:rFonts w:ascii="Times New Roman" w:hAnsi="Times New Roman" w:cs="Times New Roman"/>
        </w:rPr>
        <w:t>04</w:t>
      </w:r>
      <w:r w:rsidR="00562270" w:rsidRPr="009A1578">
        <w:rPr>
          <w:rFonts w:ascii="Times New Roman" w:hAnsi="Times New Roman" w:cs="Times New Roman"/>
        </w:rPr>
        <w:t>, 95% CI 1.</w:t>
      </w:r>
      <w:r w:rsidR="00A9148E" w:rsidRPr="009A1578">
        <w:rPr>
          <w:rFonts w:ascii="Times New Roman" w:hAnsi="Times New Roman" w:cs="Times New Roman"/>
        </w:rPr>
        <w:t>01</w:t>
      </w:r>
      <w:r w:rsidR="00562270" w:rsidRPr="009A1578">
        <w:rPr>
          <w:rFonts w:ascii="Times New Roman" w:hAnsi="Times New Roman" w:cs="Times New Roman"/>
        </w:rPr>
        <w:t>-</w:t>
      </w:r>
      <w:r w:rsidR="00950277" w:rsidRPr="009A1578">
        <w:rPr>
          <w:rFonts w:ascii="Times New Roman" w:hAnsi="Times New Roman" w:cs="Times New Roman"/>
        </w:rPr>
        <w:t>1</w:t>
      </w:r>
      <w:r w:rsidR="00562270" w:rsidRPr="009A1578">
        <w:rPr>
          <w:rFonts w:ascii="Times New Roman" w:hAnsi="Times New Roman" w:cs="Times New Roman"/>
        </w:rPr>
        <w:t>.</w:t>
      </w:r>
      <w:r w:rsidR="00A9148E" w:rsidRPr="009A1578">
        <w:rPr>
          <w:rFonts w:ascii="Times New Roman" w:hAnsi="Times New Roman" w:cs="Times New Roman"/>
        </w:rPr>
        <w:t>07</w:t>
      </w:r>
      <w:r w:rsidR="00562270" w:rsidRPr="009A1578">
        <w:rPr>
          <w:rFonts w:ascii="Times New Roman" w:hAnsi="Times New Roman" w:cs="Times New Roman"/>
        </w:rPr>
        <w:t>)</w:t>
      </w:r>
      <w:r w:rsidR="00562270" w:rsidRPr="009A1578">
        <w:rPr>
          <w:rFonts w:ascii="Times New Roman" w:hAnsi="Times New Roman" w:cs="Times New Roman"/>
          <w:noProof/>
        </w:rPr>
        <w:t>, compared with married individuals</w:t>
      </w:r>
      <w:r w:rsidR="00562270" w:rsidRPr="009A1578">
        <w:rPr>
          <w:rFonts w:ascii="Times New Roman" w:hAnsi="Times New Roman" w:cs="Times New Roman"/>
        </w:rPr>
        <w:t>.</w:t>
      </w:r>
      <w:r w:rsidR="00A9148E" w:rsidRPr="009A1578">
        <w:rPr>
          <w:rFonts w:ascii="Times New Roman" w:hAnsi="Times New Roman" w:cs="Times New Roman"/>
        </w:rPr>
        <w:t xml:space="preserve"> Furthermore, the </w:t>
      </w:r>
      <w:r w:rsidRPr="009A1578">
        <w:rPr>
          <w:rFonts w:ascii="Times New Roman" w:hAnsi="Times New Roman" w:cs="Times New Roman"/>
        </w:rPr>
        <w:t>odds of</w:t>
      </w:r>
      <w:r w:rsidR="00A9148E" w:rsidRPr="009A1578">
        <w:rPr>
          <w:rFonts w:ascii="Times New Roman" w:hAnsi="Times New Roman" w:cs="Times New Roman"/>
        </w:rPr>
        <w:t xml:space="preserve"> wrist fracture was significantly lower for people residing in rural areas.</w:t>
      </w:r>
      <w:r w:rsidR="00562270" w:rsidRPr="009A1578">
        <w:rPr>
          <w:rFonts w:ascii="Times New Roman" w:hAnsi="Times New Roman" w:cs="Times New Roman"/>
        </w:rPr>
        <w:t xml:space="preserve"> The likelihood of </w:t>
      </w:r>
      <w:r w:rsidR="00950277" w:rsidRPr="009A1578">
        <w:rPr>
          <w:rFonts w:ascii="Times New Roman" w:hAnsi="Times New Roman" w:cs="Times New Roman"/>
        </w:rPr>
        <w:t>wrist</w:t>
      </w:r>
      <w:r w:rsidR="00562270" w:rsidRPr="009A1578">
        <w:rPr>
          <w:rFonts w:ascii="Times New Roman" w:hAnsi="Times New Roman" w:cs="Times New Roman"/>
        </w:rPr>
        <w:t xml:space="preserve"> fracture was also significantly higher for individuals </w:t>
      </w:r>
      <w:r w:rsidR="00A9148E" w:rsidRPr="009A1578">
        <w:rPr>
          <w:rFonts w:ascii="Times New Roman" w:hAnsi="Times New Roman" w:cs="Times New Roman"/>
        </w:rPr>
        <w:t xml:space="preserve">living alone </w:t>
      </w:r>
      <w:r w:rsidR="00562270" w:rsidRPr="009A1578">
        <w:rPr>
          <w:rFonts w:ascii="Times New Roman" w:hAnsi="Times New Roman" w:cs="Times New Roman"/>
        </w:rPr>
        <w:t>compared to married</w:t>
      </w:r>
      <w:r w:rsidR="00A9148E" w:rsidRPr="009A1578">
        <w:rPr>
          <w:rFonts w:ascii="Times New Roman" w:hAnsi="Times New Roman" w:cs="Times New Roman"/>
        </w:rPr>
        <w:t xml:space="preserve"> (</w:t>
      </w:r>
      <w:r w:rsidRPr="009A1578">
        <w:rPr>
          <w:rFonts w:ascii="Times New Roman" w:hAnsi="Times New Roman" w:cs="Times New Roman"/>
        </w:rPr>
        <w:t xml:space="preserve">all summarized in </w:t>
      </w:r>
      <w:r w:rsidRPr="009A1578">
        <w:rPr>
          <w:rFonts w:ascii="Times New Roman" w:hAnsi="Times New Roman" w:cs="Times New Roman"/>
          <w:noProof/>
        </w:rPr>
        <w:t>T</w:t>
      </w:r>
      <w:r w:rsidR="00A9148E" w:rsidRPr="009A1578">
        <w:rPr>
          <w:rFonts w:ascii="Times New Roman" w:hAnsi="Times New Roman" w:cs="Times New Roman"/>
          <w:noProof/>
        </w:rPr>
        <w:t>able 2)</w:t>
      </w:r>
      <w:r w:rsidR="00562270" w:rsidRPr="009A1578">
        <w:rPr>
          <w:rFonts w:ascii="Times New Roman" w:hAnsi="Times New Roman" w:cs="Times New Roman"/>
        </w:rPr>
        <w:t xml:space="preserve">. </w:t>
      </w:r>
    </w:p>
    <w:p w14:paraId="3EA37DE9" w14:textId="656EB506" w:rsidR="00E832CB" w:rsidRPr="009A1578" w:rsidRDefault="00E832CB" w:rsidP="00934254">
      <w:pPr>
        <w:spacing w:line="480" w:lineRule="auto"/>
        <w:jc w:val="both"/>
        <w:rPr>
          <w:rFonts w:ascii="Times New Roman" w:hAnsi="Times New Roman" w:cs="Times New Roman"/>
        </w:rPr>
      </w:pPr>
    </w:p>
    <w:p w14:paraId="5BCD59CC" w14:textId="23FEC7A9" w:rsidR="00536E9F" w:rsidRPr="009A1578" w:rsidRDefault="00996E0A" w:rsidP="00996E0A">
      <w:pPr>
        <w:spacing w:line="480" w:lineRule="auto"/>
        <w:jc w:val="both"/>
        <w:rPr>
          <w:rFonts w:ascii="Times New Roman" w:hAnsi="Times New Roman" w:cs="Times New Roman"/>
          <w:i/>
        </w:rPr>
      </w:pPr>
      <w:r w:rsidRPr="009A1578">
        <w:rPr>
          <w:rFonts w:ascii="Times New Roman" w:hAnsi="Times New Roman" w:cs="Times New Roman"/>
          <w:i/>
        </w:rPr>
        <w:t>Secular trends of socioeconomic</w:t>
      </w:r>
      <w:r w:rsidR="00536E9F" w:rsidRPr="009A1578">
        <w:rPr>
          <w:rFonts w:ascii="Times New Roman" w:hAnsi="Times New Roman" w:cs="Times New Roman"/>
          <w:i/>
        </w:rPr>
        <w:t xml:space="preserve"> status</w:t>
      </w:r>
      <w:r w:rsidR="00001603" w:rsidRPr="009A1578">
        <w:rPr>
          <w:rFonts w:ascii="Times New Roman" w:hAnsi="Times New Roman" w:cs="Times New Roman"/>
          <w:i/>
        </w:rPr>
        <w:t xml:space="preserve"> (Figures 1 to 3)</w:t>
      </w:r>
    </w:p>
    <w:p w14:paraId="07CFEE26" w14:textId="09048AF6" w:rsidR="00896D20" w:rsidRPr="009A1578" w:rsidRDefault="00536E9F" w:rsidP="00996E0A">
      <w:pPr>
        <w:spacing w:line="480" w:lineRule="auto"/>
        <w:jc w:val="both"/>
        <w:rPr>
          <w:rFonts w:ascii="Times New Roman" w:hAnsi="Times New Roman" w:cs="Times New Roman"/>
        </w:rPr>
      </w:pPr>
      <w:r w:rsidRPr="009A1578">
        <w:rPr>
          <w:rFonts w:ascii="Times New Roman" w:hAnsi="Times New Roman" w:cs="Times New Roman"/>
        </w:rPr>
        <w:t xml:space="preserve">There was no overall significant difference across the three fracture groups in terms of any secular trends between social determinants (marital status, </w:t>
      </w:r>
      <w:r w:rsidRPr="009A1578">
        <w:rPr>
          <w:rFonts w:ascii="Times New Roman" w:hAnsi="Times New Roman" w:cs="Times New Roman"/>
          <w:noProof/>
        </w:rPr>
        <w:t>area</w:t>
      </w:r>
      <w:r w:rsidRPr="009A1578">
        <w:rPr>
          <w:rFonts w:ascii="Times New Roman" w:hAnsi="Times New Roman" w:cs="Times New Roman"/>
        </w:rPr>
        <w:t xml:space="preserve"> of residence </w:t>
      </w:r>
      <w:r w:rsidR="00896D20" w:rsidRPr="009A1578">
        <w:rPr>
          <w:rFonts w:ascii="Times New Roman" w:hAnsi="Times New Roman" w:cs="Times New Roman"/>
        </w:rPr>
        <w:t xml:space="preserve">or </w:t>
      </w:r>
      <w:r w:rsidRPr="009A1578">
        <w:rPr>
          <w:rFonts w:ascii="Times New Roman" w:hAnsi="Times New Roman" w:cs="Times New Roman"/>
        </w:rPr>
        <w:t xml:space="preserve">income) and risk of fracture. The only significant observation was observed for intermediate </w:t>
      </w:r>
      <w:r w:rsidRPr="009A1578">
        <w:rPr>
          <w:rFonts w:ascii="Times New Roman" w:hAnsi="Times New Roman" w:cs="Times New Roman"/>
          <w:noProof/>
        </w:rPr>
        <w:t>vs</w:t>
      </w:r>
      <w:r w:rsidRPr="009A1578">
        <w:rPr>
          <w:rFonts w:ascii="Times New Roman" w:hAnsi="Times New Roman" w:cs="Times New Roman"/>
        </w:rPr>
        <w:t xml:space="preserve"> remote residence between 1995-2000 and 2001-2006; p&lt;0.0</w:t>
      </w:r>
      <w:r w:rsidR="00056ADC" w:rsidRPr="009A1578">
        <w:rPr>
          <w:rFonts w:ascii="Times New Roman" w:hAnsi="Times New Roman" w:cs="Times New Roman"/>
        </w:rPr>
        <w:t>001</w:t>
      </w:r>
      <w:r w:rsidR="00D53C3C" w:rsidRPr="009A1578">
        <w:rPr>
          <w:rFonts w:ascii="Times New Roman" w:hAnsi="Times New Roman" w:cs="Times New Roman"/>
        </w:rPr>
        <w:t xml:space="preserve"> (Figure 1).</w:t>
      </w:r>
    </w:p>
    <w:p w14:paraId="01540D7D" w14:textId="127C284C" w:rsidR="00083136" w:rsidRPr="009A1578" w:rsidRDefault="00083136" w:rsidP="00996E0A">
      <w:pPr>
        <w:spacing w:line="480" w:lineRule="auto"/>
        <w:jc w:val="both"/>
        <w:rPr>
          <w:rFonts w:ascii="Times New Roman" w:hAnsi="Times New Roman" w:cs="Times New Roman"/>
        </w:rPr>
      </w:pPr>
    </w:p>
    <w:p w14:paraId="5C2BDF19" w14:textId="01B7C02C" w:rsidR="00D84FBD" w:rsidRPr="009A1578" w:rsidRDefault="00D84FBD" w:rsidP="00934254">
      <w:pPr>
        <w:spacing w:line="480" w:lineRule="auto"/>
        <w:jc w:val="both"/>
        <w:rPr>
          <w:rFonts w:ascii="Times New Roman" w:hAnsi="Times New Roman" w:cs="Times New Roman"/>
          <w:b/>
        </w:rPr>
      </w:pPr>
      <w:r w:rsidRPr="009A1578">
        <w:rPr>
          <w:rFonts w:ascii="Times New Roman" w:hAnsi="Times New Roman" w:cs="Times New Roman"/>
          <w:b/>
        </w:rPr>
        <w:t>Discussion</w:t>
      </w:r>
    </w:p>
    <w:p w14:paraId="1FA45C31" w14:textId="03081F2D" w:rsidR="00795D69" w:rsidRPr="00F67B48" w:rsidRDefault="006C6D7C" w:rsidP="00934254">
      <w:pPr>
        <w:spacing w:line="480" w:lineRule="auto"/>
        <w:jc w:val="both"/>
        <w:rPr>
          <w:rFonts w:ascii="Times New Roman" w:hAnsi="Times New Roman" w:cs="Times New Roman"/>
          <w:b/>
        </w:rPr>
      </w:pPr>
      <w:r w:rsidRPr="009A1578">
        <w:rPr>
          <w:rFonts w:ascii="Times New Roman" w:hAnsi="Times New Roman" w:cs="Times New Roman"/>
        </w:rPr>
        <w:lastRenderedPageBreak/>
        <w:t xml:space="preserve">The results from the present study </w:t>
      </w:r>
      <w:r w:rsidR="0050440B" w:rsidRPr="009A1578">
        <w:rPr>
          <w:rFonts w:ascii="Times New Roman" w:hAnsi="Times New Roman" w:cs="Times New Roman"/>
        </w:rPr>
        <w:t>provide</w:t>
      </w:r>
      <w:r w:rsidRPr="009A1578">
        <w:rPr>
          <w:rFonts w:ascii="Times New Roman" w:hAnsi="Times New Roman" w:cs="Times New Roman"/>
        </w:rPr>
        <w:t xml:space="preserve"> evidence that</w:t>
      </w:r>
      <w:r w:rsidR="00E832CB" w:rsidRPr="009A1578">
        <w:rPr>
          <w:rFonts w:ascii="Times New Roman" w:hAnsi="Times New Roman" w:cs="Times New Roman"/>
        </w:rPr>
        <w:t xml:space="preserve"> social determinants (marital status, </w:t>
      </w:r>
      <w:r w:rsidR="00E832CB" w:rsidRPr="009A1578">
        <w:rPr>
          <w:rFonts w:ascii="Times New Roman" w:hAnsi="Times New Roman" w:cs="Times New Roman"/>
          <w:noProof/>
        </w:rPr>
        <w:t>area</w:t>
      </w:r>
      <w:r w:rsidR="00E832CB" w:rsidRPr="009A1578">
        <w:rPr>
          <w:rFonts w:ascii="Times New Roman" w:hAnsi="Times New Roman" w:cs="Times New Roman"/>
        </w:rPr>
        <w:t xml:space="preserve"> of residence and income</w:t>
      </w:r>
      <w:r w:rsidRPr="009A1578">
        <w:rPr>
          <w:rFonts w:ascii="Times New Roman" w:hAnsi="Times New Roman" w:cs="Times New Roman"/>
        </w:rPr>
        <w:t xml:space="preserve">) are </w:t>
      </w:r>
      <w:r w:rsidR="004D039F" w:rsidRPr="009A1578">
        <w:rPr>
          <w:rFonts w:ascii="Times New Roman" w:hAnsi="Times New Roman" w:cs="Times New Roman"/>
        </w:rPr>
        <w:t>s</w:t>
      </w:r>
      <w:r w:rsidR="00F4386B" w:rsidRPr="009A1578">
        <w:rPr>
          <w:rFonts w:ascii="Times New Roman" w:hAnsi="Times New Roman" w:cs="Times New Roman"/>
        </w:rPr>
        <w:t>t</w:t>
      </w:r>
      <w:r w:rsidR="004D039F" w:rsidRPr="009A1578">
        <w:rPr>
          <w:rFonts w:ascii="Times New Roman" w:hAnsi="Times New Roman" w:cs="Times New Roman"/>
        </w:rPr>
        <w:t xml:space="preserve">rongly </w:t>
      </w:r>
      <w:r w:rsidRPr="009A1578">
        <w:rPr>
          <w:rFonts w:ascii="Times New Roman" w:hAnsi="Times New Roman" w:cs="Times New Roman"/>
        </w:rPr>
        <w:t xml:space="preserve">associated with </w:t>
      </w:r>
      <w:r w:rsidR="00F4386B" w:rsidRPr="009A1578">
        <w:rPr>
          <w:rFonts w:ascii="Times New Roman" w:hAnsi="Times New Roman" w:cs="Times New Roman"/>
        </w:rPr>
        <w:t xml:space="preserve">the </w:t>
      </w:r>
      <w:r w:rsidRPr="009A1578">
        <w:rPr>
          <w:rFonts w:ascii="Times New Roman" w:hAnsi="Times New Roman" w:cs="Times New Roman"/>
        </w:rPr>
        <w:t xml:space="preserve">risk of </w:t>
      </w:r>
      <w:r w:rsidR="004D039F" w:rsidRPr="009A1578">
        <w:rPr>
          <w:rFonts w:ascii="Times New Roman" w:hAnsi="Times New Roman" w:cs="Times New Roman"/>
        </w:rPr>
        <w:t xml:space="preserve">osteoporotic </w:t>
      </w:r>
      <w:r w:rsidRPr="009A1578">
        <w:rPr>
          <w:rFonts w:ascii="Times New Roman" w:hAnsi="Times New Roman" w:cs="Times New Roman"/>
        </w:rPr>
        <w:t>fractures</w:t>
      </w:r>
      <w:r w:rsidR="004D039F" w:rsidRPr="009A1578">
        <w:rPr>
          <w:rFonts w:ascii="Times New Roman" w:hAnsi="Times New Roman" w:cs="Times New Roman"/>
        </w:rPr>
        <w:t xml:space="preserve"> and there is no trend that the influence of socioeconomics has been diminishing over time</w:t>
      </w:r>
      <w:r w:rsidRPr="009A1578">
        <w:rPr>
          <w:rFonts w:ascii="Times New Roman" w:hAnsi="Times New Roman" w:cs="Times New Roman"/>
        </w:rPr>
        <w:t xml:space="preserve">. </w:t>
      </w:r>
      <w:r w:rsidR="0050440B" w:rsidRPr="009A1578">
        <w:rPr>
          <w:rFonts w:ascii="Times New Roman" w:hAnsi="Times New Roman" w:cs="Times New Roman"/>
        </w:rPr>
        <w:t>T</w:t>
      </w:r>
      <w:r w:rsidR="00E832CB" w:rsidRPr="009A1578">
        <w:rPr>
          <w:rFonts w:ascii="Times New Roman" w:hAnsi="Times New Roman" w:cs="Times New Roman"/>
        </w:rPr>
        <w:t xml:space="preserve">he association between living alone and risk of any fracture </w:t>
      </w:r>
      <w:r w:rsidR="00E832CB" w:rsidRPr="009A1578">
        <w:rPr>
          <w:rFonts w:ascii="Times New Roman" w:hAnsi="Times New Roman" w:cs="Times New Roman"/>
          <w:noProof/>
        </w:rPr>
        <w:t>was</w:t>
      </w:r>
      <w:r w:rsidR="00E832CB" w:rsidRPr="009A1578">
        <w:rPr>
          <w:rFonts w:ascii="Times New Roman" w:hAnsi="Times New Roman" w:cs="Times New Roman"/>
        </w:rPr>
        <w:t xml:space="preserve"> </w:t>
      </w:r>
      <w:r w:rsidR="0050440B" w:rsidRPr="009A1578">
        <w:rPr>
          <w:rFonts w:ascii="Times New Roman" w:hAnsi="Times New Roman" w:cs="Times New Roman"/>
        </w:rPr>
        <w:t xml:space="preserve">particularly </w:t>
      </w:r>
      <w:r w:rsidR="00E832CB" w:rsidRPr="009A1578">
        <w:rPr>
          <w:rFonts w:ascii="Times New Roman" w:hAnsi="Times New Roman" w:cs="Times New Roman"/>
        </w:rPr>
        <w:t>pronounced</w:t>
      </w:r>
      <w:r w:rsidR="0050440B" w:rsidRPr="009A1578">
        <w:rPr>
          <w:rFonts w:ascii="Times New Roman" w:hAnsi="Times New Roman" w:cs="Times New Roman"/>
        </w:rPr>
        <w:t xml:space="preserve">, and </w:t>
      </w:r>
      <w:r w:rsidR="00E832CB" w:rsidRPr="009A1578">
        <w:rPr>
          <w:rFonts w:ascii="Times New Roman" w:hAnsi="Times New Roman" w:cs="Times New Roman"/>
        </w:rPr>
        <w:t>almost as</w:t>
      </w:r>
      <w:r w:rsidR="0050440B" w:rsidRPr="009A1578">
        <w:rPr>
          <w:rFonts w:ascii="Times New Roman" w:hAnsi="Times New Roman" w:cs="Times New Roman"/>
        </w:rPr>
        <w:t xml:space="preserve"> marked </w:t>
      </w:r>
      <w:r w:rsidR="00E832CB" w:rsidRPr="009A1578">
        <w:rPr>
          <w:rFonts w:ascii="Times New Roman" w:hAnsi="Times New Roman" w:cs="Times New Roman"/>
        </w:rPr>
        <w:t xml:space="preserve">as the risk associated with health covariates (smoking, increased alcohol intake and severe comorbidities). </w:t>
      </w:r>
      <w:r w:rsidRPr="009A1578">
        <w:rPr>
          <w:rFonts w:ascii="Times New Roman" w:hAnsi="Times New Roman" w:cs="Times New Roman"/>
        </w:rPr>
        <w:t xml:space="preserve">This emphasizes the need for future preventions strategies to </w:t>
      </w:r>
      <w:r w:rsidR="00AE19F5" w:rsidRPr="009A1578">
        <w:rPr>
          <w:rFonts w:ascii="Times New Roman" w:hAnsi="Times New Roman" w:cs="Times New Roman"/>
        </w:rPr>
        <w:t>address</w:t>
      </w:r>
      <w:r w:rsidRPr="009A1578">
        <w:rPr>
          <w:rFonts w:ascii="Times New Roman" w:hAnsi="Times New Roman" w:cs="Times New Roman"/>
        </w:rPr>
        <w:t xml:space="preserve"> the social inequality </w:t>
      </w:r>
      <w:r w:rsidR="00AE19F5" w:rsidRPr="009A1578">
        <w:rPr>
          <w:rFonts w:ascii="Times New Roman" w:hAnsi="Times New Roman" w:cs="Times New Roman"/>
        </w:rPr>
        <w:t>observed within the</w:t>
      </w:r>
      <w:r w:rsidR="00CD4938" w:rsidRPr="009A1578">
        <w:rPr>
          <w:rFonts w:ascii="Times New Roman" w:hAnsi="Times New Roman" w:cs="Times New Roman"/>
        </w:rPr>
        <w:t>se</w:t>
      </w:r>
      <w:r w:rsidR="00AE19F5" w:rsidRPr="009A1578">
        <w:rPr>
          <w:rFonts w:ascii="Times New Roman" w:hAnsi="Times New Roman" w:cs="Times New Roman"/>
        </w:rPr>
        <w:t xml:space="preserve"> patient group</w:t>
      </w:r>
      <w:r w:rsidR="00CD4938" w:rsidRPr="009A1578">
        <w:rPr>
          <w:rFonts w:ascii="Times New Roman" w:hAnsi="Times New Roman" w:cs="Times New Roman"/>
        </w:rPr>
        <w:t>s</w:t>
      </w:r>
      <w:r w:rsidR="00AE19F5" w:rsidRPr="009A1578">
        <w:rPr>
          <w:rFonts w:ascii="Times New Roman" w:hAnsi="Times New Roman" w:cs="Times New Roman"/>
        </w:rPr>
        <w:t>.</w:t>
      </w:r>
      <w:r w:rsidR="003940C2" w:rsidRPr="009A1578">
        <w:rPr>
          <w:rFonts w:ascii="Times New Roman" w:hAnsi="Times New Roman" w:cs="Times New Roman"/>
        </w:rPr>
        <w:t xml:space="preserve"> Furthermore, the association between social determinants and risk of fracture was independent of time</w:t>
      </w:r>
      <w:r w:rsidR="00313AFA" w:rsidRPr="009A1578">
        <w:rPr>
          <w:rFonts w:ascii="Times New Roman" w:hAnsi="Times New Roman" w:cs="Times New Roman"/>
        </w:rPr>
        <w:t xml:space="preserve"> over a fifteen year period</w:t>
      </w:r>
      <w:r w:rsidR="003940C2" w:rsidRPr="009A1578">
        <w:rPr>
          <w:rFonts w:ascii="Times New Roman" w:hAnsi="Times New Roman" w:cs="Times New Roman"/>
        </w:rPr>
        <w:t xml:space="preserve">, </w:t>
      </w:r>
      <w:r w:rsidR="00313AFA" w:rsidRPr="009A1578">
        <w:rPr>
          <w:rFonts w:ascii="Times New Roman" w:hAnsi="Times New Roman" w:cs="Times New Roman"/>
        </w:rPr>
        <w:t xml:space="preserve">indicating that there is no sign of </w:t>
      </w:r>
      <w:r w:rsidR="00135356" w:rsidRPr="009A1578">
        <w:rPr>
          <w:rFonts w:ascii="Times New Roman" w:hAnsi="Times New Roman" w:cs="Times New Roman"/>
        </w:rPr>
        <w:t xml:space="preserve">the impact of social inequality diminishing despite improvements in osteoporosis diagnosis and decreasing costs of the </w:t>
      </w:r>
      <w:r w:rsidR="00135356" w:rsidRPr="009A1578">
        <w:rPr>
          <w:rFonts w:ascii="Times New Roman" w:hAnsi="Times New Roman" w:cs="Times New Roman"/>
          <w:noProof/>
        </w:rPr>
        <w:t>main</w:t>
      </w:r>
      <w:r w:rsidR="00135356" w:rsidRPr="009A1578">
        <w:rPr>
          <w:rFonts w:ascii="Times New Roman" w:hAnsi="Times New Roman" w:cs="Times New Roman"/>
        </w:rPr>
        <w:t xml:space="preserve"> osteoporosis </w:t>
      </w:r>
      <w:r w:rsidR="00135356" w:rsidRPr="00C82E86">
        <w:rPr>
          <w:rFonts w:ascii="Times New Roman" w:hAnsi="Times New Roman" w:cs="Times New Roman"/>
        </w:rPr>
        <w:t>treatments, which have been available as generics for several years</w:t>
      </w:r>
      <w:r w:rsidR="003940C2" w:rsidRPr="00C82E86">
        <w:rPr>
          <w:rFonts w:ascii="Times New Roman" w:hAnsi="Times New Roman" w:cs="Times New Roman"/>
        </w:rPr>
        <w:t xml:space="preserve">. </w:t>
      </w:r>
      <w:bookmarkStart w:id="1" w:name="_Hlk509420098"/>
      <w:r w:rsidR="00C82E86" w:rsidRPr="00F67B48">
        <w:rPr>
          <w:rFonts w:ascii="Times New Roman" w:hAnsi="Times New Roman" w:cs="Times New Roman"/>
        </w:rPr>
        <w:t xml:space="preserve">The latter would be expected to have significant impact on treatment uptake in countries such as Denmark where a significant part of medication costs are carried by the patients themselves unless covered by a private health insurance policy. Introduction of generics also likely affect treatment uptake in healthcare systems where there is no co-payment for medications, though here the change takes place at the level of insurers and health services through adjustments to prescription guidelines and through changes to the willingness of payers to cover such treatment. </w:t>
      </w:r>
      <w:bookmarkEnd w:id="1"/>
    </w:p>
    <w:p w14:paraId="39E29602" w14:textId="61D0C6F9" w:rsidR="002A2A02" w:rsidRPr="009A1578" w:rsidRDefault="0050706C" w:rsidP="002A2A02">
      <w:pPr>
        <w:spacing w:line="480" w:lineRule="auto"/>
        <w:jc w:val="both"/>
        <w:rPr>
          <w:rFonts w:ascii="Times New Roman" w:hAnsi="Times New Roman" w:cs="Times New Roman"/>
        </w:rPr>
      </w:pPr>
      <w:r w:rsidRPr="00C82E86">
        <w:rPr>
          <w:rFonts w:ascii="Times New Roman" w:hAnsi="Times New Roman" w:cs="Times New Roman"/>
        </w:rPr>
        <w:t>Previous studies investig</w:t>
      </w:r>
      <w:r w:rsidRPr="009A1578">
        <w:rPr>
          <w:rFonts w:ascii="Times New Roman" w:hAnsi="Times New Roman" w:cs="Times New Roman"/>
        </w:rPr>
        <w:t xml:space="preserve">ating these associations have </w:t>
      </w:r>
      <w:r w:rsidR="0050440B" w:rsidRPr="009A1578">
        <w:rPr>
          <w:rFonts w:ascii="Times New Roman" w:hAnsi="Times New Roman" w:cs="Times New Roman"/>
        </w:rPr>
        <w:t xml:space="preserve">generated inconsistent </w:t>
      </w:r>
      <w:r w:rsidRPr="009A1578">
        <w:rPr>
          <w:rFonts w:ascii="Times New Roman" w:hAnsi="Times New Roman" w:cs="Times New Roman"/>
        </w:rPr>
        <w:t>results</w:t>
      </w:r>
      <w:r w:rsidR="00477C34" w:rsidRPr="009A1578">
        <w:rPr>
          <w:rFonts w:ascii="Times New Roman" w:hAnsi="Times New Roman" w:cs="Times New Roman"/>
        </w:rPr>
        <w:t xml:space="preserve"> </w:t>
      </w:r>
      <w:r w:rsidR="00477C34"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"DOI" : "10.2105/AJPH.2005.077479", "ISSN" : "00900036", "PMID" : "16735617", "abstract" : "OBJECTIVES: We determined risks of short-term (2-year) hip fracture in a nationally representative, prospective cohort of community-dwelling elderly people 70 years or older. METHODS: We used self-report data from 2 waves of the Asset and Health Dynamics Survey (n = 5630). Sample-weighted logistic regression analyses were conducted to determine risk of hip fracture in relation to several demographic, cognitive, physical, and socioeconomic indicators. RESULTS: During the 2-year study period, 102 participants reported a new hip fracture. Several indicators of physical functioning and cognitive status, including incorrect delayed word recall and inability to lift 10 lbs (4.5 kg), were significantly associated with hip fracture risk. In the final model, mobile home residents, individuals without Medicare part B insurance, and those without a high-school diploma were at more than a 2-fold risk of hip fracture. Educational level, physical functioning, and insurance status were the top 3 contributors to hip fracture risk. CONCLUSIONS: In addition to functional status measures, health insurance status, educational level, and type of residence appear to be independent predictors of hip fracture.", "author" : [ { "dropping-particle" : "", "family" : "Wilson", "given" : "Robin Taylor", "non-dropping-particle" : "", "parse-names" : false, "suffix" : "" }, { "dropping-particle" : "", "family" : "Chase", "given" : "Gary a.", "non-dropping-particle" : "", "parse-names" : false, "suffix" : "" }, { "dropping-particle" : "", "family" : "Chrischilles", "given" : "Elizabeth a.", "non-dropping-particle" : "", "parse-names" : false, "suffix" : "" }, { "dropping-particle" : "", "family" : "Wallace", "given" : "Robert B", "non-dropping-particle" : "", "parse-names" : false, "suffix" : "" } ], "container-title" : "American Journal of Public Health", "id" : "ITEM-1", "issue" : "7", "issued" : { "date-parts" : [ [ "2006" ] ] }, "page" : "1210-1218", "title" : "Hip fracture risk among community-dwelling elderly people in the United States: A prospective study of physical, cognitive, and socioeconomic indicators", "type" : "article-journal", "volume" : "96" }, "uris" : [ "http://www.mendeley.com/documents/?uuid=a849b1b0-3c7a-4918-b512-444bc0d2c0a4" ] }, { "id" : "ITEM-2", "itemData" : { "ISSN" : "1403-4948", "PMID" : "16861187", "abstract" : "AIMS: To investigate the effects of income and other socioeconomic variables on fracture risk adjusted for disease-related confounders as fractures are a major public health problem. METHODS: Case-control study where all subjects in Denmark with a fracture during the year 2000 (n = 124,655) served as cases. From the general population three age- and gender-matched subjects were selected as controls (n = 373,962). Adjustment were made for income, living with someone vs. living alone, having a job vs. being out of work, education, comorbidity (Charlson index), number of bed days in hospital, number of contacts with general practitioner, use of corticosteroids, prior fracture, and alcoholism. RESULTS: Income was not associated with fracture risk on adjustment for the other covariates. Living with someone was associated with a decreased risk of any fracture in all ages. A higher level of education was associated with a decreased fracture risk in the age groups{&lt;}60 years, but an increased fracture risk among subjects{&gt;}or=60 years. Being at work was associated with a decreased hip fracture risk among subjects{&gt;}or=40 years. Alcoholism and a prior fracture were significant predictors of fracture in all age groups. CONCLUSIONS: Income does not predict fracture risk in Denmark after adjustment for other social and comorbidity variables. This may signal neutralization of the effect by socioeconomic compensation or that income was the product of underlying socioeconomic variables.", "author" : [ { "dropping-particle" : "", "family" : "Vestergaard", "given" : "Peter", "non-dropping-particle" : "", "parse-names" : false, "suffix" : "" }, { "dropping-particle" : "", "family" : "Rejnmark", "given" : "Lars", "non-dropping-particle" : "", "parse-names" : false, "suffix" : "" }, { "dropping-particle" : "", "family" : "Mosekilde", "given" : "Leif", "non-dropping-particle" : "", "parse-names" : false, "suffix" : "" } ], "container-title" : "Scandinavian journal of public health", "id" : "ITEM-2", "issue" : "4", "issued" : { "date-parts" : [ [ "2006", "1" ] ] }, "page" : "371-377", "title" : "Socioeconomic aspects of fractures within universal public healthcare: a nationwide case-control study from Denmark.", "type" : "article-journal", "volume" : "34" }, "uris" : [ "http://www.mendeley.com/documents/?uuid=92928ab5-0097-419e-bb2e-34740f302c6f" ] }, { "id" : "ITEM-3", "itemData" : { "author" : [ { "dropping-particle" : "", "family" : "Farahmand", "given" : "P", "non-dropping-particle" : "", "parse-names" : false, "suffix" : "" }, { "dropping-particle" : "", "family" : "Persson", "given" : "P G", "non-dropping-particle" : "", "parse-names" : false, "suffix" : "" }, { "dropping-particle" : "", "family" : "Michaelsson", "given" : "K", "non-dropping-particle" : "", "parse-names" : false, "suffix" : "" }, { "dropping-particle" : "", "family" : "Baron", "given" : "J A", "non-dropping-particle" : "", "parse-names" : false, "suffix" : "" }, { "dropping-particle" : "", "family" : "Parker", "given" : "M G", "non-dropping-particle" : "", "parse-names" : false, "suffix" : "" }, { "dropping-particle" : "", "family" : "Ljunghall", "given" : "S", "non-dropping-particle" : "", "parse-names" : false, "suffix" : "" } ], "container-title" : "Osteoporosis International", "id" : "ITEM-3", "issue" : "9", "issued" : { "date-parts" : [ [ "2000" ] ] }, "page" : "803-808", "title" : "Socioeconomic Status , Marital Status and Hip Fracture Risk : A Population-Based Case-Control Study", "type" : "article-journal", "volume" : "11" }, "uris" : [ "http://www.mendeley.com/documents/?uuid=8f06ea9d-3653-41d2-92ee-e7c2322f7f33" ] }, { "id" : "ITEM-4", "itemData" : { "DOI" : "10.1093/ageing/afl167", "ISSN" : "0002-0729", "author" : [ { "dropping-particle" : "", "family" : "Peel", "given" : "N M", "non-dropping-particle" : "", "parse-names" : false, "suffix" : "" }, { "dropping-particle" : "", "family" : "McClure", "given" : "R J", "non-dropping-particle" : "", "parse-names" : false, "suffix" : "" }, { "dropping-particle" : "", "family" : "Hendrikz", "given" : "J K", "non-dropping-particle" : "", "parse-names" : false, "suffix" : "" } ], "container-title" : "Age and Ageing", "id" : "ITEM-4", "issue" : "2", "issued" : { "date-parts" : [ [ "2007" ] ] }, "page" : "145-151", "title" : "Psychosocial factors associated with fall-related hip fractures", "type" : "article-journal", "volume" : "36" }, "uris" : [ "http://www.mendeley.com/documents/?uuid=ccfbe8c8-c906-47a6-8f09-cee9141d3606" ] } ], "mendeley" : { "formattedCitation" : "[11\u201313,17]", "plainTextFormattedCitation" : "[11\u201313,17]", "previouslyFormattedCitation" : "[11\u201313,17]" }, "properties" : { "noteIndex" : 0 }, "schema" : "https://github.com/citation-style-language/schema/raw/master/csl-citation.json" }</w:instrText>
      </w:r>
      <w:r w:rsidR="00477C34" w:rsidRPr="009A1578">
        <w:rPr>
          <w:rFonts w:ascii="Times New Roman" w:hAnsi="Times New Roman" w:cs="Times New Roman"/>
        </w:rPr>
        <w:fldChar w:fldCharType="separate"/>
      </w:r>
      <w:r w:rsidR="007D43FA" w:rsidRPr="009A1578">
        <w:rPr>
          <w:rFonts w:ascii="Times New Roman" w:hAnsi="Times New Roman" w:cs="Times New Roman"/>
          <w:noProof/>
        </w:rPr>
        <w:t>[11–13,17]</w:t>
      </w:r>
      <w:r w:rsidR="00477C34" w:rsidRPr="009A1578">
        <w:rPr>
          <w:rFonts w:ascii="Times New Roman" w:hAnsi="Times New Roman" w:cs="Times New Roman"/>
        </w:rPr>
        <w:fldChar w:fldCharType="end"/>
      </w:r>
      <w:r w:rsidRPr="009A1578">
        <w:rPr>
          <w:rFonts w:ascii="Times New Roman" w:hAnsi="Times New Roman" w:cs="Times New Roman"/>
        </w:rPr>
        <w:t>.</w:t>
      </w:r>
      <w:r w:rsidR="00477C34" w:rsidRPr="009A1578">
        <w:rPr>
          <w:rFonts w:ascii="Times New Roman" w:hAnsi="Times New Roman" w:cs="Times New Roman"/>
        </w:rPr>
        <w:t xml:space="preserve"> This may be a result of different definitions of variables investigated and hence lead to non-comparable groups across study populations. </w:t>
      </w:r>
      <w:r w:rsidR="00A67DC5" w:rsidRPr="009A1578">
        <w:rPr>
          <w:rFonts w:ascii="Times New Roman" w:hAnsi="Times New Roman" w:cs="Times New Roman"/>
        </w:rPr>
        <w:t xml:space="preserve">For example, the categorization of income may be </w:t>
      </w:r>
      <w:r w:rsidR="00C4311B" w:rsidRPr="009A1578">
        <w:rPr>
          <w:rFonts w:ascii="Times New Roman" w:hAnsi="Times New Roman" w:cs="Times New Roman"/>
        </w:rPr>
        <w:t>quarters</w:t>
      </w:r>
      <w:r w:rsidR="00A67DC5" w:rsidRPr="009A1578">
        <w:rPr>
          <w:rFonts w:ascii="Times New Roman" w:hAnsi="Times New Roman" w:cs="Times New Roman"/>
        </w:rPr>
        <w:t xml:space="preserve">, other pre-defined groups, or by presence/ absence of private health insurance. </w:t>
      </w:r>
      <w:r w:rsidR="00C82E86">
        <w:rPr>
          <w:rFonts w:ascii="Times New Roman" w:hAnsi="Times New Roman" w:cs="Times New Roman"/>
        </w:rPr>
        <w:t xml:space="preserve">In a </w:t>
      </w:r>
      <w:r w:rsidR="002A2A02" w:rsidRPr="009A1578">
        <w:rPr>
          <w:rFonts w:ascii="Times New Roman" w:hAnsi="Times New Roman" w:cs="Times New Roman"/>
        </w:rPr>
        <w:t xml:space="preserve">population-based study, Curtis </w:t>
      </w:r>
      <w:r w:rsidR="002A2A02" w:rsidRPr="009A1578">
        <w:rPr>
          <w:rFonts w:ascii="Times New Roman" w:hAnsi="Times New Roman" w:cs="Times New Roman"/>
          <w:noProof/>
        </w:rPr>
        <w:t>and</w:t>
      </w:r>
      <w:r w:rsidR="002A2A02" w:rsidRPr="009A1578">
        <w:rPr>
          <w:rFonts w:ascii="Times New Roman" w:hAnsi="Times New Roman" w:cs="Times New Roman"/>
        </w:rPr>
        <w:t xml:space="preserve"> colleagues showed that area of residence, ethnicity and socioeconomic status (measured as deprivation) significantly influenced the fracture risk </w:t>
      </w:r>
      <w:r w:rsidR="002A2A02" w:rsidRPr="009A1578">
        <w:rPr>
          <w:rFonts w:ascii="Times New Roman" w:hAnsi="Times New Roman" w:cs="Times New Roman"/>
        </w:rPr>
        <w:fldChar w:fldCharType="begin" w:fldLock="1"/>
      </w:r>
      <w:r w:rsidR="002A2A02" w:rsidRPr="009A1578">
        <w:rPr>
          <w:rFonts w:ascii="Times New Roman" w:hAnsi="Times New Roman" w:cs="Times New Roman"/>
        </w:rPr>
        <w:instrText>ADDIN CSL_CITATION { "citationItems" : [ { "id" : "ITEM-1", "itemData" : { "DOI" : "10.1016/j.bone.2016.03.006", "ISSN" : "87563282", "PMID" : "26968752", "abstract" : "Summary: Rates of fracture worldwide are changing. Using the Clinical Practice Research Datalink (CPRD), age, and gender, geographical, ethnic and socioeconomic trends in fracture rates across the United Kingdom were studied over a 24-year period 1988-2012. Previously observed patterns in fracture incidence by age and fracture site were evident. New data on the influence of geographic location, ethnic group and socioeconomic status were obtained. Introduction: With secular changes in age- and sex-specific fracture incidence observed in many populations, and global shifts towards an elderly demography, it is vital for health care planners to have an accurate understanding of fracture incidence nationally. We aimed to present up to date fracture incidence data in the UK, stratified by age, sex, geographic location, ethnicity and socioeconomic status. Methods: The Clinical Practice Research Datalink (CPRD) contains anonymised electronic health records for approximately 6.9{%} of the UK population. Information comes from General Practitioners, and covers 11.3 million people from 674 practices across the UK, demonstrated to be representative of the national population. The study population consisted of all permanently registered individuals aged ???. 18 years. Validated data on fracture incidence were obtained from their medical records, as was information on socioeconomic deprivation, ethnicity and geographic location. Age- and sex-specific fracture incidence rates were calculated. Results: Fracture incidence rates by age and sex were comparable to those documented in previous studies and demonstrated a bimodal distribution. Substantial geographic heterogeneity in age- and sex adjusted fracture incidence was observed, with rates in Scotland almost 50{%} greater than those in London and South East England. Lowest rates of fracture were observed in black individuals of both sexes; rates of fragility fracture in white women were 4.7 times greater than in black women. Strong associations between deprivation and fracture risk were observed in hip fracture in men, with a relative risk of 1.3 (95{%} CI 1.21-1.41) in Index of Multiple Deprivation category 5 (representing the most deprived) compared to category 1. Conclusions: This study presents robust estimates of fracture incidence across the UK, which will aid decisions regarding allocation of healthcare provision to populations of greatest need. It will also assist the implementation and design of strategies to\u2026", "author" : [ { "dropping-particle" : "", "family" : "Curtis", "given" : "Elizabeth M", "non-dropping-particle" : "", "parse-names" : false, "suffix" : "" }, { "dropping-particle" : "", "family" : "Velde", "given" : "Robert", "non-dropping-particle" : "van der", "parse-names" : false, "suffix" : "" }, { "dropping-particle" : "", "family" : "Moon", "given" : "Rebecca J", "non-dropping-particle" : "", "parse-names" : false, "suffix" : "" }, { "dropping-particle" : "", "family" : "Bergh", "given" : "Joop P W", "non-dropping-particle" : "van den", "parse-names" : false, "suffix" : "" }, { "dropping-particle" : "", "family" : "Geusens", "given" : "Piet", "non-dropping-particle" : "", "parse-names" : false, "suffix" : "" }, { "dropping-particle" : "", "family" : "Vries", "given" : "Frank", "non-dropping-particle" : "de", "parse-names" : false, "suffix" : "" }, { "dropping-particle" : "", "family" : "Staa", "given" : "Tjeerd P", "non-dropping-particle" : "van", "parse-names" : false, "suffix" : "" }, { "dropping-particle" : "", "family" : "Cooper", "given" : "Cyrus", "non-dropping-particle" : "", "parse-names" : false, "suffix" : "" }, { "dropping-particle" : "", "family" : "Harvey", "given" : "Nicholas C", "non-dropping-particle" : "", "parse-names" : false, "suffix" : "" } ], "container-title" : "Bone", "id" : "ITEM-1", "issued" : { "date-parts" : [ [ "2016" ] ] }, "page" : "19-26", "publisher" : "Elsevier Inc.", "title" : "Epidemiology of fractures in the United Kingdom 1988-2012: Variation with age, sex, geography, ethnicity and socioeconomic status", "type" : "article-journal", "volume" : "87" }, "uris" : [ "http://www.mendeley.com/documents/?uuid=17ef3727-022d-414b-b147-d93cacd7beb7" ] } ], "mendeley" : { "formattedCitation" : "[18]", "plainTextFormattedCitation" : "[18]", "previouslyFormattedCitation" : "[18]" }, "properties" : { "noteIndex" : 0 }, "schema" : "https://github.com/citation-style-language/schema/raw/master/csl-citation.json" }</w:instrText>
      </w:r>
      <w:r w:rsidR="002A2A02" w:rsidRPr="009A1578">
        <w:rPr>
          <w:rFonts w:ascii="Times New Roman" w:hAnsi="Times New Roman" w:cs="Times New Roman"/>
        </w:rPr>
        <w:fldChar w:fldCharType="separate"/>
      </w:r>
      <w:r w:rsidR="002A2A02" w:rsidRPr="009A1578">
        <w:rPr>
          <w:rFonts w:ascii="Times New Roman" w:hAnsi="Times New Roman" w:cs="Times New Roman"/>
          <w:noProof/>
        </w:rPr>
        <w:t>[18]</w:t>
      </w:r>
      <w:r w:rsidR="002A2A02" w:rsidRPr="009A1578">
        <w:rPr>
          <w:rFonts w:ascii="Times New Roman" w:hAnsi="Times New Roman" w:cs="Times New Roman"/>
        </w:rPr>
        <w:fldChar w:fldCharType="end"/>
      </w:r>
      <w:r w:rsidR="002A2A02" w:rsidRPr="009A1578">
        <w:rPr>
          <w:rFonts w:ascii="Times New Roman" w:hAnsi="Times New Roman" w:cs="Times New Roman"/>
        </w:rPr>
        <w:t>. The association between risk of fracture and area of residence was in some areas more than 30% higher</w:t>
      </w:r>
      <w:r w:rsidR="00C4311B" w:rsidRPr="009A1578">
        <w:rPr>
          <w:rFonts w:ascii="Times New Roman" w:hAnsi="Times New Roman" w:cs="Times New Roman"/>
        </w:rPr>
        <w:t xml:space="preserve"> than the referent (London)</w:t>
      </w:r>
      <w:r w:rsidR="002A2A02" w:rsidRPr="009A1578">
        <w:rPr>
          <w:rFonts w:ascii="Times New Roman" w:hAnsi="Times New Roman" w:cs="Times New Roman"/>
        </w:rPr>
        <w:t xml:space="preserve">. These results are however not directly comparable to the results of this present study as the areas of residence categorization cannot be directly compared between studies. </w:t>
      </w:r>
    </w:p>
    <w:p w14:paraId="24AA91A1" w14:textId="4F58C5A6" w:rsidR="00A67DC5" w:rsidRPr="009A1578" w:rsidRDefault="00C4311B" w:rsidP="00934254">
      <w:pPr>
        <w:spacing w:line="480" w:lineRule="auto"/>
        <w:jc w:val="both"/>
        <w:rPr>
          <w:rFonts w:ascii="Times New Roman" w:hAnsi="Times New Roman" w:cs="Times New Roman"/>
        </w:rPr>
      </w:pPr>
      <w:r w:rsidRPr="009A1578">
        <w:rPr>
          <w:rFonts w:ascii="Times New Roman" w:hAnsi="Times New Roman" w:cs="Times New Roman"/>
        </w:rPr>
        <w:lastRenderedPageBreak/>
        <w:t>Although t</w:t>
      </w:r>
      <w:r w:rsidR="00264E9F" w:rsidRPr="009A1578">
        <w:rPr>
          <w:rFonts w:ascii="Times New Roman" w:hAnsi="Times New Roman" w:cs="Times New Roman"/>
        </w:rPr>
        <w:t xml:space="preserve">he lack of </w:t>
      </w:r>
      <w:r w:rsidR="00264E9F" w:rsidRPr="009A1578">
        <w:rPr>
          <w:rFonts w:ascii="Times New Roman" w:hAnsi="Times New Roman" w:cs="Times New Roman"/>
          <w:noProof/>
        </w:rPr>
        <w:t>universal definitio</w:t>
      </w:r>
      <w:r w:rsidRPr="009A1578">
        <w:rPr>
          <w:rFonts w:ascii="Times New Roman" w:hAnsi="Times New Roman" w:cs="Times New Roman"/>
          <w:noProof/>
        </w:rPr>
        <w:t>ns</w:t>
      </w:r>
      <w:r w:rsidRPr="009A1578">
        <w:rPr>
          <w:rFonts w:ascii="Times New Roman" w:hAnsi="Times New Roman" w:cs="Times New Roman"/>
        </w:rPr>
        <w:t xml:space="preserve"> of socioeconomic indices</w:t>
      </w:r>
      <w:r w:rsidR="00264E9F" w:rsidRPr="009A1578">
        <w:rPr>
          <w:rFonts w:ascii="Times New Roman" w:hAnsi="Times New Roman" w:cs="Times New Roman"/>
        </w:rPr>
        <w:t xml:space="preserve"> </w:t>
      </w:r>
      <w:r w:rsidR="00E832CB" w:rsidRPr="009A1578">
        <w:rPr>
          <w:rFonts w:ascii="Times New Roman" w:hAnsi="Times New Roman" w:cs="Times New Roman"/>
        </w:rPr>
        <w:t xml:space="preserve">may </w:t>
      </w:r>
      <w:r w:rsidRPr="009A1578">
        <w:rPr>
          <w:rFonts w:ascii="Times New Roman" w:hAnsi="Times New Roman" w:cs="Times New Roman"/>
        </w:rPr>
        <w:t xml:space="preserve">at least partly explain the variation across previous findings, </w:t>
      </w:r>
      <w:r w:rsidR="00264E9F" w:rsidRPr="009A1578">
        <w:rPr>
          <w:rFonts w:ascii="Times New Roman" w:hAnsi="Times New Roman" w:cs="Times New Roman"/>
        </w:rPr>
        <w:t>even when the same definitions are used across countries it can be difficult to compare results</w:t>
      </w:r>
      <w:r w:rsidR="00A67DC5" w:rsidRPr="009A1578">
        <w:rPr>
          <w:rFonts w:ascii="Times New Roman" w:hAnsi="Times New Roman" w:cs="Times New Roman"/>
        </w:rPr>
        <w:t>,</w:t>
      </w:r>
      <w:r w:rsidR="00264E9F" w:rsidRPr="009A1578">
        <w:rPr>
          <w:rFonts w:ascii="Times New Roman" w:hAnsi="Times New Roman" w:cs="Times New Roman"/>
        </w:rPr>
        <w:t xml:space="preserve"> as the p</w:t>
      </w:r>
      <w:r w:rsidR="00477C34" w:rsidRPr="009A1578">
        <w:rPr>
          <w:rFonts w:ascii="Times New Roman" w:hAnsi="Times New Roman" w:cs="Times New Roman"/>
        </w:rPr>
        <w:t xml:space="preserve">urchasing power </w:t>
      </w:r>
      <w:r w:rsidR="00A67DC5" w:rsidRPr="009A1578">
        <w:rPr>
          <w:rFonts w:ascii="Times New Roman" w:hAnsi="Times New Roman" w:cs="Times New Roman"/>
        </w:rPr>
        <w:t xml:space="preserve">per unit income </w:t>
      </w:r>
      <w:r w:rsidR="00264E9F" w:rsidRPr="009A1578">
        <w:rPr>
          <w:rFonts w:ascii="Times New Roman" w:hAnsi="Times New Roman" w:cs="Times New Roman"/>
        </w:rPr>
        <w:t>may be different</w:t>
      </w:r>
      <w:r w:rsidR="00A67DC5" w:rsidRPr="009A1578">
        <w:rPr>
          <w:rFonts w:ascii="Times New Roman" w:hAnsi="Times New Roman" w:cs="Times New Roman"/>
        </w:rPr>
        <w:t xml:space="preserve">. Furthermore, </w:t>
      </w:r>
      <w:r w:rsidR="00264E9F" w:rsidRPr="009A1578">
        <w:rPr>
          <w:rFonts w:ascii="Times New Roman" w:hAnsi="Times New Roman" w:cs="Times New Roman"/>
        </w:rPr>
        <w:t xml:space="preserve">access to health services will differ depending on the organization of the healthcare system. </w:t>
      </w:r>
      <w:r w:rsidR="00A67DC5" w:rsidRPr="009A1578">
        <w:rPr>
          <w:rFonts w:ascii="Times New Roman" w:hAnsi="Times New Roman" w:cs="Times New Roman"/>
        </w:rPr>
        <w:t xml:space="preserve">For example, access to healthcare in systems based on insurance, such as the US, is likely to be much more dependent </w:t>
      </w:r>
      <w:r w:rsidR="00E832CB" w:rsidRPr="009A1578">
        <w:rPr>
          <w:rFonts w:ascii="Times New Roman" w:hAnsi="Times New Roman" w:cs="Times New Roman"/>
        </w:rPr>
        <w:t xml:space="preserve">on societal factors </w:t>
      </w:r>
      <w:r w:rsidR="00A67DC5" w:rsidRPr="009A1578">
        <w:rPr>
          <w:rFonts w:ascii="Times New Roman" w:hAnsi="Times New Roman" w:cs="Times New Roman"/>
        </w:rPr>
        <w:t xml:space="preserve">than access to systems based on universal provision free at the point of care, such as in the UK and Denmark.  </w:t>
      </w:r>
    </w:p>
    <w:p w14:paraId="55FCC878" w14:textId="4C79DD78" w:rsidR="00A67DC5" w:rsidRPr="009A1578" w:rsidRDefault="00A67DC5" w:rsidP="00934254">
      <w:pPr>
        <w:spacing w:line="480" w:lineRule="auto"/>
        <w:jc w:val="both"/>
        <w:rPr>
          <w:rFonts w:ascii="Times New Roman" w:hAnsi="Times New Roman" w:cs="Times New Roman"/>
        </w:rPr>
      </w:pPr>
    </w:p>
    <w:p w14:paraId="6FBDBA62" w14:textId="7925AB2D" w:rsidR="006A65F6" w:rsidRPr="009A1578" w:rsidRDefault="006A65F6" w:rsidP="006A65F6">
      <w:pPr>
        <w:spacing w:line="480" w:lineRule="auto"/>
        <w:jc w:val="both"/>
        <w:rPr>
          <w:rFonts w:ascii="Times New Roman" w:hAnsi="Times New Roman" w:cs="Times New Roman"/>
        </w:rPr>
      </w:pPr>
      <w:r w:rsidRPr="009A1578">
        <w:rPr>
          <w:rFonts w:ascii="Times New Roman" w:hAnsi="Times New Roman" w:cs="Times New Roman"/>
        </w:rPr>
        <w:t>The question then becomes who is responsible for this</w:t>
      </w:r>
      <w:r w:rsidR="00CF4067" w:rsidRPr="009A1578">
        <w:rPr>
          <w:rFonts w:ascii="Times New Roman" w:hAnsi="Times New Roman" w:cs="Times New Roman"/>
        </w:rPr>
        <w:t xml:space="preserve"> inequality- either</w:t>
      </w:r>
      <w:r w:rsidRPr="009A1578">
        <w:rPr>
          <w:rFonts w:ascii="Times New Roman" w:hAnsi="Times New Roman" w:cs="Times New Roman"/>
        </w:rPr>
        <w:t xml:space="preserve"> patients</w:t>
      </w:r>
      <w:r w:rsidR="00CF4067" w:rsidRPr="009A1578">
        <w:rPr>
          <w:rFonts w:ascii="Times New Roman" w:hAnsi="Times New Roman" w:cs="Times New Roman"/>
        </w:rPr>
        <w:t xml:space="preserve"> themselves</w:t>
      </w:r>
      <w:r w:rsidRPr="009A1578">
        <w:rPr>
          <w:rFonts w:ascii="Times New Roman" w:hAnsi="Times New Roman" w:cs="Times New Roman"/>
        </w:rPr>
        <w:t xml:space="preserve"> as they attribute different values on health depending on their </w:t>
      </w:r>
      <w:r w:rsidRPr="009A1578">
        <w:rPr>
          <w:rFonts w:ascii="Times New Roman" w:hAnsi="Times New Roman" w:cs="Times New Roman"/>
          <w:noProof/>
        </w:rPr>
        <w:t>societal</w:t>
      </w:r>
      <w:r w:rsidRPr="009A1578">
        <w:rPr>
          <w:rFonts w:ascii="Times New Roman" w:hAnsi="Times New Roman" w:cs="Times New Roman"/>
        </w:rPr>
        <w:t xml:space="preserve"> position and wealth</w:t>
      </w:r>
      <w:r w:rsidR="00CF4067" w:rsidRPr="009A1578">
        <w:rPr>
          <w:rFonts w:ascii="Times New Roman" w:hAnsi="Times New Roman" w:cs="Times New Roman"/>
          <w:noProof/>
        </w:rPr>
        <w:t>,</w:t>
      </w:r>
      <w:r w:rsidRPr="009A1578">
        <w:rPr>
          <w:rFonts w:ascii="Times New Roman" w:hAnsi="Times New Roman" w:cs="Times New Roman"/>
        </w:rPr>
        <w:t xml:space="preserve"> or the society </w:t>
      </w:r>
      <w:r w:rsidR="00CF4067" w:rsidRPr="009A1578">
        <w:rPr>
          <w:rFonts w:ascii="Times New Roman" w:hAnsi="Times New Roman" w:cs="Times New Roman"/>
        </w:rPr>
        <w:t xml:space="preserve">as a whole, </w:t>
      </w:r>
      <w:r w:rsidRPr="009A1578">
        <w:rPr>
          <w:rFonts w:ascii="Times New Roman" w:hAnsi="Times New Roman" w:cs="Times New Roman"/>
        </w:rPr>
        <w:t xml:space="preserve">as for example Danish legislation promulgates health equity for all </w:t>
      </w:r>
      <w:r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"author" : [ { "dropping-particle" : "", "family" : "Brazier", "given" : "John", "non-dropping-particle" : "", "parse-names" : false, "suffix" : "" }, { "dropping-particle" : "", "family" : "Ratcliffe", "given" : "Julie", "non-dropping-particle" : "", "parse-names" : false, "suffix" : "" }, { "dropping-particle" : "", "family" : "Salomon", "given" : "Joshua A", "non-dropping-particle" : "", "parse-names" : false, "suffix" : "" }, { "dropping-particle" : "", "family" : "Tsuchiya", "given" : "Aki", "non-dropping-particle" : "", "parse-names" : false, "suffix" : "" } ], "id" : "ITEM-1", "issued" : { "date-parts" : [ [ "2007" ] ] }, "publisher" : "Oxford University Press", "title" : "Measuring and Valuing Health Benefits for Economic Evaluation", "type" : "book" }, "uris" : [ "http://www.mendeley.com/documents/?uuid=f7e442a4-6b79-4209-8e3f-61a36f397c13" ] } ], "mendeley" : { "formattedCitation" : "[19]", "plainTextFormattedCitation" : "[19]", "previouslyFormattedCitation" : "[19]" }, "properties" : { "noteIndex" : 0 }, "schema" : "https://github.com/citation-style-language/schema/raw/master/csl-citation.json" }</w:instrText>
      </w:r>
      <w:r w:rsidRPr="009A1578">
        <w:rPr>
          <w:rFonts w:ascii="Times New Roman" w:hAnsi="Times New Roman" w:cs="Times New Roman"/>
        </w:rPr>
        <w:fldChar w:fldCharType="separate"/>
      </w:r>
      <w:r w:rsidR="007D43FA" w:rsidRPr="009A1578">
        <w:rPr>
          <w:rFonts w:ascii="Times New Roman" w:hAnsi="Times New Roman" w:cs="Times New Roman"/>
          <w:noProof/>
        </w:rPr>
        <w:t>[19]</w:t>
      </w:r>
      <w:r w:rsidRPr="009A1578">
        <w:rPr>
          <w:rFonts w:ascii="Times New Roman" w:hAnsi="Times New Roman" w:cs="Times New Roman"/>
        </w:rPr>
        <w:fldChar w:fldCharType="end"/>
      </w:r>
      <w:r w:rsidRPr="009A1578">
        <w:rPr>
          <w:rFonts w:ascii="Times New Roman" w:hAnsi="Times New Roman" w:cs="Times New Roman"/>
        </w:rPr>
        <w:t xml:space="preserve">. In regards to social determinants, </w:t>
      </w:r>
      <w:r w:rsidRPr="009A1578">
        <w:rPr>
          <w:rFonts w:ascii="Times New Roman" w:hAnsi="Times New Roman" w:cs="Times New Roman"/>
          <w:noProof/>
        </w:rPr>
        <w:t>ethnicity</w:t>
      </w:r>
      <w:r w:rsidRPr="009A1578">
        <w:rPr>
          <w:rFonts w:ascii="Times New Roman" w:hAnsi="Times New Roman" w:cs="Times New Roman"/>
        </w:rPr>
        <w:t xml:space="preserve"> and socioeconomic status </w:t>
      </w:r>
      <w:r w:rsidR="00CF4067" w:rsidRPr="009A1578">
        <w:rPr>
          <w:rFonts w:ascii="Times New Roman" w:hAnsi="Times New Roman" w:cs="Times New Roman"/>
          <w:noProof/>
        </w:rPr>
        <w:t>are</w:t>
      </w:r>
      <w:r w:rsidR="00CF4067" w:rsidRPr="009A1578">
        <w:rPr>
          <w:rFonts w:ascii="Times New Roman" w:hAnsi="Times New Roman" w:cs="Times New Roman"/>
        </w:rPr>
        <w:t xml:space="preserve"> </w:t>
      </w:r>
      <w:r w:rsidRPr="009A1578">
        <w:rPr>
          <w:rFonts w:ascii="Times New Roman" w:hAnsi="Times New Roman" w:cs="Times New Roman"/>
        </w:rPr>
        <w:t xml:space="preserve">of specific interest to fracture patients, as studies have shown that morbidity is </w:t>
      </w:r>
      <w:r w:rsidR="00CF4067" w:rsidRPr="009A1578">
        <w:rPr>
          <w:rFonts w:ascii="Times New Roman" w:hAnsi="Times New Roman" w:cs="Times New Roman"/>
        </w:rPr>
        <w:t>associated with these attributes</w:t>
      </w:r>
      <w:r w:rsidRPr="009A1578">
        <w:rPr>
          <w:rFonts w:ascii="Times New Roman" w:hAnsi="Times New Roman" w:cs="Times New Roman"/>
        </w:rPr>
        <w:t xml:space="preserve"> </w:t>
      </w:r>
      <w:r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"DOI" : "10.1007/s00198-008-0559-5", "ISSN" : "0937-941X", "author" : [ { "dropping-particle" : "", "family" : "Dawson-Hughes", "given" : "B", "non-dropping-particle" : "", "parse-names" : false, "suffix" : "" }, { "dropping-particle" : "", "family" : "Tosteson", "given" : "A N A", "non-dropping-particle" : "", "parse-names" : false, "suffix" : "" }, { "dropping-particle" : "", "family" : "Melton", "given" : "L J", "non-dropping-particle" : "", "parse-names" : false, "suffix" : "" }, { "dropping-particle" : "", "family" : "Baim", "given" : "S", "non-dropping-particle" : "", "parse-names" : false, "suffix" : "" }, { "dropping-particle" : "", "family" : "Favus", "given" : "M J", "non-dropping-particle" : "", "parse-names" : false, "suffix" : "" }, { "dropping-particle" : "", "family" : "Khosla", "given" : "S", "non-dropping-particle" : "", "parse-names" : false, "suffix" : "" }, { "dropping-particle" : "", "family" : "Lindsay", "given" : "R L", "non-dropping-particle" : "", "parse-names" : false, "suffix" : "" } ], "container-title" : "Osteoporosis International", "id" : "ITEM-1", "issue" : "4", "issued" : { "date-parts" : [ [ "2008", "4" ] ] }, "page" : "449-458", "publisher" : "Springer-Verlag", "title" : "Implications of absolute fracture risk assessment for osteoporosis practice guidelines in the USA", "type" : "article-journal", "volume" : "19" }, "uris" : [ "http://www.mendeley.com/documents/?uuid=3e3d34ff-84c0-4d07-bf6a-5533f8fa1b66" ] }, { "id" : "ITEM-2", "itemData" : { "DOI" : "10.1007/s11606-009-1031-8", "ISSN" : "0884-8734", "author" : [ { "dropping-particle" : "", "family" : "Curtis", "given" : "Jeffrey R", "non-dropping-particle" : "", "parse-names" : false, "suffix" : "" }, { "dropping-particle" : "", "family" : "McClure", "given" : "Leslie A", "non-dropping-particle" : "", "parse-names" : false, "suffix" : "" }, { "dropping-particle" : "", "family" : "Delzell", "given" : "Elizabeth", "non-dropping-particle" : "", "parse-names" : false, "suffix" : "" }, { "dropping-particle" : "", "family" : "Howard", "given" : "Virginia J", "non-dropping-particle" : "", "parse-names" : false, "suffix" : "" }, { "dropping-particle" : "", "family" : "Orwoll", "given" : "Eric", "non-dropping-particle" : "", "parse-names" : false, "suffix" : "" }, { "dropping-particle" : "", "family" : "Saag", "given" : "Kenneth G", "non-dropping-particle" : "", "parse-names" : false, "suffix" : "" }, { "dropping-particle" : "", "family" : "Safford", "given" : "Monika", "non-dropping-particle" : "", "parse-names" : false, "suffix" : "" }, { "dropping-particle" : "", "family" : "Howard", "given" : "George", "non-dropping-particle" : "", "parse-names" : false, "suffix" : "" } ], "container-title" : "Journal of General Internal Medicine", "id" : "ITEM-2", "issue" : "8", "issued" : { "date-parts" : [ [ "2009", "8" ] ] }, "page" : "956-962", "publisher" : "Springer-Verlag", "title" : "Population-Based Fracture Risk Assessment and Osteoporosis Treatment Disparities by Race and Gender", "type" : "article-journal", "volume" : "24" }, "uris" : [ "http://www.mendeley.com/documents/?uuid=1b4ac785-4809-4635-a45f-789b5a123dd6" ] }, { "id" : "ITEM-3", "itemData" : { "DOI" : "10.1007/s00198-008-0822-9", "ISBN" : "0937-941X", "ISSN" : "0937941X", "PMID" : "2009443183", "abstract" : "Summary: Although socioeconomic status (SES) is inversely related to most diseases, this systematic review showed a paucity of good quality data examining influences of SES on osteoporotic fracture to confirm this relationship. Further research is required to elucidate the issue and any underlying mechanisms as a necessary precursor to considering intervention implications. Introduction: The association between socioeconomic status (SES) and musculoskeletal disease is little understood, despite there being an inverse relationship between SES and most causes of morbidity. We evaluated evidence of SES as a risk factor for osteoporotic fracture in population-based adults. Methods: Computer-aided search of Medline, EMBASE, CINAHL, and PsychINFO from January 1966 until November 2007 was conducted. Identified studies investigated the relationship between SES parameters of income, education, occupation, type of residence and marital status, and occurrence of osteoporotic fracture. A best-evidence synthesis was used to summarize the results. Results: Eleven studies were identified for inclusion, which suggested a lack of literature in the field. Best evidence analysis identified strong evidence for an association between being married/living with someone and reduced risk of osteoporotic fracture. Limited evidence exists of the relationship between occupation type or employment status and fracture, or for type of residence and fracture. Conflicting evidence exists for the relationship between osteoporotic fracture and level of income and education. Conclusion: Limited good quality evidence exists of the role SES might play in osteoporotic fracture. Further research is required to identify whether a relationship exists, and to elucidate underlying mechanisms, as a necessary precursor to considering intervention implications. 2008 International Osteoporosis Foundation and National Osteoporosis Foundation.", "author" : [ { "dropping-particle" : "", "family" : "Brennan", "given" : "S L", "non-dropping-particle" : "", "parse-names" : false, "suffix" : "" }, { "dropping-particle" : "", "family" : "Pasco", "given" : "J a.", "non-dropping-particle" : "", "parse-names" : false, "suffix" : "" }, { "dropping-particle" : "", "family" : "Urquhart", "given" : "D M", "non-dropping-particle" : "", "parse-names" : false, "suffix" : "" }, { "dropping-particle" : "", "family" : "Oldenburg", "given" : "B", "non-dropping-particle" : "", "parse-names" : false, "suffix" : "" }, { "dropping-particle" : "", "family" : "Hanna", "given" : "F", "non-dropping-particle" : "", "parse-names" : false, "suffix" : "" }, { "dropping-particle" : "", "family" : "Wluka", "given" : "a. E", "non-dropping-particle" : "", "parse-names" : false, "suffix" : "" } ], "container-title" : "Osteoporosis International", "id" : "ITEM-3", "issue" : "9", "issued" : { "date-parts" : [ [ "2009" ] ] }, "page" : "1487-1497", "title" : "The association between socioeconomic status and osteoporotic fracture in population-based adults: A systematic review", "type" : "article-journal", "volume" : "20" }, "uris" : [ "http://www.mendeley.com/documents/?uuid=96d7d2d3-3902-40fb-bea5-34ad6c44232d" ] } ], "mendeley" : { "formattedCitation" : "[20\u201322]", "plainTextFormattedCitation" : "[20\u201322]", "previouslyFormattedCitation" : "[20\u201322]" }, "properties" : { "noteIndex" : 0 }, "schema" : "https://github.com/citation-style-language/schema/raw/master/csl-citation.json" }</w:instrText>
      </w:r>
      <w:r w:rsidRPr="009A1578">
        <w:rPr>
          <w:rFonts w:ascii="Times New Roman" w:hAnsi="Times New Roman" w:cs="Times New Roman"/>
        </w:rPr>
        <w:fldChar w:fldCharType="separate"/>
      </w:r>
      <w:r w:rsidR="007D43FA" w:rsidRPr="009A1578">
        <w:rPr>
          <w:rFonts w:ascii="Times New Roman" w:hAnsi="Times New Roman" w:cs="Times New Roman"/>
          <w:noProof/>
        </w:rPr>
        <w:t>[20–22]</w:t>
      </w:r>
      <w:r w:rsidRPr="009A1578">
        <w:rPr>
          <w:rFonts w:ascii="Times New Roman" w:hAnsi="Times New Roman" w:cs="Times New Roman"/>
        </w:rPr>
        <w:fldChar w:fldCharType="end"/>
      </w:r>
      <w:r w:rsidRPr="009A1578">
        <w:rPr>
          <w:rFonts w:ascii="Times New Roman" w:hAnsi="Times New Roman" w:cs="Times New Roman"/>
        </w:rPr>
        <w:t>. Within the Danish population the vast majority is Caucasian (Statistics Denmark)</w:t>
      </w:r>
      <w:r w:rsidR="005E2A00" w:rsidRPr="009A1578">
        <w:rPr>
          <w:rFonts w:ascii="Times New Roman" w:hAnsi="Times New Roman" w:cs="Times New Roman"/>
        </w:rPr>
        <w:t>,</w:t>
      </w:r>
      <w:r w:rsidRPr="009A1578">
        <w:rPr>
          <w:rFonts w:ascii="Times New Roman" w:hAnsi="Times New Roman" w:cs="Times New Roman"/>
        </w:rPr>
        <w:t xml:space="preserve"> </w:t>
      </w:r>
      <w:r w:rsidRPr="009A1578">
        <w:rPr>
          <w:rFonts w:ascii="Times New Roman" w:hAnsi="Times New Roman" w:cs="Times New Roman"/>
          <w:noProof/>
        </w:rPr>
        <w:t>and</w:t>
      </w:r>
      <w:r w:rsidRPr="009A1578">
        <w:rPr>
          <w:rFonts w:ascii="Times New Roman" w:hAnsi="Times New Roman" w:cs="Times New Roman"/>
        </w:rPr>
        <w:t xml:space="preserve"> hence ethnicity was not considered further in this study.</w:t>
      </w:r>
    </w:p>
    <w:p w14:paraId="18247782" w14:textId="51AFDF58" w:rsidR="006A65F6" w:rsidRPr="009A1578" w:rsidRDefault="006A65F6" w:rsidP="00934254">
      <w:pPr>
        <w:spacing w:line="480" w:lineRule="auto"/>
        <w:jc w:val="both"/>
        <w:rPr>
          <w:rFonts w:ascii="Times New Roman" w:hAnsi="Times New Roman" w:cs="Times New Roman"/>
        </w:rPr>
      </w:pPr>
      <w:r w:rsidRPr="009A1578">
        <w:rPr>
          <w:rFonts w:ascii="Times New Roman" w:hAnsi="Times New Roman" w:cs="Times New Roman"/>
        </w:rPr>
        <w:t xml:space="preserve">The strengths of this study </w:t>
      </w:r>
      <w:r w:rsidR="00976B8F" w:rsidRPr="009A1578">
        <w:rPr>
          <w:rFonts w:ascii="Times New Roman" w:hAnsi="Times New Roman" w:cs="Times New Roman"/>
        </w:rPr>
        <w:t xml:space="preserve">are that it </w:t>
      </w:r>
      <w:r w:rsidRPr="009A1578">
        <w:rPr>
          <w:rFonts w:ascii="Times New Roman" w:hAnsi="Times New Roman" w:cs="Times New Roman"/>
        </w:rPr>
        <w:t>includes a substantial number of individuals</w:t>
      </w:r>
      <w:r w:rsidR="00976B8F" w:rsidRPr="009A1578">
        <w:rPr>
          <w:rFonts w:ascii="Times New Roman" w:hAnsi="Times New Roman" w:cs="Times New Roman"/>
        </w:rPr>
        <w:t xml:space="preserve"> from the whole population</w:t>
      </w:r>
      <w:r w:rsidRPr="009A1578">
        <w:rPr>
          <w:rFonts w:ascii="Times New Roman" w:hAnsi="Times New Roman" w:cs="Times New Roman"/>
        </w:rPr>
        <w:t xml:space="preserve"> included for analysis, with robustly col</w:t>
      </w:r>
      <w:r w:rsidR="003940C2" w:rsidRPr="009A1578">
        <w:rPr>
          <w:rFonts w:ascii="Times New Roman" w:hAnsi="Times New Roman" w:cs="Times New Roman"/>
        </w:rPr>
        <w:t>lected information on fractures and socioeconomic variables</w:t>
      </w:r>
      <w:r w:rsidRPr="009A1578">
        <w:rPr>
          <w:rFonts w:ascii="Times New Roman" w:hAnsi="Times New Roman" w:cs="Times New Roman"/>
        </w:rPr>
        <w:t xml:space="preserve"> due to the use of registries</w:t>
      </w:r>
      <w:r w:rsidR="007D43FA" w:rsidRPr="009A1578">
        <w:rPr>
          <w:rFonts w:ascii="Times New Roman" w:hAnsi="Times New Roman" w:cs="Times New Roman"/>
        </w:rPr>
        <w:t xml:space="preserve"> </w:t>
      </w:r>
      <w:r w:rsidR="007D43FA"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"DOI" : "10.1007/s10654-013-9873-0", "ISBN" : "1573-7284 (Electronic)$\\$r0393-2990 (Linking)", "ISSN" : "03932990", "PMID" : "24407880", "abstract" : "Studies based on databases, medical records and registers are used extensively today in epidemiological research. Despite the increasing use, no developed methodological literature on use and evaluation of population-based registers is available, even though data collection in register-based studies differs from researcher-collected data, all persons in a population are available and traditional statistical analyses focusing on sampling error as the main source of uncertainty may not be relevant. We present the main strengths and limitations of register-based studies, biases especially important in register-based studies and methods for evaluating completeness and validity of registers. The main strengths are that data already exist and valuable time has passed, complete study populations minimizing selection bias and independently collected data. Main limitations are that necessary information may be unavailable, data collection is not done by the researcher, confounder information is lacking, missing information on data quality, truncation at start of follow-up making it difficult to differentiate between prevalent and incident cases and the risk of data dredging. We conclude that epidemiological studies with inclusion of all persons in a population followed for decades available relatively fast are important data sources for modern epidemiology, but it is important to acknowledge the data limitations.", "author" : [ { "dropping-particle" : "", "family" : "Thygesen", "given" : "Lau Caspar", "non-dropping-particle" : "", "parse-names" : false, "suffix" : "" }, { "dropping-particle" : "", "family" : "Ersb\u00f8ll", "given" : "Annette Kj\u00e6r", "non-dropping-particle" : "", "parse-names" : false, "suffix" : "" } ], "container-title" : "European Journal of Epidemiology", "id" : "ITEM-1", "issued" : { "date-parts" : [ [ "2014" ] ] }, "page" : "1-8", "title" : "When the entire population is the sample: strengths and limitations in register-based epidemiology", "type" : "article-journal" }, "uris" : [ "http://www.mendeley.com/documents/?uuid=b6483357-0363-4fde-b0a1-ff04814a89c5" ] } ], "mendeley" : { "formattedCitation" : "[23]", "plainTextFormattedCitation" : "[23]", "previouslyFormattedCitation" : "[23]" }, "properties" : { "noteIndex" : 0 }, "schema" : "https://github.com/citation-style-language/schema/raw/master/csl-citation.json" }</w:instrText>
      </w:r>
      <w:r w:rsidR="007D43FA" w:rsidRPr="009A1578">
        <w:rPr>
          <w:rFonts w:ascii="Times New Roman" w:hAnsi="Times New Roman" w:cs="Times New Roman"/>
        </w:rPr>
        <w:fldChar w:fldCharType="separate"/>
      </w:r>
      <w:r w:rsidR="007D43FA" w:rsidRPr="009A1578">
        <w:rPr>
          <w:rFonts w:ascii="Times New Roman" w:hAnsi="Times New Roman" w:cs="Times New Roman"/>
          <w:noProof/>
        </w:rPr>
        <w:t>[23]</w:t>
      </w:r>
      <w:r w:rsidR="007D43FA" w:rsidRPr="009A1578">
        <w:rPr>
          <w:rFonts w:ascii="Times New Roman" w:hAnsi="Times New Roman" w:cs="Times New Roman"/>
        </w:rPr>
        <w:fldChar w:fldCharType="end"/>
      </w:r>
      <w:r w:rsidR="00976B8F" w:rsidRPr="009A1578">
        <w:rPr>
          <w:rFonts w:ascii="Times New Roman" w:hAnsi="Times New Roman" w:cs="Times New Roman"/>
        </w:rPr>
        <w:t>, allowing s</w:t>
      </w:r>
      <w:r w:rsidRPr="009A1578">
        <w:rPr>
          <w:rFonts w:ascii="Times New Roman" w:hAnsi="Times New Roman" w:cs="Times New Roman"/>
        </w:rPr>
        <w:t>election bias in recruitment</w:t>
      </w:r>
      <w:r w:rsidR="00976B8F" w:rsidRPr="009A1578">
        <w:rPr>
          <w:rFonts w:ascii="Times New Roman" w:hAnsi="Times New Roman" w:cs="Times New Roman"/>
        </w:rPr>
        <w:t xml:space="preserve"> to </w:t>
      </w:r>
      <w:r w:rsidR="00976B8F" w:rsidRPr="009A1578">
        <w:rPr>
          <w:rFonts w:ascii="Times New Roman" w:hAnsi="Times New Roman" w:cs="Times New Roman"/>
          <w:noProof/>
        </w:rPr>
        <w:t>l</w:t>
      </w:r>
      <w:r w:rsidRPr="009A1578">
        <w:rPr>
          <w:rFonts w:ascii="Times New Roman" w:hAnsi="Times New Roman" w:cs="Times New Roman"/>
          <w:noProof/>
        </w:rPr>
        <w:t>argely</w:t>
      </w:r>
      <w:r w:rsidRPr="009A1578">
        <w:rPr>
          <w:rFonts w:ascii="Times New Roman" w:hAnsi="Times New Roman" w:cs="Times New Roman"/>
        </w:rPr>
        <w:t xml:space="preserve"> avoided</w:t>
      </w:r>
      <w:r w:rsidR="00976B8F" w:rsidRPr="009A1578">
        <w:rPr>
          <w:rFonts w:ascii="Times New Roman" w:hAnsi="Times New Roman" w:cs="Times New Roman"/>
        </w:rPr>
        <w:t xml:space="preserve">. </w:t>
      </w:r>
      <w:r w:rsidR="004D039F" w:rsidRPr="009A1578">
        <w:rPr>
          <w:rFonts w:ascii="Times New Roman" w:hAnsi="Times New Roman" w:cs="Times New Roman"/>
        </w:rPr>
        <w:t xml:space="preserve">Personal income </w:t>
      </w:r>
      <w:r w:rsidR="000E4AEF" w:rsidRPr="009A1578">
        <w:rPr>
          <w:rFonts w:ascii="Times New Roman" w:hAnsi="Times New Roman" w:cs="Times New Roman"/>
        </w:rPr>
        <w:t xml:space="preserve">was not imputed from area of residence but available at individual patient level. </w:t>
      </w:r>
      <w:r w:rsidRPr="009A1578">
        <w:rPr>
          <w:rFonts w:ascii="Times New Roman" w:hAnsi="Times New Roman" w:cs="Times New Roman"/>
        </w:rPr>
        <w:t>However, there are some limitations which should be considered in the interpretation of our results. Firstly</w:t>
      </w:r>
      <w:r w:rsidR="0062638A" w:rsidRPr="009A1578">
        <w:rPr>
          <w:rFonts w:ascii="Times New Roman" w:hAnsi="Times New Roman" w:cs="Times New Roman"/>
        </w:rPr>
        <w:t xml:space="preserve">, the use of </w:t>
      </w:r>
      <w:r w:rsidR="00F54242" w:rsidRPr="009A1578">
        <w:rPr>
          <w:rFonts w:ascii="Times New Roman" w:hAnsi="Times New Roman" w:cs="Times New Roman"/>
        </w:rPr>
        <w:t xml:space="preserve">income as an indicator </w:t>
      </w:r>
      <w:r w:rsidR="00445A8A" w:rsidRPr="009A1578">
        <w:rPr>
          <w:rFonts w:ascii="Times New Roman" w:hAnsi="Times New Roman" w:cs="Times New Roman"/>
          <w:noProof/>
        </w:rPr>
        <w:t>of</w:t>
      </w:r>
      <w:r w:rsidR="00F54242" w:rsidRPr="009A1578">
        <w:rPr>
          <w:rFonts w:ascii="Times New Roman" w:hAnsi="Times New Roman" w:cs="Times New Roman"/>
        </w:rPr>
        <w:t xml:space="preserve"> socioeconomic status</w:t>
      </w:r>
      <w:r w:rsidRPr="009A1578">
        <w:rPr>
          <w:rFonts w:ascii="Times New Roman" w:hAnsi="Times New Roman" w:cs="Times New Roman"/>
        </w:rPr>
        <w:t xml:space="preserve"> may be less relevant to the older population, most</w:t>
      </w:r>
      <w:r w:rsidR="003940C2" w:rsidRPr="009A1578">
        <w:rPr>
          <w:rFonts w:ascii="Times New Roman" w:hAnsi="Times New Roman" w:cs="Times New Roman"/>
        </w:rPr>
        <w:t>ly in relation to the</w:t>
      </w:r>
      <w:r w:rsidRPr="009A1578">
        <w:rPr>
          <w:rFonts w:ascii="Times New Roman" w:hAnsi="Times New Roman" w:cs="Times New Roman"/>
        </w:rPr>
        <w:t xml:space="preserve"> risk of hip fracture, as they are usually retired, with </w:t>
      </w:r>
      <w:r w:rsidR="000E4AEF" w:rsidRPr="009A1578">
        <w:rPr>
          <w:rFonts w:ascii="Times New Roman" w:hAnsi="Times New Roman" w:cs="Times New Roman"/>
        </w:rPr>
        <w:t xml:space="preserve">current </w:t>
      </w:r>
      <w:r w:rsidRPr="009A1578">
        <w:rPr>
          <w:rFonts w:ascii="Times New Roman" w:hAnsi="Times New Roman" w:cs="Times New Roman"/>
        </w:rPr>
        <w:t xml:space="preserve">income </w:t>
      </w:r>
      <w:r w:rsidR="000E4AEF" w:rsidRPr="009A1578">
        <w:rPr>
          <w:rFonts w:ascii="Times New Roman" w:hAnsi="Times New Roman" w:cs="Times New Roman"/>
        </w:rPr>
        <w:t>possibly lower than reflecting true</w:t>
      </w:r>
      <w:r w:rsidRPr="009A1578">
        <w:rPr>
          <w:rFonts w:ascii="Times New Roman" w:hAnsi="Times New Roman" w:cs="Times New Roman"/>
        </w:rPr>
        <w:t xml:space="preserve"> </w:t>
      </w:r>
      <w:r w:rsidR="003940C2" w:rsidRPr="009A1578">
        <w:rPr>
          <w:rFonts w:ascii="Times New Roman" w:hAnsi="Times New Roman" w:cs="Times New Roman"/>
        </w:rPr>
        <w:t>societal status</w:t>
      </w:r>
      <w:r w:rsidR="000E4AEF" w:rsidRPr="009A1578">
        <w:rPr>
          <w:rFonts w:ascii="Times New Roman" w:hAnsi="Times New Roman" w:cs="Times New Roman"/>
        </w:rPr>
        <w:t>, which like</w:t>
      </w:r>
      <w:r w:rsidR="00C82E86">
        <w:rPr>
          <w:rFonts w:ascii="Times New Roman" w:hAnsi="Times New Roman" w:cs="Times New Roman"/>
        </w:rPr>
        <w:t>l</w:t>
      </w:r>
      <w:r w:rsidR="000E4AEF" w:rsidRPr="009A1578">
        <w:rPr>
          <w:rFonts w:ascii="Times New Roman" w:hAnsi="Times New Roman" w:cs="Times New Roman"/>
        </w:rPr>
        <w:t>y depends more on lifetime earnings and savings than on present income</w:t>
      </w:r>
      <w:r w:rsidRPr="009A1578">
        <w:rPr>
          <w:rFonts w:ascii="Times New Roman" w:hAnsi="Times New Roman" w:cs="Times New Roman"/>
        </w:rPr>
        <w:t>. Secondly, we lacked direct quantitative measures for alcohol consumption and smoking. However,</w:t>
      </w:r>
      <w:r w:rsidR="00F54242" w:rsidRPr="009A1578">
        <w:rPr>
          <w:rFonts w:ascii="Times New Roman" w:hAnsi="Times New Roman" w:cs="Times New Roman"/>
        </w:rPr>
        <w:t xml:space="preserve"> </w:t>
      </w:r>
      <w:r w:rsidRPr="009A1578">
        <w:rPr>
          <w:rFonts w:ascii="Times New Roman" w:hAnsi="Times New Roman" w:cs="Times New Roman"/>
        </w:rPr>
        <w:t>the approach taken has been successfully documented in previous studies using registry data</w:t>
      </w:r>
      <w:r w:rsidR="00906130"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"DOI" : "10.1210/jc.2012-3375", "ISSN" : "1945-7197", "PMID" : "23365121", "abstract" : "BACKGROUND Although hypothyroidism is associated with increased morbidity, an association with increased mortality is still debated. Our objective was to investigate, at a nationwide level, whether a diagnosis of hypothyroidism influences mortality. METHODS In an observational cohort study from January 1, 1978 until December 31, 2008 using record-linkage data from nationwide Danish health registers, 3587 singletons and 682 twins diagnosed with hypothyroidism were identified. Hypothyroid individuals were matched 1:4 with nonhypothyroid controls with respect to age and gender and followed over a mean period of 5.6 years (range 0-30 years). The hazard ratio (HR) for mortality was calculated using Cox regression analyses. Comorbidity was evaluated using the Charlson score (CS). RESULTS In singletons with hypothyroidism, the mortality risk was increased (HR 1.52; 95{%} confidence interval [CI]: 1.41-1.65). Although the effect attenuated, hypothyroidism remained associated with increased mortality when evaluating subjects with a CS = 0 (HR 1.23; 95{%} CI: 1.05-1.44). In twin pairs discordant for hypothyroidism, the hypothyroid twin had excess mortality compared with the corresponding euthyroid cotwin (HR 1.40; 95{%} CI 0.95-2.05). However, after stratifying for zygosity, hypothyroidism was associated with excess mortality in dizygotic twin pairs (HR 1.61; 95{%} CI 1.00-2.58), whereas the association attenuated in monozygotic pairs (HR 1.06; 95{%} CI 0.55-2.05). CONCLUSIONS Hypothyroidism is associated with an excess mortality of around 50{%}, which to some degree is explained by comorbidity. In addition, the finding of an association between hypothyroidism and mortality within disease discordant dizygotic but not monozygotic twin pairs indicates that the association between hypothyroidism and mortality is also influenced by genetic confounding.", "author" : [ { "dropping-particle" : "", "family" : "Thvilum", "given" : "Marianne", "non-dropping-particle" : "", "parse-names" : false, "suffix" : "" }, { "dropping-particle" : "", "family" : "Brandt", "given" : "Frans", "non-dropping-particle" : "", "parse-names" : false, "suffix" : "" }, { "dropping-particle" : "", "family" : "Almind", "given" : "Dorthe", "non-dropping-particle" : "", "parse-names" : false, "suffix" : "" }, { "dropping-particle" : "", "family" : "Christensen", "given" : "Kaare", "non-dropping-particle" : "", "parse-names" : false, "suffix" : "" }, { "dropping-particle" : "", "family" : "Heged\u00fcs", "given" : "Laszlo", "non-dropping-particle" : "", "parse-names" : false, "suffix" : "" }, { "dropping-particle" : "", "family" : "Brix", "given" : "Thomas Heiberg", "non-dropping-particle" : "", "parse-names" : false, "suffix" : "" } ], "container-title" : "The Journal of clinical endocrinology and metabolism", "id" : "ITEM-1", "issue" : "3", "issued" : { "date-parts" : [ [ "2013", "3" ] ] }, "page" : "1069-1075", "publisher" : "The Endocrine Society", "title" : "Excess mortality in patients diagnosed with hypothyroidism: a nationwide cohort study of singletons and twins.", "type" : "article-journal", "volume" : "98" }, "uris" : [ "http://www.mendeley.com/documents/?uuid=32b4c4af-7bf1-478f-a3d8-a4e91000130b" ] } ], "mendeley" : { "formattedCitation" : "[15]", "plainTextFormattedCitation" : "[15]", "previouslyFormattedCitation" : "[15]" }, "properties" : { "noteIndex" : 0 }, "schema" : "https://github.com/citation-style-language/schema/raw/master/csl-citation.json" }</w:instrText>
      </w:r>
      <w:r w:rsidR="00906130" w:rsidRPr="009A1578">
        <w:rPr>
          <w:rFonts w:ascii="Times New Roman" w:hAnsi="Times New Roman" w:cs="Times New Roman"/>
        </w:rPr>
        <w:fldChar w:fldCharType="separate"/>
      </w:r>
      <w:r w:rsidR="007D43FA" w:rsidRPr="009A1578">
        <w:rPr>
          <w:rFonts w:ascii="Times New Roman" w:hAnsi="Times New Roman" w:cs="Times New Roman"/>
          <w:noProof/>
        </w:rPr>
        <w:t>[15]</w:t>
      </w:r>
      <w:r w:rsidR="00906130" w:rsidRPr="009A1578">
        <w:rPr>
          <w:rFonts w:ascii="Times New Roman" w:hAnsi="Times New Roman" w:cs="Times New Roman"/>
        </w:rPr>
        <w:fldChar w:fldCharType="end"/>
      </w:r>
      <w:r w:rsidRPr="009A1578">
        <w:rPr>
          <w:rFonts w:ascii="Times New Roman" w:hAnsi="Times New Roman" w:cs="Times New Roman"/>
        </w:rPr>
        <w:t xml:space="preserve">. </w:t>
      </w:r>
      <w:r w:rsidR="00903B3C" w:rsidRPr="009A1578">
        <w:rPr>
          <w:rFonts w:ascii="Times New Roman" w:hAnsi="Times New Roman" w:cs="Times New Roman"/>
        </w:rPr>
        <w:t>Thirdly</w:t>
      </w:r>
      <w:r w:rsidR="00942B7A" w:rsidRPr="009A1578">
        <w:rPr>
          <w:rFonts w:ascii="Times New Roman" w:hAnsi="Times New Roman" w:cs="Times New Roman"/>
        </w:rPr>
        <w:t xml:space="preserve">, we were unable to </w:t>
      </w:r>
      <w:r w:rsidR="00135356" w:rsidRPr="009A1578">
        <w:rPr>
          <w:rFonts w:ascii="Times New Roman" w:hAnsi="Times New Roman" w:cs="Times New Roman"/>
        </w:rPr>
        <w:t xml:space="preserve">directly </w:t>
      </w:r>
      <w:r w:rsidR="00942B7A" w:rsidRPr="009A1578">
        <w:rPr>
          <w:rFonts w:ascii="Times New Roman" w:hAnsi="Times New Roman" w:cs="Times New Roman"/>
        </w:rPr>
        <w:t xml:space="preserve">capture </w:t>
      </w:r>
      <w:r w:rsidR="00942B7A" w:rsidRPr="009A1578">
        <w:rPr>
          <w:rFonts w:ascii="Times New Roman" w:hAnsi="Times New Roman" w:cs="Times New Roman"/>
        </w:rPr>
        <w:lastRenderedPageBreak/>
        <w:t xml:space="preserve">information on all potentially relevant factors which might have changed over the study period, for </w:t>
      </w:r>
      <w:r w:rsidR="00942B7A" w:rsidRPr="009A1578">
        <w:rPr>
          <w:rFonts w:ascii="Times New Roman" w:hAnsi="Times New Roman" w:cs="Times New Roman"/>
          <w:noProof/>
        </w:rPr>
        <w:t>example</w:t>
      </w:r>
      <w:r w:rsidR="005E2A00" w:rsidRPr="009A1578">
        <w:rPr>
          <w:rFonts w:ascii="Times New Roman" w:hAnsi="Times New Roman" w:cs="Times New Roman"/>
          <w:noProof/>
        </w:rPr>
        <w:t>,</w:t>
      </w:r>
      <w:r w:rsidR="00942B7A" w:rsidRPr="009A1578">
        <w:rPr>
          <w:rFonts w:ascii="Times New Roman" w:hAnsi="Times New Roman" w:cs="Times New Roman"/>
        </w:rPr>
        <w:t xml:space="preserve"> </w:t>
      </w:r>
      <w:r w:rsidR="000C5B0E" w:rsidRPr="009A1578">
        <w:rPr>
          <w:rFonts w:ascii="Times New Roman" w:hAnsi="Times New Roman" w:cs="Times New Roman"/>
        </w:rPr>
        <w:t>body mass index</w:t>
      </w:r>
      <w:r w:rsidR="00AE2CF3" w:rsidRPr="009A1578">
        <w:rPr>
          <w:rFonts w:ascii="Times New Roman" w:hAnsi="Times New Roman" w:cs="Times New Roman"/>
        </w:rPr>
        <w:t>, smoking, or alcohol</w:t>
      </w:r>
      <w:r w:rsidR="00942B7A" w:rsidRPr="009A1578">
        <w:rPr>
          <w:rFonts w:ascii="Times New Roman" w:hAnsi="Times New Roman" w:cs="Times New Roman"/>
        </w:rPr>
        <w:t>.</w:t>
      </w:r>
      <w:r w:rsidR="00AE2CF3" w:rsidRPr="009A1578">
        <w:rPr>
          <w:rFonts w:ascii="Times New Roman" w:hAnsi="Times New Roman" w:cs="Times New Roman"/>
        </w:rPr>
        <w:t xml:space="preserve"> These variables have previously been shown to influence the risk of fracture</w:t>
      </w:r>
      <w:r w:rsidR="00AE2CF3" w:rsidRPr="009A1578">
        <w:rPr>
          <w:rFonts w:ascii="Times New Roman" w:hAnsi="Times New Roman" w:cs="Times New Roman"/>
        </w:rPr>
        <w:fldChar w:fldCharType="begin" w:fldLock="1"/>
      </w:r>
      <w:r w:rsidR="00546760" w:rsidRPr="009A1578">
        <w:rPr>
          <w:rFonts w:ascii="Times New Roman" w:hAnsi="Times New Roman" w:cs="Times New Roman"/>
        </w:rPr>
        <w:instrText>ADDIN CSL_CITATION { "citationItems" : [ { "id" : "ITEM-1", "itemData" : { "ISSN" : "2047-6396", "PMID" : "25228987", "abstract" : "Although many strong risk factors for osteoporosis-such as family history, fracture history and age-are not modifiable, a number of important risk factors are potential targets for intervention. Thus, simple, non-pharmacological intervention in patients at increased risk of osteoporotic fractures could include reduction of excessive alcohol intake, smoking cessation, adequate nutrition, patient education, daily physical activity and a careful review of medications that could increase the risk of falls and fractures. There remains, however, an unmet need for high-quality intervention studies in most of these areas.", "author" : [ { "dropping-particle" : "", "family" : "Abrahamsen", "given" : "Bo", "non-dropping-particle" : "", "parse-names" : false, "suffix" : "" }, { "dropping-particle" : "", "family" : "Brask-Lindemann", "given" : "Dorthe", "non-dropping-particle" : "", "parse-names" : false, "suffix" : "" }, { "dropping-particle" : "", "family" : "Rubin", "given" : "Katrine Hass", "non-dropping-particle" : "", "parse-names" : false, "suffix" : "" }, { "dropping-particle" : "", "family" : "Schwarz", "given" : "Peter", "non-dropping-particle" : "", "parse-names" : false, "suffix" : "" } ], "container-title" : "BoneKEy reports", "id" : "ITEM-1", "issued" : { "date-parts" : [ [ "2014" ] ] }, "page" : "574", "publisher" : "Nature Publishing Group", "title" : "A review of lifestyle, smoking and other modifiable risk factors for osteoporotic fractures.", "type" : "article-journal", "volume" : "3" }, "uris" : [ "http://www.mendeley.com/documents/?uuid=9e14b6a3-7390-4c6e-ad72-ecd8ac3a6b4a" ] } ], "mendeley" : { "formattedCitation" : "[7]", "plainTextFormattedCitation" : "[7]", "previouslyFormattedCitation" : "[7]" }, "properties" : { "noteIndex" : 0 }, "schema" : "https://github.com/citation-style-language/schema/raw/master/csl-citation.json" }</w:instrText>
      </w:r>
      <w:r w:rsidR="00AE2CF3" w:rsidRPr="009A1578">
        <w:rPr>
          <w:rFonts w:ascii="Times New Roman" w:hAnsi="Times New Roman" w:cs="Times New Roman"/>
        </w:rPr>
        <w:fldChar w:fldCharType="separate"/>
      </w:r>
      <w:r w:rsidR="00AE2CF3" w:rsidRPr="009A1578">
        <w:rPr>
          <w:rFonts w:ascii="Times New Roman" w:hAnsi="Times New Roman" w:cs="Times New Roman"/>
          <w:noProof/>
        </w:rPr>
        <w:t>[7]</w:t>
      </w:r>
      <w:r w:rsidR="00AE2CF3" w:rsidRPr="009A1578">
        <w:rPr>
          <w:rFonts w:ascii="Times New Roman" w:hAnsi="Times New Roman" w:cs="Times New Roman"/>
        </w:rPr>
        <w:fldChar w:fldCharType="end"/>
      </w:r>
      <w:r w:rsidR="009B798B" w:rsidRPr="009A1578">
        <w:rPr>
          <w:rFonts w:ascii="Times New Roman" w:hAnsi="Times New Roman" w:cs="Times New Roman"/>
        </w:rPr>
        <w:t>.</w:t>
      </w:r>
      <w:r w:rsidR="003E0DC4">
        <w:rPr>
          <w:rFonts w:ascii="Times New Roman" w:hAnsi="Times New Roman" w:cs="Times New Roman"/>
        </w:rPr>
        <w:t xml:space="preserve"> </w:t>
      </w:r>
      <w:r w:rsidR="000408E8" w:rsidRPr="000408E8">
        <w:rPr>
          <w:rFonts w:ascii="Times New Roman" w:hAnsi="Times New Roman" w:cs="Times New Roman"/>
        </w:rPr>
        <w:t>Though a substantial part of the eligible population was excluded due to missing data, the characteristics of the included and excluded populations were similar, suggesting that the results are likely to be representative for the entire population (see supplementary table 1).</w:t>
      </w:r>
      <w:r w:rsidR="00222B38">
        <w:rPr>
          <w:rFonts w:ascii="Times New Roman" w:hAnsi="Times New Roman" w:cs="Times New Roman"/>
        </w:rPr>
        <w:t xml:space="preserve"> </w:t>
      </w:r>
      <w:r w:rsidR="000E4AEF" w:rsidRPr="009A1578">
        <w:rPr>
          <w:rFonts w:ascii="Times New Roman" w:hAnsi="Times New Roman" w:cs="Times New Roman"/>
        </w:rPr>
        <w:t>Finally, it is likely that low income</w:t>
      </w:r>
      <w:r w:rsidR="00B2412B">
        <w:rPr>
          <w:rFonts w:ascii="Times New Roman" w:hAnsi="Times New Roman" w:cs="Times New Roman"/>
        </w:rPr>
        <w:t xml:space="preserve"> and</w:t>
      </w:r>
      <w:r w:rsidR="000E4AEF" w:rsidRPr="009A1578">
        <w:rPr>
          <w:rFonts w:ascii="Times New Roman" w:hAnsi="Times New Roman" w:cs="Times New Roman"/>
        </w:rPr>
        <w:t xml:space="preserve"> single living is more likely in persons with chronic comorbid conditions that are not fully captured by a hospital contacts based Charlson Comorbidity Index calculation. Indeed, living alone or in remote locations could decrease the likelihood of comorbid conditions coming to the attention of the health services.  </w:t>
      </w:r>
    </w:p>
    <w:p w14:paraId="2C0AFFDB" w14:textId="27210B9F" w:rsidR="002B203E" w:rsidRPr="009A1578" w:rsidRDefault="002B203E" w:rsidP="00934254">
      <w:pPr>
        <w:spacing w:line="480" w:lineRule="auto"/>
        <w:jc w:val="both"/>
        <w:rPr>
          <w:rFonts w:ascii="Times New Roman" w:hAnsi="Times New Roman" w:cs="Times New Roman"/>
        </w:rPr>
      </w:pPr>
    </w:p>
    <w:p w14:paraId="2AE67FF0" w14:textId="63181054" w:rsidR="003E4D8D" w:rsidRPr="009A1578" w:rsidRDefault="002B203E" w:rsidP="00DD0A22">
      <w:pPr>
        <w:spacing w:line="480" w:lineRule="auto"/>
        <w:jc w:val="both"/>
        <w:rPr>
          <w:rFonts w:ascii="Times New Roman" w:hAnsi="Times New Roman" w:cs="Times New Roman"/>
          <w:b/>
        </w:rPr>
      </w:pPr>
      <w:r w:rsidRPr="009A1578">
        <w:rPr>
          <w:rFonts w:ascii="Times New Roman" w:hAnsi="Times New Roman" w:cs="Times New Roman"/>
        </w:rPr>
        <w:t xml:space="preserve">In conclusion, </w:t>
      </w:r>
      <w:r w:rsidR="00942B7A" w:rsidRPr="009A1578">
        <w:rPr>
          <w:rFonts w:ascii="Times New Roman" w:hAnsi="Times New Roman" w:cs="Times New Roman"/>
        </w:rPr>
        <w:t xml:space="preserve">we have demonstrated </w:t>
      </w:r>
      <w:r w:rsidR="00942B7A" w:rsidRPr="009A1578">
        <w:rPr>
          <w:rFonts w:ascii="Times New Roman" w:hAnsi="Times New Roman" w:cs="Times New Roman"/>
          <w:noProof/>
        </w:rPr>
        <w:t>important</w:t>
      </w:r>
      <w:r w:rsidR="00942B7A" w:rsidRPr="009A1578">
        <w:rPr>
          <w:rFonts w:ascii="Times New Roman" w:hAnsi="Times New Roman" w:cs="Times New Roman"/>
        </w:rPr>
        <w:t xml:space="preserve"> associations between social inequality, assessed using </w:t>
      </w:r>
      <w:r w:rsidR="000C5B0E" w:rsidRPr="009A1578">
        <w:rPr>
          <w:rFonts w:ascii="Times New Roman" w:hAnsi="Times New Roman" w:cs="Times New Roman"/>
        </w:rPr>
        <w:t xml:space="preserve">marital status, </w:t>
      </w:r>
      <w:r w:rsidR="000C5B0E" w:rsidRPr="009A1578">
        <w:rPr>
          <w:rFonts w:ascii="Times New Roman" w:hAnsi="Times New Roman" w:cs="Times New Roman"/>
          <w:noProof/>
        </w:rPr>
        <w:t>area</w:t>
      </w:r>
      <w:r w:rsidR="000C5B0E" w:rsidRPr="009A1578">
        <w:rPr>
          <w:rFonts w:ascii="Times New Roman" w:hAnsi="Times New Roman" w:cs="Times New Roman"/>
        </w:rPr>
        <w:t xml:space="preserve"> of residence and income</w:t>
      </w:r>
      <w:r w:rsidR="00942B7A" w:rsidRPr="009A1578">
        <w:rPr>
          <w:rFonts w:ascii="Times New Roman" w:hAnsi="Times New Roman" w:cs="Times New Roman"/>
        </w:rPr>
        <w:t>, and fracture at the population level. These findings, and the observation that such differences have persisted over recent decades</w:t>
      </w:r>
      <w:r w:rsidR="00942B7A" w:rsidRPr="009A1578">
        <w:rPr>
          <w:rFonts w:ascii="Times New Roman" w:hAnsi="Times New Roman" w:cs="Times New Roman"/>
          <w:noProof/>
        </w:rPr>
        <w:t>,</w:t>
      </w:r>
      <w:r w:rsidR="00083136" w:rsidRPr="009A1578">
        <w:rPr>
          <w:rFonts w:ascii="Times New Roman" w:hAnsi="Times New Roman" w:cs="Times New Roman"/>
        </w:rPr>
        <w:t xml:space="preserve"> can</w:t>
      </w:r>
      <w:r w:rsidR="00942B7A" w:rsidRPr="009A1578">
        <w:rPr>
          <w:rFonts w:ascii="Times New Roman" w:hAnsi="Times New Roman" w:cs="Times New Roman"/>
        </w:rPr>
        <w:t xml:space="preserve"> inform approaches to healthcare, and suggest that much thought should be given to novel interventions aimed at those of lower income and </w:t>
      </w:r>
      <w:r w:rsidR="002B05B9">
        <w:rPr>
          <w:rFonts w:ascii="Times New Roman" w:hAnsi="Times New Roman" w:cs="Times New Roman"/>
        </w:rPr>
        <w:t>living alone</w:t>
      </w:r>
      <w:r w:rsidR="00942B7A" w:rsidRPr="009A1578">
        <w:rPr>
          <w:rFonts w:ascii="Times New Roman" w:hAnsi="Times New Roman" w:cs="Times New Roman"/>
        </w:rPr>
        <w:t>, and ideally societal measures to reduce social inequality.</w:t>
      </w:r>
      <w:r w:rsidR="003E4D8D" w:rsidRPr="009A1578">
        <w:rPr>
          <w:rFonts w:ascii="Times New Roman" w:hAnsi="Times New Roman" w:cs="Times New Roman"/>
          <w:b/>
        </w:rPr>
        <w:br w:type="page"/>
      </w:r>
    </w:p>
    <w:p w14:paraId="438E7BB3" w14:textId="6F6C5ADB" w:rsidR="00795D69" w:rsidRPr="009A1578" w:rsidRDefault="00795D69" w:rsidP="00934254">
      <w:pPr>
        <w:spacing w:line="480" w:lineRule="auto"/>
        <w:jc w:val="both"/>
        <w:rPr>
          <w:rFonts w:ascii="Times New Roman" w:hAnsi="Times New Roman" w:cs="Times New Roman"/>
          <w:b/>
          <w:lang w:val="da-DK"/>
        </w:rPr>
      </w:pPr>
      <w:r w:rsidRPr="009A1578">
        <w:rPr>
          <w:rFonts w:ascii="Times New Roman" w:hAnsi="Times New Roman" w:cs="Times New Roman"/>
          <w:b/>
          <w:lang w:val="da-DK"/>
        </w:rPr>
        <w:lastRenderedPageBreak/>
        <w:t>References</w:t>
      </w:r>
    </w:p>
    <w:p w14:paraId="2891198B" w14:textId="00240A76" w:rsidR="00546760" w:rsidRPr="009A1578" w:rsidRDefault="00795D69"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b/>
        </w:rPr>
        <w:fldChar w:fldCharType="begin" w:fldLock="1"/>
      </w:r>
      <w:r w:rsidRPr="009A1578">
        <w:rPr>
          <w:rFonts w:ascii="Times New Roman" w:hAnsi="Times New Roman" w:cs="Times New Roman"/>
          <w:b/>
          <w:lang w:val="da-DK"/>
        </w:rPr>
        <w:instrText xml:space="preserve">ADDIN Mendeley Bibliography CSL_BIBLIOGRAPHY </w:instrText>
      </w:r>
      <w:r w:rsidRPr="009A1578">
        <w:rPr>
          <w:rFonts w:ascii="Times New Roman" w:hAnsi="Times New Roman" w:cs="Times New Roman"/>
          <w:b/>
        </w:rPr>
        <w:fldChar w:fldCharType="separate"/>
      </w:r>
      <w:r w:rsidR="00546760" w:rsidRPr="009A1578">
        <w:rPr>
          <w:rFonts w:ascii="Times New Roman" w:hAnsi="Times New Roman" w:cs="Times New Roman"/>
          <w:noProof/>
          <w:lang w:val="da-DK"/>
        </w:rPr>
        <w:t>[1]</w:t>
      </w:r>
      <w:r w:rsidR="00546760" w:rsidRPr="009A1578">
        <w:rPr>
          <w:rFonts w:ascii="Times New Roman" w:hAnsi="Times New Roman" w:cs="Times New Roman"/>
          <w:noProof/>
          <w:lang w:val="da-DK"/>
        </w:rPr>
        <w:tab/>
        <w:t xml:space="preserve">Hansen L, Petersen KD, Eriksen S a., et al. </w:t>
      </w:r>
      <w:r w:rsidR="00546760" w:rsidRPr="009A1578">
        <w:rPr>
          <w:rFonts w:ascii="Times New Roman" w:hAnsi="Times New Roman" w:cs="Times New Roman"/>
          <w:noProof/>
        </w:rPr>
        <w:t xml:space="preserve">Subsequent fracture rates in a nationwide population-based cohort study with a 10-year perspective. </w:t>
      </w:r>
      <w:r w:rsidR="00546760" w:rsidRPr="009A1578">
        <w:rPr>
          <w:rFonts w:ascii="Times New Roman" w:hAnsi="Times New Roman" w:cs="Times New Roman"/>
          <w:i/>
          <w:iCs/>
          <w:noProof/>
          <w:lang w:val="da-DK"/>
        </w:rPr>
        <w:t>Osteoporos Int</w:t>
      </w:r>
      <w:r w:rsidR="00546760" w:rsidRPr="009A1578">
        <w:rPr>
          <w:rFonts w:ascii="Times New Roman" w:hAnsi="Times New Roman" w:cs="Times New Roman"/>
          <w:noProof/>
          <w:lang w:val="da-DK"/>
        </w:rPr>
        <w:t xml:space="preserve"> 2014; 26: 513–519.</w:t>
      </w:r>
    </w:p>
    <w:p w14:paraId="618D9F4B"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lang w:val="da-DK"/>
        </w:rPr>
        <w:t>[2]</w:t>
      </w:r>
      <w:r w:rsidRPr="009A1578">
        <w:rPr>
          <w:rFonts w:ascii="Times New Roman" w:hAnsi="Times New Roman" w:cs="Times New Roman"/>
          <w:noProof/>
          <w:lang w:val="da-DK"/>
        </w:rPr>
        <w:tab/>
        <w:t xml:space="preserve">Omsland TK, Holvik K, Meyer HE, et al. </w:t>
      </w:r>
      <w:r w:rsidRPr="009A1578">
        <w:rPr>
          <w:rFonts w:ascii="Times New Roman" w:hAnsi="Times New Roman" w:cs="Times New Roman"/>
          <w:noProof/>
        </w:rPr>
        <w:t xml:space="preserve">Hip fractures in Norway 1999–2008: time trends in total incidence and second hip fracture rates. A NOREPOS study. </w:t>
      </w:r>
      <w:r w:rsidRPr="009A1578">
        <w:rPr>
          <w:rFonts w:ascii="Times New Roman" w:hAnsi="Times New Roman" w:cs="Times New Roman"/>
          <w:i/>
          <w:iCs/>
          <w:noProof/>
        </w:rPr>
        <w:t>Eur J Epidemiol</w:t>
      </w:r>
      <w:r w:rsidRPr="009A1578">
        <w:rPr>
          <w:rFonts w:ascii="Times New Roman" w:hAnsi="Times New Roman" w:cs="Times New Roman"/>
          <w:noProof/>
        </w:rPr>
        <w:t>; 27: 807–814, http://link.springer.com/10.1007/s10654-012-9711-9 (2012).</w:t>
      </w:r>
    </w:p>
    <w:p w14:paraId="1124EA1F"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lang w:val="da-DK"/>
        </w:rPr>
        <w:t>[3]</w:t>
      </w:r>
      <w:r w:rsidRPr="009A1578">
        <w:rPr>
          <w:rFonts w:ascii="Times New Roman" w:hAnsi="Times New Roman" w:cs="Times New Roman"/>
          <w:noProof/>
          <w:lang w:val="da-DK"/>
        </w:rPr>
        <w:tab/>
        <w:t xml:space="preserve">Schmidt M, Schmidt SAJ, Sandegaard JL, et al. </w:t>
      </w:r>
      <w:r w:rsidRPr="009A1578">
        <w:rPr>
          <w:rFonts w:ascii="Times New Roman" w:hAnsi="Times New Roman" w:cs="Times New Roman"/>
          <w:noProof/>
        </w:rPr>
        <w:t xml:space="preserve">The Danish National Patient Registry: a review of content, data quality, and research potential. </w:t>
      </w:r>
      <w:r w:rsidRPr="009A1578">
        <w:rPr>
          <w:rFonts w:ascii="Times New Roman" w:hAnsi="Times New Roman" w:cs="Times New Roman"/>
          <w:i/>
          <w:iCs/>
          <w:noProof/>
          <w:lang w:val="da-DK"/>
        </w:rPr>
        <w:t>Clin Epidemiol</w:t>
      </w:r>
      <w:r w:rsidRPr="009A1578">
        <w:rPr>
          <w:rFonts w:ascii="Times New Roman" w:hAnsi="Times New Roman" w:cs="Times New Roman"/>
          <w:noProof/>
          <w:lang w:val="da-DK"/>
        </w:rPr>
        <w:t xml:space="preserve"> 2015; 7: 449–490.</w:t>
      </w:r>
    </w:p>
    <w:p w14:paraId="503673FD"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lang w:val="da-DK"/>
        </w:rPr>
        <w:t>[4]</w:t>
      </w:r>
      <w:r w:rsidRPr="009A1578">
        <w:rPr>
          <w:rFonts w:ascii="Times New Roman" w:hAnsi="Times New Roman" w:cs="Times New Roman"/>
          <w:noProof/>
          <w:lang w:val="da-DK"/>
        </w:rPr>
        <w:tab/>
        <w:t xml:space="preserve">Ryg J, Rejnmark L, Overgaard S, et al. </w:t>
      </w:r>
      <w:r w:rsidRPr="009A1578">
        <w:rPr>
          <w:rFonts w:ascii="Times New Roman" w:hAnsi="Times New Roman" w:cs="Times New Roman"/>
          <w:noProof/>
        </w:rPr>
        <w:t xml:space="preserve">Hip Fracture Patients at Risk of Second Hip Fracture: A Nationwide Population-Based Cohort Study of 169,145 Cases During 1977–2001. </w:t>
      </w:r>
      <w:r w:rsidRPr="009A1578">
        <w:rPr>
          <w:rFonts w:ascii="Times New Roman" w:hAnsi="Times New Roman" w:cs="Times New Roman"/>
          <w:i/>
          <w:iCs/>
          <w:noProof/>
          <w:lang w:val="da-DK"/>
        </w:rPr>
        <w:t>J Bone Min Res</w:t>
      </w:r>
      <w:r w:rsidRPr="009A1578">
        <w:rPr>
          <w:rFonts w:ascii="Times New Roman" w:hAnsi="Times New Roman" w:cs="Times New Roman"/>
          <w:noProof/>
          <w:lang w:val="da-DK"/>
        </w:rPr>
        <w:t xml:space="preserve"> 2009; 24: 1299–1307.</w:t>
      </w:r>
    </w:p>
    <w:p w14:paraId="540C8AC0"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lang w:val="da-DK"/>
        </w:rPr>
        <w:t>[5]</w:t>
      </w:r>
      <w:r w:rsidRPr="009A1578">
        <w:rPr>
          <w:rFonts w:ascii="Times New Roman" w:hAnsi="Times New Roman" w:cs="Times New Roman"/>
          <w:noProof/>
          <w:lang w:val="da-DK"/>
        </w:rPr>
        <w:tab/>
        <w:t xml:space="preserve">Bliuc D, Nguyen ND, Milch VE, et al. </w:t>
      </w:r>
      <w:r w:rsidRPr="009A1578">
        <w:rPr>
          <w:rFonts w:ascii="Times New Roman" w:hAnsi="Times New Roman" w:cs="Times New Roman"/>
          <w:noProof/>
        </w:rPr>
        <w:t xml:space="preserve">Mortality risk associated with low-trauma osteoporotic fracture and subsequent fracture in men and women. </w:t>
      </w:r>
      <w:r w:rsidRPr="009A1578">
        <w:rPr>
          <w:rFonts w:ascii="Times New Roman" w:hAnsi="Times New Roman" w:cs="Times New Roman"/>
          <w:i/>
          <w:iCs/>
          <w:noProof/>
          <w:lang w:val="da-DK"/>
        </w:rPr>
        <w:t>JAMA</w:t>
      </w:r>
      <w:r w:rsidRPr="009A1578">
        <w:rPr>
          <w:rFonts w:ascii="Times New Roman" w:hAnsi="Times New Roman" w:cs="Times New Roman"/>
          <w:noProof/>
          <w:lang w:val="da-DK"/>
        </w:rPr>
        <w:t xml:space="preserve"> 2009; 301: 513–21.</w:t>
      </w:r>
    </w:p>
    <w:p w14:paraId="0033B96D"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lang w:val="da-DK"/>
        </w:rPr>
        <w:t>[6]</w:t>
      </w:r>
      <w:r w:rsidRPr="009A1578">
        <w:rPr>
          <w:rFonts w:ascii="Times New Roman" w:hAnsi="Times New Roman" w:cs="Times New Roman"/>
          <w:noProof/>
          <w:lang w:val="da-DK"/>
        </w:rPr>
        <w:tab/>
        <w:t xml:space="preserve">Si L, Winzenberg TM, de Graaff B, et al. </w:t>
      </w:r>
      <w:r w:rsidRPr="009A1578">
        <w:rPr>
          <w:rFonts w:ascii="Times New Roman" w:hAnsi="Times New Roman" w:cs="Times New Roman"/>
          <w:noProof/>
        </w:rPr>
        <w:t xml:space="preserve">A systematic review and meta-analysis of utility-based quality of life for osteoporosis-related conditions. </w:t>
      </w:r>
      <w:r w:rsidRPr="009A1578">
        <w:rPr>
          <w:rFonts w:ascii="Times New Roman" w:hAnsi="Times New Roman" w:cs="Times New Roman"/>
          <w:i/>
          <w:iCs/>
          <w:noProof/>
          <w:lang w:val="da-DK"/>
        </w:rPr>
        <w:t>Osteoporos Int</w:t>
      </w:r>
      <w:r w:rsidRPr="009A1578">
        <w:rPr>
          <w:rFonts w:ascii="Times New Roman" w:hAnsi="Times New Roman" w:cs="Times New Roman"/>
          <w:noProof/>
          <w:lang w:val="da-DK"/>
        </w:rPr>
        <w:t xml:space="preserve"> 2014; 25: 1987–1997.</w:t>
      </w:r>
    </w:p>
    <w:p w14:paraId="5B5D3D9F"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lang w:val="da-DK"/>
        </w:rPr>
        <w:t>[7]</w:t>
      </w:r>
      <w:r w:rsidRPr="009A1578">
        <w:rPr>
          <w:rFonts w:ascii="Times New Roman" w:hAnsi="Times New Roman" w:cs="Times New Roman"/>
          <w:noProof/>
          <w:lang w:val="da-DK"/>
        </w:rPr>
        <w:tab/>
        <w:t xml:space="preserve">Abrahamsen B, Brask-Lindemann D, Rubin KH, et al. </w:t>
      </w:r>
      <w:r w:rsidRPr="009A1578">
        <w:rPr>
          <w:rFonts w:ascii="Times New Roman" w:hAnsi="Times New Roman" w:cs="Times New Roman"/>
          <w:noProof/>
        </w:rPr>
        <w:t xml:space="preserve">A review of lifestyle, smoking and other modifiable risk factors for osteoporotic fractures. </w:t>
      </w:r>
      <w:r w:rsidRPr="009A1578">
        <w:rPr>
          <w:rFonts w:ascii="Times New Roman" w:hAnsi="Times New Roman" w:cs="Times New Roman"/>
          <w:i/>
          <w:iCs/>
          <w:noProof/>
        </w:rPr>
        <w:t>Bonekey Rep</w:t>
      </w:r>
      <w:r w:rsidRPr="009A1578">
        <w:rPr>
          <w:rFonts w:ascii="Times New Roman" w:hAnsi="Times New Roman" w:cs="Times New Roman"/>
          <w:noProof/>
        </w:rPr>
        <w:t xml:space="preserve"> 2014; 3: 574.</w:t>
      </w:r>
    </w:p>
    <w:p w14:paraId="2311F15B"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[8]</w:t>
      </w:r>
      <w:r w:rsidRPr="009A1578">
        <w:rPr>
          <w:rFonts w:ascii="Times New Roman" w:hAnsi="Times New Roman" w:cs="Times New Roman"/>
          <w:noProof/>
        </w:rPr>
        <w:tab/>
        <w:t xml:space="preserve">Graham H. Social determinants and their unequal distribution: clarifying policy understandings. </w:t>
      </w:r>
      <w:r w:rsidRPr="009A1578">
        <w:rPr>
          <w:rFonts w:ascii="Times New Roman" w:hAnsi="Times New Roman" w:cs="Times New Roman"/>
          <w:i/>
          <w:iCs/>
          <w:noProof/>
        </w:rPr>
        <w:t>Milbank Q</w:t>
      </w:r>
      <w:r w:rsidRPr="009A1578">
        <w:rPr>
          <w:rFonts w:ascii="Times New Roman" w:hAnsi="Times New Roman" w:cs="Times New Roman"/>
          <w:noProof/>
        </w:rPr>
        <w:t xml:space="preserve"> 2004; 82: 101–124.</w:t>
      </w:r>
    </w:p>
    <w:p w14:paraId="0264E3D7"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[9]</w:t>
      </w:r>
      <w:r w:rsidRPr="009A1578">
        <w:rPr>
          <w:rFonts w:ascii="Times New Roman" w:hAnsi="Times New Roman" w:cs="Times New Roman"/>
          <w:noProof/>
        </w:rPr>
        <w:tab/>
        <w:t xml:space="preserve">Baker E, Metzler M, Galea S. Addressing Social Determinants of Health Disparities: Learning From Doing. </w:t>
      </w:r>
      <w:r w:rsidRPr="009A1578">
        <w:rPr>
          <w:rFonts w:ascii="Times New Roman" w:hAnsi="Times New Roman" w:cs="Times New Roman"/>
          <w:i/>
          <w:iCs/>
          <w:noProof/>
        </w:rPr>
        <w:t>Am J Public Health</w:t>
      </w:r>
      <w:r w:rsidRPr="009A1578">
        <w:rPr>
          <w:rFonts w:ascii="Times New Roman" w:hAnsi="Times New Roman" w:cs="Times New Roman"/>
          <w:noProof/>
        </w:rPr>
        <w:t xml:space="preserve"> 2005; 95: 553–556.</w:t>
      </w:r>
    </w:p>
    <w:p w14:paraId="73854FEC"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rPr>
        <w:t>[10]</w:t>
      </w:r>
      <w:r w:rsidRPr="009A1578">
        <w:rPr>
          <w:rFonts w:ascii="Times New Roman" w:hAnsi="Times New Roman" w:cs="Times New Roman"/>
          <w:noProof/>
        </w:rPr>
        <w:tab/>
        <w:t xml:space="preserve">Omsland TK, Eisman J a., Naess Ø, et al. Educational Inequalities in Post-Hip Fracture Mortality: A NOREPOS Studys. </w:t>
      </w:r>
      <w:r w:rsidRPr="009A1578">
        <w:rPr>
          <w:rFonts w:ascii="Times New Roman" w:hAnsi="Times New Roman" w:cs="Times New Roman"/>
          <w:i/>
          <w:iCs/>
          <w:noProof/>
          <w:lang w:val="da-DK"/>
        </w:rPr>
        <w:t xml:space="preserve">J bone </w:t>
      </w:r>
      <w:r w:rsidRPr="009A1578">
        <w:rPr>
          <w:rFonts w:ascii="Times New Roman" w:hAnsi="Times New Roman" w:cs="Times New Roman"/>
          <w:i/>
          <w:iCs/>
          <w:noProof/>
          <w:lang w:val="da-DK"/>
        </w:rPr>
        <w:lastRenderedPageBreak/>
        <w:t>Miner Res</w:t>
      </w:r>
      <w:r w:rsidRPr="009A1578">
        <w:rPr>
          <w:rFonts w:ascii="Times New Roman" w:hAnsi="Times New Roman" w:cs="Times New Roman"/>
          <w:noProof/>
          <w:lang w:val="da-DK"/>
        </w:rPr>
        <w:t>; 30: 2221–2228, http://www.ncbi.nlm.nih.gov/pubmed/26085117 (2015).</w:t>
      </w:r>
    </w:p>
    <w:p w14:paraId="5C580001"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[11]</w:t>
      </w:r>
      <w:r w:rsidRPr="009A1578">
        <w:rPr>
          <w:rFonts w:ascii="Times New Roman" w:hAnsi="Times New Roman" w:cs="Times New Roman"/>
          <w:noProof/>
        </w:rPr>
        <w:tab/>
        <w:t xml:space="preserve">Vestergaard P, Rejnmark L, Mosekilde L. Socioeconomic aspects of fractures within universal public healthcare: a nationwide case-control study from Denmark. </w:t>
      </w:r>
      <w:r w:rsidRPr="009A1578">
        <w:rPr>
          <w:rFonts w:ascii="Times New Roman" w:hAnsi="Times New Roman" w:cs="Times New Roman"/>
          <w:i/>
          <w:iCs/>
          <w:noProof/>
        </w:rPr>
        <w:t>Scand J Public Health</w:t>
      </w:r>
      <w:r w:rsidRPr="009A1578">
        <w:rPr>
          <w:rFonts w:ascii="Times New Roman" w:hAnsi="Times New Roman" w:cs="Times New Roman"/>
          <w:noProof/>
        </w:rPr>
        <w:t xml:space="preserve"> 2006; 34: 371–377.</w:t>
      </w:r>
    </w:p>
    <w:p w14:paraId="37050D17"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[12]</w:t>
      </w:r>
      <w:r w:rsidRPr="009A1578">
        <w:rPr>
          <w:rFonts w:ascii="Times New Roman" w:hAnsi="Times New Roman" w:cs="Times New Roman"/>
          <w:noProof/>
        </w:rPr>
        <w:tab/>
        <w:t xml:space="preserve">Farahmand P, Persson PG, Michaelsson K, et al. Socioeconomic Status , Marital Status and Hip Fracture Risk : A Population-Based Case-Control Study. </w:t>
      </w:r>
      <w:r w:rsidRPr="009A1578">
        <w:rPr>
          <w:rFonts w:ascii="Times New Roman" w:hAnsi="Times New Roman" w:cs="Times New Roman"/>
          <w:i/>
          <w:iCs/>
          <w:noProof/>
        </w:rPr>
        <w:t>Osteoporos Int</w:t>
      </w:r>
      <w:r w:rsidRPr="009A1578">
        <w:rPr>
          <w:rFonts w:ascii="Times New Roman" w:hAnsi="Times New Roman" w:cs="Times New Roman"/>
          <w:noProof/>
        </w:rPr>
        <w:t xml:space="preserve"> 2000; 11: 803–808.</w:t>
      </w:r>
    </w:p>
    <w:p w14:paraId="57D40651"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[13]</w:t>
      </w:r>
      <w:r w:rsidRPr="009A1578">
        <w:rPr>
          <w:rFonts w:ascii="Times New Roman" w:hAnsi="Times New Roman" w:cs="Times New Roman"/>
          <w:noProof/>
        </w:rPr>
        <w:tab/>
        <w:t xml:space="preserve">Peel NM, McClure RJ, Hendrikz JK. Psychosocial factors associated with fall-related hip fractures. </w:t>
      </w:r>
      <w:r w:rsidRPr="009A1578">
        <w:rPr>
          <w:rFonts w:ascii="Times New Roman" w:hAnsi="Times New Roman" w:cs="Times New Roman"/>
          <w:i/>
          <w:iCs/>
          <w:noProof/>
        </w:rPr>
        <w:t>Age Ageing</w:t>
      </w:r>
      <w:r w:rsidRPr="009A1578">
        <w:rPr>
          <w:rFonts w:ascii="Times New Roman" w:hAnsi="Times New Roman" w:cs="Times New Roman"/>
          <w:noProof/>
        </w:rPr>
        <w:t>; 36: 145–151, http://www.ageing.oxfordjournals.org/cgi/doi/10.1093/ageing/afl167 (2007).</w:t>
      </w:r>
    </w:p>
    <w:p w14:paraId="7C033EE5"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lang w:val="da-DK"/>
        </w:rPr>
        <w:t>[14]</w:t>
      </w:r>
      <w:r w:rsidRPr="009A1578">
        <w:rPr>
          <w:rFonts w:ascii="Times New Roman" w:hAnsi="Times New Roman" w:cs="Times New Roman"/>
          <w:noProof/>
          <w:lang w:val="da-DK"/>
        </w:rPr>
        <w:tab/>
        <w:t xml:space="preserve">Velfærdsministeriet, Ministeriet for Fødevarer Landbrug og Fiskeri. </w:t>
      </w:r>
      <w:r w:rsidRPr="009A1578">
        <w:rPr>
          <w:rFonts w:ascii="Times New Roman" w:hAnsi="Times New Roman" w:cs="Times New Roman"/>
          <w:i/>
          <w:iCs/>
          <w:noProof/>
          <w:lang w:val="da-DK"/>
        </w:rPr>
        <w:t>Landdistriktsredegørelse 2009</w:t>
      </w:r>
      <w:r w:rsidRPr="009A1578">
        <w:rPr>
          <w:rFonts w:ascii="Times New Roman" w:hAnsi="Times New Roman" w:cs="Times New Roman"/>
          <w:noProof/>
          <w:lang w:val="da-DK"/>
        </w:rPr>
        <w:t>. København K, 2009.</w:t>
      </w:r>
    </w:p>
    <w:p w14:paraId="2390BF7E"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lang w:val="da-DK"/>
        </w:rPr>
        <w:t>[15]</w:t>
      </w:r>
      <w:r w:rsidRPr="009A1578">
        <w:rPr>
          <w:rFonts w:ascii="Times New Roman" w:hAnsi="Times New Roman" w:cs="Times New Roman"/>
          <w:noProof/>
          <w:lang w:val="da-DK"/>
        </w:rPr>
        <w:tab/>
        <w:t xml:space="preserve">Thvilum M, Brandt F, Almind D, et al. </w:t>
      </w:r>
      <w:r w:rsidRPr="009A1578">
        <w:rPr>
          <w:rFonts w:ascii="Times New Roman" w:hAnsi="Times New Roman" w:cs="Times New Roman"/>
          <w:noProof/>
        </w:rPr>
        <w:t xml:space="preserve">Excess mortality in patients diagnosed with hypothyroidism: a nationwide cohort study of singletons and twins. </w:t>
      </w:r>
      <w:r w:rsidRPr="009A1578">
        <w:rPr>
          <w:rFonts w:ascii="Times New Roman" w:hAnsi="Times New Roman" w:cs="Times New Roman"/>
          <w:i/>
          <w:iCs/>
          <w:noProof/>
        </w:rPr>
        <w:t>J Clin Endocrinol Metab</w:t>
      </w:r>
      <w:r w:rsidRPr="009A1578">
        <w:rPr>
          <w:rFonts w:ascii="Times New Roman" w:hAnsi="Times New Roman" w:cs="Times New Roman"/>
          <w:noProof/>
        </w:rPr>
        <w:t>; 98: 1069–1075, http://www.ncbi.nlm.nih.gov/pubmed/23365121 (2013).</w:t>
      </w:r>
    </w:p>
    <w:p w14:paraId="030F189F"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lang w:val="da-DK"/>
        </w:rPr>
        <w:t>[16]</w:t>
      </w:r>
      <w:r w:rsidRPr="009A1578">
        <w:rPr>
          <w:rFonts w:ascii="Times New Roman" w:hAnsi="Times New Roman" w:cs="Times New Roman"/>
          <w:noProof/>
          <w:lang w:val="da-DK"/>
        </w:rPr>
        <w:tab/>
        <w:t xml:space="preserve">Charlson ME, Pompei P, Ales KL, et al. </w:t>
      </w:r>
      <w:r w:rsidRPr="009A1578">
        <w:rPr>
          <w:rFonts w:ascii="Times New Roman" w:hAnsi="Times New Roman" w:cs="Times New Roman"/>
          <w:noProof/>
        </w:rPr>
        <w:t xml:space="preserve">A new method of classifying prognostic comorbidity in longitudinal studies: development and validation. </w:t>
      </w:r>
      <w:r w:rsidRPr="009A1578">
        <w:rPr>
          <w:rFonts w:ascii="Times New Roman" w:hAnsi="Times New Roman" w:cs="Times New Roman"/>
          <w:i/>
          <w:iCs/>
          <w:noProof/>
        </w:rPr>
        <w:t>J Chronic Dis</w:t>
      </w:r>
      <w:r w:rsidRPr="009A1578">
        <w:rPr>
          <w:rFonts w:ascii="Times New Roman" w:hAnsi="Times New Roman" w:cs="Times New Roman"/>
          <w:noProof/>
        </w:rPr>
        <w:t xml:space="preserve"> 1987; 40: 373–383.</w:t>
      </w:r>
    </w:p>
    <w:p w14:paraId="7530490D"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[17]</w:t>
      </w:r>
      <w:r w:rsidRPr="009A1578">
        <w:rPr>
          <w:rFonts w:ascii="Times New Roman" w:hAnsi="Times New Roman" w:cs="Times New Roman"/>
          <w:noProof/>
        </w:rPr>
        <w:tab/>
        <w:t xml:space="preserve">Wilson RT, Chase G a., Chrischilles E a., et al. Hip fracture risk among community-dwelling elderly people in the United States: A prospective study of physical, cognitive, and socioeconomic indicators. </w:t>
      </w:r>
      <w:r w:rsidRPr="009A1578">
        <w:rPr>
          <w:rFonts w:ascii="Times New Roman" w:hAnsi="Times New Roman" w:cs="Times New Roman"/>
          <w:i/>
          <w:iCs/>
          <w:noProof/>
        </w:rPr>
        <w:t>Am J Public Health</w:t>
      </w:r>
      <w:r w:rsidRPr="009A1578">
        <w:rPr>
          <w:rFonts w:ascii="Times New Roman" w:hAnsi="Times New Roman" w:cs="Times New Roman"/>
          <w:noProof/>
        </w:rPr>
        <w:t xml:space="preserve"> 2006; 96: 1210–1218.</w:t>
      </w:r>
    </w:p>
    <w:p w14:paraId="586F67E4"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rPr>
        <w:t>[18]</w:t>
      </w:r>
      <w:r w:rsidRPr="009A1578">
        <w:rPr>
          <w:rFonts w:ascii="Times New Roman" w:hAnsi="Times New Roman" w:cs="Times New Roman"/>
          <w:noProof/>
        </w:rPr>
        <w:tab/>
        <w:t xml:space="preserve">Curtis EM, van der Velde R, Moon RJ, et al. Epidemiology of fractures in the United Kingdom 1988-2012: Variation with age, sex, geography, ethnicity and socioeconomic status. </w:t>
      </w:r>
      <w:r w:rsidRPr="009A1578">
        <w:rPr>
          <w:rFonts w:ascii="Times New Roman" w:hAnsi="Times New Roman" w:cs="Times New Roman"/>
          <w:i/>
          <w:iCs/>
          <w:noProof/>
          <w:lang w:val="da-DK"/>
        </w:rPr>
        <w:t>Bone</w:t>
      </w:r>
      <w:r w:rsidRPr="009A1578">
        <w:rPr>
          <w:rFonts w:ascii="Times New Roman" w:hAnsi="Times New Roman" w:cs="Times New Roman"/>
          <w:noProof/>
          <w:lang w:val="da-DK"/>
        </w:rPr>
        <w:t>; 87: 19–26, http://dx.doi.org/10.1016/j.bone.2016.03.006 (2016).</w:t>
      </w:r>
    </w:p>
    <w:p w14:paraId="44F18373"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lang w:val="da-DK"/>
        </w:rPr>
        <w:t>[19]</w:t>
      </w:r>
      <w:r w:rsidRPr="009A1578">
        <w:rPr>
          <w:rFonts w:ascii="Times New Roman" w:hAnsi="Times New Roman" w:cs="Times New Roman"/>
          <w:noProof/>
          <w:lang w:val="da-DK"/>
        </w:rPr>
        <w:tab/>
        <w:t xml:space="preserve">Brazier J, Ratcliffe J, Salomon JA, et al. </w:t>
      </w:r>
      <w:r w:rsidRPr="009A1578">
        <w:rPr>
          <w:rFonts w:ascii="Times New Roman" w:hAnsi="Times New Roman" w:cs="Times New Roman"/>
          <w:i/>
          <w:iCs/>
          <w:noProof/>
        </w:rPr>
        <w:t>Measuring and Valuing Health Benefits for Economic Evaluation</w:t>
      </w:r>
      <w:r w:rsidRPr="009A1578">
        <w:rPr>
          <w:rFonts w:ascii="Times New Roman" w:hAnsi="Times New Roman" w:cs="Times New Roman"/>
          <w:noProof/>
        </w:rPr>
        <w:t>. Oxford University Press, 2007.</w:t>
      </w:r>
    </w:p>
    <w:p w14:paraId="004CA2A8"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[20]</w:t>
      </w:r>
      <w:r w:rsidRPr="009A1578">
        <w:rPr>
          <w:rFonts w:ascii="Times New Roman" w:hAnsi="Times New Roman" w:cs="Times New Roman"/>
          <w:noProof/>
        </w:rPr>
        <w:tab/>
        <w:t xml:space="preserve">Dawson-Hughes B, Tosteson ANA, Melton LJ, et al. Implications of absolute fracture risk assessment for osteoporosis practice </w:t>
      </w:r>
      <w:r w:rsidRPr="009A1578">
        <w:rPr>
          <w:rFonts w:ascii="Times New Roman" w:hAnsi="Times New Roman" w:cs="Times New Roman"/>
          <w:noProof/>
        </w:rPr>
        <w:lastRenderedPageBreak/>
        <w:t xml:space="preserve">guidelines in the USA. </w:t>
      </w:r>
      <w:r w:rsidRPr="009A1578">
        <w:rPr>
          <w:rFonts w:ascii="Times New Roman" w:hAnsi="Times New Roman" w:cs="Times New Roman"/>
          <w:i/>
          <w:iCs/>
          <w:noProof/>
        </w:rPr>
        <w:t>Osteoporos Int</w:t>
      </w:r>
      <w:r w:rsidRPr="009A1578">
        <w:rPr>
          <w:rFonts w:ascii="Times New Roman" w:hAnsi="Times New Roman" w:cs="Times New Roman"/>
          <w:noProof/>
        </w:rPr>
        <w:t>; 19: 449–458, http://link.springer.com/10.1007/s00198-008-0559-5 (2008).</w:t>
      </w:r>
    </w:p>
    <w:p w14:paraId="1708AC46"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lang w:val="da-DK"/>
        </w:rPr>
      </w:pPr>
      <w:r w:rsidRPr="009A1578">
        <w:rPr>
          <w:rFonts w:ascii="Times New Roman" w:hAnsi="Times New Roman" w:cs="Times New Roman"/>
          <w:noProof/>
        </w:rPr>
        <w:t>[21]</w:t>
      </w:r>
      <w:r w:rsidRPr="009A1578">
        <w:rPr>
          <w:rFonts w:ascii="Times New Roman" w:hAnsi="Times New Roman" w:cs="Times New Roman"/>
          <w:noProof/>
        </w:rPr>
        <w:tab/>
        <w:t xml:space="preserve">Curtis JR, McClure LA, Delzell E, et al. Population-Based Fracture Risk Assessment and Osteoporosis Treatment Disparities by Race and Gender. </w:t>
      </w:r>
      <w:r w:rsidRPr="009A1578">
        <w:rPr>
          <w:rFonts w:ascii="Times New Roman" w:hAnsi="Times New Roman" w:cs="Times New Roman"/>
          <w:i/>
          <w:iCs/>
          <w:noProof/>
          <w:lang w:val="da-DK"/>
        </w:rPr>
        <w:t>J Gen Intern Med</w:t>
      </w:r>
      <w:r w:rsidRPr="009A1578">
        <w:rPr>
          <w:rFonts w:ascii="Times New Roman" w:hAnsi="Times New Roman" w:cs="Times New Roman"/>
          <w:noProof/>
          <w:lang w:val="da-DK"/>
        </w:rPr>
        <w:t>; 24: 956–962, http://link.springer.com/10.1007/s11606-009-1031-8 (2009).</w:t>
      </w:r>
    </w:p>
    <w:p w14:paraId="42C5B779"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lang w:val="da-DK"/>
        </w:rPr>
        <w:t>[22]</w:t>
      </w:r>
      <w:r w:rsidRPr="009A1578">
        <w:rPr>
          <w:rFonts w:ascii="Times New Roman" w:hAnsi="Times New Roman" w:cs="Times New Roman"/>
          <w:noProof/>
          <w:lang w:val="da-DK"/>
        </w:rPr>
        <w:tab/>
        <w:t xml:space="preserve">Brennan SL, Pasco J a., Urquhart DM, et al. </w:t>
      </w:r>
      <w:r w:rsidRPr="009A1578">
        <w:rPr>
          <w:rFonts w:ascii="Times New Roman" w:hAnsi="Times New Roman" w:cs="Times New Roman"/>
          <w:noProof/>
        </w:rPr>
        <w:t xml:space="preserve">The association between socioeconomic status and osteoporotic fracture in population-based adults: A systematic review. </w:t>
      </w:r>
      <w:r w:rsidRPr="009A1578">
        <w:rPr>
          <w:rFonts w:ascii="Times New Roman" w:hAnsi="Times New Roman" w:cs="Times New Roman"/>
          <w:i/>
          <w:iCs/>
          <w:noProof/>
        </w:rPr>
        <w:t>Osteoporos Int</w:t>
      </w:r>
      <w:r w:rsidRPr="009A1578">
        <w:rPr>
          <w:rFonts w:ascii="Times New Roman" w:hAnsi="Times New Roman" w:cs="Times New Roman"/>
          <w:noProof/>
        </w:rPr>
        <w:t xml:space="preserve"> 2009; 20: 1487–1497.</w:t>
      </w:r>
    </w:p>
    <w:p w14:paraId="361C6E16" w14:textId="77777777" w:rsidR="00546760" w:rsidRPr="009A1578" w:rsidRDefault="00546760" w:rsidP="00546760">
      <w:pPr>
        <w:widowControl w:val="0"/>
        <w:autoSpaceDE w:val="0"/>
        <w:autoSpaceDN w:val="0"/>
        <w:adjustRightInd w:val="0"/>
        <w:spacing w:line="480" w:lineRule="auto"/>
        <w:ind w:left="640" w:hanging="640"/>
        <w:rPr>
          <w:rFonts w:ascii="Times New Roman" w:hAnsi="Times New Roman" w:cs="Times New Roman"/>
          <w:noProof/>
        </w:rPr>
      </w:pPr>
      <w:r w:rsidRPr="009A1578">
        <w:rPr>
          <w:rFonts w:ascii="Times New Roman" w:hAnsi="Times New Roman" w:cs="Times New Roman"/>
          <w:noProof/>
        </w:rPr>
        <w:t>[23]</w:t>
      </w:r>
      <w:r w:rsidRPr="009A1578">
        <w:rPr>
          <w:rFonts w:ascii="Times New Roman" w:hAnsi="Times New Roman" w:cs="Times New Roman"/>
          <w:noProof/>
        </w:rPr>
        <w:tab/>
        <w:t xml:space="preserve">Thygesen LC, Ersbøll AK. When the entire population is the sample: strengths and limitations in register-based epidemiology. </w:t>
      </w:r>
      <w:r w:rsidRPr="009A1578">
        <w:rPr>
          <w:rFonts w:ascii="Times New Roman" w:hAnsi="Times New Roman" w:cs="Times New Roman"/>
          <w:i/>
          <w:iCs/>
          <w:noProof/>
        </w:rPr>
        <w:t>Eur J Epidemiol</w:t>
      </w:r>
      <w:r w:rsidRPr="009A1578">
        <w:rPr>
          <w:rFonts w:ascii="Times New Roman" w:hAnsi="Times New Roman" w:cs="Times New Roman"/>
          <w:noProof/>
        </w:rPr>
        <w:t xml:space="preserve"> 2014; 1–8.</w:t>
      </w:r>
    </w:p>
    <w:p w14:paraId="2237D45C" w14:textId="19BF1BA2" w:rsidR="00CE367C" w:rsidRPr="009A1578" w:rsidRDefault="00795D69" w:rsidP="00934254">
      <w:pPr>
        <w:spacing w:line="480" w:lineRule="auto"/>
        <w:jc w:val="both"/>
        <w:rPr>
          <w:rFonts w:ascii="Times New Roman" w:hAnsi="Times New Roman" w:cs="Times New Roman"/>
          <w:b/>
        </w:rPr>
      </w:pPr>
      <w:r w:rsidRPr="009A1578">
        <w:rPr>
          <w:rFonts w:ascii="Times New Roman" w:hAnsi="Times New Roman" w:cs="Times New Roman"/>
          <w:b/>
        </w:rPr>
        <w:fldChar w:fldCharType="end"/>
      </w:r>
    </w:p>
    <w:p w14:paraId="7D3E2A63" w14:textId="77777777" w:rsidR="00F92187" w:rsidRDefault="00CE367C" w:rsidP="00934254">
      <w:pPr>
        <w:spacing w:line="480" w:lineRule="auto"/>
        <w:rPr>
          <w:rFonts w:ascii="Times New Roman" w:hAnsi="Times New Roman" w:cs="Times New Roman"/>
          <w:b/>
        </w:rPr>
        <w:sectPr w:rsidR="00F92187" w:rsidSect="00FB725A">
          <w:footerReference w:type="default" r:id="rId9"/>
          <w:pgSz w:w="11900" w:h="16840" w:code="9"/>
          <w:pgMar w:top="1440" w:right="1080" w:bottom="1440" w:left="1080" w:header="708" w:footer="708" w:gutter="0"/>
          <w:cols w:space="708"/>
          <w:docGrid w:linePitch="360"/>
        </w:sectPr>
      </w:pPr>
      <w:r w:rsidRPr="009A1578">
        <w:rPr>
          <w:rFonts w:ascii="Times New Roman" w:hAnsi="Times New Roman" w:cs="Times New Roman"/>
          <w:b/>
        </w:rPr>
        <w:br w:type="page"/>
      </w:r>
    </w:p>
    <w:p w14:paraId="72073668" w14:textId="5627E8BF" w:rsidR="00795D69" w:rsidRPr="009A1578" w:rsidRDefault="00CE367C" w:rsidP="00934254">
      <w:pPr>
        <w:spacing w:line="480" w:lineRule="auto"/>
        <w:jc w:val="both"/>
        <w:rPr>
          <w:rFonts w:ascii="Times New Roman" w:hAnsi="Times New Roman" w:cs="Times New Roman"/>
          <w:b/>
        </w:rPr>
      </w:pPr>
      <w:r w:rsidRPr="009A1578">
        <w:rPr>
          <w:rFonts w:ascii="Times New Roman" w:hAnsi="Times New Roman" w:cs="Times New Roman"/>
          <w:b/>
        </w:rPr>
        <w:lastRenderedPageBreak/>
        <w:t>Tables and Figures</w:t>
      </w:r>
    </w:p>
    <w:p w14:paraId="0FBE3441" w14:textId="77777777" w:rsidR="00CE367C" w:rsidRPr="009A1578" w:rsidRDefault="00CE367C" w:rsidP="00934254">
      <w:pPr>
        <w:spacing w:line="480" w:lineRule="auto"/>
        <w:jc w:val="both"/>
        <w:rPr>
          <w:rFonts w:ascii="Times New Roman" w:hAnsi="Times New Roman" w:cs="Times New Roman"/>
        </w:rPr>
      </w:pPr>
      <w:r w:rsidRPr="009A1578">
        <w:rPr>
          <w:rFonts w:ascii="Times New Roman" w:hAnsi="Times New Roman" w:cs="Times New Roman"/>
          <w:b/>
        </w:rPr>
        <w:t xml:space="preserve">TABLE 1. </w:t>
      </w:r>
      <w:r w:rsidRPr="009A1578">
        <w:rPr>
          <w:rFonts w:ascii="Times New Roman" w:hAnsi="Times New Roman" w:cs="Times New Roman"/>
        </w:rPr>
        <w:t>Demographics</w:t>
      </w:r>
    </w:p>
    <w:tbl>
      <w:tblPr>
        <w:tblW w:w="0" w:type="auto"/>
        <w:tblLook w:val="04A0" w:firstRow="1" w:lastRow="0" w:firstColumn="1" w:lastColumn="0" w:noHBand="0" w:noVBand="1"/>
      </w:tblPr>
      <w:tblGrid>
        <w:gridCol w:w="2045"/>
        <w:gridCol w:w="656"/>
        <w:gridCol w:w="888"/>
        <w:gridCol w:w="656"/>
        <w:gridCol w:w="888"/>
        <w:gridCol w:w="656"/>
        <w:gridCol w:w="888"/>
        <w:gridCol w:w="656"/>
        <w:gridCol w:w="888"/>
        <w:gridCol w:w="656"/>
        <w:gridCol w:w="888"/>
        <w:gridCol w:w="736"/>
        <w:gridCol w:w="888"/>
      </w:tblGrid>
      <w:tr w:rsidR="00B57D5D" w:rsidRPr="00A8433F" w14:paraId="62E614AD" w14:textId="48B0FB73" w:rsidTr="007625EF">
        <w:trPr>
          <w:trHeight w:val="227"/>
        </w:trPr>
        <w:tc>
          <w:tcPr>
            <w:tcW w:w="0" w:type="auto"/>
            <w:tcBorders>
              <w:top w:val="single" w:sz="18" w:space="0" w:color="auto"/>
              <w:bottom w:val="single" w:sz="8" w:space="0" w:color="auto"/>
            </w:tcBorders>
            <w:shd w:val="clear" w:color="auto" w:fill="auto"/>
            <w:noWrap/>
            <w:vAlign w:val="center"/>
            <w:hideMark/>
          </w:tcPr>
          <w:p w14:paraId="5E9DC3A9" w14:textId="77777777" w:rsidR="00B57D5D" w:rsidRPr="00A8433F" w:rsidRDefault="00B57D5D" w:rsidP="00946400">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gridSpan w:val="4"/>
            <w:tcBorders>
              <w:top w:val="single" w:sz="18" w:space="0" w:color="auto"/>
              <w:bottom w:val="single" w:sz="8" w:space="0" w:color="auto"/>
            </w:tcBorders>
            <w:shd w:val="clear" w:color="auto" w:fill="auto"/>
            <w:noWrap/>
            <w:vAlign w:val="center"/>
            <w:hideMark/>
          </w:tcPr>
          <w:p w14:paraId="02B62DAE" w14:textId="77777777" w:rsidR="00B57D5D" w:rsidRPr="00A8433F" w:rsidRDefault="00B57D5D" w:rsidP="000D442F">
            <w:pPr>
              <w:jc w:val="center"/>
              <w:rPr>
                <w:rFonts w:ascii="Times New Roman" w:eastAsia="Times New Roman" w:hAnsi="Times New Roman" w:cs="Times New Roman"/>
                <w:b/>
                <w:bCs/>
                <w:color w:val="000000"/>
                <w:sz w:val="16"/>
                <w:szCs w:val="16"/>
                <w:lang w:val="en-GB"/>
              </w:rPr>
            </w:pPr>
            <w:r w:rsidRPr="00A8433F">
              <w:rPr>
                <w:rFonts w:ascii="Times New Roman" w:eastAsia="Times New Roman" w:hAnsi="Times New Roman" w:cs="Times New Roman"/>
                <w:b/>
                <w:bCs/>
                <w:color w:val="000000"/>
                <w:sz w:val="16"/>
                <w:szCs w:val="16"/>
                <w:lang w:val="en-GB"/>
              </w:rPr>
              <w:t>Hip fracture</w:t>
            </w:r>
          </w:p>
          <w:p w14:paraId="70B85AAE" w14:textId="32614E15" w:rsidR="00B57D5D" w:rsidRPr="00A8433F" w:rsidRDefault="00B57D5D" w:rsidP="000D442F">
            <w:pPr>
              <w:jc w:val="center"/>
              <w:rPr>
                <w:rFonts w:ascii="Times New Roman" w:eastAsia="Times New Roman" w:hAnsi="Times New Roman" w:cs="Times New Roman"/>
                <w:b/>
                <w:bCs/>
                <w:color w:val="000000"/>
                <w:sz w:val="16"/>
                <w:szCs w:val="16"/>
                <w:lang w:val="en-GB"/>
              </w:rPr>
            </w:pPr>
          </w:p>
        </w:tc>
        <w:tc>
          <w:tcPr>
            <w:tcW w:w="0" w:type="auto"/>
            <w:gridSpan w:val="4"/>
            <w:tcBorders>
              <w:top w:val="single" w:sz="18" w:space="0" w:color="auto"/>
              <w:bottom w:val="single" w:sz="8" w:space="0" w:color="auto"/>
            </w:tcBorders>
            <w:vAlign w:val="center"/>
          </w:tcPr>
          <w:p w14:paraId="7BA45FF2" w14:textId="56FD7914" w:rsidR="00B57D5D" w:rsidRPr="00A8433F" w:rsidRDefault="00B57D5D" w:rsidP="000D442F">
            <w:pPr>
              <w:jc w:val="center"/>
              <w:rPr>
                <w:rFonts w:ascii="Times New Roman" w:eastAsia="Times New Roman" w:hAnsi="Times New Roman" w:cs="Times New Roman"/>
                <w:b/>
                <w:bCs/>
                <w:color w:val="000000"/>
                <w:sz w:val="16"/>
                <w:szCs w:val="16"/>
                <w:lang w:val="en-GB"/>
              </w:rPr>
            </w:pPr>
            <w:r w:rsidRPr="00A8433F">
              <w:rPr>
                <w:rFonts w:ascii="Times New Roman" w:eastAsia="Times New Roman" w:hAnsi="Times New Roman" w:cs="Times New Roman"/>
                <w:b/>
                <w:bCs/>
                <w:color w:val="000000"/>
                <w:sz w:val="16"/>
                <w:szCs w:val="16"/>
                <w:lang w:val="en-GB"/>
              </w:rPr>
              <w:t>Humerus fracture</w:t>
            </w:r>
          </w:p>
          <w:p w14:paraId="0E06ADB6" w14:textId="6B3609C9" w:rsidR="00B57D5D" w:rsidRPr="00A8433F" w:rsidRDefault="00B57D5D" w:rsidP="000D442F">
            <w:pPr>
              <w:jc w:val="center"/>
              <w:rPr>
                <w:rFonts w:ascii="Times New Roman" w:eastAsia="Times New Roman" w:hAnsi="Times New Roman" w:cs="Times New Roman"/>
                <w:b/>
                <w:bCs/>
                <w:color w:val="000000"/>
                <w:sz w:val="16"/>
                <w:szCs w:val="16"/>
                <w:lang w:val="en-GB"/>
              </w:rPr>
            </w:pPr>
          </w:p>
        </w:tc>
        <w:tc>
          <w:tcPr>
            <w:tcW w:w="0" w:type="auto"/>
            <w:gridSpan w:val="4"/>
            <w:tcBorders>
              <w:top w:val="single" w:sz="18" w:space="0" w:color="auto"/>
              <w:bottom w:val="single" w:sz="8" w:space="0" w:color="auto"/>
            </w:tcBorders>
            <w:vAlign w:val="center"/>
          </w:tcPr>
          <w:p w14:paraId="4C073050" w14:textId="77777777" w:rsidR="00B57D5D" w:rsidRPr="00A8433F" w:rsidRDefault="00B57D5D" w:rsidP="000D442F">
            <w:pPr>
              <w:jc w:val="center"/>
              <w:rPr>
                <w:rFonts w:ascii="Times New Roman" w:eastAsia="Times New Roman" w:hAnsi="Times New Roman" w:cs="Times New Roman"/>
                <w:b/>
                <w:bCs/>
                <w:color w:val="000000"/>
                <w:sz w:val="16"/>
                <w:szCs w:val="16"/>
                <w:lang w:val="en-GB"/>
              </w:rPr>
            </w:pPr>
            <w:r w:rsidRPr="00A8433F">
              <w:rPr>
                <w:rFonts w:ascii="Times New Roman" w:eastAsia="Times New Roman" w:hAnsi="Times New Roman" w:cs="Times New Roman"/>
                <w:b/>
                <w:bCs/>
                <w:color w:val="000000"/>
                <w:sz w:val="16"/>
                <w:szCs w:val="16"/>
                <w:lang w:val="en-GB"/>
              </w:rPr>
              <w:t>Wrist fracture</w:t>
            </w:r>
          </w:p>
          <w:p w14:paraId="48AB4CA2" w14:textId="1DBB40C1" w:rsidR="00B57D5D" w:rsidRPr="00A8433F" w:rsidRDefault="00B57D5D" w:rsidP="000D442F">
            <w:pPr>
              <w:jc w:val="center"/>
              <w:rPr>
                <w:rFonts w:ascii="Times New Roman" w:eastAsia="Times New Roman" w:hAnsi="Times New Roman" w:cs="Times New Roman"/>
                <w:b/>
                <w:bCs/>
                <w:color w:val="000000"/>
                <w:sz w:val="16"/>
                <w:szCs w:val="16"/>
                <w:lang w:val="en-GB"/>
              </w:rPr>
            </w:pPr>
          </w:p>
        </w:tc>
      </w:tr>
      <w:tr w:rsidR="00B57D5D" w:rsidRPr="00A8433F" w14:paraId="4134FDFD" w14:textId="77777777" w:rsidTr="00994B6A">
        <w:trPr>
          <w:trHeight w:val="227"/>
        </w:trPr>
        <w:tc>
          <w:tcPr>
            <w:tcW w:w="0" w:type="auto"/>
            <w:tcBorders>
              <w:top w:val="single" w:sz="18" w:space="0" w:color="auto"/>
              <w:bottom w:val="single" w:sz="8" w:space="0" w:color="auto"/>
            </w:tcBorders>
            <w:shd w:val="clear" w:color="auto" w:fill="auto"/>
            <w:noWrap/>
            <w:vAlign w:val="center"/>
          </w:tcPr>
          <w:p w14:paraId="1A12D4F4" w14:textId="77777777" w:rsidR="00B57D5D" w:rsidRPr="00A8433F" w:rsidRDefault="00B57D5D" w:rsidP="00946400">
            <w:pPr>
              <w:rPr>
                <w:rFonts w:ascii="Times New Roman" w:eastAsia="Times New Roman" w:hAnsi="Times New Roman" w:cs="Times New Roman"/>
                <w:color w:val="000000"/>
                <w:sz w:val="16"/>
                <w:szCs w:val="16"/>
                <w:lang w:val="en-GB"/>
              </w:rPr>
            </w:pPr>
          </w:p>
        </w:tc>
        <w:tc>
          <w:tcPr>
            <w:tcW w:w="0" w:type="auto"/>
            <w:gridSpan w:val="2"/>
            <w:tcBorders>
              <w:top w:val="single" w:sz="18" w:space="0" w:color="auto"/>
              <w:bottom w:val="single" w:sz="8" w:space="0" w:color="auto"/>
            </w:tcBorders>
            <w:shd w:val="clear" w:color="auto" w:fill="auto"/>
            <w:noWrap/>
            <w:vAlign w:val="center"/>
          </w:tcPr>
          <w:p w14:paraId="5F804D5C" w14:textId="3A7CE476" w:rsidR="00B57D5D" w:rsidRPr="00A8433F" w:rsidRDefault="00B57D5D" w:rsidP="000D442F">
            <w:pPr>
              <w:jc w:val="cente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Cases</w:t>
            </w:r>
          </w:p>
        </w:tc>
        <w:tc>
          <w:tcPr>
            <w:tcW w:w="0" w:type="auto"/>
            <w:gridSpan w:val="2"/>
            <w:tcBorders>
              <w:top w:val="single" w:sz="18" w:space="0" w:color="auto"/>
              <w:bottom w:val="single" w:sz="8" w:space="0" w:color="auto"/>
            </w:tcBorders>
            <w:shd w:val="clear" w:color="auto" w:fill="auto"/>
            <w:noWrap/>
            <w:vAlign w:val="center"/>
          </w:tcPr>
          <w:p w14:paraId="5824AF84" w14:textId="234D1AB4" w:rsidR="00B57D5D" w:rsidRPr="00A8433F" w:rsidRDefault="00B57D5D" w:rsidP="000D442F">
            <w:pPr>
              <w:jc w:val="cente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Controls</w:t>
            </w:r>
          </w:p>
        </w:tc>
        <w:tc>
          <w:tcPr>
            <w:tcW w:w="0" w:type="auto"/>
            <w:gridSpan w:val="2"/>
            <w:tcBorders>
              <w:top w:val="single" w:sz="18" w:space="0" w:color="auto"/>
              <w:bottom w:val="single" w:sz="8" w:space="0" w:color="auto"/>
            </w:tcBorders>
            <w:vAlign w:val="center"/>
          </w:tcPr>
          <w:p w14:paraId="126E46C7" w14:textId="1208D1A8" w:rsidR="00B57D5D" w:rsidRPr="00A8433F" w:rsidRDefault="00B57D5D" w:rsidP="000D442F">
            <w:pPr>
              <w:jc w:val="cente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Cases</w:t>
            </w:r>
          </w:p>
        </w:tc>
        <w:tc>
          <w:tcPr>
            <w:tcW w:w="0" w:type="auto"/>
            <w:gridSpan w:val="2"/>
            <w:tcBorders>
              <w:top w:val="single" w:sz="18" w:space="0" w:color="auto"/>
              <w:bottom w:val="single" w:sz="8" w:space="0" w:color="auto"/>
            </w:tcBorders>
            <w:vAlign w:val="center"/>
          </w:tcPr>
          <w:p w14:paraId="2B9E0262" w14:textId="3CB3DE7A" w:rsidR="00B57D5D" w:rsidRPr="00A8433F" w:rsidRDefault="00B57D5D" w:rsidP="000D442F">
            <w:pPr>
              <w:jc w:val="cente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Controls</w:t>
            </w:r>
          </w:p>
        </w:tc>
        <w:tc>
          <w:tcPr>
            <w:tcW w:w="0" w:type="auto"/>
            <w:gridSpan w:val="2"/>
            <w:tcBorders>
              <w:top w:val="single" w:sz="18" w:space="0" w:color="auto"/>
              <w:bottom w:val="single" w:sz="8" w:space="0" w:color="auto"/>
            </w:tcBorders>
            <w:vAlign w:val="center"/>
          </w:tcPr>
          <w:p w14:paraId="67CE2505" w14:textId="06B73956" w:rsidR="00B57D5D" w:rsidRPr="00A8433F" w:rsidRDefault="00B57D5D" w:rsidP="000D442F">
            <w:pPr>
              <w:jc w:val="cente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Cases</w:t>
            </w:r>
          </w:p>
        </w:tc>
        <w:tc>
          <w:tcPr>
            <w:tcW w:w="0" w:type="auto"/>
            <w:gridSpan w:val="2"/>
            <w:tcBorders>
              <w:top w:val="single" w:sz="18" w:space="0" w:color="auto"/>
              <w:bottom w:val="single" w:sz="8" w:space="0" w:color="auto"/>
            </w:tcBorders>
            <w:vAlign w:val="center"/>
          </w:tcPr>
          <w:p w14:paraId="6A6F0C3A" w14:textId="08C30066" w:rsidR="00B57D5D" w:rsidRPr="00A8433F" w:rsidRDefault="00B57D5D" w:rsidP="000D442F">
            <w:pPr>
              <w:jc w:val="cente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Controls</w:t>
            </w:r>
          </w:p>
        </w:tc>
      </w:tr>
      <w:tr w:rsidR="00E26902" w:rsidRPr="00A8433F" w14:paraId="68F147BA" w14:textId="6EA7C53B" w:rsidTr="00994B6A">
        <w:trPr>
          <w:trHeight w:val="227"/>
        </w:trPr>
        <w:tc>
          <w:tcPr>
            <w:tcW w:w="0" w:type="auto"/>
            <w:tcBorders>
              <w:top w:val="single" w:sz="8" w:space="0" w:color="auto"/>
            </w:tcBorders>
            <w:shd w:val="clear" w:color="auto" w:fill="auto"/>
            <w:noWrap/>
            <w:vAlign w:val="center"/>
            <w:hideMark/>
          </w:tcPr>
          <w:p w14:paraId="2FB40D29" w14:textId="39124621" w:rsidR="00A8433F" w:rsidRPr="00A8433F" w:rsidRDefault="00A8433F" w:rsidP="00946400">
            <w:pPr>
              <w:rPr>
                <w:rFonts w:ascii="Times New Roman" w:eastAsia="Times New Roman" w:hAnsi="Times New Roman" w:cs="Times New Roman"/>
                <w:b/>
                <w:bCs/>
                <w:color w:val="000000"/>
                <w:sz w:val="16"/>
                <w:szCs w:val="16"/>
                <w:lang w:val="en-GB"/>
              </w:rPr>
            </w:pPr>
            <w:r w:rsidRPr="00A8433F">
              <w:rPr>
                <w:rFonts w:ascii="Times New Roman" w:eastAsia="Times New Roman" w:hAnsi="Times New Roman" w:cs="Times New Roman"/>
                <w:b/>
                <w:bCs/>
                <w:color w:val="000000"/>
                <w:sz w:val="16"/>
                <w:szCs w:val="16"/>
                <w:lang w:val="en-GB"/>
              </w:rPr>
              <w:t>N</w:t>
            </w:r>
          </w:p>
        </w:tc>
        <w:tc>
          <w:tcPr>
            <w:tcW w:w="0" w:type="auto"/>
            <w:gridSpan w:val="2"/>
            <w:tcBorders>
              <w:top w:val="single" w:sz="8" w:space="0" w:color="auto"/>
            </w:tcBorders>
            <w:shd w:val="clear" w:color="auto" w:fill="auto"/>
            <w:noWrap/>
            <w:vAlign w:val="center"/>
            <w:hideMark/>
          </w:tcPr>
          <w:p w14:paraId="2CFEF672" w14:textId="29ADAF41" w:rsidR="00A8433F" w:rsidRPr="00A8433F" w:rsidRDefault="00A8433F" w:rsidP="00B57D5D">
            <w:pPr>
              <w:jc w:val="cente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37,500</w:t>
            </w:r>
          </w:p>
        </w:tc>
        <w:tc>
          <w:tcPr>
            <w:tcW w:w="0" w:type="auto"/>
            <w:gridSpan w:val="2"/>
            <w:tcBorders>
              <w:top w:val="single" w:sz="8" w:space="0" w:color="auto"/>
            </w:tcBorders>
            <w:shd w:val="clear" w:color="auto" w:fill="auto"/>
            <w:noWrap/>
            <w:vAlign w:val="center"/>
            <w:hideMark/>
          </w:tcPr>
          <w:p w14:paraId="02E1ACD5" w14:textId="54ECF990" w:rsidR="00A8433F" w:rsidRPr="00A8433F" w:rsidRDefault="00A8433F" w:rsidP="00B57D5D">
            <w:pPr>
              <w:jc w:val="cente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37,500</w:t>
            </w:r>
          </w:p>
        </w:tc>
        <w:tc>
          <w:tcPr>
            <w:tcW w:w="0" w:type="auto"/>
            <w:gridSpan w:val="2"/>
            <w:tcBorders>
              <w:top w:val="single" w:sz="8" w:space="0" w:color="auto"/>
            </w:tcBorders>
            <w:vAlign w:val="center"/>
          </w:tcPr>
          <w:p w14:paraId="79756285" w14:textId="4FA5B8A8" w:rsidR="00A8433F" w:rsidRPr="00A8433F" w:rsidRDefault="00A8433F">
            <w:pPr>
              <w:jc w:val="cente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45,602</w:t>
            </w:r>
          </w:p>
        </w:tc>
        <w:tc>
          <w:tcPr>
            <w:tcW w:w="0" w:type="auto"/>
            <w:gridSpan w:val="2"/>
            <w:tcBorders>
              <w:top w:val="single" w:sz="8" w:space="0" w:color="auto"/>
            </w:tcBorders>
            <w:vAlign w:val="center"/>
          </w:tcPr>
          <w:p w14:paraId="6E72E1E9" w14:textId="15E9D79C" w:rsidR="00A8433F" w:rsidRPr="00A8433F" w:rsidRDefault="00A8433F">
            <w:pPr>
              <w:jc w:val="cente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45,602</w:t>
            </w:r>
          </w:p>
        </w:tc>
        <w:tc>
          <w:tcPr>
            <w:tcW w:w="0" w:type="auto"/>
            <w:gridSpan w:val="2"/>
            <w:tcBorders>
              <w:top w:val="single" w:sz="8" w:space="0" w:color="auto"/>
            </w:tcBorders>
            <w:vAlign w:val="center"/>
          </w:tcPr>
          <w:p w14:paraId="3CC39822" w14:textId="31B18A91" w:rsidR="00A8433F" w:rsidRPr="00A8433F" w:rsidRDefault="00A8433F">
            <w:pPr>
              <w:jc w:val="cente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106,736</w:t>
            </w:r>
          </w:p>
        </w:tc>
        <w:tc>
          <w:tcPr>
            <w:tcW w:w="0" w:type="auto"/>
            <w:gridSpan w:val="2"/>
            <w:tcBorders>
              <w:top w:val="single" w:sz="8" w:space="0" w:color="auto"/>
            </w:tcBorders>
            <w:vAlign w:val="center"/>
          </w:tcPr>
          <w:p w14:paraId="3546553B" w14:textId="613E0030" w:rsidR="00A8433F" w:rsidRPr="00A8433F" w:rsidRDefault="00A8433F">
            <w:pPr>
              <w:jc w:val="cente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106,736</w:t>
            </w:r>
          </w:p>
        </w:tc>
      </w:tr>
      <w:tr w:rsidR="00994B6A" w:rsidRPr="00A8433F" w14:paraId="30C9CFA0" w14:textId="66408861" w:rsidTr="00994B6A">
        <w:trPr>
          <w:trHeight w:val="227"/>
        </w:trPr>
        <w:tc>
          <w:tcPr>
            <w:tcW w:w="0" w:type="auto"/>
            <w:tcBorders>
              <w:top w:val="single" w:sz="8" w:space="0" w:color="auto"/>
            </w:tcBorders>
            <w:shd w:val="clear" w:color="auto" w:fill="auto"/>
            <w:noWrap/>
            <w:vAlign w:val="center"/>
          </w:tcPr>
          <w:p w14:paraId="0BAF38E0" w14:textId="7442931A" w:rsidR="00F92187" w:rsidRPr="00A8433F" w:rsidRDefault="00F92187" w:rsidP="00946400">
            <w:pPr>
              <w:rPr>
                <w:rFonts w:ascii="Times New Roman" w:eastAsia="Times New Roman" w:hAnsi="Times New Roman" w:cs="Times New Roman"/>
                <w:b/>
                <w:bCs/>
                <w:color w:val="000000"/>
                <w:sz w:val="16"/>
                <w:szCs w:val="16"/>
                <w:lang w:val="en-GB"/>
              </w:rPr>
            </w:pPr>
            <w:r w:rsidRPr="00A8433F">
              <w:rPr>
                <w:rFonts w:ascii="Times New Roman" w:eastAsia="Times New Roman" w:hAnsi="Times New Roman" w:cs="Times New Roman"/>
                <w:b/>
                <w:bCs/>
                <w:color w:val="000000"/>
                <w:sz w:val="16"/>
                <w:szCs w:val="16"/>
                <w:lang w:val="en-GB"/>
              </w:rPr>
              <w:t>Matching variables</w:t>
            </w:r>
          </w:p>
        </w:tc>
        <w:tc>
          <w:tcPr>
            <w:tcW w:w="0" w:type="auto"/>
            <w:tcBorders>
              <w:top w:val="single" w:sz="8" w:space="0" w:color="auto"/>
            </w:tcBorders>
            <w:shd w:val="clear" w:color="auto" w:fill="auto"/>
            <w:noWrap/>
            <w:vAlign w:val="center"/>
          </w:tcPr>
          <w:p w14:paraId="5C25A790"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2B9A3660"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shd w:val="clear" w:color="auto" w:fill="auto"/>
            <w:noWrap/>
            <w:vAlign w:val="center"/>
          </w:tcPr>
          <w:p w14:paraId="5624CC67"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5CC268DA"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293D6071"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7DDDE8D6"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32A9A272" w14:textId="27518812"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7D4DFC45"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7E030D62" w14:textId="48519856"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20801DC4"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0314D4FA" w14:textId="36B03222"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tcBorders>
              <w:top w:val="single" w:sz="8" w:space="0" w:color="auto"/>
            </w:tcBorders>
            <w:vAlign w:val="center"/>
          </w:tcPr>
          <w:p w14:paraId="54BCEA2C"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r>
      <w:tr w:rsidR="00994B6A" w:rsidRPr="00A8433F" w14:paraId="0806A84F" w14:textId="6E707A44" w:rsidTr="00994B6A">
        <w:trPr>
          <w:trHeight w:val="227"/>
        </w:trPr>
        <w:tc>
          <w:tcPr>
            <w:tcW w:w="0" w:type="auto"/>
            <w:shd w:val="clear" w:color="auto" w:fill="auto"/>
            <w:noWrap/>
            <w:vAlign w:val="center"/>
            <w:hideMark/>
          </w:tcPr>
          <w:p w14:paraId="0B599B91" w14:textId="232881B2" w:rsidR="00A8433F" w:rsidRPr="00A8433F" w:rsidRDefault="00A8433F" w:rsidP="00A8433F">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Age; mean (s.d.)</w:t>
            </w:r>
          </w:p>
        </w:tc>
        <w:tc>
          <w:tcPr>
            <w:tcW w:w="0" w:type="auto"/>
            <w:shd w:val="clear" w:color="auto" w:fill="auto"/>
            <w:noWrap/>
            <w:vAlign w:val="center"/>
            <w:hideMark/>
          </w:tcPr>
          <w:p w14:paraId="07B1B9DC" w14:textId="520FC110"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73.9 </w:t>
            </w:r>
          </w:p>
        </w:tc>
        <w:tc>
          <w:tcPr>
            <w:tcW w:w="0" w:type="auto"/>
            <w:vAlign w:val="center"/>
          </w:tcPr>
          <w:p w14:paraId="7CE4EED2" w14:textId="45E69AE8"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(9.5)</w:t>
            </w:r>
          </w:p>
        </w:tc>
        <w:tc>
          <w:tcPr>
            <w:tcW w:w="0" w:type="auto"/>
            <w:shd w:val="clear" w:color="auto" w:fill="auto"/>
            <w:noWrap/>
            <w:vAlign w:val="center"/>
            <w:hideMark/>
          </w:tcPr>
          <w:p w14:paraId="4833D888" w14:textId="6DB4877B"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73.9 </w:t>
            </w:r>
          </w:p>
        </w:tc>
        <w:tc>
          <w:tcPr>
            <w:tcW w:w="0" w:type="auto"/>
            <w:vAlign w:val="center"/>
          </w:tcPr>
          <w:p w14:paraId="4D425263" w14:textId="0F78DE20"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(9.5)</w:t>
            </w:r>
          </w:p>
        </w:tc>
        <w:tc>
          <w:tcPr>
            <w:tcW w:w="0" w:type="auto"/>
            <w:vAlign w:val="center"/>
          </w:tcPr>
          <w:p w14:paraId="698D05CB" w14:textId="6439EFF9"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67.5</w:t>
            </w:r>
          </w:p>
        </w:tc>
        <w:tc>
          <w:tcPr>
            <w:tcW w:w="0" w:type="auto"/>
            <w:vAlign w:val="center"/>
          </w:tcPr>
          <w:p w14:paraId="698856DF" w14:textId="59B7EBE3"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(10.1)</w:t>
            </w:r>
          </w:p>
        </w:tc>
        <w:tc>
          <w:tcPr>
            <w:tcW w:w="0" w:type="auto"/>
            <w:vAlign w:val="center"/>
          </w:tcPr>
          <w:p w14:paraId="4695E7A3" w14:textId="24ED66FE"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67.5</w:t>
            </w:r>
          </w:p>
        </w:tc>
        <w:tc>
          <w:tcPr>
            <w:tcW w:w="0" w:type="auto"/>
            <w:vAlign w:val="center"/>
          </w:tcPr>
          <w:p w14:paraId="640D3104" w14:textId="3B2BEC02"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(10.1)</w:t>
            </w:r>
          </w:p>
        </w:tc>
        <w:tc>
          <w:tcPr>
            <w:tcW w:w="0" w:type="auto"/>
            <w:vAlign w:val="center"/>
          </w:tcPr>
          <w:p w14:paraId="764EE044" w14:textId="1243AC15"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65.3</w:t>
            </w:r>
          </w:p>
        </w:tc>
        <w:tc>
          <w:tcPr>
            <w:tcW w:w="0" w:type="auto"/>
            <w:vAlign w:val="center"/>
          </w:tcPr>
          <w:p w14:paraId="78908C0C" w14:textId="35E8A562"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(9.6)</w:t>
            </w:r>
          </w:p>
        </w:tc>
        <w:tc>
          <w:tcPr>
            <w:tcW w:w="0" w:type="auto"/>
            <w:vAlign w:val="center"/>
          </w:tcPr>
          <w:p w14:paraId="68999231" w14:textId="4D7B4804"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65.3</w:t>
            </w:r>
          </w:p>
        </w:tc>
        <w:tc>
          <w:tcPr>
            <w:tcW w:w="0" w:type="auto"/>
            <w:vAlign w:val="center"/>
          </w:tcPr>
          <w:p w14:paraId="6C0F6C33" w14:textId="0D868CE9"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(9.6)</w:t>
            </w:r>
          </w:p>
        </w:tc>
      </w:tr>
      <w:tr w:rsidR="00994B6A" w:rsidRPr="00A8433F" w14:paraId="07904144" w14:textId="26B6D724" w:rsidTr="00994B6A">
        <w:trPr>
          <w:trHeight w:val="227"/>
        </w:trPr>
        <w:tc>
          <w:tcPr>
            <w:tcW w:w="0" w:type="auto"/>
            <w:shd w:val="clear" w:color="auto" w:fill="auto"/>
            <w:noWrap/>
            <w:vAlign w:val="center"/>
            <w:hideMark/>
          </w:tcPr>
          <w:p w14:paraId="02739C72" w14:textId="647DD181" w:rsidR="00A8433F" w:rsidRPr="00A8433F" w:rsidRDefault="00A8433F" w:rsidP="00A8433F">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Gender </w:t>
            </w:r>
          </w:p>
        </w:tc>
        <w:tc>
          <w:tcPr>
            <w:tcW w:w="0" w:type="auto"/>
            <w:shd w:val="clear" w:color="auto" w:fill="auto"/>
            <w:noWrap/>
            <w:vAlign w:val="center"/>
            <w:hideMark/>
          </w:tcPr>
          <w:p w14:paraId="2845684E" w14:textId="7777777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398C2985"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09BF363C" w14:textId="75AAEE7D"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5F1B36A2"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1F3276C4" w14:textId="7777777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07BA4A11"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71B165A0" w14:textId="2E798A45"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48926F0C"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22E487C9" w14:textId="691E403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761A7444"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646BC2B7" w14:textId="5C59A4F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4F68483C" w14:textId="77777777" w:rsidR="00A8433F" w:rsidRPr="00A8433F" w:rsidRDefault="00A8433F" w:rsidP="00E26902">
            <w:pPr>
              <w:rPr>
                <w:rFonts w:ascii="Times New Roman" w:eastAsia="Times New Roman" w:hAnsi="Times New Roman" w:cs="Times New Roman"/>
                <w:color w:val="000000"/>
                <w:sz w:val="16"/>
                <w:szCs w:val="16"/>
                <w:lang w:val="en-GB"/>
              </w:rPr>
            </w:pPr>
          </w:p>
        </w:tc>
      </w:tr>
      <w:tr w:rsidR="00994B6A" w:rsidRPr="00A8433F" w14:paraId="214CDED9" w14:textId="6EA7FC90" w:rsidTr="00994B6A">
        <w:trPr>
          <w:trHeight w:val="227"/>
        </w:trPr>
        <w:tc>
          <w:tcPr>
            <w:tcW w:w="0" w:type="auto"/>
            <w:shd w:val="clear" w:color="auto" w:fill="auto"/>
            <w:noWrap/>
            <w:vAlign w:val="center"/>
            <w:hideMark/>
          </w:tcPr>
          <w:p w14:paraId="44247A49" w14:textId="25B992E6" w:rsidR="00A8433F" w:rsidRPr="00A8433F" w:rsidRDefault="00A8433F" w:rsidP="00A8433F">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Male; n (%)</w:t>
            </w:r>
          </w:p>
        </w:tc>
        <w:tc>
          <w:tcPr>
            <w:tcW w:w="0" w:type="auto"/>
            <w:shd w:val="clear" w:color="auto" w:fill="auto"/>
            <w:noWrap/>
            <w:vAlign w:val="center"/>
            <w:hideMark/>
          </w:tcPr>
          <w:p w14:paraId="46741F48" w14:textId="01F1E6AE"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11,680 </w:t>
            </w:r>
          </w:p>
        </w:tc>
        <w:tc>
          <w:tcPr>
            <w:tcW w:w="0" w:type="auto"/>
            <w:vAlign w:val="center"/>
          </w:tcPr>
          <w:p w14:paraId="14F99DD3" w14:textId="138F7C3D"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(31.2%)</w:t>
            </w:r>
          </w:p>
        </w:tc>
        <w:tc>
          <w:tcPr>
            <w:tcW w:w="0" w:type="auto"/>
            <w:shd w:val="clear" w:color="auto" w:fill="auto"/>
            <w:noWrap/>
            <w:vAlign w:val="center"/>
            <w:hideMark/>
          </w:tcPr>
          <w:p w14:paraId="6FE0E20C" w14:textId="03EEED3C"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11,680 </w:t>
            </w:r>
          </w:p>
        </w:tc>
        <w:tc>
          <w:tcPr>
            <w:tcW w:w="0" w:type="auto"/>
            <w:vAlign w:val="center"/>
          </w:tcPr>
          <w:p w14:paraId="0B4593F2" w14:textId="785416A9"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(31.2%)</w:t>
            </w:r>
          </w:p>
        </w:tc>
        <w:tc>
          <w:tcPr>
            <w:tcW w:w="0" w:type="auto"/>
            <w:vAlign w:val="center"/>
          </w:tcPr>
          <w:p w14:paraId="06DFDAF3" w14:textId="23DEFFE5"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11,968</w:t>
            </w:r>
          </w:p>
        </w:tc>
        <w:tc>
          <w:tcPr>
            <w:tcW w:w="0" w:type="auto"/>
            <w:vAlign w:val="center"/>
          </w:tcPr>
          <w:p w14:paraId="04F81DF0" w14:textId="14BAF8A7"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(26.2%)</w:t>
            </w:r>
          </w:p>
        </w:tc>
        <w:tc>
          <w:tcPr>
            <w:tcW w:w="0" w:type="auto"/>
            <w:vAlign w:val="center"/>
          </w:tcPr>
          <w:p w14:paraId="082AAD8C" w14:textId="1D2E170E"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11,968</w:t>
            </w:r>
          </w:p>
        </w:tc>
        <w:tc>
          <w:tcPr>
            <w:tcW w:w="0" w:type="auto"/>
            <w:vAlign w:val="center"/>
          </w:tcPr>
          <w:p w14:paraId="0483C4DE" w14:textId="0C372312"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(26.2%)</w:t>
            </w:r>
          </w:p>
        </w:tc>
        <w:tc>
          <w:tcPr>
            <w:tcW w:w="0" w:type="auto"/>
            <w:vAlign w:val="center"/>
          </w:tcPr>
          <w:p w14:paraId="2F401147" w14:textId="15516E57"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21,845</w:t>
            </w:r>
          </w:p>
        </w:tc>
        <w:tc>
          <w:tcPr>
            <w:tcW w:w="0" w:type="auto"/>
            <w:vAlign w:val="center"/>
          </w:tcPr>
          <w:p w14:paraId="2E4566B9" w14:textId="06ACB83C"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(20.5)</w:t>
            </w:r>
          </w:p>
        </w:tc>
        <w:tc>
          <w:tcPr>
            <w:tcW w:w="0" w:type="auto"/>
            <w:vAlign w:val="center"/>
          </w:tcPr>
          <w:p w14:paraId="1CD08377" w14:textId="7DD876BF"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21,845</w:t>
            </w:r>
          </w:p>
        </w:tc>
        <w:tc>
          <w:tcPr>
            <w:tcW w:w="0" w:type="auto"/>
            <w:vAlign w:val="center"/>
          </w:tcPr>
          <w:p w14:paraId="3D910731" w14:textId="74506EC0"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(20.5)</w:t>
            </w:r>
          </w:p>
        </w:tc>
      </w:tr>
      <w:tr w:rsidR="00994B6A" w:rsidRPr="00A8433F" w14:paraId="3029D341" w14:textId="7FCDA569" w:rsidTr="00994B6A">
        <w:trPr>
          <w:trHeight w:val="227"/>
        </w:trPr>
        <w:tc>
          <w:tcPr>
            <w:tcW w:w="0" w:type="auto"/>
            <w:shd w:val="clear" w:color="auto" w:fill="auto"/>
            <w:noWrap/>
            <w:vAlign w:val="center"/>
            <w:hideMark/>
          </w:tcPr>
          <w:p w14:paraId="1D0DE14F" w14:textId="4DA88573" w:rsidR="00A8433F" w:rsidRPr="00A8433F" w:rsidRDefault="00A8433F" w:rsidP="00A8433F">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Female; n (%)</w:t>
            </w:r>
          </w:p>
        </w:tc>
        <w:tc>
          <w:tcPr>
            <w:tcW w:w="0" w:type="auto"/>
            <w:shd w:val="clear" w:color="auto" w:fill="auto"/>
            <w:noWrap/>
            <w:vAlign w:val="center"/>
            <w:hideMark/>
          </w:tcPr>
          <w:p w14:paraId="38894933" w14:textId="7028A916"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25,820 </w:t>
            </w:r>
          </w:p>
        </w:tc>
        <w:tc>
          <w:tcPr>
            <w:tcW w:w="0" w:type="auto"/>
            <w:vAlign w:val="center"/>
          </w:tcPr>
          <w:p w14:paraId="75506F39" w14:textId="125C565C"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(68.8%)</w:t>
            </w:r>
          </w:p>
        </w:tc>
        <w:tc>
          <w:tcPr>
            <w:tcW w:w="0" w:type="auto"/>
            <w:shd w:val="clear" w:color="auto" w:fill="auto"/>
            <w:noWrap/>
            <w:vAlign w:val="center"/>
            <w:hideMark/>
          </w:tcPr>
          <w:p w14:paraId="05C9F788" w14:textId="1E63740A"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25,820 </w:t>
            </w:r>
          </w:p>
        </w:tc>
        <w:tc>
          <w:tcPr>
            <w:tcW w:w="0" w:type="auto"/>
            <w:vAlign w:val="center"/>
          </w:tcPr>
          <w:p w14:paraId="25270EF5" w14:textId="5F887EB6"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(68.8%)</w:t>
            </w:r>
          </w:p>
        </w:tc>
        <w:tc>
          <w:tcPr>
            <w:tcW w:w="0" w:type="auto"/>
            <w:vAlign w:val="center"/>
          </w:tcPr>
          <w:p w14:paraId="153FF995" w14:textId="42A121EF"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33,634</w:t>
            </w:r>
          </w:p>
        </w:tc>
        <w:tc>
          <w:tcPr>
            <w:tcW w:w="0" w:type="auto"/>
            <w:vAlign w:val="center"/>
          </w:tcPr>
          <w:p w14:paraId="69AA108F" w14:textId="63E1E0FA"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(73.8%)</w:t>
            </w:r>
          </w:p>
        </w:tc>
        <w:tc>
          <w:tcPr>
            <w:tcW w:w="0" w:type="auto"/>
            <w:vAlign w:val="center"/>
          </w:tcPr>
          <w:p w14:paraId="7433E21C" w14:textId="3A4918BF"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33,634</w:t>
            </w:r>
          </w:p>
        </w:tc>
        <w:tc>
          <w:tcPr>
            <w:tcW w:w="0" w:type="auto"/>
            <w:vAlign w:val="center"/>
          </w:tcPr>
          <w:p w14:paraId="5B284B88" w14:textId="21471B80"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(73.8%)</w:t>
            </w:r>
          </w:p>
        </w:tc>
        <w:tc>
          <w:tcPr>
            <w:tcW w:w="0" w:type="auto"/>
            <w:vAlign w:val="center"/>
          </w:tcPr>
          <w:p w14:paraId="0332C4BF" w14:textId="223A660C"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84,891</w:t>
            </w:r>
          </w:p>
        </w:tc>
        <w:tc>
          <w:tcPr>
            <w:tcW w:w="0" w:type="auto"/>
            <w:vAlign w:val="center"/>
          </w:tcPr>
          <w:p w14:paraId="260AC1D5" w14:textId="733448C6"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(79.5)</w:t>
            </w:r>
          </w:p>
        </w:tc>
        <w:tc>
          <w:tcPr>
            <w:tcW w:w="0" w:type="auto"/>
            <w:vAlign w:val="center"/>
          </w:tcPr>
          <w:p w14:paraId="4D97B500" w14:textId="4CB5B535"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84,891</w:t>
            </w:r>
          </w:p>
        </w:tc>
        <w:tc>
          <w:tcPr>
            <w:tcW w:w="0" w:type="auto"/>
            <w:vAlign w:val="center"/>
          </w:tcPr>
          <w:p w14:paraId="0F4F9958" w14:textId="71F59D06"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(79.5)</w:t>
            </w:r>
          </w:p>
        </w:tc>
      </w:tr>
      <w:tr w:rsidR="00994B6A" w:rsidRPr="00A8433F" w14:paraId="0CA0CFE4" w14:textId="7BBA8388" w:rsidTr="00994B6A">
        <w:trPr>
          <w:trHeight w:val="227"/>
        </w:trPr>
        <w:tc>
          <w:tcPr>
            <w:tcW w:w="0" w:type="auto"/>
            <w:shd w:val="clear" w:color="auto" w:fill="auto"/>
            <w:noWrap/>
            <w:vAlign w:val="center"/>
            <w:hideMark/>
          </w:tcPr>
          <w:p w14:paraId="4F9A3CF4" w14:textId="77777777" w:rsidR="00A8433F" w:rsidRPr="00A8433F" w:rsidRDefault="00A8433F" w:rsidP="00A8433F">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Year of fracture</w:t>
            </w:r>
          </w:p>
        </w:tc>
        <w:tc>
          <w:tcPr>
            <w:tcW w:w="0" w:type="auto"/>
            <w:shd w:val="clear" w:color="auto" w:fill="auto"/>
            <w:noWrap/>
            <w:vAlign w:val="center"/>
            <w:hideMark/>
          </w:tcPr>
          <w:p w14:paraId="6B213C66" w14:textId="7777777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7109A2E0"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7516F423" w14:textId="29C7CCD4"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49666B76"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5CA64495" w14:textId="7777777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07590EAE"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254BBCD6" w14:textId="3C4A3ED4"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2CB2EBA3"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51E760BF" w14:textId="33E67F6B"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6901C401"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4E226368" w14:textId="05BAC41A"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3D54EBF2" w14:textId="77777777" w:rsidR="00A8433F" w:rsidRPr="00A8433F" w:rsidRDefault="00A8433F" w:rsidP="00E26902">
            <w:pPr>
              <w:rPr>
                <w:rFonts w:ascii="Times New Roman" w:eastAsia="Times New Roman" w:hAnsi="Times New Roman" w:cs="Times New Roman"/>
                <w:color w:val="000000"/>
                <w:sz w:val="16"/>
                <w:szCs w:val="16"/>
                <w:lang w:val="en-GB"/>
              </w:rPr>
            </w:pPr>
          </w:p>
        </w:tc>
      </w:tr>
      <w:tr w:rsidR="00994B6A" w:rsidRPr="00A8433F" w14:paraId="7590BE08" w14:textId="7DEC8059" w:rsidTr="00994B6A">
        <w:trPr>
          <w:trHeight w:val="227"/>
        </w:trPr>
        <w:tc>
          <w:tcPr>
            <w:tcW w:w="0" w:type="auto"/>
            <w:shd w:val="clear" w:color="auto" w:fill="auto"/>
            <w:noWrap/>
            <w:vAlign w:val="center"/>
            <w:hideMark/>
          </w:tcPr>
          <w:p w14:paraId="105403F8" w14:textId="2F091E11"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1995 to 2000; n (%)</w:t>
            </w:r>
          </w:p>
        </w:tc>
        <w:tc>
          <w:tcPr>
            <w:tcW w:w="0" w:type="auto"/>
            <w:shd w:val="clear" w:color="auto" w:fill="auto"/>
            <w:noWrap/>
            <w:vAlign w:val="center"/>
          </w:tcPr>
          <w:p w14:paraId="02290608" w14:textId="57497E0A"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4,108</w:t>
            </w:r>
          </w:p>
        </w:tc>
        <w:tc>
          <w:tcPr>
            <w:tcW w:w="0" w:type="auto"/>
            <w:vAlign w:val="center"/>
          </w:tcPr>
          <w:p w14:paraId="1DCC94F7" w14:textId="0B27312D"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(11.0)</w:t>
            </w:r>
          </w:p>
        </w:tc>
        <w:tc>
          <w:tcPr>
            <w:tcW w:w="0" w:type="auto"/>
            <w:shd w:val="clear" w:color="auto" w:fill="auto"/>
            <w:noWrap/>
            <w:vAlign w:val="center"/>
          </w:tcPr>
          <w:p w14:paraId="7AD91893" w14:textId="1645B4F4"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4,108</w:t>
            </w:r>
          </w:p>
        </w:tc>
        <w:tc>
          <w:tcPr>
            <w:tcW w:w="0" w:type="auto"/>
            <w:vAlign w:val="center"/>
          </w:tcPr>
          <w:p w14:paraId="1125F8F0" w14:textId="0CFA9E10"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(11.0)</w:t>
            </w:r>
          </w:p>
        </w:tc>
        <w:tc>
          <w:tcPr>
            <w:tcW w:w="0" w:type="auto"/>
            <w:vAlign w:val="center"/>
          </w:tcPr>
          <w:p w14:paraId="69AEC10A" w14:textId="4AB36C2A"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7,980</w:t>
            </w:r>
          </w:p>
        </w:tc>
        <w:tc>
          <w:tcPr>
            <w:tcW w:w="0" w:type="auto"/>
            <w:vAlign w:val="center"/>
          </w:tcPr>
          <w:p w14:paraId="3002BC30" w14:textId="60496AB0"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(17.5)</w:t>
            </w:r>
          </w:p>
        </w:tc>
        <w:tc>
          <w:tcPr>
            <w:tcW w:w="0" w:type="auto"/>
            <w:vAlign w:val="center"/>
          </w:tcPr>
          <w:p w14:paraId="16F5F637" w14:textId="70949D75"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7,980</w:t>
            </w:r>
          </w:p>
        </w:tc>
        <w:tc>
          <w:tcPr>
            <w:tcW w:w="0" w:type="auto"/>
            <w:vAlign w:val="center"/>
          </w:tcPr>
          <w:p w14:paraId="02AD74D3" w14:textId="46C95D58"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(17.5)</w:t>
            </w:r>
          </w:p>
        </w:tc>
        <w:tc>
          <w:tcPr>
            <w:tcW w:w="0" w:type="auto"/>
            <w:vAlign w:val="center"/>
          </w:tcPr>
          <w:p w14:paraId="646FB7AB" w14:textId="5BC3C4D4"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26,497</w:t>
            </w:r>
          </w:p>
        </w:tc>
        <w:tc>
          <w:tcPr>
            <w:tcW w:w="0" w:type="auto"/>
            <w:vAlign w:val="center"/>
          </w:tcPr>
          <w:p w14:paraId="59E1752E" w14:textId="76A7E4DC"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(24.8)</w:t>
            </w:r>
          </w:p>
        </w:tc>
        <w:tc>
          <w:tcPr>
            <w:tcW w:w="0" w:type="auto"/>
            <w:vAlign w:val="center"/>
          </w:tcPr>
          <w:p w14:paraId="47E9BDD6" w14:textId="7695E929"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26,497</w:t>
            </w:r>
          </w:p>
        </w:tc>
        <w:tc>
          <w:tcPr>
            <w:tcW w:w="0" w:type="auto"/>
            <w:vAlign w:val="center"/>
          </w:tcPr>
          <w:p w14:paraId="7504C393" w14:textId="701EBF01"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(24.8)</w:t>
            </w:r>
          </w:p>
        </w:tc>
      </w:tr>
      <w:tr w:rsidR="00994B6A" w:rsidRPr="00A8433F" w14:paraId="7C5D56D5" w14:textId="52CFD84F" w:rsidTr="00994B6A">
        <w:trPr>
          <w:trHeight w:val="227"/>
        </w:trPr>
        <w:tc>
          <w:tcPr>
            <w:tcW w:w="0" w:type="auto"/>
            <w:shd w:val="clear" w:color="auto" w:fill="auto"/>
            <w:noWrap/>
            <w:vAlign w:val="center"/>
            <w:hideMark/>
          </w:tcPr>
          <w:p w14:paraId="4CD728C6" w14:textId="0BD34D24"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2001 to 2006; n (%)</w:t>
            </w:r>
          </w:p>
        </w:tc>
        <w:tc>
          <w:tcPr>
            <w:tcW w:w="0" w:type="auto"/>
            <w:shd w:val="clear" w:color="auto" w:fill="auto"/>
            <w:noWrap/>
            <w:vAlign w:val="center"/>
          </w:tcPr>
          <w:p w14:paraId="7544151C" w14:textId="55F50B2D"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14,072</w:t>
            </w:r>
          </w:p>
        </w:tc>
        <w:tc>
          <w:tcPr>
            <w:tcW w:w="0" w:type="auto"/>
            <w:vAlign w:val="center"/>
          </w:tcPr>
          <w:p w14:paraId="37D39632" w14:textId="421F471E"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(37.5)</w:t>
            </w:r>
          </w:p>
        </w:tc>
        <w:tc>
          <w:tcPr>
            <w:tcW w:w="0" w:type="auto"/>
            <w:shd w:val="clear" w:color="auto" w:fill="auto"/>
            <w:noWrap/>
            <w:vAlign w:val="center"/>
          </w:tcPr>
          <w:p w14:paraId="4FEAC390" w14:textId="46852DC1"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14,072</w:t>
            </w:r>
          </w:p>
        </w:tc>
        <w:tc>
          <w:tcPr>
            <w:tcW w:w="0" w:type="auto"/>
            <w:vAlign w:val="center"/>
          </w:tcPr>
          <w:p w14:paraId="3C7BFF7B" w14:textId="6F543499"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(37.5)</w:t>
            </w:r>
          </w:p>
        </w:tc>
        <w:tc>
          <w:tcPr>
            <w:tcW w:w="0" w:type="auto"/>
            <w:vAlign w:val="center"/>
          </w:tcPr>
          <w:p w14:paraId="133A1836" w14:textId="7B8EBD32"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17,351</w:t>
            </w:r>
          </w:p>
        </w:tc>
        <w:tc>
          <w:tcPr>
            <w:tcW w:w="0" w:type="auto"/>
            <w:vAlign w:val="center"/>
          </w:tcPr>
          <w:p w14:paraId="64D95D23" w14:textId="2DFD3082"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(38.1)</w:t>
            </w:r>
          </w:p>
        </w:tc>
        <w:tc>
          <w:tcPr>
            <w:tcW w:w="0" w:type="auto"/>
            <w:vAlign w:val="center"/>
          </w:tcPr>
          <w:p w14:paraId="374455C5" w14:textId="40892F50"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17,351</w:t>
            </w:r>
          </w:p>
        </w:tc>
        <w:tc>
          <w:tcPr>
            <w:tcW w:w="0" w:type="auto"/>
            <w:vAlign w:val="center"/>
          </w:tcPr>
          <w:p w14:paraId="44E36DE0" w14:textId="504F9864"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(38.1)</w:t>
            </w:r>
          </w:p>
        </w:tc>
        <w:tc>
          <w:tcPr>
            <w:tcW w:w="0" w:type="auto"/>
            <w:vAlign w:val="center"/>
          </w:tcPr>
          <w:p w14:paraId="0EF2FC06" w14:textId="06EFC7AF"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40,172</w:t>
            </w:r>
          </w:p>
        </w:tc>
        <w:tc>
          <w:tcPr>
            <w:tcW w:w="0" w:type="auto"/>
            <w:vAlign w:val="center"/>
          </w:tcPr>
          <w:p w14:paraId="32FB7276" w14:textId="269B8457"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(37.6)</w:t>
            </w:r>
          </w:p>
        </w:tc>
        <w:tc>
          <w:tcPr>
            <w:tcW w:w="0" w:type="auto"/>
            <w:vAlign w:val="center"/>
          </w:tcPr>
          <w:p w14:paraId="2FACC692" w14:textId="669285F8"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40,172</w:t>
            </w:r>
          </w:p>
        </w:tc>
        <w:tc>
          <w:tcPr>
            <w:tcW w:w="0" w:type="auto"/>
            <w:vAlign w:val="center"/>
          </w:tcPr>
          <w:p w14:paraId="0AAA3CEC" w14:textId="1E2A57A2"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(37.6)</w:t>
            </w:r>
          </w:p>
        </w:tc>
      </w:tr>
      <w:tr w:rsidR="00994B6A" w:rsidRPr="00A8433F" w14:paraId="087FD368" w14:textId="3FEFE4A1" w:rsidTr="00994B6A">
        <w:trPr>
          <w:trHeight w:val="227"/>
        </w:trPr>
        <w:tc>
          <w:tcPr>
            <w:tcW w:w="0" w:type="auto"/>
            <w:shd w:val="clear" w:color="auto" w:fill="auto"/>
            <w:noWrap/>
            <w:vAlign w:val="center"/>
            <w:hideMark/>
          </w:tcPr>
          <w:p w14:paraId="23D91C52" w14:textId="4443252F"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2007 to 2011; n (%)</w:t>
            </w:r>
          </w:p>
        </w:tc>
        <w:tc>
          <w:tcPr>
            <w:tcW w:w="0" w:type="auto"/>
            <w:shd w:val="clear" w:color="auto" w:fill="auto"/>
            <w:noWrap/>
            <w:vAlign w:val="center"/>
          </w:tcPr>
          <w:p w14:paraId="5B2041D7" w14:textId="67A62DB3"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19,320</w:t>
            </w:r>
          </w:p>
        </w:tc>
        <w:tc>
          <w:tcPr>
            <w:tcW w:w="0" w:type="auto"/>
            <w:vAlign w:val="center"/>
          </w:tcPr>
          <w:p w14:paraId="68B0B4F1" w14:textId="0F82E4B9"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(51.5)</w:t>
            </w:r>
          </w:p>
        </w:tc>
        <w:tc>
          <w:tcPr>
            <w:tcW w:w="0" w:type="auto"/>
            <w:shd w:val="clear" w:color="auto" w:fill="auto"/>
            <w:noWrap/>
            <w:vAlign w:val="center"/>
          </w:tcPr>
          <w:p w14:paraId="7F8ABCF4" w14:textId="2746930D"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19,320</w:t>
            </w:r>
          </w:p>
        </w:tc>
        <w:tc>
          <w:tcPr>
            <w:tcW w:w="0" w:type="auto"/>
            <w:vAlign w:val="center"/>
          </w:tcPr>
          <w:p w14:paraId="6411423F" w14:textId="3C70B2E1"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(51.5)</w:t>
            </w:r>
          </w:p>
        </w:tc>
        <w:tc>
          <w:tcPr>
            <w:tcW w:w="0" w:type="auto"/>
            <w:vAlign w:val="center"/>
          </w:tcPr>
          <w:p w14:paraId="6DC9EDBB" w14:textId="653AC31E"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20,271</w:t>
            </w:r>
          </w:p>
        </w:tc>
        <w:tc>
          <w:tcPr>
            <w:tcW w:w="0" w:type="auto"/>
            <w:vAlign w:val="center"/>
          </w:tcPr>
          <w:p w14:paraId="2E8EB41E" w14:textId="1A5C3236"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(44.5)</w:t>
            </w:r>
          </w:p>
        </w:tc>
        <w:tc>
          <w:tcPr>
            <w:tcW w:w="0" w:type="auto"/>
            <w:vAlign w:val="center"/>
          </w:tcPr>
          <w:p w14:paraId="0367C576" w14:textId="2D08F2BE"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20,271</w:t>
            </w:r>
          </w:p>
        </w:tc>
        <w:tc>
          <w:tcPr>
            <w:tcW w:w="0" w:type="auto"/>
            <w:vAlign w:val="center"/>
          </w:tcPr>
          <w:p w14:paraId="30BDB991" w14:textId="29AEEF6B"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(44.5)</w:t>
            </w:r>
          </w:p>
        </w:tc>
        <w:tc>
          <w:tcPr>
            <w:tcW w:w="0" w:type="auto"/>
            <w:vAlign w:val="center"/>
          </w:tcPr>
          <w:p w14:paraId="17DCF880" w14:textId="7E703F50"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40,067</w:t>
            </w:r>
          </w:p>
        </w:tc>
        <w:tc>
          <w:tcPr>
            <w:tcW w:w="0" w:type="auto"/>
            <w:vAlign w:val="center"/>
          </w:tcPr>
          <w:p w14:paraId="337678EA" w14:textId="4E1BF8F8"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(37.5)</w:t>
            </w:r>
          </w:p>
        </w:tc>
        <w:tc>
          <w:tcPr>
            <w:tcW w:w="0" w:type="auto"/>
            <w:vAlign w:val="center"/>
          </w:tcPr>
          <w:p w14:paraId="513E3F73" w14:textId="5970A1D7"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40,067</w:t>
            </w:r>
          </w:p>
        </w:tc>
        <w:tc>
          <w:tcPr>
            <w:tcW w:w="0" w:type="auto"/>
            <w:vAlign w:val="center"/>
          </w:tcPr>
          <w:p w14:paraId="7122C57C" w14:textId="50FD9397"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(37.5)</w:t>
            </w:r>
          </w:p>
        </w:tc>
      </w:tr>
      <w:tr w:rsidR="00994B6A" w:rsidRPr="00A8433F" w14:paraId="09B4D2C1" w14:textId="5DFF0D72" w:rsidTr="00994B6A">
        <w:trPr>
          <w:trHeight w:val="227"/>
        </w:trPr>
        <w:tc>
          <w:tcPr>
            <w:tcW w:w="0" w:type="auto"/>
            <w:shd w:val="clear" w:color="auto" w:fill="auto"/>
            <w:noWrap/>
            <w:vAlign w:val="center"/>
            <w:hideMark/>
          </w:tcPr>
          <w:p w14:paraId="2ADDEC83" w14:textId="77777777" w:rsidR="00F92187" w:rsidRPr="00A8433F" w:rsidRDefault="00F92187" w:rsidP="00946400">
            <w:pPr>
              <w:rPr>
                <w:rFonts w:ascii="Times New Roman" w:eastAsia="Times New Roman" w:hAnsi="Times New Roman" w:cs="Times New Roman"/>
                <w:b/>
                <w:bCs/>
                <w:color w:val="000000"/>
                <w:sz w:val="16"/>
                <w:szCs w:val="16"/>
                <w:lang w:val="en-GB"/>
              </w:rPr>
            </w:pPr>
            <w:r w:rsidRPr="00A8433F">
              <w:rPr>
                <w:rFonts w:ascii="Times New Roman" w:eastAsia="Times New Roman" w:hAnsi="Times New Roman" w:cs="Times New Roman"/>
                <w:b/>
                <w:bCs/>
                <w:color w:val="000000"/>
                <w:sz w:val="16"/>
                <w:szCs w:val="16"/>
                <w:lang w:val="en-GB"/>
              </w:rPr>
              <w:t>Exposures</w:t>
            </w:r>
          </w:p>
        </w:tc>
        <w:tc>
          <w:tcPr>
            <w:tcW w:w="0" w:type="auto"/>
            <w:shd w:val="clear" w:color="auto" w:fill="auto"/>
            <w:noWrap/>
            <w:vAlign w:val="center"/>
            <w:hideMark/>
          </w:tcPr>
          <w:p w14:paraId="1EC72C1E" w14:textId="77777777" w:rsidR="00F92187" w:rsidRPr="00A8433F" w:rsidRDefault="00F92187" w:rsidP="00946400">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37FF5129"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59F43C29" w14:textId="5E1A74CA" w:rsidR="00F92187" w:rsidRPr="00A8433F" w:rsidRDefault="00F92187" w:rsidP="00946400">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50E5C9D3"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286D29F7"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36535FE8"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3B160E97" w14:textId="33A0AE81"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73F4B87D"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1A72EA19" w14:textId="7984BA8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7BF6B2A4"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2CE5C7D0" w14:textId="63096F10"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1CB3C1BB" w14:textId="77777777" w:rsidR="00F92187" w:rsidRPr="00A8433F" w:rsidRDefault="00F92187" w:rsidP="00E26902">
            <w:pPr>
              <w:rPr>
                <w:rFonts w:ascii="Times New Roman" w:eastAsia="Times New Roman" w:hAnsi="Times New Roman" w:cs="Times New Roman"/>
                <w:color w:val="000000"/>
                <w:sz w:val="16"/>
                <w:szCs w:val="16"/>
                <w:lang w:val="en-GB"/>
              </w:rPr>
            </w:pPr>
          </w:p>
        </w:tc>
      </w:tr>
      <w:tr w:rsidR="00994B6A" w:rsidRPr="00A8433F" w14:paraId="65397ABD" w14:textId="371BEB51" w:rsidTr="00994B6A">
        <w:trPr>
          <w:trHeight w:val="227"/>
        </w:trPr>
        <w:tc>
          <w:tcPr>
            <w:tcW w:w="0" w:type="auto"/>
            <w:shd w:val="clear" w:color="auto" w:fill="auto"/>
            <w:noWrap/>
            <w:vAlign w:val="center"/>
            <w:hideMark/>
          </w:tcPr>
          <w:p w14:paraId="7905F221" w14:textId="222B29C9" w:rsidR="00F92187" w:rsidRPr="00A8433F" w:rsidRDefault="00F92187" w:rsidP="00946400">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Income, </w:t>
            </w:r>
            <w:r w:rsidR="00D96531" w:rsidRPr="00A8433F">
              <w:rPr>
                <w:rFonts w:ascii="Times New Roman" w:eastAsia="Times New Roman" w:hAnsi="Times New Roman" w:cs="Times New Roman"/>
                <w:color w:val="000000"/>
                <w:sz w:val="16"/>
                <w:szCs w:val="16"/>
                <w:lang w:val="en-GB"/>
              </w:rPr>
              <w:t>€</w:t>
            </w:r>
            <w:r w:rsidR="00E26902">
              <w:rPr>
                <w:rFonts w:ascii="Times New Roman" w:eastAsia="Times New Roman" w:hAnsi="Times New Roman" w:cs="Times New Roman"/>
                <w:color w:val="000000"/>
                <w:sz w:val="16"/>
                <w:szCs w:val="16"/>
                <w:lang w:val="en-GB"/>
              </w:rPr>
              <w:t xml:space="preserve"> in thousands</w:t>
            </w:r>
          </w:p>
        </w:tc>
        <w:tc>
          <w:tcPr>
            <w:tcW w:w="0" w:type="auto"/>
            <w:shd w:val="clear" w:color="auto" w:fill="auto"/>
            <w:noWrap/>
            <w:vAlign w:val="center"/>
          </w:tcPr>
          <w:p w14:paraId="7426C8C8"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2591594B"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shd w:val="clear" w:color="auto" w:fill="auto"/>
            <w:noWrap/>
            <w:vAlign w:val="center"/>
          </w:tcPr>
          <w:p w14:paraId="0EF196F9" w14:textId="763CEF6B"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36234E38"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4E3EF5C3" w14:textId="7777777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23590934"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596652FE" w14:textId="37932757"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27676271"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114B6BE7" w14:textId="0E567F89"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51BE9C62" w14:textId="77777777" w:rsidR="00F92187" w:rsidRPr="00A8433F" w:rsidRDefault="00F92187" w:rsidP="00E26902">
            <w:pPr>
              <w:rPr>
                <w:rFonts w:ascii="Times New Roman" w:eastAsia="Times New Roman" w:hAnsi="Times New Roman" w:cs="Times New Roman"/>
                <w:color w:val="000000"/>
                <w:sz w:val="16"/>
                <w:szCs w:val="16"/>
                <w:lang w:val="en-GB"/>
              </w:rPr>
            </w:pPr>
          </w:p>
        </w:tc>
        <w:tc>
          <w:tcPr>
            <w:tcW w:w="0" w:type="auto"/>
            <w:vAlign w:val="center"/>
          </w:tcPr>
          <w:p w14:paraId="5C387E9C" w14:textId="42304B1E" w:rsidR="00F92187" w:rsidRPr="00A8433F" w:rsidRDefault="00F92187" w:rsidP="00946400">
            <w:pPr>
              <w:jc w:val="right"/>
              <w:rPr>
                <w:rFonts w:ascii="Times New Roman" w:eastAsia="Times New Roman" w:hAnsi="Times New Roman" w:cs="Times New Roman"/>
                <w:color w:val="000000"/>
                <w:sz w:val="16"/>
                <w:szCs w:val="16"/>
                <w:lang w:val="en-GB"/>
              </w:rPr>
            </w:pPr>
          </w:p>
        </w:tc>
        <w:tc>
          <w:tcPr>
            <w:tcW w:w="0" w:type="auto"/>
            <w:vAlign w:val="center"/>
          </w:tcPr>
          <w:p w14:paraId="451F47BC" w14:textId="77777777" w:rsidR="00F92187" w:rsidRPr="00A8433F" w:rsidRDefault="00F92187" w:rsidP="00E26902">
            <w:pPr>
              <w:rPr>
                <w:rFonts w:ascii="Times New Roman" w:eastAsia="Times New Roman" w:hAnsi="Times New Roman" w:cs="Times New Roman"/>
                <w:color w:val="000000"/>
                <w:sz w:val="16"/>
                <w:szCs w:val="16"/>
                <w:lang w:val="en-GB"/>
              </w:rPr>
            </w:pPr>
          </w:p>
        </w:tc>
      </w:tr>
      <w:tr w:rsidR="00994B6A" w:rsidRPr="00A8433F" w14:paraId="089DC866" w14:textId="5C0FD1CF" w:rsidTr="00994B6A">
        <w:trPr>
          <w:trHeight w:val="227"/>
        </w:trPr>
        <w:tc>
          <w:tcPr>
            <w:tcW w:w="0" w:type="auto"/>
            <w:shd w:val="clear" w:color="auto" w:fill="auto"/>
            <w:noWrap/>
            <w:vAlign w:val="center"/>
            <w:hideMark/>
          </w:tcPr>
          <w:p w14:paraId="69268BE9" w14:textId="5EF6645F"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w:t>
            </w:r>
            <w:r w:rsidRPr="00A8433F">
              <w:rPr>
                <w:rFonts w:ascii="Times New Roman" w:eastAsia="Times New Roman" w:hAnsi="Times New Roman" w:cs="Times New Roman"/>
                <w:color w:val="000000"/>
                <w:sz w:val="16"/>
                <w:szCs w:val="16"/>
                <w:vertAlign w:val="superscript"/>
                <w:lang w:val="en-GB"/>
              </w:rPr>
              <w:t>st</w:t>
            </w:r>
            <w:r w:rsidRPr="00A8433F">
              <w:rPr>
                <w:rFonts w:ascii="Times New Roman" w:eastAsia="Times New Roman" w:hAnsi="Times New Roman" w:cs="Times New Roman"/>
                <w:color w:val="000000"/>
                <w:sz w:val="16"/>
                <w:szCs w:val="16"/>
                <w:lang w:val="en-GB"/>
              </w:rPr>
              <w:t xml:space="preserve"> Quintile; mean [IQR]</w:t>
            </w:r>
          </w:p>
        </w:tc>
        <w:tc>
          <w:tcPr>
            <w:tcW w:w="0" w:type="auto"/>
            <w:shd w:val="clear" w:color="auto" w:fill="auto"/>
            <w:noWrap/>
            <w:vAlign w:val="center"/>
          </w:tcPr>
          <w:p w14:paraId="06D24F07" w14:textId="4BA339E5"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14.8</w:t>
            </w:r>
          </w:p>
        </w:tc>
        <w:tc>
          <w:tcPr>
            <w:tcW w:w="0" w:type="auto"/>
            <w:vAlign w:val="center"/>
          </w:tcPr>
          <w:p w14:paraId="384299DE" w14:textId="0C562BDB"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[0;18</w:t>
            </w:r>
            <w:r w:rsidR="00A8433F" w:rsidRPr="00A8433F">
              <w:rPr>
                <w:rFonts w:ascii="Times New Roman" w:eastAsia="Times New Roman" w:hAnsi="Times New Roman" w:cs="Times New Roman"/>
                <w:color w:val="000000"/>
                <w:sz w:val="16"/>
                <w:szCs w:val="16"/>
                <w:lang w:val="en-GB"/>
              </w:rPr>
              <w:t>]</w:t>
            </w:r>
          </w:p>
        </w:tc>
        <w:tc>
          <w:tcPr>
            <w:tcW w:w="0" w:type="auto"/>
            <w:shd w:val="clear" w:color="auto" w:fill="auto"/>
            <w:noWrap/>
            <w:vAlign w:val="center"/>
          </w:tcPr>
          <w:p w14:paraId="4D2E69CD" w14:textId="1BBD2A56"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14.6</w:t>
            </w:r>
          </w:p>
        </w:tc>
        <w:tc>
          <w:tcPr>
            <w:tcW w:w="0" w:type="auto"/>
            <w:vAlign w:val="center"/>
          </w:tcPr>
          <w:p w14:paraId="5E4A955D" w14:textId="1DA588E1"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[0;18]</w:t>
            </w:r>
          </w:p>
        </w:tc>
        <w:tc>
          <w:tcPr>
            <w:tcW w:w="0" w:type="auto"/>
            <w:vAlign w:val="center"/>
          </w:tcPr>
          <w:p w14:paraId="70562A41" w14:textId="70B4B3E5"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14.6</w:t>
            </w:r>
          </w:p>
        </w:tc>
        <w:tc>
          <w:tcPr>
            <w:tcW w:w="0" w:type="auto"/>
            <w:vAlign w:val="center"/>
          </w:tcPr>
          <w:p w14:paraId="30381A09" w14:textId="57571D01"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[0;1</w:t>
            </w:r>
            <w:r w:rsidR="00E26902">
              <w:rPr>
                <w:rFonts w:ascii="Times New Roman" w:eastAsia="Times New Roman" w:hAnsi="Times New Roman" w:cs="Times New Roman"/>
                <w:color w:val="000000"/>
                <w:sz w:val="16"/>
                <w:szCs w:val="16"/>
                <w:lang w:val="en-GB"/>
              </w:rPr>
              <w:t>9</w:t>
            </w:r>
            <w:r w:rsidRPr="00A8433F">
              <w:rPr>
                <w:rFonts w:ascii="Times New Roman" w:eastAsia="Times New Roman" w:hAnsi="Times New Roman" w:cs="Times New Roman"/>
                <w:color w:val="000000"/>
                <w:sz w:val="16"/>
                <w:szCs w:val="16"/>
                <w:lang w:val="en-GB"/>
              </w:rPr>
              <w:t>]</w:t>
            </w:r>
          </w:p>
        </w:tc>
        <w:tc>
          <w:tcPr>
            <w:tcW w:w="0" w:type="auto"/>
            <w:vAlign w:val="center"/>
          </w:tcPr>
          <w:p w14:paraId="7457D7C6" w14:textId="66F11029" w:rsidR="00A8433F" w:rsidRPr="00A8433F" w:rsidRDefault="0016418E" w:rsidP="0016418E">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14.5</w:t>
            </w:r>
          </w:p>
        </w:tc>
        <w:tc>
          <w:tcPr>
            <w:tcW w:w="0" w:type="auto"/>
            <w:vAlign w:val="center"/>
          </w:tcPr>
          <w:p w14:paraId="41FA3937" w14:textId="74EDBEB3"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[0;1</w:t>
            </w:r>
            <w:r w:rsidR="00E26902">
              <w:rPr>
                <w:rFonts w:ascii="Times New Roman" w:eastAsia="Times New Roman" w:hAnsi="Times New Roman" w:cs="Times New Roman"/>
                <w:color w:val="000000"/>
                <w:sz w:val="16"/>
                <w:szCs w:val="16"/>
                <w:lang w:val="en-GB"/>
              </w:rPr>
              <w:t>9</w:t>
            </w:r>
            <w:r w:rsidRPr="00A8433F">
              <w:rPr>
                <w:rFonts w:ascii="Times New Roman" w:eastAsia="Times New Roman" w:hAnsi="Times New Roman" w:cs="Times New Roman"/>
                <w:color w:val="000000"/>
                <w:sz w:val="16"/>
                <w:szCs w:val="16"/>
                <w:lang w:val="en-GB"/>
              </w:rPr>
              <w:t>]</w:t>
            </w:r>
          </w:p>
        </w:tc>
        <w:tc>
          <w:tcPr>
            <w:tcW w:w="0" w:type="auto"/>
            <w:vAlign w:val="center"/>
          </w:tcPr>
          <w:p w14:paraId="17BF2D6B" w14:textId="6CF8AA62" w:rsidR="00A8433F"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14.4</w:t>
            </w:r>
          </w:p>
        </w:tc>
        <w:tc>
          <w:tcPr>
            <w:tcW w:w="0" w:type="auto"/>
            <w:vAlign w:val="center"/>
          </w:tcPr>
          <w:p w14:paraId="5690DE7D" w14:textId="371985EE"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[0;18]</w:t>
            </w:r>
          </w:p>
        </w:tc>
        <w:tc>
          <w:tcPr>
            <w:tcW w:w="0" w:type="auto"/>
            <w:vAlign w:val="center"/>
          </w:tcPr>
          <w:p w14:paraId="7BE0FE3C" w14:textId="5F295D80"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14.3</w:t>
            </w:r>
          </w:p>
        </w:tc>
        <w:tc>
          <w:tcPr>
            <w:tcW w:w="0" w:type="auto"/>
            <w:vAlign w:val="center"/>
          </w:tcPr>
          <w:p w14:paraId="65F0DC39" w14:textId="5A4AF618"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[0;18]</w:t>
            </w:r>
          </w:p>
        </w:tc>
      </w:tr>
      <w:tr w:rsidR="00994B6A" w:rsidRPr="00A8433F" w14:paraId="1717F725" w14:textId="643D515E" w:rsidTr="00994B6A">
        <w:trPr>
          <w:trHeight w:val="227"/>
        </w:trPr>
        <w:tc>
          <w:tcPr>
            <w:tcW w:w="0" w:type="auto"/>
            <w:shd w:val="clear" w:color="auto" w:fill="auto"/>
            <w:noWrap/>
            <w:vAlign w:val="center"/>
            <w:hideMark/>
          </w:tcPr>
          <w:p w14:paraId="281DAC40" w14:textId="11579880"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w:t>
            </w:r>
            <w:r w:rsidRPr="00A8433F">
              <w:rPr>
                <w:rFonts w:ascii="Times New Roman" w:eastAsia="Times New Roman" w:hAnsi="Times New Roman" w:cs="Times New Roman"/>
                <w:color w:val="000000"/>
                <w:sz w:val="16"/>
                <w:szCs w:val="16"/>
                <w:vertAlign w:val="superscript"/>
                <w:lang w:val="en-GB"/>
              </w:rPr>
              <w:t>nd</w:t>
            </w:r>
            <w:r w:rsidRPr="00A8433F">
              <w:rPr>
                <w:rFonts w:ascii="Times New Roman" w:eastAsia="Times New Roman" w:hAnsi="Times New Roman" w:cs="Times New Roman"/>
                <w:color w:val="000000"/>
                <w:sz w:val="16"/>
                <w:szCs w:val="16"/>
                <w:lang w:val="en-GB"/>
              </w:rPr>
              <w:t xml:space="preserve"> Quintile; mean [IQR]</w:t>
            </w:r>
          </w:p>
        </w:tc>
        <w:tc>
          <w:tcPr>
            <w:tcW w:w="0" w:type="auto"/>
            <w:shd w:val="clear" w:color="auto" w:fill="auto"/>
            <w:noWrap/>
            <w:vAlign w:val="center"/>
          </w:tcPr>
          <w:p w14:paraId="1565D9C3" w14:textId="713C9699"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20.9</w:t>
            </w:r>
          </w:p>
        </w:tc>
        <w:tc>
          <w:tcPr>
            <w:tcW w:w="0" w:type="auto"/>
            <w:vAlign w:val="center"/>
          </w:tcPr>
          <w:p w14:paraId="500F858A" w14:textId="18ABA598"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[18;2</w:t>
            </w:r>
            <w:r w:rsidR="00E26902">
              <w:rPr>
                <w:rFonts w:ascii="Times New Roman" w:eastAsia="Times New Roman" w:hAnsi="Times New Roman" w:cs="Times New Roman"/>
                <w:color w:val="000000"/>
                <w:sz w:val="16"/>
                <w:szCs w:val="16"/>
                <w:lang w:val="en-GB"/>
              </w:rPr>
              <w:t>3</w:t>
            </w:r>
            <w:r w:rsidRPr="00A8433F">
              <w:rPr>
                <w:rFonts w:ascii="Times New Roman" w:eastAsia="Times New Roman" w:hAnsi="Times New Roman" w:cs="Times New Roman"/>
                <w:color w:val="000000"/>
                <w:sz w:val="16"/>
                <w:szCs w:val="16"/>
                <w:lang w:val="en-GB"/>
              </w:rPr>
              <w:t>]</w:t>
            </w:r>
          </w:p>
        </w:tc>
        <w:tc>
          <w:tcPr>
            <w:tcW w:w="0" w:type="auto"/>
            <w:shd w:val="clear" w:color="auto" w:fill="auto"/>
            <w:noWrap/>
            <w:vAlign w:val="center"/>
          </w:tcPr>
          <w:p w14:paraId="7F5FBE64" w14:textId="689D7DFF"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20.9</w:t>
            </w:r>
          </w:p>
        </w:tc>
        <w:tc>
          <w:tcPr>
            <w:tcW w:w="0" w:type="auto"/>
            <w:vAlign w:val="center"/>
          </w:tcPr>
          <w:p w14:paraId="34596A5D" w14:textId="77B41611"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[18;23</w:t>
            </w:r>
            <w:r w:rsidR="00A8433F" w:rsidRPr="00A8433F">
              <w:rPr>
                <w:rFonts w:ascii="Times New Roman" w:eastAsia="Times New Roman" w:hAnsi="Times New Roman" w:cs="Times New Roman"/>
                <w:color w:val="000000"/>
                <w:sz w:val="16"/>
                <w:szCs w:val="16"/>
                <w:lang w:val="en-GB"/>
              </w:rPr>
              <w:t>]</w:t>
            </w:r>
          </w:p>
        </w:tc>
        <w:tc>
          <w:tcPr>
            <w:tcW w:w="0" w:type="auto"/>
            <w:vAlign w:val="center"/>
          </w:tcPr>
          <w:p w14:paraId="797C02CA" w14:textId="7CA1984C"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21.5</w:t>
            </w:r>
          </w:p>
        </w:tc>
        <w:tc>
          <w:tcPr>
            <w:tcW w:w="0" w:type="auto"/>
            <w:vAlign w:val="center"/>
          </w:tcPr>
          <w:p w14:paraId="381E13F0" w14:textId="4D4EB7A5"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[19;24</w:t>
            </w:r>
            <w:r w:rsidR="00A8433F" w:rsidRPr="00A8433F">
              <w:rPr>
                <w:rFonts w:ascii="Times New Roman" w:eastAsia="Times New Roman" w:hAnsi="Times New Roman" w:cs="Times New Roman"/>
                <w:color w:val="000000"/>
                <w:sz w:val="16"/>
                <w:szCs w:val="16"/>
                <w:lang w:val="en-GB"/>
              </w:rPr>
              <w:t>]</w:t>
            </w:r>
          </w:p>
        </w:tc>
        <w:tc>
          <w:tcPr>
            <w:tcW w:w="0" w:type="auto"/>
            <w:vAlign w:val="center"/>
          </w:tcPr>
          <w:p w14:paraId="6A71393C" w14:textId="4801D8A6"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21.4</w:t>
            </w:r>
          </w:p>
        </w:tc>
        <w:tc>
          <w:tcPr>
            <w:tcW w:w="0" w:type="auto"/>
            <w:vAlign w:val="center"/>
          </w:tcPr>
          <w:p w14:paraId="2532B5CC" w14:textId="7B95DD86" w:rsidR="00A8433F"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w:t>
            </w:r>
            <w:r w:rsidR="00A8433F" w:rsidRPr="00A8433F">
              <w:rPr>
                <w:rFonts w:ascii="Times New Roman" w:eastAsia="Times New Roman" w:hAnsi="Times New Roman" w:cs="Times New Roman"/>
                <w:color w:val="000000"/>
                <w:sz w:val="16"/>
                <w:szCs w:val="16"/>
                <w:lang w:val="en-GB"/>
              </w:rPr>
              <w:t>9;23]</w:t>
            </w:r>
          </w:p>
        </w:tc>
        <w:tc>
          <w:tcPr>
            <w:tcW w:w="0" w:type="auto"/>
            <w:vAlign w:val="center"/>
          </w:tcPr>
          <w:p w14:paraId="17B12762" w14:textId="778A94EF"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21.5</w:t>
            </w:r>
          </w:p>
        </w:tc>
        <w:tc>
          <w:tcPr>
            <w:tcW w:w="0" w:type="auto"/>
            <w:vAlign w:val="center"/>
          </w:tcPr>
          <w:p w14:paraId="350F63E1" w14:textId="49C04A64"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w:t>
            </w:r>
            <w:r w:rsidR="00E26902">
              <w:rPr>
                <w:rFonts w:ascii="Times New Roman" w:eastAsia="Times New Roman" w:hAnsi="Times New Roman" w:cs="Times New Roman"/>
                <w:color w:val="000000"/>
                <w:sz w:val="16"/>
                <w:szCs w:val="16"/>
                <w:lang w:val="en-GB"/>
              </w:rPr>
              <w:t>18;2</w:t>
            </w:r>
            <w:r w:rsidR="00994B6A">
              <w:rPr>
                <w:rFonts w:ascii="Times New Roman" w:eastAsia="Times New Roman" w:hAnsi="Times New Roman" w:cs="Times New Roman"/>
                <w:color w:val="000000"/>
                <w:sz w:val="16"/>
                <w:szCs w:val="16"/>
                <w:lang w:val="en-GB"/>
              </w:rPr>
              <w:t>4</w:t>
            </w:r>
            <w:r>
              <w:rPr>
                <w:rFonts w:ascii="Times New Roman" w:eastAsia="Times New Roman" w:hAnsi="Times New Roman" w:cs="Times New Roman"/>
                <w:color w:val="000000"/>
                <w:sz w:val="16"/>
                <w:szCs w:val="16"/>
                <w:lang w:val="en-GB"/>
              </w:rPr>
              <w:t>]</w:t>
            </w:r>
          </w:p>
        </w:tc>
        <w:tc>
          <w:tcPr>
            <w:tcW w:w="0" w:type="auto"/>
            <w:vAlign w:val="center"/>
          </w:tcPr>
          <w:p w14:paraId="169B095F" w14:textId="6B2F14CA"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21.5</w:t>
            </w:r>
          </w:p>
        </w:tc>
        <w:tc>
          <w:tcPr>
            <w:tcW w:w="0" w:type="auto"/>
            <w:vAlign w:val="center"/>
          </w:tcPr>
          <w:p w14:paraId="1F677B1C" w14:textId="2152DEB5"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w:t>
            </w:r>
            <w:r w:rsidR="00994B6A">
              <w:rPr>
                <w:rFonts w:ascii="Times New Roman" w:eastAsia="Times New Roman" w:hAnsi="Times New Roman" w:cs="Times New Roman"/>
                <w:color w:val="000000"/>
                <w:sz w:val="16"/>
                <w:szCs w:val="16"/>
                <w:lang w:val="en-GB"/>
              </w:rPr>
              <w:t>18</w:t>
            </w:r>
            <w:r>
              <w:rPr>
                <w:rFonts w:ascii="Times New Roman" w:eastAsia="Times New Roman" w:hAnsi="Times New Roman" w:cs="Times New Roman"/>
                <w:color w:val="000000"/>
                <w:sz w:val="16"/>
                <w:szCs w:val="16"/>
                <w:lang w:val="en-GB"/>
              </w:rPr>
              <w:t>;2</w:t>
            </w:r>
            <w:r w:rsidR="00994B6A">
              <w:rPr>
                <w:rFonts w:ascii="Times New Roman" w:eastAsia="Times New Roman" w:hAnsi="Times New Roman" w:cs="Times New Roman"/>
                <w:color w:val="000000"/>
                <w:sz w:val="16"/>
                <w:szCs w:val="16"/>
                <w:lang w:val="en-GB"/>
              </w:rPr>
              <w:t>4</w:t>
            </w:r>
            <w:r>
              <w:rPr>
                <w:rFonts w:ascii="Times New Roman" w:eastAsia="Times New Roman" w:hAnsi="Times New Roman" w:cs="Times New Roman"/>
                <w:color w:val="000000"/>
                <w:sz w:val="16"/>
                <w:szCs w:val="16"/>
                <w:lang w:val="en-GB"/>
              </w:rPr>
              <w:t>]</w:t>
            </w:r>
          </w:p>
        </w:tc>
      </w:tr>
      <w:tr w:rsidR="00994B6A" w:rsidRPr="00A8433F" w14:paraId="0CBF87D9" w14:textId="5FEAB397" w:rsidTr="00994B6A">
        <w:trPr>
          <w:trHeight w:val="227"/>
        </w:trPr>
        <w:tc>
          <w:tcPr>
            <w:tcW w:w="0" w:type="auto"/>
            <w:shd w:val="clear" w:color="auto" w:fill="auto"/>
            <w:noWrap/>
            <w:vAlign w:val="center"/>
            <w:hideMark/>
          </w:tcPr>
          <w:p w14:paraId="0D7100D0" w14:textId="6583F6F3"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w:t>
            </w:r>
            <w:r w:rsidRPr="00A8433F">
              <w:rPr>
                <w:rFonts w:ascii="Times New Roman" w:eastAsia="Times New Roman" w:hAnsi="Times New Roman" w:cs="Times New Roman"/>
                <w:color w:val="000000"/>
                <w:sz w:val="16"/>
                <w:szCs w:val="16"/>
                <w:vertAlign w:val="superscript"/>
                <w:lang w:val="en-GB"/>
              </w:rPr>
              <w:t>rd</w:t>
            </w:r>
            <w:r w:rsidRPr="00A8433F">
              <w:rPr>
                <w:rFonts w:ascii="Times New Roman" w:eastAsia="Times New Roman" w:hAnsi="Times New Roman" w:cs="Times New Roman"/>
                <w:color w:val="000000"/>
                <w:sz w:val="16"/>
                <w:szCs w:val="16"/>
                <w:lang w:val="en-GB"/>
              </w:rPr>
              <w:t xml:space="preserve"> Quintile; mean [IQR]</w:t>
            </w:r>
          </w:p>
        </w:tc>
        <w:tc>
          <w:tcPr>
            <w:tcW w:w="0" w:type="auto"/>
            <w:shd w:val="clear" w:color="auto" w:fill="auto"/>
            <w:noWrap/>
            <w:vAlign w:val="center"/>
          </w:tcPr>
          <w:p w14:paraId="4338F225" w14:textId="061B425E"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24.5</w:t>
            </w:r>
          </w:p>
        </w:tc>
        <w:tc>
          <w:tcPr>
            <w:tcW w:w="0" w:type="auto"/>
            <w:vAlign w:val="center"/>
          </w:tcPr>
          <w:p w14:paraId="7F9EF989" w14:textId="108A5FF8"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[23</w:t>
            </w:r>
            <w:r w:rsidR="00A8433F" w:rsidRPr="00A8433F">
              <w:rPr>
                <w:rFonts w:ascii="Times New Roman" w:eastAsia="Times New Roman" w:hAnsi="Times New Roman" w:cs="Times New Roman"/>
                <w:color w:val="000000"/>
                <w:sz w:val="16"/>
                <w:szCs w:val="16"/>
                <w:lang w:val="en-GB"/>
              </w:rPr>
              <w:t>;2</w:t>
            </w:r>
            <w:r>
              <w:rPr>
                <w:rFonts w:ascii="Times New Roman" w:eastAsia="Times New Roman" w:hAnsi="Times New Roman" w:cs="Times New Roman"/>
                <w:color w:val="000000"/>
                <w:sz w:val="16"/>
                <w:szCs w:val="16"/>
                <w:lang w:val="en-GB"/>
              </w:rPr>
              <w:t>6</w:t>
            </w:r>
            <w:r w:rsidR="00A8433F" w:rsidRPr="00A8433F">
              <w:rPr>
                <w:rFonts w:ascii="Times New Roman" w:eastAsia="Times New Roman" w:hAnsi="Times New Roman" w:cs="Times New Roman"/>
                <w:color w:val="000000"/>
                <w:sz w:val="16"/>
                <w:szCs w:val="16"/>
                <w:lang w:val="en-GB"/>
              </w:rPr>
              <w:t>]</w:t>
            </w:r>
          </w:p>
        </w:tc>
        <w:tc>
          <w:tcPr>
            <w:tcW w:w="0" w:type="auto"/>
            <w:shd w:val="clear" w:color="auto" w:fill="auto"/>
            <w:noWrap/>
            <w:vAlign w:val="center"/>
          </w:tcPr>
          <w:p w14:paraId="7AAE5353" w14:textId="30155D99"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24.4</w:t>
            </w:r>
          </w:p>
        </w:tc>
        <w:tc>
          <w:tcPr>
            <w:tcW w:w="0" w:type="auto"/>
            <w:vAlign w:val="center"/>
          </w:tcPr>
          <w:p w14:paraId="1E9CA849" w14:textId="5EFED583"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[23</w:t>
            </w:r>
            <w:r w:rsidR="00A8433F" w:rsidRPr="00A8433F">
              <w:rPr>
                <w:rFonts w:ascii="Times New Roman" w:eastAsia="Times New Roman" w:hAnsi="Times New Roman" w:cs="Times New Roman"/>
                <w:color w:val="000000"/>
                <w:sz w:val="16"/>
                <w:szCs w:val="16"/>
                <w:lang w:val="en-GB"/>
              </w:rPr>
              <w:t>;26]</w:t>
            </w:r>
          </w:p>
        </w:tc>
        <w:tc>
          <w:tcPr>
            <w:tcW w:w="0" w:type="auto"/>
            <w:vAlign w:val="center"/>
          </w:tcPr>
          <w:p w14:paraId="53A352A8" w14:textId="715B69FA"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25.3</w:t>
            </w:r>
          </w:p>
        </w:tc>
        <w:tc>
          <w:tcPr>
            <w:tcW w:w="0" w:type="auto"/>
            <w:vAlign w:val="center"/>
          </w:tcPr>
          <w:p w14:paraId="2CD26670" w14:textId="003C6C68"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w:t>
            </w:r>
            <w:r w:rsidR="00E26902">
              <w:rPr>
                <w:rFonts w:ascii="Times New Roman" w:eastAsia="Times New Roman" w:hAnsi="Times New Roman" w:cs="Times New Roman"/>
                <w:color w:val="000000"/>
                <w:sz w:val="16"/>
                <w:szCs w:val="16"/>
                <w:lang w:val="en-GB"/>
              </w:rPr>
              <w:t>4</w:t>
            </w:r>
            <w:r w:rsidRPr="00A8433F">
              <w:rPr>
                <w:rFonts w:ascii="Times New Roman" w:eastAsia="Times New Roman" w:hAnsi="Times New Roman" w:cs="Times New Roman"/>
                <w:color w:val="000000"/>
                <w:sz w:val="16"/>
                <w:szCs w:val="16"/>
                <w:lang w:val="en-GB"/>
              </w:rPr>
              <w:t>;2</w:t>
            </w:r>
            <w:r w:rsidR="00E26902">
              <w:rPr>
                <w:rFonts w:ascii="Times New Roman" w:eastAsia="Times New Roman" w:hAnsi="Times New Roman" w:cs="Times New Roman"/>
                <w:color w:val="000000"/>
                <w:sz w:val="16"/>
                <w:szCs w:val="16"/>
                <w:lang w:val="en-GB"/>
              </w:rPr>
              <w:t>8</w:t>
            </w:r>
            <w:r w:rsidRPr="00A8433F">
              <w:rPr>
                <w:rFonts w:ascii="Times New Roman" w:eastAsia="Times New Roman" w:hAnsi="Times New Roman" w:cs="Times New Roman"/>
                <w:color w:val="000000"/>
                <w:sz w:val="16"/>
                <w:szCs w:val="16"/>
                <w:lang w:val="en-GB"/>
              </w:rPr>
              <w:t>]</w:t>
            </w:r>
          </w:p>
        </w:tc>
        <w:tc>
          <w:tcPr>
            <w:tcW w:w="0" w:type="auto"/>
            <w:vAlign w:val="center"/>
          </w:tcPr>
          <w:p w14:paraId="647712AA" w14:textId="79E621A8"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25.3</w:t>
            </w:r>
          </w:p>
        </w:tc>
        <w:tc>
          <w:tcPr>
            <w:tcW w:w="0" w:type="auto"/>
            <w:vAlign w:val="center"/>
          </w:tcPr>
          <w:p w14:paraId="18C3750D" w14:textId="047EA6A3" w:rsidR="00A8433F" w:rsidRPr="00A8433F" w:rsidRDefault="00A8433F"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w:t>
            </w:r>
            <w:r w:rsidR="00994B6A">
              <w:rPr>
                <w:rFonts w:ascii="Times New Roman" w:eastAsia="Times New Roman" w:hAnsi="Times New Roman" w:cs="Times New Roman"/>
                <w:color w:val="000000"/>
                <w:sz w:val="16"/>
                <w:szCs w:val="16"/>
                <w:lang w:val="en-GB"/>
              </w:rPr>
              <w:t>4</w:t>
            </w:r>
            <w:r w:rsidRPr="00A8433F">
              <w:rPr>
                <w:rFonts w:ascii="Times New Roman" w:eastAsia="Times New Roman" w:hAnsi="Times New Roman" w:cs="Times New Roman"/>
                <w:color w:val="000000"/>
                <w:sz w:val="16"/>
                <w:szCs w:val="16"/>
                <w:lang w:val="en-GB"/>
              </w:rPr>
              <w:t>;2</w:t>
            </w:r>
            <w:r w:rsidR="00994B6A">
              <w:rPr>
                <w:rFonts w:ascii="Times New Roman" w:eastAsia="Times New Roman" w:hAnsi="Times New Roman" w:cs="Times New Roman"/>
                <w:color w:val="000000"/>
                <w:sz w:val="16"/>
                <w:szCs w:val="16"/>
                <w:lang w:val="en-GB"/>
              </w:rPr>
              <w:t>8</w:t>
            </w:r>
            <w:r w:rsidRPr="00A8433F">
              <w:rPr>
                <w:rFonts w:ascii="Times New Roman" w:eastAsia="Times New Roman" w:hAnsi="Times New Roman" w:cs="Times New Roman"/>
                <w:color w:val="000000"/>
                <w:sz w:val="16"/>
                <w:szCs w:val="16"/>
                <w:lang w:val="en-GB"/>
              </w:rPr>
              <w:t>]</w:t>
            </w:r>
          </w:p>
        </w:tc>
        <w:tc>
          <w:tcPr>
            <w:tcW w:w="0" w:type="auto"/>
            <w:vAlign w:val="center"/>
          </w:tcPr>
          <w:p w14:paraId="01EDA310" w14:textId="78873F5D" w:rsidR="00A8433F" w:rsidRPr="00A8433F" w:rsidRDefault="00A8433F"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w:t>
            </w:r>
            <w:r w:rsidR="00994B6A">
              <w:rPr>
                <w:rFonts w:ascii="Times New Roman" w:eastAsia="Times New Roman" w:hAnsi="Times New Roman" w:cs="Times New Roman"/>
                <w:color w:val="000000"/>
                <w:sz w:val="16"/>
                <w:szCs w:val="16"/>
                <w:lang w:val="en-GB"/>
              </w:rPr>
              <w:t>5.7</w:t>
            </w:r>
          </w:p>
        </w:tc>
        <w:tc>
          <w:tcPr>
            <w:tcW w:w="0" w:type="auto"/>
            <w:vAlign w:val="center"/>
          </w:tcPr>
          <w:p w14:paraId="42F0F347" w14:textId="2E12EFEB"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w:t>
            </w:r>
            <w:r w:rsidR="00994B6A">
              <w:rPr>
                <w:rFonts w:ascii="Times New Roman" w:eastAsia="Times New Roman" w:hAnsi="Times New Roman" w:cs="Times New Roman"/>
                <w:color w:val="000000"/>
                <w:sz w:val="16"/>
                <w:szCs w:val="16"/>
                <w:lang w:val="en-GB"/>
              </w:rPr>
              <w:t>24;28</w:t>
            </w:r>
            <w:r>
              <w:rPr>
                <w:rFonts w:ascii="Times New Roman" w:eastAsia="Times New Roman" w:hAnsi="Times New Roman" w:cs="Times New Roman"/>
                <w:color w:val="000000"/>
                <w:sz w:val="16"/>
                <w:szCs w:val="16"/>
                <w:lang w:val="en-GB"/>
              </w:rPr>
              <w:t>]</w:t>
            </w:r>
          </w:p>
        </w:tc>
        <w:tc>
          <w:tcPr>
            <w:tcW w:w="0" w:type="auto"/>
            <w:vAlign w:val="center"/>
          </w:tcPr>
          <w:p w14:paraId="60DA3F50" w14:textId="4C13824E"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25.7</w:t>
            </w:r>
          </w:p>
        </w:tc>
        <w:tc>
          <w:tcPr>
            <w:tcW w:w="0" w:type="auto"/>
            <w:vAlign w:val="center"/>
          </w:tcPr>
          <w:p w14:paraId="49F8A091" w14:textId="7244425E"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w:t>
            </w:r>
            <w:r w:rsidR="00994B6A">
              <w:rPr>
                <w:rFonts w:ascii="Times New Roman" w:eastAsia="Times New Roman" w:hAnsi="Times New Roman" w:cs="Times New Roman"/>
                <w:color w:val="000000"/>
                <w:sz w:val="16"/>
                <w:szCs w:val="16"/>
                <w:lang w:val="en-GB"/>
              </w:rPr>
              <w:t>24</w:t>
            </w:r>
            <w:r>
              <w:rPr>
                <w:rFonts w:ascii="Times New Roman" w:eastAsia="Times New Roman" w:hAnsi="Times New Roman" w:cs="Times New Roman"/>
                <w:color w:val="000000"/>
                <w:sz w:val="16"/>
                <w:szCs w:val="16"/>
                <w:lang w:val="en-GB"/>
              </w:rPr>
              <w:t>;28]</w:t>
            </w:r>
          </w:p>
        </w:tc>
      </w:tr>
      <w:tr w:rsidR="00994B6A" w:rsidRPr="00A8433F" w14:paraId="6376579B" w14:textId="6234A60D" w:rsidTr="00994B6A">
        <w:trPr>
          <w:trHeight w:val="227"/>
        </w:trPr>
        <w:tc>
          <w:tcPr>
            <w:tcW w:w="0" w:type="auto"/>
            <w:shd w:val="clear" w:color="auto" w:fill="auto"/>
            <w:noWrap/>
            <w:vAlign w:val="center"/>
            <w:hideMark/>
          </w:tcPr>
          <w:p w14:paraId="2ACB4A81" w14:textId="7CE669E7"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w:t>
            </w:r>
            <w:r w:rsidRPr="00A8433F">
              <w:rPr>
                <w:rFonts w:ascii="Times New Roman" w:eastAsia="Times New Roman" w:hAnsi="Times New Roman" w:cs="Times New Roman"/>
                <w:color w:val="000000"/>
                <w:sz w:val="16"/>
                <w:szCs w:val="16"/>
                <w:vertAlign w:val="superscript"/>
                <w:lang w:val="en-GB"/>
              </w:rPr>
              <w:t>th</w:t>
            </w:r>
            <w:r w:rsidRPr="00A8433F">
              <w:rPr>
                <w:rFonts w:ascii="Times New Roman" w:eastAsia="Times New Roman" w:hAnsi="Times New Roman" w:cs="Times New Roman"/>
                <w:color w:val="000000"/>
                <w:sz w:val="16"/>
                <w:szCs w:val="16"/>
                <w:lang w:val="en-GB"/>
              </w:rPr>
              <w:t xml:space="preserve"> Quintile; mean [IQR]</w:t>
            </w:r>
          </w:p>
        </w:tc>
        <w:tc>
          <w:tcPr>
            <w:tcW w:w="0" w:type="auto"/>
            <w:shd w:val="clear" w:color="auto" w:fill="auto"/>
            <w:noWrap/>
            <w:vAlign w:val="center"/>
          </w:tcPr>
          <w:p w14:paraId="53F5F2F4" w14:textId="0CA7EB2C"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29.5</w:t>
            </w:r>
          </w:p>
        </w:tc>
        <w:tc>
          <w:tcPr>
            <w:tcW w:w="0" w:type="auto"/>
            <w:vAlign w:val="center"/>
          </w:tcPr>
          <w:p w14:paraId="489DB360" w14:textId="71701642"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w:t>
            </w:r>
            <w:r w:rsidR="00E26902">
              <w:rPr>
                <w:rFonts w:ascii="Times New Roman" w:eastAsia="Times New Roman" w:hAnsi="Times New Roman" w:cs="Times New Roman"/>
                <w:color w:val="000000"/>
                <w:sz w:val="16"/>
                <w:szCs w:val="16"/>
                <w:lang w:val="en-GB"/>
              </w:rPr>
              <w:t>6</w:t>
            </w:r>
            <w:r w:rsidRPr="00A8433F">
              <w:rPr>
                <w:rFonts w:ascii="Times New Roman" w:eastAsia="Times New Roman" w:hAnsi="Times New Roman" w:cs="Times New Roman"/>
                <w:color w:val="000000"/>
                <w:sz w:val="16"/>
                <w:szCs w:val="16"/>
                <w:lang w:val="en-GB"/>
              </w:rPr>
              <w:t>;3</w:t>
            </w:r>
            <w:r w:rsidR="00E26902">
              <w:rPr>
                <w:rFonts w:ascii="Times New Roman" w:eastAsia="Times New Roman" w:hAnsi="Times New Roman" w:cs="Times New Roman"/>
                <w:color w:val="000000"/>
                <w:sz w:val="16"/>
                <w:szCs w:val="16"/>
                <w:lang w:val="en-GB"/>
              </w:rPr>
              <w:t>5</w:t>
            </w:r>
            <w:r w:rsidRPr="00A8433F">
              <w:rPr>
                <w:rFonts w:ascii="Times New Roman" w:eastAsia="Times New Roman" w:hAnsi="Times New Roman" w:cs="Times New Roman"/>
                <w:color w:val="000000"/>
                <w:sz w:val="16"/>
                <w:szCs w:val="16"/>
                <w:lang w:val="en-GB"/>
              </w:rPr>
              <w:t>]</w:t>
            </w:r>
          </w:p>
        </w:tc>
        <w:tc>
          <w:tcPr>
            <w:tcW w:w="0" w:type="auto"/>
            <w:shd w:val="clear" w:color="auto" w:fill="auto"/>
            <w:noWrap/>
            <w:vAlign w:val="center"/>
          </w:tcPr>
          <w:p w14:paraId="1D766E68" w14:textId="2FC16D10"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29.7</w:t>
            </w:r>
          </w:p>
        </w:tc>
        <w:tc>
          <w:tcPr>
            <w:tcW w:w="0" w:type="auto"/>
            <w:vAlign w:val="center"/>
          </w:tcPr>
          <w:p w14:paraId="00C64780" w14:textId="1080AE1A"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[26;3</w:t>
            </w:r>
            <w:r w:rsidR="00E26902">
              <w:rPr>
                <w:rFonts w:ascii="Times New Roman" w:eastAsia="Times New Roman" w:hAnsi="Times New Roman" w:cs="Times New Roman"/>
                <w:color w:val="000000"/>
                <w:sz w:val="16"/>
                <w:szCs w:val="16"/>
                <w:lang w:val="en-GB"/>
              </w:rPr>
              <w:t>5</w:t>
            </w:r>
            <w:r w:rsidRPr="00A8433F">
              <w:rPr>
                <w:rFonts w:ascii="Times New Roman" w:eastAsia="Times New Roman" w:hAnsi="Times New Roman" w:cs="Times New Roman"/>
                <w:color w:val="000000"/>
                <w:sz w:val="16"/>
                <w:szCs w:val="16"/>
                <w:lang w:val="en-GB"/>
              </w:rPr>
              <w:t>]</w:t>
            </w:r>
          </w:p>
        </w:tc>
        <w:tc>
          <w:tcPr>
            <w:tcW w:w="0" w:type="auto"/>
            <w:vAlign w:val="center"/>
          </w:tcPr>
          <w:p w14:paraId="0903F40F" w14:textId="0E8B136B"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32.0</w:t>
            </w:r>
          </w:p>
        </w:tc>
        <w:tc>
          <w:tcPr>
            <w:tcW w:w="0" w:type="auto"/>
            <w:vAlign w:val="center"/>
          </w:tcPr>
          <w:p w14:paraId="7AC48479" w14:textId="33F9697D" w:rsidR="00A8433F" w:rsidRPr="00A8433F" w:rsidRDefault="00E26902"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[28</w:t>
            </w:r>
            <w:r w:rsidR="00A8433F" w:rsidRPr="00A8433F">
              <w:rPr>
                <w:rFonts w:ascii="Times New Roman" w:eastAsia="Times New Roman" w:hAnsi="Times New Roman" w:cs="Times New Roman"/>
                <w:color w:val="000000"/>
                <w:sz w:val="16"/>
                <w:szCs w:val="16"/>
                <w:lang w:val="en-GB"/>
              </w:rPr>
              <w:t>;38]</w:t>
            </w:r>
          </w:p>
        </w:tc>
        <w:tc>
          <w:tcPr>
            <w:tcW w:w="0" w:type="auto"/>
            <w:vAlign w:val="center"/>
          </w:tcPr>
          <w:p w14:paraId="637EC1D8" w14:textId="6765C6FE"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32.2</w:t>
            </w:r>
          </w:p>
        </w:tc>
        <w:tc>
          <w:tcPr>
            <w:tcW w:w="0" w:type="auto"/>
            <w:vAlign w:val="center"/>
          </w:tcPr>
          <w:p w14:paraId="26CB76BA" w14:textId="38F2CBA3" w:rsidR="00A8433F" w:rsidRPr="00A8433F" w:rsidRDefault="00A8433F"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w:t>
            </w:r>
            <w:r w:rsidR="00994B6A">
              <w:rPr>
                <w:rFonts w:ascii="Times New Roman" w:eastAsia="Times New Roman" w:hAnsi="Times New Roman" w:cs="Times New Roman"/>
                <w:color w:val="000000"/>
                <w:sz w:val="16"/>
                <w:szCs w:val="16"/>
                <w:lang w:val="en-GB"/>
              </w:rPr>
              <w:t>8</w:t>
            </w:r>
            <w:r w:rsidRPr="00A8433F">
              <w:rPr>
                <w:rFonts w:ascii="Times New Roman" w:eastAsia="Times New Roman" w:hAnsi="Times New Roman" w:cs="Times New Roman"/>
                <w:color w:val="000000"/>
                <w:sz w:val="16"/>
                <w:szCs w:val="16"/>
                <w:lang w:val="en-GB"/>
              </w:rPr>
              <w:t>;38]</w:t>
            </w:r>
          </w:p>
        </w:tc>
        <w:tc>
          <w:tcPr>
            <w:tcW w:w="0" w:type="auto"/>
            <w:vAlign w:val="center"/>
          </w:tcPr>
          <w:p w14:paraId="3DDD1F13" w14:textId="65BA7190"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33.6</w:t>
            </w:r>
          </w:p>
        </w:tc>
        <w:tc>
          <w:tcPr>
            <w:tcW w:w="0" w:type="auto"/>
            <w:vAlign w:val="center"/>
          </w:tcPr>
          <w:p w14:paraId="312451C1" w14:textId="3AAFB0A0" w:rsidR="00A8433F" w:rsidRPr="00A8433F" w:rsidRDefault="00994B6A"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[28;40]</w:t>
            </w:r>
          </w:p>
        </w:tc>
        <w:tc>
          <w:tcPr>
            <w:tcW w:w="0" w:type="auto"/>
            <w:vAlign w:val="center"/>
          </w:tcPr>
          <w:p w14:paraId="53445D25" w14:textId="6978F4CB"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33.8</w:t>
            </w:r>
          </w:p>
        </w:tc>
        <w:tc>
          <w:tcPr>
            <w:tcW w:w="0" w:type="auto"/>
            <w:vAlign w:val="center"/>
          </w:tcPr>
          <w:p w14:paraId="18D33696" w14:textId="3B42A348"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w:t>
            </w:r>
            <w:r w:rsidR="00994B6A">
              <w:rPr>
                <w:rFonts w:ascii="Times New Roman" w:eastAsia="Times New Roman" w:hAnsi="Times New Roman" w:cs="Times New Roman"/>
                <w:color w:val="000000"/>
                <w:sz w:val="16"/>
                <w:szCs w:val="16"/>
                <w:lang w:val="en-GB"/>
              </w:rPr>
              <w:t>28</w:t>
            </w:r>
            <w:r>
              <w:rPr>
                <w:rFonts w:ascii="Times New Roman" w:eastAsia="Times New Roman" w:hAnsi="Times New Roman" w:cs="Times New Roman"/>
                <w:color w:val="000000"/>
                <w:sz w:val="16"/>
                <w:szCs w:val="16"/>
                <w:lang w:val="en-GB"/>
              </w:rPr>
              <w:t>;40]</w:t>
            </w:r>
          </w:p>
        </w:tc>
      </w:tr>
      <w:tr w:rsidR="00994B6A" w:rsidRPr="00A8433F" w14:paraId="103BC94F" w14:textId="79E1E79D" w:rsidTr="00994B6A">
        <w:trPr>
          <w:trHeight w:val="227"/>
        </w:trPr>
        <w:tc>
          <w:tcPr>
            <w:tcW w:w="0" w:type="auto"/>
            <w:shd w:val="clear" w:color="auto" w:fill="auto"/>
            <w:noWrap/>
            <w:vAlign w:val="center"/>
          </w:tcPr>
          <w:p w14:paraId="7BBDCF05" w14:textId="11D77BA6" w:rsidR="00A8433F" w:rsidRPr="00A8433F" w:rsidRDefault="00A8433F" w:rsidP="00A8433F">
            <w:pPr>
              <w:ind w:left="231"/>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w:t>
            </w:r>
            <w:r w:rsidRPr="00A8433F">
              <w:rPr>
                <w:rFonts w:ascii="Times New Roman" w:eastAsia="Times New Roman" w:hAnsi="Times New Roman" w:cs="Times New Roman"/>
                <w:color w:val="000000"/>
                <w:sz w:val="16"/>
                <w:szCs w:val="16"/>
                <w:vertAlign w:val="superscript"/>
                <w:lang w:val="en-GB"/>
              </w:rPr>
              <w:t>th</w:t>
            </w:r>
            <w:r w:rsidRPr="00A8433F">
              <w:rPr>
                <w:rFonts w:ascii="Times New Roman" w:eastAsia="Times New Roman" w:hAnsi="Times New Roman" w:cs="Times New Roman"/>
                <w:color w:val="000000"/>
                <w:sz w:val="16"/>
                <w:szCs w:val="16"/>
                <w:lang w:val="en-GB"/>
              </w:rPr>
              <w:t xml:space="preserve"> Quintile; mean [IQR]</w:t>
            </w:r>
          </w:p>
        </w:tc>
        <w:tc>
          <w:tcPr>
            <w:tcW w:w="0" w:type="auto"/>
            <w:shd w:val="clear" w:color="auto" w:fill="auto"/>
            <w:noWrap/>
            <w:vAlign w:val="center"/>
          </w:tcPr>
          <w:p w14:paraId="3BBBE5FB" w14:textId="07EFF665"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53.7</w:t>
            </w:r>
          </w:p>
        </w:tc>
        <w:tc>
          <w:tcPr>
            <w:tcW w:w="0" w:type="auto"/>
            <w:vAlign w:val="center"/>
          </w:tcPr>
          <w:p w14:paraId="3272AF11" w14:textId="20D93784"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w:t>
            </w:r>
            <w:r w:rsidR="00E26902">
              <w:rPr>
                <w:rFonts w:ascii="Times New Roman" w:eastAsia="Times New Roman" w:hAnsi="Times New Roman" w:cs="Times New Roman"/>
                <w:color w:val="000000"/>
                <w:sz w:val="16"/>
                <w:szCs w:val="16"/>
                <w:lang w:val="en-GB"/>
              </w:rPr>
              <w:t>5</w:t>
            </w:r>
            <w:r w:rsidRPr="00A8433F">
              <w:rPr>
                <w:rFonts w:ascii="Times New Roman" w:eastAsia="Times New Roman" w:hAnsi="Times New Roman" w:cs="Times New Roman"/>
                <w:color w:val="000000"/>
                <w:sz w:val="16"/>
                <w:szCs w:val="16"/>
                <w:lang w:val="en-GB"/>
              </w:rPr>
              <w:t>;3,423]</w:t>
            </w:r>
          </w:p>
        </w:tc>
        <w:tc>
          <w:tcPr>
            <w:tcW w:w="0" w:type="auto"/>
            <w:shd w:val="clear" w:color="auto" w:fill="auto"/>
            <w:noWrap/>
            <w:vAlign w:val="center"/>
          </w:tcPr>
          <w:p w14:paraId="74B2F3B1" w14:textId="66A50D4C"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57.2</w:t>
            </w:r>
          </w:p>
        </w:tc>
        <w:tc>
          <w:tcPr>
            <w:tcW w:w="0" w:type="auto"/>
            <w:vAlign w:val="center"/>
          </w:tcPr>
          <w:p w14:paraId="25C1E177" w14:textId="74C36D8F"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w:t>
            </w:r>
            <w:r w:rsidR="00E26902">
              <w:rPr>
                <w:rFonts w:ascii="Times New Roman" w:eastAsia="Times New Roman" w:hAnsi="Times New Roman" w:cs="Times New Roman"/>
                <w:color w:val="000000"/>
                <w:sz w:val="16"/>
                <w:szCs w:val="16"/>
                <w:lang w:val="en-GB"/>
              </w:rPr>
              <w:t>5</w:t>
            </w:r>
            <w:r w:rsidRPr="00A8433F">
              <w:rPr>
                <w:rFonts w:ascii="Times New Roman" w:eastAsia="Times New Roman" w:hAnsi="Times New Roman" w:cs="Times New Roman"/>
                <w:color w:val="000000"/>
                <w:sz w:val="16"/>
                <w:szCs w:val="16"/>
                <w:lang w:val="en-GB"/>
              </w:rPr>
              <w:t>;6,938]</w:t>
            </w:r>
          </w:p>
        </w:tc>
        <w:tc>
          <w:tcPr>
            <w:tcW w:w="0" w:type="auto"/>
            <w:vAlign w:val="center"/>
          </w:tcPr>
          <w:p w14:paraId="336CAC66" w14:textId="42E0ADB6"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61.3</w:t>
            </w:r>
          </w:p>
        </w:tc>
        <w:tc>
          <w:tcPr>
            <w:tcW w:w="0" w:type="auto"/>
            <w:vAlign w:val="center"/>
          </w:tcPr>
          <w:p w14:paraId="06EC5A26" w14:textId="6AF81E19" w:rsidR="00A8433F" w:rsidRPr="00A8433F" w:rsidRDefault="00A8433F" w:rsidP="00E26902">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[38;3,423]</w:t>
            </w:r>
          </w:p>
        </w:tc>
        <w:tc>
          <w:tcPr>
            <w:tcW w:w="0" w:type="auto"/>
            <w:vAlign w:val="center"/>
          </w:tcPr>
          <w:p w14:paraId="635423CF" w14:textId="6567914A" w:rsidR="00A8433F" w:rsidRPr="00A8433F" w:rsidRDefault="0016418E"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62.3</w:t>
            </w:r>
          </w:p>
        </w:tc>
        <w:tc>
          <w:tcPr>
            <w:tcW w:w="0" w:type="auto"/>
            <w:vAlign w:val="center"/>
          </w:tcPr>
          <w:p w14:paraId="36223805" w14:textId="1E2CC8A1" w:rsidR="00A8433F"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[38</w:t>
            </w:r>
            <w:r w:rsidR="00A8433F" w:rsidRPr="00A8433F">
              <w:rPr>
                <w:rFonts w:ascii="Times New Roman" w:eastAsia="Times New Roman" w:hAnsi="Times New Roman" w:cs="Times New Roman"/>
                <w:color w:val="000000"/>
                <w:sz w:val="16"/>
                <w:szCs w:val="16"/>
                <w:lang w:val="en-GB"/>
              </w:rPr>
              <w:t>;2,74</w:t>
            </w:r>
            <w:r>
              <w:rPr>
                <w:rFonts w:ascii="Times New Roman" w:eastAsia="Times New Roman" w:hAnsi="Times New Roman" w:cs="Times New Roman"/>
                <w:color w:val="000000"/>
                <w:sz w:val="16"/>
                <w:szCs w:val="16"/>
                <w:lang w:val="en-GB"/>
              </w:rPr>
              <w:t>9</w:t>
            </w:r>
            <w:r w:rsidR="00A8433F" w:rsidRPr="00A8433F">
              <w:rPr>
                <w:rFonts w:ascii="Times New Roman" w:eastAsia="Times New Roman" w:hAnsi="Times New Roman" w:cs="Times New Roman"/>
                <w:color w:val="000000"/>
                <w:sz w:val="16"/>
                <w:szCs w:val="16"/>
                <w:lang w:val="en-GB"/>
              </w:rPr>
              <w:t>]</w:t>
            </w:r>
          </w:p>
        </w:tc>
        <w:tc>
          <w:tcPr>
            <w:tcW w:w="0" w:type="auto"/>
            <w:vAlign w:val="center"/>
          </w:tcPr>
          <w:p w14:paraId="3496C881" w14:textId="6C491E17"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63.3</w:t>
            </w:r>
          </w:p>
        </w:tc>
        <w:tc>
          <w:tcPr>
            <w:tcW w:w="0" w:type="auto"/>
            <w:vAlign w:val="center"/>
          </w:tcPr>
          <w:p w14:paraId="7F7F7CBC" w14:textId="36D58D64" w:rsidR="00A8433F" w:rsidRPr="00A8433F" w:rsidRDefault="00994B6A" w:rsidP="00E26902">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[40;3,444]</w:t>
            </w:r>
          </w:p>
        </w:tc>
        <w:tc>
          <w:tcPr>
            <w:tcW w:w="0" w:type="auto"/>
            <w:vAlign w:val="center"/>
          </w:tcPr>
          <w:p w14:paraId="6964E2F4" w14:textId="5C8E8E3F" w:rsidR="00A8433F" w:rsidRPr="00A8433F" w:rsidRDefault="00994B6A" w:rsidP="00A8433F">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65.0</w:t>
            </w:r>
          </w:p>
        </w:tc>
        <w:tc>
          <w:tcPr>
            <w:tcW w:w="0" w:type="auto"/>
            <w:vAlign w:val="center"/>
          </w:tcPr>
          <w:p w14:paraId="6A7F6B0B" w14:textId="593A391B" w:rsidR="00A8433F" w:rsidRPr="00A8433F" w:rsidRDefault="00A8433F"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w:t>
            </w:r>
            <w:r w:rsidR="00994B6A">
              <w:rPr>
                <w:rFonts w:ascii="Times New Roman" w:eastAsia="Times New Roman" w:hAnsi="Times New Roman" w:cs="Times New Roman"/>
                <w:color w:val="000000"/>
                <w:sz w:val="16"/>
                <w:szCs w:val="16"/>
                <w:lang w:val="en-GB"/>
              </w:rPr>
              <w:t>40</w:t>
            </w:r>
            <w:r>
              <w:rPr>
                <w:rFonts w:ascii="Times New Roman" w:eastAsia="Times New Roman" w:hAnsi="Times New Roman" w:cs="Times New Roman"/>
                <w:color w:val="000000"/>
                <w:sz w:val="16"/>
                <w:szCs w:val="16"/>
                <w:lang w:val="en-GB"/>
              </w:rPr>
              <w:t>;8,809]</w:t>
            </w:r>
          </w:p>
        </w:tc>
      </w:tr>
      <w:tr w:rsidR="00994B6A" w:rsidRPr="00A8433F" w14:paraId="0AC2EC82" w14:textId="353A6C53" w:rsidTr="00994B6A">
        <w:trPr>
          <w:trHeight w:val="227"/>
        </w:trPr>
        <w:tc>
          <w:tcPr>
            <w:tcW w:w="0" w:type="auto"/>
            <w:shd w:val="clear" w:color="auto" w:fill="auto"/>
            <w:noWrap/>
            <w:vAlign w:val="center"/>
            <w:hideMark/>
          </w:tcPr>
          <w:p w14:paraId="4E0BCE9E" w14:textId="27EB6430" w:rsidR="00A8433F" w:rsidRPr="00A8433F" w:rsidRDefault="00A8433F" w:rsidP="00A8433F">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Marital status</w:t>
            </w:r>
          </w:p>
        </w:tc>
        <w:tc>
          <w:tcPr>
            <w:tcW w:w="0" w:type="auto"/>
            <w:shd w:val="clear" w:color="auto" w:fill="auto"/>
            <w:noWrap/>
            <w:vAlign w:val="center"/>
            <w:hideMark/>
          </w:tcPr>
          <w:p w14:paraId="36026029" w14:textId="7777777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7F9C963D"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142FD9CB" w14:textId="64F7559F" w:rsidR="00A8433F" w:rsidRPr="00A8433F" w:rsidRDefault="00A8433F" w:rsidP="00A8433F">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26C88B47"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0FFF11A9" w14:textId="77777777"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41A3417D"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371E16DD" w14:textId="344B23A5"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0124DEA5"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0E05A81B" w14:textId="59CBF939"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512210C3" w14:textId="77777777" w:rsidR="00A8433F" w:rsidRPr="00A8433F" w:rsidRDefault="00A8433F" w:rsidP="00E26902">
            <w:pPr>
              <w:rPr>
                <w:rFonts w:ascii="Times New Roman" w:eastAsia="Times New Roman" w:hAnsi="Times New Roman" w:cs="Times New Roman"/>
                <w:color w:val="000000"/>
                <w:sz w:val="16"/>
                <w:szCs w:val="16"/>
                <w:lang w:val="en-GB"/>
              </w:rPr>
            </w:pPr>
          </w:p>
        </w:tc>
        <w:tc>
          <w:tcPr>
            <w:tcW w:w="0" w:type="auto"/>
            <w:vAlign w:val="center"/>
          </w:tcPr>
          <w:p w14:paraId="2E8475CA" w14:textId="58E12A56" w:rsidR="00A8433F" w:rsidRPr="00A8433F" w:rsidRDefault="00A8433F" w:rsidP="00A8433F">
            <w:pPr>
              <w:jc w:val="right"/>
              <w:rPr>
                <w:rFonts w:ascii="Times New Roman" w:eastAsia="Times New Roman" w:hAnsi="Times New Roman" w:cs="Times New Roman"/>
                <w:color w:val="000000"/>
                <w:sz w:val="16"/>
                <w:szCs w:val="16"/>
                <w:lang w:val="en-GB"/>
              </w:rPr>
            </w:pPr>
          </w:p>
        </w:tc>
        <w:tc>
          <w:tcPr>
            <w:tcW w:w="0" w:type="auto"/>
            <w:vAlign w:val="center"/>
          </w:tcPr>
          <w:p w14:paraId="1D5A7223" w14:textId="77777777" w:rsidR="00A8433F" w:rsidRPr="00A8433F" w:rsidRDefault="00A8433F" w:rsidP="00E26902">
            <w:pPr>
              <w:rPr>
                <w:rFonts w:ascii="Times New Roman" w:eastAsia="Times New Roman" w:hAnsi="Times New Roman" w:cs="Times New Roman"/>
                <w:color w:val="000000"/>
                <w:sz w:val="16"/>
                <w:szCs w:val="16"/>
                <w:lang w:val="en-GB"/>
              </w:rPr>
            </w:pPr>
          </w:p>
        </w:tc>
      </w:tr>
      <w:tr w:rsidR="00994B6A" w:rsidRPr="00A8433F" w14:paraId="2AAFB8F8" w14:textId="31D97538" w:rsidTr="00994B6A">
        <w:trPr>
          <w:trHeight w:val="227"/>
        </w:trPr>
        <w:tc>
          <w:tcPr>
            <w:tcW w:w="0" w:type="auto"/>
            <w:shd w:val="clear" w:color="auto" w:fill="auto"/>
            <w:noWrap/>
            <w:vAlign w:val="center"/>
            <w:hideMark/>
          </w:tcPr>
          <w:p w14:paraId="72F7EDB2" w14:textId="1D624E6D"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Married; n (%)</w:t>
            </w:r>
          </w:p>
        </w:tc>
        <w:tc>
          <w:tcPr>
            <w:tcW w:w="0" w:type="auto"/>
            <w:shd w:val="clear" w:color="auto" w:fill="auto"/>
            <w:noWrap/>
            <w:vAlign w:val="center"/>
          </w:tcPr>
          <w:p w14:paraId="2C66C7E4" w14:textId="24E77919"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12,819</w:t>
            </w:r>
          </w:p>
        </w:tc>
        <w:tc>
          <w:tcPr>
            <w:tcW w:w="0" w:type="auto"/>
            <w:vAlign w:val="center"/>
          </w:tcPr>
          <w:p w14:paraId="73FC66A2" w14:textId="0BBC0EB1"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(34.2)</w:t>
            </w:r>
          </w:p>
        </w:tc>
        <w:tc>
          <w:tcPr>
            <w:tcW w:w="0" w:type="auto"/>
            <w:shd w:val="clear" w:color="auto" w:fill="auto"/>
            <w:noWrap/>
            <w:vAlign w:val="center"/>
          </w:tcPr>
          <w:p w14:paraId="7E0F43FA" w14:textId="13A011B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16,372</w:t>
            </w:r>
          </w:p>
        </w:tc>
        <w:tc>
          <w:tcPr>
            <w:tcW w:w="0" w:type="auto"/>
            <w:vAlign w:val="center"/>
          </w:tcPr>
          <w:p w14:paraId="24EE146F" w14:textId="382C0BB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(43.7)</w:t>
            </w:r>
          </w:p>
        </w:tc>
        <w:tc>
          <w:tcPr>
            <w:tcW w:w="0" w:type="auto"/>
            <w:vAlign w:val="center"/>
          </w:tcPr>
          <w:p w14:paraId="2C68B007" w14:textId="0931EFE7"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19,016</w:t>
            </w:r>
          </w:p>
        </w:tc>
        <w:tc>
          <w:tcPr>
            <w:tcW w:w="0" w:type="auto"/>
            <w:vAlign w:val="center"/>
          </w:tcPr>
          <w:p w14:paraId="365CA177" w14:textId="65B2035A"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(41.7)</w:t>
            </w:r>
          </w:p>
        </w:tc>
        <w:tc>
          <w:tcPr>
            <w:tcW w:w="0" w:type="auto"/>
            <w:vAlign w:val="center"/>
          </w:tcPr>
          <w:p w14:paraId="32A3301F" w14:textId="3A0F452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23,665</w:t>
            </w:r>
          </w:p>
        </w:tc>
        <w:tc>
          <w:tcPr>
            <w:tcW w:w="0" w:type="auto"/>
            <w:vAlign w:val="center"/>
          </w:tcPr>
          <w:p w14:paraId="4687D85D" w14:textId="340F69C9"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(51.9)</w:t>
            </w:r>
          </w:p>
        </w:tc>
        <w:tc>
          <w:tcPr>
            <w:tcW w:w="0" w:type="auto"/>
            <w:vAlign w:val="center"/>
          </w:tcPr>
          <w:p w14:paraId="72ACDC73" w14:textId="6DE1658B"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51,740</w:t>
            </w:r>
          </w:p>
        </w:tc>
        <w:tc>
          <w:tcPr>
            <w:tcW w:w="0" w:type="auto"/>
            <w:vAlign w:val="center"/>
          </w:tcPr>
          <w:p w14:paraId="056CF390" w14:textId="347AC300"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(48.5)</w:t>
            </w:r>
          </w:p>
        </w:tc>
        <w:tc>
          <w:tcPr>
            <w:tcW w:w="0" w:type="auto"/>
            <w:vAlign w:val="center"/>
          </w:tcPr>
          <w:p w14:paraId="7AF7052B" w14:textId="3F5F83AC"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56,956</w:t>
            </w:r>
          </w:p>
        </w:tc>
        <w:tc>
          <w:tcPr>
            <w:tcW w:w="0" w:type="auto"/>
            <w:vAlign w:val="center"/>
          </w:tcPr>
          <w:p w14:paraId="7E72AA46" w14:textId="23B0A576"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(53.3)</w:t>
            </w:r>
          </w:p>
        </w:tc>
      </w:tr>
      <w:tr w:rsidR="00994B6A" w:rsidRPr="00A8433F" w14:paraId="498C2564" w14:textId="0FFB43D5" w:rsidTr="00994B6A">
        <w:trPr>
          <w:trHeight w:val="227"/>
        </w:trPr>
        <w:tc>
          <w:tcPr>
            <w:tcW w:w="0" w:type="auto"/>
            <w:shd w:val="clear" w:color="auto" w:fill="auto"/>
            <w:noWrap/>
            <w:vAlign w:val="center"/>
            <w:hideMark/>
          </w:tcPr>
          <w:p w14:paraId="3257D258" w14:textId="13F3327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Widowed; n (%)</w:t>
            </w:r>
          </w:p>
        </w:tc>
        <w:tc>
          <w:tcPr>
            <w:tcW w:w="0" w:type="auto"/>
            <w:shd w:val="clear" w:color="auto" w:fill="auto"/>
            <w:noWrap/>
            <w:vAlign w:val="center"/>
          </w:tcPr>
          <w:p w14:paraId="6E2D420C" w14:textId="0BB19A2C"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5,965</w:t>
            </w:r>
          </w:p>
        </w:tc>
        <w:tc>
          <w:tcPr>
            <w:tcW w:w="0" w:type="auto"/>
            <w:vAlign w:val="center"/>
          </w:tcPr>
          <w:p w14:paraId="00DA8037" w14:textId="5DF881A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(42.6)</w:t>
            </w:r>
          </w:p>
        </w:tc>
        <w:tc>
          <w:tcPr>
            <w:tcW w:w="0" w:type="auto"/>
            <w:shd w:val="clear" w:color="auto" w:fill="auto"/>
            <w:noWrap/>
            <w:vAlign w:val="center"/>
          </w:tcPr>
          <w:p w14:paraId="594BBC85" w14:textId="01041DB4"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15,351</w:t>
            </w:r>
          </w:p>
        </w:tc>
        <w:tc>
          <w:tcPr>
            <w:tcW w:w="0" w:type="auto"/>
            <w:vAlign w:val="center"/>
          </w:tcPr>
          <w:p w14:paraId="004E11B3" w14:textId="73111861"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(40.9)</w:t>
            </w:r>
          </w:p>
        </w:tc>
        <w:tc>
          <w:tcPr>
            <w:tcW w:w="0" w:type="auto"/>
            <w:vAlign w:val="center"/>
          </w:tcPr>
          <w:p w14:paraId="757A15C6" w14:textId="0253F8B4"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14,194</w:t>
            </w:r>
          </w:p>
        </w:tc>
        <w:tc>
          <w:tcPr>
            <w:tcW w:w="0" w:type="auto"/>
            <w:vAlign w:val="center"/>
          </w:tcPr>
          <w:p w14:paraId="30D2823A" w14:textId="4A74CA7B"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(31.1)</w:t>
            </w:r>
          </w:p>
        </w:tc>
        <w:tc>
          <w:tcPr>
            <w:tcW w:w="0" w:type="auto"/>
            <w:vAlign w:val="center"/>
          </w:tcPr>
          <w:p w14:paraId="11B79995" w14:textId="5843D5C8"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13,616</w:t>
            </w:r>
          </w:p>
        </w:tc>
        <w:tc>
          <w:tcPr>
            <w:tcW w:w="0" w:type="auto"/>
            <w:vAlign w:val="center"/>
          </w:tcPr>
          <w:p w14:paraId="3EE7FF0B" w14:textId="0514BD14"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(29.9)</w:t>
            </w:r>
          </w:p>
        </w:tc>
        <w:tc>
          <w:tcPr>
            <w:tcW w:w="0" w:type="auto"/>
            <w:vAlign w:val="center"/>
          </w:tcPr>
          <w:p w14:paraId="3C26302D" w14:textId="705448D4"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30,579</w:t>
            </w:r>
          </w:p>
        </w:tc>
        <w:tc>
          <w:tcPr>
            <w:tcW w:w="0" w:type="auto"/>
            <w:vAlign w:val="center"/>
          </w:tcPr>
          <w:p w14:paraId="0C1D8CEE" w14:textId="7956D7EE"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(28.7)</w:t>
            </w:r>
          </w:p>
        </w:tc>
        <w:tc>
          <w:tcPr>
            <w:tcW w:w="0" w:type="auto"/>
            <w:vAlign w:val="center"/>
          </w:tcPr>
          <w:p w14:paraId="7B5596FF" w14:textId="4E4B2F3B"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29,613</w:t>
            </w:r>
          </w:p>
        </w:tc>
        <w:tc>
          <w:tcPr>
            <w:tcW w:w="0" w:type="auto"/>
            <w:vAlign w:val="center"/>
          </w:tcPr>
          <w:p w14:paraId="3565F45B" w14:textId="1E90EE98"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(27.7)</w:t>
            </w:r>
          </w:p>
        </w:tc>
      </w:tr>
      <w:tr w:rsidR="00994B6A" w:rsidRPr="00A8433F" w14:paraId="554E5A39" w14:textId="235C26D2" w:rsidTr="00994B6A">
        <w:trPr>
          <w:trHeight w:val="227"/>
        </w:trPr>
        <w:tc>
          <w:tcPr>
            <w:tcW w:w="0" w:type="auto"/>
            <w:shd w:val="clear" w:color="auto" w:fill="auto"/>
            <w:noWrap/>
            <w:vAlign w:val="center"/>
            <w:hideMark/>
          </w:tcPr>
          <w:p w14:paraId="20833676" w14:textId="49B5B7AE"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Divorced; n (%)</w:t>
            </w:r>
          </w:p>
        </w:tc>
        <w:tc>
          <w:tcPr>
            <w:tcW w:w="0" w:type="auto"/>
            <w:shd w:val="clear" w:color="auto" w:fill="auto"/>
            <w:noWrap/>
            <w:vAlign w:val="center"/>
          </w:tcPr>
          <w:p w14:paraId="64CD0B21" w14:textId="1851CD9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5,428</w:t>
            </w:r>
          </w:p>
        </w:tc>
        <w:tc>
          <w:tcPr>
            <w:tcW w:w="0" w:type="auto"/>
            <w:vAlign w:val="center"/>
          </w:tcPr>
          <w:p w14:paraId="0ACD78D3" w14:textId="1B16B0A0"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(14.5)</w:t>
            </w:r>
          </w:p>
        </w:tc>
        <w:tc>
          <w:tcPr>
            <w:tcW w:w="0" w:type="auto"/>
            <w:shd w:val="clear" w:color="auto" w:fill="auto"/>
            <w:noWrap/>
            <w:vAlign w:val="center"/>
          </w:tcPr>
          <w:p w14:paraId="2930EF05" w14:textId="6DE60498"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3,778</w:t>
            </w:r>
          </w:p>
        </w:tc>
        <w:tc>
          <w:tcPr>
            <w:tcW w:w="0" w:type="auto"/>
            <w:vAlign w:val="center"/>
          </w:tcPr>
          <w:p w14:paraId="6429F9B1" w14:textId="6861EBC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(10.1)</w:t>
            </w:r>
          </w:p>
        </w:tc>
        <w:tc>
          <w:tcPr>
            <w:tcW w:w="0" w:type="auto"/>
            <w:vAlign w:val="center"/>
          </w:tcPr>
          <w:p w14:paraId="569E784F" w14:textId="63349FB5"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8,165</w:t>
            </w:r>
          </w:p>
        </w:tc>
        <w:tc>
          <w:tcPr>
            <w:tcW w:w="0" w:type="auto"/>
            <w:vAlign w:val="center"/>
          </w:tcPr>
          <w:p w14:paraId="5D62C29F" w14:textId="4A5D43E7"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(17.9)</w:t>
            </w:r>
          </w:p>
        </w:tc>
        <w:tc>
          <w:tcPr>
            <w:tcW w:w="0" w:type="auto"/>
            <w:vAlign w:val="center"/>
          </w:tcPr>
          <w:p w14:paraId="48623CB1" w14:textId="5E845DB2"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5,530</w:t>
            </w:r>
          </w:p>
        </w:tc>
        <w:tc>
          <w:tcPr>
            <w:tcW w:w="0" w:type="auto"/>
            <w:vAlign w:val="center"/>
          </w:tcPr>
          <w:p w14:paraId="7FA1A0D9" w14:textId="3DBABAAB"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(12.1)</w:t>
            </w:r>
          </w:p>
        </w:tc>
        <w:tc>
          <w:tcPr>
            <w:tcW w:w="0" w:type="auto"/>
            <w:vAlign w:val="center"/>
          </w:tcPr>
          <w:p w14:paraId="13288264" w14:textId="629E93E6"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16,609</w:t>
            </w:r>
          </w:p>
        </w:tc>
        <w:tc>
          <w:tcPr>
            <w:tcW w:w="0" w:type="auto"/>
            <w:vAlign w:val="center"/>
          </w:tcPr>
          <w:p w14:paraId="707025BF" w14:textId="469E02E6"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(15.6)</w:t>
            </w:r>
          </w:p>
        </w:tc>
        <w:tc>
          <w:tcPr>
            <w:tcW w:w="0" w:type="auto"/>
            <w:vAlign w:val="center"/>
          </w:tcPr>
          <w:p w14:paraId="0712A9FA" w14:textId="355FCACB"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13,683</w:t>
            </w:r>
          </w:p>
        </w:tc>
        <w:tc>
          <w:tcPr>
            <w:tcW w:w="0" w:type="auto"/>
            <w:vAlign w:val="center"/>
          </w:tcPr>
          <w:p w14:paraId="2149FF03" w14:textId="3C83FE5D"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(12.8)</w:t>
            </w:r>
          </w:p>
        </w:tc>
      </w:tr>
      <w:tr w:rsidR="00994B6A" w:rsidRPr="00A8433F" w14:paraId="207ECB6F" w14:textId="77777777" w:rsidTr="00994B6A">
        <w:trPr>
          <w:trHeight w:val="227"/>
        </w:trPr>
        <w:tc>
          <w:tcPr>
            <w:tcW w:w="0" w:type="auto"/>
            <w:shd w:val="clear" w:color="auto" w:fill="auto"/>
            <w:noWrap/>
            <w:vAlign w:val="center"/>
          </w:tcPr>
          <w:p w14:paraId="6FFD9605" w14:textId="0F432DD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Unmarried; n (%)</w:t>
            </w:r>
          </w:p>
        </w:tc>
        <w:tc>
          <w:tcPr>
            <w:tcW w:w="0" w:type="auto"/>
            <w:shd w:val="clear" w:color="auto" w:fill="auto"/>
            <w:noWrap/>
            <w:vAlign w:val="center"/>
          </w:tcPr>
          <w:p w14:paraId="6E712690" w14:textId="179F8D4B"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3,288</w:t>
            </w:r>
          </w:p>
        </w:tc>
        <w:tc>
          <w:tcPr>
            <w:tcW w:w="0" w:type="auto"/>
            <w:vAlign w:val="center"/>
          </w:tcPr>
          <w:p w14:paraId="05E1601F" w14:textId="55DA1FB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(8.8)</w:t>
            </w:r>
          </w:p>
        </w:tc>
        <w:tc>
          <w:tcPr>
            <w:tcW w:w="0" w:type="auto"/>
            <w:shd w:val="clear" w:color="auto" w:fill="auto"/>
            <w:noWrap/>
            <w:vAlign w:val="center"/>
          </w:tcPr>
          <w:p w14:paraId="323137D7" w14:textId="58B3073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1,999</w:t>
            </w:r>
          </w:p>
        </w:tc>
        <w:tc>
          <w:tcPr>
            <w:tcW w:w="0" w:type="auto"/>
            <w:vAlign w:val="center"/>
          </w:tcPr>
          <w:p w14:paraId="2537FDE3" w14:textId="3DF945E0"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(5.3)</w:t>
            </w:r>
          </w:p>
        </w:tc>
        <w:tc>
          <w:tcPr>
            <w:tcW w:w="0" w:type="auto"/>
            <w:vAlign w:val="center"/>
          </w:tcPr>
          <w:p w14:paraId="7013AB94" w14:textId="1FB0B11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4,227</w:t>
            </w:r>
          </w:p>
        </w:tc>
        <w:tc>
          <w:tcPr>
            <w:tcW w:w="0" w:type="auto"/>
            <w:vAlign w:val="center"/>
          </w:tcPr>
          <w:p w14:paraId="3DAA3CDC" w14:textId="071ECC0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(9.3)</w:t>
            </w:r>
          </w:p>
        </w:tc>
        <w:tc>
          <w:tcPr>
            <w:tcW w:w="0" w:type="auto"/>
            <w:vAlign w:val="center"/>
          </w:tcPr>
          <w:p w14:paraId="46ED9392" w14:textId="7503CCF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2,791</w:t>
            </w:r>
          </w:p>
        </w:tc>
        <w:tc>
          <w:tcPr>
            <w:tcW w:w="0" w:type="auto"/>
            <w:vAlign w:val="center"/>
          </w:tcPr>
          <w:p w14:paraId="2343251A" w14:textId="7E1E6A41"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(6.1)</w:t>
            </w:r>
          </w:p>
        </w:tc>
        <w:tc>
          <w:tcPr>
            <w:tcW w:w="0" w:type="auto"/>
            <w:vAlign w:val="center"/>
          </w:tcPr>
          <w:p w14:paraId="61F320D9" w14:textId="5DC9542C"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7,808</w:t>
            </w:r>
          </w:p>
        </w:tc>
        <w:tc>
          <w:tcPr>
            <w:tcW w:w="0" w:type="auto"/>
            <w:vAlign w:val="center"/>
          </w:tcPr>
          <w:p w14:paraId="47400CD5" w14:textId="636056D7"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(7.3)</w:t>
            </w:r>
          </w:p>
        </w:tc>
        <w:tc>
          <w:tcPr>
            <w:tcW w:w="0" w:type="auto"/>
            <w:vAlign w:val="center"/>
          </w:tcPr>
          <w:p w14:paraId="7F3925B6" w14:textId="36F397DA"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6,484</w:t>
            </w:r>
          </w:p>
        </w:tc>
        <w:tc>
          <w:tcPr>
            <w:tcW w:w="0" w:type="auto"/>
            <w:vAlign w:val="center"/>
          </w:tcPr>
          <w:p w14:paraId="4E68AB41" w14:textId="0797780F"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(6.1)</w:t>
            </w:r>
          </w:p>
        </w:tc>
      </w:tr>
      <w:tr w:rsidR="00994B6A" w:rsidRPr="00A8433F" w14:paraId="72C86773" w14:textId="77777777" w:rsidTr="00994B6A">
        <w:trPr>
          <w:trHeight w:val="227"/>
        </w:trPr>
        <w:tc>
          <w:tcPr>
            <w:tcW w:w="0" w:type="auto"/>
            <w:shd w:val="clear" w:color="auto" w:fill="auto"/>
            <w:noWrap/>
            <w:vAlign w:val="center"/>
          </w:tcPr>
          <w:p w14:paraId="580D7493" w14:textId="41A3F1A6"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Urban</w:t>
            </w:r>
          </w:p>
        </w:tc>
        <w:tc>
          <w:tcPr>
            <w:tcW w:w="0" w:type="auto"/>
            <w:shd w:val="clear" w:color="auto" w:fill="auto"/>
            <w:noWrap/>
            <w:vAlign w:val="center"/>
          </w:tcPr>
          <w:p w14:paraId="173E132E"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43729524"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shd w:val="clear" w:color="auto" w:fill="auto"/>
            <w:noWrap/>
            <w:vAlign w:val="center"/>
          </w:tcPr>
          <w:p w14:paraId="1DD06038"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E080B86"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75AF02F2"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610F400"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636D8807"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7C086130"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688556CF"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E604473"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2E2ED648" w14:textId="3F4DCCB0"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5DF4E37" w14:textId="77777777" w:rsidR="00994B6A" w:rsidRPr="00A8433F" w:rsidRDefault="00994B6A" w:rsidP="00994B6A">
            <w:pPr>
              <w:rPr>
                <w:rFonts w:ascii="Times New Roman" w:eastAsia="Times New Roman" w:hAnsi="Times New Roman" w:cs="Times New Roman"/>
                <w:color w:val="000000"/>
                <w:sz w:val="16"/>
                <w:szCs w:val="16"/>
                <w:lang w:val="en-GB"/>
              </w:rPr>
            </w:pPr>
          </w:p>
        </w:tc>
      </w:tr>
      <w:tr w:rsidR="00994B6A" w:rsidRPr="00A8433F" w14:paraId="3E8EAF8A" w14:textId="77777777" w:rsidTr="00994B6A">
        <w:trPr>
          <w:trHeight w:val="227"/>
        </w:trPr>
        <w:tc>
          <w:tcPr>
            <w:tcW w:w="0" w:type="auto"/>
            <w:shd w:val="clear" w:color="auto" w:fill="auto"/>
            <w:noWrap/>
            <w:vAlign w:val="center"/>
          </w:tcPr>
          <w:p w14:paraId="72C1692C" w14:textId="58576F0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Remote</w:t>
            </w:r>
          </w:p>
        </w:tc>
        <w:tc>
          <w:tcPr>
            <w:tcW w:w="0" w:type="auto"/>
            <w:shd w:val="clear" w:color="auto" w:fill="auto"/>
            <w:noWrap/>
            <w:vAlign w:val="center"/>
          </w:tcPr>
          <w:p w14:paraId="00ECB240" w14:textId="696FD60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4,185</w:t>
            </w:r>
          </w:p>
        </w:tc>
        <w:tc>
          <w:tcPr>
            <w:tcW w:w="0" w:type="auto"/>
            <w:vAlign w:val="center"/>
          </w:tcPr>
          <w:p w14:paraId="137EFF12" w14:textId="6505E2F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(11.2)</w:t>
            </w:r>
          </w:p>
        </w:tc>
        <w:tc>
          <w:tcPr>
            <w:tcW w:w="0" w:type="auto"/>
            <w:shd w:val="clear" w:color="auto" w:fill="auto"/>
            <w:noWrap/>
            <w:vAlign w:val="center"/>
          </w:tcPr>
          <w:p w14:paraId="0A0C0366" w14:textId="6DA607D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4,208</w:t>
            </w:r>
          </w:p>
        </w:tc>
        <w:tc>
          <w:tcPr>
            <w:tcW w:w="0" w:type="auto"/>
            <w:vAlign w:val="center"/>
          </w:tcPr>
          <w:p w14:paraId="09EB2554" w14:textId="312ED462"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(11.2)</w:t>
            </w:r>
          </w:p>
        </w:tc>
        <w:tc>
          <w:tcPr>
            <w:tcW w:w="0" w:type="auto"/>
            <w:vAlign w:val="center"/>
          </w:tcPr>
          <w:p w14:paraId="1D03CB5E" w14:textId="18A179BE"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4,362</w:t>
            </w:r>
          </w:p>
        </w:tc>
        <w:tc>
          <w:tcPr>
            <w:tcW w:w="0" w:type="auto"/>
            <w:vAlign w:val="center"/>
          </w:tcPr>
          <w:p w14:paraId="359D87B0" w14:textId="5F74FBE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(9.6)</w:t>
            </w:r>
          </w:p>
        </w:tc>
        <w:tc>
          <w:tcPr>
            <w:tcW w:w="0" w:type="auto"/>
            <w:vAlign w:val="center"/>
          </w:tcPr>
          <w:p w14:paraId="776B4569" w14:textId="2811EB81"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4,955</w:t>
            </w:r>
          </w:p>
        </w:tc>
        <w:tc>
          <w:tcPr>
            <w:tcW w:w="0" w:type="auto"/>
            <w:vAlign w:val="center"/>
          </w:tcPr>
          <w:p w14:paraId="6952C6D3" w14:textId="1B24AF7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(10.9)</w:t>
            </w:r>
          </w:p>
        </w:tc>
        <w:tc>
          <w:tcPr>
            <w:tcW w:w="0" w:type="auto"/>
            <w:vAlign w:val="center"/>
          </w:tcPr>
          <w:p w14:paraId="27A28C42" w14:textId="3708D4C1"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11,263</w:t>
            </w:r>
          </w:p>
        </w:tc>
        <w:tc>
          <w:tcPr>
            <w:tcW w:w="0" w:type="auto"/>
            <w:vAlign w:val="center"/>
          </w:tcPr>
          <w:p w14:paraId="21EB8044" w14:textId="22B5F7A8"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(10.6)</w:t>
            </w:r>
          </w:p>
        </w:tc>
        <w:tc>
          <w:tcPr>
            <w:tcW w:w="0" w:type="auto"/>
            <w:vAlign w:val="center"/>
          </w:tcPr>
          <w:p w14:paraId="62A484B2" w14:textId="15F0BE1A"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11,467</w:t>
            </w:r>
          </w:p>
        </w:tc>
        <w:tc>
          <w:tcPr>
            <w:tcW w:w="0" w:type="auto"/>
            <w:vAlign w:val="center"/>
          </w:tcPr>
          <w:p w14:paraId="5C839241" w14:textId="2539B7F0"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(10.7)</w:t>
            </w:r>
          </w:p>
        </w:tc>
      </w:tr>
      <w:tr w:rsidR="00994B6A" w:rsidRPr="00A8433F" w14:paraId="03441FF7" w14:textId="77777777" w:rsidTr="00994B6A">
        <w:trPr>
          <w:trHeight w:val="227"/>
        </w:trPr>
        <w:tc>
          <w:tcPr>
            <w:tcW w:w="0" w:type="auto"/>
            <w:shd w:val="clear" w:color="auto" w:fill="auto"/>
            <w:noWrap/>
            <w:vAlign w:val="center"/>
          </w:tcPr>
          <w:p w14:paraId="52774495" w14:textId="5288DF50"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Rural</w:t>
            </w:r>
          </w:p>
        </w:tc>
        <w:tc>
          <w:tcPr>
            <w:tcW w:w="0" w:type="auto"/>
            <w:shd w:val="clear" w:color="auto" w:fill="auto"/>
            <w:noWrap/>
            <w:vAlign w:val="center"/>
          </w:tcPr>
          <w:p w14:paraId="448EE710" w14:textId="7D69EA82"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10,971</w:t>
            </w:r>
          </w:p>
        </w:tc>
        <w:tc>
          <w:tcPr>
            <w:tcW w:w="0" w:type="auto"/>
            <w:vAlign w:val="center"/>
          </w:tcPr>
          <w:p w14:paraId="39432FF9" w14:textId="1812ABDB"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(29.3)</w:t>
            </w:r>
          </w:p>
        </w:tc>
        <w:tc>
          <w:tcPr>
            <w:tcW w:w="0" w:type="auto"/>
            <w:shd w:val="clear" w:color="auto" w:fill="auto"/>
            <w:noWrap/>
            <w:vAlign w:val="center"/>
          </w:tcPr>
          <w:p w14:paraId="61943128" w14:textId="15F569F4"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11,307</w:t>
            </w:r>
          </w:p>
        </w:tc>
        <w:tc>
          <w:tcPr>
            <w:tcW w:w="0" w:type="auto"/>
            <w:vAlign w:val="center"/>
          </w:tcPr>
          <w:p w14:paraId="0D2EB33C" w14:textId="1C51254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(30.2)</w:t>
            </w:r>
          </w:p>
        </w:tc>
        <w:tc>
          <w:tcPr>
            <w:tcW w:w="0" w:type="auto"/>
            <w:vAlign w:val="center"/>
          </w:tcPr>
          <w:p w14:paraId="539EC742" w14:textId="2F4D500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12,160</w:t>
            </w:r>
          </w:p>
        </w:tc>
        <w:tc>
          <w:tcPr>
            <w:tcW w:w="0" w:type="auto"/>
            <w:vAlign w:val="center"/>
          </w:tcPr>
          <w:p w14:paraId="0D4F0D3D" w14:textId="3E6262C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(26.7)</w:t>
            </w:r>
          </w:p>
        </w:tc>
        <w:tc>
          <w:tcPr>
            <w:tcW w:w="0" w:type="auto"/>
            <w:vAlign w:val="center"/>
          </w:tcPr>
          <w:p w14:paraId="2CBBA3F8" w14:textId="591595B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13,849</w:t>
            </w:r>
          </w:p>
        </w:tc>
        <w:tc>
          <w:tcPr>
            <w:tcW w:w="0" w:type="auto"/>
            <w:vAlign w:val="center"/>
          </w:tcPr>
          <w:p w14:paraId="358E2D86" w14:textId="696CF811"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(30.4)</w:t>
            </w:r>
          </w:p>
        </w:tc>
        <w:tc>
          <w:tcPr>
            <w:tcW w:w="0" w:type="auto"/>
            <w:vAlign w:val="center"/>
          </w:tcPr>
          <w:p w14:paraId="2A752BA6" w14:textId="1D566296"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30,300</w:t>
            </w:r>
          </w:p>
        </w:tc>
        <w:tc>
          <w:tcPr>
            <w:tcW w:w="0" w:type="auto"/>
            <w:vAlign w:val="center"/>
          </w:tcPr>
          <w:p w14:paraId="6C183B18" w14:textId="38EE22B3"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(28.4)</w:t>
            </w:r>
          </w:p>
        </w:tc>
        <w:tc>
          <w:tcPr>
            <w:tcW w:w="0" w:type="auto"/>
            <w:vAlign w:val="center"/>
          </w:tcPr>
          <w:p w14:paraId="78A005F8" w14:textId="5F5BE581"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32,290</w:t>
            </w:r>
          </w:p>
        </w:tc>
        <w:tc>
          <w:tcPr>
            <w:tcW w:w="0" w:type="auto"/>
            <w:vAlign w:val="center"/>
          </w:tcPr>
          <w:p w14:paraId="2E11FDD8" w14:textId="32523566"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(30.3)</w:t>
            </w:r>
          </w:p>
        </w:tc>
      </w:tr>
      <w:tr w:rsidR="00994B6A" w:rsidRPr="00A8433F" w14:paraId="4F91334B" w14:textId="77777777" w:rsidTr="00994B6A">
        <w:trPr>
          <w:trHeight w:val="227"/>
        </w:trPr>
        <w:tc>
          <w:tcPr>
            <w:tcW w:w="0" w:type="auto"/>
            <w:shd w:val="clear" w:color="auto" w:fill="auto"/>
            <w:noWrap/>
            <w:vAlign w:val="center"/>
          </w:tcPr>
          <w:p w14:paraId="6AF73ABA" w14:textId="4521F12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Intermediate</w:t>
            </w:r>
          </w:p>
        </w:tc>
        <w:tc>
          <w:tcPr>
            <w:tcW w:w="0" w:type="auto"/>
            <w:shd w:val="clear" w:color="auto" w:fill="auto"/>
            <w:noWrap/>
            <w:vAlign w:val="center"/>
          </w:tcPr>
          <w:p w14:paraId="2994D779" w14:textId="163E7018"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5,857</w:t>
            </w:r>
          </w:p>
        </w:tc>
        <w:tc>
          <w:tcPr>
            <w:tcW w:w="0" w:type="auto"/>
            <w:vAlign w:val="center"/>
          </w:tcPr>
          <w:p w14:paraId="4E1B17FF" w14:textId="7B1F3670"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(15.6)</w:t>
            </w:r>
          </w:p>
        </w:tc>
        <w:tc>
          <w:tcPr>
            <w:tcW w:w="0" w:type="auto"/>
            <w:shd w:val="clear" w:color="auto" w:fill="auto"/>
            <w:noWrap/>
            <w:vAlign w:val="center"/>
          </w:tcPr>
          <w:p w14:paraId="00745FB7" w14:textId="096C21A1"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5,885</w:t>
            </w:r>
          </w:p>
        </w:tc>
        <w:tc>
          <w:tcPr>
            <w:tcW w:w="0" w:type="auto"/>
            <w:vAlign w:val="center"/>
          </w:tcPr>
          <w:p w14:paraId="0B88AD4D" w14:textId="01E5E15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(15.7)</w:t>
            </w:r>
          </w:p>
        </w:tc>
        <w:tc>
          <w:tcPr>
            <w:tcW w:w="0" w:type="auto"/>
            <w:vAlign w:val="center"/>
          </w:tcPr>
          <w:p w14:paraId="156D10D5" w14:textId="2B9B538B"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6,826</w:t>
            </w:r>
          </w:p>
        </w:tc>
        <w:tc>
          <w:tcPr>
            <w:tcW w:w="0" w:type="auto"/>
            <w:vAlign w:val="center"/>
          </w:tcPr>
          <w:p w14:paraId="142B80A7" w14:textId="07540C24"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(15.0)</w:t>
            </w:r>
          </w:p>
        </w:tc>
        <w:tc>
          <w:tcPr>
            <w:tcW w:w="0" w:type="auto"/>
            <w:vAlign w:val="center"/>
          </w:tcPr>
          <w:p w14:paraId="63F34A83" w14:textId="59CB4004"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7,361</w:t>
            </w:r>
          </w:p>
        </w:tc>
        <w:tc>
          <w:tcPr>
            <w:tcW w:w="0" w:type="auto"/>
            <w:vAlign w:val="center"/>
          </w:tcPr>
          <w:p w14:paraId="077E82DC" w14:textId="1475A415"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(16.1)</w:t>
            </w:r>
          </w:p>
        </w:tc>
        <w:tc>
          <w:tcPr>
            <w:tcW w:w="0" w:type="auto"/>
            <w:vAlign w:val="center"/>
          </w:tcPr>
          <w:p w14:paraId="1B6EE613" w14:textId="52A9AFA0"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16,628</w:t>
            </w:r>
          </w:p>
        </w:tc>
        <w:tc>
          <w:tcPr>
            <w:tcW w:w="0" w:type="auto"/>
            <w:vAlign w:val="center"/>
          </w:tcPr>
          <w:p w14:paraId="087D2A91" w14:textId="08762ECD"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(15.6)</w:t>
            </w:r>
          </w:p>
        </w:tc>
        <w:tc>
          <w:tcPr>
            <w:tcW w:w="0" w:type="auto"/>
            <w:vAlign w:val="center"/>
          </w:tcPr>
          <w:p w14:paraId="44D6B0FA" w14:textId="11B90403"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17,128</w:t>
            </w:r>
          </w:p>
        </w:tc>
        <w:tc>
          <w:tcPr>
            <w:tcW w:w="0" w:type="auto"/>
            <w:vAlign w:val="center"/>
          </w:tcPr>
          <w:p w14:paraId="7B50386A" w14:textId="16D76146"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(16.1)</w:t>
            </w:r>
          </w:p>
        </w:tc>
      </w:tr>
      <w:tr w:rsidR="00994B6A" w:rsidRPr="00A8433F" w14:paraId="01B080CD" w14:textId="77777777" w:rsidTr="00994B6A">
        <w:trPr>
          <w:trHeight w:val="227"/>
        </w:trPr>
        <w:tc>
          <w:tcPr>
            <w:tcW w:w="0" w:type="auto"/>
            <w:shd w:val="clear" w:color="auto" w:fill="auto"/>
            <w:noWrap/>
            <w:vAlign w:val="center"/>
          </w:tcPr>
          <w:p w14:paraId="3F924ADA" w14:textId="72AA7C5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Urban</w:t>
            </w:r>
          </w:p>
        </w:tc>
        <w:tc>
          <w:tcPr>
            <w:tcW w:w="0" w:type="auto"/>
            <w:shd w:val="clear" w:color="auto" w:fill="auto"/>
            <w:noWrap/>
            <w:vAlign w:val="center"/>
          </w:tcPr>
          <w:p w14:paraId="6A4E6C94" w14:textId="1B60BD5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16,487</w:t>
            </w:r>
          </w:p>
        </w:tc>
        <w:tc>
          <w:tcPr>
            <w:tcW w:w="0" w:type="auto"/>
            <w:vAlign w:val="center"/>
          </w:tcPr>
          <w:p w14:paraId="5DA84C5F" w14:textId="69350415"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(44.0)</w:t>
            </w:r>
          </w:p>
        </w:tc>
        <w:tc>
          <w:tcPr>
            <w:tcW w:w="0" w:type="auto"/>
            <w:shd w:val="clear" w:color="auto" w:fill="auto"/>
            <w:noWrap/>
            <w:vAlign w:val="center"/>
          </w:tcPr>
          <w:p w14:paraId="1C86B3DA" w14:textId="35A0594A"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16,100</w:t>
            </w:r>
          </w:p>
        </w:tc>
        <w:tc>
          <w:tcPr>
            <w:tcW w:w="0" w:type="auto"/>
            <w:vAlign w:val="center"/>
          </w:tcPr>
          <w:p w14:paraId="76AE75C7" w14:textId="22EC32B7"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(42.9)</w:t>
            </w:r>
          </w:p>
        </w:tc>
        <w:tc>
          <w:tcPr>
            <w:tcW w:w="0" w:type="auto"/>
            <w:vAlign w:val="center"/>
          </w:tcPr>
          <w:p w14:paraId="1DE94D5B" w14:textId="11EE3B5C"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22,254</w:t>
            </w:r>
          </w:p>
        </w:tc>
        <w:tc>
          <w:tcPr>
            <w:tcW w:w="0" w:type="auto"/>
            <w:vAlign w:val="center"/>
          </w:tcPr>
          <w:p w14:paraId="1A494B7E" w14:textId="5A62473E"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(48.8)</w:t>
            </w:r>
          </w:p>
        </w:tc>
        <w:tc>
          <w:tcPr>
            <w:tcW w:w="0" w:type="auto"/>
            <w:vAlign w:val="center"/>
          </w:tcPr>
          <w:p w14:paraId="08E1D36E" w14:textId="21844580"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19,437</w:t>
            </w:r>
          </w:p>
        </w:tc>
        <w:tc>
          <w:tcPr>
            <w:tcW w:w="0" w:type="auto"/>
            <w:vAlign w:val="center"/>
          </w:tcPr>
          <w:p w14:paraId="5A78CE58" w14:textId="00246F6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(42.6)</w:t>
            </w:r>
          </w:p>
        </w:tc>
        <w:tc>
          <w:tcPr>
            <w:tcW w:w="0" w:type="auto"/>
            <w:vAlign w:val="center"/>
          </w:tcPr>
          <w:p w14:paraId="6790E653" w14:textId="6A3333A2"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48,545</w:t>
            </w:r>
          </w:p>
        </w:tc>
        <w:tc>
          <w:tcPr>
            <w:tcW w:w="0" w:type="auto"/>
            <w:vAlign w:val="center"/>
          </w:tcPr>
          <w:p w14:paraId="3CE0EE9F" w14:textId="16F9CE90"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(45.5)</w:t>
            </w:r>
          </w:p>
        </w:tc>
        <w:tc>
          <w:tcPr>
            <w:tcW w:w="0" w:type="auto"/>
            <w:vAlign w:val="center"/>
          </w:tcPr>
          <w:p w14:paraId="1C2F15E4" w14:textId="6BF4C839" w:rsidR="00994B6A" w:rsidRPr="00A8433F" w:rsidRDefault="00994B6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45,851</w:t>
            </w:r>
          </w:p>
        </w:tc>
        <w:tc>
          <w:tcPr>
            <w:tcW w:w="0" w:type="auto"/>
            <w:vAlign w:val="center"/>
          </w:tcPr>
          <w:p w14:paraId="55679448" w14:textId="376A14B3" w:rsidR="00994B6A" w:rsidRPr="00A8433F" w:rsidRDefault="00994B6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(43.0)</w:t>
            </w:r>
          </w:p>
        </w:tc>
      </w:tr>
      <w:tr w:rsidR="00994B6A" w:rsidRPr="00A8433F" w14:paraId="1D83A715" w14:textId="2EC8DCD3" w:rsidTr="00994B6A">
        <w:trPr>
          <w:trHeight w:val="227"/>
        </w:trPr>
        <w:tc>
          <w:tcPr>
            <w:tcW w:w="0" w:type="auto"/>
            <w:shd w:val="clear" w:color="auto" w:fill="auto"/>
            <w:noWrap/>
            <w:vAlign w:val="center"/>
            <w:hideMark/>
          </w:tcPr>
          <w:p w14:paraId="39E81A85" w14:textId="7A488A6F" w:rsidR="00994B6A" w:rsidRPr="00A8433F" w:rsidRDefault="00D53C3C" w:rsidP="00994B6A">
            <w:pPr>
              <w:rPr>
                <w:rFonts w:ascii="Times New Roman" w:eastAsia="Times New Roman" w:hAnsi="Times New Roman" w:cs="Times New Roman"/>
                <w:b/>
                <w:bCs/>
                <w:color w:val="000000"/>
                <w:sz w:val="16"/>
                <w:szCs w:val="16"/>
                <w:lang w:val="en-GB"/>
              </w:rPr>
            </w:pPr>
            <w:r>
              <w:rPr>
                <w:rFonts w:ascii="Times New Roman" w:eastAsia="Times New Roman" w:hAnsi="Times New Roman" w:cs="Times New Roman"/>
                <w:b/>
                <w:bCs/>
                <w:color w:val="000000"/>
                <w:sz w:val="16"/>
                <w:szCs w:val="16"/>
                <w:lang w:val="en-GB"/>
              </w:rPr>
              <w:t>Covariates</w:t>
            </w:r>
          </w:p>
        </w:tc>
        <w:tc>
          <w:tcPr>
            <w:tcW w:w="0" w:type="auto"/>
            <w:shd w:val="clear" w:color="auto" w:fill="auto"/>
            <w:noWrap/>
            <w:vAlign w:val="center"/>
            <w:hideMark/>
          </w:tcPr>
          <w:p w14:paraId="184E23AE"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45596D9B"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08BB8901" w14:textId="07A0F812"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3C0FF93B"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250455E7"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675E3D46"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71E77D69" w14:textId="30D14559"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2209424D"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02D9800B" w14:textId="76A48EDA"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296C0EB"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59AB8BC6" w14:textId="1964FEFC"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6ACC501C" w14:textId="77777777" w:rsidR="00994B6A" w:rsidRPr="00A8433F" w:rsidRDefault="00994B6A" w:rsidP="00994B6A">
            <w:pPr>
              <w:rPr>
                <w:rFonts w:ascii="Times New Roman" w:eastAsia="Times New Roman" w:hAnsi="Times New Roman" w:cs="Times New Roman"/>
                <w:color w:val="000000"/>
                <w:sz w:val="16"/>
                <w:szCs w:val="16"/>
                <w:lang w:val="en-GB"/>
              </w:rPr>
            </w:pPr>
          </w:p>
        </w:tc>
      </w:tr>
      <w:tr w:rsidR="00994B6A" w:rsidRPr="00A8433F" w14:paraId="752E07D0" w14:textId="3B2A2A9F" w:rsidTr="00994B6A">
        <w:trPr>
          <w:trHeight w:val="227"/>
        </w:trPr>
        <w:tc>
          <w:tcPr>
            <w:tcW w:w="0" w:type="auto"/>
            <w:shd w:val="clear" w:color="auto" w:fill="auto"/>
            <w:noWrap/>
            <w:vAlign w:val="center"/>
            <w:hideMark/>
          </w:tcPr>
          <w:p w14:paraId="5EADA18D" w14:textId="2EB5C399"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Smoking</w:t>
            </w:r>
            <w:r w:rsidR="00AA449C">
              <w:rPr>
                <w:rFonts w:ascii="Times New Roman" w:eastAsia="Times New Roman" w:hAnsi="Times New Roman" w:cs="Times New Roman"/>
                <w:color w:val="000000"/>
                <w:sz w:val="16"/>
                <w:szCs w:val="16"/>
                <w:lang w:val="en-GB"/>
              </w:rPr>
              <w:t xml:space="preserve"> (imputed)</w:t>
            </w:r>
          </w:p>
        </w:tc>
        <w:tc>
          <w:tcPr>
            <w:tcW w:w="0" w:type="auto"/>
            <w:shd w:val="clear" w:color="auto" w:fill="auto"/>
            <w:noWrap/>
            <w:vAlign w:val="center"/>
            <w:hideMark/>
          </w:tcPr>
          <w:p w14:paraId="461B7EA8"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1DE0DBF6"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27D6C41B" w14:textId="12CEAD73"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62877528"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337C5032"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2A79B21C"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4D43C9B4" w14:textId="25618D62"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8CB0A84"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61B6BE49" w14:textId="58413640"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0383E6E7"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0B08D27C" w14:textId="7C73DA20"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BB1F7B1" w14:textId="77777777" w:rsidR="00994B6A" w:rsidRPr="00A8433F" w:rsidRDefault="00994B6A" w:rsidP="00994B6A">
            <w:pPr>
              <w:rPr>
                <w:rFonts w:ascii="Times New Roman" w:eastAsia="Times New Roman" w:hAnsi="Times New Roman" w:cs="Times New Roman"/>
                <w:color w:val="000000"/>
                <w:sz w:val="16"/>
                <w:szCs w:val="16"/>
                <w:lang w:val="en-GB"/>
              </w:rPr>
            </w:pPr>
          </w:p>
        </w:tc>
      </w:tr>
      <w:tr w:rsidR="00994B6A" w:rsidRPr="00A8433F" w14:paraId="4580E667" w14:textId="55782AA6" w:rsidTr="00994B6A">
        <w:trPr>
          <w:trHeight w:val="227"/>
        </w:trPr>
        <w:tc>
          <w:tcPr>
            <w:tcW w:w="0" w:type="auto"/>
            <w:shd w:val="clear" w:color="auto" w:fill="auto"/>
            <w:noWrap/>
            <w:vAlign w:val="center"/>
            <w:hideMark/>
          </w:tcPr>
          <w:p w14:paraId="01EEA5C3" w14:textId="65293BA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Non-smoker; n (%)</w:t>
            </w:r>
          </w:p>
        </w:tc>
        <w:tc>
          <w:tcPr>
            <w:tcW w:w="0" w:type="auto"/>
            <w:shd w:val="clear" w:color="auto" w:fill="auto"/>
            <w:noWrap/>
            <w:vAlign w:val="center"/>
          </w:tcPr>
          <w:p w14:paraId="3B59CC3C" w14:textId="169151DC"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30,176</w:t>
            </w:r>
          </w:p>
        </w:tc>
        <w:tc>
          <w:tcPr>
            <w:tcW w:w="0" w:type="auto"/>
            <w:vAlign w:val="center"/>
          </w:tcPr>
          <w:p w14:paraId="36FF8E27" w14:textId="2CE0D5B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(80.5)</w:t>
            </w:r>
          </w:p>
        </w:tc>
        <w:tc>
          <w:tcPr>
            <w:tcW w:w="0" w:type="auto"/>
            <w:shd w:val="clear" w:color="auto" w:fill="auto"/>
            <w:noWrap/>
            <w:vAlign w:val="center"/>
          </w:tcPr>
          <w:p w14:paraId="7EFCDB95" w14:textId="3C62929E"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33,412</w:t>
            </w:r>
          </w:p>
        </w:tc>
        <w:tc>
          <w:tcPr>
            <w:tcW w:w="0" w:type="auto"/>
            <w:vAlign w:val="center"/>
          </w:tcPr>
          <w:p w14:paraId="65916540" w14:textId="043E97FB"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(89.1)</w:t>
            </w:r>
          </w:p>
        </w:tc>
        <w:tc>
          <w:tcPr>
            <w:tcW w:w="0" w:type="auto"/>
            <w:vAlign w:val="center"/>
          </w:tcPr>
          <w:p w14:paraId="5817F7F6" w14:textId="63192135"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39,031</w:t>
            </w:r>
          </w:p>
        </w:tc>
        <w:tc>
          <w:tcPr>
            <w:tcW w:w="0" w:type="auto"/>
            <w:vAlign w:val="center"/>
          </w:tcPr>
          <w:p w14:paraId="7354786E" w14:textId="43C89C8A"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(85.6)</w:t>
            </w:r>
          </w:p>
        </w:tc>
        <w:tc>
          <w:tcPr>
            <w:tcW w:w="0" w:type="auto"/>
            <w:vAlign w:val="center"/>
          </w:tcPr>
          <w:p w14:paraId="11B61BFE" w14:textId="2347958E"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41,397</w:t>
            </w:r>
          </w:p>
        </w:tc>
        <w:tc>
          <w:tcPr>
            <w:tcW w:w="0" w:type="auto"/>
            <w:vAlign w:val="center"/>
          </w:tcPr>
          <w:p w14:paraId="65C9259A" w14:textId="586917E2"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(90.8)</w:t>
            </w:r>
          </w:p>
        </w:tc>
        <w:tc>
          <w:tcPr>
            <w:tcW w:w="0" w:type="auto"/>
            <w:vAlign w:val="center"/>
          </w:tcPr>
          <w:p w14:paraId="5F766B5A" w14:textId="2950B005"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95,181</w:t>
            </w:r>
          </w:p>
        </w:tc>
        <w:tc>
          <w:tcPr>
            <w:tcW w:w="0" w:type="auto"/>
            <w:vAlign w:val="center"/>
          </w:tcPr>
          <w:p w14:paraId="3FE0A9A8" w14:textId="0F30B5DF"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(89.2)</w:t>
            </w:r>
          </w:p>
        </w:tc>
        <w:tc>
          <w:tcPr>
            <w:tcW w:w="0" w:type="auto"/>
            <w:vAlign w:val="center"/>
          </w:tcPr>
          <w:p w14:paraId="752AB017" w14:textId="21C85157"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97,537</w:t>
            </w:r>
          </w:p>
        </w:tc>
        <w:tc>
          <w:tcPr>
            <w:tcW w:w="0" w:type="auto"/>
            <w:vAlign w:val="center"/>
          </w:tcPr>
          <w:p w14:paraId="7E090AFA" w14:textId="3BD12895"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(91.4)</w:t>
            </w:r>
          </w:p>
        </w:tc>
      </w:tr>
      <w:tr w:rsidR="00994B6A" w:rsidRPr="00A8433F" w14:paraId="56ED5809" w14:textId="3BF70F82" w:rsidTr="00994B6A">
        <w:trPr>
          <w:trHeight w:val="227"/>
        </w:trPr>
        <w:tc>
          <w:tcPr>
            <w:tcW w:w="0" w:type="auto"/>
            <w:shd w:val="clear" w:color="auto" w:fill="auto"/>
            <w:noWrap/>
            <w:vAlign w:val="center"/>
            <w:hideMark/>
          </w:tcPr>
          <w:p w14:paraId="7D13E03F" w14:textId="79E33216"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Smoker; n (%)</w:t>
            </w:r>
          </w:p>
        </w:tc>
        <w:tc>
          <w:tcPr>
            <w:tcW w:w="0" w:type="auto"/>
            <w:shd w:val="clear" w:color="auto" w:fill="auto"/>
            <w:noWrap/>
            <w:vAlign w:val="center"/>
          </w:tcPr>
          <w:p w14:paraId="7E8EC120" w14:textId="7A78D0AC"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7,324</w:t>
            </w:r>
          </w:p>
        </w:tc>
        <w:tc>
          <w:tcPr>
            <w:tcW w:w="0" w:type="auto"/>
            <w:vAlign w:val="center"/>
          </w:tcPr>
          <w:p w14:paraId="054734D0" w14:textId="504EA8D1"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(19.5)</w:t>
            </w:r>
          </w:p>
        </w:tc>
        <w:tc>
          <w:tcPr>
            <w:tcW w:w="0" w:type="auto"/>
            <w:shd w:val="clear" w:color="auto" w:fill="auto"/>
            <w:noWrap/>
            <w:vAlign w:val="center"/>
          </w:tcPr>
          <w:p w14:paraId="4593ECB9" w14:textId="5DF1A9D4"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4,088</w:t>
            </w:r>
          </w:p>
        </w:tc>
        <w:tc>
          <w:tcPr>
            <w:tcW w:w="0" w:type="auto"/>
            <w:vAlign w:val="center"/>
          </w:tcPr>
          <w:p w14:paraId="3CC73AAD" w14:textId="6EFD0C05"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(10.9)</w:t>
            </w:r>
          </w:p>
        </w:tc>
        <w:tc>
          <w:tcPr>
            <w:tcW w:w="0" w:type="auto"/>
            <w:vAlign w:val="center"/>
          </w:tcPr>
          <w:p w14:paraId="01AE161D" w14:textId="14CFB9B9"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6,571</w:t>
            </w:r>
          </w:p>
        </w:tc>
        <w:tc>
          <w:tcPr>
            <w:tcW w:w="0" w:type="auto"/>
            <w:vAlign w:val="center"/>
          </w:tcPr>
          <w:p w14:paraId="44A01DA9" w14:textId="10CA8122"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(14.4)</w:t>
            </w:r>
          </w:p>
        </w:tc>
        <w:tc>
          <w:tcPr>
            <w:tcW w:w="0" w:type="auto"/>
            <w:vAlign w:val="center"/>
          </w:tcPr>
          <w:p w14:paraId="055F76F3" w14:textId="47874748"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4,205</w:t>
            </w:r>
          </w:p>
        </w:tc>
        <w:tc>
          <w:tcPr>
            <w:tcW w:w="0" w:type="auto"/>
            <w:vAlign w:val="center"/>
          </w:tcPr>
          <w:p w14:paraId="533A9E5A" w14:textId="52C61E54"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(9.2)</w:t>
            </w:r>
          </w:p>
        </w:tc>
        <w:tc>
          <w:tcPr>
            <w:tcW w:w="0" w:type="auto"/>
            <w:vAlign w:val="center"/>
          </w:tcPr>
          <w:p w14:paraId="139A8CFF" w14:textId="0A540E9C"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11,555</w:t>
            </w:r>
          </w:p>
        </w:tc>
        <w:tc>
          <w:tcPr>
            <w:tcW w:w="0" w:type="auto"/>
            <w:vAlign w:val="center"/>
          </w:tcPr>
          <w:p w14:paraId="35C1B611" w14:textId="41395B53"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(10.8)</w:t>
            </w:r>
          </w:p>
        </w:tc>
        <w:tc>
          <w:tcPr>
            <w:tcW w:w="0" w:type="auto"/>
            <w:vAlign w:val="center"/>
          </w:tcPr>
          <w:p w14:paraId="322E68B3" w14:textId="7E88F1D9"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9,199</w:t>
            </w:r>
          </w:p>
        </w:tc>
        <w:tc>
          <w:tcPr>
            <w:tcW w:w="0" w:type="auto"/>
            <w:vAlign w:val="center"/>
          </w:tcPr>
          <w:p w14:paraId="101ABD47" w14:textId="10C39FAB"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(8.6)</w:t>
            </w:r>
          </w:p>
        </w:tc>
      </w:tr>
      <w:tr w:rsidR="00994B6A" w:rsidRPr="00A8433F" w14:paraId="35C49FC6" w14:textId="6CDC1878" w:rsidTr="00994B6A">
        <w:trPr>
          <w:trHeight w:val="227"/>
        </w:trPr>
        <w:tc>
          <w:tcPr>
            <w:tcW w:w="0" w:type="auto"/>
            <w:shd w:val="clear" w:color="auto" w:fill="auto"/>
            <w:noWrap/>
            <w:vAlign w:val="center"/>
            <w:hideMark/>
          </w:tcPr>
          <w:p w14:paraId="6A574183" w14:textId="4112D6E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Alcohol</w:t>
            </w:r>
            <w:r w:rsidR="00AA449C">
              <w:rPr>
                <w:rFonts w:ascii="Times New Roman" w:eastAsia="Times New Roman" w:hAnsi="Times New Roman" w:cs="Times New Roman"/>
                <w:color w:val="000000"/>
                <w:sz w:val="16"/>
                <w:szCs w:val="16"/>
                <w:lang w:val="en-GB"/>
              </w:rPr>
              <w:t xml:space="preserve"> (imputed)</w:t>
            </w:r>
          </w:p>
        </w:tc>
        <w:tc>
          <w:tcPr>
            <w:tcW w:w="0" w:type="auto"/>
            <w:shd w:val="clear" w:color="auto" w:fill="auto"/>
            <w:noWrap/>
            <w:vAlign w:val="center"/>
          </w:tcPr>
          <w:p w14:paraId="30791C2D"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0191CF38"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shd w:val="clear" w:color="auto" w:fill="auto"/>
            <w:noWrap/>
            <w:vAlign w:val="center"/>
          </w:tcPr>
          <w:p w14:paraId="313ABF2B" w14:textId="45441F1D"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4D4190B9"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37BDA03E"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D490764"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040779C7" w14:textId="4D9EB9C1"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FC092D1"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7BF1E45C" w14:textId="0AD9C754"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3AAFA598"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1B3809C5" w14:textId="63728044"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2A39EF7" w14:textId="77777777" w:rsidR="00994B6A" w:rsidRPr="00A8433F" w:rsidRDefault="00994B6A" w:rsidP="00994B6A">
            <w:pPr>
              <w:rPr>
                <w:rFonts w:ascii="Times New Roman" w:eastAsia="Times New Roman" w:hAnsi="Times New Roman" w:cs="Times New Roman"/>
                <w:color w:val="000000"/>
                <w:sz w:val="16"/>
                <w:szCs w:val="16"/>
                <w:lang w:val="en-GB"/>
              </w:rPr>
            </w:pPr>
          </w:p>
        </w:tc>
      </w:tr>
      <w:tr w:rsidR="00994B6A" w:rsidRPr="00A8433F" w14:paraId="2EB352B6" w14:textId="6A164ECE" w:rsidTr="00994B6A">
        <w:trPr>
          <w:trHeight w:val="227"/>
        </w:trPr>
        <w:tc>
          <w:tcPr>
            <w:tcW w:w="0" w:type="auto"/>
            <w:shd w:val="clear" w:color="auto" w:fill="auto"/>
            <w:noWrap/>
            <w:vAlign w:val="center"/>
            <w:hideMark/>
          </w:tcPr>
          <w:p w14:paraId="53324FE3" w14:textId="1C0578D2"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Non-drinker; n (%)</w:t>
            </w:r>
          </w:p>
        </w:tc>
        <w:tc>
          <w:tcPr>
            <w:tcW w:w="0" w:type="auto"/>
            <w:shd w:val="clear" w:color="auto" w:fill="auto"/>
            <w:noWrap/>
            <w:vAlign w:val="center"/>
          </w:tcPr>
          <w:p w14:paraId="4C2F92F4" w14:textId="2AAAA359"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33,794</w:t>
            </w:r>
          </w:p>
        </w:tc>
        <w:tc>
          <w:tcPr>
            <w:tcW w:w="0" w:type="auto"/>
            <w:vAlign w:val="center"/>
          </w:tcPr>
          <w:p w14:paraId="6668A222" w14:textId="6D36EDFA"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(90.1)</w:t>
            </w:r>
          </w:p>
        </w:tc>
        <w:tc>
          <w:tcPr>
            <w:tcW w:w="0" w:type="auto"/>
            <w:shd w:val="clear" w:color="auto" w:fill="auto"/>
            <w:noWrap/>
            <w:vAlign w:val="center"/>
          </w:tcPr>
          <w:p w14:paraId="58256C29" w14:textId="49D5A9C4"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36,653</w:t>
            </w:r>
          </w:p>
        </w:tc>
        <w:tc>
          <w:tcPr>
            <w:tcW w:w="0" w:type="auto"/>
            <w:vAlign w:val="center"/>
          </w:tcPr>
          <w:p w14:paraId="7DCFBBE2" w14:textId="65CC5B4A"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(97.7)</w:t>
            </w:r>
          </w:p>
        </w:tc>
        <w:tc>
          <w:tcPr>
            <w:tcW w:w="0" w:type="auto"/>
            <w:vAlign w:val="center"/>
          </w:tcPr>
          <w:p w14:paraId="5D108602" w14:textId="5EE1A80D"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39,137</w:t>
            </w:r>
          </w:p>
        </w:tc>
        <w:tc>
          <w:tcPr>
            <w:tcW w:w="0" w:type="auto"/>
            <w:vAlign w:val="center"/>
          </w:tcPr>
          <w:p w14:paraId="771C644D" w14:textId="494F14E9"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(85.8)</w:t>
            </w:r>
          </w:p>
        </w:tc>
        <w:tc>
          <w:tcPr>
            <w:tcW w:w="0" w:type="auto"/>
            <w:vAlign w:val="center"/>
          </w:tcPr>
          <w:p w14:paraId="3FAFFC2D" w14:textId="5A7B456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44,316</w:t>
            </w:r>
          </w:p>
        </w:tc>
        <w:tc>
          <w:tcPr>
            <w:tcW w:w="0" w:type="auto"/>
            <w:vAlign w:val="center"/>
          </w:tcPr>
          <w:p w14:paraId="53910F79" w14:textId="04B9B7C7"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(97.2)</w:t>
            </w:r>
          </w:p>
        </w:tc>
        <w:tc>
          <w:tcPr>
            <w:tcW w:w="0" w:type="auto"/>
            <w:vAlign w:val="center"/>
          </w:tcPr>
          <w:p w14:paraId="70744F2E" w14:textId="728BB241"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98,583</w:t>
            </w:r>
          </w:p>
        </w:tc>
        <w:tc>
          <w:tcPr>
            <w:tcW w:w="0" w:type="auto"/>
            <w:vAlign w:val="center"/>
          </w:tcPr>
          <w:p w14:paraId="18F1458B" w14:textId="308B0026"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(92.4)</w:t>
            </w:r>
          </w:p>
        </w:tc>
        <w:tc>
          <w:tcPr>
            <w:tcW w:w="0" w:type="auto"/>
            <w:vAlign w:val="center"/>
          </w:tcPr>
          <w:p w14:paraId="32CFBA0C" w14:textId="35450DEA"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103,691</w:t>
            </w:r>
          </w:p>
        </w:tc>
        <w:tc>
          <w:tcPr>
            <w:tcW w:w="0" w:type="auto"/>
            <w:vAlign w:val="center"/>
          </w:tcPr>
          <w:p w14:paraId="74DA364F" w14:textId="35035DDD" w:rsidR="00994B6A" w:rsidRPr="00A8433F" w:rsidRDefault="005A6FAA" w:rsidP="005A6FA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(97.1)</w:t>
            </w:r>
          </w:p>
        </w:tc>
      </w:tr>
      <w:tr w:rsidR="00994B6A" w:rsidRPr="00A8433F" w14:paraId="7BD61C42" w14:textId="7262701A" w:rsidTr="00994B6A">
        <w:trPr>
          <w:trHeight w:val="227"/>
        </w:trPr>
        <w:tc>
          <w:tcPr>
            <w:tcW w:w="0" w:type="auto"/>
            <w:shd w:val="clear" w:color="auto" w:fill="auto"/>
            <w:noWrap/>
            <w:vAlign w:val="center"/>
            <w:hideMark/>
          </w:tcPr>
          <w:p w14:paraId="3078E696" w14:textId="18F8C976"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Drinker; n (%)</w:t>
            </w:r>
          </w:p>
        </w:tc>
        <w:tc>
          <w:tcPr>
            <w:tcW w:w="0" w:type="auto"/>
            <w:shd w:val="clear" w:color="auto" w:fill="auto"/>
            <w:noWrap/>
            <w:vAlign w:val="center"/>
          </w:tcPr>
          <w:p w14:paraId="2932D37F" w14:textId="6EC2AB1C"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3,706</w:t>
            </w:r>
          </w:p>
        </w:tc>
        <w:tc>
          <w:tcPr>
            <w:tcW w:w="0" w:type="auto"/>
            <w:vAlign w:val="center"/>
          </w:tcPr>
          <w:p w14:paraId="20FB5D54" w14:textId="4B65E360"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(9.9)</w:t>
            </w:r>
          </w:p>
        </w:tc>
        <w:tc>
          <w:tcPr>
            <w:tcW w:w="0" w:type="auto"/>
            <w:shd w:val="clear" w:color="auto" w:fill="auto"/>
            <w:noWrap/>
            <w:vAlign w:val="center"/>
          </w:tcPr>
          <w:p w14:paraId="1DE88229" w14:textId="4922D32B"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847</w:t>
            </w:r>
          </w:p>
        </w:tc>
        <w:tc>
          <w:tcPr>
            <w:tcW w:w="0" w:type="auto"/>
            <w:vAlign w:val="center"/>
          </w:tcPr>
          <w:p w14:paraId="18677017" w14:textId="666F1A49"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(2.3)</w:t>
            </w:r>
          </w:p>
        </w:tc>
        <w:tc>
          <w:tcPr>
            <w:tcW w:w="0" w:type="auto"/>
            <w:vAlign w:val="center"/>
          </w:tcPr>
          <w:p w14:paraId="25B32AEE" w14:textId="06B8FD5B"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6,465</w:t>
            </w:r>
          </w:p>
        </w:tc>
        <w:tc>
          <w:tcPr>
            <w:tcW w:w="0" w:type="auto"/>
            <w:vAlign w:val="center"/>
          </w:tcPr>
          <w:p w14:paraId="2AAD034E" w14:textId="24E6B0E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(14.2)</w:t>
            </w:r>
          </w:p>
        </w:tc>
        <w:tc>
          <w:tcPr>
            <w:tcW w:w="0" w:type="auto"/>
            <w:vAlign w:val="center"/>
          </w:tcPr>
          <w:p w14:paraId="4CC72DED" w14:textId="23DEE9A5"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1,286</w:t>
            </w:r>
          </w:p>
        </w:tc>
        <w:tc>
          <w:tcPr>
            <w:tcW w:w="0" w:type="auto"/>
            <w:vAlign w:val="center"/>
          </w:tcPr>
          <w:p w14:paraId="7707BE5C" w14:textId="7EFD907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(2.8)</w:t>
            </w:r>
          </w:p>
        </w:tc>
        <w:tc>
          <w:tcPr>
            <w:tcW w:w="0" w:type="auto"/>
            <w:vAlign w:val="center"/>
          </w:tcPr>
          <w:p w14:paraId="7CB382AF" w14:textId="42578880"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8,153</w:t>
            </w:r>
          </w:p>
        </w:tc>
        <w:tc>
          <w:tcPr>
            <w:tcW w:w="0" w:type="auto"/>
            <w:vAlign w:val="center"/>
          </w:tcPr>
          <w:p w14:paraId="2217CB21" w14:textId="6BE0DF0B"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(7.6)</w:t>
            </w:r>
          </w:p>
        </w:tc>
        <w:tc>
          <w:tcPr>
            <w:tcW w:w="0" w:type="auto"/>
            <w:vAlign w:val="center"/>
          </w:tcPr>
          <w:p w14:paraId="23590F7F" w14:textId="6383764C"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3,045</w:t>
            </w:r>
          </w:p>
        </w:tc>
        <w:tc>
          <w:tcPr>
            <w:tcW w:w="0" w:type="auto"/>
            <w:vAlign w:val="center"/>
          </w:tcPr>
          <w:p w14:paraId="45739BF1" w14:textId="47F6876E"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(2.9)</w:t>
            </w:r>
          </w:p>
        </w:tc>
      </w:tr>
      <w:tr w:rsidR="00994B6A" w:rsidRPr="00A8433F" w14:paraId="4B61E9F6" w14:textId="7F32482F" w:rsidTr="00994B6A">
        <w:trPr>
          <w:trHeight w:val="227"/>
        </w:trPr>
        <w:tc>
          <w:tcPr>
            <w:tcW w:w="0" w:type="auto"/>
            <w:gridSpan w:val="2"/>
            <w:shd w:val="clear" w:color="auto" w:fill="auto"/>
            <w:noWrap/>
            <w:vAlign w:val="center"/>
            <w:hideMark/>
          </w:tcPr>
          <w:p w14:paraId="6007071C" w14:textId="77777777"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Charlson comorbidity index</w:t>
            </w:r>
          </w:p>
        </w:tc>
        <w:tc>
          <w:tcPr>
            <w:tcW w:w="0" w:type="auto"/>
            <w:vAlign w:val="center"/>
          </w:tcPr>
          <w:p w14:paraId="11823D56"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shd w:val="clear" w:color="auto" w:fill="auto"/>
            <w:noWrap/>
            <w:vAlign w:val="center"/>
            <w:hideMark/>
          </w:tcPr>
          <w:p w14:paraId="08A8B62F" w14:textId="66381B75"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w:t>
            </w:r>
          </w:p>
        </w:tc>
        <w:tc>
          <w:tcPr>
            <w:tcW w:w="0" w:type="auto"/>
            <w:vAlign w:val="center"/>
          </w:tcPr>
          <w:p w14:paraId="6F4C1D12"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603E6059" w14:textId="77777777"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109F3780"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133FAEF0" w14:textId="4A649B1B"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D51F063"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389A8D50" w14:textId="7F1ED803"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5CA0D7B9" w14:textId="77777777" w:rsidR="00994B6A" w:rsidRPr="00A8433F" w:rsidRDefault="00994B6A" w:rsidP="00994B6A">
            <w:pPr>
              <w:rPr>
                <w:rFonts w:ascii="Times New Roman" w:eastAsia="Times New Roman" w:hAnsi="Times New Roman" w:cs="Times New Roman"/>
                <w:color w:val="000000"/>
                <w:sz w:val="16"/>
                <w:szCs w:val="16"/>
                <w:lang w:val="en-GB"/>
              </w:rPr>
            </w:pPr>
          </w:p>
        </w:tc>
        <w:tc>
          <w:tcPr>
            <w:tcW w:w="0" w:type="auto"/>
            <w:vAlign w:val="center"/>
          </w:tcPr>
          <w:p w14:paraId="5DC90A91" w14:textId="05D878D9" w:rsidR="00994B6A" w:rsidRPr="00A8433F" w:rsidRDefault="00994B6A" w:rsidP="00994B6A">
            <w:pPr>
              <w:jc w:val="right"/>
              <w:rPr>
                <w:rFonts w:ascii="Times New Roman" w:eastAsia="Times New Roman" w:hAnsi="Times New Roman" w:cs="Times New Roman"/>
                <w:color w:val="000000"/>
                <w:sz w:val="16"/>
                <w:szCs w:val="16"/>
                <w:lang w:val="en-GB"/>
              </w:rPr>
            </w:pPr>
          </w:p>
        </w:tc>
        <w:tc>
          <w:tcPr>
            <w:tcW w:w="0" w:type="auto"/>
            <w:vAlign w:val="center"/>
          </w:tcPr>
          <w:p w14:paraId="470838E5" w14:textId="77777777" w:rsidR="00994B6A" w:rsidRPr="00A8433F" w:rsidRDefault="00994B6A" w:rsidP="00994B6A">
            <w:pPr>
              <w:rPr>
                <w:rFonts w:ascii="Times New Roman" w:eastAsia="Times New Roman" w:hAnsi="Times New Roman" w:cs="Times New Roman"/>
                <w:color w:val="000000"/>
                <w:sz w:val="16"/>
                <w:szCs w:val="16"/>
                <w:lang w:val="en-GB"/>
              </w:rPr>
            </w:pPr>
          </w:p>
        </w:tc>
      </w:tr>
      <w:tr w:rsidR="00994B6A" w:rsidRPr="00A8433F" w14:paraId="3D8CAFDD" w14:textId="217B92EB" w:rsidTr="00994B6A">
        <w:trPr>
          <w:trHeight w:val="227"/>
        </w:trPr>
        <w:tc>
          <w:tcPr>
            <w:tcW w:w="0" w:type="auto"/>
            <w:shd w:val="clear" w:color="auto" w:fill="auto"/>
            <w:noWrap/>
            <w:vAlign w:val="center"/>
            <w:hideMark/>
          </w:tcPr>
          <w:p w14:paraId="065967C0" w14:textId="55A1ECB9"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lastRenderedPageBreak/>
              <w:t xml:space="preserve">    None; n (%)</w:t>
            </w:r>
          </w:p>
        </w:tc>
        <w:tc>
          <w:tcPr>
            <w:tcW w:w="0" w:type="auto"/>
            <w:shd w:val="clear" w:color="auto" w:fill="auto"/>
            <w:noWrap/>
            <w:vAlign w:val="center"/>
          </w:tcPr>
          <w:p w14:paraId="2EEDDB03" w14:textId="3AD6A607"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9,040</w:t>
            </w:r>
          </w:p>
        </w:tc>
        <w:tc>
          <w:tcPr>
            <w:tcW w:w="0" w:type="auto"/>
            <w:vAlign w:val="center"/>
          </w:tcPr>
          <w:p w14:paraId="2825717A" w14:textId="28E0A88E"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(24.1)</w:t>
            </w:r>
          </w:p>
        </w:tc>
        <w:tc>
          <w:tcPr>
            <w:tcW w:w="0" w:type="auto"/>
            <w:shd w:val="clear" w:color="auto" w:fill="auto"/>
            <w:noWrap/>
            <w:vAlign w:val="center"/>
          </w:tcPr>
          <w:p w14:paraId="75F7C6A5" w14:textId="006518BD"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15,669</w:t>
            </w:r>
          </w:p>
        </w:tc>
        <w:tc>
          <w:tcPr>
            <w:tcW w:w="0" w:type="auto"/>
            <w:vAlign w:val="center"/>
          </w:tcPr>
          <w:p w14:paraId="7921B476" w14:textId="297C7C19"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(41.8)</w:t>
            </w:r>
          </w:p>
        </w:tc>
        <w:tc>
          <w:tcPr>
            <w:tcW w:w="0" w:type="auto"/>
            <w:vAlign w:val="center"/>
          </w:tcPr>
          <w:p w14:paraId="1705BD56" w14:textId="64D51DDC"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17,355</w:t>
            </w:r>
          </w:p>
        </w:tc>
        <w:tc>
          <w:tcPr>
            <w:tcW w:w="0" w:type="auto"/>
            <w:vAlign w:val="center"/>
          </w:tcPr>
          <w:p w14:paraId="5101290E" w14:textId="7842CF74"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(38.1)</w:t>
            </w:r>
          </w:p>
        </w:tc>
        <w:tc>
          <w:tcPr>
            <w:tcW w:w="0" w:type="auto"/>
            <w:vAlign w:val="center"/>
          </w:tcPr>
          <w:p w14:paraId="282F43CD" w14:textId="2BEF6237"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23,181</w:t>
            </w:r>
          </w:p>
        </w:tc>
        <w:tc>
          <w:tcPr>
            <w:tcW w:w="0" w:type="auto"/>
            <w:vAlign w:val="center"/>
          </w:tcPr>
          <w:p w14:paraId="6488AA32" w14:textId="152C72C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(50.8)</w:t>
            </w:r>
          </w:p>
        </w:tc>
        <w:tc>
          <w:tcPr>
            <w:tcW w:w="0" w:type="auto"/>
            <w:vAlign w:val="center"/>
          </w:tcPr>
          <w:p w14:paraId="627076D2" w14:textId="227E26DF"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52,707</w:t>
            </w:r>
          </w:p>
        </w:tc>
        <w:tc>
          <w:tcPr>
            <w:tcW w:w="0" w:type="auto"/>
            <w:vAlign w:val="center"/>
          </w:tcPr>
          <w:p w14:paraId="650E6113" w14:textId="7166868B"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(49.4)</w:t>
            </w:r>
          </w:p>
        </w:tc>
        <w:tc>
          <w:tcPr>
            <w:tcW w:w="0" w:type="auto"/>
            <w:vAlign w:val="center"/>
          </w:tcPr>
          <w:p w14:paraId="210DD328" w14:textId="3596FBFF"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56,811</w:t>
            </w:r>
          </w:p>
        </w:tc>
        <w:tc>
          <w:tcPr>
            <w:tcW w:w="0" w:type="auto"/>
            <w:vAlign w:val="center"/>
          </w:tcPr>
          <w:p w14:paraId="1CC0002A" w14:textId="29AAF0CB"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(53.2)</w:t>
            </w:r>
          </w:p>
        </w:tc>
      </w:tr>
      <w:tr w:rsidR="00994B6A" w:rsidRPr="00A8433F" w14:paraId="383FBF51" w14:textId="0CD306FB" w:rsidTr="00994B6A">
        <w:trPr>
          <w:trHeight w:val="227"/>
        </w:trPr>
        <w:tc>
          <w:tcPr>
            <w:tcW w:w="0" w:type="auto"/>
            <w:shd w:val="clear" w:color="auto" w:fill="auto"/>
            <w:noWrap/>
            <w:vAlign w:val="center"/>
            <w:hideMark/>
          </w:tcPr>
          <w:p w14:paraId="594377F1" w14:textId="4003678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Mild; n (%)</w:t>
            </w:r>
          </w:p>
        </w:tc>
        <w:tc>
          <w:tcPr>
            <w:tcW w:w="0" w:type="auto"/>
            <w:shd w:val="clear" w:color="auto" w:fill="auto"/>
            <w:noWrap/>
            <w:vAlign w:val="center"/>
          </w:tcPr>
          <w:p w14:paraId="0C5D3D68" w14:textId="74783D3A"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7,854</w:t>
            </w:r>
          </w:p>
        </w:tc>
        <w:tc>
          <w:tcPr>
            <w:tcW w:w="0" w:type="auto"/>
            <w:vAlign w:val="center"/>
          </w:tcPr>
          <w:p w14:paraId="08FF9A96" w14:textId="022A340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(20.9)</w:t>
            </w:r>
          </w:p>
        </w:tc>
        <w:tc>
          <w:tcPr>
            <w:tcW w:w="0" w:type="auto"/>
            <w:shd w:val="clear" w:color="auto" w:fill="auto"/>
            <w:noWrap/>
            <w:vAlign w:val="center"/>
          </w:tcPr>
          <w:p w14:paraId="700984FD" w14:textId="21AB3FF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6,945</w:t>
            </w:r>
          </w:p>
        </w:tc>
        <w:tc>
          <w:tcPr>
            <w:tcW w:w="0" w:type="auto"/>
            <w:vAlign w:val="center"/>
          </w:tcPr>
          <w:p w14:paraId="4DD3FC7D" w14:textId="2D43ADD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(18.5)</w:t>
            </w:r>
          </w:p>
        </w:tc>
        <w:tc>
          <w:tcPr>
            <w:tcW w:w="0" w:type="auto"/>
            <w:vAlign w:val="center"/>
          </w:tcPr>
          <w:p w14:paraId="156B88DE" w14:textId="50A67575"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8,641</w:t>
            </w:r>
          </w:p>
        </w:tc>
        <w:tc>
          <w:tcPr>
            <w:tcW w:w="0" w:type="auto"/>
            <w:vAlign w:val="center"/>
          </w:tcPr>
          <w:p w14:paraId="341D0C3F" w14:textId="7DA509D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(19.0)</w:t>
            </w:r>
          </w:p>
        </w:tc>
        <w:tc>
          <w:tcPr>
            <w:tcW w:w="0" w:type="auto"/>
            <w:vAlign w:val="center"/>
          </w:tcPr>
          <w:p w14:paraId="5E28EAE2" w14:textId="2A2E1096"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7,536</w:t>
            </w:r>
          </w:p>
        </w:tc>
        <w:tc>
          <w:tcPr>
            <w:tcW w:w="0" w:type="auto"/>
            <w:vAlign w:val="center"/>
          </w:tcPr>
          <w:p w14:paraId="22C6193A" w14:textId="04EBE763"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(16.5)</w:t>
            </w:r>
          </w:p>
        </w:tc>
        <w:tc>
          <w:tcPr>
            <w:tcW w:w="0" w:type="auto"/>
            <w:vAlign w:val="center"/>
          </w:tcPr>
          <w:p w14:paraId="6AFB8590" w14:textId="2C8F4AB6"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18,323</w:t>
            </w:r>
          </w:p>
        </w:tc>
        <w:tc>
          <w:tcPr>
            <w:tcW w:w="0" w:type="auto"/>
            <w:vAlign w:val="center"/>
          </w:tcPr>
          <w:p w14:paraId="1D0171BA" w14:textId="0544725E"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(17.2)</w:t>
            </w:r>
          </w:p>
        </w:tc>
        <w:tc>
          <w:tcPr>
            <w:tcW w:w="0" w:type="auto"/>
            <w:vAlign w:val="center"/>
          </w:tcPr>
          <w:p w14:paraId="50E4C55C" w14:textId="14D824A5"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17,212</w:t>
            </w:r>
          </w:p>
        </w:tc>
        <w:tc>
          <w:tcPr>
            <w:tcW w:w="0" w:type="auto"/>
            <w:vAlign w:val="center"/>
          </w:tcPr>
          <w:p w14:paraId="16BF75BF" w14:textId="128C411F"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(16.1)</w:t>
            </w:r>
          </w:p>
        </w:tc>
      </w:tr>
      <w:tr w:rsidR="00994B6A" w:rsidRPr="00A8433F" w14:paraId="24BC962F" w14:textId="4A14DA75" w:rsidTr="00994B6A">
        <w:trPr>
          <w:trHeight w:val="227"/>
        </w:trPr>
        <w:tc>
          <w:tcPr>
            <w:tcW w:w="0" w:type="auto"/>
            <w:shd w:val="clear" w:color="auto" w:fill="auto"/>
            <w:noWrap/>
            <w:vAlign w:val="center"/>
            <w:hideMark/>
          </w:tcPr>
          <w:p w14:paraId="009B655D" w14:textId="5DA846BD"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Moderate; n (%)</w:t>
            </w:r>
          </w:p>
        </w:tc>
        <w:tc>
          <w:tcPr>
            <w:tcW w:w="0" w:type="auto"/>
            <w:shd w:val="clear" w:color="auto" w:fill="auto"/>
            <w:noWrap/>
            <w:vAlign w:val="center"/>
          </w:tcPr>
          <w:p w14:paraId="648C5994" w14:textId="598BB499"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7,068</w:t>
            </w:r>
          </w:p>
        </w:tc>
        <w:tc>
          <w:tcPr>
            <w:tcW w:w="0" w:type="auto"/>
            <w:vAlign w:val="center"/>
          </w:tcPr>
          <w:p w14:paraId="5951728D" w14:textId="5DEA70C6"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(18.9)</w:t>
            </w:r>
          </w:p>
        </w:tc>
        <w:tc>
          <w:tcPr>
            <w:tcW w:w="0" w:type="auto"/>
            <w:shd w:val="clear" w:color="auto" w:fill="auto"/>
            <w:noWrap/>
            <w:vAlign w:val="center"/>
          </w:tcPr>
          <w:p w14:paraId="775576D4" w14:textId="5D00EC8E"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6,315</w:t>
            </w:r>
          </w:p>
        </w:tc>
        <w:tc>
          <w:tcPr>
            <w:tcW w:w="0" w:type="auto"/>
            <w:vAlign w:val="center"/>
          </w:tcPr>
          <w:p w14:paraId="4627860D" w14:textId="11165DC0"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(16.8)</w:t>
            </w:r>
          </w:p>
        </w:tc>
        <w:tc>
          <w:tcPr>
            <w:tcW w:w="0" w:type="auto"/>
            <w:vAlign w:val="center"/>
          </w:tcPr>
          <w:p w14:paraId="7D757A3F" w14:textId="4F83DC68"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7,419</w:t>
            </w:r>
          </w:p>
        </w:tc>
        <w:tc>
          <w:tcPr>
            <w:tcW w:w="0" w:type="auto"/>
            <w:vAlign w:val="center"/>
          </w:tcPr>
          <w:p w14:paraId="0D789254" w14:textId="721A7FC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(16.3)</w:t>
            </w:r>
          </w:p>
        </w:tc>
        <w:tc>
          <w:tcPr>
            <w:tcW w:w="0" w:type="auto"/>
            <w:vAlign w:val="center"/>
          </w:tcPr>
          <w:p w14:paraId="247435DF" w14:textId="643B2630"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6,690</w:t>
            </w:r>
          </w:p>
        </w:tc>
        <w:tc>
          <w:tcPr>
            <w:tcW w:w="0" w:type="auto"/>
            <w:vAlign w:val="center"/>
          </w:tcPr>
          <w:p w14:paraId="53E03FFA" w14:textId="69186FB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(14.7)</w:t>
            </w:r>
          </w:p>
        </w:tc>
        <w:tc>
          <w:tcPr>
            <w:tcW w:w="0" w:type="auto"/>
            <w:vAlign w:val="center"/>
          </w:tcPr>
          <w:p w14:paraId="00301A80" w14:textId="0F754E1F"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15,866</w:t>
            </w:r>
          </w:p>
        </w:tc>
        <w:tc>
          <w:tcPr>
            <w:tcW w:w="0" w:type="auto"/>
            <w:vAlign w:val="center"/>
          </w:tcPr>
          <w:p w14:paraId="26DE9EFF" w14:textId="2DE43AF8"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(14.9)</w:t>
            </w:r>
          </w:p>
        </w:tc>
        <w:tc>
          <w:tcPr>
            <w:tcW w:w="0" w:type="auto"/>
            <w:vAlign w:val="center"/>
          </w:tcPr>
          <w:p w14:paraId="4A9010D3" w14:textId="481546CF"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15,125</w:t>
            </w:r>
          </w:p>
        </w:tc>
        <w:tc>
          <w:tcPr>
            <w:tcW w:w="0" w:type="auto"/>
            <w:vAlign w:val="center"/>
          </w:tcPr>
          <w:p w14:paraId="1D0D8B94" w14:textId="0B889A18"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(14.2)</w:t>
            </w:r>
          </w:p>
        </w:tc>
      </w:tr>
      <w:tr w:rsidR="00994B6A" w:rsidRPr="00A8433F" w14:paraId="48FB056A" w14:textId="2BB074C6" w:rsidTr="000408E8">
        <w:trPr>
          <w:trHeight w:val="227"/>
        </w:trPr>
        <w:tc>
          <w:tcPr>
            <w:tcW w:w="0" w:type="auto"/>
            <w:shd w:val="clear" w:color="auto" w:fill="auto"/>
            <w:noWrap/>
            <w:vAlign w:val="center"/>
            <w:hideMark/>
          </w:tcPr>
          <w:p w14:paraId="71DA4397" w14:textId="1BAEBB8C"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 xml:space="preserve">    Severe; n (%)</w:t>
            </w:r>
          </w:p>
        </w:tc>
        <w:tc>
          <w:tcPr>
            <w:tcW w:w="0" w:type="auto"/>
            <w:shd w:val="clear" w:color="auto" w:fill="auto"/>
            <w:noWrap/>
            <w:vAlign w:val="center"/>
          </w:tcPr>
          <w:p w14:paraId="5D5FF2BD" w14:textId="0673488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13,538</w:t>
            </w:r>
          </w:p>
        </w:tc>
        <w:tc>
          <w:tcPr>
            <w:tcW w:w="0" w:type="auto"/>
            <w:vAlign w:val="center"/>
          </w:tcPr>
          <w:p w14:paraId="5435AC6B" w14:textId="7EC2DEA8"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(36.1)</w:t>
            </w:r>
          </w:p>
        </w:tc>
        <w:tc>
          <w:tcPr>
            <w:tcW w:w="0" w:type="auto"/>
            <w:shd w:val="clear" w:color="auto" w:fill="auto"/>
            <w:noWrap/>
            <w:vAlign w:val="center"/>
          </w:tcPr>
          <w:p w14:paraId="44F0124E" w14:textId="1EC7C767"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8,571</w:t>
            </w:r>
          </w:p>
        </w:tc>
        <w:tc>
          <w:tcPr>
            <w:tcW w:w="0" w:type="auto"/>
            <w:vAlign w:val="center"/>
          </w:tcPr>
          <w:p w14:paraId="5F4D91A5" w14:textId="1BF36956"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(22.9)</w:t>
            </w:r>
          </w:p>
        </w:tc>
        <w:tc>
          <w:tcPr>
            <w:tcW w:w="0" w:type="auto"/>
            <w:vAlign w:val="center"/>
          </w:tcPr>
          <w:p w14:paraId="0897032E" w14:textId="3D09F35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12,187</w:t>
            </w:r>
          </w:p>
        </w:tc>
        <w:tc>
          <w:tcPr>
            <w:tcW w:w="0" w:type="auto"/>
            <w:vAlign w:val="center"/>
          </w:tcPr>
          <w:p w14:paraId="3C170D24" w14:textId="698D704F"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(26.7)</w:t>
            </w:r>
          </w:p>
        </w:tc>
        <w:tc>
          <w:tcPr>
            <w:tcW w:w="0" w:type="auto"/>
            <w:vAlign w:val="center"/>
          </w:tcPr>
          <w:p w14:paraId="4911EBD0" w14:textId="66E689AF" w:rsidR="00994B6A" w:rsidRPr="00A8433F" w:rsidRDefault="00994B6A" w:rsidP="00994B6A">
            <w:pPr>
              <w:jc w:val="right"/>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8,195</w:t>
            </w:r>
          </w:p>
        </w:tc>
        <w:tc>
          <w:tcPr>
            <w:tcW w:w="0" w:type="auto"/>
            <w:vAlign w:val="center"/>
          </w:tcPr>
          <w:p w14:paraId="62E6BDC4" w14:textId="6982CCDE" w:rsidR="00994B6A" w:rsidRPr="00A8433F" w:rsidRDefault="00994B6A" w:rsidP="00994B6A">
            <w:pPr>
              <w:rPr>
                <w:rFonts w:ascii="Times New Roman" w:eastAsia="Times New Roman" w:hAnsi="Times New Roman" w:cs="Times New Roman"/>
                <w:color w:val="000000"/>
                <w:sz w:val="16"/>
                <w:szCs w:val="16"/>
                <w:lang w:val="en-GB"/>
              </w:rPr>
            </w:pPr>
            <w:r w:rsidRPr="00A8433F">
              <w:rPr>
                <w:rFonts w:ascii="Times New Roman" w:eastAsia="Times New Roman" w:hAnsi="Times New Roman" w:cs="Times New Roman"/>
                <w:color w:val="000000"/>
                <w:sz w:val="16"/>
                <w:szCs w:val="16"/>
                <w:lang w:val="en-GB"/>
              </w:rPr>
              <w:t>(18.0)</w:t>
            </w:r>
          </w:p>
        </w:tc>
        <w:tc>
          <w:tcPr>
            <w:tcW w:w="0" w:type="auto"/>
            <w:vAlign w:val="center"/>
          </w:tcPr>
          <w:p w14:paraId="40151024" w14:textId="09D91DE9"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19,840</w:t>
            </w:r>
          </w:p>
        </w:tc>
        <w:tc>
          <w:tcPr>
            <w:tcW w:w="0" w:type="auto"/>
            <w:vAlign w:val="center"/>
          </w:tcPr>
          <w:p w14:paraId="4DECEC7F" w14:textId="27B70620"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(18.6)</w:t>
            </w:r>
          </w:p>
        </w:tc>
        <w:tc>
          <w:tcPr>
            <w:tcW w:w="0" w:type="auto"/>
            <w:vAlign w:val="center"/>
          </w:tcPr>
          <w:p w14:paraId="6ABEDE8C" w14:textId="68BBD709" w:rsidR="00994B6A" w:rsidRPr="00A8433F" w:rsidRDefault="005A6FAA"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17,588</w:t>
            </w:r>
          </w:p>
        </w:tc>
        <w:tc>
          <w:tcPr>
            <w:tcW w:w="0" w:type="auto"/>
            <w:vAlign w:val="center"/>
          </w:tcPr>
          <w:p w14:paraId="2B7C98C3" w14:textId="07E5876A" w:rsidR="00994B6A" w:rsidRPr="00A8433F" w:rsidRDefault="005A6FAA"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(16.5)</w:t>
            </w:r>
          </w:p>
        </w:tc>
      </w:tr>
      <w:tr w:rsidR="003D66AC" w:rsidRPr="00A8433F" w14:paraId="28D8869D" w14:textId="77777777" w:rsidTr="00994B6A">
        <w:trPr>
          <w:trHeight w:val="227"/>
        </w:trPr>
        <w:tc>
          <w:tcPr>
            <w:tcW w:w="0" w:type="auto"/>
            <w:tcBorders>
              <w:bottom w:val="single" w:sz="18" w:space="0" w:color="auto"/>
            </w:tcBorders>
            <w:shd w:val="clear" w:color="auto" w:fill="auto"/>
            <w:noWrap/>
            <w:vAlign w:val="center"/>
          </w:tcPr>
          <w:p w14:paraId="3939E27C" w14:textId="4600745F" w:rsidR="003D66AC" w:rsidRPr="00A8433F" w:rsidRDefault="003D66AC" w:rsidP="003D66AC">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Previous OP medication</w:t>
            </w:r>
          </w:p>
        </w:tc>
        <w:tc>
          <w:tcPr>
            <w:tcW w:w="0" w:type="auto"/>
            <w:tcBorders>
              <w:bottom w:val="single" w:sz="18" w:space="0" w:color="auto"/>
            </w:tcBorders>
            <w:shd w:val="clear" w:color="auto" w:fill="auto"/>
            <w:noWrap/>
            <w:vAlign w:val="center"/>
          </w:tcPr>
          <w:p w14:paraId="7CB27E05" w14:textId="39EEFB3F" w:rsidR="003D66AC" w:rsidRPr="00A8433F" w:rsidRDefault="003D66AC"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3,187</w:t>
            </w:r>
          </w:p>
        </w:tc>
        <w:tc>
          <w:tcPr>
            <w:tcW w:w="0" w:type="auto"/>
            <w:tcBorders>
              <w:bottom w:val="single" w:sz="18" w:space="0" w:color="auto"/>
            </w:tcBorders>
            <w:vAlign w:val="center"/>
          </w:tcPr>
          <w:p w14:paraId="669970E3" w14:textId="412C42B9" w:rsidR="003D66AC" w:rsidRPr="00A8433F" w:rsidRDefault="003D66AC"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(8.5)</w:t>
            </w:r>
          </w:p>
        </w:tc>
        <w:tc>
          <w:tcPr>
            <w:tcW w:w="0" w:type="auto"/>
            <w:tcBorders>
              <w:bottom w:val="single" w:sz="18" w:space="0" w:color="auto"/>
            </w:tcBorders>
            <w:shd w:val="clear" w:color="auto" w:fill="auto"/>
            <w:noWrap/>
            <w:vAlign w:val="center"/>
          </w:tcPr>
          <w:p w14:paraId="278CA409" w14:textId="3A3F11D3" w:rsidR="003D66AC" w:rsidRPr="00A8433F" w:rsidRDefault="003D66AC"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1,514</w:t>
            </w:r>
          </w:p>
        </w:tc>
        <w:tc>
          <w:tcPr>
            <w:tcW w:w="0" w:type="auto"/>
            <w:tcBorders>
              <w:bottom w:val="single" w:sz="18" w:space="0" w:color="auto"/>
            </w:tcBorders>
            <w:vAlign w:val="center"/>
          </w:tcPr>
          <w:p w14:paraId="597DB281" w14:textId="7401B5D7" w:rsidR="003D66AC" w:rsidRPr="00A8433F" w:rsidRDefault="003D66AC"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(4.0)</w:t>
            </w:r>
          </w:p>
        </w:tc>
        <w:tc>
          <w:tcPr>
            <w:tcW w:w="0" w:type="auto"/>
            <w:tcBorders>
              <w:bottom w:val="single" w:sz="18" w:space="0" w:color="auto"/>
            </w:tcBorders>
            <w:vAlign w:val="center"/>
          </w:tcPr>
          <w:p w14:paraId="4635D269" w14:textId="074BDE3C" w:rsidR="003D66AC" w:rsidRPr="00A8433F" w:rsidRDefault="00E31D28"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89</w:t>
            </w:r>
          </w:p>
        </w:tc>
        <w:tc>
          <w:tcPr>
            <w:tcW w:w="0" w:type="auto"/>
            <w:tcBorders>
              <w:bottom w:val="single" w:sz="18" w:space="0" w:color="auto"/>
            </w:tcBorders>
            <w:vAlign w:val="center"/>
          </w:tcPr>
          <w:p w14:paraId="19D5CDEE" w14:textId="4431A284" w:rsidR="003D66AC" w:rsidRPr="00A8433F" w:rsidRDefault="00E31D28"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(0.2)</w:t>
            </w:r>
          </w:p>
        </w:tc>
        <w:tc>
          <w:tcPr>
            <w:tcW w:w="0" w:type="auto"/>
            <w:tcBorders>
              <w:bottom w:val="single" w:sz="18" w:space="0" w:color="auto"/>
            </w:tcBorders>
            <w:vAlign w:val="center"/>
          </w:tcPr>
          <w:p w14:paraId="3A49D763" w14:textId="2C613B0E" w:rsidR="003D66AC" w:rsidRPr="00A8433F" w:rsidRDefault="00E31D28" w:rsidP="00E31D28">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 xml:space="preserve">40 </w:t>
            </w:r>
          </w:p>
        </w:tc>
        <w:tc>
          <w:tcPr>
            <w:tcW w:w="0" w:type="auto"/>
            <w:tcBorders>
              <w:bottom w:val="single" w:sz="18" w:space="0" w:color="auto"/>
            </w:tcBorders>
            <w:vAlign w:val="center"/>
          </w:tcPr>
          <w:p w14:paraId="3DD8C615" w14:textId="176B1A11" w:rsidR="003D66AC" w:rsidRPr="00A8433F" w:rsidRDefault="00E31D28"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(0.1)</w:t>
            </w:r>
          </w:p>
        </w:tc>
        <w:tc>
          <w:tcPr>
            <w:tcW w:w="0" w:type="auto"/>
            <w:tcBorders>
              <w:bottom w:val="single" w:sz="18" w:space="0" w:color="auto"/>
            </w:tcBorders>
            <w:vAlign w:val="center"/>
          </w:tcPr>
          <w:p w14:paraId="4033FAA8" w14:textId="25017573" w:rsidR="003D66AC" w:rsidRDefault="00C47C7E"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114</w:t>
            </w:r>
          </w:p>
        </w:tc>
        <w:tc>
          <w:tcPr>
            <w:tcW w:w="0" w:type="auto"/>
            <w:tcBorders>
              <w:bottom w:val="single" w:sz="18" w:space="0" w:color="auto"/>
            </w:tcBorders>
            <w:vAlign w:val="center"/>
          </w:tcPr>
          <w:p w14:paraId="2523CF82" w14:textId="640CCAA6" w:rsidR="003D66AC" w:rsidRDefault="00C47C7E"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(0.1)</w:t>
            </w:r>
          </w:p>
        </w:tc>
        <w:tc>
          <w:tcPr>
            <w:tcW w:w="0" w:type="auto"/>
            <w:tcBorders>
              <w:bottom w:val="single" w:sz="18" w:space="0" w:color="auto"/>
            </w:tcBorders>
            <w:vAlign w:val="center"/>
          </w:tcPr>
          <w:p w14:paraId="69DC64D9" w14:textId="5A970C8C" w:rsidR="003D66AC" w:rsidRDefault="00C47C7E" w:rsidP="00994B6A">
            <w:pPr>
              <w:jc w:val="right"/>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65</w:t>
            </w:r>
          </w:p>
        </w:tc>
        <w:tc>
          <w:tcPr>
            <w:tcW w:w="0" w:type="auto"/>
            <w:tcBorders>
              <w:bottom w:val="single" w:sz="18" w:space="0" w:color="auto"/>
            </w:tcBorders>
            <w:vAlign w:val="center"/>
          </w:tcPr>
          <w:p w14:paraId="4715C2A1" w14:textId="41BDDA4C" w:rsidR="003D66AC" w:rsidRDefault="00C47C7E" w:rsidP="00994B6A">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(0.1)</w:t>
            </w:r>
          </w:p>
        </w:tc>
      </w:tr>
    </w:tbl>
    <w:p w14:paraId="610B8D7F" w14:textId="77777777" w:rsidR="00CE367C" w:rsidRPr="00956D76" w:rsidRDefault="00CE367C" w:rsidP="00934254">
      <w:pPr>
        <w:spacing w:line="480" w:lineRule="auto"/>
        <w:jc w:val="both"/>
        <w:rPr>
          <w:rFonts w:ascii="Times New Roman" w:hAnsi="Times New Roman" w:cs="Times New Roman"/>
        </w:rPr>
      </w:pPr>
    </w:p>
    <w:p w14:paraId="28DEAC0A" w14:textId="5D113AC1" w:rsidR="00E6310B" w:rsidRPr="000408E8" w:rsidRDefault="000408E8" w:rsidP="00934254">
      <w:pPr>
        <w:spacing w:line="480" w:lineRule="auto"/>
        <w:jc w:val="both"/>
        <w:rPr>
          <w:rFonts w:ascii="Times New Roman" w:hAnsi="Times New Roman" w:cs="Times New Roman"/>
        </w:rPr>
        <w:sectPr w:rsidR="00E6310B" w:rsidRPr="000408E8" w:rsidSect="00F92187">
          <w:pgSz w:w="16840" w:h="11900" w:orient="landscape" w:code="9"/>
          <w:pgMar w:top="1080" w:right="1440" w:bottom="1080" w:left="1440" w:header="708" w:footer="708" w:gutter="0"/>
          <w:cols w:space="708"/>
          <w:docGrid w:linePitch="360"/>
        </w:sectPr>
      </w:pPr>
      <w:r w:rsidRPr="000408E8">
        <w:rPr>
          <w:rFonts w:ascii="Times New Roman" w:hAnsi="Times New Roman" w:cs="Times New Roman"/>
        </w:rPr>
        <w:t>OP=osteoporosis</w:t>
      </w:r>
    </w:p>
    <w:p w14:paraId="6D25B249" w14:textId="3D89DF43" w:rsidR="00CE367C" w:rsidRPr="009A1578" w:rsidRDefault="00CE367C" w:rsidP="00E46562">
      <w:pPr>
        <w:spacing w:line="360" w:lineRule="auto"/>
        <w:jc w:val="both"/>
        <w:rPr>
          <w:rFonts w:ascii="Times New Roman" w:hAnsi="Times New Roman" w:cs="Times New Roman"/>
        </w:rPr>
      </w:pPr>
      <w:r w:rsidRPr="009A1578">
        <w:rPr>
          <w:rFonts w:ascii="Times New Roman" w:hAnsi="Times New Roman" w:cs="Times New Roman"/>
          <w:b/>
        </w:rPr>
        <w:lastRenderedPageBreak/>
        <w:t xml:space="preserve">Table 2. </w:t>
      </w:r>
      <w:r w:rsidR="0005265E">
        <w:rPr>
          <w:rFonts w:ascii="Times New Roman" w:hAnsi="Times New Roman" w:cs="Times New Roman"/>
          <w:b/>
        </w:rPr>
        <w:t xml:space="preserve">Multivariate </w:t>
      </w:r>
      <w:r w:rsidR="0005265E">
        <w:rPr>
          <w:rFonts w:ascii="Times New Roman" w:hAnsi="Times New Roman" w:cs="Times New Roman"/>
        </w:rPr>
        <w:t>c</w:t>
      </w:r>
      <w:r w:rsidR="005A6FAA" w:rsidRPr="009A1578">
        <w:rPr>
          <w:rFonts w:ascii="Times New Roman" w:hAnsi="Times New Roman" w:cs="Times New Roman"/>
        </w:rPr>
        <w:t>onditional l</w:t>
      </w:r>
      <w:r w:rsidR="00C00E68" w:rsidRPr="009A1578">
        <w:rPr>
          <w:rFonts w:ascii="Times New Roman" w:hAnsi="Times New Roman" w:cs="Times New Roman"/>
        </w:rPr>
        <w:t>ogistic</w:t>
      </w:r>
      <w:r w:rsidRPr="009A1578">
        <w:rPr>
          <w:rFonts w:ascii="Times New Roman" w:hAnsi="Times New Roman" w:cs="Times New Roman"/>
        </w:rPr>
        <w:t xml:space="preserve"> regression model to describe association of </w:t>
      </w:r>
      <w:r w:rsidR="00DD0485" w:rsidRPr="009A1578">
        <w:rPr>
          <w:rFonts w:ascii="Times New Roman" w:hAnsi="Times New Roman" w:cs="Times New Roman"/>
        </w:rPr>
        <w:t>socioeconomic predictors</w:t>
      </w:r>
      <w:r w:rsidRPr="009A1578">
        <w:rPr>
          <w:rFonts w:ascii="Times New Roman" w:hAnsi="Times New Roman" w:cs="Times New Roman"/>
        </w:rPr>
        <w:t xml:space="preserve"> on </w:t>
      </w:r>
      <w:r w:rsidR="00D34185" w:rsidRPr="009A1578">
        <w:rPr>
          <w:rFonts w:ascii="Times New Roman" w:hAnsi="Times New Roman" w:cs="Times New Roman"/>
        </w:rPr>
        <w:t>risk</w:t>
      </w:r>
      <w:r w:rsidRPr="009A1578">
        <w:rPr>
          <w:rFonts w:ascii="Times New Roman" w:hAnsi="Times New Roman" w:cs="Times New Roman"/>
        </w:rPr>
        <w:t xml:space="preserve"> of fracture</w:t>
      </w:r>
      <w:r w:rsidR="00C00E68" w:rsidRPr="009A1578">
        <w:rPr>
          <w:rFonts w:ascii="Times New Roman" w:hAnsi="Times New Roman" w:cs="Times New Roman"/>
        </w:rPr>
        <w:t xml:space="preserve">. </w:t>
      </w:r>
    </w:p>
    <w:p w14:paraId="39C82E3F" w14:textId="77777777" w:rsidR="00A03F1E" w:rsidRPr="00956D76" w:rsidRDefault="00A03F1E" w:rsidP="00E46562">
      <w:pPr>
        <w:spacing w:line="360" w:lineRule="auto"/>
        <w:jc w:val="both"/>
        <w:rPr>
          <w:rFonts w:ascii="Times New Roman" w:hAnsi="Times New Roman" w:cs="Times New Roman"/>
        </w:rPr>
      </w:pPr>
    </w:p>
    <w:tbl>
      <w:tblPr>
        <w:tblW w:w="9072" w:type="dxa"/>
        <w:tblInd w:w="-142" w:type="dxa"/>
        <w:tblLook w:val="04A0" w:firstRow="1" w:lastRow="0" w:firstColumn="1" w:lastColumn="0" w:noHBand="0" w:noVBand="1"/>
      </w:tblPr>
      <w:tblGrid>
        <w:gridCol w:w="2410"/>
        <w:gridCol w:w="2126"/>
        <w:gridCol w:w="2268"/>
        <w:gridCol w:w="2268"/>
      </w:tblGrid>
      <w:tr w:rsidR="0053361C" w:rsidRPr="009F6FBF" w14:paraId="219AA174" w14:textId="5C1AC054" w:rsidTr="000408E8">
        <w:trPr>
          <w:trHeight w:val="300"/>
        </w:trPr>
        <w:tc>
          <w:tcPr>
            <w:tcW w:w="2410" w:type="dxa"/>
            <w:tcBorders>
              <w:top w:val="single" w:sz="18" w:space="0" w:color="auto"/>
            </w:tcBorders>
            <w:shd w:val="clear" w:color="auto" w:fill="auto"/>
            <w:noWrap/>
            <w:hideMark/>
          </w:tcPr>
          <w:p w14:paraId="5A35861E" w14:textId="77777777"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126" w:type="dxa"/>
            <w:tcBorders>
              <w:top w:val="single" w:sz="18" w:space="0" w:color="auto"/>
            </w:tcBorders>
            <w:shd w:val="clear" w:color="auto" w:fill="auto"/>
            <w:noWrap/>
            <w:hideMark/>
          </w:tcPr>
          <w:p w14:paraId="52670071" w14:textId="7F8B64AE"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Hip fracture</w:t>
            </w:r>
          </w:p>
        </w:tc>
        <w:tc>
          <w:tcPr>
            <w:tcW w:w="2268" w:type="dxa"/>
            <w:tcBorders>
              <w:top w:val="single" w:sz="18" w:space="0" w:color="auto"/>
            </w:tcBorders>
            <w:shd w:val="clear" w:color="auto" w:fill="auto"/>
            <w:noWrap/>
            <w:hideMark/>
          </w:tcPr>
          <w:p w14:paraId="5488DD32" w14:textId="631EF1BA"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Humerus fracture</w:t>
            </w:r>
          </w:p>
        </w:tc>
        <w:tc>
          <w:tcPr>
            <w:tcW w:w="2268" w:type="dxa"/>
            <w:tcBorders>
              <w:top w:val="single" w:sz="18" w:space="0" w:color="auto"/>
            </w:tcBorders>
          </w:tcPr>
          <w:p w14:paraId="46F854F6" w14:textId="120A5445"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Wrist fracture</w:t>
            </w:r>
          </w:p>
        </w:tc>
      </w:tr>
      <w:tr w:rsidR="0053361C" w:rsidRPr="009F6FBF" w14:paraId="26BE33BB" w14:textId="0CB5ADD8" w:rsidTr="000408E8">
        <w:trPr>
          <w:trHeight w:val="300"/>
        </w:trPr>
        <w:tc>
          <w:tcPr>
            <w:tcW w:w="2410" w:type="dxa"/>
            <w:tcBorders>
              <w:bottom w:val="single" w:sz="8" w:space="0" w:color="auto"/>
            </w:tcBorders>
            <w:shd w:val="clear" w:color="auto" w:fill="auto"/>
            <w:noWrap/>
            <w:hideMark/>
          </w:tcPr>
          <w:p w14:paraId="4430B442" w14:textId="77777777"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126" w:type="dxa"/>
            <w:tcBorders>
              <w:bottom w:val="single" w:sz="8" w:space="0" w:color="auto"/>
            </w:tcBorders>
            <w:shd w:val="clear" w:color="auto" w:fill="auto"/>
            <w:noWrap/>
            <w:hideMark/>
          </w:tcPr>
          <w:p w14:paraId="1B802F01" w14:textId="77FD7628"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Odds Ratio (95% CI)</w:t>
            </w:r>
          </w:p>
        </w:tc>
        <w:tc>
          <w:tcPr>
            <w:tcW w:w="2268" w:type="dxa"/>
            <w:tcBorders>
              <w:bottom w:val="single" w:sz="8" w:space="0" w:color="auto"/>
            </w:tcBorders>
            <w:shd w:val="clear" w:color="auto" w:fill="auto"/>
            <w:noWrap/>
            <w:hideMark/>
          </w:tcPr>
          <w:p w14:paraId="1F9809D7" w14:textId="50538C94"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Odds Ratio (95% CI)</w:t>
            </w:r>
          </w:p>
        </w:tc>
        <w:tc>
          <w:tcPr>
            <w:tcW w:w="2268" w:type="dxa"/>
            <w:tcBorders>
              <w:bottom w:val="single" w:sz="8" w:space="0" w:color="auto"/>
            </w:tcBorders>
          </w:tcPr>
          <w:p w14:paraId="1740DDF5" w14:textId="466C8EDB"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Odds Ratio (95% CI)</w:t>
            </w:r>
          </w:p>
        </w:tc>
      </w:tr>
      <w:tr w:rsidR="0053361C" w:rsidRPr="009F6FBF" w14:paraId="32A940D7" w14:textId="594EB944" w:rsidTr="000408E8">
        <w:trPr>
          <w:trHeight w:val="300"/>
        </w:trPr>
        <w:tc>
          <w:tcPr>
            <w:tcW w:w="2410" w:type="dxa"/>
            <w:tcBorders>
              <w:top w:val="single" w:sz="8" w:space="0" w:color="auto"/>
            </w:tcBorders>
            <w:shd w:val="clear" w:color="auto" w:fill="auto"/>
            <w:noWrap/>
            <w:hideMark/>
          </w:tcPr>
          <w:p w14:paraId="69D3505E" w14:textId="77777777"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Income</w:t>
            </w:r>
          </w:p>
        </w:tc>
        <w:tc>
          <w:tcPr>
            <w:tcW w:w="2126" w:type="dxa"/>
            <w:tcBorders>
              <w:top w:val="single" w:sz="8" w:space="0" w:color="auto"/>
            </w:tcBorders>
            <w:shd w:val="clear" w:color="auto" w:fill="auto"/>
            <w:noWrap/>
            <w:hideMark/>
          </w:tcPr>
          <w:p w14:paraId="6ABF1245" w14:textId="77777777"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268" w:type="dxa"/>
            <w:tcBorders>
              <w:top w:val="single" w:sz="8" w:space="0" w:color="auto"/>
            </w:tcBorders>
            <w:shd w:val="clear" w:color="auto" w:fill="auto"/>
            <w:noWrap/>
            <w:hideMark/>
          </w:tcPr>
          <w:p w14:paraId="3F2CBF07" w14:textId="77777777"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268" w:type="dxa"/>
            <w:tcBorders>
              <w:top w:val="single" w:sz="8" w:space="0" w:color="auto"/>
            </w:tcBorders>
          </w:tcPr>
          <w:p w14:paraId="59C5A8C7" w14:textId="77777777" w:rsidR="005A6FAA" w:rsidRPr="009F6FBF" w:rsidRDefault="005A6FAA" w:rsidP="005A6FAA">
            <w:pPr>
              <w:rPr>
                <w:rFonts w:ascii="Times New Roman" w:eastAsia="Times New Roman" w:hAnsi="Times New Roman" w:cs="Times New Roman"/>
                <w:color w:val="000000"/>
                <w:sz w:val="20"/>
                <w:szCs w:val="20"/>
                <w:lang w:val="en-GB"/>
              </w:rPr>
            </w:pPr>
          </w:p>
        </w:tc>
      </w:tr>
      <w:tr w:rsidR="0053361C" w:rsidRPr="009F6FBF" w14:paraId="32AFBDA4" w14:textId="2496CFB1" w:rsidTr="000408E8">
        <w:trPr>
          <w:trHeight w:val="300"/>
        </w:trPr>
        <w:tc>
          <w:tcPr>
            <w:tcW w:w="2410" w:type="dxa"/>
            <w:shd w:val="clear" w:color="auto" w:fill="auto"/>
            <w:noWrap/>
            <w:hideMark/>
          </w:tcPr>
          <w:p w14:paraId="22295505" w14:textId="14C2C5D7" w:rsidR="005A6FAA" w:rsidRPr="009F6FBF" w:rsidRDefault="005A6FAA" w:rsidP="005A6FAA">
            <w:pPr>
              <w:ind w:left="231"/>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1</w:t>
            </w:r>
            <w:r w:rsidRPr="009F6FBF">
              <w:rPr>
                <w:rFonts w:ascii="Times New Roman" w:eastAsia="Times New Roman" w:hAnsi="Times New Roman" w:cs="Times New Roman"/>
                <w:color w:val="000000"/>
                <w:sz w:val="20"/>
                <w:szCs w:val="20"/>
                <w:vertAlign w:val="superscript"/>
                <w:lang w:val="en-GB"/>
              </w:rPr>
              <w:t>st</w:t>
            </w:r>
            <w:r w:rsidRPr="009F6FBF">
              <w:rPr>
                <w:rFonts w:ascii="Times New Roman" w:eastAsia="Times New Roman" w:hAnsi="Times New Roman" w:cs="Times New Roman"/>
                <w:color w:val="000000"/>
                <w:sz w:val="20"/>
                <w:szCs w:val="20"/>
                <w:lang w:val="en-GB"/>
              </w:rPr>
              <w:t xml:space="preserve"> Quintile</w:t>
            </w:r>
          </w:p>
        </w:tc>
        <w:tc>
          <w:tcPr>
            <w:tcW w:w="2126" w:type="dxa"/>
            <w:shd w:val="clear" w:color="auto" w:fill="auto"/>
            <w:noWrap/>
          </w:tcPr>
          <w:p w14:paraId="26AF5D49" w14:textId="73F1FB68" w:rsidR="005A6FAA" w:rsidRPr="009F6FBF" w:rsidRDefault="00F23939" w:rsidP="00F23939">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1.01</w:t>
            </w:r>
            <w:r w:rsidR="005A6FAA" w:rsidRPr="009F6FBF">
              <w:rPr>
                <w:rFonts w:ascii="Times New Roman" w:eastAsia="Times New Roman" w:hAnsi="Times New Roman" w:cs="Times New Roman"/>
                <w:color w:val="000000"/>
                <w:sz w:val="20"/>
                <w:szCs w:val="20"/>
                <w:lang w:val="en-GB"/>
              </w:rPr>
              <w:t xml:space="preserve"> (0.</w:t>
            </w:r>
            <w:r>
              <w:rPr>
                <w:rFonts w:ascii="Times New Roman" w:eastAsia="Times New Roman" w:hAnsi="Times New Roman" w:cs="Times New Roman"/>
                <w:color w:val="000000"/>
                <w:sz w:val="20"/>
                <w:szCs w:val="20"/>
                <w:lang w:val="en-GB"/>
              </w:rPr>
              <w:t>92</w:t>
            </w:r>
            <w:r w:rsidR="005A6FAA" w:rsidRPr="009F6FBF">
              <w:rPr>
                <w:rFonts w:ascii="Times New Roman" w:eastAsia="Times New Roman" w:hAnsi="Times New Roman" w:cs="Times New Roman"/>
                <w:color w:val="000000"/>
                <w:sz w:val="20"/>
                <w:szCs w:val="20"/>
                <w:lang w:val="en-GB"/>
              </w:rPr>
              <w:t xml:space="preserve">; </w:t>
            </w:r>
            <w:r>
              <w:rPr>
                <w:rFonts w:ascii="Times New Roman" w:eastAsia="Times New Roman" w:hAnsi="Times New Roman" w:cs="Times New Roman"/>
                <w:color w:val="000000"/>
                <w:sz w:val="20"/>
                <w:szCs w:val="20"/>
                <w:lang w:val="en-GB"/>
              </w:rPr>
              <w:t>1</w:t>
            </w:r>
            <w:r w:rsidR="005A6FAA" w:rsidRPr="009F6FBF">
              <w:rPr>
                <w:rFonts w:ascii="Times New Roman" w:eastAsia="Times New Roman" w:hAnsi="Times New Roman" w:cs="Times New Roman"/>
                <w:color w:val="000000"/>
                <w:sz w:val="20"/>
                <w:szCs w:val="20"/>
                <w:lang w:val="en-GB"/>
              </w:rPr>
              <w:t>.</w:t>
            </w:r>
            <w:r>
              <w:rPr>
                <w:rFonts w:ascii="Times New Roman" w:eastAsia="Times New Roman" w:hAnsi="Times New Roman" w:cs="Times New Roman"/>
                <w:color w:val="000000"/>
                <w:sz w:val="20"/>
                <w:szCs w:val="20"/>
                <w:lang w:val="en-GB"/>
              </w:rPr>
              <w:t>12</w:t>
            </w:r>
            <w:r w:rsidR="005A6FAA" w:rsidRPr="009F6FBF">
              <w:rPr>
                <w:rFonts w:ascii="Times New Roman" w:eastAsia="Times New Roman" w:hAnsi="Times New Roman" w:cs="Times New Roman"/>
                <w:color w:val="000000"/>
                <w:sz w:val="20"/>
                <w:szCs w:val="20"/>
                <w:lang w:val="en-GB"/>
              </w:rPr>
              <w:t>)</w:t>
            </w:r>
          </w:p>
        </w:tc>
        <w:tc>
          <w:tcPr>
            <w:tcW w:w="2268" w:type="dxa"/>
            <w:shd w:val="clear" w:color="auto" w:fill="auto"/>
            <w:noWrap/>
          </w:tcPr>
          <w:p w14:paraId="309A8366" w14:textId="55059709" w:rsidR="005A6FAA" w:rsidRPr="009F6FBF" w:rsidRDefault="00606EBA" w:rsidP="00E31D28">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0.</w:t>
            </w:r>
            <w:r w:rsidR="00E31D28">
              <w:rPr>
                <w:rFonts w:ascii="Times New Roman" w:eastAsia="Times New Roman" w:hAnsi="Times New Roman" w:cs="Times New Roman"/>
                <w:color w:val="000000"/>
                <w:sz w:val="20"/>
                <w:szCs w:val="20"/>
                <w:lang w:val="en-GB"/>
              </w:rPr>
              <w:t xml:space="preserve">98 </w:t>
            </w:r>
            <w:r>
              <w:rPr>
                <w:rFonts w:ascii="Times New Roman" w:eastAsia="Times New Roman" w:hAnsi="Times New Roman" w:cs="Times New Roman"/>
                <w:color w:val="000000"/>
                <w:sz w:val="20"/>
                <w:szCs w:val="20"/>
                <w:lang w:val="en-GB"/>
              </w:rPr>
              <w:t>(0.</w:t>
            </w:r>
            <w:r w:rsidR="00DD0485">
              <w:rPr>
                <w:rFonts w:ascii="Times New Roman" w:eastAsia="Times New Roman" w:hAnsi="Times New Roman" w:cs="Times New Roman"/>
                <w:color w:val="000000"/>
                <w:sz w:val="20"/>
                <w:szCs w:val="20"/>
                <w:lang w:val="en-GB"/>
              </w:rPr>
              <w:t>91</w:t>
            </w:r>
            <w:r>
              <w:rPr>
                <w:rFonts w:ascii="Times New Roman" w:eastAsia="Times New Roman" w:hAnsi="Times New Roman" w:cs="Times New Roman"/>
                <w:color w:val="000000"/>
                <w:sz w:val="20"/>
                <w:szCs w:val="20"/>
                <w:lang w:val="en-GB"/>
              </w:rPr>
              <w:t xml:space="preserve">; </w:t>
            </w:r>
            <w:r w:rsidR="00DD0485">
              <w:rPr>
                <w:rFonts w:ascii="Times New Roman" w:eastAsia="Times New Roman" w:hAnsi="Times New Roman" w:cs="Times New Roman"/>
                <w:color w:val="000000"/>
                <w:sz w:val="20"/>
                <w:szCs w:val="20"/>
                <w:lang w:val="en-GB"/>
              </w:rPr>
              <w:t>1.06</w:t>
            </w:r>
            <w:r>
              <w:rPr>
                <w:rFonts w:ascii="Times New Roman" w:eastAsia="Times New Roman" w:hAnsi="Times New Roman" w:cs="Times New Roman"/>
                <w:color w:val="000000"/>
                <w:sz w:val="20"/>
                <w:szCs w:val="20"/>
                <w:lang w:val="en-GB"/>
              </w:rPr>
              <w:t>)</w:t>
            </w:r>
          </w:p>
        </w:tc>
        <w:tc>
          <w:tcPr>
            <w:tcW w:w="2268" w:type="dxa"/>
          </w:tcPr>
          <w:p w14:paraId="114D62C6" w14:textId="477CA6FD" w:rsidR="005A6FAA" w:rsidRPr="009F6FBF" w:rsidRDefault="00606EBA" w:rsidP="00BF5441">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0.</w:t>
            </w:r>
            <w:r w:rsidR="00BF5441">
              <w:rPr>
                <w:rFonts w:ascii="Times New Roman" w:eastAsia="Times New Roman" w:hAnsi="Times New Roman" w:cs="Times New Roman"/>
                <w:color w:val="000000"/>
                <w:sz w:val="20"/>
                <w:szCs w:val="20"/>
                <w:lang w:val="en-GB"/>
              </w:rPr>
              <w:t>97</w:t>
            </w:r>
            <w:r>
              <w:rPr>
                <w:rFonts w:ascii="Times New Roman" w:eastAsia="Times New Roman" w:hAnsi="Times New Roman" w:cs="Times New Roman"/>
                <w:color w:val="000000"/>
                <w:sz w:val="20"/>
                <w:szCs w:val="20"/>
                <w:lang w:val="en-GB"/>
              </w:rPr>
              <w:t xml:space="preserve"> (0.</w:t>
            </w:r>
            <w:r w:rsidR="00BF5441">
              <w:rPr>
                <w:rFonts w:ascii="Times New Roman" w:eastAsia="Times New Roman" w:hAnsi="Times New Roman" w:cs="Times New Roman"/>
                <w:color w:val="000000"/>
                <w:sz w:val="20"/>
                <w:szCs w:val="20"/>
                <w:lang w:val="en-GB"/>
              </w:rPr>
              <w:t>93</w:t>
            </w:r>
            <w:r>
              <w:rPr>
                <w:rFonts w:ascii="Times New Roman" w:eastAsia="Times New Roman" w:hAnsi="Times New Roman" w:cs="Times New Roman"/>
                <w:color w:val="000000"/>
                <w:sz w:val="20"/>
                <w:szCs w:val="20"/>
                <w:lang w:val="en-GB"/>
              </w:rPr>
              <w:t xml:space="preserve">; </w:t>
            </w:r>
            <w:r w:rsidR="00BF5441">
              <w:rPr>
                <w:rFonts w:ascii="Times New Roman" w:eastAsia="Times New Roman" w:hAnsi="Times New Roman" w:cs="Times New Roman"/>
                <w:color w:val="000000"/>
                <w:sz w:val="20"/>
                <w:szCs w:val="20"/>
                <w:lang w:val="en-GB"/>
              </w:rPr>
              <w:t>1.01</w:t>
            </w:r>
            <w:r>
              <w:rPr>
                <w:rFonts w:ascii="Times New Roman" w:eastAsia="Times New Roman" w:hAnsi="Times New Roman" w:cs="Times New Roman"/>
                <w:color w:val="000000"/>
                <w:sz w:val="20"/>
                <w:szCs w:val="20"/>
                <w:lang w:val="en-GB"/>
              </w:rPr>
              <w:t>)</w:t>
            </w:r>
          </w:p>
        </w:tc>
      </w:tr>
      <w:tr w:rsidR="0053361C" w:rsidRPr="009F6FBF" w14:paraId="2820461B" w14:textId="51DBC942" w:rsidTr="000408E8">
        <w:trPr>
          <w:trHeight w:val="300"/>
        </w:trPr>
        <w:tc>
          <w:tcPr>
            <w:tcW w:w="2410" w:type="dxa"/>
            <w:shd w:val="clear" w:color="auto" w:fill="auto"/>
            <w:noWrap/>
            <w:hideMark/>
          </w:tcPr>
          <w:p w14:paraId="1B0B1166" w14:textId="0F2C7C36" w:rsidR="005A6FAA" w:rsidRPr="009F6FBF" w:rsidRDefault="005A6FAA" w:rsidP="005A6FAA">
            <w:pPr>
              <w:ind w:left="231"/>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2</w:t>
            </w:r>
            <w:r w:rsidRPr="009F6FBF">
              <w:rPr>
                <w:rFonts w:ascii="Times New Roman" w:eastAsia="Times New Roman" w:hAnsi="Times New Roman" w:cs="Times New Roman"/>
                <w:color w:val="000000"/>
                <w:sz w:val="20"/>
                <w:szCs w:val="20"/>
                <w:vertAlign w:val="superscript"/>
                <w:lang w:val="en-GB"/>
              </w:rPr>
              <w:t>nd</w:t>
            </w:r>
            <w:r w:rsidRPr="009F6FBF">
              <w:rPr>
                <w:rFonts w:ascii="Times New Roman" w:eastAsia="Times New Roman" w:hAnsi="Times New Roman" w:cs="Times New Roman"/>
                <w:color w:val="000000"/>
                <w:sz w:val="20"/>
                <w:szCs w:val="20"/>
                <w:lang w:val="en-GB"/>
              </w:rPr>
              <w:t xml:space="preserve"> Quintile</w:t>
            </w:r>
          </w:p>
        </w:tc>
        <w:tc>
          <w:tcPr>
            <w:tcW w:w="2126" w:type="dxa"/>
            <w:shd w:val="clear" w:color="auto" w:fill="auto"/>
            <w:noWrap/>
          </w:tcPr>
          <w:p w14:paraId="12A74136" w14:textId="3D95BA87" w:rsidR="005A6FAA" w:rsidRPr="009F6FBF" w:rsidRDefault="005A6FAA" w:rsidP="00F23939">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0.</w:t>
            </w:r>
            <w:r w:rsidR="00F23939">
              <w:rPr>
                <w:rFonts w:ascii="Times New Roman" w:eastAsia="Times New Roman" w:hAnsi="Times New Roman" w:cs="Times New Roman"/>
                <w:color w:val="000000"/>
                <w:sz w:val="20"/>
                <w:szCs w:val="20"/>
                <w:lang w:val="en-GB"/>
              </w:rPr>
              <w:t>94</w:t>
            </w:r>
            <w:r w:rsidRPr="009F6FBF">
              <w:rPr>
                <w:rFonts w:ascii="Times New Roman" w:eastAsia="Times New Roman" w:hAnsi="Times New Roman" w:cs="Times New Roman"/>
                <w:color w:val="000000"/>
                <w:sz w:val="20"/>
                <w:szCs w:val="20"/>
                <w:lang w:val="en-GB"/>
              </w:rPr>
              <w:t xml:space="preserve"> (0.</w:t>
            </w:r>
            <w:r w:rsidR="00F23939">
              <w:rPr>
                <w:rFonts w:ascii="Times New Roman" w:eastAsia="Times New Roman" w:hAnsi="Times New Roman" w:cs="Times New Roman"/>
                <w:color w:val="000000"/>
                <w:sz w:val="20"/>
                <w:szCs w:val="20"/>
                <w:lang w:val="en-GB"/>
              </w:rPr>
              <w:t>86</w:t>
            </w:r>
            <w:r w:rsidRPr="009F6FBF">
              <w:rPr>
                <w:rFonts w:ascii="Times New Roman" w:eastAsia="Times New Roman" w:hAnsi="Times New Roman" w:cs="Times New Roman"/>
                <w:color w:val="000000"/>
                <w:sz w:val="20"/>
                <w:szCs w:val="20"/>
                <w:lang w:val="en-GB"/>
              </w:rPr>
              <w:t xml:space="preserve">; </w:t>
            </w:r>
            <w:r w:rsidR="00F23939">
              <w:rPr>
                <w:rFonts w:ascii="Times New Roman" w:eastAsia="Times New Roman" w:hAnsi="Times New Roman" w:cs="Times New Roman"/>
                <w:color w:val="000000"/>
                <w:sz w:val="20"/>
                <w:szCs w:val="20"/>
                <w:lang w:val="en-GB"/>
              </w:rPr>
              <w:t>1.04</w:t>
            </w:r>
            <w:r w:rsidRPr="009F6FBF">
              <w:rPr>
                <w:rFonts w:ascii="Times New Roman" w:eastAsia="Times New Roman" w:hAnsi="Times New Roman" w:cs="Times New Roman"/>
                <w:color w:val="000000"/>
                <w:sz w:val="20"/>
                <w:szCs w:val="20"/>
                <w:lang w:val="en-GB"/>
              </w:rPr>
              <w:t>)</w:t>
            </w:r>
          </w:p>
        </w:tc>
        <w:tc>
          <w:tcPr>
            <w:tcW w:w="2268" w:type="dxa"/>
            <w:shd w:val="clear" w:color="auto" w:fill="auto"/>
            <w:noWrap/>
          </w:tcPr>
          <w:p w14:paraId="357D6F36" w14:textId="265BA6F1" w:rsidR="005A6FAA" w:rsidRPr="009F6FBF" w:rsidRDefault="00DD0485" w:rsidP="00DD0485">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1.00</w:t>
            </w:r>
            <w:r w:rsidR="00606EBA">
              <w:rPr>
                <w:rFonts w:ascii="Times New Roman" w:eastAsia="Times New Roman" w:hAnsi="Times New Roman" w:cs="Times New Roman"/>
                <w:color w:val="000000"/>
                <w:sz w:val="20"/>
                <w:szCs w:val="20"/>
                <w:lang w:val="en-GB"/>
              </w:rPr>
              <w:t xml:space="preserve"> (0.</w:t>
            </w:r>
            <w:r>
              <w:rPr>
                <w:rFonts w:ascii="Times New Roman" w:eastAsia="Times New Roman" w:hAnsi="Times New Roman" w:cs="Times New Roman"/>
                <w:color w:val="000000"/>
                <w:sz w:val="20"/>
                <w:szCs w:val="20"/>
                <w:lang w:val="en-GB"/>
              </w:rPr>
              <w:t>93</w:t>
            </w:r>
            <w:r w:rsidR="00606EBA">
              <w:rPr>
                <w:rFonts w:ascii="Times New Roman" w:eastAsia="Times New Roman" w:hAnsi="Times New Roman" w:cs="Times New Roman"/>
                <w:color w:val="000000"/>
                <w:sz w:val="20"/>
                <w:szCs w:val="20"/>
                <w:lang w:val="en-GB"/>
              </w:rPr>
              <w:t>; 1.</w:t>
            </w:r>
            <w:r>
              <w:rPr>
                <w:rFonts w:ascii="Times New Roman" w:eastAsia="Times New Roman" w:hAnsi="Times New Roman" w:cs="Times New Roman"/>
                <w:color w:val="000000"/>
                <w:sz w:val="20"/>
                <w:szCs w:val="20"/>
                <w:lang w:val="en-GB"/>
              </w:rPr>
              <w:t>08</w:t>
            </w:r>
            <w:r w:rsidR="00606EBA">
              <w:rPr>
                <w:rFonts w:ascii="Times New Roman" w:eastAsia="Times New Roman" w:hAnsi="Times New Roman" w:cs="Times New Roman"/>
                <w:color w:val="000000"/>
                <w:sz w:val="20"/>
                <w:szCs w:val="20"/>
                <w:lang w:val="en-GB"/>
              </w:rPr>
              <w:t>)</w:t>
            </w:r>
          </w:p>
        </w:tc>
        <w:tc>
          <w:tcPr>
            <w:tcW w:w="2268" w:type="dxa"/>
          </w:tcPr>
          <w:p w14:paraId="1C6891E8" w14:textId="0956F1CB" w:rsidR="005A6FAA" w:rsidRPr="005E2A00" w:rsidRDefault="00606EBA"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0.</w:t>
            </w:r>
            <w:r w:rsidR="00BF5441" w:rsidRPr="005E2A00">
              <w:rPr>
                <w:rFonts w:ascii="Times New Roman" w:eastAsia="Times New Roman" w:hAnsi="Times New Roman" w:cs="Times New Roman"/>
                <w:b/>
                <w:color w:val="000000"/>
                <w:sz w:val="20"/>
                <w:szCs w:val="20"/>
                <w:lang w:val="en-GB"/>
              </w:rPr>
              <w:t>95</w:t>
            </w:r>
            <w:r w:rsidRPr="005E2A00">
              <w:rPr>
                <w:rFonts w:ascii="Times New Roman" w:eastAsia="Times New Roman" w:hAnsi="Times New Roman" w:cs="Times New Roman"/>
                <w:b/>
                <w:color w:val="000000"/>
                <w:sz w:val="20"/>
                <w:szCs w:val="20"/>
                <w:lang w:val="en-GB"/>
              </w:rPr>
              <w:t xml:space="preserve"> (0.</w:t>
            </w:r>
            <w:r w:rsidR="00BF5441" w:rsidRPr="005E2A00">
              <w:rPr>
                <w:rFonts w:ascii="Times New Roman" w:eastAsia="Times New Roman" w:hAnsi="Times New Roman" w:cs="Times New Roman"/>
                <w:b/>
                <w:color w:val="000000"/>
                <w:sz w:val="20"/>
                <w:szCs w:val="20"/>
                <w:lang w:val="en-GB"/>
              </w:rPr>
              <w:t>91</w:t>
            </w:r>
            <w:r w:rsidRPr="005E2A00">
              <w:rPr>
                <w:rFonts w:ascii="Times New Roman" w:eastAsia="Times New Roman" w:hAnsi="Times New Roman" w:cs="Times New Roman"/>
                <w:b/>
                <w:color w:val="000000"/>
                <w:sz w:val="20"/>
                <w:szCs w:val="20"/>
                <w:lang w:val="en-GB"/>
              </w:rPr>
              <w:t>; 0.9</w:t>
            </w:r>
            <w:r w:rsidR="00BF5441" w:rsidRPr="005E2A00">
              <w:rPr>
                <w:rFonts w:ascii="Times New Roman" w:eastAsia="Times New Roman" w:hAnsi="Times New Roman" w:cs="Times New Roman"/>
                <w:b/>
                <w:color w:val="000000"/>
                <w:sz w:val="20"/>
                <w:szCs w:val="20"/>
                <w:lang w:val="en-GB"/>
              </w:rPr>
              <w:t>9</w:t>
            </w:r>
            <w:r w:rsidRPr="005E2A00">
              <w:rPr>
                <w:rFonts w:ascii="Times New Roman" w:eastAsia="Times New Roman" w:hAnsi="Times New Roman" w:cs="Times New Roman"/>
                <w:b/>
                <w:color w:val="000000"/>
                <w:sz w:val="20"/>
                <w:szCs w:val="20"/>
                <w:lang w:val="en-GB"/>
              </w:rPr>
              <w:t>)</w:t>
            </w:r>
          </w:p>
        </w:tc>
      </w:tr>
      <w:tr w:rsidR="0053361C" w:rsidRPr="009F6FBF" w14:paraId="0248898C" w14:textId="559A5942" w:rsidTr="000408E8">
        <w:trPr>
          <w:trHeight w:val="300"/>
        </w:trPr>
        <w:tc>
          <w:tcPr>
            <w:tcW w:w="2410" w:type="dxa"/>
            <w:shd w:val="clear" w:color="auto" w:fill="auto"/>
            <w:noWrap/>
          </w:tcPr>
          <w:p w14:paraId="32B82F80" w14:textId="0658BF61" w:rsidR="005A6FAA" w:rsidRPr="009F6FBF" w:rsidRDefault="005A6FAA" w:rsidP="005A6FAA">
            <w:pPr>
              <w:ind w:left="231"/>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3</w:t>
            </w:r>
            <w:r w:rsidRPr="009F6FBF">
              <w:rPr>
                <w:rFonts w:ascii="Times New Roman" w:eastAsia="Times New Roman" w:hAnsi="Times New Roman" w:cs="Times New Roman"/>
                <w:color w:val="000000"/>
                <w:sz w:val="20"/>
                <w:szCs w:val="20"/>
                <w:vertAlign w:val="superscript"/>
                <w:lang w:val="en-GB"/>
              </w:rPr>
              <w:t>rd</w:t>
            </w:r>
            <w:r w:rsidRPr="009F6FBF">
              <w:rPr>
                <w:rFonts w:ascii="Times New Roman" w:eastAsia="Times New Roman" w:hAnsi="Times New Roman" w:cs="Times New Roman"/>
                <w:color w:val="000000"/>
                <w:sz w:val="20"/>
                <w:szCs w:val="20"/>
                <w:lang w:val="en-GB"/>
              </w:rPr>
              <w:t xml:space="preserve"> Quintile</w:t>
            </w:r>
          </w:p>
        </w:tc>
        <w:tc>
          <w:tcPr>
            <w:tcW w:w="2126" w:type="dxa"/>
            <w:shd w:val="clear" w:color="auto" w:fill="auto"/>
            <w:noWrap/>
          </w:tcPr>
          <w:p w14:paraId="5F031F29" w14:textId="49685E71"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Ref</w:t>
            </w:r>
          </w:p>
        </w:tc>
        <w:tc>
          <w:tcPr>
            <w:tcW w:w="2268" w:type="dxa"/>
            <w:shd w:val="clear" w:color="auto" w:fill="auto"/>
            <w:noWrap/>
          </w:tcPr>
          <w:p w14:paraId="15CF43AF" w14:textId="7EBD0AE6"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Ref</w:t>
            </w:r>
          </w:p>
        </w:tc>
        <w:tc>
          <w:tcPr>
            <w:tcW w:w="2268" w:type="dxa"/>
          </w:tcPr>
          <w:p w14:paraId="4B64579B" w14:textId="2E17D453"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Ref</w:t>
            </w:r>
          </w:p>
        </w:tc>
      </w:tr>
      <w:tr w:rsidR="0053361C" w:rsidRPr="009F6FBF" w14:paraId="312CA735" w14:textId="62423A87" w:rsidTr="000408E8">
        <w:trPr>
          <w:trHeight w:val="300"/>
        </w:trPr>
        <w:tc>
          <w:tcPr>
            <w:tcW w:w="2410" w:type="dxa"/>
            <w:shd w:val="clear" w:color="auto" w:fill="auto"/>
            <w:noWrap/>
            <w:hideMark/>
          </w:tcPr>
          <w:p w14:paraId="792E4B54" w14:textId="1D66F637" w:rsidR="005A6FAA" w:rsidRPr="009F6FBF" w:rsidRDefault="005A6FAA" w:rsidP="005A6FAA">
            <w:pPr>
              <w:ind w:left="231"/>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4</w:t>
            </w:r>
            <w:r w:rsidRPr="009F6FBF">
              <w:rPr>
                <w:rFonts w:ascii="Times New Roman" w:eastAsia="Times New Roman" w:hAnsi="Times New Roman" w:cs="Times New Roman"/>
                <w:color w:val="000000"/>
                <w:sz w:val="20"/>
                <w:szCs w:val="20"/>
                <w:vertAlign w:val="superscript"/>
                <w:lang w:val="en-GB"/>
              </w:rPr>
              <w:t>th</w:t>
            </w:r>
            <w:r w:rsidRPr="009F6FBF">
              <w:rPr>
                <w:rFonts w:ascii="Times New Roman" w:eastAsia="Times New Roman" w:hAnsi="Times New Roman" w:cs="Times New Roman"/>
                <w:color w:val="000000"/>
                <w:sz w:val="20"/>
                <w:szCs w:val="20"/>
                <w:lang w:val="en-GB"/>
              </w:rPr>
              <w:t xml:space="preserve"> Quintile</w:t>
            </w:r>
          </w:p>
        </w:tc>
        <w:tc>
          <w:tcPr>
            <w:tcW w:w="2126" w:type="dxa"/>
            <w:shd w:val="clear" w:color="auto" w:fill="auto"/>
            <w:noWrap/>
          </w:tcPr>
          <w:p w14:paraId="000CC756" w14:textId="2F0D6469" w:rsidR="005A6FAA" w:rsidRPr="009F6FBF" w:rsidRDefault="005A6FAA" w:rsidP="00F23939">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0.9</w:t>
            </w:r>
            <w:r w:rsidR="00F23939">
              <w:rPr>
                <w:rFonts w:ascii="Times New Roman" w:eastAsia="Times New Roman" w:hAnsi="Times New Roman" w:cs="Times New Roman"/>
                <w:color w:val="000000"/>
                <w:sz w:val="20"/>
                <w:szCs w:val="20"/>
                <w:lang w:val="en-GB"/>
              </w:rPr>
              <w:t>7</w:t>
            </w:r>
            <w:r w:rsidRPr="009F6FBF">
              <w:rPr>
                <w:rFonts w:ascii="Times New Roman" w:eastAsia="Times New Roman" w:hAnsi="Times New Roman" w:cs="Times New Roman"/>
                <w:color w:val="000000"/>
                <w:sz w:val="20"/>
                <w:szCs w:val="20"/>
                <w:lang w:val="en-GB"/>
              </w:rPr>
              <w:t xml:space="preserve"> (0.8</w:t>
            </w:r>
            <w:r w:rsidR="00F23939">
              <w:rPr>
                <w:rFonts w:ascii="Times New Roman" w:eastAsia="Times New Roman" w:hAnsi="Times New Roman" w:cs="Times New Roman"/>
                <w:color w:val="000000"/>
                <w:sz w:val="20"/>
                <w:szCs w:val="20"/>
                <w:lang w:val="en-GB"/>
              </w:rPr>
              <w:t>9</w:t>
            </w:r>
            <w:r w:rsidRPr="009F6FBF">
              <w:rPr>
                <w:rFonts w:ascii="Times New Roman" w:eastAsia="Times New Roman" w:hAnsi="Times New Roman" w:cs="Times New Roman"/>
                <w:color w:val="000000"/>
                <w:sz w:val="20"/>
                <w:szCs w:val="20"/>
                <w:lang w:val="en-GB"/>
              </w:rPr>
              <w:t>; 1.0</w:t>
            </w:r>
            <w:r w:rsidR="00F23939">
              <w:rPr>
                <w:rFonts w:ascii="Times New Roman" w:eastAsia="Times New Roman" w:hAnsi="Times New Roman" w:cs="Times New Roman"/>
                <w:color w:val="000000"/>
                <w:sz w:val="20"/>
                <w:szCs w:val="20"/>
                <w:lang w:val="en-GB"/>
              </w:rPr>
              <w:t>6</w:t>
            </w:r>
            <w:r w:rsidRPr="009F6FBF">
              <w:rPr>
                <w:rFonts w:ascii="Times New Roman" w:eastAsia="Times New Roman" w:hAnsi="Times New Roman" w:cs="Times New Roman"/>
                <w:color w:val="000000"/>
                <w:sz w:val="20"/>
                <w:szCs w:val="20"/>
                <w:lang w:val="en-GB"/>
              </w:rPr>
              <w:t>)</w:t>
            </w:r>
          </w:p>
        </w:tc>
        <w:tc>
          <w:tcPr>
            <w:tcW w:w="2268" w:type="dxa"/>
            <w:shd w:val="clear" w:color="auto" w:fill="auto"/>
            <w:noWrap/>
          </w:tcPr>
          <w:p w14:paraId="0547DE6D" w14:textId="52801D65" w:rsidR="005A6FAA" w:rsidRPr="009F6FBF" w:rsidRDefault="00DD0485" w:rsidP="00E31D28">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0.96</w:t>
            </w:r>
            <w:r w:rsidR="00606EBA">
              <w:rPr>
                <w:rFonts w:ascii="Times New Roman" w:eastAsia="Times New Roman" w:hAnsi="Times New Roman" w:cs="Times New Roman"/>
                <w:color w:val="000000"/>
                <w:sz w:val="20"/>
                <w:szCs w:val="20"/>
                <w:lang w:val="en-GB"/>
              </w:rPr>
              <w:t xml:space="preserve"> (0.</w:t>
            </w:r>
            <w:r w:rsidR="00E31D28">
              <w:rPr>
                <w:rFonts w:ascii="Times New Roman" w:eastAsia="Times New Roman" w:hAnsi="Times New Roman" w:cs="Times New Roman"/>
                <w:color w:val="000000"/>
                <w:sz w:val="20"/>
                <w:szCs w:val="20"/>
                <w:lang w:val="en-GB"/>
              </w:rPr>
              <w:t>89</w:t>
            </w:r>
            <w:r w:rsidR="00606EBA">
              <w:rPr>
                <w:rFonts w:ascii="Times New Roman" w:eastAsia="Times New Roman" w:hAnsi="Times New Roman" w:cs="Times New Roman"/>
                <w:color w:val="000000"/>
                <w:sz w:val="20"/>
                <w:szCs w:val="20"/>
                <w:lang w:val="en-GB"/>
              </w:rPr>
              <w:t>; 1.</w:t>
            </w:r>
            <w:r>
              <w:rPr>
                <w:rFonts w:ascii="Times New Roman" w:eastAsia="Times New Roman" w:hAnsi="Times New Roman" w:cs="Times New Roman"/>
                <w:color w:val="000000"/>
                <w:sz w:val="20"/>
                <w:szCs w:val="20"/>
                <w:lang w:val="en-GB"/>
              </w:rPr>
              <w:t>03</w:t>
            </w:r>
            <w:r w:rsidR="00606EBA">
              <w:rPr>
                <w:rFonts w:ascii="Times New Roman" w:eastAsia="Times New Roman" w:hAnsi="Times New Roman" w:cs="Times New Roman"/>
                <w:color w:val="000000"/>
                <w:sz w:val="20"/>
                <w:szCs w:val="20"/>
                <w:lang w:val="en-GB"/>
              </w:rPr>
              <w:t>)</w:t>
            </w:r>
          </w:p>
        </w:tc>
        <w:tc>
          <w:tcPr>
            <w:tcW w:w="2268" w:type="dxa"/>
          </w:tcPr>
          <w:p w14:paraId="3AF06D58" w14:textId="676B8ED7" w:rsidR="005A6FAA" w:rsidRPr="009F6FBF" w:rsidRDefault="00606EBA" w:rsidP="00BF5441">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1.0</w:t>
            </w:r>
            <w:r w:rsidR="00BF5441">
              <w:rPr>
                <w:rFonts w:ascii="Times New Roman" w:eastAsia="Times New Roman" w:hAnsi="Times New Roman" w:cs="Times New Roman"/>
                <w:color w:val="000000"/>
                <w:sz w:val="20"/>
                <w:szCs w:val="20"/>
                <w:lang w:val="en-GB"/>
              </w:rPr>
              <w:t>1</w:t>
            </w:r>
            <w:r>
              <w:rPr>
                <w:rFonts w:ascii="Times New Roman" w:eastAsia="Times New Roman" w:hAnsi="Times New Roman" w:cs="Times New Roman"/>
                <w:color w:val="000000"/>
                <w:sz w:val="20"/>
                <w:szCs w:val="20"/>
                <w:lang w:val="en-GB"/>
              </w:rPr>
              <w:t xml:space="preserve"> (0.9</w:t>
            </w:r>
            <w:r w:rsidR="00BF5441">
              <w:rPr>
                <w:rFonts w:ascii="Times New Roman" w:eastAsia="Times New Roman" w:hAnsi="Times New Roman" w:cs="Times New Roman"/>
                <w:color w:val="000000"/>
                <w:sz w:val="20"/>
                <w:szCs w:val="20"/>
                <w:lang w:val="en-GB"/>
              </w:rPr>
              <w:t>7</w:t>
            </w:r>
            <w:r>
              <w:rPr>
                <w:rFonts w:ascii="Times New Roman" w:eastAsia="Times New Roman" w:hAnsi="Times New Roman" w:cs="Times New Roman"/>
                <w:color w:val="000000"/>
                <w:sz w:val="20"/>
                <w:szCs w:val="20"/>
                <w:lang w:val="en-GB"/>
              </w:rPr>
              <w:t>; 1.0</w:t>
            </w:r>
            <w:r w:rsidR="00BF5441">
              <w:rPr>
                <w:rFonts w:ascii="Times New Roman" w:eastAsia="Times New Roman" w:hAnsi="Times New Roman" w:cs="Times New Roman"/>
                <w:color w:val="000000"/>
                <w:sz w:val="20"/>
                <w:szCs w:val="20"/>
                <w:lang w:val="en-GB"/>
              </w:rPr>
              <w:t>5</w:t>
            </w:r>
            <w:r>
              <w:rPr>
                <w:rFonts w:ascii="Times New Roman" w:eastAsia="Times New Roman" w:hAnsi="Times New Roman" w:cs="Times New Roman"/>
                <w:color w:val="000000"/>
                <w:sz w:val="20"/>
                <w:szCs w:val="20"/>
                <w:lang w:val="en-GB"/>
              </w:rPr>
              <w:t>)</w:t>
            </w:r>
          </w:p>
        </w:tc>
      </w:tr>
      <w:tr w:rsidR="0053361C" w:rsidRPr="009F6FBF" w14:paraId="19AA0AF3" w14:textId="342F8D68" w:rsidTr="000408E8">
        <w:trPr>
          <w:trHeight w:val="300"/>
        </w:trPr>
        <w:tc>
          <w:tcPr>
            <w:tcW w:w="2410" w:type="dxa"/>
            <w:shd w:val="clear" w:color="auto" w:fill="auto"/>
            <w:noWrap/>
            <w:hideMark/>
          </w:tcPr>
          <w:p w14:paraId="191778D0" w14:textId="32313EF3" w:rsidR="005A6FAA" w:rsidRPr="009F6FBF" w:rsidRDefault="005A6FAA" w:rsidP="005A6FAA">
            <w:pPr>
              <w:ind w:left="231"/>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5</w:t>
            </w:r>
            <w:r w:rsidRPr="009F6FBF">
              <w:rPr>
                <w:rFonts w:ascii="Times New Roman" w:eastAsia="Times New Roman" w:hAnsi="Times New Roman" w:cs="Times New Roman"/>
                <w:color w:val="000000"/>
                <w:sz w:val="20"/>
                <w:szCs w:val="20"/>
                <w:vertAlign w:val="superscript"/>
                <w:lang w:val="en-GB"/>
              </w:rPr>
              <w:t>th</w:t>
            </w:r>
            <w:r w:rsidRPr="009F6FBF">
              <w:rPr>
                <w:rFonts w:ascii="Times New Roman" w:eastAsia="Times New Roman" w:hAnsi="Times New Roman" w:cs="Times New Roman"/>
                <w:color w:val="000000"/>
                <w:sz w:val="20"/>
                <w:szCs w:val="20"/>
                <w:lang w:val="en-GB"/>
              </w:rPr>
              <w:t xml:space="preserve"> Quintile</w:t>
            </w:r>
          </w:p>
        </w:tc>
        <w:tc>
          <w:tcPr>
            <w:tcW w:w="2126" w:type="dxa"/>
            <w:shd w:val="clear" w:color="auto" w:fill="auto"/>
            <w:noWrap/>
          </w:tcPr>
          <w:p w14:paraId="34827BAF" w14:textId="6D0692FE" w:rsidR="005A6FAA" w:rsidRPr="005E2A00" w:rsidRDefault="005A6FAA" w:rsidP="00F2393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0.7</w:t>
            </w:r>
            <w:r w:rsidR="00F23939" w:rsidRPr="005E2A00">
              <w:rPr>
                <w:rFonts w:ascii="Times New Roman" w:eastAsia="Times New Roman" w:hAnsi="Times New Roman" w:cs="Times New Roman"/>
                <w:b/>
                <w:color w:val="000000"/>
                <w:sz w:val="20"/>
                <w:szCs w:val="20"/>
                <w:lang w:val="en-GB"/>
              </w:rPr>
              <w:t>8</w:t>
            </w:r>
            <w:r w:rsidRPr="005E2A00">
              <w:rPr>
                <w:rFonts w:ascii="Times New Roman" w:eastAsia="Times New Roman" w:hAnsi="Times New Roman" w:cs="Times New Roman"/>
                <w:b/>
                <w:color w:val="000000"/>
                <w:sz w:val="20"/>
                <w:szCs w:val="20"/>
                <w:lang w:val="en-GB"/>
              </w:rPr>
              <w:t xml:space="preserve"> (0.</w:t>
            </w:r>
            <w:r w:rsidR="00F23939" w:rsidRPr="005E2A00">
              <w:rPr>
                <w:rFonts w:ascii="Times New Roman" w:eastAsia="Times New Roman" w:hAnsi="Times New Roman" w:cs="Times New Roman"/>
                <w:b/>
                <w:color w:val="000000"/>
                <w:sz w:val="20"/>
                <w:szCs w:val="20"/>
                <w:lang w:val="en-GB"/>
              </w:rPr>
              <w:t>72</w:t>
            </w:r>
            <w:r w:rsidRPr="005E2A00">
              <w:rPr>
                <w:rFonts w:ascii="Times New Roman" w:eastAsia="Times New Roman" w:hAnsi="Times New Roman" w:cs="Times New Roman"/>
                <w:b/>
                <w:color w:val="000000"/>
                <w:sz w:val="20"/>
                <w:szCs w:val="20"/>
                <w:lang w:val="en-GB"/>
              </w:rPr>
              <w:t>; 0.</w:t>
            </w:r>
            <w:r w:rsidR="00F23939" w:rsidRPr="005E2A00">
              <w:rPr>
                <w:rFonts w:ascii="Times New Roman" w:eastAsia="Times New Roman" w:hAnsi="Times New Roman" w:cs="Times New Roman"/>
                <w:b/>
                <w:color w:val="000000"/>
                <w:sz w:val="20"/>
                <w:szCs w:val="20"/>
                <w:lang w:val="en-GB"/>
              </w:rPr>
              <w:t>85</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0CCFC44A" w14:textId="7399360F" w:rsidR="005A6FAA" w:rsidRPr="005E2A00" w:rsidRDefault="00606EBA"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0.8</w:t>
            </w:r>
            <w:r w:rsidR="00DD0485" w:rsidRPr="005E2A00">
              <w:rPr>
                <w:rFonts w:ascii="Times New Roman" w:eastAsia="Times New Roman" w:hAnsi="Times New Roman" w:cs="Times New Roman"/>
                <w:b/>
                <w:color w:val="000000"/>
                <w:sz w:val="20"/>
                <w:szCs w:val="20"/>
                <w:lang w:val="en-GB"/>
              </w:rPr>
              <w:t>5</w:t>
            </w:r>
            <w:r w:rsidRPr="005E2A00">
              <w:rPr>
                <w:rFonts w:ascii="Times New Roman" w:eastAsia="Times New Roman" w:hAnsi="Times New Roman" w:cs="Times New Roman"/>
                <w:b/>
                <w:color w:val="000000"/>
                <w:sz w:val="20"/>
                <w:szCs w:val="20"/>
                <w:lang w:val="en-GB"/>
              </w:rPr>
              <w:t xml:space="preserve"> (0.</w:t>
            </w:r>
            <w:r w:rsidR="00DD0485" w:rsidRPr="005E2A00">
              <w:rPr>
                <w:rFonts w:ascii="Times New Roman" w:eastAsia="Times New Roman" w:hAnsi="Times New Roman" w:cs="Times New Roman"/>
                <w:b/>
                <w:color w:val="000000"/>
                <w:sz w:val="20"/>
                <w:szCs w:val="20"/>
                <w:lang w:val="en-GB"/>
              </w:rPr>
              <w:t>80</w:t>
            </w:r>
            <w:r w:rsidRPr="005E2A00">
              <w:rPr>
                <w:rFonts w:ascii="Times New Roman" w:eastAsia="Times New Roman" w:hAnsi="Times New Roman" w:cs="Times New Roman"/>
                <w:b/>
                <w:color w:val="000000"/>
                <w:sz w:val="20"/>
                <w:szCs w:val="20"/>
                <w:lang w:val="en-GB"/>
              </w:rPr>
              <w:t>; 0.</w:t>
            </w:r>
            <w:r w:rsidR="00DD0485" w:rsidRPr="005E2A00">
              <w:rPr>
                <w:rFonts w:ascii="Times New Roman" w:eastAsia="Times New Roman" w:hAnsi="Times New Roman" w:cs="Times New Roman"/>
                <w:b/>
                <w:color w:val="000000"/>
                <w:sz w:val="20"/>
                <w:szCs w:val="20"/>
                <w:lang w:val="en-GB"/>
              </w:rPr>
              <w:t>91</w:t>
            </w:r>
            <w:r w:rsidRPr="005E2A00">
              <w:rPr>
                <w:rFonts w:ascii="Times New Roman" w:eastAsia="Times New Roman" w:hAnsi="Times New Roman" w:cs="Times New Roman"/>
                <w:b/>
                <w:color w:val="000000"/>
                <w:sz w:val="20"/>
                <w:szCs w:val="20"/>
                <w:lang w:val="en-GB"/>
              </w:rPr>
              <w:t>)</w:t>
            </w:r>
          </w:p>
        </w:tc>
        <w:tc>
          <w:tcPr>
            <w:tcW w:w="2268" w:type="dxa"/>
          </w:tcPr>
          <w:p w14:paraId="67F41660" w14:textId="21009444" w:rsidR="005A6FAA" w:rsidRPr="005E2A00" w:rsidRDefault="00606EBA"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0.</w:t>
            </w:r>
            <w:r w:rsidR="00BF5441" w:rsidRPr="005E2A00">
              <w:rPr>
                <w:rFonts w:ascii="Times New Roman" w:eastAsia="Times New Roman" w:hAnsi="Times New Roman" w:cs="Times New Roman"/>
                <w:b/>
                <w:color w:val="000000"/>
                <w:sz w:val="20"/>
                <w:szCs w:val="20"/>
                <w:lang w:val="en-GB"/>
              </w:rPr>
              <w:t>95</w:t>
            </w:r>
            <w:r w:rsidRPr="005E2A00">
              <w:rPr>
                <w:rFonts w:ascii="Times New Roman" w:eastAsia="Times New Roman" w:hAnsi="Times New Roman" w:cs="Times New Roman"/>
                <w:b/>
                <w:color w:val="000000"/>
                <w:sz w:val="20"/>
                <w:szCs w:val="20"/>
                <w:lang w:val="en-GB"/>
              </w:rPr>
              <w:t xml:space="preserve"> (0.9</w:t>
            </w:r>
            <w:r w:rsidR="00BF5441" w:rsidRPr="005E2A00">
              <w:rPr>
                <w:rFonts w:ascii="Times New Roman" w:eastAsia="Times New Roman" w:hAnsi="Times New Roman" w:cs="Times New Roman"/>
                <w:b/>
                <w:color w:val="000000"/>
                <w:sz w:val="20"/>
                <w:szCs w:val="20"/>
                <w:lang w:val="en-GB"/>
              </w:rPr>
              <w:t>1</w:t>
            </w:r>
            <w:r w:rsidRPr="005E2A00">
              <w:rPr>
                <w:rFonts w:ascii="Times New Roman" w:eastAsia="Times New Roman" w:hAnsi="Times New Roman" w:cs="Times New Roman"/>
                <w:b/>
                <w:color w:val="000000"/>
                <w:sz w:val="20"/>
                <w:szCs w:val="20"/>
                <w:lang w:val="en-GB"/>
              </w:rPr>
              <w:t>; 0.9</w:t>
            </w:r>
            <w:r w:rsidR="00BF5441" w:rsidRPr="005E2A00">
              <w:rPr>
                <w:rFonts w:ascii="Times New Roman" w:eastAsia="Times New Roman" w:hAnsi="Times New Roman" w:cs="Times New Roman"/>
                <w:b/>
                <w:color w:val="000000"/>
                <w:sz w:val="20"/>
                <w:szCs w:val="20"/>
                <w:lang w:val="en-GB"/>
              </w:rPr>
              <w:t>9</w:t>
            </w:r>
            <w:r w:rsidRPr="005E2A00">
              <w:rPr>
                <w:rFonts w:ascii="Times New Roman" w:eastAsia="Times New Roman" w:hAnsi="Times New Roman" w:cs="Times New Roman"/>
                <w:b/>
                <w:color w:val="000000"/>
                <w:sz w:val="20"/>
                <w:szCs w:val="20"/>
                <w:lang w:val="en-GB"/>
              </w:rPr>
              <w:t>)</w:t>
            </w:r>
          </w:p>
        </w:tc>
      </w:tr>
      <w:tr w:rsidR="0053361C" w:rsidRPr="009F6FBF" w14:paraId="3EE25FDE" w14:textId="77777777" w:rsidTr="000408E8">
        <w:trPr>
          <w:trHeight w:val="300"/>
        </w:trPr>
        <w:tc>
          <w:tcPr>
            <w:tcW w:w="2410" w:type="dxa"/>
            <w:shd w:val="clear" w:color="auto" w:fill="auto"/>
            <w:noWrap/>
          </w:tcPr>
          <w:p w14:paraId="0B4E9D20" w14:textId="448E9218" w:rsidR="0053361C" w:rsidRPr="009F6FBF" w:rsidRDefault="0053361C" w:rsidP="0053361C">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b/>
                <w:bCs/>
                <w:color w:val="000000"/>
                <w:sz w:val="20"/>
                <w:szCs w:val="20"/>
                <w:lang w:val="en-GB"/>
              </w:rPr>
              <w:t>Marital status</w:t>
            </w:r>
          </w:p>
        </w:tc>
        <w:tc>
          <w:tcPr>
            <w:tcW w:w="2126" w:type="dxa"/>
            <w:shd w:val="clear" w:color="auto" w:fill="auto"/>
            <w:noWrap/>
          </w:tcPr>
          <w:p w14:paraId="61EE8C72" w14:textId="2C878836" w:rsidR="0053361C" w:rsidRPr="009F6FBF" w:rsidRDefault="0053361C" w:rsidP="0053361C">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268" w:type="dxa"/>
            <w:shd w:val="clear" w:color="auto" w:fill="auto"/>
            <w:noWrap/>
          </w:tcPr>
          <w:p w14:paraId="178ED79E" w14:textId="6681478C" w:rsidR="0053361C" w:rsidRDefault="0053361C" w:rsidP="0053361C">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268" w:type="dxa"/>
          </w:tcPr>
          <w:p w14:paraId="5DF298F2" w14:textId="77777777" w:rsidR="0053361C" w:rsidRDefault="0053361C" w:rsidP="0053361C">
            <w:pPr>
              <w:rPr>
                <w:rFonts w:ascii="Times New Roman" w:eastAsia="Times New Roman" w:hAnsi="Times New Roman" w:cs="Times New Roman"/>
                <w:color w:val="000000"/>
                <w:sz w:val="20"/>
                <w:szCs w:val="20"/>
                <w:lang w:val="en-GB"/>
              </w:rPr>
            </w:pPr>
          </w:p>
        </w:tc>
      </w:tr>
      <w:tr w:rsidR="0053361C" w:rsidRPr="009F6FBF" w14:paraId="52B283CA" w14:textId="77777777" w:rsidTr="000408E8">
        <w:trPr>
          <w:trHeight w:val="300"/>
        </w:trPr>
        <w:tc>
          <w:tcPr>
            <w:tcW w:w="2410" w:type="dxa"/>
            <w:shd w:val="clear" w:color="auto" w:fill="auto"/>
            <w:noWrap/>
          </w:tcPr>
          <w:p w14:paraId="1DE2E0E6" w14:textId="1ABE5EF2" w:rsidR="0053361C" w:rsidRPr="009F6FBF" w:rsidRDefault="0053361C" w:rsidP="0053361C">
            <w:pPr>
              <w:ind w:left="231"/>
              <w:rPr>
                <w:rFonts w:ascii="Times New Roman" w:eastAsia="Times New Roman" w:hAnsi="Times New Roman" w:cs="Times New Roman"/>
                <w:b/>
                <w:bCs/>
                <w:color w:val="000000"/>
                <w:sz w:val="20"/>
                <w:szCs w:val="20"/>
                <w:lang w:val="en-GB"/>
              </w:rPr>
            </w:pPr>
            <w:r>
              <w:rPr>
                <w:rFonts w:ascii="Times New Roman" w:eastAsia="Times New Roman" w:hAnsi="Times New Roman" w:cs="Times New Roman"/>
                <w:color w:val="000000"/>
                <w:sz w:val="20"/>
                <w:szCs w:val="20"/>
                <w:lang w:val="en-GB"/>
              </w:rPr>
              <w:t>Married</w:t>
            </w:r>
          </w:p>
        </w:tc>
        <w:tc>
          <w:tcPr>
            <w:tcW w:w="2126" w:type="dxa"/>
            <w:shd w:val="clear" w:color="auto" w:fill="auto"/>
            <w:noWrap/>
          </w:tcPr>
          <w:p w14:paraId="23DA9154" w14:textId="144D1A3F" w:rsidR="0053361C" w:rsidRPr="009F6FBF"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c>
          <w:tcPr>
            <w:tcW w:w="2268" w:type="dxa"/>
            <w:shd w:val="clear" w:color="auto" w:fill="auto"/>
            <w:noWrap/>
          </w:tcPr>
          <w:p w14:paraId="1305F8B8" w14:textId="6CF49C6E" w:rsidR="0053361C" w:rsidRPr="009F6FBF"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c>
          <w:tcPr>
            <w:tcW w:w="2268" w:type="dxa"/>
          </w:tcPr>
          <w:p w14:paraId="67235CF8" w14:textId="7F2214FA" w:rsidR="0053361C"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r>
      <w:tr w:rsidR="0053361C" w:rsidRPr="009F6FBF" w14:paraId="51029621" w14:textId="77777777" w:rsidTr="000408E8">
        <w:trPr>
          <w:trHeight w:val="300"/>
        </w:trPr>
        <w:tc>
          <w:tcPr>
            <w:tcW w:w="2410" w:type="dxa"/>
            <w:shd w:val="clear" w:color="auto" w:fill="auto"/>
            <w:noWrap/>
          </w:tcPr>
          <w:p w14:paraId="4F5CDA40" w14:textId="598BC61C" w:rsidR="0053361C" w:rsidRPr="009F6FBF" w:rsidRDefault="0053361C" w:rsidP="0053361C">
            <w:pPr>
              <w:ind w:left="231"/>
              <w:rPr>
                <w:rFonts w:ascii="Times New Roman" w:eastAsia="Times New Roman" w:hAnsi="Times New Roman" w:cs="Times New Roman"/>
                <w:b/>
                <w:bCs/>
                <w:color w:val="000000"/>
                <w:sz w:val="20"/>
                <w:szCs w:val="20"/>
                <w:lang w:val="en-GB"/>
              </w:rPr>
            </w:pPr>
            <w:r>
              <w:rPr>
                <w:rFonts w:ascii="Times New Roman" w:eastAsia="Times New Roman" w:hAnsi="Times New Roman" w:cs="Times New Roman"/>
                <w:color w:val="000000"/>
                <w:sz w:val="20"/>
                <w:szCs w:val="20"/>
                <w:lang w:val="en-GB"/>
              </w:rPr>
              <w:t>Widowed</w:t>
            </w:r>
          </w:p>
        </w:tc>
        <w:tc>
          <w:tcPr>
            <w:tcW w:w="2126" w:type="dxa"/>
            <w:shd w:val="clear" w:color="auto" w:fill="auto"/>
            <w:noWrap/>
          </w:tcPr>
          <w:p w14:paraId="382DB00D" w14:textId="466168A6" w:rsidR="0053361C" w:rsidRPr="005E2A00" w:rsidRDefault="0053361C" w:rsidP="00F2393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1.5</w:t>
            </w:r>
            <w:r w:rsidR="00F23939" w:rsidRPr="005E2A00">
              <w:rPr>
                <w:rFonts w:ascii="Times New Roman" w:eastAsia="Times New Roman" w:hAnsi="Times New Roman" w:cs="Times New Roman"/>
                <w:b/>
                <w:color w:val="000000"/>
                <w:sz w:val="20"/>
                <w:szCs w:val="20"/>
                <w:lang w:val="en-GB"/>
              </w:rPr>
              <w:t>3</w:t>
            </w:r>
            <w:r w:rsidRPr="005E2A00">
              <w:rPr>
                <w:rFonts w:ascii="Times New Roman" w:eastAsia="Times New Roman" w:hAnsi="Times New Roman" w:cs="Times New Roman"/>
                <w:b/>
                <w:color w:val="000000"/>
                <w:sz w:val="20"/>
                <w:szCs w:val="20"/>
                <w:lang w:val="en-GB"/>
              </w:rPr>
              <w:t xml:space="preserve"> (1.4</w:t>
            </w:r>
            <w:r w:rsidR="00F23939" w:rsidRPr="005E2A00">
              <w:rPr>
                <w:rFonts w:ascii="Times New Roman" w:eastAsia="Times New Roman" w:hAnsi="Times New Roman" w:cs="Times New Roman"/>
                <w:b/>
                <w:color w:val="000000"/>
                <w:sz w:val="20"/>
                <w:szCs w:val="20"/>
                <w:lang w:val="en-GB"/>
              </w:rPr>
              <w:t>2</w:t>
            </w:r>
            <w:r w:rsidRPr="005E2A00">
              <w:rPr>
                <w:rFonts w:ascii="Times New Roman" w:eastAsia="Times New Roman" w:hAnsi="Times New Roman" w:cs="Times New Roman"/>
                <w:b/>
                <w:color w:val="000000"/>
                <w:sz w:val="20"/>
                <w:szCs w:val="20"/>
                <w:lang w:val="en-GB"/>
              </w:rPr>
              <w:t>; 1.6</w:t>
            </w:r>
            <w:r w:rsidR="00F23939" w:rsidRPr="005E2A00">
              <w:rPr>
                <w:rFonts w:ascii="Times New Roman" w:eastAsia="Times New Roman" w:hAnsi="Times New Roman" w:cs="Times New Roman"/>
                <w:b/>
                <w:color w:val="000000"/>
                <w:sz w:val="20"/>
                <w:szCs w:val="20"/>
                <w:lang w:val="en-GB"/>
              </w:rPr>
              <w:t>5</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4BC7C4A7" w14:textId="41ECD617" w:rsidR="0053361C" w:rsidRPr="005E2A00" w:rsidRDefault="0053361C"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1.2</w:t>
            </w:r>
            <w:r w:rsidR="00DD0485" w:rsidRPr="005E2A00">
              <w:rPr>
                <w:rFonts w:ascii="Times New Roman" w:eastAsia="Times New Roman" w:hAnsi="Times New Roman" w:cs="Times New Roman"/>
                <w:b/>
                <w:color w:val="000000"/>
                <w:sz w:val="20"/>
                <w:szCs w:val="20"/>
                <w:lang w:val="en-GB"/>
              </w:rPr>
              <w:t>6</w:t>
            </w:r>
            <w:r w:rsidRPr="005E2A00">
              <w:rPr>
                <w:rFonts w:ascii="Times New Roman" w:eastAsia="Times New Roman" w:hAnsi="Times New Roman" w:cs="Times New Roman"/>
                <w:b/>
                <w:color w:val="000000"/>
                <w:sz w:val="20"/>
                <w:szCs w:val="20"/>
                <w:lang w:val="en-GB"/>
              </w:rPr>
              <w:t xml:space="preserve"> (1.19; 1.3</w:t>
            </w:r>
            <w:r w:rsidR="00DD0485" w:rsidRPr="005E2A00">
              <w:rPr>
                <w:rFonts w:ascii="Times New Roman" w:eastAsia="Times New Roman" w:hAnsi="Times New Roman" w:cs="Times New Roman"/>
                <w:b/>
                <w:color w:val="000000"/>
                <w:sz w:val="20"/>
                <w:szCs w:val="20"/>
                <w:lang w:val="en-GB"/>
              </w:rPr>
              <w:t>4</w:t>
            </w:r>
            <w:r w:rsidRPr="005E2A00">
              <w:rPr>
                <w:rFonts w:ascii="Times New Roman" w:eastAsia="Times New Roman" w:hAnsi="Times New Roman" w:cs="Times New Roman"/>
                <w:b/>
                <w:color w:val="000000"/>
                <w:sz w:val="20"/>
                <w:szCs w:val="20"/>
                <w:lang w:val="en-GB"/>
              </w:rPr>
              <w:t>)</w:t>
            </w:r>
          </w:p>
        </w:tc>
        <w:tc>
          <w:tcPr>
            <w:tcW w:w="2268" w:type="dxa"/>
          </w:tcPr>
          <w:p w14:paraId="49D02404" w14:textId="024445F7" w:rsidR="0053361C" w:rsidRPr="005E2A00" w:rsidRDefault="0053361C"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1.1</w:t>
            </w:r>
            <w:r w:rsidR="00BF5441" w:rsidRPr="005E2A00">
              <w:rPr>
                <w:rFonts w:ascii="Times New Roman" w:eastAsia="Times New Roman" w:hAnsi="Times New Roman" w:cs="Times New Roman"/>
                <w:b/>
                <w:color w:val="000000"/>
                <w:sz w:val="20"/>
                <w:szCs w:val="20"/>
                <w:lang w:val="en-GB"/>
              </w:rPr>
              <w:t>3</w:t>
            </w:r>
            <w:r w:rsidRPr="005E2A00">
              <w:rPr>
                <w:rFonts w:ascii="Times New Roman" w:eastAsia="Times New Roman" w:hAnsi="Times New Roman" w:cs="Times New Roman"/>
                <w:b/>
                <w:color w:val="000000"/>
                <w:sz w:val="20"/>
                <w:szCs w:val="20"/>
                <w:lang w:val="en-GB"/>
              </w:rPr>
              <w:t xml:space="preserve"> (1.</w:t>
            </w:r>
            <w:r w:rsidR="00BF5441" w:rsidRPr="005E2A00">
              <w:rPr>
                <w:rFonts w:ascii="Times New Roman" w:eastAsia="Times New Roman" w:hAnsi="Times New Roman" w:cs="Times New Roman"/>
                <w:b/>
                <w:color w:val="000000"/>
                <w:sz w:val="20"/>
                <w:szCs w:val="20"/>
                <w:lang w:val="en-GB"/>
              </w:rPr>
              <w:t>09</w:t>
            </w:r>
            <w:r w:rsidRPr="005E2A00">
              <w:rPr>
                <w:rFonts w:ascii="Times New Roman" w:eastAsia="Times New Roman" w:hAnsi="Times New Roman" w:cs="Times New Roman"/>
                <w:b/>
                <w:color w:val="000000"/>
                <w:sz w:val="20"/>
                <w:szCs w:val="20"/>
                <w:lang w:val="en-GB"/>
              </w:rPr>
              <w:t>; 1.</w:t>
            </w:r>
            <w:r w:rsidR="00BF5441" w:rsidRPr="005E2A00">
              <w:rPr>
                <w:rFonts w:ascii="Times New Roman" w:eastAsia="Times New Roman" w:hAnsi="Times New Roman" w:cs="Times New Roman"/>
                <w:b/>
                <w:color w:val="000000"/>
                <w:sz w:val="20"/>
                <w:szCs w:val="20"/>
                <w:lang w:val="en-GB"/>
              </w:rPr>
              <w:t>17</w:t>
            </w:r>
            <w:r w:rsidRPr="005E2A00">
              <w:rPr>
                <w:rFonts w:ascii="Times New Roman" w:eastAsia="Times New Roman" w:hAnsi="Times New Roman" w:cs="Times New Roman"/>
                <w:b/>
                <w:color w:val="000000"/>
                <w:sz w:val="20"/>
                <w:szCs w:val="20"/>
                <w:lang w:val="en-GB"/>
              </w:rPr>
              <w:t>)</w:t>
            </w:r>
          </w:p>
        </w:tc>
      </w:tr>
      <w:tr w:rsidR="0053361C" w:rsidRPr="009F6FBF" w14:paraId="701DF5C2" w14:textId="77777777" w:rsidTr="000408E8">
        <w:trPr>
          <w:trHeight w:val="300"/>
        </w:trPr>
        <w:tc>
          <w:tcPr>
            <w:tcW w:w="2410" w:type="dxa"/>
            <w:shd w:val="clear" w:color="auto" w:fill="auto"/>
            <w:noWrap/>
          </w:tcPr>
          <w:p w14:paraId="6D31711B" w14:textId="3FB03B69" w:rsidR="0053361C" w:rsidRPr="009F6FBF" w:rsidRDefault="0053361C" w:rsidP="0053361C">
            <w:pPr>
              <w:ind w:left="231"/>
              <w:rPr>
                <w:rFonts w:ascii="Times New Roman" w:eastAsia="Times New Roman" w:hAnsi="Times New Roman" w:cs="Times New Roman"/>
                <w:b/>
                <w:bCs/>
                <w:color w:val="000000"/>
                <w:sz w:val="20"/>
                <w:szCs w:val="20"/>
                <w:lang w:val="en-GB"/>
              </w:rPr>
            </w:pPr>
            <w:r>
              <w:rPr>
                <w:rFonts w:ascii="Times New Roman" w:eastAsia="Times New Roman" w:hAnsi="Times New Roman" w:cs="Times New Roman"/>
                <w:color w:val="000000"/>
                <w:sz w:val="20"/>
                <w:szCs w:val="20"/>
                <w:lang w:val="en-GB"/>
              </w:rPr>
              <w:t>Divorced</w:t>
            </w:r>
          </w:p>
        </w:tc>
        <w:tc>
          <w:tcPr>
            <w:tcW w:w="2126" w:type="dxa"/>
            <w:shd w:val="clear" w:color="auto" w:fill="auto"/>
            <w:noWrap/>
          </w:tcPr>
          <w:p w14:paraId="1CCCFF8A" w14:textId="50FAB9C4" w:rsidR="0053361C" w:rsidRPr="005E2A00" w:rsidRDefault="0053361C" w:rsidP="00F2393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F23939" w:rsidRPr="005E2A00">
              <w:rPr>
                <w:rFonts w:ascii="Times New Roman" w:eastAsia="Times New Roman" w:hAnsi="Times New Roman" w:cs="Times New Roman"/>
                <w:b/>
                <w:color w:val="000000"/>
                <w:sz w:val="20"/>
                <w:szCs w:val="20"/>
                <w:lang w:val="en-GB"/>
              </w:rPr>
              <w:t>60</w:t>
            </w:r>
            <w:r w:rsidRPr="005E2A00">
              <w:rPr>
                <w:rFonts w:ascii="Times New Roman" w:eastAsia="Times New Roman" w:hAnsi="Times New Roman" w:cs="Times New Roman"/>
                <w:b/>
                <w:color w:val="000000"/>
                <w:sz w:val="20"/>
                <w:szCs w:val="20"/>
                <w:lang w:val="en-GB"/>
              </w:rPr>
              <w:t xml:space="preserve"> (1.45; 1.7</w:t>
            </w:r>
            <w:r w:rsidR="00F23939" w:rsidRPr="005E2A00">
              <w:rPr>
                <w:rFonts w:ascii="Times New Roman" w:eastAsia="Times New Roman" w:hAnsi="Times New Roman" w:cs="Times New Roman"/>
                <w:b/>
                <w:color w:val="000000"/>
                <w:sz w:val="20"/>
                <w:szCs w:val="20"/>
                <w:lang w:val="en-GB"/>
              </w:rPr>
              <w:t>7</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7F7405CE" w14:textId="69464234" w:rsidR="0053361C" w:rsidRPr="005E2A00" w:rsidRDefault="0053361C"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DD0485" w:rsidRPr="005E2A00">
              <w:rPr>
                <w:rFonts w:ascii="Times New Roman" w:eastAsia="Times New Roman" w:hAnsi="Times New Roman" w:cs="Times New Roman"/>
                <w:b/>
                <w:color w:val="000000"/>
                <w:sz w:val="20"/>
                <w:szCs w:val="20"/>
                <w:lang w:val="en-GB"/>
              </w:rPr>
              <w:t>35</w:t>
            </w:r>
            <w:r w:rsidRPr="005E2A00">
              <w:rPr>
                <w:rFonts w:ascii="Times New Roman" w:eastAsia="Times New Roman" w:hAnsi="Times New Roman" w:cs="Times New Roman"/>
                <w:b/>
                <w:color w:val="000000"/>
                <w:sz w:val="20"/>
                <w:szCs w:val="20"/>
                <w:lang w:val="en-GB"/>
              </w:rPr>
              <w:t xml:space="preserve"> (1.</w:t>
            </w:r>
            <w:r w:rsidR="00DD0485" w:rsidRPr="005E2A00">
              <w:rPr>
                <w:rFonts w:ascii="Times New Roman" w:eastAsia="Times New Roman" w:hAnsi="Times New Roman" w:cs="Times New Roman"/>
                <w:b/>
                <w:color w:val="000000"/>
                <w:sz w:val="20"/>
                <w:szCs w:val="20"/>
                <w:lang w:val="en-GB"/>
              </w:rPr>
              <w:t>26</w:t>
            </w:r>
            <w:r w:rsidRPr="005E2A00">
              <w:rPr>
                <w:rFonts w:ascii="Times New Roman" w:eastAsia="Times New Roman" w:hAnsi="Times New Roman" w:cs="Times New Roman"/>
                <w:b/>
                <w:color w:val="000000"/>
                <w:sz w:val="20"/>
                <w:szCs w:val="20"/>
                <w:lang w:val="en-GB"/>
              </w:rPr>
              <w:t>; 1.4</w:t>
            </w:r>
            <w:r w:rsidR="00DD0485" w:rsidRPr="005E2A00">
              <w:rPr>
                <w:rFonts w:ascii="Times New Roman" w:eastAsia="Times New Roman" w:hAnsi="Times New Roman" w:cs="Times New Roman"/>
                <w:b/>
                <w:color w:val="000000"/>
                <w:sz w:val="20"/>
                <w:szCs w:val="20"/>
                <w:lang w:val="en-GB"/>
              </w:rPr>
              <w:t>4</w:t>
            </w:r>
            <w:r w:rsidRPr="005E2A00">
              <w:rPr>
                <w:rFonts w:ascii="Times New Roman" w:eastAsia="Times New Roman" w:hAnsi="Times New Roman" w:cs="Times New Roman"/>
                <w:b/>
                <w:color w:val="000000"/>
                <w:sz w:val="20"/>
                <w:szCs w:val="20"/>
                <w:lang w:val="en-GB"/>
              </w:rPr>
              <w:t>)</w:t>
            </w:r>
          </w:p>
        </w:tc>
        <w:tc>
          <w:tcPr>
            <w:tcW w:w="2268" w:type="dxa"/>
          </w:tcPr>
          <w:p w14:paraId="210FA447" w14:textId="753366CF" w:rsidR="0053361C" w:rsidRPr="005E2A00" w:rsidRDefault="0053361C"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BF5441" w:rsidRPr="005E2A00">
              <w:rPr>
                <w:rFonts w:ascii="Times New Roman" w:eastAsia="Times New Roman" w:hAnsi="Times New Roman" w:cs="Times New Roman"/>
                <w:b/>
                <w:color w:val="000000"/>
                <w:sz w:val="20"/>
                <w:szCs w:val="20"/>
                <w:lang w:val="en-GB"/>
              </w:rPr>
              <w:t>18</w:t>
            </w:r>
            <w:r w:rsidRPr="005E2A00">
              <w:rPr>
                <w:rFonts w:ascii="Times New Roman" w:eastAsia="Times New Roman" w:hAnsi="Times New Roman" w:cs="Times New Roman"/>
                <w:b/>
                <w:color w:val="000000"/>
                <w:sz w:val="20"/>
                <w:szCs w:val="20"/>
                <w:lang w:val="en-GB"/>
              </w:rPr>
              <w:t xml:space="preserve"> (1.1</w:t>
            </w:r>
            <w:r w:rsidR="00BF5441" w:rsidRPr="005E2A00">
              <w:rPr>
                <w:rFonts w:ascii="Times New Roman" w:eastAsia="Times New Roman" w:hAnsi="Times New Roman" w:cs="Times New Roman"/>
                <w:b/>
                <w:color w:val="000000"/>
                <w:sz w:val="20"/>
                <w:szCs w:val="20"/>
                <w:lang w:val="en-GB"/>
              </w:rPr>
              <w:t>4</w:t>
            </w:r>
            <w:r w:rsidRPr="005E2A00">
              <w:rPr>
                <w:rFonts w:ascii="Times New Roman" w:eastAsia="Times New Roman" w:hAnsi="Times New Roman" w:cs="Times New Roman"/>
                <w:b/>
                <w:color w:val="000000"/>
                <w:sz w:val="20"/>
                <w:szCs w:val="20"/>
                <w:lang w:val="en-GB"/>
              </w:rPr>
              <w:t>; 1.2</w:t>
            </w:r>
            <w:r w:rsidR="00BF5441" w:rsidRPr="005E2A00">
              <w:rPr>
                <w:rFonts w:ascii="Times New Roman" w:eastAsia="Times New Roman" w:hAnsi="Times New Roman" w:cs="Times New Roman"/>
                <w:b/>
                <w:color w:val="000000"/>
                <w:sz w:val="20"/>
                <w:szCs w:val="20"/>
                <w:lang w:val="en-GB"/>
              </w:rPr>
              <w:t>3</w:t>
            </w:r>
            <w:r w:rsidRPr="005E2A00">
              <w:rPr>
                <w:rFonts w:ascii="Times New Roman" w:eastAsia="Times New Roman" w:hAnsi="Times New Roman" w:cs="Times New Roman"/>
                <w:b/>
                <w:color w:val="000000"/>
                <w:sz w:val="20"/>
                <w:szCs w:val="20"/>
                <w:lang w:val="en-GB"/>
              </w:rPr>
              <w:t>)</w:t>
            </w:r>
          </w:p>
        </w:tc>
      </w:tr>
      <w:tr w:rsidR="0053361C" w:rsidRPr="009F6FBF" w14:paraId="4A7E0581" w14:textId="77777777" w:rsidTr="000408E8">
        <w:trPr>
          <w:trHeight w:val="300"/>
        </w:trPr>
        <w:tc>
          <w:tcPr>
            <w:tcW w:w="2410" w:type="dxa"/>
            <w:shd w:val="clear" w:color="auto" w:fill="auto"/>
            <w:noWrap/>
          </w:tcPr>
          <w:p w14:paraId="0CC5A8A6" w14:textId="4492FA33" w:rsidR="0053361C" w:rsidRPr="009F6FBF" w:rsidRDefault="0053361C" w:rsidP="0053361C">
            <w:pPr>
              <w:ind w:left="231"/>
              <w:rPr>
                <w:rFonts w:ascii="Times New Roman" w:eastAsia="Times New Roman" w:hAnsi="Times New Roman" w:cs="Times New Roman"/>
                <w:b/>
                <w:bCs/>
                <w:color w:val="000000"/>
                <w:sz w:val="20"/>
                <w:szCs w:val="20"/>
                <w:lang w:val="en-GB"/>
              </w:rPr>
            </w:pPr>
            <w:r>
              <w:rPr>
                <w:rFonts w:ascii="Times New Roman" w:eastAsia="Times New Roman" w:hAnsi="Times New Roman" w:cs="Times New Roman"/>
                <w:color w:val="000000"/>
                <w:sz w:val="20"/>
                <w:szCs w:val="20"/>
                <w:lang w:val="en-GB"/>
              </w:rPr>
              <w:t>Unmarried</w:t>
            </w:r>
          </w:p>
        </w:tc>
        <w:tc>
          <w:tcPr>
            <w:tcW w:w="2126" w:type="dxa"/>
            <w:shd w:val="clear" w:color="auto" w:fill="auto"/>
            <w:noWrap/>
          </w:tcPr>
          <w:p w14:paraId="15E39D36" w14:textId="7EE0487C" w:rsidR="0053361C" w:rsidRPr="005E2A00" w:rsidRDefault="0053361C" w:rsidP="003D66AC">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2.</w:t>
            </w:r>
            <w:r w:rsidR="003D66AC" w:rsidRPr="005E2A00">
              <w:rPr>
                <w:rFonts w:ascii="Times New Roman" w:eastAsia="Times New Roman" w:hAnsi="Times New Roman" w:cs="Times New Roman"/>
                <w:b/>
                <w:color w:val="000000"/>
                <w:sz w:val="20"/>
                <w:szCs w:val="20"/>
                <w:lang w:val="en-GB"/>
              </w:rPr>
              <w:t>2</w:t>
            </w:r>
            <w:r w:rsidR="003D66AC">
              <w:rPr>
                <w:rFonts w:ascii="Times New Roman" w:eastAsia="Times New Roman" w:hAnsi="Times New Roman" w:cs="Times New Roman"/>
                <w:b/>
                <w:color w:val="000000"/>
                <w:sz w:val="20"/>
                <w:szCs w:val="20"/>
                <w:lang w:val="en-GB"/>
              </w:rPr>
              <w:t>4</w:t>
            </w:r>
            <w:r w:rsidR="003D66AC"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w:t>
            </w:r>
            <w:r w:rsidR="00F23939" w:rsidRPr="005E2A00">
              <w:rPr>
                <w:rFonts w:ascii="Times New Roman" w:eastAsia="Times New Roman" w:hAnsi="Times New Roman" w:cs="Times New Roman"/>
                <w:b/>
                <w:color w:val="000000"/>
                <w:sz w:val="20"/>
                <w:szCs w:val="20"/>
                <w:lang w:val="en-GB"/>
              </w:rPr>
              <w:t>2.</w:t>
            </w:r>
            <w:r w:rsidR="003D66AC" w:rsidRPr="005E2A00">
              <w:rPr>
                <w:rFonts w:ascii="Times New Roman" w:eastAsia="Times New Roman" w:hAnsi="Times New Roman" w:cs="Times New Roman"/>
                <w:b/>
                <w:color w:val="000000"/>
                <w:sz w:val="20"/>
                <w:szCs w:val="20"/>
                <w:lang w:val="en-GB"/>
              </w:rPr>
              <w:t>0</w:t>
            </w:r>
            <w:r w:rsidR="003D66AC">
              <w:rPr>
                <w:rFonts w:ascii="Times New Roman" w:eastAsia="Times New Roman" w:hAnsi="Times New Roman" w:cs="Times New Roman"/>
                <w:b/>
                <w:color w:val="000000"/>
                <w:sz w:val="20"/>
                <w:szCs w:val="20"/>
                <w:lang w:val="en-GB"/>
              </w:rPr>
              <w:t>1</w:t>
            </w:r>
            <w:r w:rsidR="00F23939" w:rsidRPr="005E2A00">
              <w:rPr>
                <w:rFonts w:ascii="Times New Roman" w:eastAsia="Times New Roman" w:hAnsi="Times New Roman" w:cs="Times New Roman"/>
                <w:b/>
                <w:color w:val="000000"/>
                <w:sz w:val="20"/>
                <w:szCs w:val="20"/>
                <w:lang w:val="en-GB"/>
              </w:rPr>
              <w:t>; 2.</w:t>
            </w:r>
            <w:r w:rsidR="003D66AC">
              <w:rPr>
                <w:rFonts w:ascii="Times New Roman" w:eastAsia="Times New Roman" w:hAnsi="Times New Roman" w:cs="Times New Roman"/>
                <w:b/>
                <w:color w:val="000000"/>
                <w:sz w:val="20"/>
                <w:szCs w:val="20"/>
                <w:lang w:val="en-GB"/>
              </w:rPr>
              <w:t>49</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5812CDDD" w14:textId="6E522501" w:rsidR="0053361C" w:rsidRPr="005E2A00" w:rsidRDefault="0053361C"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DD0485" w:rsidRPr="005E2A00">
              <w:rPr>
                <w:rFonts w:ascii="Times New Roman" w:eastAsia="Times New Roman" w:hAnsi="Times New Roman" w:cs="Times New Roman"/>
                <w:b/>
                <w:color w:val="000000"/>
                <w:sz w:val="20"/>
                <w:szCs w:val="20"/>
                <w:lang w:val="en-GB"/>
              </w:rPr>
              <w:t>68</w:t>
            </w:r>
            <w:r w:rsidRPr="005E2A00">
              <w:rPr>
                <w:rFonts w:ascii="Times New Roman" w:eastAsia="Times New Roman" w:hAnsi="Times New Roman" w:cs="Times New Roman"/>
                <w:b/>
                <w:color w:val="000000"/>
                <w:sz w:val="20"/>
                <w:szCs w:val="20"/>
                <w:lang w:val="en-GB"/>
              </w:rPr>
              <w:t xml:space="preserve"> (1.</w:t>
            </w:r>
            <w:r w:rsidR="00DD0485" w:rsidRPr="005E2A00">
              <w:rPr>
                <w:rFonts w:ascii="Times New Roman" w:eastAsia="Times New Roman" w:hAnsi="Times New Roman" w:cs="Times New Roman"/>
                <w:b/>
                <w:color w:val="000000"/>
                <w:sz w:val="20"/>
                <w:szCs w:val="20"/>
                <w:lang w:val="en-GB"/>
              </w:rPr>
              <w:t>55</w:t>
            </w:r>
            <w:r w:rsidRPr="005E2A00">
              <w:rPr>
                <w:rFonts w:ascii="Times New Roman" w:eastAsia="Times New Roman" w:hAnsi="Times New Roman" w:cs="Times New Roman"/>
                <w:b/>
                <w:color w:val="000000"/>
                <w:sz w:val="20"/>
                <w:szCs w:val="20"/>
                <w:lang w:val="en-GB"/>
              </w:rPr>
              <w:t>; 1.</w:t>
            </w:r>
            <w:r w:rsidR="00DD0485" w:rsidRPr="005E2A00">
              <w:rPr>
                <w:rFonts w:ascii="Times New Roman" w:eastAsia="Times New Roman" w:hAnsi="Times New Roman" w:cs="Times New Roman"/>
                <w:b/>
                <w:color w:val="000000"/>
                <w:sz w:val="20"/>
                <w:szCs w:val="20"/>
                <w:lang w:val="en-GB"/>
              </w:rPr>
              <w:t>82</w:t>
            </w:r>
            <w:r w:rsidRPr="005E2A00">
              <w:rPr>
                <w:rFonts w:ascii="Times New Roman" w:eastAsia="Times New Roman" w:hAnsi="Times New Roman" w:cs="Times New Roman"/>
                <w:b/>
                <w:color w:val="000000"/>
                <w:sz w:val="20"/>
                <w:szCs w:val="20"/>
                <w:lang w:val="en-GB"/>
              </w:rPr>
              <w:t>)</w:t>
            </w:r>
          </w:p>
        </w:tc>
        <w:tc>
          <w:tcPr>
            <w:tcW w:w="2268" w:type="dxa"/>
          </w:tcPr>
          <w:p w14:paraId="64707D26" w14:textId="1A30A687" w:rsidR="0053361C" w:rsidRPr="005E2A00" w:rsidRDefault="0053361C"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1.2</w:t>
            </w:r>
            <w:r w:rsidR="00BF5441" w:rsidRPr="005E2A00">
              <w:rPr>
                <w:rFonts w:ascii="Times New Roman" w:eastAsia="Times New Roman" w:hAnsi="Times New Roman" w:cs="Times New Roman"/>
                <w:b/>
                <w:color w:val="000000"/>
                <w:sz w:val="20"/>
                <w:szCs w:val="20"/>
                <w:lang w:val="en-GB"/>
              </w:rPr>
              <w:t>0</w:t>
            </w:r>
            <w:r w:rsidRPr="005E2A00">
              <w:rPr>
                <w:rFonts w:ascii="Times New Roman" w:eastAsia="Times New Roman" w:hAnsi="Times New Roman" w:cs="Times New Roman"/>
                <w:b/>
                <w:color w:val="000000"/>
                <w:sz w:val="20"/>
                <w:szCs w:val="20"/>
                <w:lang w:val="en-GB"/>
              </w:rPr>
              <w:t xml:space="preserve"> (1.1</w:t>
            </w:r>
            <w:r w:rsidR="00BF5441" w:rsidRPr="005E2A00">
              <w:rPr>
                <w:rFonts w:ascii="Times New Roman" w:eastAsia="Times New Roman" w:hAnsi="Times New Roman" w:cs="Times New Roman"/>
                <w:b/>
                <w:color w:val="000000"/>
                <w:sz w:val="20"/>
                <w:szCs w:val="20"/>
                <w:lang w:val="en-GB"/>
              </w:rPr>
              <w:t>4</w:t>
            </w:r>
            <w:r w:rsidRPr="005E2A00">
              <w:rPr>
                <w:rFonts w:ascii="Times New Roman" w:eastAsia="Times New Roman" w:hAnsi="Times New Roman" w:cs="Times New Roman"/>
                <w:b/>
                <w:color w:val="000000"/>
                <w:sz w:val="20"/>
                <w:szCs w:val="20"/>
                <w:lang w:val="en-GB"/>
              </w:rPr>
              <w:t>; 1.2</w:t>
            </w:r>
            <w:r w:rsidR="00BF5441" w:rsidRPr="005E2A00">
              <w:rPr>
                <w:rFonts w:ascii="Times New Roman" w:eastAsia="Times New Roman" w:hAnsi="Times New Roman" w:cs="Times New Roman"/>
                <w:b/>
                <w:color w:val="000000"/>
                <w:sz w:val="20"/>
                <w:szCs w:val="20"/>
                <w:lang w:val="en-GB"/>
              </w:rPr>
              <w:t>6</w:t>
            </w:r>
            <w:r w:rsidRPr="005E2A00">
              <w:rPr>
                <w:rFonts w:ascii="Times New Roman" w:eastAsia="Times New Roman" w:hAnsi="Times New Roman" w:cs="Times New Roman"/>
                <w:b/>
                <w:color w:val="000000"/>
                <w:sz w:val="20"/>
                <w:szCs w:val="20"/>
                <w:lang w:val="en-GB"/>
              </w:rPr>
              <w:t>)</w:t>
            </w:r>
          </w:p>
        </w:tc>
      </w:tr>
      <w:tr w:rsidR="0053361C" w:rsidRPr="009F6FBF" w14:paraId="006361F6" w14:textId="77777777" w:rsidTr="000408E8">
        <w:trPr>
          <w:trHeight w:val="300"/>
        </w:trPr>
        <w:tc>
          <w:tcPr>
            <w:tcW w:w="2410" w:type="dxa"/>
            <w:shd w:val="clear" w:color="auto" w:fill="auto"/>
            <w:noWrap/>
          </w:tcPr>
          <w:p w14:paraId="34568444" w14:textId="14E685D6" w:rsidR="0053361C"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b/>
                <w:bCs/>
                <w:color w:val="000000"/>
                <w:sz w:val="20"/>
                <w:szCs w:val="20"/>
                <w:lang w:val="en-GB"/>
              </w:rPr>
              <w:t>Area of residence</w:t>
            </w:r>
          </w:p>
        </w:tc>
        <w:tc>
          <w:tcPr>
            <w:tcW w:w="2126" w:type="dxa"/>
            <w:shd w:val="clear" w:color="auto" w:fill="auto"/>
            <w:noWrap/>
          </w:tcPr>
          <w:p w14:paraId="761D06A2" w14:textId="6AA91AB6" w:rsidR="0053361C" w:rsidRDefault="0053361C" w:rsidP="0053361C">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268" w:type="dxa"/>
            <w:shd w:val="clear" w:color="auto" w:fill="auto"/>
            <w:noWrap/>
          </w:tcPr>
          <w:p w14:paraId="52945E33" w14:textId="7472AC41" w:rsidR="0053361C" w:rsidRDefault="0053361C" w:rsidP="0053361C">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 </w:t>
            </w:r>
          </w:p>
        </w:tc>
        <w:tc>
          <w:tcPr>
            <w:tcW w:w="2268" w:type="dxa"/>
          </w:tcPr>
          <w:p w14:paraId="20EEB35B" w14:textId="77777777" w:rsidR="0053361C" w:rsidRDefault="0053361C" w:rsidP="0053361C">
            <w:pPr>
              <w:rPr>
                <w:rFonts w:ascii="Times New Roman" w:eastAsia="Times New Roman" w:hAnsi="Times New Roman" w:cs="Times New Roman"/>
                <w:color w:val="000000"/>
                <w:sz w:val="20"/>
                <w:szCs w:val="20"/>
                <w:lang w:val="en-GB"/>
              </w:rPr>
            </w:pPr>
          </w:p>
        </w:tc>
      </w:tr>
      <w:tr w:rsidR="0053361C" w:rsidRPr="009F6FBF" w14:paraId="25670F83" w14:textId="77777777" w:rsidTr="000408E8">
        <w:trPr>
          <w:trHeight w:val="300"/>
        </w:trPr>
        <w:tc>
          <w:tcPr>
            <w:tcW w:w="2410" w:type="dxa"/>
            <w:shd w:val="clear" w:color="auto" w:fill="auto"/>
            <w:noWrap/>
          </w:tcPr>
          <w:p w14:paraId="2E61E36B" w14:textId="6E472848" w:rsidR="0053361C" w:rsidRDefault="0053361C" w:rsidP="0053361C">
            <w:pPr>
              <w:ind w:left="231"/>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Remote</w:t>
            </w:r>
          </w:p>
        </w:tc>
        <w:tc>
          <w:tcPr>
            <w:tcW w:w="2126" w:type="dxa"/>
            <w:shd w:val="clear" w:color="auto" w:fill="auto"/>
            <w:noWrap/>
          </w:tcPr>
          <w:p w14:paraId="7C5E4F38" w14:textId="3AE136EF" w:rsidR="0053361C"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c>
          <w:tcPr>
            <w:tcW w:w="2268" w:type="dxa"/>
            <w:shd w:val="clear" w:color="auto" w:fill="auto"/>
            <w:noWrap/>
          </w:tcPr>
          <w:p w14:paraId="4911FEE5" w14:textId="6D055480" w:rsidR="0053361C"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c>
          <w:tcPr>
            <w:tcW w:w="2268" w:type="dxa"/>
          </w:tcPr>
          <w:p w14:paraId="526C723A" w14:textId="00879F00" w:rsidR="0053361C" w:rsidRDefault="0053361C" w:rsidP="0053361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r>
      <w:tr w:rsidR="0053361C" w:rsidRPr="009F6FBF" w14:paraId="415D6D05" w14:textId="77777777" w:rsidTr="000408E8">
        <w:trPr>
          <w:trHeight w:val="300"/>
        </w:trPr>
        <w:tc>
          <w:tcPr>
            <w:tcW w:w="2410" w:type="dxa"/>
            <w:shd w:val="clear" w:color="auto" w:fill="auto"/>
            <w:noWrap/>
          </w:tcPr>
          <w:p w14:paraId="22CE0BB3" w14:textId="6DEB7713" w:rsidR="0053361C" w:rsidRDefault="0053361C" w:rsidP="0053361C">
            <w:pPr>
              <w:ind w:left="231"/>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Rural</w:t>
            </w:r>
          </w:p>
        </w:tc>
        <w:tc>
          <w:tcPr>
            <w:tcW w:w="2126" w:type="dxa"/>
            <w:shd w:val="clear" w:color="auto" w:fill="auto"/>
            <w:noWrap/>
          </w:tcPr>
          <w:p w14:paraId="55A39670" w14:textId="123E62CB" w:rsidR="0053361C" w:rsidRPr="000408E8" w:rsidRDefault="0053361C" w:rsidP="003D66AC">
            <w:pPr>
              <w:rPr>
                <w:rFonts w:ascii="Times New Roman" w:eastAsia="Times New Roman" w:hAnsi="Times New Roman" w:cs="Times New Roman"/>
                <w:color w:val="000000"/>
                <w:sz w:val="20"/>
                <w:szCs w:val="20"/>
                <w:lang w:val="en-GB"/>
              </w:rPr>
            </w:pPr>
            <w:r w:rsidRPr="000408E8">
              <w:rPr>
                <w:rFonts w:ascii="Times New Roman" w:eastAsia="Times New Roman" w:hAnsi="Times New Roman" w:cs="Times New Roman"/>
                <w:color w:val="000000"/>
                <w:sz w:val="20"/>
                <w:szCs w:val="20"/>
                <w:lang w:val="en-GB"/>
              </w:rPr>
              <w:t>0.9</w:t>
            </w:r>
            <w:r w:rsidR="00F23939" w:rsidRPr="000408E8">
              <w:rPr>
                <w:rFonts w:ascii="Times New Roman" w:eastAsia="Times New Roman" w:hAnsi="Times New Roman" w:cs="Times New Roman"/>
                <w:color w:val="000000"/>
                <w:sz w:val="20"/>
                <w:szCs w:val="20"/>
                <w:lang w:val="en-GB"/>
              </w:rPr>
              <w:t>5</w:t>
            </w:r>
            <w:r w:rsidRPr="000408E8">
              <w:rPr>
                <w:rFonts w:ascii="Times New Roman" w:eastAsia="Times New Roman" w:hAnsi="Times New Roman" w:cs="Times New Roman"/>
                <w:color w:val="000000"/>
                <w:sz w:val="20"/>
                <w:szCs w:val="20"/>
                <w:lang w:val="en-GB"/>
              </w:rPr>
              <w:t xml:space="preserve"> (0.</w:t>
            </w:r>
            <w:r w:rsidR="00F23939" w:rsidRPr="000408E8">
              <w:rPr>
                <w:rFonts w:ascii="Times New Roman" w:eastAsia="Times New Roman" w:hAnsi="Times New Roman" w:cs="Times New Roman"/>
                <w:color w:val="000000"/>
                <w:sz w:val="20"/>
                <w:szCs w:val="20"/>
                <w:lang w:val="en-GB"/>
              </w:rPr>
              <w:t>90</w:t>
            </w:r>
            <w:r w:rsidRPr="000408E8">
              <w:rPr>
                <w:rFonts w:ascii="Times New Roman" w:eastAsia="Times New Roman" w:hAnsi="Times New Roman" w:cs="Times New Roman"/>
                <w:color w:val="000000"/>
                <w:sz w:val="20"/>
                <w:szCs w:val="20"/>
                <w:lang w:val="en-GB"/>
              </w:rPr>
              <w:t xml:space="preserve">; </w:t>
            </w:r>
            <w:r w:rsidR="003D66AC" w:rsidRPr="000408E8">
              <w:rPr>
                <w:rFonts w:ascii="Times New Roman" w:eastAsia="Times New Roman" w:hAnsi="Times New Roman" w:cs="Times New Roman"/>
                <w:color w:val="000000"/>
                <w:sz w:val="20"/>
                <w:szCs w:val="20"/>
                <w:lang w:val="en-GB"/>
              </w:rPr>
              <w:t>1</w:t>
            </w:r>
            <w:r w:rsidRPr="000408E8">
              <w:rPr>
                <w:rFonts w:ascii="Times New Roman" w:eastAsia="Times New Roman" w:hAnsi="Times New Roman" w:cs="Times New Roman"/>
                <w:color w:val="000000"/>
                <w:sz w:val="20"/>
                <w:szCs w:val="20"/>
                <w:lang w:val="en-GB"/>
              </w:rPr>
              <w:t>.</w:t>
            </w:r>
            <w:r w:rsidR="003D66AC" w:rsidRPr="000408E8">
              <w:rPr>
                <w:rFonts w:ascii="Times New Roman" w:eastAsia="Times New Roman" w:hAnsi="Times New Roman" w:cs="Times New Roman"/>
                <w:color w:val="000000"/>
                <w:sz w:val="20"/>
                <w:szCs w:val="20"/>
                <w:lang w:val="en-GB"/>
              </w:rPr>
              <w:t>00</w:t>
            </w:r>
            <w:r w:rsidRPr="000408E8">
              <w:rPr>
                <w:rFonts w:ascii="Times New Roman" w:eastAsia="Times New Roman" w:hAnsi="Times New Roman" w:cs="Times New Roman"/>
                <w:color w:val="000000"/>
                <w:sz w:val="20"/>
                <w:szCs w:val="20"/>
                <w:lang w:val="en-GB"/>
              </w:rPr>
              <w:t>)</w:t>
            </w:r>
          </w:p>
        </w:tc>
        <w:tc>
          <w:tcPr>
            <w:tcW w:w="2268" w:type="dxa"/>
            <w:shd w:val="clear" w:color="auto" w:fill="auto"/>
            <w:noWrap/>
          </w:tcPr>
          <w:p w14:paraId="7FCF1A4E" w14:textId="52756829" w:rsidR="0053361C" w:rsidRDefault="0053361C" w:rsidP="00E31D28">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0.</w:t>
            </w:r>
            <w:r w:rsidR="00E31D28">
              <w:rPr>
                <w:rFonts w:ascii="Times New Roman" w:eastAsia="Times New Roman" w:hAnsi="Times New Roman" w:cs="Times New Roman"/>
                <w:color w:val="000000"/>
                <w:sz w:val="20"/>
                <w:szCs w:val="20"/>
                <w:lang w:val="en-GB"/>
              </w:rPr>
              <w:t xml:space="preserve">98 </w:t>
            </w:r>
            <w:r>
              <w:rPr>
                <w:rFonts w:ascii="Times New Roman" w:eastAsia="Times New Roman" w:hAnsi="Times New Roman" w:cs="Times New Roman"/>
                <w:color w:val="000000"/>
                <w:sz w:val="20"/>
                <w:szCs w:val="20"/>
                <w:lang w:val="en-GB"/>
              </w:rPr>
              <w:t>(0.94; 1.0</w:t>
            </w:r>
            <w:r w:rsidR="00DD0485">
              <w:rPr>
                <w:rFonts w:ascii="Times New Roman" w:eastAsia="Times New Roman" w:hAnsi="Times New Roman" w:cs="Times New Roman"/>
                <w:color w:val="000000"/>
                <w:sz w:val="20"/>
                <w:szCs w:val="20"/>
                <w:lang w:val="en-GB"/>
              </w:rPr>
              <w:t>4</w:t>
            </w:r>
            <w:r>
              <w:rPr>
                <w:rFonts w:ascii="Times New Roman" w:eastAsia="Times New Roman" w:hAnsi="Times New Roman" w:cs="Times New Roman"/>
                <w:color w:val="000000"/>
                <w:sz w:val="20"/>
                <w:szCs w:val="20"/>
                <w:lang w:val="en-GB"/>
              </w:rPr>
              <w:t>)</w:t>
            </w:r>
          </w:p>
        </w:tc>
        <w:tc>
          <w:tcPr>
            <w:tcW w:w="2268" w:type="dxa"/>
          </w:tcPr>
          <w:p w14:paraId="47311773" w14:textId="1967D181" w:rsidR="0053361C" w:rsidRPr="005E2A00" w:rsidRDefault="0053361C" w:rsidP="00FB7832">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0.95 (0.9</w:t>
            </w:r>
            <w:r w:rsidR="00FB7832" w:rsidRPr="005E2A00">
              <w:rPr>
                <w:rFonts w:ascii="Times New Roman" w:eastAsia="Times New Roman" w:hAnsi="Times New Roman" w:cs="Times New Roman"/>
                <w:b/>
                <w:color w:val="000000"/>
                <w:sz w:val="20"/>
                <w:szCs w:val="20"/>
                <w:lang w:val="en-GB"/>
              </w:rPr>
              <w:t>2</w:t>
            </w:r>
            <w:r w:rsidRPr="005E2A00">
              <w:rPr>
                <w:rFonts w:ascii="Times New Roman" w:eastAsia="Times New Roman" w:hAnsi="Times New Roman" w:cs="Times New Roman"/>
                <w:b/>
                <w:color w:val="000000"/>
                <w:sz w:val="20"/>
                <w:szCs w:val="20"/>
                <w:lang w:val="en-GB"/>
              </w:rPr>
              <w:t>; 0.98)</w:t>
            </w:r>
          </w:p>
        </w:tc>
      </w:tr>
      <w:tr w:rsidR="0053361C" w:rsidRPr="009F6FBF" w14:paraId="28517B8E" w14:textId="77777777" w:rsidTr="000408E8">
        <w:trPr>
          <w:trHeight w:val="300"/>
        </w:trPr>
        <w:tc>
          <w:tcPr>
            <w:tcW w:w="2410" w:type="dxa"/>
            <w:shd w:val="clear" w:color="auto" w:fill="auto"/>
            <w:noWrap/>
          </w:tcPr>
          <w:p w14:paraId="11C1806F" w14:textId="21E06C49" w:rsidR="0053361C" w:rsidRDefault="0053361C" w:rsidP="0053361C">
            <w:pPr>
              <w:ind w:left="231"/>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Intermediate</w:t>
            </w:r>
          </w:p>
        </w:tc>
        <w:tc>
          <w:tcPr>
            <w:tcW w:w="2126" w:type="dxa"/>
            <w:shd w:val="clear" w:color="auto" w:fill="auto"/>
            <w:noWrap/>
          </w:tcPr>
          <w:p w14:paraId="4768D9D9" w14:textId="47B400B8" w:rsidR="0053361C" w:rsidRDefault="0053361C" w:rsidP="003D66AC">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0.</w:t>
            </w:r>
            <w:r w:rsidR="003D66AC">
              <w:rPr>
                <w:rFonts w:ascii="Times New Roman" w:eastAsia="Times New Roman" w:hAnsi="Times New Roman" w:cs="Times New Roman"/>
                <w:color w:val="000000"/>
                <w:sz w:val="20"/>
                <w:szCs w:val="20"/>
                <w:lang w:val="en-GB"/>
              </w:rPr>
              <w:t xml:space="preserve">96 </w:t>
            </w:r>
            <w:r>
              <w:rPr>
                <w:rFonts w:ascii="Times New Roman" w:eastAsia="Times New Roman" w:hAnsi="Times New Roman" w:cs="Times New Roman"/>
                <w:color w:val="000000"/>
                <w:sz w:val="20"/>
                <w:szCs w:val="20"/>
                <w:lang w:val="en-GB"/>
              </w:rPr>
              <w:t>(0.</w:t>
            </w:r>
            <w:r w:rsidR="00F23939">
              <w:rPr>
                <w:rFonts w:ascii="Times New Roman" w:eastAsia="Times New Roman" w:hAnsi="Times New Roman" w:cs="Times New Roman"/>
                <w:color w:val="000000"/>
                <w:sz w:val="20"/>
                <w:szCs w:val="20"/>
                <w:lang w:val="en-GB"/>
              </w:rPr>
              <w:t>90</w:t>
            </w:r>
            <w:r>
              <w:rPr>
                <w:rFonts w:ascii="Times New Roman" w:eastAsia="Times New Roman" w:hAnsi="Times New Roman" w:cs="Times New Roman"/>
                <w:color w:val="000000"/>
                <w:sz w:val="20"/>
                <w:szCs w:val="20"/>
                <w:lang w:val="en-GB"/>
              </w:rPr>
              <w:t>; 1.</w:t>
            </w:r>
            <w:r w:rsidR="003D66AC">
              <w:rPr>
                <w:rFonts w:ascii="Times New Roman" w:eastAsia="Times New Roman" w:hAnsi="Times New Roman" w:cs="Times New Roman"/>
                <w:color w:val="000000"/>
                <w:sz w:val="20"/>
                <w:szCs w:val="20"/>
                <w:lang w:val="en-GB"/>
              </w:rPr>
              <w:t>02</w:t>
            </w:r>
            <w:r>
              <w:rPr>
                <w:rFonts w:ascii="Times New Roman" w:eastAsia="Times New Roman" w:hAnsi="Times New Roman" w:cs="Times New Roman"/>
                <w:color w:val="000000"/>
                <w:sz w:val="20"/>
                <w:szCs w:val="20"/>
                <w:lang w:val="en-GB"/>
              </w:rPr>
              <w:t>)</w:t>
            </w:r>
          </w:p>
        </w:tc>
        <w:tc>
          <w:tcPr>
            <w:tcW w:w="2268" w:type="dxa"/>
            <w:shd w:val="clear" w:color="auto" w:fill="auto"/>
            <w:noWrap/>
          </w:tcPr>
          <w:p w14:paraId="1C7A242A" w14:textId="3BD5BA02" w:rsidR="0053361C" w:rsidRDefault="0053361C" w:rsidP="00DD0485">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1.0</w:t>
            </w:r>
            <w:r w:rsidR="00DD0485">
              <w:rPr>
                <w:rFonts w:ascii="Times New Roman" w:eastAsia="Times New Roman" w:hAnsi="Times New Roman" w:cs="Times New Roman"/>
                <w:color w:val="000000"/>
                <w:sz w:val="20"/>
                <w:szCs w:val="20"/>
                <w:lang w:val="en-GB"/>
              </w:rPr>
              <w:t>3</w:t>
            </w:r>
            <w:r>
              <w:rPr>
                <w:rFonts w:ascii="Times New Roman" w:eastAsia="Times New Roman" w:hAnsi="Times New Roman" w:cs="Times New Roman"/>
                <w:color w:val="000000"/>
                <w:sz w:val="20"/>
                <w:szCs w:val="20"/>
                <w:lang w:val="en-GB"/>
              </w:rPr>
              <w:t xml:space="preserve"> (0.9</w:t>
            </w:r>
            <w:r w:rsidR="00DD0485">
              <w:rPr>
                <w:rFonts w:ascii="Times New Roman" w:eastAsia="Times New Roman" w:hAnsi="Times New Roman" w:cs="Times New Roman"/>
                <w:color w:val="000000"/>
                <w:sz w:val="20"/>
                <w:szCs w:val="20"/>
                <w:lang w:val="en-GB"/>
              </w:rPr>
              <w:t>7</w:t>
            </w:r>
            <w:r>
              <w:rPr>
                <w:rFonts w:ascii="Times New Roman" w:eastAsia="Times New Roman" w:hAnsi="Times New Roman" w:cs="Times New Roman"/>
                <w:color w:val="000000"/>
                <w:sz w:val="20"/>
                <w:szCs w:val="20"/>
                <w:lang w:val="en-GB"/>
              </w:rPr>
              <w:t>; 1.0</w:t>
            </w:r>
            <w:r w:rsidR="00DD0485">
              <w:rPr>
                <w:rFonts w:ascii="Times New Roman" w:eastAsia="Times New Roman" w:hAnsi="Times New Roman" w:cs="Times New Roman"/>
                <w:color w:val="000000"/>
                <w:sz w:val="20"/>
                <w:szCs w:val="20"/>
                <w:lang w:val="en-GB"/>
              </w:rPr>
              <w:t>9</w:t>
            </w:r>
            <w:r>
              <w:rPr>
                <w:rFonts w:ascii="Times New Roman" w:eastAsia="Times New Roman" w:hAnsi="Times New Roman" w:cs="Times New Roman"/>
                <w:color w:val="000000"/>
                <w:sz w:val="20"/>
                <w:szCs w:val="20"/>
                <w:lang w:val="en-GB"/>
              </w:rPr>
              <w:t>)</w:t>
            </w:r>
          </w:p>
        </w:tc>
        <w:tc>
          <w:tcPr>
            <w:tcW w:w="2268" w:type="dxa"/>
          </w:tcPr>
          <w:p w14:paraId="14CA19EE" w14:textId="6C1E764D" w:rsidR="0053361C" w:rsidRPr="00BF5441" w:rsidRDefault="0053361C" w:rsidP="00FB7832">
            <w:pPr>
              <w:rPr>
                <w:rFonts w:ascii="Times New Roman" w:eastAsia="Times New Roman" w:hAnsi="Times New Roman" w:cs="Times New Roman"/>
                <w:color w:val="000000"/>
                <w:sz w:val="20"/>
                <w:szCs w:val="20"/>
                <w:lang w:val="en-GB"/>
              </w:rPr>
            </w:pPr>
            <w:r w:rsidRPr="00BF5441">
              <w:rPr>
                <w:rFonts w:ascii="Times New Roman" w:eastAsia="Times New Roman" w:hAnsi="Times New Roman" w:cs="Times New Roman"/>
                <w:color w:val="000000"/>
                <w:sz w:val="20"/>
                <w:szCs w:val="20"/>
                <w:lang w:val="en-GB"/>
              </w:rPr>
              <w:t>0.98 (0.9</w:t>
            </w:r>
            <w:r w:rsidR="00FB7832" w:rsidRPr="00BF5441">
              <w:rPr>
                <w:rFonts w:ascii="Times New Roman" w:eastAsia="Times New Roman" w:hAnsi="Times New Roman" w:cs="Times New Roman"/>
                <w:color w:val="000000"/>
                <w:sz w:val="20"/>
                <w:szCs w:val="20"/>
                <w:lang w:val="en-GB"/>
              </w:rPr>
              <w:t>4</w:t>
            </w:r>
            <w:r w:rsidRPr="00BF5441">
              <w:rPr>
                <w:rFonts w:ascii="Times New Roman" w:eastAsia="Times New Roman" w:hAnsi="Times New Roman" w:cs="Times New Roman"/>
                <w:color w:val="000000"/>
                <w:sz w:val="20"/>
                <w:szCs w:val="20"/>
                <w:lang w:val="en-GB"/>
              </w:rPr>
              <w:t>; 1.0</w:t>
            </w:r>
            <w:r w:rsidR="00FB7832" w:rsidRPr="00BF5441">
              <w:rPr>
                <w:rFonts w:ascii="Times New Roman" w:eastAsia="Times New Roman" w:hAnsi="Times New Roman" w:cs="Times New Roman"/>
                <w:color w:val="000000"/>
                <w:sz w:val="20"/>
                <w:szCs w:val="20"/>
                <w:lang w:val="en-GB"/>
              </w:rPr>
              <w:t>1</w:t>
            </w:r>
            <w:r w:rsidRPr="00BF5441">
              <w:rPr>
                <w:rFonts w:ascii="Times New Roman" w:eastAsia="Times New Roman" w:hAnsi="Times New Roman" w:cs="Times New Roman"/>
                <w:color w:val="000000"/>
                <w:sz w:val="20"/>
                <w:szCs w:val="20"/>
                <w:lang w:val="en-GB"/>
              </w:rPr>
              <w:t>)</w:t>
            </w:r>
          </w:p>
        </w:tc>
      </w:tr>
      <w:tr w:rsidR="0053361C" w:rsidRPr="009F6FBF" w14:paraId="59274191" w14:textId="77777777" w:rsidTr="000408E8">
        <w:trPr>
          <w:trHeight w:val="300"/>
        </w:trPr>
        <w:tc>
          <w:tcPr>
            <w:tcW w:w="2410" w:type="dxa"/>
            <w:shd w:val="clear" w:color="auto" w:fill="auto"/>
            <w:noWrap/>
          </w:tcPr>
          <w:p w14:paraId="42A15F31" w14:textId="4DE2E0A2" w:rsidR="0053361C" w:rsidRDefault="0053361C" w:rsidP="0053361C">
            <w:pPr>
              <w:ind w:left="231"/>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Urban</w:t>
            </w:r>
          </w:p>
        </w:tc>
        <w:tc>
          <w:tcPr>
            <w:tcW w:w="2126" w:type="dxa"/>
            <w:shd w:val="clear" w:color="auto" w:fill="auto"/>
            <w:noWrap/>
          </w:tcPr>
          <w:p w14:paraId="43CDAE45" w14:textId="5F8C5F0B" w:rsidR="0053361C" w:rsidRPr="005E2A00" w:rsidRDefault="0053361C" w:rsidP="003D66AC">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0.94 (0.</w:t>
            </w:r>
            <w:r w:rsidR="003D66AC">
              <w:rPr>
                <w:rFonts w:ascii="Times New Roman" w:eastAsia="Times New Roman" w:hAnsi="Times New Roman" w:cs="Times New Roman"/>
                <w:b/>
                <w:color w:val="000000"/>
                <w:sz w:val="20"/>
                <w:szCs w:val="20"/>
                <w:lang w:val="en-GB"/>
              </w:rPr>
              <w:t>90</w:t>
            </w:r>
            <w:r w:rsidRPr="005E2A00">
              <w:rPr>
                <w:rFonts w:ascii="Times New Roman" w:eastAsia="Times New Roman" w:hAnsi="Times New Roman" w:cs="Times New Roman"/>
                <w:b/>
                <w:color w:val="000000"/>
                <w:sz w:val="20"/>
                <w:szCs w:val="20"/>
                <w:lang w:val="en-GB"/>
              </w:rPr>
              <w:t>; 0.9</w:t>
            </w:r>
            <w:r w:rsidR="00F23939" w:rsidRPr="005E2A00">
              <w:rPr>
                <w:rFonts w:ascii="Times New Roman" w:eastAsia="Times New Roman" w:hAnsi="Times New Roman" w:cs="Times New Roman"/>
                <w:b/>
                <w:color w:val="000000"/>
                <w:sz w:val="20"/>
                <w:szCs w:val="20"/>
                <w:lang w:val="en-GB"/>
              </w:rPr>
              <w:t>9</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44A3743E" w14:textId="64DBA81B" w:rsidR="0053361C" w:rsidRDefault="0053361C" w:rsidP="00DD0485">
            <w:pPr>
              <w:rPr>
                <w:rFonts w:ascii="Times New Roman" w:eastAsia="Times New Roman" w:hAnsi="Times New Roman" w:cs="Times New Roman"/>
                <w:color w:val="000000"/>
                <w:sz w:val="20"/>
                <w:szCs w:val="20"/>
                <w:lang w:val="en-GB"/>
              </w:rPr>
            </w:pPr>
            <w:r w:rsidRPr="005E2A00">
              <w:rPr>
                <w:rFonts w:ascii="Times New Roman" w:eastAsia="Times New Roman" w:hAnsi="Times New Roman" w:cs="Times New Roman"/>
                <w:b/>
                <w:color w:val="000000"/>
                <w:sz w:val="20"/>
                <w:szCs w:val="20"/>
                <w:lang w:val="en-GB"/>
              </w:rPr>
              <w:t>1.2</w:t>
            </w:r>
            <w:r w:rsidR="00DD0485" w:rsidRPr="005E2A00">
              <w:rPr>
                <w:rFonts w:ascii="Times New Roman" w:eastAsia="Times New Roman" w:hAnsi="Times New Roman" w:cs="Times New Roman"/>
                <w:b/>
                <w:color w:val="000000"/>
                <w:sz w:val="20"/>
                <w:szCs w:val="20"/>
                <w:lang w:val="en-GB"/>
              </w:rPr>
              <w:t>2</w:t>
            </w:r>
            <w:r w:rsidRPr="005E2A00">
              <w:rPr>
                <w:rFonts w:ascii="Times New Roman" w:eastAsia="Times New Roman" w:hAnsi="Times New Roman" w:cs="Times New Roman"/>
                <w:b/>
                <w:color w:val="000000"/>
                <w:sz w:val="20"/>
                <w:szCs w:val="20"/>
                <w:lang w:val="en-GB"/>
              </w:rPr>
              <w:t xml:space="preserve"> (1.1</w:t>
            </w:r>
            <w:r w:rsidR="00DD0485" w:rsidRPr="005E2A00">
              <w:rPr>
                <w:rFonts w:ascii="Times New Roman" w:eastAsia="Times New Roman" w:hAnsi="Times New Roman" w:cs="Times New Roman"/>
                <w:b/>
                <w:color w:val="000000"/>
                <w:sz w:val="20"/>
                <w:szCs w:val="20"/>
                <w:lang w:val="en-GB"/>
              </w:rPr>
              <w:t>6</w:t>
            </w:r>
            <w:r w:rsidRPr="005E2A00">
              <w:rPr>
                <w:rFonts w:ascii="Times New Roman" w:eastAsia="Times New Roman" w:hAnsi="Times New Roman" w:cs="Times New Roman"/>
                <w:b/>
                <w:color w:val="000000"/>
                <w:sz w:val="20"/>
                <w:szCs w:val="20"/>
                <w:lang w:val="en-GB"/>
              </w:rPr>
              <w:t>; 1.2</w:t>
            </w:r>
            <w:r w:rsidR="00DD0485" w:rsidRPr="005E2A00">
              <w:rPr>
                <w:rFonts w:ascii="Times New Roman" w:eastAsia="Times New Roman" w:hAnsi="Times New Roman" w:cs="Times New Roman"/>
                <w:b/>
                <w:color w:val="000000"/>
                <w:sz w:val="20"/>
                <w:szCs w:val="20"/>
                <w:lang w:val="en-GB"/>
              </w:rPr>
              <w:t>8</w:t>
            </w:r>
            <w:r w:rsidRPr="005E2A00">
              <w:rPr>
                <w:rFonts w:ascii="Times New Roman" w:eastAsia="Times New Roman" w:hAnsi="Times New Roman" w:cs="Times New Roman"/>
                <w:b/>
                <w:color w:val="000000"/>
                <w:sz w:val="20"/>
                <w:szCs w:val="20"/>
                <w:lang w:val="en-GB"/>
              </w:rPr>
              <w:t>)</w:t>
            </w:r>
          </w:p>
        </w:tc>
        <w:tc>
          <w:tcPr>
            <w:tcW w:w="2268" w:type="dxa"/>
          </w:tcPr>
          <w:p w14:paraId="4DAF4CEF" w14:textId="6F5B942A" w:rsidR="0053361C" w:rsidRPr="005E2A00" w:rsidRDefault="0053361C" w:rsidP="00FB7832">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1.0</w:t>
            </w:r>
            <w:r w:rsidR="00FB7832" w:rsidRPr="005E2A00">
              <w:rPr>
                <w:rFonts w:ascii="Times New Roman" w:eastAsia="Times New Roman" w:hAnsi="Times New Roman" w:cs="Times New Roman"/>
                <w:b/>
                <w:color w:val="000000"/>
                <w:sz w:val="20"/>
                <w:szCs w:val="20"/>
                <w:lang w:val="en-GB"/>
              </w:rPr>
              <w:t>4</w:t>
            </w:r>
            <w:r w:rsidRPr="005E2A00">
              <w:rPr>
                <w:rFonts w:ascii="Times New Roman" w:eastAsia="Times New Roman" w:hAnsi="Times New Roman" w:cs="Times New Roman"/>
                <w:b/>
                <w:color w:val="000000"/>
                <w:sz w:val="20"/>
                <w:szCs w:val="20"/>
                <w:lang w:val="en-GB"/>
              </w:rPr>
              <w:t xml:space="preserve"> (1.0</w:t>
            </w:r>
            <w:r w:rsidR="00FB7832" w:rsidRPr="005E2A00">
              <w:rPr>
                <w:rFonts w:ascii="Times New Roman" w:eastAsia="Times New Roman" w:hAnsi="Times New Roman" w:cs="Times New Roman"/>
                <w:b/>
                <w:color w:val="000000"/>
                <w:sz w:val="20"/>
                <w:szCs w:val="20"/>
                <w:lang w:val="en-GB"/>
              </w:rPr>
              <w:t>1</w:t>
            </w:r>
            <w:r w:rsidRPr="005E2A00">
              <w:rPr>
                <w:rFonts w:ascii="Times New Roman" w:eastAsia="Times New Roman" w:hAnsi="Times New Roman" w:cs="Times New Roman"/>
                <w:b/>
                <w:color w:val="000000"/>
                <w:sz w:val="20"/>
                <w:szCs w:val="20"/>
                <w:lang w:val="en-GB"/>
              </w:rPr>
              <w:t>; 1.0</w:t>
            </w:r>
            <w:r w:rsidR="00FB7832" w:rsidRPr="005E2A00">
              <w:rPr>
                <w:rFonts w:ascii="Times New Roman" w:eastAsia="Times New Roman" w:hAnsi="Times New Roman" w:cs="Times New Roman"/>
                <w:b/>
                <w:color w:val="000000"/>
                <w:sz w:val="20"/>
                <w:szCs w:val="20"/>
                <w:lang w:val="en-GB"/>
              </w:rPr>
              <w:t>7</w:t>
            </w:r>
            <w:r w:rsidRPr="005E2A00">
              <w:rPr>
                <w:rFonts w:ascii="Times New Roman" w:eastAsia="Times New Roman" w:hAnsi="Times New Roman" w:cs="Times New Roman"/>
                <w:b/>
                <w:color w:val="000000"/>
                <w:sz w:val="20"/>
                <w:szCs w:val="20"/>
                <w:lang w:val="en-GB"/>
              </w:rPr>
              <w:t>)</w:t>
            </w:r>
          </w:p>
        </w:tc>
      </w:tr>
      <w:tr w:rsidR="0053361C" w:rsidRPr="009F6FBF" w14:paraId="6C8151CC" w14:textId="28EBAB51" w:rsidTr="000408E8">
        <w:trPr>
          <w:trHeight w:val="300"/>
        </w:trPr>
        <w:tc>
          <w:tcPr>
            <w:tcW w:w="2410" w:type="dxa"/>
            <w:shd w:val="clear" w:color="auto" w:fill="auto"/>
            <w:noWrap/>
          </w:tcPr>
          <w:p w14:paraId="2B72CB5E" w14:textId="76ED60F5" w:rsidR="005A6FAA" w:rsidRPr="009F6FBF" w:rsidRDefault="005A6FAA" w:rsidP="005A6FAA">
            <w:pPr>
              <w:rPr>
                <w:rFonts w:ascii="Times New Roman" w:eastAsia="Times New Roman" w:hAnsi="Times New Roman" w:cs="Times New Roman"/>
                <w:b/>
                <w:bCs/>
                <w:color w:val="000000"/>
                <w:sz w:val="20"/>
                <w:szCs w:val="20"/>
                <w:lang w:val="en-GB"/>
              </w:rPr>
            </w:pPr>
            <w:r w:rsidRPr="009F6FBF">
              <w:rPr>
                <w:rFonts w:ascii="Times New Roman" w:eastAsia="Times New Roman" w:hAnsi="Times New Roman" w:cs="Times New Roman"/>
                <w:b/>
                <w:bCs/>
                <w:color w:val="000000"/>
                <w:sz w:val="20"/>
                <w:szCs w:val="20"/>
                <w:lang w:val="en-GB"/>
              </w:rPr>
              <w:t>Smoking</w:t>
            </w:r>
            <w:r w:rsidR="00AA449C" w:rsidRPr="005E2A00">
              <w:rPr>
                <w:rFonts w:ascii="Times New Roman" w:eastAsia="Times New Roman" w:hAnsi="Times New Roman" w:cs="Times New Roman"/>
                <w:b/>
                <w:bCs/>
                <w:color w:val="000000"/>
                <w:sz w:val="20"/>
                <w:szCs w:val="20"/>
                <w:vertAlign w:val="superscript"/>
                <w:lang w:val="en-GB"/>
              </w:rPr>
              <w:t>1</w:t>
            </w:r>
          </w:p>
        </w:tc>
        <w:tc>
          <w:tcPr>
            <w:tcW w:w="2126" w:type="dxa"/>
            <w:shd w:val="clear" w:color="auto" w:fill="auto"/>
            <w:noWrap/>
          </w:tcPr>
          <w:p w14:paraId="6DF0ACBD" w14:textId="0302393A" w:rsidR="005A6FAA" w:rsidRPr="005E2A00" w:rsidRDefault="009F6FBF" w:rsidP="003D66AC">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3D66AC">
              <w:rPr>
                <w:rFonts w:ascii="Times New Roman" w:eastAsia="Times New Roman" w:hAnsi="Times New Roman" w:cs="Times New Roman"/>
                <w:b/>
                <w:color w:val="000000"/>
                <w:sz w:val="20"/>
                <w:szCs w:val="20"/>
                <w:lang w:val="en-GB"/>
              </w:rPr>
              <w:t>29</w:t>
            </w:r>
            <w:r w:rsidR="003D66AC"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(1.</w:t>
            </w:r>
            <w:r w:rsidR="003D66AC" w:rsidRPr="005E2A00">
              <w:rPr>
                <w:rFonts w:ascii="Times New Roman" w:eastAsia="Times New Roman" w:hAnsi="Times New Roman" w:cs="Times New Roman"/>
                <w:b/>
                <w:color w:val="000000"/>
                <w:sz w:val="20"/>
                <w:szCs w:val="20"/>
                <w:lang w:val="en-GB"/>
              </w:rPr>
              <w:t>2</w:t>
            </w:r>
            <w:r w:rsidR="003D66AC">
              <w:rPr>
                <w:rFonts w:ascii="Times New Roman" w:eastAsia="Times New Roman" w:hAnsi="Times New Roman" w:cs="Times New Roman"/>
                <w:b/>
                <w:color w:val="000000"/>
                <w:sz w:val="20"/>
                <w:szCs w:val="20"/>
                <w:lang w:val="en-GB"/>
              </w:rPr>
              <w:t>3</w:t>
            </w:r>
            <w:r w:rsidRPr="005E2A00">
              <w:rPr>
                <w:rFonts w:ascii="Times New Roman" w:eastAsia="Times New Roman" w:hAnsi="Times New Roman" w:cs="Times New Roman"/>
                <w:b/>
                <w:color w:val="000000"/>
                <w:sz w:val="20"/>
                <w:szCs w:val="20"/>
                <w:lang w:val="en-GB"/>
              </w:rPr>
              <w:t>; 1.</w:t>
            </w:r>
            <w:r w:rsidR="003D66AC" w:rsidRPr="005E2A00">
              <w:rPr>
                <w:rFonts w:ascii="Times New Roman" w:eastAsia="Times New Roman" w:hAnsi="Times New Roman" w:cs="Times New Roman"/>
                <w:b/>
                <w:color w:val="000000"/>
                <w:sz w:val="20"/>
                <w:szCs w:val="20"/>
                <w:lang w:val="en-GB"/>
              </w:rPr>
              <w:t>3</w:t>
            </w:r>
            <w:r w:rsidR="003D66AC">
              <w:rPr>
                <w:rFonts w:ascii="Times New Roman" w:eastAsia="Times New Roman" w:hAnsi="Times New Roman" w:cs="Times New Roman"/>
                <w:b/>
                <w:color w:val="000000"/>
                <w:sz w:val="20"/>
                <w:szCs w:val="20"/>
                <w:lang w:val="en-GB"/>
              </w:rPr>
              <w:t>5</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451FB576" w14:textId="225E2373" w:rsidR="005A6FAA" w:rsidRPr="005E2A00" w:rsidRDefault="00606EBA"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1.1</w:t>
            </w:r>
            <w:r w:rsidR="00DD0485" w:rsidRPr="005E2A00">
              <w:rPr>
                <w:rFonts w:ascii="Times New Roman" w:eastAsia="Times New Roman" w:hAnsi="Times New Roman" w:cs="Times New Roman"/>
                <w:b/>
                <w:color w:val="000000"/>
                <w:sz w:val="20"/>
                <w:szCs w:val="20"/>
                <w:lang w:val="en-GB"/>
              </w:rPr>
              <w:t>2</w:t>
            </w:r>
            <w:r w:rsidRPr="005E2A00">
              <w:rPr>
                <w:rFonts w:ascii="Times New Roman" w:eastAsia="Times New Roman" w:hAnsi="Times New Roman" w:cs="Times New Roman"/>
                <w:b/>
                <w:color w:val="000000"/>
                <w:sz w:val="20"/>
                <w:szCs w:val="20"/>
                <w:lang w:val="en-GB"/>
              </w:rPr>
              <w:t xml:space="preserve"> (1.0</w:t>
            </w:r>
            <w:r w:rsidR="00DD0485" w:rsidRPr="005E2A00">
              <w:rPr>
                <w:rFonts w:ascii="Times New Roman" w:eastAsia="Times New Roman" w:hAnsi="Times New Roman" w:cs="Times New Roman"/>
                <w:b/>
                <w:color w:val="000000"/>
                <w:sz w:val="20"/>
                <w:szCs w:val="20"/>
                <w:lang w:val="en-GB"/>
              </w:rPr>
              <w:t>7</w:t>
            </w:r>
            <w:r w:rsidRPr="005E2A00">
              <w:rPr>
                <w:rFonts w:ascii="Times New Roman" w:eastAsia="Times New Roman" w:hAnsi="Times New Roman" w:cs="Times New Roman"/>
                <w:b/>
                <w:color w:val="000000"/>
                <w:sz w:val="20"/>
                <w:szCs w:val="20"/>
                <w:lang w:val="en-GB"/>
              </w:rPr>
              <w:t>; 1.</w:t>
            </w:r>
            <w:r w:rsidR="00DD0485" w:rsidRPr="005E2A00">
              <w:rPr>
                <w:rFonts w:ascii="Times New Roman" w:eastAsia="Times New Roman" w:hAnsi="Times New Roman" w:cs="Times New Roman"/>
                <w:b/>
                <w:color w:val="000000"/>
                <w:sz w:val="20"/>
                <w:szCs w:val="20"/>
                <w:lang w:val="en-GB"/>
              </w:rPr>
              <w:t>18</w:t>
            </w:r>
            <w:r w:rsidRPr="005E2A00">
              <w:rPr>
                <w:rFonts w:ascii="Times New Roman" w:eastAsia="Times New Roman" w:hAnsi="Times New Roman" w:cs="Times New Roman"/>
                <w:b/>
                <w:color w:val="000000"/>
                <w:sz w:val="20"/>
                <w:szCs w:val="20"/>
                <w:lang w:val="en-GB"/>
              </w:rPr>
              <w:t>)</w:t>
            </w:r>
          </w:p>
        </w:tc>
        <w:tc>
          <w:tcPr>
            <w:tcW w:w="2268" w:type="dxa"/>
          </w:tcPr>
          <w:p w14:paraId="3CA746D7" w14:textId="7CCB1566" w:rsidR="005A6FAA" w:rsidRPr="005E2A00" w:rsidRDefault="00606EBA"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BF5441" w:rsidRPr="005E2A00">
              <w:rPr>
                <w:rFonts w:ascii="Times New Roman" w:eastAsia="Times New Roman" w:hAnsi="Times New Roman" w:cs="Times New Roman"/>
                <w:b/>
                <w:color w:val="000000"/>
                <w:sz w:val="20"/>
                <w:szCs w:val="20"/>
                <w:lang w:val="en-GB"/>
              </w:rPr>
              <w:t>12</w:t>
            </w:r>
            <w:r w:rsidRPr="005E2A00">
              <w:rPr>
                <w:rFonts w:ascii="Times New Roman" w:eastAsia="Times New Roman" w:hAnsi="Times New Roman" w:cs="Times New Roman"/>
                <w:b/>
                <w:color w:val="000000"/>
                <w:sz w:val="20"/>
                <w:szCs w:val="20"/>
                <w:lang w:val="en-GB"/>
              </w:rPr>
              <w:t xml:space="preserve"> (1.</w:t>
            </w:r>
            <w:r w:rsidR="00BF5441" w:rsidRPr="005E2A00">
              <w:rPr>
                <w:rFonts w:ascii="Times New Roman" w:eastAsia="Times New Roman" w:hAnsi="Times New Roman" w:cs="Times New Roman"/>
                <w:b/>
                <w:color w:val="000000"/>
                <w:sz w:val="20"/>
                <w:szCs w:val="20"/>
                <w:lang w:val="en-GB"/>
              </w:rPr>
              <w:t>09</w:t>
            </w:r>
            <w:r w:rsidRPr="005E2A00">
              <w:rPr>
                <w:rFonts w:ascii="Times New Roman" w:eastAsia="Times New Roman" w:hAnsi="Times New Roman" w:cs="Times New Roman"/>
                <w:b/>
                <w:color w:val="000000"/>
                <w:sz w:val="20"/>
                <w:szCs w:val="20"/>
                <w:lang w:val="en-GB"/>
              </w:rPr>
              <w:t>; 1.</w:t>
            </w:r>
            <w:r w:rsidR="00BF5441" w:rsidRPr="005E2A00">
              <w:rPr>
                <w:rFonts w:ascii="Times New Roman" w:eastAsia="Times New Roman" w:hAnsi="Times New Roman" w:cs="Times New Roman"/>
                <w:b/>
                <w:color w:val="000000"/>
                <w:sz w:val="20"/>
                <w:szCs w:val="20"/>
                <w:lang w:val="en-GB"/>
              </w:rPr>
              <w:t>16</w:t>
            </w:r>
            <w:r w:rsidRPr="005E2A00">
              <w:rPr>
                <w:rFonts w:ascii="Times New Roman" w:eastAsia="Times New Roman" w:hAnsi="Times New Roman" w:cs="Times New Roman"/>
                <w:b/>
                <w:color w:val="000000"/>
                <w:sz w:val="20"/>
                <w:szCs w:val="20"/>
                <w:lang w:val="en-GB"/>
              </w:rPr>
              <w:t>)</w:t>
            </w:r>
          </w:p>
        </w:tc>
      </w:tr>
      <w:tr w:rsidR="0053361C" w:rsidRPr="009F6FBF" w14:paraId="6C10FE19" w14:textId="59DC2713" w:rsidTr="000408E8">
        <w:trPr>
          <w:trHeight w:val="300"/>
        </w:trPr>
        <w:tc>
          <w:tcPr>
            <w:tcW w:w="2410" w:type="dxa"/>
            <w:shd w:val="clear" w:color="auto" w:fill="auto"/>
            <w:noWrap/>
          </w:tcPr>
          <w:p w14:paraId="382BE876" w14:textId="30C4B695" w:rsidR="005A6FAA" w:rsidRPr="009F6FBF" w:rsidRDefault="005A6FAA" w:rsidP="005A6FAA">
            <w:pPr>
              <w:rPr>
                <w:rFonts w:ascii="Times New Roman" w:eastAsia="Times New Roman" w:hAnsi="Times New Roman" w:cs="Times New Roman"/>
                <w:b/>
                <w:color w:val="000000"/>
                <w:sz w:val="20"/>
                <w:szCs w:val="20"/>
                <w:lang w:val="en-GB"/>
              </w:rPr>
            </w:pPr>
            <w:r w:rsidRPr="009F6FBF">
              <w:rPr>
                <w:rFonts w:ascii="Times New Roman" w:eastAsia="Times New Roman" w:hAnsi="Times New Roman" w:cs="Times New Roman"/>
                <w:b/>
                <w:color w:val="000000"/>
                <w:sz w:val="20"/>
                <w:szCs w:val="20"/>
                <w:lang w:val="en-GB"/>
              </w:rPr>
              <w:t>Alcoholism</w:t>
            </w:r>
            <w:r w:rsidR="00AA449C" w:rsidRPr="005E2A00">
              <w:rPr>
                <w:rFonts w:ascii="Times New Roman" w:eastAsia="Times New Roman" w:hAnsi="Times New Roman" w:cs="Times New Roman"/>
                <w:b/>
                <w:color w:val="000000"/>
                <w:sz w:val="20"/>
                <w:szCs w:val="20"/>
                <w:vertAlign w:val="superscript"/>
                <w:lang w:val="en-GB"/>
              </w:rPr>
              <w:t>1</w:t>
            </w:r>
          </w:p>
        </w:tc>
        <w:tc>
          <w:tcPr>
            <w:tcW w:w="2126" w:type="dxa"/>
            <w:shd w:val="clear" w:color="auto" w:fill="auto"/>
            <w:noWrap/>
          </w:tcPr>
          <w:p w14:paraId="0781B955" w14:textId="6F62726F" w:rsidR="005A6FAA" w:rsidRPr="005E2A00" w:rsidRDefault="009F6FBF" w:rsidP="00F2393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3.</w:t>
            </w:r>
            <w:r w:rsidR="00F23939" w:rsidRPr="005E2A00">
              <w:rPr>
                <w:rFonts w:ascii="Times New Roman" w:eastAsia="Times New Roman" w:hAnsi="Times New Roman" w:cs="Times New Roman"/>
                <w:b/>
                <w:color w:val="000000"/>
                <w:sz w:val="20"/>
                <w:szCs w:val="20"/>
                <w:lang w:val="en-GB"/>
              </w:rPr>
              <w:t>60</w:t>
            </w:r>
            <w:r w:rsidRPr="005E2A00">
              <w:rPr>
                <w:rFonts w:ascii="Times New Roman" w:eastAsia="Times New Roman" w:hAnsi="Times New Roman" w:cs="Times New Roman"/>
                <w:b/>
                <w:color w:val="000000"/>
                <w:sz w:val="20"/>
                <w:szCs w:val="20"/>
                <w:lang w:val="en-GB"/>
              </w:rPr>
              <w:t xml:space="preserve"> (3.</w:t>
            </w:r>
            <w:r w:rsidR="00F23939" w:rsidRPr="005E2A00">
              <w:rPr>
                <w:rFonts w:ascii="Times New Roman" w:eastAsia="Times New Roman" w:hAnsi="Times New Roman" w:cs="Times New Roman"/>
                <w:b/>
                <w:color w:val="000000"/>
                <w:sz w:val="20"/>
                <w:szCs w:val="20"/>
                <w:lang w:val="en-GB"/>
              </w:rPr>
              <w:t>31</w:t>
            </w:r>
            <w:r w:rsidRPr="005E2A00">
              <w:rPr>
                <w:rFonts w:ascii="Times New Roman" w:eastAsia="Times New Roman" w:hAnsi="Times New Roman" w:cs="Times New Roman"/>
                <w:b/>
                <w:color w:val="000000"/>
                <w:sz w:val="20"/>
                <w:szCs w:val="20"/>
                <w:lang w:val="en-GB"/>
              </w:rPr>
              <w:t xml:space="preserve">; </w:t>
            </w:r>
            <w:r w:rsidR="00F23939" w:rsidRPr="005E2A00">
              <w:rPr>
                <w:rFonts w:ascii="Times New Roman" w:eastAsia="Times New Roman" w:hAnsi="Times New Roman" w:cs="Times New Roman"/>
                <w:b/>
                <w:color w:val="000000"/>
                <w:sz w:val="20"/>
                <w:szCs w:val="20"/>
                <w:lang w:val="en-GB"/>
              </w:rPr>
              <w:t>3.92</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16AFA9C7" w14:textId="2D4E010B" w:rsidR="005A6FAA" w:rsidRPr="005E2A00" w:rsidRDefault="00DD0485"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4.65</w:t>
            </w:r>
            <w:r w:rsidR="00606EBA" w:rsidRPr="005E2A00">
              <w:rPr>
                <w:rFonts w:ascii="Times New Roman" w:eastAsia="Times New Roman" w:hAnsi="Times New Roman" w:cs="Times New Roman"/>
                <w:b/>
                <w:color w:val="000000"/>
                <w:sz w:val="20"/>
                <w:szCs w:val="20"/>
                <w:lang w:val="en-GB"/>
              </w:rPr>
              <w:t xml:space="preserve"> (4.</w:t>
            </w:r>
            <w:r w:rsidRPr="005E2A00">
              <w:rPr>
                <w:rFonts w:ascii="Times New Roman" w:eastAsia="Times New Roman" w:hAnsi="Times New Roman" w:cs="Times New Roman"/>
                <w:b/>
                <w:color w:val="000000"/>
                <w:sz w:val="20"/>
                <w:szCs w:val="20"/>
                <w:lang w:val="en-GB"/>
              </w:rPr>
              <w:t>34</w:t>
            </w:r>
            <w:r w:rsidR="00606EBA"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4.98</w:t>
            </w:r>
            <w:r w:rsidR="00606EBA" w:rsidRPr="005E2A00">
              <w:rPr>
                <w:rFonts w:ascii="Times New Roman" w:eastAsia="Times New Roman" w:hAnsi="Times New Roman" w:cs="Times New Roman"/>
                <w:b/>
                <w:color w:val="000000"/>
                <w:sz w:val="20"/>
                <w:szCs w:val="20"/>
                <w:lang w:val="en-GB"/>
              </w:rPr>
              <w:t>)</w:t>
            </w:r>
          </w:p>
        </w:tc>
        <w:tc>
          <w:tcPr>
            <w:tcW w:w="2268" w:type="dxa"/>
          </w:tcPr>
          <w:p w14:paraId="048FE7C7" w14:textId="075A28C3" w:rsidR="005A6FAA" w:rsidRPr="005E2A00" w:rsidRDefault="00606EBA" w:rsidP="00C47C7E">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2.</w:t>
            </w:r>
            <w:r w:rsidR="00BF5441" w:rsidRPr="005E2A00">
              <w:rPr>
                <w:rFonts w:ascii="Times New Roman" w:eastAsia="Times New Roman" w:hAnsi="Times New Roman" w:cs="Times New Roman"/>
                <w:b/>
                <w:color w:val="000000"/>
                <w:sz w:val="20"/>
                <w:szCs w:val="20"/>
                <w:lang w:val="en-GB"/>
              </w:rPr>
              <w:t>60</w:t>
            </w:r>
            <w:r w:rsidRPr="005E2A00">
              <w:rPr>
                <w:rFonts w:ascii="Times New Roman" w:eastAsia="Times New Roman" w:hAnsi="Times New Roman" w:cs="Times New Roman"/>
                <w:b/>
                <w:color w:val="000000"/>
                <w:sz w:val="20"/>
                <w:szCs w:val="20"/>
                <w:lang w:val="en-GB"/>
              </w:rPr>
              <w:t xml:space="preserve"> (2.</w:t>
            </w:r>
            <w:r w:rsidR="00C47C7E" w:rsidRPr="005E2A00">
              <w:rPr>
                <w:rFonts w:ascii="Times New Roman" w:eastAsia="Times New Roman" w:hAnsi="Times New Roman" w:cs="Times New Roman"/>
                <w:b/>
                <w:color w:val="000000"/>
                <w:sz w:val="20"/>
                <w:szCs w:val="20"/>
                <w:lang w:val="en-GB"/>
              </w:rPr>
              <w:t>4</w:t>
            </w:r>
            <w:r w:rsidR="00C47C7E">
              <w:rPr>
                <w:rFonts w:ascii="Times New Roman" w:eastAsia="Times New Roman" w:hAnsi="Times New Roman" w:cs="Times New Roman"/>
                <w:b/>
                <w:color w:val="000000"/>
                <w:sz w:val="20"/>
                <w:szCs w:val="20"/>
                <w:lang w:val="en-GB"/>
              </w:rPr>
              <w:t>8</w:t>
            </w:r>
            <w:r w:rsidRPr="005E2A00">
              <w:rPr>
                <w:rFonts w:ascii="Times New Roman" w:eastAsia="Times New Roman" w:hAnsi="Times New Roman" w:cs="Times New Roman"/>
                <w:b/>
                <w:color w:val="000000"/>
                <w:sz w:val="20"/>
                <w:szCs w:val="20"/>
                <w:lang w:val="en-GB"/>
              </w:rPr>
              <w:t>; 2.</w:t>
            </w:r>
            <w:r w:rsidR="00BF5441" w:rsidRPr="005E2A00">
              <w:rPr>
                <w:rFonts w:ascii="Times New Roman" w:eastAsia="Times New Roman" w:hAnsi="Times New Roman" w:cs="Times New Roman"/>
                <w:b/>
                <w:color w:val="000000"/>
                <w:sz w:val="20"/>
                <w:szCs w:val="20"/>
                <w:lang w:val="en-GB"/>
              </w:rPr>
              <w:t>72</w:t>
            </w:r>
            <w:r w:rsidRPr="005E2A00">
              <w:rPr>
                <w:rFonts w:ascii="Times New Roman" w:eastAsia="Times New Roman" w:hAnsi="Times New Roman" w:cs="Times New Roman"/>
                <w:b/>
                <w:color w:val="000000"/>
                <w:sz w:val="20"/>
                <w:szCs w:val="20"/>
                <w:lang w:val="en-GB"/>
              </w:rPr>
              <w:t>)</w:t>
            </w:r>
          </w:p>
        </w:tc>
      </w:tr>
      <w:tr w:rsidR="003D66AC" w:rsidRPr="009F6FBF" w14:paraId="5F86F5B3" w14:textId="77777777" w:rsidTr="000408E8">
        <w:trPr>
          <w:trHeight w:val="300"/>
        </w:trPr>
        <w:tc>
          <w:tcPr>
            <w:tcW w:w="2410" w:type="dxa"/>
            <w:shd w:val="clear" w:color="auto" w:fill="auto"/>
            <w:noWrap/>
          </w:tcPr>
          <w:p w14:paraId="658F2E85" w14:textId="757CD9D8" w:rsidR="003D66AC" w:rsidRPr="009F6FBF" w:rsidRDefault="003D66AC" w:rsidP="005A6FAA">
            <w:pP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Previous OP medication</w:t>
            </w:r>
          </w:p>
        </w:tc>
        <w:tc>
          <w:tcPr>
            <w:tcW w:w="2126" w:type="dxa"/>
            <w:shd w:val="clear" w:color="auto" w:fill="auto"/>
            <w:noWrap/>
          </w:tcPr>
          <w:p w14:paraId="40F89708" w14:textId="764CE433" w:rsidR="003D66AC" w:rsidRPr="005E2A00" w:rsidRDefault="003D66AC" w:rsidP="00F23939">
            <w:pP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2.06 (1.92; 2.21)</w:t>
            </w:r>
          </w:p>
        </w:tc>
        <w:tc>
          <w:tcPr>
            <w:tcW w:w="2268" w:type="dxa"/>
            <w:shd w:val="clear" w:color="auto" w:fill="auto"/>
            <w:noWrap/>
          </w:tcPr>
          <w:p w14:paraId="1BC6EB45" w14:textId="4B4C1AAA" w:rsidR="003D66AC" w:rsidRPr="005E2A00" w:rsidRDefault="00E31D28" w:rsidP="00DD0485">
            <w:pP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1.88 (1.27; 2.79)</w:t>
            </w:r>
          </w:p>
        </w:tc>
        <w:tc>
          <w:tcPr>
            <w:tcW w:w="2268" w:type="dxa"/>
          </w:tcPr>
          <w:p w14:paraId="393C75FB" w14:textId="605A9365" w:rsidR="003D66AC" w:rsidRPr="005E2A00" w:rsidRDefault="00C47C7E" w:rsidP="00BF5441">
            <w:pP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1.63 (1.20; 2.23)</w:t>
            </w:r>
          </w:p>
        </w:tc>
      </w:tr>
      <w:tr w:rsidR="0053361C" w:rsidRPr="009F6FBF" w14:paraId="66D8857B" w14:textId="77777777" w:rsidTr="000408E8">
        <w:trPr>
          <w:trHeight w:val="300"/>
        </w:trPr>
        <w:tc>
          <w:tcPr>
            <w:tcW w:w="2410" w:type="dxa"/>
            <w:shd w:val="clear" w:color="auto" w:fill="auto"/>
            <w:noWrap/>
          </w:tcPr>
          <w:p w14:paraId="38EEAB59" w14:textId="5E550584" w:rsidR="005A6FAA" w:rsidRPr="009F6FBF" w:rsidRDefault="005A6FAA" w:rsidP="005A6FAA">
            <w:pPr>
              <w:rPr>
                <w:rFonts w:ascii="Times New Roman" w:eastAsia="Times New Roman" w:hAnsi="Times New Roman" w:cs="Times New Roman"/>
                <w:b/>
                <w:color w:val="000000"/>
                <w:sz w:val="20"/>
                <w:szCs w:val="20"/>
                <w:lang w:val="en-GB"/>
              </w:rPr>
            </w:pPr>
            <w:r w:rsidRPr="009F6FBF">
              <w:rPr>
                <w:rFonts w:ascii="Times New Roman" w:eastAsia="Times New Roman" w:hAnsi="Times New Roman" w:cs="Times New Roman"/>
                <w:b/>
                <w:color w:val="000000"/>
                <w:sz w:val="20"/>
                <w:szCs w:val="20"/>
                <w:lang w:val="en-GB"/>
              </w:rPr>
              <w:t>Charlson comorbidity index</w:t>
            </w:r>
          </w:p>
        </w:tc>
        <w:tc>
          <w:tcPr>
            <w:tcW w:w="2126" w:type="dxa"/>
            <w:shd w:val="clear" w:color="auto" w:fill="auto"/>
            <w:noWrap/>
          </w:tcPr>
          <w:p w14:paraId="373040DC" w14:textId="77777777" w:rsidR="005A6FAA" w:rsidRPr="009F6FBF" w:rsidRDefault="005A6FAA" w:rsidP="005A6FAA">
            <w:pPr>
              <w:rPr>
                <w:rFonts w:ascii="Times New Roman" w:eastAsia="Times New Roman" w:hAnsi="Times New Roman" w:cs="Times New Roman"/>
                <w:color w:val="000000"/>
                <w:sz w:val="20"/>
                <w:szCs w:val="20"/>
                <w:lang w:val="en-GB"/>
              </w:rPr>
            </w:pPr>
          </w:p>
        </w:tc>
        <w:tc>
          <w:tcPr>
            <w:tcW w:w="2268" w:type="dxa"/>
            <w:shd w:val="clear" w:color="auto" w:fill="auto"/>
            <w:noWrap/>
          </w:tcPr>
          <w:p w14:paraId="5135155B" w14:textId="77777777" w:rsidR="005A6FAA" w:rsidRPr="009F6FBF" w:rsidRDefault="005A6FAA" w:rsidP="005A6FAA">
            <w:pPr>
              <w:rPr>
                <w:rFonts w:ascii="Times New Roman" w:eastAsia="Times New Roman" w:hAnsi="Times New Roman" w:cs="Times New Roman"/>
                <w:color w:val="000000"/>
                <w:sz w:val="20"/>
                <w:szCs w:val="20"/>
                <w:lang w:val="en-GB"/>
              </w:rPr>
            </w:pPr>
          </w:p>
        </w:tc>
        <w:tc>
          <w:tcPr>
            <w:tcW w:w="2268" w:type="dxa"/>
          </w:tcPr>
          <w:p w14:paraId="7C81314D" w14:textId="77777777" w:rsidR="005A6FAA" w:rsidRPr="00BF5441" w:rsidRDefault="005A6FAA" w:rsidP="005A6FAA">
            <w:pPr>
              <w:rPr>
                <w:rFonts w:ascii="Times New Roman" w:eastAsia="Times New Roman" w:hAnsi="Times New Roman" w:cs="Times New Roman"/>
                <w:color w:val="000000"/>
                <w:sz w:val="20"/>
                <w:szCs w:val="20"/>
                <w:lang w:val="en-GB"/>
              </w:rPr>
            </w:pPr>
          </w:p>
        </w:tc>
      </w:tr>
      <w:tr w:rsidR="0053361C" w:rsidRPr="009F6FBF" w14:paraId="28CCE657" w14:textId="77777777" w:rsidTr="000408E8">
        <w:trPr>
          <w:trHeight w:val="300"/>
        </w:trPr>
        <w:tc>
          <w:tcPr>
            <w:tcW w:w="2410" w:type="dxa"/>
            <w:shd w:val="clear" w:color="auto" w:fill="auto"/>
            <w:noWrap/>
          </w:tcPr>
          <w:p w14:paraId="1A97D0FC" w14:textId="7D942592" w:rsidR="005A6FAA" w:rsidRPr="009F6FBF" w:rsidRDefault="005A6FAA" w:rsidP="005A6FAA">
            <w:pPr>
              <w:ind w:left="172"/>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None</w:t>
            </w:r>
          </w:p>
        </w:tc>
        <w:tc>
          <w:tcPr>
            <w:tcW w:w="2126" w:type="dxa"/>
            <w:shd w:val="clear" w:color="auto" w:fill="auto"/>
            <w:noWrap/>
          </w:tcPr>
          <w:p w14:paraId="4D390599" w14:textId="79536CAB" w:rsidR="005A6FAA" w:rsidRPr="009F6FBF" w:rsidRDefault="005A6FAA" w:rsidP="005A6FAA">
            <w:pPr>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Ref</w:t>
            </w:r>
          </w:p>
        </w:tc>
        <w:tc>
          <w:tcPr>
            <w:tcW w:w="2268" w:type="dxa"/>
            <w:shd w:val="clear" w:color="auto" w:fill="auto"/>
            <w:noWrap/>
          </w:tcPr>
          <w:p w14:paraId="1F98A550" w14:textId="39E71CA1" w:rsidR="005A6FAA" w:rsidRPr="009F6FBF" w:rsidRDefault="00606EBA" w:rsidP="005A6FAA">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Ref</w:t>
            </w:r>
          </w:p>
        </w:tc>
        <w:tc>
          <w:tcPr>
            <w:tcW w:w="2268" w:type="dxa"/>
          </w:tcPr>
          <w:p w14:paraId="3E0AA2AA" w14:textId="562AE9BC" w:rsidR="005A6FAA" w:rsidRPr="00BF5441" w:rsidRDefault="005A6FAA" w:rsidP="005A6FAA">
            <w:pPr>
              <w:rPr>
                <w:rFonts w:ascii="Times New Roman" w:eastAsia="Times New Roman" w:hAnsi="Times New Roman" w:cs="Times New Roman"/>
                <w:color w:val="000000"/>
                <w:sz w:val="20"/>
                <w:szCs w:val="20"/>
                <w:lang w:val="en-GB"/>
              </w:rPr>
            </w:pPr>
            <w:r w:rsidRPr="00BF5441">
              <w:rPr>
                <w:rFonts w:ascii="Times New Roman" w:eastAsia="Times New Roman" w:hAnsi="Times New Roman" w:cs="Times New Roman"/>
                <w:color w:val="000000"/>
                <w:sz w:val="20"/>
                <w:szCs w:val="20"/>
                <w:lang w:val="en-GB"/>
              </w:rPr>
              <w:t>Ref</w:t>
            </w:r>
          </w:p>
        </w:tc>
      </w:tr>
      <w:tr w:rsidR="0053361C" w:rsidRPr="009F6FBF" w14:paraId="61A260DF" w14:textId="77777777" w:rsidTr="000408E8">
        <w:trPr>
          <w:trHeight w:val="300"/>
        </w:trPr>
        <w:tc>
          <w:tcPr>
            <w:tcW w:w="2410" w:type="dxa"/>
            <w:shd w:val="clear" w:color="auto" w:fill="auto"/>
            <w:noWrap/>
          </w:tcPr>
          <w:p w14:paraId="63E538F9" w14:textId="476B0826" w:rsidR="005A6FAA" w:rsidRPr="009F6FBF" w:rsidRDefault="005A6FAA" w:rsidP="005A6FAA">
            <w:pPr>
              <w:ind w:left="172"/>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Mild</w:t>
            </w:r>
          </w:p>
        </w:tc>
        <w:tc>
          <w:tcPr>
            <w:tcW w:w="2126" w:type="dxa"/>
            <w:shd w:val="clear" w:color="auto" w:fill="auto"/>
            <w:noWrap/>
          </w:tcPr>
          <w:p w14:paraId="6BC78BA9" w14:textId="6ADDD11E" w:rsidR="005A6FAA" w:rsidRPr="005E2A00" w:rsidRDefault="005A6FAA" w:rsidP="0044745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3D66AC">
              <w:rPr>
                <w:rFonts w:ascii="Times New Roman" w:eastAsia="Times New Roman" w:hAnsi="Times New Roman" w:cs="Times New Roman"/>
                <w:b/>
                <w:color w:val="000000"/>
                <w:sz w:val="20"/>
                <w:szCs w:val="20"/>
                <w:lang w:val="en-GB"/>
              </w:rPr>
              <w:t>89</w:t>
            </w:r>
            <w:r w:rsidR="003D66AC"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(1.</w:t>
            </w:r>
            <w:r w:rsidR="003D66AC" w:rsidRPr="005E2A00">
              <w:rPr>
                <w:rFonts w:ascii="Times New Roman" w:eastAsia="Times New Roman" w:hAnsi="Times New Roman" w:cs="Times New Roman"/>
                <w:b/>
                <w:color w:val="000000"/>
                <w:sz w:val="20"/>
                <w:szCs w:val="20"/>
                <w:lang w:val="en-GB"/>
              </w:rPr>
              <w:t>6</w:t>
            </w:r>
            <w:r w:rsidR="003D66AC">
              <w:rPr>
                <w:rFonts w:ascii="Times New Roman" w:eastAsia="Times New Roman" w:hAnsi="Times New Roman" w:cs="Times New Roman"/>
                <w:b/>
                <w:color w:val="000000"/>
                <w:sz w:val="20"/>
                <w:szCs w:val="20"/>
                <w:lang w:val="en-GB"/>
              </w:rPr>
              <w:t>6</w:t>
            </w:r>
            <w:r w:rsidRPr="005E2A00">
              <w:rPr>
                <w:rFonts w:ascii="Times New Roman" w:eastAsia="Times New Roman" w:hAnsi="Times New Roman" w:cs="Times New Roman"/>
                <w:b/>
                <w:color w:val="000000"/>
                <w:sz w:val="20"/>
                <w:szCs w:val="20"/>
                <w:lang w:val="en-GB"/>
              </w:rPr>
              <w:t xml:space="preserve">; </w:t>
            </w:r>
            <w:r w:rsidR="00AA0433" w:rsidRPr="005E2A00">
              <w:rPr>
                <w:rFonts w:ascii="Times New Roman" w:eastAsia="Times New Roman" w:hAnsi="Times New Roman" w:cs="Times New Roman"/>
                <w:b/>
                <w:color w:val="000000"/>
                <w:sz w:val="20"/>
                <w:szCs w:val="20"/>
                <w:lang w:val="en-GB"/>
              </w:rPr>
              <w:t>2.</w:t>
            </w:r>
            <w:r w:rsidR="00447459" w:rsidRPr="005E2A00">
              <w:rPr>
                <w:rFonts w:ascii="Times New Roman" w:eastAsia="Times New Roman" w:hAnsi="Times New Roman" w:cs="Times New Roman"/>
                <w:b/>
                <w:color w:val="000000"/>
                <w:sz w:val="20"/>
                <w:szCs w:val="20"/>
                <w:lang w:val="en-GB"/>
              </w:rPr>
              <w:t>1</w:t>
            </w:r>
            <w:r w:rsidR="00447459">
              <w:rPr>
                <w:rFonts w:ascii="Times New Roman" w:eastAsia="Times New Roman" w:hAnsi="Times New Roman" w:cs="Times New Roman"/>
                <w:b/>
                <w:color w:val="000000"/>
                <w:sz w:val="20"/>
                <w:szCs w:val="20"/>
                <w:lang w:val="en-GB"/>
              </w:rPr>
              <w:t>5</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6145BF1D" w14:textId="63FF0C2D" w:rsidR="005A6FAA" w:rsidRPr="005E2A00" w:rsidRDefault="00606EBA"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DD0485" w:rsidRPr="005E2A00">
              <w:rPr>
                <w:rFonts w:ascii="Times New Roman" w:eastAsia="Times New Roman" w:hAnsi="Times New Roman" w:cs="Times New Roman"/>
                <w:b/>
                <w:color w:val="000000"/>
                <w:sz w:val="20"/>
                <w:szCs w:val="20"/>
                <w:lang w:val="en-GB"/>
              </w:rPr>
              <w:t>40</w:t>
            </w:r>
            <w:r w:rsidRPr="005E2A00">
              <w:rPr>
                <w:rFonts w:ascii="Times New Roman" w:eastAsia="Times New Roman" w:hAnsi="Times New Roman" w:cs="Times New Roman"/>
                <w:b/>
                <w:color w:val="000000"/>
                <w:sz w:val="20"/>
                <w:szCs w:val="20"/>
                <w:lang w:val="en-GB"/>
              </w:rPr>
              <w:t xml:space="preserve"> (1.</w:t>
            </w:r>
            <w:r w:rsidR="00DD0485" w:rsidRPr="005E2A00">
              <w:rPr>
                <w:rFonts w:ascii="Times New Roman" w:eastAsia="Times New Roman" w:hAnsi="Times New Roman" w:cs="Times New Roman"/>
                <w:b/>
                <w:color w:val="000000"/>
                <w:sz w:val="20"/>
                <w:szCs w:val="20"/>
                <w:lang w:val="en-GB"/>
              </w:rPr>
              <w:t>25</w:t>
            </w:r>
            <w:r w:rsidRPr="005E2A00">
              <w:rPr>
                <w:rFonts w:ascii="Times New Roman" w:eastAsia="Times New Roman" w:hAnsi="Times New Roman" w:cs="Times New Roman"/>
                <w:b/>
                <w:color w:val="000000"/>
                <w:sz w:val="20"/>
                <w:szCs w:val="20"/>
                <w:lang w:val="en-GB"/>
              </w:rPr>
              <w:t>; 1.56)</w:t>
            </w:r>
          </w:p>
        </w:tc>
        <w:tc>
          <w:tcPr>
            <w:tcW w:w="2268" w:type="dxa"/>
          </w:tcPr>
          <w:p w14:paraId="4BC1AAF4" w14:textId="3A9346CB" w:rsidR="005A6FAA" w:rsidRPr="005E2A00" w:rsidRDefault="00F26171"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BF5441" w:rsidRPr="005E2A00">
              <w:rPr>
                <w:rFonts w:ascii="Times New Roman" w:eastAsia="Times New Roman" w:hAnsi="Times New Roman" w:cs="Times New Roman"/>
                <w:b/>
                <w:color w:val="000000"/>
                <w:sz w:val="20"/>
                <w:szCs w:val="20"/>
                <w:lang w:val="en-GB"/>
              </w:rPr>
              <w:t>08</w:t>
            </w:r>
            <w:r w:rsidRPr="005E2A00">
              <w:rPr>
                <w:rFonts w:ascii="Times New Roman" w:eastAsia="Times New Roman" w:hAnsi="Times New Roman" w:cs="Times New Roman"/>
                <w:b/>
                <w:color w:val="000000"/>
                <w:sz w:val="20"/>
                <w:szCs w:val="20"/>
                <w:lang w:val="en-GB"/>
              </w:rPr>
              <w:t xml:space="preserve"> (1.0</w:t>
            </w:r>
            <w:r w:rsidR="00BF5441" w:rsidRPr="005E2A00">
              <w:rPr>
                <w:rFonts w:ascii="Times New Roman" w:eastAsia="Times New Roman" w:hAnsi="Times New Roman" w:cs="Times New Roman"/>
                <w:b/>
                <w:color w:val="000000"/>
                <w:sz w:val="20"/>
                <w:szCs w:val="20"/>
                <w:lang w:val="en-GB"/>
              </w:rPr>
              <w:t>1</w:t>
            </w:r>
            <w:r w:rsidRPr="005E2A00">
              <w:rPr>
                <w:rFonts w:ascii="Times New Roman" w:eastAsia="Times New Roman" w:hAnsi="Times New Roman" w:cs="Times New Roman"/>
                <w:b/>
                <w:color w:val="000000"/>
                <w:sz w:val="20"/>
                <w:szCs w:val="20"/>
                <w:lang w:val="en-GB"/>
              </w:rPr>
              <w:t>; 1.1</w:t>
            </w:r>
            <w:r w:rsidR="00BF5441" w:rsidRPr="005E2A00">
              <w:rPr>
                <w:rFonts w:ascii="Times New Roman" w:eastAsia="Times New Roman" w:hAnsi="Times New Roman" w:cs="Times New Roman"/>
                <w:b/>
                <w:color w:val="000000"/>
                <w:sz w:val="20"/>
                <w:szCs w:val="20"/>
                <w:lang w:val="en-GB"/>
              </w:rPr>
              <w:t>6</w:t>
            </w:r>
            <w:r w:rsidRPr="005E2A00">
              <w:rPr>
                <w:rFonts w:ascii="Times New Roman" w:eastAsia="Times New Roman" w:hAnsi="Times New Roman" w:cs="Times New Roman"/>
                <w:b/>
                <w:color w:val="000000"/>
                <w:sz w:val="20"/>
                <w:szCs w:val="20"/>
                <w:lang w:val="en-GB"/>
              </w:rPr>
              <w:t>)</w:t>
            </w:r>
          </w:p>
        </w:tc>
      </w:tr>
      <w:tr w:rsidR="0053361C" w:rsidRPr="009F6FBF" w14:paraId="0F39CEB7" w14:textId="77777777" w:rsidTr="000408E8">
        <w:trPr>
          <w:trHeight w:val="300"/>
        </w:trPr>
        <w:tc>
          <w:tcPr>
            <w:tcW w:w="2410" w:type="dxa"/>
            <w:shd w:val="clear" w:color="auto" w:fill="auto"/>
            <w:noWrap/>
          </w:tcPr>
          <w:p w14:paraId="503AB271" w14:textId="1F9384C6" w:rsidR="005A6FAA" w:rsidRPr="009F6FBF" w:rsidRDefault="005A6FAA" w:rsidP="005A6FAA">
            <w:pPr>
              <w:ind w:left="172"/>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Moderate</w:t>
            </w:r>
          </w:p>
        </w:tc>
        <w:tc>
          <w:tcPr>
            <w:tcW w:w="2126" w:type="dxa"/>
            <w:shd w:val="clear" w:color="auto" w:fill="auto"/>
            <w:noWrap/>
          </w:tcPr>
          <w:p w14:paraId="76DC7E5A" w14:textId="1FBCA3C5" w:rsidR="005A6FAA" w:rsidRPr="005E2A00" w:rsidRDefault="005A6FAA" w:rsidP="0044745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3D66AC" w:rsidRPr="005E2A00">
              <w:rPr>
                <w:rFonts w:ascii="Times New Roman" w:eastAsia="Times New Roman" w:hAnsi="Times New Roman" w:cs="Times New Roman"/>
                <w:b/>
                <w:color w:val="000000"/>
                <w:sz w:val="20"/>
                <w:szCs w:val="20"/>
                <w:lang w:val="en-GB"/>
              </w:rPr>
              <w:t>8</w:t>
            </w:r>
            <w:r w:rsidR="003D66AC">
              <w:rPr>
                <w:rFonts w:ascii="Times New Roman" w:eastAsia="Times New Roman" w:hAnsi="Times New Roman" w:cs="Times New Roman"/>
                <w:b/>
                <w:color w:val="000000"/>
                <w:sz w:val="20"/>
                <w:szCs w:val="20"/>
                <w:lang w:val="en-GB"/>
              </w:rPr>
              <w:t>0</w:t>
            </w:r>
            <w:r w:rsidR="003D66AC"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(1.</w:t>
            </w:r>
            <w:r w:rsidR="003D66AC">
              <w:rPr>
                <w:rFonts w:ascii="Times New Roman" w:eastAsia="Times New Roman" w:hAnsi="Times New Roman" w:cs="Times New Roman"/>
                <w:b/>
                <w:color w:val="000000"/>
                <w:sz w:val="20"/>
                <w:szCs w:val="20"/>
                <w:lang w:val="en-GB"/>
              </w:rPr>
              <w:t>58</w:t>
            </w:r>
            <w:r w:rsidRPr="005E2A00">
              <w:rPr>
                <w:rFonts w:ascii="Times New Roman" w:eastAsia="Times New Roman" w:hAnsi="Times New Roman" w:cs="Times New Roman"/>
                <w:b/>
                <w:color w:val="000000"/>
                <w:sz w:val="20"/>
                <w:szCs w:val="20"/>
                <w:lang w:val="en-GB"/>
              </w:rPr>
              <w:t xml:space="preserve">; </w:t>
            </w:r>
            <w:r w:rsidR="00AA0433" w:rsidRPr="005E2A00">
              <w:rPr>
                <w:rFonts w:ascii="Times New Roman" w:eastAsia="Times New Roman" w:hAnsi="Times New Roman" w:cs="Times New Roman"/>
                <w:b/>
                <w:color w:val="000000"/>
                <w:sz w:val="20"/>
                <w:szCs w:val="20"/>
                <w:lang w:val="en-GB"/>
              </w:rPr>
              <w:t>2.</w:t>
            </w:r>
            <w:r w:rsidR="00447459" w:rsidRPr="005E2A00">
              <w:rPr>
                <w:rFonts w:ascii="Times New Roman" w:eastAsia="Times New Roman" w:hAnsi="Times New Roman" w:cs="Times New Roman"/>
                <w:b/>
                <w:color w:val="000000"/>
                <w:sz w:val="20"/>
                <w:szCs w:val="20"/>
                <w:lang w:val="en-GB"/>
              </w:rPr>
              <w:t>1</w:t>
            </w:r>
            <w:r w:rsidR="00447459">
              <w:rPr>
                <w:rFonts w:ascii="Times New Roman" w:eastAsia="Times New Roman" w:hAnsi="Times New Roman" w:cs="Times New Roman"/>
                <w:b/>
                <w:color w:val="000000"/>
                <w:sz w:val="20"/>
                <w:szCs w:val="20"/>
                <w:lang w:val="en-GB"/>
              </w:rPr>
              <w:t>6</w:t>
            </w:r>
            <w:r w:rsidRPr="005E2A00">
              <w:rPr>
                <w:rFonts w:ascii="Times New Roman" w:eastAsia="Times New Roman" w:hAnsi="Times New Roman" w:cs="Times New Roman"/>
                <w:b/>
                <w:color w:val="000000"/>
                <w:sz w:val="20"/>
                <w:szCs w:val="20"/>
                <w:lang w:val="en-GB"/>
              </w:rPr>
              <w:t>)</w:t>
            </w:r>
          </w:p>
        </w:tc>
        <w:tc>
          <w:tcPr>
            <w:tcW w:w="2268" w:type="dxa"/>
            <w:shd w:val="clear" w:color="auto" w:fill="auto"/>
            <w:noWrap/>
          </w:tcPr>
          <w:p w14:paraId="03E832B8" w14:textId="59AD7C01" w:rsidR="005A6FAA" w:rsidRPr="005E2A00" w:rsidRDefault="00606EBA" w:rsidP="00DD0485">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1.4</w:t>
            </w:r>
            <w:r w:rsidR="00DD0485" w:rsidRPr="005E2A00">
              <w:rPr>
                <w:rFonts w:ascii="Times New Roman" w:eastAsia="Times New Roman" w:hAnsi="Times New Roman" w:cs="Times New Roman"/>
                <w:b/>
                <w:color w:val="000000"/>
                <w:sz w:val="20"/>
                <w:szCs w:val="20"/>
                <w:lang w:val="en-GB"/>
              </w:rPr>
              <w:t>2</w:t>
            </w:r>
            <w:r w:rsidRPr="005E2A00">
              <w:rPr>
                <w:rFonts w:ascii="Times New Roman" w:eastAsia="Times New Roman" w:hAnsi="Times New Roman" w:cs="Times New Roman"/>
                <w:b/>
                <w:color w:val="000000"/>
                <w:sz w:val="20"/>
                <w:szCs w:val="20"/>
                <w:lang w:val="en-GB"/>
              </w:rPr>
              <w:t xml:space="preserve"> (1.2</w:t>
            </w:r>
            <w:r w:rsidR="00DD0485" w:rsidRPr="005E2A00">
              <w:rPr>
                <w:rFonts w:ascii="Times New Roman" w:eastAsia="Times New Roman" w:hAnsi="Times New Roman" w:cs="Times New Roman"/>
                <w:b/>
                <w:color w:val="000000"/>
                <w:sz w:val="20"/>
                <w:szCs w:val="20"/>
                <w:lang w:val="en-GB"/>
              </w:rPr>
              <w:t>7</w:t>
            </w:r>
            <w:r w:rsidRPr="005E2A00">
              <w:rPr>
                <w:rFonts w:ascii="Times New Roman" w:eastAsia="Times New Roman" w:hAnsi="Times New Roman" w:cs="Times New Roman"/>
                <w:b/>
                <w:color w:val="000000"/>
                <w:sz w:val="20"/>
                <w:szCs w:val="20"/>
                <w:lang w:val="en-GB"/>
              </w:rPr>
              <w:t>; 1.</w:t>
            </w:r>
            <w:r w:rsidR="00DD0485" w:rsidRPr="005E2A00">
              <w:rPr>
                <w:rFonts w:ascii="Times New Roman" w:eastAsia="Times New Roman" w:hAnsi="Times New Roman" w:cs="Times New Roman"/>
                <w:b/>
                <w:color w:val="000000"/>
                <w:sz w:val="20"/>
                <w:szCs w:val="20"/>
                <w:lang w:val="en-GB"/>
              </w:rPr>
              <w:t>60</w:t>
            </w:r>
            <w:r w:rsidRPr="005E2A00">
              <w:rPr>
                <w:rFonts w:ascii="Times New Roman" w:eastAsia="Times New Roman" w:hAnsi="Times New Roman" w:cs="Times New Roman"/>
                <w:b/>
                <w:color w:val="000000"/>
                <w:sz w:val="20"/>
                <w:szCs w:val="20"/>
                <w:lang w:val="en-GB"/>
              </w:rPr>
              <w:t>)</w:t>
            </w:r>
          </w:p>
        </w:tc>
        <w:tc>
          <w:tcPr>
            <w:tcW w:w="2268" w:type="dxa"/>
          </w:tcPr>
          <w:p w14:paraId="7DEE5F3B" w14:textId="3AC43753" w:rsidR="005A6FAA" w:rsidRPr="005E2A00" w:rsidRDefault="00F26171" w:rsidP="00BF5441">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BF5441" w:rsidRPr="005E2A00">
              <w:rPr>
                <w:rFonts w:ascii="Times New Roman" w:eastAsia="Times New Roman" w:hAnsi="Times New Roman" w:cs="Times New Roman"/>
                <w:b/>
                <w:color w:val="000000"/>
                <w:sz w:val="20"/>
                <w:szCs w:val="20"/>
                <w:lang w:val="en-GB"/>
              </w:rPr>
              <w:t>12</w:t>
            </w:r>
            <w:r w:rsidRPr="005E2A00">
              <w:rPr>
                <w:rFonts w:ascii="Times New Roman" w:eastAsia="Times New Roman" w:hAnsi="Times New Roman" w:cs="Times New Roman"/>
                <w:b/>
                <w:color w:val="000000"/>
                <w:sz w:val="20"/>
                <w:szCs w:val="20"/>
                <w:lang w:val="en-GB"/>
              </w:rPr>
              <w:t xml:space="preserve"> (1.0</w:t>
            </w:r>
            <w:r w:rsidR="00BF5441" w:rsidRPr="005E2A00">
              <w:rPr>
                <w:rFonts w:ascii="Times New Roman" w:eastAsia="Times New Roman" w:hAnsi="Times New Roman" w:cs="Times New Roman"/>
                <w:b/>
                <w:color w:val="000000"/>
                <w:sz w:val="20"/>
                <w:szCs w:val="20"/>
                <w:lang w:val="en-GB"/>
              </w:rPr>
              <w:t>4</w:t>
            </w:r>
            <w:r w:rsidRPr="005E2A00">
              <w:rPr>
                <w:rFonts w:ascii="Times New Roman" w:eastAsia="Times New Roman" w:hAnsi="Times New Roman" w:cs="Times New Roman"/>
                <w:b/>
                <w:color w:val="000000"/>
                <w:sz w:val="20"/>
                <w:szCs w:val="20"/>
                <w:lang w:val="en-GB"/>
              </w:rPr>
              <w:t>; 1.</w:t>
            </w:r>
            <w:r w:rsidR="00BF5441" w:rsidRPr="005E2A00">
              <w:rPr>
                <w:rFonts w:ascii="Times New Roman" w:eastAsia="Times New Roman" w:hAnsi="Times New Roman" w:cs="Times New Roman"/>
                <w:b/>
                <w:color w:val="000000"/>
                <w:sz w:val="20"/>
                <w:szCs w:val="20"/>
                <w:lang w:val="en-GB"/>
              </w:rPr>
              <w:t>20</w:t>
            </w:r>
            <w:r w:rsidRPr="005E2A00">
              <w:rPr>
                <w:rFonts w:ascii="Times New Roman" w:eastAsia="Times New Roman" w:hAnsi="Times New Roman" w:cs="Times New Roman"/>
                <w:b/>
                <w:color w:val="000000"/>
                <w:sz w:val="20"/>
                <w:szCs w:val="20"/>
                <w:lang w:val="en-GB"/>
              </w:rPr>
              <w:t>)</w:t>
            </w:r>
          </w:p>
        </w:tc>
      </w:tr>
      <w:tr w:rsidR="0053361C" w:rsidRPr="009F6FBF" w14:paraId="5918FC2F" w14:textId="77777777" w:rsidTr="000408E8">
        <w:trPr>
          <w:trHeight w:val="300"/>
        </w:trPr>
        <w:tc>
          <w:tcPr>
            <w:tcW w:w="2410" w:type="dxa"/>
            <w:tcBorders>
              <w:bottom w:val="single" w:sz="18" w:space="0" w:color="auto"/>
            </w:tcBorders>
            <w:shd w:val="clear" w:color="auto" w:fill="auto"/>
            <w:noWrap/>
          </w:tcPr>
          <w:p w14:paraId="30263699" w14:textId="1932F004" w:rsidR="005A6FAA" w:rsidRPr="009F6FBF" w:rsidRDefault="005A6FAA" w:rsidP="005A6FAA">
            <w:pPr>
              <w:ind w:left="172"/>
              <w:rPr>
                <w:rFonts w:ascii="Times New Roman" w:eastAsia="Times New Roman" w:hAnsi="Times New Roman" w:cs="Times New Roman"/>
                <w:color w:val="000000"/>
                <w:sz w:val="20"/>
                <w:szCs w:val="20"/>
                <w:lang w:val="en-GB"/>
              </w:rPr>
            </w:pPr>
            <w:r w:rsidRPr="009F6FBF">
              <w:rPr>
                <w:rFonts w:ascii="Times New Roman" w:eastAsia="Times New Roman" w:hAnsi="Times New Roman" w:cs="Times New Roman"/>
                <w:color w:val="000000"/>
                <w:sz w:val="20"/>
                <w:szCs w:val="20"/>
                <w:lang w:val="en-GB"/>
              </w:rPr>
              <w:t>Severe</w:t>
            </w:r>
          </w:p>
        </w:tc>
        <w:tc>
          <w:tcPr>
            <w:tcW w:w="2126" w:type="dxa"/>
            <w:tcBorders>
              <w:bottom w:val="single" w:sz="18" w:space="0" w:color="auto"/>
            </w:tcBorders>
            <w:shd w:val="clear" w:color="auto" w:fill="auto"/>
            <w:noWrap/>
          </w:tcPr>
          <w:p w14:paraId="45095071" w14:textId="430DB3CB" w:rsidR="005A6FAA" w:rsidRPr="005E2A00" w:rsidRDefault="005A6FAA" w:rsidP="00447459">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2.</w:t>
            </w:r>
            <w:r w:rsidR="003D66AC" w:rsidRPr="005E2A00">
              <w:rPr>
                <w:rFonts w:ascii="Times New Roman" w:eastAsia="Times New Roman" w:hAnsi="Times New Roman" w:cs="Times New Roman"/>
                <w:b/>
                <w:color w:val="000000"/>
                <w:sz w:val="20"/>
                <w:szCs w:val="20"/>
                <w:lang w:val="en-GB"/>
              </w:rPr>
              <w:t>9</w:t>
            </w:r>
            <w:r w:rsidR="003D66AC">
              <w:rPr>
                <w:rFonts w:ascii="Times New Roman" w:eastAsia="Times New Roman" w:hAnsi="Times New Roman" w:cs="Times New Roman"/>
                <w:b/>
                <w:color w:val="000000"/>
                <w:sz w:val="20"/>
                <w:szCs w:val="20"/>
                <w:lang w:val="en-GB"/>
              </w:rPr>
              <w:t>3</w:t>
            </w:r>
            <w:r w:rsidR="003D66AC"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w:t>
            </w:r>
            <w:r w:rsidR="00AA0433" w:rsidRPr="005E2A00">
              <w:rPr>
                <w:rFonts w:ascii="Times New Roman" w:eastAsia="Times New Roman" w:hAnsi="Times New Roman" w:cs="Times New Roman"/>
                <w:b/>
                <w:color w:val="000000"/>
                <w:sz w:val="20"/>
                <w:szCs w:val="20"/>
                <w:lang w:val="en-GB"/>
              </w:rPr>
              <w:t>2.</w:t>
            </w:r>
            <w:r w:rsidR="00447459">
              <w:rPr>
                <w:rFonts w:ascii="Times New Roman" w:eastAsia="Times New Roman" w:hAnsi="Times New Roman" w:cs="Times New Roman"/>
                <w:b/>
                <w:color w:val="000000"/>
                <w:sz w:val="20"/>
                <w:szCs w:val="20"/>
                <w:lang w:val="en-GB"/>
              </w:rPr>
              <w:t>60</w:t>
            </w:r>
            <w:r w:rsidRPr="005E2A00">
              <w:rPr>
                <w:rFonts w:ascii="Times New Roman" w:eastAsia="Times New Roman" w:hAnsi="Times New Roman" w:cs="Times New Roman"/>
                <w:b/>
                <w:color w:val="000000"/>
                <w:sz w:val="20"/>
                <w:szCs w:val="20"/>
                <w:lang w:val="en-GB"/>
              </w:rPr>
              <w:t xml:space="preserve">; </w:t>
            </w:r>
            <w:r w:rsidR="00AA0433" w:rsidRPr="005E2A00">
              <w:rPr>
                <w:rFonts w:ascii="Times New Roman" w:eastAsia="Times New Roman" w:hAnsi="Times New Roman" w:cs="Times New Roman"/>
                <w:b/>
                <w:color w:val="000000"/>
                <w:sz w:val="20"/>
                <w:szCs w:val="20"/>
                <w:lang w:val="en-GB"/>
              </w:rPr>
              <w:t>3</w:t>
            </w:r>
            <w:r w:rsidRPr="005E2A00">
              <w:rPr>
                <w:rFonts w:ascii="Times New Roman" w:eastAsia="Times New Roman" w:hAnsi="Times New Roman" w:cs="Times New Roman"/>
                <w:b/>
                <w:color w:val="000000"/>
                <w:sz w:val="20"/>
                <w:szCs w:val="20"/>
                <w:lang w:val="en-GB"/>
              </w:rPr>
              <w:t>.</w:t>
            </w:r>
            <w:r w:rsidR="00447459" w:rsidRPr="005E2A00">
              <w:rPr>
                <w:rFonts w:ascii="Times New Roman" w:eastAsia="Times New Roman" w:hAnsi="Times New Roman" w:cs="Times New Roman"/>
                <w:b/>
                <w:color w:val="000000"/>
                <w:sz w:val="20"/>
                <w:szCs w:val="20"/>
                <w:lang w:val="en-GB"/>
              </w:rPr>
              <w:t>3</w:t>
            </w:r>
            <w:r w:rsidR="00447459">
              <w:rPr>
                <w:rFonts w:ascii="Times New Roman" w:eastAsia="Times New Roman" w:hAnsi="Times New Roman" w:cs="Times New Roman"/>
                <w:b/>
                <w:color w:val="000000"/>
                <w:sz w:val="20"/>
                <w:szCs w:val="20"/>
                <w:lang w:val="en-GB"/>
              </w:rPr>
              <w:t>1</w:t>
            </w:r>
            <w:r w:rsidRPr="005E2A00">
              <w:rPr>
                <w:rFonts w:ascii="Times New Roman" w:eastAsia="Times New Roman" w:hAnsi="Times New Roman" w:cs="Times New Roman"/>
                <w:b/>
                <w:color w:val="000000"/>
                <w:sz w:val="20"/>
                <w:szCs w:val="20"/>
                <w:lang w:val="en-GB"/>
              </w:rPr>
              <w:t>)</w:t>
            </w:r>
          </w:p>
        </w:tc>
        <w:tc>
          <w:tcPr>
            <w:tcW w:w="2268" w:type="dxa"/>
            <w:tcBorders>
              <w:bottom w:val="single" w:sz="18" w:space="0" w:color="auto"/>
            </w:tcBorders>
            <w:shd w:val="clear" w:color="auto" w:fill="auto"/>
            <w:noWrap/>
          </w:tcPr>
          <w:p w14:paraId="115FD61F" w14:textId="7FB756C6" w:rsidR="005A6FAA" w:rsidRPr="005E2A00" w:rsidRDefault="00DD0485" w:rsidP="00E31D28">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2.02</w:t>
            </w:r>
            <w:r w:rsidR="00606EBA" w:rsidRPr="005E2A00">
              <w:rPr>
                <w:rFonts w:ascii="Times New Roman" w:eastAsia="Times New Roman" w:hAnsi="Times New Roman" w:cs="Times New Roman"/>
                <w:b/>
                <w:color w:val="000000"/>
                <w:sz w:val="20"/>
                <w:szCs w:val="20"/>
                <w:lang w:val="en-GB"/>
              </w:rPr>
              <w:t xml:space="preserve"> (1.</w:t>
            </w:r>
            <w:r w:rsidRPr="005E2A00">
              <w:rPr>
                <w:rFonts w:ascii="Times New Roman" w:eastAsia="Times New Roman" w:hAnsi="Times New Roman" w:cs="Times New Roman"/>
                <w:b/>
                <w:color w:val="000000"/>
                <w:sz w:val="20"/>
                <w:szCs w:val="20"/>
                <w:lang w:val="en-GB"/>
              </w:rPr>
              <w:t>82</w:t>
            </w:r>
            <w:r w:rsidR="00606EBA" w:rsidRPr="005E2A00">
              <w:rPr>
                <w:rFonts w:ascii="Times New Roman" w:eastAsia="Times New Roman" w:hAnsi="Times New Roman" w:cs="Times New Roman"/>
                <w:b/>
                <w:color w:val="000000"/>
                <w:sz w:val="20"/>
                <w:szCs w:val="20"/>
                <w:lang w:val="en-GB"/>
              </w:rPr>
              <w:t xml:space="preserve">; </w:t>
            </w:r>
            <w:r w:rsidRPr="005E2A00">
              <w:rPr>
                <w:rFonts w:ascii="Times New Roman" w:eastAsia="Times New Roman" w:hAnsi="Times New Roman" w:cs="Times New Roman"/>
                <w:b/>
                <w:color w:val="000000"/>
                <w:sz w:val="20"/>
                <w:szCs w:val="20"/>
                <w:lang w:val="en-GB"/>
              </w:rPr>
              <w:t>2.</w:t>
            </w:r>
            <w:r w:rsidR="00E31D28" w:rsidRPr="005E2A00">
              <w:rPr>
                <w:rFonts w:ascii="Times New Roman" w:eastAsia="Times New Roman" w:hAnsi="Times New Roman" w:cs="Times New Roman"/>
                <w:b/>
                <w:color w:val="000000"/>
                <w:sz w:val="20"/>
                <w:szCs w:val="20"/>
                <w:lang w:val="en-GB"/>
              </w:rPr>
              <w:t>2</w:t>
            </w:r>
            <w:r w:rsidR="00E31D28">
              <w:rPr>
                <w:rFonts w:ascii="Times New Roman" w:eastAsia="Times New Roman" w:hAnsi="Times New Roman" w:cs="Times New Roman"/>
                <w:b/>
                <w:color w:val="000000"/>
                <w:sz w:val="20"/>
                <w:szCs w:val="20"/>
                <w:lang w:val="en-GB"/>
              </w:rPr>
              <w:t>4</w:t>
            </w:r>
            <w:r w:rsidR="00606EBA" w:rsidRPr="005E2A00">
              <w:rPr>
                <w:rFonts w:ascii="Times New Roman" w:eastAsia="Times New Roman" w:hAnsi="Times New Roman" w:cs="Times New Roman"/>
                <w:b/>
                <w:color w:val="000000"/>
                <w:sz w:val="20"/>
                <w:szCs w:val="20"/>
                <w:lang w:val="en-GB"/>
              </w:rPr>
              <w:t>)</w:t>
            </w:r>
          </w:p>
        </w:tc>
        <w:tc>
          <w:tcPr>
            <w:tcW w:w="2268" w:type="dxa"/>
            <w:tcBorders>
              <w:bottom w:val="single" w:sz="18" w:space="0" w:color="auto"/>
            </w:tcBorders>
          </w:tcPr>
          <w:p w14:paraId="24A61949" w14:textId="3788D694" w:rsidR="005A6FAA" w:rsidRPr="005E2A00" w:rsidRDefault="00F26171" w:rsidP="00C47C7E">
            <w:pPr>
              <w:rPr>
                <w:rFonts w:ascii="Times New Roman" w:eastAsia="Times New Roman" w:hAnsi="Times New Roman" w:cs="Times New Roman"/>
                <w:b/>
                <w:color w:val="000000"/>
                <w:sz w:val="20"/>
                <w:szCs w:val="20"/>
                <w:lang w:val="en-GB"/>
              </w:rPr>
            </w:pPr>
            <w:r w:rsidRPr="005E2A00">
              <w:rPr>
                <w:rFonts w:ascii="Times New Roman" w:eastAsia="Times New Roman" w:hAnsi="Times New Roman" w:cs="Times New Roman"/>
                <w:b/>
                <w:color w:val="000000"/>
                <w:sz w:val="20"/>
                <w:szCs w:val="20"/>
                <w:lang w:val="en-GB"/>
              </w:rPr>
              <w:t>1.</w:t>
            </w:r>
            <w:r w:rsidR="00BF5441" w:rsidRPr="005E2A00">
              <w:rPr>
                <w:rFonts w:ascii="Times New Roman" w:eastAsia="Times New Roman" w:hAnsi="Times New Roman" w:cs="Times New Roman"/>
                <w:b/>
                <w:color w:val="000000"/>
                <w:sz w:val="20"/>
                <w:szCs w:val="20"/>
                <w:lang w:val="en-GB"/>
              </w:rPr>
              <w:t>24</w:t>
            </w:r>
            <w:r w:rsidRPr="005E2A00">
              <w:rPr>
                <w:rFonts w:ascii="Times New Roman" w:eastAsia="Times New Roman" w:hAnsi="Times New Roman" w:cs="Times New Roman"/>
                <w:b/>
                <w:color w:val="000000"/>
                <w:sz w:val="20"/>
                <w:szCs w:val="20"/>
                <w:lang w:val="en-GB"/>
              </w:rPr>
              <w:t xml:space="preserve"> (1.</w:t>
            </w:r>
            <w:r w:rsidR="00BF5441" w:rsidRPr="005E2A00">
              <w:rPr>
                <w:rFonts w:ascii="Times New Roman" w:eastAsia="Times New Roman" w:hAnsi="Times New Roman" w:cs="Times New Roman"/>
                <w:b/>
                <w:color w:val="000000"/>
                <w:sz w:val="20"/>
                <w:szCs w:val="20"/>
                <w:lang w:val="en-GB"/>
              </w:rPr>
              <w:t>16</w:t>
            </w:r>
            <w:r w:rsidRPr="005E2A00">
              <w:rPr>
                <w:rFonts w:ascii="Times New Roman" w:eastAsia="Times New Roman" w:hAnsi="Times New Roman" w:cs="Times New Roman"/>
                <w:b/>
                <w:color w:val="000000"/>
                <w:sz w:val="20"/>
                <w:szCs w:val="20"/>
                <w:lang w:val="en-GB"/>
              </w:rPr>
              <w:t>; 1.</w:t>
            </w:r>
            <w:r w:rsidR="00C47C7E" w:rsidRPr="005E2A00">
              <w:rPr>
                <w:rFonts w:ascii="Times New Roman" w:eastAsia="Times New Roman" w:hAnsi="Times New Roman" w:cs="Times New Roman"/>
                <w:b/>
                <w:color w:val="000000"/>
                <w:sz w:val="20"/>
                <w:szCs w:val="20"/>
                <w:lang w:val="en-GB"/>
              </w:rPr>
              <w:t>3</w:t>
            </w:r>
            <w:r w:rsidR="00C47C7E">
              <w:rPr>
                <w:rFonts w:ascii="Times New Roman" w:eastAsia="Times New Roman" w:hAnsi="Times New Roman" w:cs="Times New Roman"/>
                <w:b/>
                <w:color w:val="000000"/>
                <w:sz w:val="20"/>
                <w:szCs w:val="20"/>
                <w:lang w:val="en-GB"/>
              </w:rPr>
              <w:t>2</w:t>
            </w:r>
            <w:r w:rsidRPr="005E2A00">
              <w:rPr>
                <w:rFonts w:ascii="Times New Roman" w:eastAsia="Times New Roman" w:hAnsi="Times New Roman" w:cs="Times New Roman"/>
                <w:b/>
                <w:color w:val="000000"/>
                <w:sz w:val="20"/>
                <w:szCs w:val="20"/>
                <w:lang w:val="en-GB"/>
              </w:rPr>
              <w:t>)</w:t>
            </w:r>
          </w:p>
        </w:tc>
      </w:tr>
    </w:tbl>
    <w:p w14:paraId="67FC6AAF" w14:textId="68D03E6A" w:rsidR="00173FF4" w:rsidRDefault="00AA449C" w:rsidP="00763A44">
      <w:pPr>
        <w:tabs>
          <w:tab w:val="left" w:pos="871"/>
        </w:tabs>
        <w:spacing w:line="480" w:lineRule="auto"/>
        <w:jc w:val="both"/>
        <w:rPr>
          <w:rFonts w:ascii="Times New Roman" w:hAnsi="Times New Roman" w:cs="Times New Roman"/>
        </w:rPr>
      </w:pPr>
      <w:r w:rsidRPr="005E2A00">
        <w:rPr>
          <w:rFonts w:ascii="Times New Roman" w:hAnsi="Times New Roman" w:cs="Times New Roman"/>
          <w:vertAlign w:val="superscript"/>
        </w:rPr>
        <w:t xml:space="preserve">1 </w:t>
      </w:r>
      <w:r>
        <w:rPr>
          <w:rFonts w:ascii="Times New Roman" w:hAnsi="Times New Roman" w:cs="Times New Roman"/>
        </w:rPr>
        <w:t>Please see methods section for how these exposed were imputed</w:t>
      </w:r>
    </w:p>
    <w:p w14:paraId="2F0183D0" w14:textId="10B66173" w:rsidR="006A4ECC" w:rsidRDefault="0005265E" w:rsidP="00763A44">
      <w:pPr>
        <w:tabs>
          <w:tab w:val="left" w:pos="871"/>
        </w:tabs>
        <w:spacing w:line="480" w:lineRule="auto"/>
        <w:jc w:val="both"/>
        <w:rPr>
          <w:rFonts w:ascii="Times New Roman" w:hAnsi="Times New Roman" w:cs="Times New Roman"/>
        </w:rPr>
      </w:pPr>
      <w:r>
        <w:rPr>
          <w:rFonts w:ascii="Times New Roman" w:hAnsi="Times New Roman" w:cs="Times New Roman"/>
        </w:rPr>
        <w:t>Note: table represents single multivariate model</w:t>
      </w:r>
    </w:p>
    <w:p w14:paraId="6432E708" w14:textId="27608EF6" w:rsidR="0005265E" w:rsidRDefault="0005265E" w:rsidP="0005265E">
      <w:pPr>
        <w:spacing w:line="480" w:lineRule="auto"/>
        <w:jc w:val="both"/>
        <w:rPr>
          <w:rFonts w:ascii="Times New Roman" w:hAnsi="Times New Roman" w:cs="Times New Roman"/>
        </w:rPr>
      </w:pPr>
      <w:r w:rsidRPr="000408E8">
        <w:rPr>
          <w:rFonts w:ascii="Times New Roman" w:hAnsi="Times New Roman" w:cs="Times New Roman"/>
        </w:rPr>
        <w:lastRenderedPageBreak/>
        <w:t>OP=osteoporosis</w:t>
      </w:r>
    </w:p>
    <w:p w14:paraId="70700EA4" w14:textId="77777777" w:rsidR="00FE4B36" w:rsidRDefault="00AA0433">
      <w:pPr>
        <w:rPr>
          <w:rFonts w:ascii="Times New Roman" w:hAnsi="Times New Roman" w:cs="Times New Roman"/>
          <w:b/>
        </w:rPr>
        <w:sectPr w:rsidR="00FE4B36" w:rsidSect="0053361C">
          <w:pgSz w:w="11900" w:h="16840" w:code="9"/>
          <w:pgMar w:top="1440" w:right="1800" w:bottom="1440" w:left="1800" w:header="708" w:footer="708" w:gutter="0"/>
          <w:cols w:space="708"/>
          <w:docGrid w:linePitch="360"/>
        </w:sectPr>
      </w:pPr>
      <w:r>
        <w:rPr>
          <w:rFonts w:ascii="Times New Roman" w:hAnsi="Times New Roman" w:cs="Times New Roman"/>
          <w:b/>
        </w:rPr>
        <w:br w:type="page"/>
      </w:r>
    </w:p>
    <w:p w14:paraId="1642FDA2" w14:textId="4A052B20" w:rsidR="006256B7" w:rsidRPr="009A1578" w:rsidRDefault="008B7095" w:rsidP="00FE4B36">
      <w:pPr>
        <w:tabs>
          <w:tab w:val="left" w:pos="871"/>
        </w:tabs>
        <w:spacing w:line="480" w:lineRule="auto"/>
        <w:jc w:val="both"/>
        <w:rPr>
          <w:rFonts w:ascii="Times New Roman" w:hAnsi="Times New Roman" w:cs="Times New Roman"/>
        </w:rPr>
      </w:pPr>
      <w:r w:rsidRPr="009A1578">
        <w:rPr>
          <w:rFonts w:ascii="Times New Roman" w:hAnsi="Times New Roman" w:cs="Times New Roman"/>
        </w:rPr>
        <w:lastRenderedPageBreak/>
        <w:t xml:space="preserve">Figure 1 – Secular trends </w:t>
      </w:r>
      <w:r w:rsidR="009B7ADA" w:rsidRPr="009A1578">
        <w:rPr>
          <w:rFonts w:ascii="Times New Roman" w:hAnsi="Times New Roman" w:cs="Times New Roman"/>
        </w:rPr>
        <w:t>of association between area of residence</w:t>
      </w:r>
      <w:r w:rsidR="003C1240" w:rsidRPr="009A1578">
        <w:rPr>
          <w:rFonts w:ascii="Times New Roman" w:hAnsi="Times New Roman" w:cs="Times New Roman"/>
        </w:rPr>
        <w:t xml:space="preserve"> (urbanisation)</w:t>
      </w:r>
      <w:r w:rsidR="009B7ADA" w:rsidRPr="009A1578">
        <w:rPr>
          <w:rFonts w:ascii="Times New Roman" w:hAnsi="Times New Roman" w:cs="Times New Roman"/>
        </w:rPr>
        <w:t xml:space="preserve"> and risk of fracture </w:t>
      </w:r>
      <w:r w:rsidRPr="009A1578">
        <w:rPr>
          <w:rFonts w:ascii="Times New Roman" w:hAnsi="Times New Roman" w:cs="Times New Roman"/>
        </w:rPr>
        <w:t xml:space="preserve">for </w:t>
      </w:r>
      <w:r w:rsidRPr="009A1578">
        <w:rPr>
          <w:rFonts w:ascii="Times New Roman" w:hAnsi="Times New Roman" w:cs="Times New Roman"/>
          <w:noProof/>
        </w:rPr>
        <w:t>three time</w:t>
      </w:r>
      <w:r w:rsidRPr="009A1578">
        <w:rPr>
          <w:rFonts w:ascii="Times New Roman" w:hAnsi="Times New Roman" w:cs="Times New Roman"/>
        </w:rPr>
        <w:t xml:space="preserve"> intervals</w:t>
      </w:r>
      <w:r w:rsidR="009B7ADA" w:rsidRPr="009A1578">
        <w:rPr>
          <w:rFonts w:ascii="Times New Roman" w:hAnsi="Times New Roman" w:cs="Times New Roman"/>
        </w:rPr>
        <w:t xml:space="preserve">. </w:t>
      </w:r>
      <w:r w:rsidR="00512F91" w:rsidRPr="009A1578">
        <w:rPr>
          <w:rFonts w:ascii="Times New Roman" w:hAnsi="Times New Roman" w:cs="Times New Roman"/>
        </w:rPr>
        <w:t>Star (</w:t>
      </w:r>
      <w:r w:rsidR="009B7ADA" w:rsidRPr="009A1578">
        <w:rPr>
          <w:rFonts w:ascii="Times New Roman" w:hAnsi="Times New Roman" w:cs="Times New Roman"/>
        </w:rPr>
        <w:t>*</w:t>
      </w:r>
      <w:r w:rsidR="00512F91" w:rsidRPr="009A1578">
        <w:rPr>
          <w:rFonts w:ascii="Times New Roman" w:hAnsi="Times New Roman" w:cs="Times New Roman"/>
        </w:rPr>
        <w:t>)</w:t>
      </w:r>
      <w:r w:rsidR="009B7ADA" w:rsidRPr="009A1578">
        <w:rPr>
          <w:rFonts w:ascii="Times New Roman" w:hAnsi="Times New Roman" w:cs="Times New Roman"/>
        </w:rPr>
        <w:t xml:space="preserve"> indicates statistical</w:t>
      </w:r>
      <w:r w:rsidR="003C1240" w:rsidRPr="009A1578">
        <w:rPr>
          <w:rFonts w:ascii="Times New Roman" w:hAnsi="Times New Roman" w:cs="Times New Roman"/>
        </w:rPr>
        <w:t>ly</w:t>
      </w:r>
      <w:r w:rsidR="009B7ADA" w:rsidRPr="009A1578">
        <w:rPr>
          <w:rFonts w:ascii="Times New Roman" w:hAnsi="Times New Roman" w:cs="Times New Roman"/>
        </w:rPr>
        <w:t xml:space="preserve"> significant </w:t>
      </w:r>
      <w:r w:rsidR="00512F91" w:rsidRPr="009A1578">
        <w:rPr>
          <w:rFonts w:ascii="Times New Roman" w:hAnsi="Times New Roman" w:cs="Times New Roman"/>
        </w:rPr>
        <w:t>difference for intermediate vs remote residence; p-value&lt;0.0</w:t>
      </w:r>
      <w:r w:rsidR="00056ADC" w:rsidRPr="009A1578">
        <w:rPr>
          <w:rFonts w:ascii="Times New Roman" w:hAnsi="Times New Roman" w:cs="Times New Roman"/>
        </w:rPr>
        <w:t>001</w:t>
      </w:r>
      <w:r w:rsidR="00512F91" w:rsidRPr="009A1578">
        <w:rPr>
          <w:rFonts w:ascii="Times New Roman" w:hAnsi="Times New Roman" w:cs="Times New Roman"/>
        </w:rPr>
        <w:t>.</w:t>
      </w:r>
    </w:p>
    <w:tbl>
      <w:tblPr>
        <w:tblStyle w:val="TableGrid"/>
        <w:tblW w:w="13890" w:type="dxa"/>
        <w:tblCellMar>
          <w:left w:w="70" w:type="dxa"/>
          <w:right w:w="70" w:type="dxa"/>
        </w:tblCellMar>
        <w:tblLook w:val="04A0" w:firstRow="1" w:lastRow="0" w:firstColumn="1" w:lastColumn="0" w:noHBand="0" w:noVBand="1"/>
      </w:tblPr>
      <w:tblGrid>
        <w:gridCol w:w="13890"/>
      </w:tblGrid>
      <w:tr w:rsidR="006256B7" w14:paraId="7DABC0FC" w14:textId="77777777" w:rsidTr="00D02FD6">
        <w:tc>
          <w:tcPr>
            <w:tcW w:w="13890" w:type="dxa"/>
          </w:tcPr>
          <w:p w14:paraId="28C08B46" w14:textId="5324E387" w:rsidR="006256B7" w:rsidRDefault="00D02FD6" w:rsidP="00FE4B36">
            <w:pPr>
              <w:tabs>
                <w:tab w:val="left" w:pos="871"/>
              </w:tabs>
              <w:spacing w:line="480" w:lineRule="auto"/>
              <w:jc w:val="both"/>
              <w:rPr>
                <w:rFonts w:ascii="Times New Roman" w:hAnsi="Times New Roman" w:cs="Times New Roman"/>
              </w:rPr>
            </w:pPr>
            <w:r>
              <w:rPr>
                <w:rFonts w:ascii="Times New Roman" w:hAnsi="Times New Roman" w:cs="Times New Roman"/>
                <w:noProof/>
                <w:lang w:val="en-GB" w:eastAsia="en-GB"/>
              </w:rPr>
              <w:drawing>
                <wp:anchor distT="0" distB="0" distL="114300" distR="114300" simplePos="0" relativeHeight="251659264" behindDoc="0" locked="0" layoutInCell="1" allowOverlap="1" wp14:anchorId="47CAED21" wp14:editId="21183513">
                  <wp:simplePos x="0" y="0"/>
                  <wp:positionH relativeFrom="column">
                    <wp:posOffset>5994070</wp:posOffset>
                  </wp:positionH>
                  <wp:positionV relativeFrom="paragraph">
                    <wp:posOffset>995680</wp:posOffset>
                  </wp:positionV>
                  <wp:extent cx="680313" cy="160559"/>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313" cy="160559"/>
                          </a:xfrm>
                          <a:prstGeom prst="rect">
                            <a:avLst/>
                          </a:prstGeom>
                          <a:noFill/>
                        </pic:spPr>
                      </pic:pic>
                    </a:graphicData>
                  </a:graphic>
                  <wp14:sizeRelH relativeFrom="page">
                    <wp14:pctWidth>0</wp14:pctWidth>
                  </wp14:sizeRelH>
                  <wp14:sizeRelV relativeFrom="page">
                    <wp14:pctHeight>0</wp14:pctHeight>
                  </wp14:sizeRelV>
                </wp:anchor>
              </w:drawing>
            </w:r>
            <w:r w:rsidR="0062071A">
              <w:rPr>
                <w:rFonts w:ascii="Times New Roman" w:hAnsi="Times New Roman" w:cs="Times New Roman"/>
                <w:noProof/>
                <w:lang w:val="en-GB" w:eastAsia="en-GB"/>
              </w:rPr>
              <w:drawing>
                <wp:inline distT="0" distB="0" distL="0" distR="0" wp14:anchorId="1CE016A4" wp14:editId="73D760C4">
                  <wp:extent cx="2654623" cy="248663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151" cy="2531151"/>
                          </a:xfrm>
                          <a:prstGeom prst="rect">
                            <a:avLst/>
                          </a:prstGeom>
                          <a:noFill/>
                        </pic:spPr>
                      </pic:pic>
                    </a:graphicData>
                  </a:graphic>
                </wp:inline>
              </w:drawing>
            </w:r>
            <w:r w:rsidR="0062071A">
              <w:rPr>
                <w:noProof/>
                <w:lang w:val="en-GB" w:eastAsia="en-GB"/>
              </w:rPr>
              <w:drawing>
                <wp:inline distT="0" distB="0" distL="0" distR="0" wp14:anchorId="1A92E71D" wp14:editId="01CA43EA">
                  <wp:extent cx="2648849" cy="248668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1795" cy="2536391"/>
                          </a:xfrm>
                          <a:prstGeom prst="rect">
                            <a:avLst/>
                          </a:prstGeom>
                          <a:noFill/>
                        </pic:spPr>
                      </pic:pic>
                    </a:graphicData>
                  </a:graphic>
                </wp:inline>
              </w:drawing>
            </w:r>
            <w:r>
              <w:rPr>
                <w:rFonts w:ascii="Times New Roman" w:hAnsi="Times New Roman" w:cs="Times New Roman"/>
                <w:noProof/>
                <w:lang w:val="en-GB" w:eastAsia="en-GB"/>
              </w:rPr>
              <w:drawing>
                <wp:inline distT="0" distB="0" distL="0" distR="0" wp14:anchorId="3A3CBCA9" wp14:editId="4D3AD903">
                  <wp:extent cx="3357245" cy="249181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2492" cy="2495704"/>
                          </a:xfrm>
                          <a:prstGeom prst="rect">
                            <a:avLst/>
                          </a:prstGeom>
                          <a:noFill/>
                        </pic:spPr>
                      </pic:pic>
                    </a:graphicData>
                  </a:graphic>
                </wp:inline>
              </w:drawing>
            </w:r>
          </w:p>
        </w:tc>
      </w:tr>
    </w:tbl>
    <w:p w14:paraId="34873A94" w14:textId="77777777" w:rsidR="00F4386B" w:rsidRDefault="00F4386B" w:rsidP="00FE4B36">
      <w:pPr>
        <w:tabs>
          <w:tab w:val="left" w:pos="871"/>
        </w:tabs>
        <w:spacing w:line="480" w:lineRule="auto"/>
        <w:jc w:val="both"/>
        <w:rPr>
          <w:rFonts w:ascii="Times New Roman" w:hAnsi="Times New Roman" w:cs="Times New Roman"/>
        </w:rPr>
      </w:pPr>
    </w:p>
    <w:p w14:paraId="031FC9E8" w14:textId="77777777" w:rsidR="00F4386B" w:rsidRDefault="00F4386B">
      <w:pPr>
        <w:rPr>
          <w:rFonts w:ascii="Times New Roman" w:hAnsi="Times New Roman" w:cs="Times New Roman"/>
        </w:rPr>
      </w:pPr>
      <w:r>
        <w:rPr>
          <w:rFonts w:ascii="Times New Roman" w:hAnsi="Times New Roman" w:cs="Times New Roman"/>
        </w:rPr>
        <w:br w:type="page"/>
      </w:r>
    </w:p>
    <w:p w14:paraId="1118018E" w14:textId="42DF146F" w:rsidR="007877B3" w:rsidRPr="009A1578" w:rsidRDefault="007877B3" w:rsidP="00FE4B36">
      <w:pPr>
        <w:tabs>
          <w:tab w:val="left" w:pos="871"/>
        </w:tabs>
        <w:spacing w:line="480" w:lineRule="auto"/>
        <w:jc w:val="both"/>
        <w:rPr>
          <w:rFonts w:ascii="Times New Roman" w:hAnsi="Times New Roman" w:cs="Times New Roman"/>
        </w:rPr>
      </w:pPr>
      <w:r w:rsidRPr="009A1578">
        <w:rPr>
          <w:rFonts w:ascii="Times New Roman" w:hAnsi="Times New Roman" w:cs="Times New Roman"/>
        </w:rPr>
        <w:lastRenderedPageBreak/>
        <w:t xml:space="preserve">Figure 2 - Secular trends of association between </w:t>
      </w:r>
      <w:r w:rsidR="00C24D9A" w:rsidRPr="009A1578">
        <w:rPr>
          <w:rFonts w:ascii="Times New Roman" w:hAnsi="Times New Roman" w:cs="Times New Roman"/>
        </w:rPr>
        <w:t>marital status</w:t>
      </w:r>
      <w:r w:rsidRPr="009A1578">
        <w:rPr>
          <w:rFonts w:ascii="Times New Roman" w:hAnsi="Times New Roman" w:cs="Times New Roman"/>
        </w:rPr>
        <w:t xml:space="preserve"> and risk of fracture for </w:t>
      </w:r>
      <w:r w:rsidRPr="009A1578">
        <w:rPr>
          <w:rFonts w:ascii="Times New Roman" w:hAnsi="Times New Roman" w:cs="Times New Roman"/>
          <w:noProof/>
        </w:rPr>
        <w:t>three time</w:t>
      </w:r>
      <w:r w:rsidRPr="009A1578">
        <w:rPr>
          <w:rFonts w:ascii="Times New Roman" w:hAnsi="Times New Roman" w:cs="Times New Roman"/>
        </w:rPr>
        <w:t xml:space="preserve"> intervals. </w:t>
      </w:r>
    </w:p>
    <w:tbl>
      <w:tblPr>
        <w:tblStyle w:val="TableGrid"/>
        <w:tblW w:w="0" w:type="auto"/>
        <w:tblLook w:val="04A0" w:firstRow="1" w:lastRow="0" w:firstColumn="1" w:lastColumn="0" w:noHBand="0" w:noVBand="1"/>
      </w:tblPr>
      <w:tblGrid>
        <w:gridCol w:w="13950"/>
      </w:tblGrid>
      <w:tr w:rsidR="007877B3" w14:paraId="71AEE444" w14:textId="0CE7DBDC" w:rsidTr="007877B3">
        <w:tc>
          <w:tcPr>
            <w:tcW w:w="13950" w:type="dxa"/>
          </w:tcPr>
          <w:p w14:paraId="27E75B86" w14:textId="31D436E4" w:rsidR="007877B3" w:rsidRDefault="00D02FD6" w:rsidP="00FE4B36">
            <w:pPr>
              <w:tabs>
                <w:tab w:val="left" w:pos="871"/>
              </w:tabs>
              <w:spacing w:line="480"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152AFFA8" wp14:editId="6914A329">
                  <wp:extent cx="2573229" cy="22170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8201" cy="2247212"/>
                          </a:xfrm>
                          <a:prstGeom prst="rect">
                            <a:avLst/>
                          </a:prstGeom>
                          <a:noFill/>
                        </pic:spPr>
                      </pic:pic>
                    </a:graphicData>
                  </a:graphic>
                </wp:inline>
              </w:drawing>
            </w:r>
            <w:r>
              <w:rPr>
                <w:rFonts w:ascii="Times New Roman" w:hAnsi="Times New Roman" w:cs="Times New Roman"/>
                <w:noProof/>
                <w:lang w:val="en-GB" w:eastAsia="en-GB"/>
              </w:rPr>
              <w:drawing>
                <wp:inline distT="0" distB="0" distL="0" distR="0" wp14:anchorId="664318A3" wp14:editId="04897A29">
                  <wp:extent cx="2578113" cy="221844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2549" cy="2239475"/>
                          </a:xfrm>
                          <a:prstGeom prst="rect">
                            <a:avLst/>
                          </a:prstGeom>
                          <a:noFill/>
                        </pic:spPr>
                      </pic:pic>
                    </a:graphicData>
                  </a:graphic>
                </wp:inline>
              </w:drawing>
            </w:r>
            <w:r w:rsidR="002A66F2">
              <w:rPr>
                <w:rFonts w:ascii="Times New Roman" w:hAnsi="Times New Roman" w:cs="Times New Roman"/>
                <w:noProof/>
                <w:lang w:val="en-GB" w:eastAsia="en-GB"/>
              </w:rPr>
              <w:drawing>
                <wp:inline distT="0" distB="0" distL="0" distR="0" wp14:anchorId="66AB0F67" wp14:editId="749A3835">
                  <wp:extent cx="3259428" cy="221633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6472" cy="2255120"/>
                          </a:xfrm>
                          <a:prstGeom prst="rect">
                            <a:avLst/>
                          </a:prstGeom>
                          <a:noFill/>
                        </pic:spPr>
                      </pic:pic>
                    </a:graphicData>
                  </a:graphic>
                </wp:inline>
              </w:drawing>
            </w:r>
          </w:p>
        </w:tc>
      </w:tr>
    </w:tbl>
    <w:p w14:paraId="276ABBE4" w14:textId="2E617D42" w:rsidR="007877B3" w:rsidRDefault="007877B3" w:rsidP="00FE4B36">
      <w:pPr>
        <w:tabs>
          <w:tab w:val="left" w:pos="871"/>
        </w:tabs>
        <w:spacing w:line="480" w:lineRule="auto"/>
        <w:jc w:val="both"/>
        <w:rPr>
          <w:rFonts w:ascii="Times New Roman" w:hAnsi="Times New Roman" w:cs="Times New Roman"/>
        </w:rPr>
      </w:pPr>
    </w:p>
    <w:p w14:paraId="07AF096C" w14:textId="77777777" w:rsidR="00F4386B" w:rsidRDefault="00F4386B">
      <w:pPr>
        <w:rPr>
          <w:rFonts w:ascii="Times New Roman" w:hAnsi="Times New Roman" w:cs="Times New Roman"/>
        </w:rPr>
      </w:pPr>
      <w:r>
        <w:rPr>
          <w:rFonts w:ascii="Times New Roman" w:hAnsi="Times New Roman" w:cs="Times New Roman"/>
        </w:rPr>
        <w:br w:type="page"/>
      </w:r>
    </w:p>
    <w:p w14:paraId="6D0F2970" w14:textId="6A422C6C" w:rsidR="00F4386B" w:rsidRPr="009A1578" w:rsidRDefault="00F4386B" w:rsidP="00FE4B36">
      <w:pPr>
        <w:tabs>
          <w:tab w:val="left" w:pos="871"/>
        </w:tabs>
        <w:spacing w:line="480" w:lineRule="auto"/>
        <w:jc w:val="both"/>
        <w:rPr>
          <w:rFonts w:ascii="Times New Roman" w:hAnsi="Times New Roman" w:cs="Times New Roman"/>
        </w:rPr>
      </w:pPr>
      <w:r w:rsidRPr="009A1578">
        <w:rPr>
          <w:rFonts w:ascii="Times New Roman" w:hAnsi="Times New Roman" w:cs="Times New Roman"/>
        </w:rPr>
        <w:lastRenderedPageBreak/>
        <w:t xml:space="preserve">Figure 3 - Secular trends of association between income and risk of fracture for </w:t>
      </w:r>
      <w:r w:rsidRPr="009A1578">
        <w:rPr>
          <w:rFonts w:ascii="Times New Roman" w:hAnsi="Times New Roman" w:cs="Times New Roman"/>
          <w:noProof/>
        </w:rPr>
        <w:t>three time</w:t>
      </w:r>
      <w:r w:rsidRPr="009A1578">
        <w:rPr>
          <w:rFonts w:ascii="Times New Roman" w:hAnsi="Times New Roman" w:cs="Times New Roman"/>
        </w:rPr>
        <w:t xml:space="preserve"> intervals.</w:t>
      </w:r>
    </w:p>
    <w:tbl>
      <w:tblPr>
        <w:tblStyle w:val="TableGrid"/>
        <w:tblW w:w="0" w:type="auto"/>
        <w:tblLook w:val="04A0" w:firstRow="1" w:lastRow="0" w:firstColumn="1" w:lastColumn="0" w:noHBand="0" w:noVBand="1"/>
      </w:tblPr>
      <w:tblGrid>
        <w:gridCol w:w="13950"/>
      </w:tblGrid>
      <w:tr w:rsidR="00A2701D" w14:paraId="57B9401C" w14:textId="03AE78E2" w:rsidTr="00A2701D">
        <w:tc>
          <w:tcPr>
            <w:tcW w:w="13950" w:type="dxa"/>
          </w:tcPr>
          <w:p w14:paraId="0D6E3378" w14:textId="710CCD3D" w:rsidR="00A2701D" w:rsidRDefault="002A66F2" w:rsidP="00FE4B36">
            <w:pPr>
              <w:tabs>
                <w:tab w:val="left" w:pos="871"/>
              </w:tabs>
              <w:spacing w:line="480"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762A363F" wp14:editId="2D2348AC">
                  <wp:extent cx="2662527" cy="2553004"/>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3693" cy="2563710"/>
                          </a:xfrm>
                          <a:prstGeom prst="rect">
                            <a:avLst/>
                          </a:prstGeom>
                          <a:noFill/>
                        </pic:spPr>
                      </pic:pic>
                    </a:graphicData>
                  </a:graphic>
                </wp:inline>
              </w:drawing>
            </w:r>
            <w:r>
              <w:rPr>
                <w:rFonts w:ascii="Times New Roman" w:hAnsi="Times New Roman" w:cs="Times New Roman"/>
                <w:noProof/>
                <w:lang w:val="en-GB" w:eastAsia="en-GB"/>
              </w:rPr>
              <w:drawing>
                <wp:inline distT="0" distB="0" distL="0" distR="0" wp14:anchorId="625AA80E" wp14:editId="11C251C8">
                  <wp:extent cx="2672977" cy="25603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1766" cy="2587895"/>
                          </a:xfrm>
                          <a:prstGeom prst="rect">
                            <a:avLst/>
                          </a:prstGeom>
                          <a:noFill/>
                        </pic:spPr>
                      </pic:pic>
                    </a:graphicData>
                  </a:graphic>
                </wp:inline>
              </w:drawing>
            </w:r>
            <w:r>
              <w:rPr>
                <w:rFonts w:ascii="Times New Roman" w:hAnsi="Times New Roman" w:cs="Times New Roman"/>
                <w:noProof/>
                <w:lang w:val="en-GB" w:eastAsia="en-GB"/>
              </w:rPr>
              <w:drawing>
                <wp:inline distT="0" distB="0" distL="0" distR="0" wp14:anchorId="08BE1FF6" wp14:editId="29B60EF4">
                  <wp:extent cx="3362418" cy="25572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4030" cy="2581277"/>
                          </a:xfrm>
                          <a:prstGeom prst="rect">
                            <a:avLst/>
                          </a:prstGeom>
                          <a:noFill/>
                        </pic:spPr>
                      </pic:pic>
                    </a:graphicData>
                  </a:graphic>
                </wp:inline>
              </w:drawing>
            </w:r>
          </w:p>
        </w:tc>
      </w:tr>
    </w:tbl>
    <w:p w14:paraId="47DB861B" w14:textId="57602B99" w:rsidR="00C24D9A" w:rsidRDefault="00C24D9A" w:rsidP="00FE4B36">
      <w:pPr>
        <w:tabs>
          <w:tab w:val="left" w:pos="871"/>
        </w:tabs>
        <w:spacing w:line="480" w:lineRule="auto"/>
        <w:jc w:val="both"/>
        <w:rPr>
          <w:rFonts w:ascii="Times New Roman" w:hAnsi="Times New Roman" w:cs="Times New Roman"/>
        </w:rPr>
      </w:pPr>
    </w:p>
    <w:p w14:paraId="3818C327" w14:textId="21E101C4" w:rsidR="008126B0" w:rsidRDefault="008126B0">
      <w:pPr>
        <w:rPr>
          <w:rFonts w:ascii="Times New Roman" w:hAnsi="Times New Roman" w:cs="Times New Roman"/>
        </w:rPr>
      </w:pPr>
      <w:r>
        <w:rPr>
          <w:rFonts w:ascii="Times New Roman" w:hAnsi="Times New Roman" w:cs="Times New Roman"/>
        </w:rPr>
        <w:br w:type="page"/>
      </w:r>
    </w:p>
    <w:p w14:paraId="3C5F294F" w14:textId="13BD1F57" w:rsidR="00F67B48" w:rsidRPr="009A1578" w:rsidRDefault="00F67B48" w:rsidP="00F67B48">
      <w:pPr>
        <w:spacing w:line="360" w:lineRule="auto"/>
        <w:jc w:val="both"/>
        <w:rPr>
          <w:rFonts w:ascii="Times New Roman" w:hAnsi="Times New Roman" w:cs="Times New Roman"/>
        </w:rPr>
      </w:pPr>
      <w:r>
        <w:rPr>
          <w:rFonts w:ascii="Times New Roman" w:hAnsi="Times New Roman" w:cs="Times New Roman"/>
          <w:b/>
        </w:rPr>
        <w:lastRenderedPageBreak/>
        <w:t xml:space="preserve">Supplementary </w:t>
      </w:r>
      <w:r w:rsidRPr="009A1578">
        <w:rPr>
          <w:rFonts w:ascii="Times New Roman" w:hAnsi="Times New Roman" w:cs="Times New Roman"/>
          <w:b/>
        </w:rPr>
        <w:t xml:space="preserve">Table </w:t>
      </w:r>
      <w:r>
        <w:rPr>
          <w:rFonts w:ascii="Times New Roman" w:hAnsi="Times New Roman" w:cs="Times New Roman"/>
          <w:b/>
        </w:rPr>
        <w:t>1</w:t>
      </w:r>
      <w:r w:rsidRPr="009A1578">
        <w:rPr>
          <w:rFonts w:ascii="Times New Roman" w:hAnsi="Times New Roman" w:cs="Times New Roman"/>
          <w:b/>
        </w:rPr>
        <w:t xml:space="preserve">. </w:t>
      </w:r>
      <w:r>
        <w:rPr>
          <w:rFonts w:ascii="Times New Roman" w:hAnsi="Times New Roman" w:cs="Times New Roman"/>
        </w:rPr>
        <w:t>Demographics</w:t>
      </w:r>
      <w:r w:rsidR="00E06DE1">
        <w:rPr>
          <w:rFonts w:ascii="Times New Roman" w:hAnsi="Times New Roman" w:cs="Times New Roman"/>
        </w:rPr>
        <w:t xml:space="preserve">. </w:t>
      </w:r>
    </w:p>
    <w:p w14:paraId="500D870E" w14:textId="3AD9C37E" w:rsidR="00CB362C" w:rsidRDefault="00CB362C">
      <w:pPr>
        <w:rPr>
          <w:rFonts w:ascii="Times New Roman" w:hAnsi="Times New Roman" w:cs="Times New Roman"/>
        </w:rPr>
      </w:pPr>
    </w:p>
    <w:p w14:paraId="4F2D9D40" w14:textId="77777777" w:rsidR="00CB362C" w:rsidRDefault="00CB362C">
      <w:pPr>
        <w:rPr>
          <w:rFonts w:ascii="Times New Roman" w:hAnsi="Times New Roman" w:cs="Times New Roman"/>
        </w:rPr>
      </w:pPr>
    </w:p>
    <w:tbl>
      <w:tblPr>
        <w:tblStyle w:val="TableGrid"/>
        <w:tblW w:w="13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1843"/>
        <w:gridCol w:w="1819"/>
        <w:gridCol w:w="1922"/>
        <w:gridCol w:w="1905"/>
        <w:gridCol w:w="1922"/>
        <w:gridCol w:w="1905"/>
      </w:tblGrid>
      <w:tr w:rsidR="00CE33B0" w14:paraId="310639EE" w14:textId="77777777" w:rsidTr="00F67B48">
        <w:tc>
          <w:tcPr>
            <w:tcW w:w="2561" w:type="dxa"/>
            <w:tcBorders>
              <w:top w:val="single" w:sz="18" w:space="0" w:color="auto"/>
            </w:tcBorders>
          </w:tcPr>
          <w:p w14:paraId="37756AB1" w14:textId="77777777" w:rsidR="00CE33B0" w:rsidRDefault="00CE33B0" w:rsidP="00CE33B0">
            <w:pPr>
              <w:tabs>
                <w:tab w:val="left" w:pos="871"/>
              </w:tabs>
              <w:jc w:val="both"/>
              <w:rPr>
                <w:rFonts w:ascii="Times New Roman" w:hAnsi="Times New Roman" w:cs="Times New Roman"/>
              </w:rPr>
            </w:pPr>
          </w:p>
        </w:tc>
        <w:tc>
          <w:tcPr>
            <w:tcW w:w="3662" w:type="dxa"/>
            <w:gridSpan w:val="2"/>
            <w:tcBorders>
              <w:top w:val="single" w:sz="18" w:space="0" w:color="auto"/>
            </w:tcBorders>
          </w:tcPr>
          <w:p w14:paraId="1E776EC2" w14:textId="7BB5EC64" w:rsidR="00CE33B0" w:rsidRPr="00F67B48" w:rsidRDefault="00CE33B0" w:rsidP="00F67B48">
            <w:pPr>
              <w:jc w:val="center"/>
              <w:rPr>
                <w:rFonts w:ascii="Times New Roman" w:eastAsia="Times New Roman" w:hAnsi="Times New Roman" w:cs="Times New Roman"/>
                <w:b/>
                <w:bCs/>
                <w:color w:val="000000"/>
                <w:sz w:val="20"/>
                <w:szCs w:val="16"/>
                <w:lang w:val="en-GB"/>
              </w:rPr>
            </w:pPr>
            <w:r w:rsidRPr="00F67B48">
              <w:rPr>
                <w:rFonts w:ascii="Times New Roman" w:eastAsia="Times New Roman" w:hAnsi="Times New Roman" w:cs="Times New Roman"/>
                <w:b/>
                <w:bCs/>
                <w:color w:val="000000"/>
                <w:sz w:val="20"/>
                <w:szCs w:val="16"/>
                <w:lang w:val="en-GB"/>
              </w:rPr>
              <w:t>Hip fractures</w:t>
            </w:r>
          </w:p>
        </w:tc>
        <w:tc>
          <w:tcPr>
            <w:tcW w:w="3827" w:type="dxa"/>
            <w:gridSpan w:val="2"/>
            <w:tcBorders>
              <w:top w:val="single" w:sz="18" w:space="0" w:color="auto"/>
            </w:tcBorders>
          </w:tcPr>
          <w:p w14:paraId="56131743" w14:textId="20CF5802" w:rsidR="00CE33B0" w:rsidRPr="00F67B48" w:rsidRDefault="00CE33B0" w:rsidP="00F67B48">
            <w:pPr>
              <w:tabs>
                <w:tab w:val="left" w:pos="871"/>
              </w:tabs>
              <w:jc w:val="center"/>
              <w:rPr>
                <w:rFonts w:ascii="Times New Roman" w:eastAsia="Times New Roman" w:hAnsi="Times New Roman" w:cs="Times New Roman"/>
                <w:b/>
                <w:bCs/>
                <w:color w:val="000000"/>
                <w:sz w:val="20"/>
                <w:szCs w:val="16"/>
                <w:lang w:val="en-GB"/>
              </w:rPr>
            </w:pPr>
            <w:r w:rsidRPr="00F67B48">
              <w:rPr>
                <w:rFonts w:ascii="Times New Roman" w:eastAsia="Times New Roman" w:hAnsi="Times New Roman" w:cs="Times New Roman"/>
                <w:b/>
                <w:bCs/>
                <w:color w:val="000000"/>
                <w:sz w:val="20"/>
                <w:szCs w:val="16"/>
                <w:lang w:val="en-GB"/>
              </w:rPr>
              <w:t>Humerus fracture</w:t>
            </w:r>
          </w:p>
        </w:tc>
        <w:tc>
          <w:tcPr>
            <w:tcW w:w="3827" w:type="dxa"/>
            <w:gridSpan w:val="2"/>
            <w:tcBorders>
              <w:top w:val="single" w:sz="18" w:space="0" w:color="auto"/>
            </w:tcBorders>
          </w:tcPr>
          <w:p w14:paraId="2DCD1E0A" w14:textId="7565C34D" w:rsidR="00CE33B0" w:rsidRPr="00F67B48" w:rsidRDefault="00CE33B0" w:rsidP="00F67B48">
            <w:pPr>
              <w:tabs>
                <w:tab w:val="left" w:pos="871"/>
              </w:tabs>
              <w:jc w:val="center"/>
              <w:rPr>
                <w:rFonts w:ascii="Times New Roman" w:eastAsia="Times New Roman" w:hAnsi="Times New Roman" w:cs="Times New Roman"/>
                <w:b/>
                <w:bCs/>
                <w:color w:val="000000"/>
                <w:sz w:val="20"/>
                <w:szCs w:val="16"/>
                <w:lang w:val="en-GB"/>
              </w:rPr>
            </w:pPr>
            <w:r w:rsidRPr="00F67B48">
              <w:rPr>
                <w:rFonts w:ascii="Times New Roman" w:eastAsia="Times New Roman" w:hAnsi="Times New Roman" w:cs="Times New Roman"/>
                <w:b/>
                <w:bCs/>
                <w:color w:val="000000"/>
                <w:sz w:val="20"/>
                <w:szCs w:val="16"/>
                <w:lang w:val="en-GB"/>
              </w:rPr>
              <w:t>Wrist fracture</w:t>
            </w:r>
          </w:p>
        </w:tc>
      </w:tr>
      <w:tr w:rsidR="002B1652" w14:paraId="1A853E9B" w14:textId="77777777" w:rsidTr="002B1652">
        <w:tc>
          <w:tcPr>
            <w:tcW w:w="2561" w:type="dxa"/>
            <w:tcBorders>
              <w:bottom w:val="single" w:sz="4" w:space="0" w:color="auto"/>
            </w:tcBorders>
          </w:tcPr>
          <w:p w14:paraId="761F1C09" w14:textId="77777777" w:rsidR="00CE33B0" w:rsidRDefault="00CE33B0" w:rsidP="00F67B48">
            <w:pPr>
              <w:tabs>
                <w:tab w:val="left" w:pos="871"/>
              </w:tabs>
              <w:jc w:val="both"/>
              <w:rPr>
                <w:rFonts w:ascii="Times New Roman" w:hAnsi="Times New Roman" w:cs="Times New Roman"/>
              </w:rPr>
            </w:pPr>
          </w:p>
        </w:tc>
        <w:tc>
          <w:tcPr>
            <w:tcW w:w="1843" w:type="dxa"/>
            <w:tcBorders>
              <w:bottom w:val="single" w:sz="4" w:space="0" w:color="auto"/>
            </w:tcBorders>
          </w:tcPr>
          <w:p w14:paraId="2283706C" w14:textId="0DA2DFBE" w:rsidR="00CE33B0" w:rsidRPr="00F67B48" w:rsidRDefault="00CE33B0" w:rsidP="00F67B48">
            <w:pPr>
              <w:tabs>
                <w:tab w:val="left" w:pos="871"/>
              </w:tabs>
              <w:jc w:val="right"/>
              <w:rPr>
                <w:rFonts w:ascii="Times New Roman" w:hAnsi="Times New Roman" w:cs="Times New Roman"/>
                <w:sz w:val="20"/>
              </w:rPr>
            </w:pPr>
            <w:r w:rsidRPr="00F67B48">
              <w:rPr>
                <w:rFonts w:ascii="Times New Roman" w:hAnsi="Times New Roman" w:cs="Times New Roman"/>
                <w:sz w:val="20"/>
              </w:rPr>
              <w:t xml:space="preserve">Included </w:t>
            </w:r>
            <w:r w:rsidR="002B1652" w:rsidRPr="00587FB4">
              <w:rPr>
                <w:rFonts w:ascii="Times New Roman" w:hAnsi="Times New Roman" w:cs="Times New Roman"/>
                <w:sz w:val="20"/>
              </w:rPr>
              <w:t>population</w:t>
            </w:r>
          </w:p>
        </w:tc>
        <w:tc>
          <w:tcPr>
            <w:tcW w:w="1819" w:type="dxa"/>
            <w:tcBorders>
              <w:bottom w:val="single" w:sz="4" w:space="0" w:color="auto"/>
            </w:tcBorders>
          </w:tcPr>
          <w:p w14:paraId="277CA00D" w14:textId="4E493B40" w:rsidR="00CE33B0" w:rsidRPr="00F67B48" w:rsidRDefault="00587FB4" w:rsidP="00F67B48">
            <w:pPr>
              <w:tabs>
                <w:tab w:val="left" w:pos="871"/>
              </w:tabs>
              <w:jc w:val="right"/>
              <w:rPr>
                <w:rFonts w:ascii="Times New Roman" w:hAnsi="Times New Roman" w:cs="Times New Roman"/>
                <w:sz w:val="20"/>
              </w:rPr>
            </w:pPr>
            <w:r w:rsidRPr="00587FB4">
              <w:rPr>
                <w:rFonts w:ascii="Times New Roman" w:hAnsi="Times New Roman" w:cs="Times New Roman"/>
                <w:sz w:val="20"/>
              </w:rPr>
              <w:t>Eligible population</w:t>
            </w:r>
          </w:p>
        </w:tc>
        <w:tc>
          <w:tcPr>
            <w:tcW w:w="1922" w:type="dxa"/>
            <w:tcBorders>
              <w:bottom w:val="single" w:sz="4" w:space="0" w:color="auto"/>
            </w:tcBorders>
          </w:tcPr>
          <w:p w14:paraId="7314CAC4" w14:textId="26D4EF2C" w:rsidR="00CE33B0" w:rsidRPr="00F67B48" w:rsidRDefault="00CE33B0" w:rsidP="00F67B48">
            <w:pPr>
              <w:tabs>
                <w:tab w:val="left" w:pos="871"/>
              </w:tabs>
              <w:jc w:val="right"/>
              <w:rPr>
                <w:rFonts w:ascii="Times New Roman" w:hAnsi="Times New Roman" w:cs="Times New Roman"/>
                <w:sz w:val="20"/>
              </w:rPr>
            </w:pPr>
            <w:r w:rsidRPr="00F67B48">
              <w:rPr>
                <w:rFonts w:ascii="Times New Roman" w:hAnsi="Times New Roman" w:cs="Times New Roman"/>
                <w:sz w:val="20"/>
              </w:rPr>
              <w:t xml:space="preserve">Included </w:t>
            </w:r>
            <w:r w:rsidR="002B1652" w:rsidRPr="00587FB4">
              <w:rPr>
                <w:rFonts w:ascii="Times New Roman" w:hAnsi="Times New Roman" w:cs="Times New Roman"/>
                <w:sz w:val="20"/>
              </w:rPr>
              <w:t>population</w:t>
            </w:r>
          </w:p>
        </w:tc>
        <w:tc>
          <w:tcPr>
            <w:tcW w:w="1905" w:type="dxa"/>
            <w:tcBorders>
              <w:bottom w:val="single" w:sz="4" w:space="0" w:color="auto"/>
            </w:tcBorders>
          </w:tcPr>
          <w:p w14:paraId="7FB3BC4F" w14:textId="11AE844E" w:rsidR="00CE33B0" w:rsidRPr="00F67B48" w:rsidRDefault="00CE33B0" w:rsidP="00F67B48">
            <w:pPr>
              <w:tabs>
                <w:tab w:val="left" w:pos="871"/>
              </w:tabs>
              <w:jc w:val="right"/>
              <w:rPr>
                <w:rFonts w:ascii="Times New Roman" w:hAnsi="Times New Roman" w:cs="Times New Roman"/>
                <w:sz w:val="20"/>
              </w:rPr>
            </w:pPr>
            <w:r w:rsidRPr="00F67B48">
              <w:rPr>
                <w:rFonts w:ascii="Times New Roman" w:hAnsi="Times New Roman" w:cs="Times New Roman"/>
                <w:sz w:val="20"/>
              </w:rPr>
              <w:t xml:space="preserve">Eligible population </w:t>
            </w:r>
          </w:p>
        </w:tc>
        <w:tc>
          <w:tcPr>
            <w:tcW w:w="1922" w:type="dxa"/>
            <w:tcBorders>
              <w:bottom w:val="single" w:sz="4" w:space="0" w:color="auto"/>
            </w:tcBorders>
          </w:tcPr>
          <w:p w14:paraId="2D4C0D53" w14:textId="1DC68B1B" w:rsidR="00CE33B0" w:rsidRPr="00F67B48" w:rsidRDefault="00CE33B0" w:rsidP="00F67B48">
            <w:pPr>
              <w:tabs>
                <w:tab w:val="left" w:pos="871"/>
              </w:tabs>
              <w:jc w:val="right"/>
              <w:rPr>
                <w:rFonts w:ascii="Times New Roman" w:hAnsi="Times New Roman" w:cs="Times New Roman"/>
                <w:sz w:val="20"/>
              </w:rPr>
            </w:pPr>
            <w:r w:rsidRPr="00F67B48">
              <w:rPr>
                <w:rFonts w:ascii="Times New Roman" w:hAnsi="Times New Roman" w:cs="Times New Roman"/>
                <w:sz w:val="20"/>
              </w:rPr>
              <w:t xml:space="preserve">Included </w:t>
            </w:r>
            <w:r w:rsidR="002B1652" w:rsidRPr="00587FB4">
              <w:rPr>
                <w:rFonts w:ascii="Times New Roman" w:hAnsi="Times New Roman" w:cs="Times New Roman"/>
                <w:sz w:val="20"/>
              </w:rPr>
              <w:t>population</w:t>
            </w:r>
          </w:p>
        </w:tc>
        <w:tc>
          <w:tcPr>
            <w:tcW w:w="1905" w:type="dxa"/>
            <w:tcBorders>
              <w:bottom w:val="single" w:sz="4" w:space="0" w:color="auto"/>
            </w:tcBorders>
          </w:tcPr>
          <w:p w14:paraId="59A7EEE9" w14:textId="0779CF9D" w:rsidR="00CE33B0" w:rsidRPr="00F67B48" w:rsidRDefault="00CE33B0" w:rsidP="00F67B48">
            <w:pPr>
              <w:tabs>
                <w:tab w:val="left" w:pos="871"/>
              </w:tabs>
              <w:jc w:val="right"/>
              <w:rPr>
                <w:rFonts w:ascii="Times New Roman" w:hAnsi="Times New Roman" w:cs="Times New Roman"/>
                <w:sz w:val="20"/>
              </w:rPr>
            </w:pPr>
            <w:r w:rsidRPr="00F67B48">
              <w:rPr>
                <w:rFonts w:ascii="Times New Roman" w:hAnsi="Times New Roman" w:cs="Times New Roman"/>
                <w:sz w:val="20"/>
              </w:rPr>
              <w:t xml:space="preserve">Eligible population </w:t>
            </w:r>
          </w:p>
        </w:tc>
      </w:tr>
      <w:tr w:rsidR="00587FB4" w14:paraId="52A4F82B" w14:textId="77777777" w:rsidTr="00F67B48">
        <w:tc>
          <w:tcPr>
            <w:tcW w:w="2561" w:type="dxa"/>
            <w:tcBorders>
              <w:bottom w:val="single" w:sz="4" w:space="0" w:color="auto"/>
            </w:tcBorders>
          </w:tcPr>
          <w:p w14:paraId="05114A18" w14:textId="6FE1CF93" w:rsidR="00587FB4" w:rsidRDefault="00587FB4" w:rsidP="00CE33B0">
            <w:pPr>
              <w:tabs>
                <w:tab w:val="left" w:pos="871"/>
              </w:tabs>
              <w:jc w:val="both"/>
              <w:rPr>
                <w:rFonts w:ascii="Times New Roman" w:hAnsi="Times New Roman" w:cs="Times New Roman"/>
              </w:rPr>
            </w:pPr>
            <w:r w:rsidRPr="00F67B48">
              <w:rPr>
                <w:rFonts w:ascii="Times New Roman" w:hAnsi="Times New Roman" w:cs="Times New Roman"/>
                <w:sz w:val="20"/>
              </w:rPr>
              <w:t>N</w:t>
            </w:r>
          </w:p>
        </w:tc>
        <w:tc>
          <w:tcPr>
            <w:tcW w:w="1843" w:type="dxa"/>
            <w:tcBorders>
              <w:bottom w:val="single" w:sz="4" w:space="0" w:color="auto"/>
            </w:tcBorders>
          </w:tcPr>
          <w:p w14:paraId="03541E17" w14:textId="17F4B2A7" w:rsidR="00587FB4" w:rsidRPr="00587FB4" w:rsidRDefault="00356EE5" w:rsidP="00F67B48">
            <w:pPr>
              <w:tabs>
                <w:tab w:val="left" w:pos="871"/>
              </w:tabs>
              <w:jc w:val="right"/>
              <w:rPr>
                <w:rFonts w:ascii="Times New Roman" w:hAnsi="Times New Roman" w:cs="Times New Roman"/>
                <w:sz w:val="20"/>
              </w:rPr>
            </w:pPr>
            <w:r>
              <w:rPr>
                <w:rFonts w:ascii="Times New Roman" w:hAnsi="Times New Roman" w:cs="Times New Roman"/>
                <w:sz w:val="20"/>
              </w:rPr>
              <w:t>75,000</w:t>
            </w:r>
          </w:p>
        </w:tc>
        <w:tc>
          <w:tcPr>
            <w:tcW w:w="1819" w:type="dxa"/>
            <w:tcBorders>
              <w:bottom w:val="single" w:sz="4" w:space="0" w:color="auto"/>
            </w:tcBorders>
          </w:tcPr>
          <w:p w14:paraId="4D1301A4" w14:textId="24449AF4" w:rsidR="00587FB4" w:rsidRPr="00356EE5" w:rsidRDefault="00356EE5" w:rsidP="00F67B48">
            <w:pPr>
              <w:tabs>
                <w:tab w:val="left" w:pos="871"/>
              </w:tabs>
              <w:jc w:val="right"/>
              <w:rPr>
                <w:rFonts w:ascii="Times New Roman" w:hAnsi="Times New Roman" w:cs="Times New Roman"/>
                <w:sz w:val="20"/>
              </w:rPr>
            </w:pPr>
            <w:r>
              <w:rPr>
                <w:rFonts w:ascii="Times New Roman" w:hAnsi="Times New Roman" w:cs="Times New Roman"/>
                <w:sz w:val="20"/>
              </w:rPr>
              <w:t>204,290</w:t>
            </w:r>
          </w:p>
        </w:tc>
        <w:tc>
          <w:tcPr>
            <w:tcW w:w="1922" w:type="dxa"/>
            <w:tcBorders>
              <w:bottom w:val="single" w:sz="4" w:space="0" w:color="auto"/>
            </w:tcBorders>
          </w:tcPr>
          <w:p w14:paraId="6D32CDA4" w14:textId="2811101B" w:rsidR="00587FB4" w:rsidRPr="00CF66A0" w:rsidRDefault="00CF66A0" w:rsidP="00F67B48">
            <w:pPr>
              <w:tabs>
                <w:tab w:val="left" w:pos="871"/>
              </w:tabs>
              <w:jc w:val="right"/>
              <w:rPr>
                <w:rFonts w:ascii="Times New Roman" w:hAnsi="Times New Roman" w:cs="Times New Roman"/>
                <w:sz w:val="20"/>
              </w:rPr>
            </w:pPr>
            <w:r>
              <w:rPr>
                <w:rFonts w:ascii="Times New Roman" w:hAnsi="Times New Roman" w:cs="Times New Roman"/>
                <w:sz w:val="20"/>
              </w:rPr>
              <w:t>91,204</w:t>
            </w:r>
          </w:p>
        </w:tc>
        <w:tc>
          <w:tcPr>
            <w:tcW w:w="1905" w:type="dxa"/>
            <w:tcBorders>
              <w:bottom w:val="single" w:sz="4" w:space="0" w:color="auto"/>
            </w:tcBorders>
          </w:tcPr>
          <w:p w14:paraId="5107EDFC" w14:textId="2722C4A7" w:rsidR="00587FB4" w:rsidRPr="00CF66A0" w:rsidRDefault="00CF66A0" w:rsidP="00F67B48">
            <w:pPr>
              <w:tabs>
                <w:tab w:val="left" w:pos="871"/>
              </w:tabs>
              <w:jc w:val="right"/>
              <w:rPr>
                <w:rFonts w:ascii="Times New Roman" w:hAnsi="Times New Roman" w:cs="Times New Roman"/>
                <w:sz w:val="20"/>
              </w:rPr>
            </w:pPr>
            <w:r>
              <w:rPr>
                <w:rFonts w:ascii="Times New Roman" w:hAnsi="Times New Roman" w:cs="Times New Roman"/>
                <w:sz w:val="20"/>
              </w:rPr>
              <w:t>164,532</w:t>
            </w:r>
          </w:p>
        </w:tc>
        <w:tc>
          <w:tcPr>
            <w:tcW w:w="1922" w:type="dxa"/>
            <w:tcBorders>
              <w:bottom w:val="single" w:sz="4" w:space="0" w:color="auto"/>
            </w:tcBorders>
          </w:tcPr>
          <w:p w14:paraId="3841BB7B" w14:textId="214C0C69" w:rsidR="00587FB4" w:rsidRPr="002B1652" w:rsidRDefault="002B1652" w:rsidP="00F67B48">
            <w:pPr>
              <w:tabs>
                <w:tab w:val="left" w:pos="871"/>
              </w:tabs>
              <w:jc w:val="right"/>
              <w:rPr>
                <w:rFonts w:ascii="Times New Roman" w:hAnsi="Times New Roman" w:cs="Times New Roman"/>
                <w:sz w:val="20"/>
              </w:rPr>
            </w:pPr>
            <w:r>
              <w:rPr>
                <w:rFonts w:ascii="Times New Roman" w:hAnsi="Times New Roman" w:cs="Times New Roman"/>
                <w:sz w:val="20"/>
              </w:rPr>
              <w:t>213,472</w:t>
            </w:r>
          </w:p>
        </w:tc>
        <w:tc>
          <w:tcPr>
            <w:tcW w:w="1905" w:type="dxa"/>
            <w:tcBorders>
              <w:bottom w:val="single" w:sz="4" w:space="0" w:color="auto"/>
            </w:tcBorders>
          </w:tcPr>
          <w:p w14:paraId="4CC23CD8" w14:textId="18E793DB" w:rsidR="00587FB4" w:rsidRPr="002B1652" w:rsidRDefault="002B1652" w:rsidP="00F67B48">
            <w:pPr>
              <w:tabs>
                <w:tab w:val="left" w:pos="871"/>
              </w:tabs>
              <w:jc w:val="right"/>
              <w:rPr>
                <w:rFonts w:ascii="Times New Roman" w:hAnsi="Times New Roman" w:cs="Times New Roman"/>
                <w:sz w:val="20"/>
              </w:rPr>
            </w:pPr>
            <w:r>
              <w:rPr>
                <w:rFonts w:ascii="Times New Roman" w:hAnsi="Times New Roman" w:cs="Times New Roman"/>
                <w:sz w:val="20"/>
              </w:rPr>
              <w:t>333,936</w:t>
            </w:r>
          </w:p>
        </w:tc>
      </w:tr>
      <w:tr w:rsidR="00587FB4" w14:paraId="0884F52F" w14:textId="77777777" w:rsidTr="00F67B48">
        <w:tc>
          <w:tcPr>
            <w:tcW w:w="2561" w:type="dxa"/>
            <w:tcBorders>
              <w:top w:val="single" w:sz="4" w:space="0" w:color="auto"/>
            </w:tcBorders>
            <w:vAlign w:val="center"/>
          </w:tcPr>
          <w:p w14:paraId="04BF919C" w14:textId="072F22B7" w:rsidR="00587FB4" w:rsidRPr="00F67B48" w:rsidRDefault="00587FB4" w:rsidP="00F67B48">
            <w:pPr>
              <w:tabs>
                <w:tab w:val="left" w:pos="871"/>
              </w:tabs>
              <w:jc w:val="both"/>
              <w:rPr>
                <w:rFonts w:ascii="Times New Roman" w:hAnsi="Times New Roman" w:cs="Times New Roman"/>
                <w:sz w:val="20"/>
              </w:rPr>
            </w:pPr>
            <w:r w:rsidRPr="00F67B48">
              <w:rPr>
                <w:rFonts w:ascii="Times New Roman" w:eastAsia="Times New Roman" w:hAnsi="Times New Roman" w:cs="Times New Roman"/>
                <w:b/>
                <w:bCs/>
                <w:color w:val="000000"/>
                <w:sz w:val="20"/>
                <w:szCs w:val="16"/>
                <w:lang w:val="en-GB"/>
              </w:rPr>
              <w:t>Matching variables</w:t>
            </w:r>
          </w:p>
        </w:tc>
        <w:tc>
          <w:tcPr>
            <w:tcW w:w="1843" w:type="dxa"/>
            <w:tcBorders>
              <w:top w:val="single" w:sz="4" w:space="0" w:color="auto"/>
            </w:tcBorders>
          </w:tcPr>
          <w:p w14:paraId="4441C438" w14:textId="77777777" w:rsidR="00587FB4" w:rsidRPr="00F67B48" w:rsidRDefault="00587FB4" w:rsidP="00F67B48">
            <w:pPr>
              <w:tabs>
                <w:tab w:val="left" w:pos="871"/>
              </w:tabs>
              <w:jc w:val="right"/>
              <w:rPr>
                <w:rFonts w:ascii="Times New Roman" w:hAnsi="Times New Roman" w:cs="Times New Roman"/>
                <w:sz w:val="20"/>
                <w:szCs w:val="20"/>
              </w:rPr>
            </w:pPr>
          </w:p>
        </w:tc>
        <w:tc>
          <w:tcPr>
            <w:tcW w:w="1819" w:type="dxa"/>
            <w:tcBorders>
              <w:top w:val="single" w:sz="4" w:space="0" w:color="auto"/>
            </w:tcBorders>
          </w:tcPr>
          <w:p w14:paraId="2A117B2D" w14:textId="77777777" w:rsidR="00587FB4" w:rsidRPr="00F67B48" w:rsidRDefault="00587FB4" w:rsidP="00F67B48">
            <w:pPr>
              <w:tabs>
                <w:tab w:val="left" w:pos="871"/>
              </w:tabs>
              <w:jc w:val="right"/>
              <w:rPr>
                <w:rFonts w:ascii="Times New Roman" w:hAnsi="Times New Roman" w:cs="Times New Roman"/>
                <w:sz w:val="20"/>
                <w:szCs w:val="20"/>
              </w:rPr>
            </w:pPr>
          </w:p>
        </w:tc>
        <w:tc>
          <w:tcPr>
            <w:tcW w:w="1922" w:type="dxa"/>
            <w:tcBorders>
              <w:top w:val="single" w:sz="4" w:space="0" w:color="auto"/>
            </w:tcBorders>
          </w:tcPr>
          <w:p w14:paraId="7BAF3739" w14:textId="77777777" w:rsidR="00587FB4" w:rsidRPr="00F67B48" w:rsidRDefault="00587FB4" w:rsidP="00F67B48">
            <w:pPr>
              <w:tabs>
                <w:tab w:val="left" w:pos="871"/>
              </w:tabs>
              <w:jc w:val="right"/>
              <w:rPr>
                <w:rFonts w:ascii="Times New Roman" w:hAnsi="Times New Roman" w:cs="Times New Roman"/>
                <w:sz w:val="20"/>
                <w:szCs w:val="20"/>
              </w:rPr>
            </w:pPr>
          </w:p>
        </w:tc>
        <w:tc>
          <w:tcPr>
            <w:tcW w:w="1905" w:type="dxa"/>
            <w:tcBorders>
              <w:top w:val="single" w:sz="4" w:space="0" w:color="auto"/>
            </w:tcBorders>
          </w:tcPr>
          <w:p w14:paraId="0BE689A9" w14:textId="77777777" w:rsidR="00587FB4" w:rsidRPr="00F67B48" w:rsidRDefault="00587FB4" w:rsidP="00F67B48">
            <w:pPr>
              <w:tabs>
                <w:tab w:val="left" w:pos="871"/>
              </w:tabs>
              <w:jc w:val="right"/>
              <w:rPr>
                <w:rFonts w:ascii="Times New Roman" w:hAnsi="Times New Roman" w:cs="Times New Roman"/>
                <w:sz w:val="20"/>
                <w:szCs w:val="20"/>
              </w:rPr>
            </w:pPr>
          </w:p>
        </w:tc>
        <w:tc>
          <w:tcPr>
            <w:tcW w:w="1922" w:type="dxa"/>
            <w:tcBorders>
              <w:top w:val="single" w:sz="4" w:space="0" w:color="auto"/>
            </w:tcBorders>
          </w:tcPr>
          <w:p w14:paraId="263BC6ED" w14:textId="77777777" w:rsidR="00587FB4" w:rsidRPr="00F67B48" w:rsidRDefault="00587FB4" w:rsidP="00F67B48">
            <w:pPr>
              <w:tabs>
                <w:tab w:val="left" w:pos="871"/>
              </w:tabs>
              <w:jc w:val="right"/>
              <w:rPr>
                <w:rFonts w:ascii="Times New Roman" w:hAnsi="Times New Roman" w:cs="Times New Roman"/>
                <w:sz w:val="20"/>
                <w:szCs w:val="20"/>
              </w:rPr>
            </w:pPr>
          </w:p>
        </w:tc>
        <w:tc>
          <w:tcPr>
            <w:tcW w:w="1905" w:type="dxa"/>
            <w:tcBorders>
              <w:top w:val="single" w:sz="4" w:space="0" w:color="auto"/>
            </w:tcBorders>
          </w:tcPr>
          <w:p w14:paraId="5E4B4438" w14:textId="77777777" w:rsidR="00587FB4" w:rsidRPr="00F67B48" w:rsidRDefault="00587FB4" w:rsidP="00F67B48">
            <w:pPr>
              <w:tabs>
                <w:tab w:val="left" w:pos="871"/>
              </w:tabs>
              <w:jc w:val="right"/>
              <w:rPr>
                <w:rFonts w:ascii="Times New Roman" w:hAnsi="Times New Roman" w:cs="Times New Roman"/>
                <w:sz w:val="20"/>
                <w:szCs w:val="20"/>
              </w:rPr>
            </w:pPr>
          </w:p>
        </w:tc>
      </w:tr>
      <w:tr w:rsidR="00587FB4" w14:paraId="703FE6CD" w14:textId="77777777" w:rsidTr="00F67B48">
        <w:tc>
          <w:tcPr>
            <w:tcW w:w="2561" w:type="dxa"/>
            <w:vAlign w:val="center"/>
          </w:tcPr>
          <w:p w14:paraId="6FBEC192" w14:textId="36537C5B" w:rsidR="00587FB4" w:rsidRPr="00F67B48" w:rsidRDefault="00587FB4" w:rsidP="00F67B48">
            <w:pPr>
              <w:tabs>
                <w:tab w:val="left" w:pos="871"/>
              </w:tabs>
              <w:jc w:val="both"/>
              <w:rPr>
                <w:rFonts w:ascii="Times New Roman" w:hAnsi="Times New Roman" w:cs="Times New Roman"/>
                <w:sz w:val="20"/>
              </w:rPr>
            </w:pPr>
            <w:r w:rsidRPr="00F67B48">
              <w:rPr>
                <w:rFonts w:ascii="Times New Roman" w:eastAsia="Times New Roman" w:hAnsi="Times New Roman" w:cs="Times New Roman"/>
                <w:color w:val="000000"/>
                <w:sz w:val="20"/>
                <w:szCs w:val="16"/>
                <w:lang w:val="en-GB"/>
              </w:rPr>
              <w:t>Age; mean (s.d.)</w:t>
            </w:r>
          </w:p>
        </w:tc>
        <w:tc>
          <w:tcPr>
            <w:tcW w:w="1843" w:type="dxa"/>
          </w:tcPr>
          <w:p w14:paraId="0414F268" w14:textId="04BFBD00" w:rsidR="00587FB4" w:rsidRPr="00F67B48" w:rsidRDefault="00356EE5" w:rsidP="00F67B48">
            <w:pPr>
              <w:tabs>
                <w:tab w:val="left" w:pos="871"/>
              </w:tabs>
              <w:jc w:val="right"/>
              <w:rPr>
                <w:rFonts w:ascii="Times New Roman" w:hAnsi="Times New Roman" w:cs="Times New Roman"/>
                <w:sz w:val="20"/>
                <w:szCs w:val="20"/>
              </w:rPr>
            </w:pPr>
            <w:r w:rsidRPr="00F67B48">
              <w:rPr>
                <w:rFonts w:ascii="Times New Roman" w:hAnsi="Times New Roman" w:cs="Times New Roman"/>
                <w:sz w:val="20"/>
                <w:szCs w:val="20"/>
              </w:rPr>
              <w:t>73.9 (9.4)</w:t>
            </w:r>
          </w:p>
        </w:tc>
        <w:tc>
          <w:tcPr>
            <w:tcW w:w="1819" w:type="dxa"/>
          </w:tcPr>
          <w:p w14:paraId="32A436B4" w14:textId="553996D1" w:rsidR="00587FB4" w:rsidRPr="00F67B48" w:rsidRDefault="007351FC"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79.9 (10.1)</w:t>
            </w:r>
          </w:p>
        </w:tc>
        <w:tc>
          <w:tcPr>
            <w:tcW w:w="1922" w:type="dxa"/>
          </w:tcPr>
          <w:p w14:paraId="60D376B3" w14:textId="6972B7C5"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67.5 (10.1)</w:t>
            </w:r>
          </w:p>
        </w:tc>
        <w:tc>
          <w:tcPr>
            <w:tcW w:w="1905" w:type="dxa"/>
          </w:tcPr>
          <w:p w14:paraId="2B7D8CAB" w14:textId="5E3D8F98"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72.8 (11.9)</w:t>
            </w:r>
          </w:p>
        </w:tc>
        <w:tc>
          <w:tcPr>
            <w:tcW w:w="1922" w:type="dxa"/>
          </w:tcPr>
          <w:p w14:paraId="0A8A3538" w14:textId="06B98DD5"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65.3 (9.6)</w:t>
            </w:r>
          </w:p>
        </w:tc>
        <w:tc>
          <w:tcPr>
            <w:tcW w:w="1905" w:type="dxa"/>
          </w:tcPr>
          <w:p w14:paraId="7328688D" w14:textId="41ED985B"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69.6 (11.8)</w:t>
            </w:r>
          </w:p>
        </w:tc>
      </w:tr>
      <w:tr w:rsidR="00587FB4" w14:paraId="31E7DBA4" w14:textId="77777777" w:rsidTr="00F67B48">
        <w:tc>
          <w:tcPr>
            <w:tcW w:w="2561" w:type="dxa"/>
            <w:vAlign w:val="center"/>
          </w:tcPr>
          <w:p w14:paraId="5E8630CB" w14:textId="3BD6798A" w:rsidR="00587FB4" w:rsidRPr="00F67B48" w:rsidRDefault="00587FB4" w:rsidP="00F67B48">
            <w:pPr>
              <w:tabs>
                <w:tab w:val="left" w:pos="871"/>
              </w:tabs>
              <w:jc w:val="both"/>
              <w:rPr>
                <w:rFonts w:ascii="Times New Roman" w:hAnsi="Times New Roman" w:cs="Times New Roman"/>
                <w:sz w:val="20"/>
              </w:rPr>
            </w:pPr>
            <w:r w:rsidRPr="00F67B48">
              <w:rPr>
                <w:rFonts w:ascii="Times New Roman" w:eastAsia="Times New Roman" w:hAnsi="Times New Roman" w:cs="Times New Roman"/>
                <w:color w:val="000000"/>
                <w:sz w:val="20"/>
                <w:szCs w:val="16"/>
                <w:lang w:val="en-GB"/>
              </w:rPr>
              <w:t xml:space="preserve">Gender </w:t>
            </w:r>
          </w:p>
        </w:tc>
        <w:tc>
          <w:tcPr>
            <w:tcW w:w="1843" w:type="dxa"/>
          </w:tcPr>
          <w:p w14:paraId="5D0AD25B" w14:textId="77777777" w:rsidR="00587FB4" w:rsidRPr="00F67B48" w:rsidRDefault="00587FB4" w:rsidP="00F67B48">
            <w:pPr>
              <w:tabs>
                <w:tab w:val="left" w:pos="871"/>
              </w:tabs>
              <w:jc w:val="right"/>
              <w:rPr>
                <w:rFonts w:ascii="Times New Roman" w:hAnsi="Times New Roman" w:cs="Times New Roman"/>
                <w:sz w:val="20"/>
                <w:szCs w:val="20"/>
              </w:rPr>
            </w:pPr>
          </w:p>
        </w:tc>
        <w:tc>
          <w:tcPr>
            <w:tcW w:w="1819" w:type="dxa"/>
          </w:tcPr>
          <w:p w14:paraId="0334DB82" w14:textId="77777777" w:rsidR="00587FB4" w:rsidRPr="00F67B48" w:rsidRDefault="00587FB4" w:rsidP="00F67B48">
            <w:pPr>
              <w:tabs>
                <w:tab w:val="left" w:pos="871"/>
              </w:tabs>
              <w:jc w:val="right"/>
              <w:rPr>
                <w:rFonts w:ascii="Times New Roman" w:hAnsi="Times New Roman" w:cs="Times New Roman"/>
                <w:sz w:val="20"/>
                <w:szCs w:val="20"/>
              </w:rPr>
            </w:pPr>
          </w:p>
        </w:tc>
        <w:tc>
          <w:tcPr>
            <w:tcW w:w="1922" w:type="dxa"/>
          </w:tcPr>
          <w:p w14:paraId="1DD5B3AA" w14:textId="77777777" w:rsidR="00587FB4" w:rsidRPr="00F67B48" w:rsidRDefault="00587FB4" w:rsidP="00F67B48">
            <w:pPr>
              <w:tabs>
                <w:tab w:val="left" w:pos="871"/>
              </w:tabs>
              <w:jc w:val="right"/>
              <w:rPr>
                <w:rFonts w:ascii="Times New Roman" w:hAnsi="Times New Roman" w:cs="Times New Roman"/>
                <w:sz w:val="20"/>
                <w:szCs w:val="20"/>
              </w:rPr>
            </w:pPr>
          </w:p>
        </w:tc>
        <w:tc>
          <w:tcPr>
            <w:tcW w:w="1905" w:type="dxa"/>
          </w:tcPr>
          <w:p w14:paraId="2A5A4565" w14:textId="77777777" w:rsidR="00587FB4" w:rsidRPr="00F67B48" w:rsidRDefault="00587FB4" w:rsidP="00F67B48">
            <w:pPr>
              <w:tabs>
                <w:tab w:val="left" w:pos="871"/>
              </w:tabs>
              <w:jc w:val="right"/>
              <w:rPr>
                <w:rFonts w:ascii="Times New Roman" w:hAnsi="Times New Roman" w:cs="Times New Roman"/>
                <w:sz w:val="20"/>
                <w:szCs w:val="20"/>
              </w:rPr>
            </w:pPr>
          </w:p>
        </w:tc>
        <w:tc>
          <w:tcPr>
            <w:tcW w:w="1922" w:type="dxa"/>
          </w:tcPr>
          <w:p w14:paraId="64250CDB" w14:textId="77777777" w:rsidR="00587FB4" w:rsidRPr="00F67B48" w:rsidRDefault="00587FB4" w:rsidP="00F67B48">
            <w:pPr>
              <w:tabs>
                <w:tab w:val="left" w:pos="871"/>
              </w:tabs>
              <w:jc w:val="right"/>
              <w:rPr>
                <w:rFonts w:ascii="Times New Roman" w:hAnsi="Times New Roman" w:cs="Times New Roman"/>
                <w:sz w:val="20"/>
                <w:szCs w:val="20"/>
              </w:rPr>
            </w:pPr>
          </w:p>
        </w:tc>
        <w:tc>
          <w:tcPr>
            <w:tcW w:w="1905" w:type="dxa"/>
          </w:tcPr>
          <w:p w14:paraId="7C6B0D3D" w14:textId="77777777" w:rsidR="00587FB4" w:rsidRPr="00F67B48" w:rsidRDefault="00587FB4" w:rsidP="00F67B48">
            <w:pPr>
              <w:tabs>
                <w:tab w:val="left" w:pos="871"/>
              </w:tabs>
              <w:jc w:val="right"/>
              <w:rPr>
                <w:rFonts w:ascii="Times New Roman" w:hAnsi="Times New Roman" w:cs="Times New Roman"/>
                <w:sz w:val="20"/>
                <w:szCs w:val="20"/>
              </w:rPr>
            </w:pPr>
          </w:p>
        </w:tc>
      </w:tr>
      <w:tr w:rsidR="00587FB4" w14:paraId="7B9FCEA2" w14:textId="77777777" w:rsidTr="00F67B48">
        <w:tc>
          <w:tcPr>
            <w:tcW w:w="2561" w:type="dxa"/>
            <w:vAlign w:val="center"/>
          </w:tcPr>
          <w:p w14:paraId="26E1ED6F" w14:textId="2E016BBD" w:rsidR="00587FB4" w:rsidRPr="00F67B48" w:rsidRDefault="00587FB4" w:rsidP="00F67B48">
            <w:pPr>
              <w:tabs>
                <w:tab w:val="left" w:pos="871"/>
              </w:tabs>
              <w:jc w:val="both"/>
              <w:rPr>
                <w:rFonts w:ascii="Times New Roman" w:hAnsi="Times New Roman" w:cs="Times New Roman"/>
                <w:sz w:val="20"/>
              </w:rPr>
            </w:pPr>
            <w:r w:rsidRPr="00F67B48">
              <w:rPr>
                <w:rFonts w:ascii="Times New Roman" w:eastAsia="Times New Roman" w:hAnsi="Times New Roman" w:cs="Times New Roman"/>
                <w:color w:val="000000"/>
                <w:sz w:val="20"/>
                <w:szCs w:val="16"/>
                <w:lang w:val="en-GB"/>
              </w:rPr>
              <w:t xml:space="preserve">    Male; n (%)</w:t>
            </w:r>
          </w:p>
        </w:tc>
        <w:tc>
          <w:tcPr>
            <w:tcW w:w="1843" w:type="dxa"/>
          </w:tcPr>
          <w:p w14:paraId="445E8068" w14:textId="306103E5" w:rsidR="00587FB4" w:rsidRPr="00F67B48" w:rsidRDefault="00356EE5"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23,360 (31.1)</w:t>
            </w:r>
          </w:p>
        </w:tc>
        <w:tc>
          <w:tcPr>
            <w:tcW w:w="1819" w:type="dxa"/>
          </w:tcPr>
          <w:p w14:paraId="787101C0" w14:textId="111204CF" w:rsidR="00587FB4" w:rsidRPr="00F67B48" w:rsidRDefault="007351FC"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56,318 (27.6)</w:t>
            </w:r>
          </w:p>
        </w:tc>
        <w:tc>
          <w:tcPr>
            <w:tcW w:w="1922" w:type="dxa"/>
          </w:tcPr>
          <w:p w14:paraId="225D1924" w14:textId="3E1C5F6A"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23,936 (26.2)</w:t>
            </w:r>
          </w:p>
        </w:tc>
        <w:tc>
          <w:tcPr>
            <w:tcW w:w="1905" w:type="dxa"/>
          </w:tcPr>
          <w:p w14:paraId="689A2D41" w14:textId="36204207"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40,368 (24.5)</w:t>
            </w:r>
          </w:p>
        </w:tc>
        <w:tc>
          <w:tcPr>
            <w:tcW w:w="1922" w:type="dxa"/>
          </w:tcPr>
          <w:p w14:paraId="7DC6F2C6" w14:textId="06ACD8DC"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43,690 (20.5)</w:t>
            </w:r>
          </w:p>
        </w:tc>
        <w:tc>
          <w:tcPr>
            <w:tcW w:w="1905" w:type="dxa"/>
          </w:tcPr>
          <w:p w14:paraId="545C7FCD" w14:textId="4D03B09A"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63,312 (19.0)</w:t>
            </w:r>
          </w:p>
        </w:tc>
      </w:tr>
      <w:tr w:rsidR="00587FB4" w14:paraId="51EEB38D" w14:textId="77777777" w:rsidTr="00F67B48">
        <w:tc>
          <w:tcPr>
            <w:tcW w:w="2561" w:type="dxa"/>
            <w:vAlign w:val="center"/>
          </w:tcPr>
          <w:p w14:paraId="3CC72406" w14:textId="078F0BE1" w:rsidR="00587FB4" w:rsidRPr="00F67B48" w:rsidRDefault="00587FB4" w:rsidP="00F67B48">
            <w:pPr>
              <w:tabs>
                <w:tab w:val="left" w:pos="871"/>
              </w:tabs>
              <w:jc w:val="both"/>
              <w:rPr>
                <w:rFonts w:ascii="Times New Roman" w:hAnsi="Times New Roman" w:cs="Times New Roman"/>
                <w:sz w:val="20"/>
              </w:rPr>
            </w:pPr>
            <w:r w:rsidRPr="00F67B48">
              <w:rPr>
                <w:rFonts w:ascii="Times New Roman" w:eastAsia="Times New Roman" w:hAnsi="Times New Roman" w:cs="Times New Roman"/>
                <w:color w:val="000000"/>
                <w:sz w:val="20"/>
                <w:szCs w:val="16"/>
                <w:lang w:val="en-GB"/>
              </w:rPr>
              <w:t xml:space="preserve">    Female; n (%)</w:t>
            </w:r>
          </w:p>
        </w:tc>
        <w:tc>
          <w:tcPr>
            <w:tcW w:w="1843" w:type="dxa"/>
          </w:tcPr>
          <w:p w14:paraId="3EBDC7BB" w14:textId="4B3E6D63" w:rsidR="00587FB4" w:rsidRPr="00F67B48" w:rsidRDefault="00356EE5"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51,640 (68.8)</w:t>
            </w:r>
          </w:p>
        </w:tc>
        <w:tc>
          <w:tcPr>
            <w:tcW w:w="1819" w:type="dxa"/>
          </w:tcPr>
          <w:p w14:paraId="11A42AB3" w14:textId="4F34DDF7" w:rsidR="00587FB4" w:rsidRPr="00F67B48" w:rsidRDefault="007351FC"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147,972 (72.4)</w:t>
            </w:r>
          </w:p>
        </w:tc>
        <w:tc>
          <w:tcPr>
            <w:tcW w:w="1922" w:type="dxa"/>
          </w:tcPr>
          <w:p w14:paraId="6206DFBB" w14:textId="48383FDB"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67,268 (73.8)</w:t>
            </w:r>
          </w:p>
        </w:tc>
        <w:tc>
          <w:tcPr>
            <w:tcW w:w="1905" w:type="dxa"/>
          </w:tcPr>
          <w:p w14:paraId="3CC1E672" w14:textId="2511C1D5"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124,164 (75.5)</w:t>
            </w:r>
          </w:p>
        </w:tc>
        <w:tc>
          <w:tcPr>
            <w:tcW w:w="1922" w:type="dxa"/>
          </w:tcPr>
          <w:p w14:paraId="75B27143" w14:textId="182C1006"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169,782 (79.5)</w:t>
            </w:r>
          </w:p>
        </w:tc>
        <w:tc>
          <w:tcPr>
            <w:tcW w:w="1905" w:type="dxa"/>
          </w:tcPr>
          <w:p w14:paraId="59B00CFA" w14:textId="02A6685B"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270,624 (81.0)</w:t>
            </w:r>
          </w:p>
        </w:tc>
      </w:tr>
      <w:tr w:rsidR="00587FB4" w14:paraId="15F7881D" w14:textId="77777777" w:rsidTr="00F67B48">
        <w:tc>
          <w:tcPr>
            <w:tcW w:w="2561" w:type="dxa"/>
            <w:vAlign w:val="center"/>
          </w:tcPr>
          <w:p w14:paraId="4D6B152B" w14:textId="2DC33D4B" w:rsidR="00587FB4" w:rsidRPr="00F67B48" w:rsidRDefault="00587FB4" w:rsidP="00F67B48">
            <w:pPr>
              <w:tabs>
                <w:tab w:val="left" w:pos="871"/>
              </w:tabs>
              <w:jc w:val="both"/>
              <w:rPr>
                <w:rFonts w:ascii="Times New Roman" w:hAnsi="Times New Roman" w:cs="Times New Roman"/>
                <w:sz w:val="20"/>
              </w:rPr>
            </w:pPr>
            <w:r w:rsidRPr="00F67B48">
              <w:rPr>
                <w:rFonts w:ascii="Times New Roman" w:eastAsia="Times New Roman" w:hAnsi="Times New Roman" w:cs="Times New Roman"/>
                <w:color w:val="000000"/>
                <w:sz w:val="20"/>
                <w:szCs w:val="16"/>
                <w:lang w:val="en-GB"/>
              </w:rPr>
              <w:t>Year of fracture</w:t>
            </w:r>
          </w:p>
        </w:tc>
        <w:tc>
          <w:tcPr>
            <w:tcW w:w="1843" w:type="dxa"/>
          </w:tcPr>
          <w:p w14:paraId="2017F082" w14:textId="77777777" w:rsidR="00587FB4" w:rsidRPr="00F67B48" w:rsidRDefault="00587FB4" w:rsidP="00F67B48">
            <w:pPr>
              <w:tabs>
                <w:tab w:val="left" w:pos="871"/>
              </w:tabs>
              <w:jc w:val="right"/>
              <w:rPr>
                <w:rFonts w:ascii="Times New Roman" w:hAnsi="Times New Roman" w:cs="Times New Roman"/>
                <w:sz w:val="20"/>
                <w:szCs w:val="20"/>
              </w:rPr>
            </w:pPr>
          </w:p>
        </w:tc>
        <w:tc>
          <w:tcPr>
            <w:tcW w:w="1819" w:type="dxa"/>
          </w:tcPr>
          <w:p w14:paraId="5172758E" w14:textId="77777777" w:rsidR="00587FB4" w:rsidRPr="00F67B48" w:rsidRDefault="00587FB4" w:rsidP="00F67B48">
            <w:pPr>
              <w:tabs>
                <w:tab w:val="left" w:pos="871"/>
              </w:tabs>
              <w:jc w:val="right"/>
              <w:rPr>
                <w:rFonts w:ascii="Times New Roman" w:hAnsi="Times New Roman" w:cs="Times New Roman"/>
                <w:sz w:val="20"/>
                <w:szCs w:val="20"/>
              </w:rPr>
            </w:pPr>
          </w:p>
        </w:tc>
        <w:tc>
          <w:tcPr>
            <w:tcW w:w="1922" w:type="dxa"/>
          </w:tcPr>
          <w:p w14:paraId="2F14A99F" w14:textId="77777777" w:rsidR="00587FB4" w:rsidRPr="00F67B48" w:rsidRDefault="00587FB4" w:rsidP="00F67B48">
            <w:pPr>
              <w:tabs>
                <w:tab w:val="left" w:pos="871"/>
              </w:tabs>
              <w:jc w:val="right"/>
              <w:rPr>
                <w:rFonts w:ascii="Times New Roman" w:hAnsi="Times New Roman" w:cs="Times New Roman"/>
                <w:sz w:val="20"/>
                <w:szCs w:val="20"/>
              </w:rPr>
            </w:pPr>
          </w:p>
        </w:tc>
        <w:tc>
          <w:tcPr>
            <w:tcW w:w="1905" w:type="dxa"/>
          </w:tcPr>
          <w:p w14:paraId="46BBF4DB" w14:textId="77777777" w:rsidR="00587FB4" w:rsidRPr="00F67B48" w:rsidRDefault="00587FB4" w:rsidP="00F67B48">
            <w:pPr>
              <w:tabs>
                <w:tab w:val="left" w:pos="871"/>
              </w:tabs>
              <w:jc w:val="right"/>
              <w:rPr>
                <w:rFonts w:ascii="Times New Roman" w:hAnsi="Times New Roman" w:cs="Times New Roman"/>
                <w:sz w:val="20"/>
                <w:szCs w:val="20"/>
              </w:rPr>
            </w:pPr>
          </w:p>
        </w:tc>
        <w:tc>
          <w:tcPr>
            <w:tcW w:w="1922" w:type="dxa"/>
          </w:tcPr>
          <w:p w14:paraId="33AD42F6" w14:textId="77777777" w:rsidR="00587FB4" w:rsidRPr="00F67B48" w:rsidRDefault="00587FB4" w:rsidP="00F67B48">
            <w:pPr>
              <w:tabs>
                <w:tab w:val="left" w:pos="871"/>
              </w:tabs>
              <w:jc w:val="right"/>
              <w:rPr>
                <w:rFonts w:ascii="Times New Roman" w:hAnsi="Times New Roman" w:cs="Times New Roman"/>
                <w:sz w:val="20"/>
                <w:szCs w:val="20"/>
              </w:rPr>
            </w:pPr>
          </w:p>
        </w:tc>
        <w:tc>
          <w:tcPr>
            <w:tcW w:w="1905" w:type="dxa"/>
          </w:tcPr>
          <w:p w14:paraId="18EEA333" w14:textId="77777777" w:rsidR="00587FB4" w:rsidRPr="00F67B48" w:rsidRDefault="00587FB4" w:rsidP="00F67B48">
            <w:pPr>
              <w:tabs>
                <w:tab w:val="left" w:pos="871"/>
              </w:tabs>
              <w:jc w:val="right"/>
              <w:rPr>
                <w:rFonts w:ascii="Times New Roman" w:hAnsi="Times New Roman" w:cs="Times New Roman"/>
                <w:sz w:val="20"/>
                <w:szCs w:val="20"/>
              </w:rPr>
            </w:pPr>
          </w:p>
        </w:tc>
      </w:tr>
      <w:tr w:rsidR="00587FB4" w14:paraId="44C64EFA" w14:textId="77777777" w:rsidTr="00F67B48">
        <w:tc>
          <w:tcPr>
            <w:tcW w:w="2561" w:type="dxa"/>
            <w:vAlign w:val="center"/>
          </w:tcPr>
          <w:p w14:paraId="34B4E5DB" w14:textId="36133466" w:rsidR="00587FB4" w:rsidRPr="00F67B48" w:rsidRDefault="00587FB4" w:rsidP="00587FB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1995 to 2000; n (%)</w:t>
            </w:r>
          </w:p>
        </w:tc>
        <w:tc>
          <w:tcPr>
            <w:tcW w:w="1843" w:type="dxa"/>
          </w:tcPr>
          <w:p w14:paraId="1AE2CD57" w14:textId="66A989F3" w:rsidR="00587FB4" w:rsidRPr="00F67B48" w:rsidRDefault="00356EE5"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8,216 (11.0)</w:t>
            </w:r>
          </w:p>
        </w:tc>
        <w:tc>
          <w:tcPr>
            <w:tcW w:w="1819" w:type="dxa"/>
          </w:tcPr>
          <w:p w14:paraId="09EC40BA" w14:textId="36617366"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79,626 (39.0</w:t>
            </w:r>
            <w:r w:rsidR="007351FC">
              <w:rPr>
                <w:rFonts w:ascii="Times New Roman" w:hAnsi="Times New Roman" w:cs="Times New Roman"/>
                <w:sz w:val="20"/>
                <w:szCs w:val="20"/>
              </w:rPr>
              <w:t>)</w:t>
            </w:r>
          </w:p>
        </w:tc>
        <w:tc>
          <w:tcPr>
            <w:tcW w:w="1922" w:type="dxa"/>
          </w:tcPr>
          <w:p w14:paraId="477BC2F0" w14:textId="67E9A278"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15,960 (17.5)</w:t>
            </w:r>
          </w:p>
        </w:tc>
        <w:tc>
          <w:tcPr>
            <w:tcW w:w="1905" w:type="dxa"/>
          </w:tcPr>
          <w:p w14:paraId="71F240D5" w14:textId="2A0779F1"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58,128 (35.3)</w:t>
            </w:r>
          </w:p>
        </w:tc>
        <w:tc>
          <w:tcPr>
            <w:tcW w:w="1922" w:type="dxa"/>
          </w:tcPr>
          <w:p w14:paraId="75AE2ECD" w14:textId="5BD8734B"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52,994 (24.8)</w:t>
            </w:r>
          </w:p>
        </w:tc>
        <w:tc>
          <w:tcPr>
            <w:tcW w:w="1905" w:type="dxa"/>
          </w:tcPr>
          <w:p w14:paraId="36465F64" w14:textId="3B5EA3FA"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128,702 (38.5)</w:t>
            </w:r>
          </w:p>
        </w:tc>
      </w:tr>
      <w:tr w:rsidR="00587FB4" w14:paraId="50E6ACA5" w14:textId="77777777" w:rsidTr="00F67B48">
        <w:tc>
          <w:tcPr>
            <w:tcW w:w="2561" w:type="dxa"/>
            <w:vAlign w:val="center"/>
          </w:tcPr>
          <w:p w14:paraId="67F48DDF" w14:textId="19CDF1D7" w:rsidR="00587FB4" w:rsidRPr="00F67B48" w:rsidRDefault="00587FB4" w:rsidP="00587FB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2001 to 2006; n (%)</w:t>
            </w:r>
          </w:p>
        </w:tc>
        <w:tc>
          <w:tcPr>
            <w:tcW w:w="1843" w:type="dxa"/>
          </w:tcPr>
          <w:p w14:paraId="2BF385B8" w14:textId="4F919728" w:rsidR="00587FB4" w:rsidRPr="00F67B48" w:rsidRDefault="00356EE5"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28,144 (37.5)</w:t>
            </w:r>
          </w:p>
        </w:tc>
        <w:tc>
          <w:tcPr>
            <w:tcW w:w="1819" w:type="dxa"/>
          </w:tcPr>
          <w:p w14:paraId="385DB84A" w14:textId="68B10F66" w:rsidR="00587FB4" w:rsidRPr="00F67B48" w:rsidRDefault="007351FC"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70,270 (34.4)</w:t>
            </w:r>
          </w:p>
        </w:tc>
        <w:tc>
          <w:tcPr>
            <w:tcW w:w="1922" w:type="dxa"/>
          </w:tcPr>
          <w:p w14:paraId="7E73BD8E" w14:textId="62EDC02F"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34,702 (38.0)</w:t>
            </w:r>
          </w:p>
        </w:tc>
        <w:tc>
          <w:tcPr>
            <w:tcW w:w="1905" w:type="dxa"/>
          </w:tcPr>
          <w:p w14:paraId="393BE626" w14:textId="5DF1B3B9"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56,918 (34.6)</w:t>
            </w:r>
          </w:p>
        </w:tc>
        <w:tc>
          <w:tcPr>
            <w:tcW w:w="1922" w:type="dxa"/>
          </w:tcPr>
          <w:p w14:paraId="49F9197E" w14:textId="19D84344"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80,344 (37.6)</w:t>
            </w:r>
          </w:p>
        </w:tc>
        <w:tc>
          <w:tcPr>
            <w:tcW w:w="1905" w:type="dxa"/>
          </w:tcPr>
          <w:p w14:paraId="7453E0DE" w14:textId="6AB4D123"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112,688 (33.7)</w:t>
            </w:r>
          </w:p>
        </w:tc>
      </w:tr>
      <w:tr w:rsidR="00587FB4" w14:paraId="488FA5F4" w14:textId="77777777" w:rsidTr="00F67B48">
        <w:tc>
          <w:tcPr>
            <w:tcW w:w="2561" w:type="dxa"/>
            <w:vAlign w:val="center"/>
          </w:tcPr>
          <w:p w14:paraId="1FD2AA6D" w14:textId="0CC39535" w:rsidR="00587FB4" w:rsidRPr="00F67B48" w:rsidRDefault="00587FB4" w:rsidP="00587FB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2007 to 2011; n (%)</w:t>
            </w:r>
          </w:p>
        </w:tc>
        <w:tc>
          <w:tcPr>
            <w:tcW w:w="1843" w:type="dxa"/>
          </w:tcPr>
          <w:p w14:paraId="6FE0EAC4" w14:textId="1803CC05" w:rsidR="00587FB4" w:rsidRPr="00F67B48" w:rsidRDefault="00356EE5"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38,640 (51.5)</w:t>
            </w:r>
          </w:p>
        </w:tc>
        <w:tc>
          <w:tcPr>
            <w:tcW w:w="1819" w:type="dxa"/>
          </w:tcPr>
          <w:p w14:paraId="229B52DF" w14:textId="62107FB0" w:rsidR="00587FB4" w:rsidRPr="00F67B48" w:rsidRDefault="007351FC"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54,394 (26.6)</w:t>
            </w:r>
          </w:p>
        </w:tc>
        <w:tc>
          <w:tcPr>
            <w:tcW w:w="1922" w:type="dxa"/>
          </w:tcPr>
          <w:p w14:paraId="3BC6FD9E" w14:textId="4B3903C1"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40,542 (44.4)</w:t>
            </w:r>
          </w:p>
        </w:tc>
        <w:tc>
          <w:tcPr>
            <w:tcW w:w="1905" w:type="dxa"/>
          </w:tcPr>
          <w:p w14:paraId="5BFC709C" w14:textId="42D7869F" w:rsidR="00587FB4" w:rsidRPr="00F67B48" w:rsidRDefault="00CF66A0"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49,486 (30.1)</w:t>
            </w:r>
          </w:p>
        </w:tc>
        <w:tc>
          <w:tcPr>
            <w:tcW w:w="1922" w:type="dxa"/>
          </w:tcPr>
          <w:p w14:paraId="7E79052F" w14:textId="2D472F23"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80,134 (37.5)</w:t>
            </w:r>
          </w:p>
        </w:tc>
        <w:tc>
          <w:tcPr>
            <w:tcW w:w="1905" w:type="dxa"/>
          </w:tcPr>
          <w:p w14:paraId="03C8C73A" w14:textId="3A109115" w:rsidR="00587FB4" w:rsidRPr="00F67B48" w:rsidRDefault="002B1652" w:rsidP="00F67B48">
            <w:pPr>
              <w:tabs>
                <w:tab w:val="left" w:pos="871"/>
              </w:tabs>
              <w:jc w:val="right"/>
              <w:rPr>
                <w:rFonts w:ascii="Times New Roman" w:hAnsi="Times New Roman" w:cs="Times New Roman"/>
                <w:sz w:val="20"/>
                <w:szCs w:val="20"/>
              </w:rPr>
            </w:pPr>
            <w:r>
              <w:rPr>
                <w:rFonts w:ascii="Times New Roman" w:hAnsi="Times New Roman" w:cs="Times New Roman"/>
                <w:sz w:val="20"/>
                <w:szCs w:val="20"/>
              </w:rPr>
              <w:t>92,546 (27.7)</w:t>
            </w:r>
          </w:p>
        </w:tc>
      </w:tr>
      <w:tr w:rsidR="00EA6796" w14:paraId="7D266FE6" w14:textId="77777777" w:rsidTr="00F67B48">
        <w:tc>
          <w:tcPr>
            <w:tcW w:w="2561" w:type="dxa"/>
            <w:vAlign w:val="center"/>
          </w:tcPr>
          <w:p w14:paraId="356190F3" w14:textId="198F0E2C" w:rsidR="00EA6796" w:rsidRPr="00F67B48" w:rsidRDefault="00EA6796" w:rsidP="00587FB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b/>
                <w:bCs/>
                <w:color w:val="000000"/>
                <w:sz w:val="20"/>
                <w:szCs w:val="16"/>
                <w:lang w:val="en-GB"/>
              </w:rPr>
              <w:t>Exposures</w:t>
            </w:r>
          </w:p>
        </w:tc>
        <w:tc>
          <w:tcPr>
            <w:tcW w:w="1843" w:type="dxa"/>
          </w:tcPr>
          <w:p w14:paraId="7B0290E4" w14:textId="77777777" w:rsidR="00EA6796" w:rsidRDefault="00EA6796" w:rsidP="00F67B48">
            <w:pPr>
              <w:tabs>
                <w:tab w:val="left" w:pos="871"/>
              </w:tabs>
              <w:jc w:val="right"/>
              <w:rPr>
                <w:rFonts w:ascii="Times New Roman" w:hAnsi="Times New Roman" w:cs="Times New Roman"/>
                <w:sz w:val="20"/>
                <w:szCs w:val="20"/>
              </w:rPr>
            </w:pPr>
          </w:p>
        </w:tc>
        <w:tc>
          <w:tcPr>
            <w:tcW w:w="1819" w:type="dxa"/>
          </w:tcPr>
          <w:p w14:paraId="2C7D7A22" w14:textId="77777777" w:rsidR="00EA6796" w:rsidRDefault="00EA6796" w:rsidP="00F67B48">
            <w:pPr>
              <w:tabs>
                <w:tab w:val="left" w:pos="871"/>
              </w:tabs>
              <w:jc w:val="right"/>
              <w:rPr>
                <w:rFonts w:ascii="Times New Roman" w:hAnsi="Times New Roman" w:cs="Times New Roman"/>
                <w:sz w:val="20"/>
                <w:szCs w:val="20"/>
              </w:rPr>
            </w:pPr>
          </w:p>
        </w:tc>
        <w:tc>
          <w:tcPr>
            <w:tcW w:w="1922" w:type="dxa"/>
          </w:tcPr>
          <w:p w14:paraId="64C33534" w14:textId="77777777" w:rsidR="00EA6796" w:rsidRDefault="00EA6796" w:rsidP="00F67B48">
            <w:pPr>
              <w:tabs>
                <w:tab w:val="left" w:pos="871"/>
              </w:tabs>
              <w:jc w:val="right"/>
              <w:rPr>
                <w:rFonts w:ascii="Times New Roman" w:hAnsi="Times New Roman" w:cs="Times New Roman"/>
                <w:sz w:val="20"/>
                <w:szCs w:val="20"/>
              </w:rPr>
            </w:pPr>
          </w:p>
        </w:tc>
        <w:tc>
          <w:tcPr>
            <w:tcW w:w="1905" w:type="dxa"/>
          </w:tcPr>
          <w:p w14:paraId="2FDCF757" w14:textId="77777777" w:rsidR="00EA6796" w:rsidRDefault="00EA6796" w:rsidP="00F67B48">
            <w:pPr>
              <w:tabs>
                <w:tab w:val="left" w:pos="871"/>
              </w:tabs>
              <w:jc w:val="right"/>
              <w:rPr>
                <w:rFonts w:ascii="Times New Roman" w:hAnsi="Times New Roman" w:cs="Times New Roman"/>
                <w:sz w:val="20"/>
                <w:szCs w:val="20"/>
              </w:rPr>
            </w:pPr>
          </w:p>
        </w:tc>
        <w:tc>
          <w:tcPr>
            <w:tcW w:w="1922" w:type="dxa"/>
          </w:tcPr>
          <w:p w14:paraId="4B098A37" w14:textId="77777777" w:rsidR="00EA6796" w:rsidRDefault="00EA6796" w:rsidP="00F67B48">
            <w:pPr>
              <w:tabs>
                <w:tab w:val="left" w:pos="871"/>
              </w:tabs>
              <w:jc w:val="right"/>
              <w:rPr>
                <w:rFonts w:ascii="Times New Roman" w:hAnsi="Times New Roman" w:cs="Times New Roman"/>
                <w:sz w:val="20"/>
                <w:szCs w:val="20"/>
              </w:rPr>
            </w:pPr>
          </w:p>
        </w:tc>
        <w:tc>
          <w:tcPr>
            <w:tcW w:w="1905" w:type="dxa"/>
          </w:tcPr>
          <w:p w14:paraId="48083001" w14:textId="77777777" w:rsidR="00EA6796" w:rsidRDefault="00EA6796" w:rsidP="00F67B48">
            <w:pPr>
              <w:tabs>
                <w:tab w:val="left" w:pos="871"/>
              </w:tabs>
              <w:jc w:val="right"/>
              <w:rPr>
                <w:rFonts w:ascii="Times New Roman" w:hAnsi="Times New Roman" w:cs="Times New Roman"/>
                <w:sz w:val="20"/>
                <w:szCs w:val="20"/>
              </w:rPr>
            </w:pPr>
          </w:p>
        </w:tc>
      </w:tr>
      <w:tr w:rsidR="00EA6796" w14:paraId="4A08E39B" w14:textId="77777777" w:rsidTr="00F67B48">
        <w:tc>
          <w:tcPr>
            <w:tcW w:w="2561" w:type="dxa"/>
            <w:vAlign w:val="center"/>
          </w:tcPr>
          <w:p w14:paraId="22804FA7" w14:textId="7B597BA6" w:rsidR="00EA6796" w:rsidRPr="00ED62D0" w:rsidRDefault="00EA6796" w:rsidP="00587FB4">
            <w:pPr>
              <w:tabs>
                <w:tab w:val="left" w:pos="871"/>
              </w:tabs>
              <w:jc w:val="both"/>
              <w:rPr>
                <w:rFonts w:ascii="Times New Roman" w:eastAsia="Times New Roman" w:hAnsi="Times New Roman" w:cs="Times New Roman"/>
                <w:color w:val="000000"/>
                <w:sz w:val="20"/>
                <w:szCs w:val="20"/>
                <w:lang w:val="en-GB"/>
              </w:rPr>
            </w:pPr>
            <w:r w:rsidRPr="00ED62D0">
              <w:rPr>
                <w:rFonts w:ascii="Times New Roman" w:eastAsia="Times New Roman" w:hAnsi="Times New Roman" w:cs="Times New Roman"/>
                <w:color w:val="000000"/>
                <w:sz w:val="20"/>
                <w:szCs w:val="20"/>
                <w:lang w:val="en-GB"/>
              </w:rPr>
              <w:t>Income</w:t>
            </w:r>
            <w:r w:rsidR="00ED62D0" w:rsidRPr="00D92201">
              <w:rPr>
                <w:rFonts w:ascii="Times New Roman" w:eastAsia="Times New Roman" w:hAnsi="Times New Roman" w:cs="Times New Roman"/>
                <w:color w:val="000000"/>
                <w:sz w:val="20"/>
                <w:szCs w:val="20"/>
                <w:lang w:val="en-GB"/>
              </w:rPr>
              <w:t>, € in thousands</w:t>
            </w:r>
          </w:p>
        </w:tc>
        <w:tc>
          <w:tcPr>
            <w:tcW w:w="1843" w:type="dxa"/>
          </w:tcPr>
          <w:p w14:paraId="2F7C7DEE" w14:textId="77777777" w:rsidR="00EA6796" w:rsidRDefault="00EA6796" w:rsidP="00F67B48">
            <w:pPr>
              <w:tabs>
                <w:tab w:val="left" w:pos="871"/>
              </w:tabs>
              <w:jc w:val="right"/>
              <w:rPr>
                <w:rFonts w:ascii="Times New Roman" w:hAnsi="Times New Roman" w:cs="Times New Roman"/>
                <w:sz w:val="20"/>
                <w:szCs w:val="20"/>
              </w:rPr>
            </w:pPr>
          </w:p>
        </w:tc>
        <w:tc>
          <w:tcPr>
            <w:tcW w:w="1819" w:type="dxa"/>
          </w:tcPr>
          <w:p w14:paraId="55F7D925" w14:textId="77777777" w:rsidR="00EA6796" w:rsidRDefault="00EA6796" w:rsidP="00F67B48">
            <w:pPr>
              <w:tabs>
                <w:tab w:val="left" w:pos="871"/>
              </w:tabs>
              <w:jc w:val="right"/>
              <w:rPr>
                <w:rFonts w:ascii="Times New Roman" w:hAnsi="Times New Roman" w:cs="Times New Roman"/>
                <w:sz w:val="20"/>
                <w:szCs w:val="20"/>
              </w:rPr>
            </w:pPr>
          </w:p>
        </w:tc>
        <w:tc>
          <w:tcPr>
            <w:tcW w:w="1922" w:type="dxa"/>
          </w:tcPr>
          <w:p w14:paraId="2052376F" w14:textId="77777777" w:rsidR="00EA6796" w:rsidRDefault="00EA6796" w:rsidP="00F67B48">
            <w:pPr>
              <w:tabs>
                <w:tab w:val="left" w:pos="871"/>
              </w:tabs>
              <w:jc w:val="right"/>
              <w:rPr>
                <w:rFonts w:ascii="Times New Roman" w:hAnsi="Times New Roman" w:cs="Times New Roman"/>
                <w:sz w:val="20"/>
                <w:szCs w:val="20"/>
              </w:rPr>
            </w:pPr>
          </w:p>
        </w:tc>
        <w:tc>
          <w:tcPr>
            <w:tcW w:w="1905" w:type="dxa"/>
          </w:tcPr>
          <w:p w14:paraId="0D2572BF" w14:textId="77777777" w:rsidR="00EA6796" w:rsidRDefault="00EA6796" w:rsidP="00F67B48">
            <w:pPr>
              <w:tabs>
                <w:tab w:val="left" w:pos="871"/>
              </w:tabs>
              <w:jc w:val="right"/>
              <w:rPr>
                <w:rFonts w:ascii="Times New Roman" w:hAnsi="Times New Roman" w:cs="Times New Roman"/>
                <w:sz w:val="20"/>
                <w:szCs w:val="20"/>
              </w:rPr>
            </w:pPr>
          </w:p>
        </w:tc>
        <w:tc>
          <w:tcPr>
            <w:tcW w:w="1922" w:type="dxa"/>
          </w:tcPr>
          <w:p w14:paraId="70AFBF8F" w14:textId="77777777" w:rsidR="00EA6796" w:rsidRDefault="00EA6796" w:rsidP="00F67B48">
            <w:pPr>
              <w:tabs>
                <w:tab w:val="left" w:pos="871"/>
              </w:tabs>
              <w:jc w:val="right"/>
              <w:rPr>
                <w:rFonts w:ascii="Times New Roman" w:hAnsi="Times New Roman" w:cs="Times New Roman"/>
                <w:sz w:val="20"/>
                <w:szCs w:val="20"/>
              </w:rPr>
            </w:pPr>
          </w:p>
        </w:tc>
        <w:tc>
          <w:tcPr>
            <w:tcW w:w="1905" w:type="dxa"/>
          </w:tcPr>
          <w:p w14:paraId="2154B74E" w14:textId="77777777" w:rsidR="00EA6796" w:rsidRDefault="00EA6796" w:rsidP="00F67B48">
            <w:pPr>
              <w:tabs>
                <w:tab w:val="left" w:pos="871"/>
              </w:tabs>
              <w:jc w:val="right"/>
              <w:rPr>
                <w:rFonts w:ascii="Times New Roman" w:hAnsi="Times New Roman" w:cs="Times New Roman"/>
                <w:sz w:val="20"/>
                <w:szCs w:val="20"/>
              </w:rPr>
            </w:pPr>
          </w:p>
        </w:tc>
      </w:tr>
      <w:tr w:rsidR="003E0DC4" w14:paraId="6A2211FA" w14:textId="77777777" w:rsidTr="00F67B48">
        <w:tc>
          <w:tcPr>
            <w:tcW w:w="2561" w:type="dxa"/>
            <w:vAlign w:val="center"/>
          </w:tcPr>
          <w:p w14:paraId="6A41D2B1" w14:textId="6D98763A" w:rsidR="003E0DC4"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 xml:space="preserve">    1</w:t>
            </w:r>
            <w:r w:rsidRPr="00EA6796">
              <w:rPr>
                <w:rFonts w:ascii="Times New Roman" w:eastAsia="Times New Roman" w:hAnsi="Times New Roman" w:cs="Times New Roman"/>
                <w:color w:val="000000"/>
                <w:sz w:val="20"/>
                <w:szCs w:val="16"/>
                <w:vertAlign w:val="superscript"/>
                <w:lang w:val="en-GB"/>
              </w:rPr>
              <w:t>st</w:t>
            </w:r>
            <w:r>
              <w:rPr>
                <w:rFonts w:ascii="Times New Roman" w:eastAsia="Times New Roman" w:hAnsi="Times New Roman" w:cs="Times New Roman"/>
                <w:color w:val="000000"/>
                <w:sz w:val="20"/>
                <w:szCs w:val="16"/>
                <w:lang w:val="en-GB"/>
              </w:rPr>
              <w:t xml:space="preserve"> quintile; mean [IQR]</w:t>
            </w:r>
          </w:p>
        </w:tc>
        <w:tc>
          <w:tcPr>
            <w:tcW w:w="1843" w:type="dxa"/>
          </w:tcPr>
          <w:p w14:paraId="7A3CC3D6" w14:textId="7B72E470"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14.8 [13; 17]</w:t>
            </w:r>
          </w:p>
        </w:tc>
        <w:tc>
          <w:tcPr>
            <w:tcW w:w="1819" w:type="dxa"/>
          </w:tcPr>
          <w:p w14:paraId="0831EC65" w14:textId="58B9E2D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14.7 [13; 17]</w:t>
            </w:r>
          </w:p>
        </w:tc>
        <w:tc>
          <w:tcPr>
            <w:tcW w:w="1922" w:type="dxa"/>
          </w:tcPr>
          <w:p w14:paraId="7E4697B5" w14:textId="1CCFF9CE"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14.9 [13; 16]</w:t>
            </w:r>
          </w:p>
        </w:tc>
        <w:tc>
          <w:tcPr>
            <w:tcW w:w="1905" w:type="dxa"/>
          </w:tcPr>
          <w:p w14:paraId="753703B8" w14:textId="1E151B99"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14.8 [13; 17]</w:t>
            </w:r>
          </w:p>
        </w:tc>
        <w:tc>
          <w:tcPr>
            <w:tcW w:w="1922" w:type="dxa"/>
          </w:tcPr>
          <w:p w14:paraId="5A96AB8B" w14:textId="4E328CB8"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14.8 [13; 16]</w:t>
            </w:r>
          </w:p>
        </w:tc>
        <w:tc>
          <w:tcPr>
            <w:tcW w:w="1905" w:type="dxa"/>
          </w:tcPr>
          <w:p w14:paraId="613FDD85" w14:textId="1775898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14.7 [13; 16]</w:t>
            </w:r>
          </w:p>
        </w:tc>
      </w:tr>
      <w:tr w:rsidR="003E0DC4" w14:paraId="3C508B23" w14:textId="77777777" w:rsidTr="00F67B48">
        <w:tc>
          <w:tcPr>
            <w:tcW w:w="2561" w:type="dxa"/>
            <w:vAlign w:val="center"/>
          </w:tcPr>
          <w:p w14:paraId="46EA0A1B" w14:textId="2A55EBEB" w:rsidR="003E0DC4"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 xml:space="preserve">    2</w:t>
            </w:r>
            <w:r w:rsidRPr="00EA6796">
              <w:rPr>
                <w:rFonts w:ascii="Times New Roman" w:eastAsia="Times New Roman" w:hAnsi="Times New Roman" w:cs="Times New Roman"/>
                <w:color w:val="000000"/>
                <w:sz w:val="20"/>
                <w:szCs w:val="16"/>
                <w:vertAlign w:val="superscript"/>
                <w:lang w:val="en-GB"/>
              </w:rPr>
              <w:t>nd</w:t>
            </w:r>
            <w:r>
              <w:rPr>
                <w:rFonts w:ascii="Times New Roman" w:eastAsia="Times New Roman" w:hAnsi="Times New Roman" w:cs="Times New Roman"/>
                <w:color w:val="000000"/>
                <w:sz w:val="20"/>
                <w:szCs w:val="16"/>
                <w:lang w:val="en-GB"/>
              </w:rPr>
              <w:t xml:space="preserve"> quintile; mean [IQR]</w:t>
            </w:r>
          </w:p>
        </w:tc>
        <w:tc>
          <w:tcPr>
            <w:tcW w:w="1843" w:type="dxa"/>
          </w:tcPr>
          <w:p w14:paraId="1B9298F5" w14:textId="585C59F7"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21.0 [20; 22]</w:t>
            </w:r>
          </w:p>
        </w:tc>
        <w:tc>
          <w:tcPr>
            <w:tcW w:w="1819" w:type="dxa"/>
          </w:tcPr>
          <w:p w14:paraId="6202BF1A" w14:textId="0CCFE16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21.0 [20; 22]</w:t>
            </w:r>
          </w:p>
        </w:tc>
        <w:tc>
          <w:tcPr>
            <w:tcW w:w="1922" w:type="dxa"/>
          </w:tcPr>
          <w:p w14:paraId="1E6A28F5" w14:textId="6A527E9C"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21.6 [20; 23]</w:t>
            </w:r>
          </w:p>
        </w:tc>
        <w:tc>
          <w:tcPr>
            <w:tcW w:w="1905" w:type="dxa"/>
          </w:tcPr>
          <w:p w14:paraId="69B1F0AE" w14:textId="27B1EBB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21.5 [20; 23]</w:t>
            </w:r>
          </w:p>
        </w:tc>
        <w:tc>
          <w:tcPr>
            <w:tcW w:w="1922" w:type="dxa"/>
          </w:tcPr>
          <w:p w14:paraId="6A6B2D75" w14:textId="4576E7C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21.7 [20; 23]</w:t>
            </w:r>
          </w:p>
        </w:tc>
        <w:tc>
          <w:tcPr>
            <w:tcW w:w="1905" w:type="dxa"/>
          </w:tcPr>
          <w:p w14:paraId="2CBBD113" w14:textId="4C559F87"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21.6 [20; 23]</w:t>
            </w:r>
          </w:p>
        </w:tc>
      </w:tr>
      <w:tr w:rsidR="003E0DC4" w14:paraId="07797E29" w14:textId="77777777" w:rsidTr="00F67B48">
        <w:tc>
          <w:tcPr>
            <w:tcW w:w="2561" w:type="dxa"/>
            <w:vAlign w:val="center"/>
          </w:tcPr>
          <w:p w14:paraId="687A3E24" w14:textId="4BABF73C" w:rsidR="003E0DC4"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 xml:space="preserve">    3</w:t>
            </w:r>
            <w:r w:rsidRPr="00EA6796">
              <w:rPr>
                <w:rFonts w:ascii="Times New Roman" w:eastAsia="Times New Roman" w:hAnsi="Times New Roman" w:cs="Times New Roman"/>
                <w:color w:val="000000"/>
                <w:sz w:val="20"/>
                <w:szCs w:val="16"/>
                <w:vertAlign w:val="superscript"/>
                <w:lang w:val="en-GB"/>
              </w:rPr>
              <w:t>rd</w:t>
            </w:r>
            <w:r>
              <w:rPr>
                <w:rFonts w:ascii="Times New Roman" w:eastAsia="Times New Roman" w:hAnsi="Times New Roman" w:cs="Times New Roman"/>
                <w:color w:val="000000"/>
                <w:sz w:val="20"/>
                <w:szCs w:val="16"/>
                <w:lang w:val="en-GB"/>
              </w:rPr>
              <w:t xml:space="preserve"> quintile; mean [IQR]</w:t>
            </w:r>
          </w:p>
        </w:tc>
        <w:tc>
          <w:tcPr>
            <w:tcW w:w="1843" w:type="dxa"/>
          </w:tcPr>
          <w:p w14:paraId="34AEE969" w14:textId="400E6445"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24.5 [24; 25]</w:t>
            </w:r>
          </w:p>
        </w:tc>
        <w:tc>
          <w:tcPr>
            <w:tcW w:w="1819" w:type="dxa"/>
          </w:tcPr>
          <w:p w14:paraId="353D1E10" w14:textId="03779332"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24.4 [24; 25]</w:t>
            </w:r>
          </w:p>
        </w:tc>
        <w:tc>
          <w:tcPr>
            <w:tcW w:w="1922" w:type="dxa"/>
          </w:tcPr>
          <w:p w14:paraId="04B71924" w14:textId="23C6EF2F"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25.2 [24; 26]</w:t>
            </w:r>
          </w:p>
        </w:tc>
        <w:tc>
          <w:tcPr>
            <w:tcW w:w="1905" w:type="dxa"/>
          </w:tcPr>
          <w:p w14:paraId="7F4C3EEF" w14:textId="7031BDEE"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25.1 [24; 26]</w:t>
            </w:r>
          </w:p>
        </w:tc>
        <w:tc>
          <w:tcPr>
            <w:tcW w:w="1922" w:type="dxa"/>
          </w:tcPr>
          <w:p w14:paraId="2B175441" w14:textId="3601F22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25.5 [25; 27]</w:t>
            </w:r>
          </w:p>
        </w:tc>
        <w:tc>
          <w:tcPr>
            <w:tcW w:w="1905" w:type="dxa"/>
          </w:tcPr>
          <w:p w14:paraId="39081E27" w14:textId="7B8987B6"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25.5 [25; 27]</w:t>
            </w:r>
          </w:p>
        </w:tc>
      </w:tr>
      <w:tr w:rsidR="003E0DC4" w14:paraId="104F387A" w14:textId="77777777" w:rsidTr="00F67B48">
        <w:tc>
          <w:tcPr>
            <w:tcW w:w="2561" w:type="dxa"/>
            <w:vAlign w:val="center"/>
          </w:tcPr>
          <w:p w14:paraId="47BAB8A0" w14:textId="2A4BAA1B" w:rsidR="003E0DC4"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 xml:space="preserve">    4</w:t>
            </w:r>
            <w:r w:rsidRPr="00EA6796">
              <w:rPr>
                <w:rFonts w:ascii="Times New Roman" w:eastAsia="Times New Roman" w:hAnsi="Times New Roman" w:cs="Times New Roman"/>
                <w:color w:val="000000"/>
                <w:sz w:val="20"/>
                <w:szCs w:val="16"/>
                <w:vertAlign w:val="superscript"/>
                <w:lang w:val="en-GB"/>
              </w:rPr>
              <w:t>th</w:t>
            </w:r>
            <w:r>
              <w:rPr>
                <w:rFonts w:ascii="Times New Roman" w:eastAsia="Times New Roman" w:hAnsi="Times New Roman" w:cs="Times New Roman"/>
                <w:color w:val="000000"/>
                <w:sz w:val="20"/>
                <w:szCs w:val="16"/>
                <w:lang w:val="en-GB"/>
              </w:rPr>
              <w:t xml:space="preserve"> quintile; mean [IQR]</w:t>
            </w:r>
          </w:p>
        </w:tc>
        <w:tc>
          <w:tcPr>
            <w:tcW w:w="1843" w:type="dxa"/>
          </w:tcPr>
          <w:p w14:paraId="6149A6A4" w14:textId="6F3C18D2"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29.1 [27; 31]</w:t>
            </w:r>
          </w:p>
        </w:tc>
        <w:tc>
          <w:tcPr>
            <w:tcW w:w="1819" w:type="dxa"/>
          </w:tcPr>
          <w:p w14:paraId="618ADD95" w14:textId="7D950287"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29.2 [27; 32]</w:t>
            </w:r>
          </w:p>
        </w:tc>
        <w:tc>
          <w:tcPr>
            <w:tcW w:w="1922" w:type="dxa"/>
          </w:tcPr>
          <w:p w14:paraId="27638E92" w14:textId="3DDDCA11"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31.8 [29; 34]</w:t>
            </w:r>
          </w:p>
        </w:tc>
        <w:tc>
          <w:tcPr>
            <w:tcW w:w="1905" w:type="dxa"/>
          </w:tcPr>
          <w:p w14:paraId="31615107" w14:textId="2FEA1AC7"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31.8 [29; 35]</w:t>
            </w:r>
          </w:p>
        </w:tc>
        <w:tc>
          <w:tcPr>
            <w:tcW w:w="1922" w:type="dxa"/>
          </w:tcPr>
          <w:p w14:paraId="7D6E5926" w14:textId="03B3319D"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33.3 [31; 36]</w:t>
            </w:r>
          </w:p>
        </w:tc>
        <w:tc>
          <w:tcPr>
            <w:tcW w:w="1905" w:type="dxa"/>
          </w:tcPr>
          <w:p w14:paraId="0D5EFE52" w14:textId="7EC7EA41"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33.3 [31; 36]</w:t>
            </w:r>
          </w:p>
        </w:tc>
      </w:tr>
      <w:tr w:rsidR="003E0DC4" w14:paraId="7763AF99" w14:textId="77777777" w:rsidTr="00F67B48">
        <w:tc>
          <w:tcPr>
            <w:tcW w:w="2561" w:type="dxa"/>
            <w:vAlign w:val="center"/>
          </w:tcPr>
          <w:p w14:paraId="7581F5D0" w14:textId="5C90FDFE" w:rsidR="003E0DC4"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 xml:space="preserve">    5</w:t>
            </w:r>
            <w:r w:rsidRPr="00EA6796">
              <w:rPr>
                <w:rFonts w:ascii="Times New Roman" w:eastAsia="Times New Roman" w:hAnsi="Times New Roman" w:cs="Times New Roman"/>
                <w:color w:val="000000"/>
                <w:sz w:val="20"/>
                <w:szCs w:val="16"/>
                <w:vertAlign w:val="superscript"/>
                <w:lang w:val="en-GB"/>
              </w:rPr>
              <w:t>th</w:t>
            </w:r>
            <w:r>
              <w:rPr>
                <w:rFonts w:ascii="Times New Roman" w:eastAsia="Times New Roman" w:hAnsi="Times New Roman" w:cs="Times New Roman"/>
                <w:color w:val="000000"/>
                <w:sz w:val="20"/>
                <w:szCs w:val="16"/>
                <w:lang w:val="en-GB"/>
              </w:rPr>
              <w:t xml:space="preserve"> quintile; mean [IQR]</w:t>
            </w:r>
          </w:p>
        </w:tc>
        <w:tc>
          <w:tcPr>
            <w:tcW w:w="1843" w:type="dxa"/>
          </w:tcPr>
          <w:p w14:paraId="15C0104C" w14:textId="74EA327E"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44.9 [39; 57]</w:t>
            </w:r>
          </w:p>
        </w:tc>
        <w:tc>
          <w:tcPr>
            <w:tcW w:w="1819" w:type="dxa"/>
          </w:tcPr>
          <w:p w14:paraId="043DDE19" w14:textId="16F5AAAF"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44.6 [39; 57]</w:t>
            </w:r>
          </w:p>
        </w:tc>
        <w:tc>
          <w:tcPr>
            <w:tcW w:w="1922" w:type="dxa"/>
          </w:tcPr>
          <w:p w14:paraId="547E182F" w14:textId="572E2D3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50.6 [43; 63]</w:t>
            </w:r>
          </w:p>
        </w:tc>
        <w:tc>
          <w:tcPr>
            <w:tcW w:w="1905" w:type="dxa"/>
          </w:tcPr>
          <w:p w14:paraId="04729846" w14:textId="08D095A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50.4 [43; 63]</w:t>
            </w:r>
          </w:p>
        </w:tc>
        <w:tc>
          <w:tcPr>
            <w:tcW w:w="1922" w:type="dxa"/>
          </w:tcPr>
          <w:p w14:paraId="3B4856B3" w14:textId="6B4FD182"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53.0 [46; 66]</w:t>
            </w:r>
          </w:p>
        </w:tc>
        <w:tc>
          <w:tcPr>
            <w:tcW w:w="1905" w:type="dxa"/>
          </w:tcPr>
          <w:p w14:paraId="6132DD61" w14:textId="79ED286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52.8 [45; 66]</w:t>
            </w:r>
          </w:p>
        </w:tc>
      </w:tr>
      <w:tr w:rsidR="003E0DC4" w14:paraId="28EE8FDF" w14:textId="77777777" w:rsidTr="00F67B48">
        <w:tc>
          <w:tcPr>
            <w:tcW w:w="2561" w:type="dxa"/>
            <w:vAlign w:val="center"/>
          </w:tcPr>
          <w:p w14:paraId="7BDEAD87" w14:textId="71717CD9"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Marital status</w:t>
            </w:r>
          </w:p>
        </w:tc>
        <w:tc>
          <w:tcPr>
            <w:tcW w:w="1843" w:type="dxa"/>
          </w:tcPr>
          <w:p w14:paraId="28B42122" w14:textId="77777777" w:rsidR="003E0DC4" w:rsidRDefault="003E0DC4" w:rsidP="003E0DC4">
            <w:pPr>
              <w:tabs>
                <w:tab w:val="left" w:pos="871"/>
              </w:tabs>
              <w:jc w:val="right"/>
              <w:rPr>
                <w:rFonts w:ascii="Times New Roman" w:hAnsi="Times New Roman" w:cs="Times New Roman"/>
                <w:sz w:val="20"/>
                <w:szCs w:val="20"/>
              </w:rPr>
            </w:pPr>
          </w:p>
        </w:tc>
        <w:tc>
          <w:tcPr>
            <w:tcW w:w="1819" w:type="dxa"/>
          </w:tcPr>
          <w:p w14:paraId="2167F064" w14:textId="3B4B2492" w:rsidR="003E0DC4" w:rsidRDefault="003E0DC4" w:rsidP="003E0DC4">
            <w:pPr>
              <w:tabs>
                <w:tab w:val="left" w:pos="871"/>
              </w:tabs>
              <w:jc w:val="right"/>
              <w:rPr>
                <w:rFonts w:ascii="Times New Roman" w:hAnsi="Times New Roman" w:cs="Times New Roman"/>
                <w:sz w:val="20"/>
                <w:szCs w:val="20"/>
              </w:rPr>
            </w:pPr>
          </w:p>
        </w:tc>
        <w:tc>
          <w:tcPr>
            <w:tcW w:w="1922" w:type="dxa"/>
          </w:tcPr>
          <w:p w14:paraId="2B7DFA68" w14:textId="77777777" w:rsidR="003E0DC4" w:rsidRDefault="003E0DC4" w:rsidP="003E0DC4">
            <w:pPr>
              <w:tabs>
                <w:tab w:val="left" w:pos="871"/>
              </w:tabs>
              <w:jc w:val="right"/>
              <w:rPr>
                <w:rFonts w:ascii="Times New Roman" w:hAnsi="Times New Roman" w:cs="Times New Roman"/>
                <w:sz w:val="20"/>
                <w:szCs w:val="20"/>
              </w:rPr>
            </w:pPr>
          </w:p>
        </w:tc>
        <w:tc>
          <w:tcPr>
            <w:tcW w:w="1905" w:type="dxa"/>
          </w:tcPr>
          <w:p w14:paraId="1AFC259A" w14:textId="77777777" w:rsidR="003E0DC4" w:rsidRDefault="003E0DC4" w:rsidP="003E0DC4">
            <w:pPr>
              <w:tabs>
                <w:tab w:val="left" w:pos="871"/>
              </w:tabs>
              <w:jc w:val="right"/>
              <w:rPr>
                <w:rFonts w:ascii="Times New Roman" w:hAnsi="Times New Roman" w:cs="Times New Roman"/>
                <w:sz w:val="20"/>
                <w:szCs w:val="20"/>
              </w:rPr>
            </w:pPr>
          </w:p>
        </w:tc>
        <w:tc>
          <w:tcPr>
            <w:tcW w:w="1922" w:type="dxa"/>
          </w:tcPr>
          <w:p w14:paraId="563B32CD" w14:textId="77777777" w:rsidR="003E0DC4" w:rsidRDefault="003E0DC4" w:rsidP="003E0DC4">
            <w:pPr>
              <w:tabs>
                <w:tab w:val="left" w:pos="871"/>
              </w:tabs>
              <w:jc w:val="right"/>
              <w:rPr>
                <w:rFonts w:ascii="Times New Roman" w:hAnsi="Times New Roman" w:cs="Times New Roman"/>
                <w:sz w:val="20"/>
                <w:szCs w:val="20"/>
              </w:rPr>
            </w:pPr>
          </w:p>
        </w:tc>
        <w:tc>
          <w:tcPr>
            <w:tcW w:w="1905" w:type="dxa"/>
          </w:tcPr>
          <w:p w14:paraId="3818C29B" w14:textId="77777777" w:rsidR="003E0DC4" w:rsidRDefault="003E0DC4" w:rsidP="003E0DC4">
            <w:pPr>
              <w:tabs>
                <w:tab w:val="left" w:pos="871"/>
              </w:tabs>
              <w:jc w:val="right"/>
              <w:rPr>
                <w:rFonts w:ascii="Times New Roman" w:hAnsi="Times New Roman" w:cs="Times New Roman"/>
                <w:sz w:val="20"/>
                <w:szCs w:val="20"/>
              </w:rPr>
            </w:pPr>
          </w:p>
        </w:tc>
      </w:tr>
      <w:tr w:rsidR="003E0DC4" w14:paraId="1C853055" w14:textId="77777777" w:rsidTr="00F67B48">
        <w:tc>
          <w:tcPr>
            <w:tcW w:w="2561" w:type="dxa"/>
            <w:vAlign w:val="center"/>
          </w:tcPr>
          <w:p w14:paraId="62C02312" w14:textId="6BF8F13F"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Married; n (%)</w:t>
            </w:r>
          </w:p>
        </w:tc>
        <w:tc>
          <w:tcPr>
            <w:tcW w:w="1843" w:type="dxa"/>
          </w:tcPr>
          <w:p w14:paraId="000E61CE" w14:textId="53D75CE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29,191 (38.9)</w:t>
            </w:r>
          </w:p>
        </w:tc>
        <w:tc>
          <w:tcPr>
            <w:tcW w:w="1819" w:type="dxa"/>
          </w:tcPr>
          <w:p w14:paraId="42CABD67" w14:textId="5992265F"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41,615 (20.4)</w:t>
            </w:r>
          </w:p>
        </w:tc>
        <w:tc>
          <w:tcPr>
            <w:tcW w:w="1922" w:type="dxa"/>
          </w:tcPr>
          <w:p w14:paraId="76D100A4" w14:textId="561FD7A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42,681 (46.8)</w:t>
            </w:r>
          </w:p>
        </w:tc>
        <w:tc>
          <w:tcPr>
            <w:tcW w:w="1905" w:type="dxa"/>
          </w:tcPr>
          <w:p w14:paraId="4B129474" w14:textId="5C985561"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53,530 (32.5)</w:t>
            </w:r>
          </w:p>
        </w:tc>
        <w:tc>
          <w:tcPr>
            <w:tcW w:w="1922" w:type="dxa"/>
          </w:tcPr>
          <w:p w14:paraId="22D6102B" w14:textId="2CD82BCF"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108,696 (50.9)</w:t>
            </w:r>
          </w:p>
        </w:tc>
        <w:tc>
          <w:tcPr>
            <w:tcW w:w="1905" w:type="dxa"/>
          </w:tcPr>
          <w:p w14:paraId="0936F5ED" w14:textId="4D464FBD"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129,538 (38.8)</w:t>
            </w:r>
          </w:p>
        </w:tc>
      </w:tr>
      <w:tr w:rsidR="003E0DC4" w14:paraId="1A79EF3B" w14:textId="77777777" w:rsidTr="00F67B48">
        <w:tc>
          <w:tcPr>
            <w:tcW w:w="2561" w:type="dxa"/>
            <w:vAlign w:val="center"/>
          </w:tcPr>
          <w:p w14:paraId="51ABB450" w14:textId="484BE390"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Widowed; n (%)</w:t>
            </w:r>
          </w:p>
        </w:tc>
        <w:tc>
          <w:tcPr>
            <w:tcW w:w="1843" w:type="dxa"/>
          </w:tcPr>
          <w:p w14:paraId="43313642" w14:textId="18360747"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31,316 (41.7)</w:t>
            </w:r>
          </w:p>
        </w:tc>
        <w:tc>
          <w:tcPr>
            <w:tcW w:w="1819" w:type="dxa"/>
          </w:tcPr>
          <w:p w14:paraId="51FB499B" w14:textId="7216AE3C"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45,990 (22.5)</w:t>
            </w:r>
          </w:p>
        </w:tc>
        <w:tc>
          <w:tcPr>
            <w:tcW w:w="1922" w:type="dxa"/>
          </w:tcPr>
          <w:p w14:paraId="3043B206" w14:textId="55DC1943"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27,810 (30.5)</w:t>
            </w:r>
          </w:p>
        </w:tc>
        <w:tc>
          <w:tcPr>
            <w:tcW w:w="1905" w:type="dxa"/>
          </w:tcPr>
          <w:p w14:paraId="30116D8B" w14:textId="50F9C299"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38,924 (23.6)</w:t>
            </w:r>
          </w:p>
        </w:tc>
        <w:tc>
          <w:tcPr>
            <w:tcW w:w="1922" w:type="dxa"/>
          </w:tcPr>
          <w:p w14:paraId="27A42D69" w14:textId="6CDAAE0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60,192 (28.2)</w:t>
            </w:r>
          </w:p>
        </w:tc>
        <w:tc>
          <w:tcPr>
            <w:tcW w:w="1905" w:type="dxa"/>
          </w:tcPr>
          <w:p w14:paraId="606EECA9" w14:textId="35A7B570"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80,684 (24.2)</w:t>
            </w:r>
          </w:p>
        </w:tc>
      </w:tr>
      <w:tr w:rsidR="003E0DC4" w14:paraId="2B269498" w14:textId="77777777" w:rsidTr="00F67B48">
        <w:tc>
          <w:tcPr>
            <w:tcW w:w="2561" w:type="dxa"/>
            <w:vAlign w:val="center"/>
          </w:tcPr>
          <w:p w14:paraId="6EA50B81" w14:textId="2265F7E3"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Divorced; n (%)</w:t>
            </w:r>
          </w:p>
        </w:tc>
        <w:tc>
          <w:tcPr>
            <w:tcW w:w="1843" w:type="dxa"/>
          </w:tcPr>
          <w:p w14:paraId="4CB73A97" w14:textId="17C32391"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9,206 (12.3)</w:t>
            </w:r>
          </w:p>
        </w:tc>
        <w:tc>
          <w:tcPr>
            <w:tcW w:w="1819" w:type="dxa"/>
          </w:tcPr>
          <w:p w14:paraId="2C4F8DE5" w14:textId="24E615A2"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13,365   (6.5)</w:t>
            </w:r>
          </w:p>
        </w:tc>
        <w:tc>
          <w:tcPr>
            <w:tcW w:w="1922" w:type="dxa"/>
          </w:tcPr>
          <w:p w14:paraId="03035845" w14:textId="203B962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13,695 (15.0)</w:t>
            </w:r>
          </w:p>
        </w:tc>
        <w:tc>
          <w:tcPr>
            <w:tcW w:w="1905" w:type="dxa"/>
          </w:tcPr>
          <w:p w14:paraId="325E0CE2" w14:textId="031DAE0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17,836 (10.8)</w:t>
            </w:r>
          </w:p>
        </w:tc>
        <w:tc>
          <w:tcPr>
            <w:tcW w:w="1922" w:type="dxa"/>
          </w:tcPr>
          <w:p w14:paraId="5D210E52" w14:textId="4673D309"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30,292 (14.2)</w:t>
            </w:r>
          </w:p>
        </w:tc>
        <w:tc>
          <w:tcPr>
            <w:tcW w:w="1905" w:type="dxa"/>
          </w:tcPr>
          <w:p w14:paraId="582F56ED" w14:textId="4778329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37,378 (11.2)</w:t>
            </w:r>
          </w:p>
        </w:tc>
      </w:tr>
      <w:tr w:rsidR="003E0DC4" w14:paraId="780ABAA6" w14:textId="77777777" w:rsidTr="00F67B48">
        <w:tc>
          <w:tcPr>
            <w:tcW w:w="2561" w:type="dxa"/>
            <w:vAlign w:val="center"/>
          </w:tcPr>
          <w:p w14:paraId="01240BAE" w14:textId="3CE37A82"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Unmarried; n (%)</w:t>
            </w:r>
          </w:p>
        </w:tc>
        <w:tc>
          <w:tcPr>
            <w:tcW w:w="1843" w:type="dxa"/>
          </w:tcPr>
          <w:p w14:paraId="5EE0CBAE" w14:textId="0D9FAA55"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5,287   (7.0)</w:t>
            </w:r>
          </w:p>
        </w:tc>
        <w:tc>
          <w:tcPr>
            <w:tcW w:w="1819" w:type="dxa"/>
          </w:tcPr>
          <w:p w14:paraId="70F2B843" w14:textId="6C20865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7,985   (3.9)</w:t>
            </w:r>
          </w:p>
        </w:tc>
        <w:tc>
          <w:tcPr>
            <w:tcW w:w="1922" w:type="dxa"/>
          </w:tcPr>
          <w:p w14:paraId="2A93D6C8" w14:textId="2B568F7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7,018   (7.7)</w:t>
            </w:r>
          </w:p>
        </w:tc>
        <w:tc>
          <w:tcPr>
            <w:tcW w:w="1905" w:type="dxa"/>
          </w:tcPr>
          <w:p w14:paraId="04A374A0" w14:textId="52FDF846"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9,347   (5.7)</w:t>
            </w:r>
          </w:p>
        </w:tc>
        <w:tc>
          <w:tcPr>
            <w:tcW w:w="1922" w:type="dxa"/>
          </w:tcPr>
          <w:p w14:paraId="0DBDD9EC" w14:textId="209E3A08"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14,292   (6.7)</w:t>
            </w:r>
          </w:p>
        </w:tc>
        <w:tc>
          <w:tcPr>
            <w:tcW w:w="1905" w:type="dxa"/>
          </w:tcPr>
          <w:p w14:paraId="475DE443" w14:textId="10488543"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18,291   (5.5)</w:t>
            </w:r>
          </w:p>
        </w:tc>
      </w:tr>
      <w:tr w:rsidR="003E0DC4" w14:paraId="5C6B4516" w14:textId="77777777" w:rsidTr="00F67B48">
        <w:tc>
          <w:tcPr>
            <w:tcW w:w="2561" w:type="dxa"/>
            <w:vAlign w:val="center"/>
          </w:tcPr>
          <w:p w14:paraId="685DB423" w14:textId="54DA22A0"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Pr>
                <w:rFonts w:ascii="Times New Roman" w:eastAsia="Times New Roman" w:hAnsi="Times New Roman" w:cs="Times New Roman"/>
                <w:color w:val="000000"/>
                <w:sz w:val="20"/>
                <w:szCs w:val="16"/>
                <w:lang w:val="en-GB"/>
              </w:rPr>
              <w:t>Urban</w:t>
            </w:r>
          </w:p>
        </w:tc>
        <w:tc>
          <w:tcPr>
            <w:tcW w:w="1843" w:type="dxa"/>
          </w:tcPr>
          <w:p w14:paraId="6DD49F65" w14:textId="77777777" w:rsidR="003E0DC4" w:rsidRDefault="003E0DC4" w:rsidP="003E0DC4">
            <w:pPr>
              <w:tabs>
                <w:tab w:val="left" w:pos="871"/>
              </w:tabs>
              <w:jc w:val="right"/>
              <w:rPr>
                <w:rFonts w:ascii="Times New Roman" w:hAnsi="Times New Roman" w:cs="Times New Roman"/>
                <w:sz w:val="20"/>
                <w:szCs w:val="20"/>
              </w:rPr>
            </w:pPr>
          </w:p>
        </w:tc>
        <w:tc>
          <w:tcPr>
            <w:tcW w:w="1819" w:type="dxa"/>
          </w:tcPr>
          <w:p w14:paraId="10F3C920" w14:textId="77777777" w:rsidR="003E0DC4" w:rsidRDefault="003E0DC4" w:rsidP="003E0DC4">
            <w:pPr>
              <w:tabs>
                <w:tab w:val="left" w:pos="871"/>
              </w:tabs>
              <w:jc w:val="right"/>
              <w:rPr>
                <w:rFonts w:ascii="Times New Roman" w:hAnsi="Times New Roman" w:cs="Times New Roman"/>
                <w:sz w:val="20"/>
                <w:szCs w:val="20"/>
              </w:rPr>
            </w:pPr>
          </w:p>
        </w:tc>
        <w:tc>
          <w:tcPr>
            <w:tcW w:w="1922" w:type="dxa"/>
          </w:tcPr>
          <w:p w14:paraId="73778599" w14:textId="77777777" w:rsidR="003E0DC4" w:rsidRDefault="003E0DC4" w:rsidP="003E0DC4">
            <w:pPr>
              <w:tabs>
                <w:tab w:val="left" w:pos="871"/>
              </w:tabs>
              <w:jc w:val="right"/>
              <w:rPr>
                <w:rFonts w:ascii="Times New Roman" w:hAnsi="Times New Roman" w:cs="Times New Roman"/>
                <w:sz w:val="20"/>
                <w:szCs w:val="20"/>
              </w:rPr>
            </w:pPr>
          </w:p>
        </w:tc>
        <w:tc>
          <w:tcPr>
            <w:tcW w:w="1905" w:type="dxa"/>
          </w:tcPr>
          <w:p w14:paraId="4B4D2888" w14:textId="77777777" w:rsidR="003E0DC4" w:rsidRDefault="003E0DC4" w:rsidP="003E0DC4">
            <w:pPr>
              <w:tabs>
                <w:tab w:val="left" w:pos="871"/>
              </w:tabs>
              <w:jc w:val="right"/>
              <w:rPr>
                <w:rFonts w:ascii="Times New Roman" w:hAnsi="Times New Roman" w:cs="Times New Roman"/>
                <w:sz w:val="20"/>
                <w:szCs w:val="20"/>
              </w:rPr>
            </w:pPr>
          </w:p>
        </w:tc>
        <w:tc>
          <w:tcPr>
            <w:tcW w:w="1922" w:type="dxa"/>
          </w:tcPr>
          <w:p w14:paraId="6A18BD40" w14:textId="77777777" w:rsidR="003E0DC4" w:rsidRDefault="003E0DC4" w:rsidP="003E0DC4">
            <w:pPr>
              <w:tabs>
                <w:tab w:val="left" w:pos="871"/>
              </w:tabs>
              <w:jc w:val="right"/>
              <w:rPr>
                <w:rFonts w:ascii="Times New Roman" w:hAnsi="Times New Roman" w:cs="Times New Roman"/>
                <w:sz w:val="20"/>
                <w:szCs w:val="20"/>
              </w:rPr>
            </w:pPr>
          </w:p>
        </w:tc>
        <w:tc>
          <w:tcPr>
            <w:tcW w:w="1905" w:type="dxa"/>
          </w:tcPr>
          <w:p w14:paraId="522123E7" w14:textId="77777777" w:rsidR="003E0DC4" w:rsidRDefault="003E0DC4" w:rsidP="003E0DC4">
            <w:pPr>
              <w:tabs>
                <w:tab w:val="left" w:pos="871"/>
              </w:tabs>
              <w:jc w:val="right"/>
              <w:rPr>
                <w:rFonts w:ascii="Times New Roman" w:hAnsi="Times New Roman" w:cs="Times New Roman"/>
                <w:sz w:val="20"/>
                <w:szCs w:val="20"/>
              </w:rPr>
            </w:pPr>
          </w:p>
        </w:tc>
      </w:tr>
      <w:tr w:rsidR="003E0DC4" w14:paraId="22BDE5A1" w14:textId="77777777" w:rsidTr="00F67B48">
        <w:tc>
          <w:tcPr>
            <w:tcW w:w="2561" w:type="dxa"/>
            <w:vAlign w:val="center"/>
          </w:tcPr>
          <w:p w14:paraId="056C2440" w14:textId="41F58F17"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Remote</w:t>
            </w:r>
            <w:r w:rsidRPr="009C0083">
              <w:rPr>
                <w:rFonts w:ascii="Times New Roman" w:eastAsia="Times New Roman" w:hAnsi="Times New Roman" w:cs="Times New Roman"/>
                <w:color w:val="000000"/>
                <w:sz w:val="20"/>
                <w:szCs w:val="16"/>
                <w:lang w:val="en-GB"/>
              </w:rPr>
              <w:t>; n (%)</w:t>
            </w:r>
          </w:p>
        </w:tc>
        <w:tc>
          <w:tcPr>
            <w:tcW w:w="1843" w:type="dxa"/>
          </w:tcPr>
          <w:p w14:paraId="20B76CF7" w14:textId="4D56A934"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8,401 (11.2)</w:t>
            </w:r>
          </w:p>
        </w:tc>
        <w:tc>
          <w:tcPr>
            <w:tcW w:w="1819" w:type="dxa"/>
          </w:tcPr>
          <w:p w14:paraId="37DBFEAC" w14:textId="5F08D7D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7,881   (3.9)</w:t>
            </w:r>
          </w:p>
        </w:tc>
        <w:tc>
          <w:tcPr>
            <w:tcW w:w="1922" w:type="dxa"/>
          </w:tcPr>
          <w:p w14:paraId="0DC5D624" w14:textId="34A96F0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9,293 (10.2)</w:t>
            </w:r>
          </w:p>
        </w:tc>
        <w:tc>
          <w:tcPr>
            <w:tcW w:w="1905" w:type="dxa"/>
          </w:tcPr>
          <w:p w14:paraId="79B4EBC1" w14:textId="52DD8602"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7,164   (4.3)</w:t>
            </w:r>
          </w:p>
        </w:tc>
        <w:tc>
          <w:tcPr>
            <w:tcW w:w="1922" w:type="dxa"/>
          </w:tcPr>
          <w:p w14:paraId="2CC552A9" w14:textId="1418BAF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22,768 (10.7)</w:t>
            </w:r>
          </w:p>
        </w:tc>
        <w:tc>
          <w:tcPr>
            <w:tcW w:w="1905" w:type="dxa"/>
          </w:tcPr>
          <w:p w14:paraId="2900E780" w14:textId="3C18A896"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16,242   (4.9)</w:t>
            </w:r>
          </w:p>
        </w:tc>
      </w:tr>
      <w:tr w:rsidR="003E0DC4" w14:paraId="06680005" w14:textId="77777777" w:rsidTr="00F67B48">
        <w:tc>
          <w:tcPr>
            <w:tcW w:w="2561" w:type="dxa"/>
            <w:vAlign w:val="center"/>
          </w:tcPr>
          <w:p w14:paraId="31A61423" w14:textId="0E4C87AB"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Rural</w:t>
            </w:r>
            <w:r w:rsidRPr="009C0083">
              <w:rPr>
                <w:rFonts w:ascii="Times New Roman" w:eastAsia="Times New Roman" w:hAnsi="Times New Roman" w:cs="Times New Roman"/>
                <w:color w:val="000000"/>
                <w:sz w:val="20"/>
                <w:szCs w:val="16"/>
                <w:lang w:val="en-GB"/>
              </w:rPr>
              <w:t>; n (%)</w:t>
            </w:r>
          </w:p>
        </w:tc>
        <w:tc>
          <w:tcPr>
            <w:tcW w:w="1843" w:type="dxa"/>
          </w:tcPr>
          <w:p w14:paraId="4B5F634C" w14:textId="7D83E74F"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22,281 (29.7)</w:t>
            </w:r>
          </w:p>
        </w:tc>
        <w:tc>
          <w:tcPr>
            <w:tcW w:w="1819" w:type="dxa"/>
          </w:tcPr>
          <w:p w14:paraId="2571399F" w14:textId="67B6F93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20,504 (10.0)</w:t>
            </w:r>
          </w:p>
        </w:tc>
        <w:tc>
          <w:tcPr>
            <w:tcW w:w="1922" w:type="dxa"/>
          </w:tcPr>
          <w:p w14:paraId="03BC4888" w14:textId="2C880ECF"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25,999 (28.5)</w:t>
            </w:r>
          </w:p>
        </w:tc>
        <w:tc>
          <w:tcPr>
            <w:tcW w:w="1905" w:type="dxa"/>
          </w:tcPr>
          <w:p w14:paraId="69372C9F" w14:textId="1B624E07"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19,329 (11.7)</w:t>
            </w:r>
          </w:p>
        </w:tc>
        <w:tc>
          <w:tcPr>
            <w:tcW w:w="1922" w:type="dxa"/>
          </w:tcPr>
          <w:p w14:paraId="04B7B7D7" w14:textId="4E98AD1E"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62,554 (29.3)</w:t>
            </w:r>
          </w:p>
        </w:tc>
        <w:tc>
          <w:tcPr>
            <w:tcW w:w="1905" w:type="dxa"/>
          </w:tcPr>
          <w:p w14:paraId="1714720C" w14:textId="00522C61"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43,512 (13.0)</w:t>
            </w:r>
          </w:p>
        </w:tc>
      </w:tr>
      <w:tr w:rsidR="003E0DC4" w14:paraId="14918DE3" w14:textId="77777777" w:rsidTr="00F67B48">
        <w:tc>
          <w:tcPr>
            <w:tcW w:w="2561" w:type="dxa"/>
            <w:vAlign w:val="center"/>
          </w:tcPr>
          <w:p w14:paraId="3E529E8A" w14:textId="72C2488B"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Intermediate</w:t>
            </w:r>
            <w:r w:rsidRPr="009C0083">
              <w:rPr>
                <w:rFonts w:ascii="Times New Roman" w:eastAsia="Times New Roman" w:hAnsi="Times New Roman" w:cs="Times New Roman"/>
                <w:color w:val="000000"/>
                <w:sz w:val="20"/>
                <w:szCs w:val="16"/>
                <w:lang w:val="en-GB"/>
              </w:rPr>
              <w:t>; n (%)</w:t>
            </w:r>
          </w:p>
        </w:tc>
        <w:tc>
          <w:tcPr>
            <w:tcW w:w="1843" w:type="dxa"/>
          </w:tcPr>
          <w:p w14:paraId="0298DE8A" w14:textId="2992F52C"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11,731 (15.6)</w:t>
            </w:r>
          </w:p>
        </w:tc>
        <w:tc>
          <w:tcPr>
            <w:tcW w:w="1819" w:type="dxa"/>
          </w:tcPr>
          <w:p w14:paraId="3D9E15C5" w14:textId="090C3F9C"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10,640   (5.2)</w:t>
            </w:r>
          </w:p>
        </w:tc>
        <w:tc>
          <w:tcPr>
            <w:tcW w:w="1922" w:type="dxa"/>
          </w:tcPr>
          <w:p w14:paraId="74B604E7" w14:textId="659DEBB5"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14,173 (15.5)</w:t>
            </w:r>
          </w:p>
        </w:tc>
        <w:tc>
          <w:tcPr>
            <w:tcW w:w="1905" w:type="dxa"/>
          </w:tcPr>
          <w:p w14:paraId="05E6F6B3" w14:textId="0D742F7B"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10,280   (6.2)</w:t>
            </w:r>
          </w:p>
        </w:tc>
        <w:tc>
          <w:tcPr>
            <w:tcW w:w="1922" w:type="dxa"/>
          </w:tcPr>
          <w:p w14:paraId="0892F058" w14:textId="5BF10D8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33,781 (15.8)</w:t>
            </w:r>
          </w:p>
        </w:tc>
        <w:tc>
          <w:tcPr>
            <w:tcW w:w="1905" w:type="dxa"/>
          </w:tcPr>
          <w:p w14:paraId="081B261B" w14:textId="47889000"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23,454   (7.0)</w:t>
            </w:r>
          </w:p>
        </w:tc>
      </w:tr>
      <w:tr w:rsidR="003E0DC4" w14:paraId="6F86F81D" w14:textId="77777777" w:rsidTr="00F67B48">
        <w:tc>
          <w:tcPr>
            <w:tcW w:w="2561" w:type="dxa"/>
            <w:vAlign w:val="center"/>
          </w:tcPr>
          <w:p w14:paraId="3A665773" w14:textId="6CB0D82C" w:rsidR="003E0DC4" w:rsidRDefault="003E0DC4" w:rsidP="003E0DC4">
            <w:pPr>
              <w:tabs>
                <w:tab w:val="left" w:pos="871"/>
              </w:tabs>
              <w:jc w:val="both"/>
              <w:rPr>
                <w:rFonts w:ascii="Times New Roman" w:eastAsia="Times New Roman" w:hAnsi="Times New Roman" w:cs="Times New Roman"/>
                <w:color w:val="000000"/>
                <w:sz w:val="20"/>
                <w:szCs w:val="16"/>
                <w:lang w:val="en-GB"/>
              </w:rPr>
            </w:pPr>
            <w:r w:rsidRPr="00EA6796">
              <w:rPr>
                <w:rFonts w:ascii="Times New Roman" w:eastAsia="Times New Roman" w:hAnsi="Times New Roman" w:cs="Times New Roman"/>
                <w:color w:val="000000"/>
                <w:sz w:val="20"/>
                <w:szCs w:val="16"/>
                <w:lang w:val="en-GB"/>
              </w:rPr>
              <w:t xml:space="preserve">    Urban</w:t>
            </w:r>
            <w:r w:rsidRPr="009C0083">
              <w:rPr>
                <w:rFonts w:ascii="Times New Roman" w:eastAsia="Times New Roman" w:hAnsi="Times New Roman" w:cs="Times New Roman"/>
                <w:color w:val="000000"/>
                <w:sz w:val="20"/>
                <w:szCs w:val="16"/>
                <w:lang w:val="en-GB"/>
              </w:rPr>
              <w:t>; n (%)</w:t>
            </w:r>
          </w:p>
        </w:tc>
        <w:tc>
          <w:tcPr>
            <w:tcW w:w="1843" w:type="dxa"/>
          </w:tcPr>
          <w:p w14:paraId="0335A229" w14:textId="60659600"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32,587 (43,45</w:t>
            </w:r>
          </w:p>
        </w:tc>
        <w:tc>
          <w:tcPr>
            <w:tcW w:w="1819" w:type="dxa"/>
          </w:tcPr>
          <w:p w14:paraId="3B9AA808" w14:textId="7002AC4D"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29,664 (14,5)</w:t>
            </w:r>
          </w:p>
        </w:tc>
        <w:tc>
          <w:tcPr>
            <w:tcW w:w="1922" w:type="dxa"/>
          </w:tcPr>
          <w:p w14:paraId="372D0A09" w14:textId="07E1B8E5"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41,739 (45.8)</w:t>
            </w:r>
          </w:p>
        </w:tc>
        <w:tc>
          <w:tcPr>
            <w:tcW w:w="1905" w:type="dxa"/>
          </w:tcPr>
          <w:p w14:paraId="55E6BE8E" w14:textId="2B386380"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30,843 (18.7)</w:t>
            </w:r>
          </w:p>
        </w:tc>
        <w:tc>
          <w:tcPr>
            <w:tcW w:w="1922" w:type="dxa"/>
          </w:tcPr>
          <w:p w14:paraId="10292BC6" w14:textId="2C88155A"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94,369 (44.2)</w:t>
            </w:r>
          </w:p>
        </w:tc>
        <w:tc>
          <w:tcPr>
            <w:tcW w:w="1905" w:type="dxa"/>
          </w:tcPr>
          <w:p w14:paraId="16810AC5" w14:textId="143CD8BE" w:rsidR="003E0DC4"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65,476 (19.6)</w:t>
            </w:r>
          </w:p>
        </w:tc>
      </w:tr>
      <w:tr w:rsidR="003E0DC4" w14:paraId="5A9F3C2D" w14:textId="77777777" w:rsidTr="00F67B48">
        <w:tc>
          <w:tcPr>
            <w:tcW w:w="2561" w:type="dxa"/>
            <w:vAlign w:val="center"/>
          </w:tcPr>
          <w:p w14:paraId="17C5740A" w14:textId="72476F85"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b/>
                <w:bCs/>
                <w:color w:val="000000"/>
                <w:sz w:val="20"/>
                <w:szCs w:val="16"/>
                <w:lang w:val="en-GB"/>
              </w:rPr>
              <w:t>Covariates</w:t>
            </w:r>
          </w:p>
        </w:tc>
        <w:tc>
          <w:tcPr>
            <w:tcW w:w="1843" w:type="dxa"/>
          </w:tcPr>
          <w:p w14:paraId="0D016F77" w14:textId="77777777" w:rsidR="003E0DC4" w:rsidRPr="00F67B48" w:rsidRDefault="003E0DC4" w:rsidP="003E0DC4">
            <w:pPr>
              <w:tabs>
                <w:tab w:val="left" w:pos="871"/>
              </w:tabs>
              <w:jc w:val="right"/>
              <w:rPr>
                <w:rFonts w:ascii="Times New Roman" w:hAnsi="Times New Roman" w:cs="Times New Roman"/>
                <w:sz w:val="20"/>
                <w:szCs w:val="20"/>
              </w:rPr>
            </w:pPr>
          </w:p>
        </w:tc>
        <w:tc>
          <w:tcPr>
            <w:tcW w:w="1819" w:type="dxa"/>
          </w:tcPr>
          <w:p w14:paraId="0B1DD4D1"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127A0C54"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6F37A10B"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442A1B7B"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1E6D1A86" w14:textId="77777777" w:rsidR="003E0DC4" w:rsidRPr="00F67B48" w:rsidRDefault="003E0DC4" w:rsidP="003E0DC4">
            <w:pPr>
              <w:tabs>
                <w:tab w:val="left" w:pos="871"/>
              </w:tabs>
              <w:jc w:val="right"/>
              <w:rPr>
                <w:rFonts w:ascii="Times New Roman" w:hAnsi="Times New Roman" w:cs="Times New Roman"/>
                <w:sz w:val="20"/>
                <w:szCs w:val="20"/>
              </w:rPr>
            </w:pPr>
          </w:p>
        </w:tc>
      </w:tr>
      <w:tr w:rsidR="003E0DC4" w14:paraId="40C49CF9" w14:textId="77777777" w:rsidTr="00F67B48">
        <w:tc>
          <w:tcPr>
            <w:tcW w:w="2561" w:type="dxa"/>
            <w:vAlign w:val="center"/>
          </w:tcPr>
          <w:p w14:paraId="388EDEFA" w14:textId="398E3C6D"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Smoking (imputed)</w:t>
            </w:r>
          </w:p>
        </w:tc>
        <w:tc>
          <w:tcPr>
            <w:tcW w:w="1843" w:type="dxa"/>
          </w:tcPr>
          <w:p w14:paraId="5C0CE62C" w14:textId="77777777" w:rsidR="003E0DC4" w:rsidRPr="00F67B48" w:rsidRDefault="003E0DC4" w:rsidP="003E0DC4">
            <w:pPr>
              <w:tabs>
                <w:tab w:val="left" w:pos="871"/>
              </w:tabs>
              <w:jc w:val="right"/>
              <w:rPr>
                <w:rFonts w:ascii="Times New Roman" w:hAnsi="Times New Roman" w:cs="Times New Roman"/>
                <w:sz w:val="20"/>
                <w:szCs w:val="20"/>
              </w:rPr>
            </w:pPr>
          </w:p>
        </w:tc>
        <w:tc>
          <w:tcPr>
            <w:tcW w:w="1819" w:type="dxa"/>
          </w:tcPr>
          <w:p w14:paraId="75E71F84"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3EB0FC9F"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26D8285E"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4D91785D"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60C355EF" w14:textId="77777777" w:rsidR="003E0DC4" w:rsidRPr="00F67B48" w:rsidRDefault="003E0DC4" w:rsidP="003E0DC4">
            <w:pPr>
              <w:tabs>
                <w:tab w:val="left" w:pos="871"/>
              </w:tabs>
              <w:jc w:val="right"/>
              <w:rPr>
                <w:rFonts w:ascii="Times New Roman" w:hAnsi="Times New Roman" w:cs="Times New Roman"/>
                <w:sz w:val="20"/>
                <w:szCs w:val="20"/>
              </w:rPr>
            </w:pPr>
          </w:p>
        </w:tc>
      </w:tr>
      <w:tr w:rsidR="003E0DC4" w14:paraId="195541AE" w14:textId="77777777" w:rsidTr="00F67B48">
        <w:tc>
          <w:tcPr>
            <w:tcW w:w="2561" w:type="dxa"/>
            <w:vAlign w:val="center"/>
          </w:tcPr>
          <w:p w14:paraId="6D04E209" w14:textId="20B0E5DC"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 xml:space="preserve">    Non-smoker; n (%)</w:t>
            </w:r>
          </w:p>
        </w:tc>
        <w:tc>
          <w:tcPr>
            <w:tcW w:w="1843" w:type="dxa"/>
          </w:tcPr>
          <w:p w14:paraId="6F607784" w14:textId="4FD199B4"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63,588 (84.8)</w:t>
            </w:r>
          </w:p>
        </w:tc>
        <w:tc>
          <w:tcPr>
            <w:tcW w:w="1819" w:type="dxa"/>
          </w:tcPr>
          <w:p w14:paraId="62D5F3B8" w14:textId="1122D2D0"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178,110 (87.2)</w:t>
            </w:r>
          </w:p>
        </w:tc>
        <w:tc>
          <w:tcPr>
            <w:tcW w:w="1922" w:type="dxa"/>
          </w:tcPr>
          <w:p w14:paraId="44F3C1EB" w14:textId="7181186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80,428 (88.2)</w:t>
            </w:r>
          </w:p>
        </w:tc>
        <w:tc>
          <w:tcPr>
            <w:tcW w:w="1905" w:type="dxa"/>
          </w:tcPr>
          <w:p w14:paraId="566339AC" w14:textId="12B09F53"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145,144 (88.2)</w:t>
            </w:r>
          </w:p>
        </w:tc>
        <w:tc>
          <w:tcPr>
            <w:tcW w:w="1922" w:type="dxa"/>
          </w:tcPr>
          <w:p w14:paraId="37A86B81" w14:textId="240D0A2A"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192,718 (90.3)</w:t>
            </w:r>
          </w:p>
        </w:tc>
        <w:tc>
          <w:tcPr>
            <w:tcW w:w="1905" w:type="dxa"/>
          </w:tcPr>
          <w:p w14:paraId="5330FC8B" w14:textId="030EF40B"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299,585 (89.7)</w:t>
            </w:r>
          </w:p>
        </w:tc>
      </w:tr>
      <w:tr w:rsidR="003E0DC4" w14:paraId="7F109930" w14:textId="77777777" w:rsidTr="00F67B48">
        <w:tc>
          <w:tcPr>
            <w:tcW w:w="2561" w:type="dxa"/>
            <w:vAlign w:val="center"/>
          </w:tcPr>
          <w:p w14:paraId="728B7E5B" w14:textId="3D6EEE9B"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 xml:space="preserve">    Smoker; n (%)</w:t>
            </w:r>
          </w:p>
        </w:tc>
        <w:tc>
          <w:tcPr>
            <w:tcW w:w="1843" w:type="dxa"/>
          </w:tcPr>
          <w:p w14:paraId="6C7B5960" w14:textId="3172825A"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11,412 (15.2)</w:t>
            </w:r>
          </w:p>
        </w:tc>
        <w:tc>
          <w:tcPr>
            <w:tcW w:w="1819" w:type="dxa"/>
          </w:tcPr>
          <w:p w14:paraId="53209C81" w14:textId="2146BA56"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26,180 (12.8)</w:t>
            </w:r>
          </w:p>
        </w:tc>
        <w:tc>
          <w:tcPr>
            <w:tcW w:w="1922" w:type="dxa"/>
          </w:tcPr>
          <w:p w14:paraId="2520D89B" w14:textId="09781B51"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10,776 (11.8)</w:t>
            </w:r>
          </w:p>
        </w:tc>
        <w:tc>
          <w:tcPr>
            <w:tcW w:w="1905" w:type="dxa"/>
          </w:tcPr>
          <w:p w14:paraId="782280AE" w14:textId="1F045D09"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19,388 (11.8)</w:t>
            </w:r>
          </w:p>
        </w:tc>
        <w:tc>
          <w:tcPr>
            <w:tcW w:w="1922" w:type="dxa"/>
          </w:tcPr>
          <w:p w14:paraId="5EAF9343" w14:textId="595D2C56"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20,754   (9.7)</w:t>
            </w:r>
          </w:p>
        </w:tc>
        <w:tc>
          <w:tcPr>
            <w:tcW w:w="1905" w:type="dxa"/>
          </w:tcPr>
          <w:p w14:paraId="10B15B84" w14:textId="367A1F24"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34,351 (10.3)</w:t>
            </w:r>
          </w:p>
        </w:tc>
      </w:tr>
      <w:tr w:rsidR="003E0DC4" w14:paraId="31914C35" w14:textId="77777777" w:rsidTr="00F67B48">
        <w:tc>
          <w:tcPr>
            <w:tcW w:w="2561" w:type="dxa"/>
            <w:vAlign w:val="center"/>
          </w:tcPr>
          <w:p w14:paraId="4F90A6DD" w14:textId="63C4874C"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Alcohol (imputed)</w:t>
            </w:r>
          </w:p>
        </w:tc>
        <w:tc>
          <w:tcPr>
            <w:tcW w:w="1843" w:type="dxa"/>
          </w:tcPr>
          <w:p w14:paraId="7B5E45E5" w14:textId="77777777" w:rsidR="003E0DC4" w:rsidRPr="00F67B48" w:rsidRDefault="003E0DC4" w:rsidP="003E0DC4">
            <w:pPr>
              <w:tabs>
                <w:tab w:val="left" w:pos="871"/>
              </w:tabs>
              <w:jc w:val="right"/>
              <w:rPr>
                <w:rFonts w:ascii="Times New Roman" w:hAnsi="Times New Roman" w:cs="Times New Roman"/>
                <w:sz w:val="20"/>
                <w:szCs w:val="20"/>
              </w:rPr>
            </w:pPr>
          </w:p>
        </w:tc>
        <w:tc>
          <w:tcPr>
            <w:tcW w:w="1819" w:type="dxa"/>
          </w:tcPr>
          <w:p w14:paraId="6AAC6BAF"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73ABFE66"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284B897D"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74E652C1"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4301A7DB" w14:textId="77777777" w:rsidR="003E0DC4" w:rsidRPr="00F67B48" w:rsidRDefault="003E0DC4" w:rsidP="003E0DC4">
            <w:pPr>
              <w:tabs>
                <w:tab w:val="left" w:pos="871"/>
              </w:tabs>
              <w:jc w:val="right"/>
              <w:rPr>
                <w:rFonts w:ascii="Times New Roman" w:hAnsi="Times New Roman" w:cs="Times New Roman"/>
                <w:sz w:val="20"/>
                <w:szCs w:val="20"/>
              </w:rPr>
            </w:pPr>
          </w:p>
        </w:tc>
      </w:tr>
      <w:tr w:rsidR="003E0DC4" w14:paraId="2E9659A7" w14:textId="77777777" w:rsidTr="00F67B48">
        <w:tc>
          <w:tcPr>
            <w:tcW w:w="2561" w:type="dxa"/>
            <w:vAlign w:val="center"/>
          </w:tcPr>
          <w:p w14:paraId="370E32AD" w14:textId="05876A65"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 xml:space="preserve">    Non-drinker; n (%)</w:t>
            </w:r>
          </w:p>
        </w:tc>
        <w:tc>
          <w:tcPr>
            <w:tcW w:w="1843" w:type="dxa"/>
          </w:tcPr>
          <w:p w14:paraId="36BAF88E" w14:textId="25235A25"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70,447 (93.9)</w:t>
            </w:r>
          </w:p>
        </w:tc>
        <w:tc>
          <w:tcPr>
            <w:tcW w:w="1819" w:type="dxa"/>
          </w:tcPr>
          <w:p w14:paraId="3DDE3408" w14:textId="0D02BDFC"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197,198 (96.5)</w:t>
            </w:r>
          </w:p>
        </w:tc>
        <w:tc>
          <w:tcPr>
            <w:tcW w:w="1922" w:type="dxa"/>
          </w:tcPr>
          <w:p w14:paraId="107EE596" w14:textId="24213AF0"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83,453 (91.5)</w:t>
            </w:r>
          </w:p>
        </w:tc>
        <w:tc>
          <w:tcPr>
            <w:tcW w:w="1905" w:type="dxa"/>
          </w:tcPr>
          <w:p w14:paraId="6F3A5453" w14:textId="59E1AE94"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153,834 (93.5)</w:t>
            </w:r>
          </w:p>
        </w:tc>
        <w:tc>
          <w:tcPr>
            <w:tcW w:w="1922" w:type="dxa"/>
          </w:tcPr>
          <w:p w14:paraId="2BC1F422" w14:textId="3BA06FA7"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202,274 (94.7)</w:t>
            </w:r>
          </w:p>
        </w:tc>
        <w:tc>
          <w:tcPr>
            <w:tcW w:w="1905" w:type="dxa"/>
          </w:tcPr>
          <w:p w14:paraId="4ABF791E" w14:textId="77ED85F8"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318,929 (95.5)</w:t>
            </w:r>
          </w:p>
        </w:tc>
      </w:tr>
      <w:tr w:rsidR="003E0DC4" w14:paraId="10FC2E4D" w14:textId="77777777" w:rsidTr="00F67B48">
        <w:tc>
          <w:tcPr>
            <w:tcW w:w="2561" w:type="dxa"/>
            <w:vAlign w:val="center"/>
          </w:tcPr>
          <w:p w14:paraId="2947937F" w14:textId="37095ADE"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 xml:space="preserve">    Drinker; n (%)</w:t>
            </w:r>
          </w:p>
        </w:tc>
        <w:tc>
          <w:tcPr>
            <w:tcW w:w="1843" w:type="dxa"/>
          </w:tcPr>
          <w:p w14:paraId="39F23C50" w14:textId="2038F4C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4,553   (6.1)</w:t>
            </w:r>
          </w:p>
        </w:tc>
        <w:tc>
          <w:tcPr>
            <w:tcW w:w="1819" w:type="dxa"/>
          </w:tcPr>
          <w:p w14:paraId="1D00A65A" w14:textId="05DA18D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7,092   (3.5)</w:t>
            </w:r>
          </w:p>
        </w:tc>
        <w:tc>
          <w:tcPr>
            <w:tcW w:w="1922" w:type="dxa"/>
          </w:tcPr>
          <w:p w14:paraId="3CFA83A4" w14:textId="6795FF1F"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7,751   (8.5)</w:t>
            </w:r>
          </w:p>
        </w:tc>
        <w:tc>
          <w:tcPr>
            <w:tcW w:w="1905" w:type="dxa"/>
          </w:tcPr>
          <w:p w14:paraId="71990636" w14:textId="03C9F132"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10,698   (6.5)</w:t>
            </w:r>
          </w:p>
        </w:tc>
        <w:tc>
          <w:tcPr>
            <w:tcW w:w="1922" w:type="dxa"/>
          </w:tcPr>
          <w:p w14:paraId="16904B71" w14:textId="48FA66BF"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11,198   (5.2)</w:t>
            </w:r>
          </w:p>
        </w:tc>
        <w:tc>
          <w:tcPr>
            <w:tcW w:w="1905" w:type="dxa"/>
          </w:tcPr>
          <w:p w14:paraId="38AAF169" w14:textId="6EB4B642"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15,007   (4.5)</w:t>
            </w:r>
          </w:p>
        </w:tc>
      </w:tr>
      <w:tr w:rsidR="003E0DC4" w14:paraId="34B8C7D9" w14:textId="77777777" w:rsidTr="00F67B48">
        <w:tc>
          <w:tcPr>
            <w:tcW w:w="2561" w:type="dxa"/>
            <w:vAlign w:val="center"/>
          </w:tcPr>
          <w:p w14:paraId="2707BC96" w14:textId="7CEFB6A2"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Charlson comorbidity index</w:t>
            </w:r>
          </w:p>
        </w:tc>
        <w:tc>
          <w:tcPr>
            <w:tcW w:w="1843" w:type="dxa"/>
          </w:tcPr>
          <w:p w14:paraId="6EDA9876" w14:textId="77777777" w:rsidR="003E0DC4" w:rsidRPr="00F67B48" w:rsidRDefault="003E0DC4" w:rsidP="003E0DC4">
            <w:pPr>
              <w:tabs>
                <w:tab w:val="left" w:pos="871"/>
              </w:tabs>
              <w:jc w:val="right"/>
              <w:rPr>
                <w:rFonts w:ascii="Times New Roman" w:hAnsi="Times New Roman" w:cs="Times New Roman"/>
                <w:sz w:val="20"/>
                <w:szCs w:val="20"/>
              </w:rPr>
            </w:pPr>
          </w:p>
        </w:tc>
        <w:tc>
          <w:tcPr>
            <w:tcW w:w="1819" w:type="dxa"/>
          </w:tcPr>
          <w:p w14:paraId="5317DC21"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5564C22B"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1579BFD8" w14:textId="77777777" w:rsidR="003E0DC4" w:rsidRPr="00F67B48" w:rsidRDefault="003E0DC4" w:rsidP="003E0DC4">
            <w:pPr>
              <w:tabs>
                <w:tab w:val="left" w:pos="871"/>
              </w:tabs>
              <w:jc w:val="right"/>
              <w:rPr>
                <w:rFonts w:ascii="Times New Roman" w:hAnsi="Times New Roman" w:cs="Times New Roman"/>
                <w:sz w:val="20"/>
                <w:szCs w:val="20"/>
              </w:rPr>
            </w:pPr>
          </w:p>
        </w:tc>
        <w:tc>
          <w:tcPr>
            <w:tcW w:w="1922" w:type="dxa"/>
          </w:tcPr>
          <w:p w14:paraId="7AC17B3C" w14:textId="77777777" w:rsidR="003E0DC4" w:rsidRPr="00F67B48" w:rsidRDefault="003E0DC4" w:rsidP="003E0DC4">
            <w:pPr>
              <w:tabs>
                <w:tab w:val="left" w:pos="871"/>
              </w:tabs>
              <w:jc w:val="right"/>
              <w:rPr>
                <w:rFonts w:ascii="Times New Roman" w:hAnsi="Times New Roman" w:cs="Times New Roman"/>
                <w:sz w:val="20"/>
                <w:szCs w:val="20"/>
              </w:rPr>
            </w:pPr>
          </w:p>
        </w:tc>
        <w:tc>
          <w:tcPr>
            <w:tcW w:w="1905" w:type="dxa"/>
          </w:tcPr>
          <w:p w14:paraId="6BA1AEB8" w14:textId="77777777" w:rsidR="003E0DC4" w:rsidRPr="00F67B48" w:rsidRDefault="003E0DC4" w:rsidP="003E0DC4">
            <w:pPr>
              <w:tabs>
                <w:tab w:val="left" w:pos="871"/>
              </w:tabs>
              <w:jc w:val="right"/>
              <w:rPr>
                <w:rFonts w:ascii="Times New Roman" w:hAnsi="Times New Roman" w:cs="Times New Roman"/>
                <w:sz w:val="20"/>
                <w:szCs w:val="20"/>
              </w:rPr>
            </w:pPr>
          </w:p>
        </w:tc>
      </w:tr>
      <w:tr w:rsidR="003E0DC4" w14:paraId="501CEA9C" w14:textId="77777777" w:rsidTr="00F67B48">
        <w:tc>
          <w:tcPr>
            <w:tcW w:w="2561" w:type="dxa"/>
            <w:vAlign w:val="center"/>
          </w:tcPr>
          <w:p w14:paraId="4A0CAD9C" w14:textId="3C581B07"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 xml:space="preserve">    None; n (%)</w:t>
            </w:r>
          </w:p>
        </w:tc>
        <w:tc>
          <w:tcPr>
            <w:tcW w:w="1843" w:type="dxa"/>
          </w:tcPr>
          <w:p w14:paraId="636D27F7" w14:textId="090CAEF9"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24,709 (32.9)</w:t>
            </w:r>
          </w:p>
        </w:tc>
        <w:tc>
          <w:tcPr>
            <w:tcW w:w="1819" w:type="dxa"/>
          </w:tcPr>
          <w:p w14:paraId="6DA316F4" w14:textId="6739F22C"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59,996 (29.4)</w:t>
            </w:r>
          </w:p>
        </w:tc>
        <w:tc>
          <w:tcPr>
            <w:tcW w:w="1922" w:type="dxa"/>
          </w:tcPr>
          <w:p w14:paraId="24B481E2" w14:textId="5E4D8C46"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40,536 (44.4)</w:t>
            </w:r>
          </w:p>
        </w:tc>
        <w:tc>
          <w:tcPr>
            <w:tcW w:w="1905" w:type="dxa"/>
          </w:tcPr>
          <w:p w14:paraId="3BE77CAA" w14:textId="6BEB4D73"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61,430 (37.3)</w:t>
            </w:r>
          </w:p>
        </w:tc>
        <w:tc>
          <w:tcPr>
            <w:tcW w:w="1922" w:type="dxa"/>
          </w:tcPr>
          <w:p w14:paraId="3AA65D20" w14:textId="102C88D2"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109,518 (51.3)</w:t>
            </w:r>
          </w:p>
        </w:tc>
        <w:tc>
          <w:tcPr>
            <w:tcW w:w="1905" w:type="dxa"/>
          </w:tcPr>
          <w:p w14:paraId="1B4F6686" w14:textId="300CDD71"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146,764 (43.9)</w:t>
            </w:r>
          </w:p>
        </w:tc>
      </w:tr>
      <w:tr w:rsidR="003E0DC4" w14:paraId="023241F5" w14:textId="77777777" w:rsidTr="00F67B48">
        <w:tc>
          <w:tcPr>
            <w:tcW w:w="2561" w:type="dxa"/>
            <w:vAlign w:val="center"/>
          </w:tcPr>
          <w:p w14:paraId="5CED7C39" w14:textId="1B11A619"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t xml:space="preserve">    Mild; n (%)</w:t>
            </w:r>
          </w:p>
        </w:tc>
        <w:tc>
          <w:tcPr>
            <w:tcW w:w="1843" w:type="dxa"/>
          </w:tcPr>
          <w:p w14:paraId="1DC38561" w14:textId="77943727"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14,799 (19.7)</w:t>
            </w:r>
          </w:p>
        </w:tc>
        <w:tc>
          <w:tcPr>
            <w:tcW w:w="1819" w:type="dxa"/>
          </w:tcPr>
          <w:p w14:paraId="70E09893" w14:textId="0CDA4286"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45,471 (22.3)</w:t>
            </w:r>
          </w:p>
        </w:tc>
        <w:tc>
          <w:tcPr>
            <w:tcW w:w="1922" w:type="dxa"/>
          </w:tcPr>
          <w:p w14:paraId="734A4466" w14:textId="5BEC0FC1"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16,177 (17.7)</w:t>
            </w:r>
          </w:p>
        </w:tc>
        <w:tc>
          <w:tcPr>
            <w:tcW w:w="1905" w:type="dxa"/>
          </w:tcPr>
          <w:p w14:paraId="032EE6C8" w14:textId="76484485"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32,639 (19.8)</w:t>
            </w:r>
          </w:p>
        </w:tc>
        <w:tc>
          <w:tcPr>
            <w:tcW w:w="1922" w:type="dxa"/>
          </w:tcPr>
          <w:p w14:paraId="39584586" w14:textId="1CB48254"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35,535 (16.6)</w:t>
            </w:r>
          </w:p>
        </w:tc>
        <w:tc>
          <w:tcPr>
            <w:tcW w:w="1905" w:type="dxa"/>
          </w:tcPr>
          <w:p w14:paraId="0A6FE85F" w14:textId="6EA2B28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61,959 (18.5)</w:t>
            </w:r>
          </w:p>
        </w:tc>
      </w:tr>
      <w:tr w:rsidR="003E0DC4" w14:paraId="03C8D41E" w14:textId="77777777" w:rsidTr="00F67B48">
        <w:tc>
          <w:tcPr>
            <w:tcW w:w="2561" w:type="dxa"/>
            <w:vAlign w:val="center"/>
          </w:tcPr>
          <w:p w14:paraId="6438E805" w14:textId="0F1DDCA9" w:rsidR="003E0DC4" w:rsidRPr="00F67B48" w:rsidRDefault="003E0DC4" w:rsidP="003E0DC4">
            <w:pPr>
              <w:tabs>
                <w:tab w:val="left" w:pos="871"/>
              </w:tabs>
              <w:jc w:val="both"/>
              <w:rPr>
                <w:rFonts w:ascii="Times New Roman" w:eastAsia="Times New Roman" w:hAnsi="Times New Roman" w:cs="Times New Roman"/>
                <w:color w:val="000000"/>
                <w:sz w:val="20"/>
                <w:szCs w:val="16"/>
                <w:lang w:val="en-GB"/>
              </w:rPr>
            </w:pPr>
            <w:r w:rsidRPr="00F67B48">
              <w:rPr>
                <w:rFonts w:ascii="Times New Roman" w:eastAsia="Times New Roman" w:hAnsi="Times New Roman" w:cs="Times New Roman"/>
                <w:color w:val="000000"/>
                <w:sz w:val="20"/>
                <w:szCs w:val="16"/>
                <w:lang w:val="en-GB"/>
              </w:rPr>
              <w:lastRenderedPageBreak/>
              <w:t xml:space="preserve">    Moderate; n (%)</w:t>
            </w:r>
          </w:p>
        </w:tc>
        <w:tc>
          <w:tcPr>
            <w:tcW w:w="1843" w:type="dxa"/>
          </w:tcPr>
          <w:p w14:paraId="7629F68F" w14:textId="5818F75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13,383 (17.8)</w:t>
            </w:r>
          </w:p>
        </w:tc>
        <w:tc>
          <w:tcPr>
            <w:tcW w:w="1819" w:type="dxa"/>
          </w:tcPr>
          <w:p w14:paraId="42E4B79F" w14:textId="7E553988"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40,125 (19.6)</w:t>
            </w:r>
          </w:p>
        </w:tc>
        <w:tc>
          <w:tcPr>
            <w:tcW w:w="1922" w:type="dxa"/>
          </w:tcPr>
          <w:p w14:paraId="5B652959" w14:textId="37D0A53D"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14,109 (15.5)</w:t>
            </w:r>
          </w:p>
        </w:tc>
        <w:tc>
          <w:tcPr>
            <w:tcW w:w="1905" w:type="dxa"/>
          </w:tcPr>
          <w:p w14:paraId="52F02C53" w14:textId="408C57A9"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28,997 (17.6)</w:t>
            </w:r>
          </w:p>
        </w:tc>
        <w:tc>
          <w:tcPr>
            <w:tcW w:w="1922" w:type="dxa"/>
          </w:tcPr>
          <w:p w14:paraId="62E142B1" w14:textId="3F370FE0"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30,991 (14.5)</w:t>
            </w:r>
          </w:p>
        </w:tc>
        <w:tc>
          <w:tcPr>
            <w:tcW w:w="1905" w:type="dxa"/>
          </w:tcPr>
          <w:p w14:paraId="76C878A2" w14:textId="44513849"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54,986 (16.5)</w:t>
            </w:r>
          </w:p>
        </w:tc>
      </w:tr>
      <w:tr w:rsidR="003E0DC4" w14:paraId="345DD686" w14:textId="77777777" w:rsidTr="00F67B48">
        <w:tc>
          <w:tcPr>
            <w:tcW w:w="2561" w:type="dxa"/>
            <w:tcBorders>
              <w:bottom w:val="single" w:sz="18" w:space="0" w:color="auto"/>
            </w:tcBorders>
            <w:vAlign w:val="center"/>
          </w:tcPr>
          <w:p w14:paraId="542D76EF" w14:textId="2A306D27" w:rsidR="003E0DC4" w:rsidRPr="00F67B48" w:rsidRDefault="003E0DC4" w:rsidP="003E0DC4">
            <w:pPr>
              <w:tabs>
                <w:tab w:val="left" w:pos="871"/>
              </w:tabs>
              <w:jc w:val="both"/>
              <w:rPr>
                <w:rFonts w:ascii="Times New Roman" w:hAnsi="Times New Roman" w:cs="Times New Roman"/>
                <w:sz w:val="20"/>
              </w:rPr>
            </w:pPr>
            <w:r w:rsidRPr="00F67B48">
              <w:rPr>
                <w:rFonts w:ascii="Times New Roman" w:eastAsia="Times New Roman" w:hAnsi="Times New Roman" w:cs="Times New Roman"/>
                <w:color w:val="000000"/>
                <w:sz w:val="20"/>
                <w:szCs w:val="16"/>
                <w:lang w:val="en-GB"/>
              </w:rPr>
              <w:t xml:space="preserve">    Severe; n (%)</w:t>
            </w:r>
          </w:p>
        </w:tc>
        <w:tc>
          <w:tcPr>
            <w:tcW w:w="1843" w:type="dxa"/>
            <w:tcBorders>
              <w:bottom w:val="single" w:sz="18" w:space="0" w:color="auto"/>
            </w:tcBorders>
          </w:tcPr>
          <w:p w14:paraId="6F3883B7" w14:textId="3B83E06C"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22,109 (29.5)</w:t>
            </w:r>
          </w:p>
        </w:tc>
        <w:tc>
          <w:tcPr>
            <w:tcW w:w="1819" w:type="dxa"/>
            <w:tcBorders>
              <w:bottom w:val="single" w:sz="18" w:space="0" w:color="auto"/>
            </w:tcBorders>
          </w:tcPr>
          <w:p w14:paraId="6621FBF7" w14:textId="74E6F8B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58,698 (28.7)</w:t>
            </w:r>
          </w:p>
        </w:tc>
        <w:tc>
          <w:tcPr>
            <w:tcW w:w="1922" w:type="dxa"/>
            <w:tcBorders>
              <w:bottom w:val="single" w:sz="18" w:space="0" w:color="auto"/>
            </w:tcBorders>
          </w:tcPr>
          <w:p w14:paraId="40CC0F91" w14:textId="6E5BA958"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20,382 (22.3)</w:t>
            </w:r>
          </w:p>
        </w:tc>
        <w:tc>
          <w:tcPr>
            <w:tcW w:w="1905" w:type="dxa"/>
            <w:tcBorders>
              <w:bottom w:val="single" w:sz="18" w:space="0" w:color="auto"/>
            </w:tcBorders>
          </w:tcPr>
          <w:p w14:paraId="6F7E0989" w14:textId="660F9E3D"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41,466 (25.2)</w:t>
            </w:r>
          </w:p>
        </w:tc>
        <w:tc>
          <w:tcPr>
            <w:tcW w:w="1922" w:type="dxa"/>
            <w:tcBorders>
              <w:bottom w:val="single" w:sz="18" w:space="0" w:color="auto"/>
            </w:tcBorders>
          </w:tcPr>
          <w:p w14:paraId="5140C122" w14:textId="6423150E"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37,428 (17.5)</w:t>
            </w:r>
          </w:p>
        </w:tc>
        <w:tc>
          <w:tcPr>
            <w:tcW w:w="1905" w:type="dxa"/>
            <w:tcBorders>
              <w:bottom w:val="single" w:sz="18" w:space="0" w:color="auto"/>
            </w:tcBorders>
          </w:tcPr>
          <w:p w14:paraId="3C3E12A3" w14:textId="2EE68FDB" w:rsidR="003E0DC4" w:rsidRPr="00F67B48" w:rsidRDefault="003E0DC4" w:rsidP="003E0DC4">
            <w:pPr>
              <w:tabs>
                <w:tab w:val="left" w:pos="871"/>
              </w:tabs>
              <w:jc w:val="right"/>
              <w:rPr>
                <w:rFonts w:ascii="Times New Roman" w:hAnsi="Times New Roman" w:cs="Times New Roman"/>
                <w:sz w:val="20"/>
                <w:szCs w:val="20"/>
              </w:rPr>
            </w:pPr>
            <w:r>
              <w:rPr>
                <w:rFonts w:ascii="Times New Roman" w:hAnsi="Times New Roman" w:cs="Times New Roman"/>
                <w:sz w:val="20"/>
                <w:szCs w:val="20"/>
              </w:rPr>
              <w:t>70,227 (21.0)</w:t>
            </w:r>
          </w:p>
        </w:tc>
      </w:tr>
    </w:tbl>
    <w:p w14:paraId="45B5C494" w14:textId="77777777" w:rsidR="00D02FD6" w:rsidRDefault="00D02FD6" w:rsidP="00FE4B36">
      <w:pPr>
        <w:tabs>
          <w:tab w:val="left" w:pos="871"/>
        </w:tabs>
        <w:spacing w:line="480" w:lineRule="auto"/>
        <w:jc w:val="both"/>
        <w:rPr>
          <w:rFonts w:ascii="Times New Roman" w:hAnsi="Times New Roman" w:cs="Times New Roman"/>
        </w:rPr>
      </w:pPr>
    </w:p>
    <w:p w14:paraId="59681450" w14:textId="177ACCD8" w:rsidR="000408E8" w:rsidRPr="00AA0433" w:rsidRDefault="000408E8" w:rsidP="00FE4B36">
      <w:pPr>
        <w:tabs>
          <w:tab w:val="left" w:pos="871"/>
        </w:tabs>
        <w:spacing w:line="480" w:lineRule="auto"/>
        <w:jc w:val="both"/>
        <w:rPr>
          <w:rFonts w:ascii="Times New Roman" w:hAnsi="Times New Roman" w:cs="Times New Roman"/>
        </w:rPr>
      </w:pPr>
      <w:r>
        <w:rPr>
          <w:rFonts w:ascii="Times New Roman" w:hAnsi="Times New Roman" w:cs="Times New Roman"/>
        </w:rPr>
        <w:t>Note: Exposures for eligible populations do not sum to 100% because of missing data.</w:t>
      </w:r>
    </w:p>
    <w:sectPr w:rsidR="000408E8" w:rsidRPr="00AA0433" w:rsidSect="00FE4B36">
      <w:pgSz w:w="16840" w:h="11900" w:orient="landscape" w:code="9"/>
      <w:pgMar w:top="1800" w:right="1440" w:bottom="180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70774" w16cid:durableId="1E5D21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7DF4" w14:textId="77777777" w:rsidR="00991EC2" w:rsidRDefault="00991EC2" w:rsidP="00E6310B">
      <w:r>
        <w:separator/>
      </w:r>
    </w:p>
  </w:endnote>
  <w:endnote w:type="continuationSeparator" w:id="0">
    <w:p w14:paraId="574132FE" w14:textId="77777777" w:rsidR="00991EC2" w:rsidRDefault="00991EC2" w:rsidP="00E6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778862"/>
      <w:docPartObj>
        <w:docPartGallery w:val="Page Numbers (Bottom of Page)"/>
        <w:docPartUnique/>
      </w:docPartObj>
    </w:sdtPr>
    <w:sdtEndPr/>
    <w:sdtContent>
      <w:p w14:paraId="2551E562" w14:textId="41624095" w:rsidR="000408E8" w:rsidRDefault="000408E8">
        <w:pPr>
          <w:pStyle w:val="Footer"/>
          <w:jc w:val="center"/>
        </w:pPr>
        <w:r>
          <w:fldChar w:fldCharType="begin"/>
        </w:r>
        <w:r>
          <w:instrText>PAGE   \* MERGEFORMAT</w:instrText>
        </w:r>
        <w:r>
          <w:fldChar w:fldCharType="separate"/>
        </w:r>
        <w:r w:rsidR="00982C73" w:rsidRPr="00982C73">
          <w:rPr>
            <w:noProof/>
            <w:lang w:val="da-DK"/>
          </w:rPr>
          <w:t>1</w:t>
        </w:r>
        <w:r>
          <w:fldChar w:fldCharType="end"/>
        </w:r>
      </w:p>
    </w:sdtContent>
  </w:sdt>
  <w:p w14:paraId="39F94CE5" w14:textId="77777777" w:rsidR="000408E8" w:rsidRDefault="0004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22C8B" w14:textId="77777777" w:rsidR="00991EC2" w:rsidRDefault="00991EC2" w:rsidP="00E6310B">
      <w:r>
        <w:separator/>
      </w:r>
    </w:p>
  </w:footnote>
  <w:footnote w:type="continuationSeparator" w:id="0">
    <w:p w14:paraId="40FC4D79" w14:textId="77777777" w:rsidR="00991EC2" w:rsidRDefault="00991EC2" w:rsidP="00E63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2EC8"/>
    <w:multiLevelType w:val="multilevel"/>
    <w:tmpl w:val="1D18A4D2"/>
    <w:lvl w:ilvl="0">
      <w:start w:val="1"/>
      <w:numFmt w:val="decimal"/>
      <w:lvlText w:val="%1."/>
      <w:lvlJc w:val="left"/>
      <w:pPr>
        <w:ind w:left="360" w:hanging="360"/>
      </w:pPr>
      <w:rPr>
        <w:rFonts w:asciiTheme="majorHAnsi" w:hAnsiTheme="majorHAnsi" w:hint="default"/>
        <w:b w:val="0"/>
        <w:bCs w:val="0"/>
        <w:i w:val="0"/>
        <w:iCs w:val="0"/>
        <w:sz w:val="22"/>
        <w:szCs w:val="22"/>
      </w:rPr>
    </w:lvl>
    <w:lvl w:ilvl="1">
      <w:start w:val="1"/>
      <w:numFmt w:val="decimal"/>
      <w:lvlText w:val="%1.%2."/>
      <w:lvlJc w:val="left"/>
      <w:pPr>
        <w:ind w:left="792" w:hanging="792"/>
      </w:pPr>
      <w:rPr>
        <w:rFonts w:asciiTheme="majorHAnsi" w:hAnsiTheme="majorHAnsi" w:cs="Arial" w:hint="default"/>
        <w:sz w:val="22"/>
        <w:szCs w:val="22"/>
      </w:rPr>
    </w:lvl>
    <w:lvl w:ilvl="2">
      <w:start w:val="1"/>
      <w:numFmt w:val="decimal"/>
      <w:lvlText w:val="%1.%2.%3."/>
      <w:lvlJc w:val="left"/>
      <w:pPr>
        <w:ind w:left="1224" w:hanging="504"/>
      </w:pPr>
      <w:rPr>
        <w:rFonts w:asciiTheme="majorHAnsi" w:hAnsiTheme="majorHAnsi"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864DFE"/>
    <w:multiLevelType w:val="multilevel"/>
    <w:tmpl w:val="19BC8066"/>
    <w:lvl w:ilvl="0">
      <w:start w:val="1"/>
      <w:numFmt w:val="decimal"/>
      <w:pStyle w:val="Style1"/>
      <w:lvlText w:val="%1."/>
      <w:lvlJc w:val="left"/>
      <w:pPr>
        <w:ind w:left="360" w:hanging="360"/>
      </w:pPr>
      <w:rPr>
        <w:rFonts w:asciiTheme="majorHAnsi" w:hAnsiTheme="majorHAnsi" w:hint="default"/>
        <w:b/>
        <w:bCs/>
        <w:i w:val="0"/>
        <w:iCs w:val="0"/>
        <w:sz w:val="22"/>
        <w:szCs w:val="22"/>
      </w:rPr>
    </w:lvl>
    <w:lvl w:ilvl="1">
      <w:start w:val="1"/>
      <w:numFmt w:val="decimal"/>
      <w:pStyle w:val="Style2"/>
      <w:lvlText w:val="%1.%2."/>
      <w:lvlJc w:val="left"/>
      <w:pPr>
        <w:ind w:left="227" w:hanging="227"/>
      </w:pPr>
      <w:rPr>
        <w:rFonts w:asciiTheme="majorHAnsi" w:hAnsiTheme="majorHAnsi" w:cs="Arial" w:hint="default"/>
        <w:sz w:val="22"/>
        <w:szCs w:val="22"/>
      </w:rPr>
    </w:lvl>
    <w:lvl w:ilvl="2">
      <w:start w:val="1"/>
      <w:numFmt w:val="decimal"/>
      <w:pStyle w:val="Style3"/>
      <w:lvlText w:val="%1.%2.%3."/>
      <w:lvlJc w:val="left"/>
      <w:pPr>
        <w:ind w:left="227" w:hanging="227"/>
      </w:pPr>
      <w:rPr>
        <w:rFonts w:asciiTheme="majorHAnsi" w:hAnsiTheme="majorHAnsi" w:hint="default"/>
        <w:b w:val="0"/>
        <w:bCs w:val="0"/>
        <w:i w:val="0"/>
        <w:iCs w:val="0"/>
        <w:sz w:val="22"/>
        <w:szCs w:val="22"/>
      </w:rPr>
    </w:lvl>
    <w:lvl w:ilvl="3">
      <w:start w:val="1"/>
      <w:numFmt w:val="decimal"/>
      <w:lvlText w:val="%1.%2.%3.%4."/>
      <w:lvlJc w:val="left"/>
      <w:pPr>
        <w:ind w:left="227" w:hanging="227"/>
      </w:pPr>
      <w:rPr>
        <w:rFonts w:asciiTheme="majorHAnsi" w:hAnsiTheme="majorHAnsi" w:hint="default"/>
        <w:b w:val="0"/>
        <w:bCs w:val="0"/>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D50E39"/>
    <w:multiLevelType w:val="multilevel"/>
    <w:tmpl w:val="C47C7F4E"/>
    <w:lvl w:ilvl="0">
      <w:start w:val="1"/>
      <w:numFmt w:val="decimal"/>
      <w:pStyle w:val="Style4"/>
      <w:lvlText w:val="%1."/>
      <w:lvlJc w:val="left"/>
      <w:pPr>
        <w:ind w:left="360" w:hanging="360"/>
      </w:pPr>
      <w:rPr>
        <w:rFonts w:asciiTheme="majorHAnsi" w:hAnsiTheme="majorHAnsi" w:hint="default"/>
        <w:b/>
        <w:bCs/>
        <w:i w:val="0"/>
        <w:iCs w:val="0"/>
        <w:sz w:val="22"/>
        <w:szCs w:val="22"/>
      </w:rPr>
    </w:lvl>
    <w:lvl w:ilvl="1">
      <w:start w:val="1"/>
      <w:numFmt w:val="decimal"/>
      <w:lvlText w:val="%1.%2."/>
      <w:lvlJc w:val="left"/>
      <w:pPr>
        <w:ind w:left="227" w:hanging="227"/>
      </w:pPr>
      <w:rPr>
        <w:rFonts w:asciiTheme="majorHAnsi" w:hAnsiTheme="majorHAnsi" w:cs="Arial" w:hint="default"/>
        <w:sz w:val="22"/>
        <w:szCs w:val="22"/>
      </w:rPr>
    </w:lvl>
    <w:lvl w:ilvl="2">
      <w:start w:val="1"/>
      <w:numFmt w:val="decimal"/>
      <w:lvlText w:val="%1.%2.%3."/>
      <w:lvlJc w:val="left"/>
      <w:pPr>
        <w:ind w:left="227" w:hanging="227"/>
      </w:pPr>
      <w:rPr>
        <w:rFonts w:asciiTheme="majorHAnsi" w:hAnsiTheme="majorHAnsi" w:hint="default"/>
        <w:b w:val="0"/>
        <w:bCs w:val="0"/>
        <w:i w:val="0"/>
        <w:iCs w:val="0"/>
        <w:sz w:val="22"/>
        <w:szCs w:val="22"/>
      </w:rPr>
    </w:lvl>
    <w:lvl w:ilvl="3">
      <w:start w:val="1"/>
      <w:numFmt w:val="decimal"/>
      <w:lvlText w:val="%1.%2.%3.%4."/>
      <w:lvlJc w:val="left"/>
      <w:pPr>
        <w:ind w:left="227" w:hanging="227"/>
      </w:pPr>
      <w:rPr>
        <w:rFonts w:asciiTheme="majorHAnsi" w:hAnsiTheme="majorHAnsi" w:hint="default"/>
        <w:b w:val="0"/>
        <w:bCs w:val="0"/>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0D27A9"/>
    <w:multiLevelType w:val="hybridMultilevel"/>
    <w:tmpl w:val="7AE4F9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F21666"/>
    <w:multiLevelType w:val="hybridMultilevel"/>
    <w:tmpl w:val="9EE42C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2"/>
  </w:num>
  <w:num w:numId="7">
    <w:abstractNumId w:val="2"/>
  </w:num>
  <w:num w:numId="8">
    <w:abstractNumId w:val="1"/>
  </w:num>
  <w:num w:numId="9">
    <w:abstractNumId w:val="1"/>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xMTMyMzM3Njc2tjRR0lEKTi0uzszPAykwNqsFAMPZMPgtAAAA"/>
    <w:docVar w:name="dgnword-docGUID" w:val="{646E4EB1-DE20-415A-A606-FFDAAA3087A5}"/>
    <w:docVar w:name="dgnword-eventsink" w:val="33349768"/>
    <w:docVar w:name="EN.Layout" w:val="&lt;ENLayout&gt;&lt;Style&gt;SpringerBasicNumb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463B46"/>
    <w:rsid w:val="00001603"/>
    <w:rsid w:val="00002FAC"/>
    <w:rsid w:val="0001247A"/>
    <w:rsid w:val="00022773"/>
    <w:rsid w:val="000408E8"/>
    <w:rsid w:val="0004659E"/>
    <w:rsid w:val="00051B67"/>
    <w:rsid w:val="0005265E"/>
    <w:rsid w:val="00056ADC"/>
    <w:rsid w:val="000668DB"/>
    <w:rsid w:val="0007144B"/>
    <w:rsid w:val="00083136"/>
    <w:rsid w:val="00091519"/>
    <w:rsid w:val="000A02DD"/>
    <w:rsid w:val="000A4ED6"/>
    <w:rsid w:val="000B0705"/>
    <w:rsid w:val="000C18B8"/>
    <w:rsid w:val="000C44A0"/>
    <w:rsid w:val="000C5B0E"/>
    <w:rsid w:val="000C6651"/>
    <w:rsid w:val="000D442F"/>
    <w:rsid w:val="000D76ED"/>
    <w:rsid w:val="000E4AEF"/>
    <w:rsid w:val="000F3531"/>
    <w:rsid w:val="001015FD"/>
    <w:rsid w:val="00105AD1"/>
    <w:rsid w:val="00122D27"/>
    <w:rsid w:val="00131BD0"/>
    <w:rsid w:val="00135356"/>
    <w:rsid w:val="00135402"/>
    <w:rsid w:val="00142FBE"/>
    <w:rsid w:val="0015415B"/>
    <w:rsid w:val="0015721A"/>
    <w:rsid w:val="00161A46"/>
    <w:rsid w:val="00163FBF"/>
    <w:rsid w:val="0016418E"/>
    <w:rsid w:val="00173FF4"/>
    <w:rsid w:val="001A704A"/>
    <w:rsid w:val="001B43B4"/>
    <w:rsid w:val="001B5BFA"/>
    <w:rsid w:val="001C28B5"/>
    <w:rsid w:val="001D17C0"/>
    <w:rsid w:val="001E11C3"/>
    <w:rsid w:val="001F793E"/>
    <w:rsid w:val="00213577"/>
    <w:rsid w:val="00222B38"/>
    <w:rsid w:val="00223DC3"/>
    <w:rsid w:val="0022533D"/>
    <w:rsid w:val="002274E4"/>
    <w:rsid w:val="00230B51"/>
    <w:rsid w:val="00247706"/>
    <w:rsid w:val="00247EA5"/>
    <w:rsid w:val="00251527"/>
    <w:rsid w:val="00264E9F"/>
    <w:rsid w:val="002703B1"/>
    <w:rsid w:val="002A2A02"/>
    <w:rsid w:val="002A463A"/>
    <w:rsid w:val="002A66F2"/>
    <w:rsid w:val="002A6CA7"/>
    <w:rsid w:val="002A702F"/>
    <w:rsid w:val="002B05B9"/>
    <w:rsid w:val="002B1652"/>
    <w:rsid w:val="002B203E"/>
    <w:rsid w:val="002C33D3"/>
    <w:rsid w:val="002D40BD"/>
    <w:rsid w:val="002D6717"/>
    <w:rsid w:val="002E0489"/>
    <w:rsid w:val="002E12F2"/>
    <w:rsid w:val="002E1A50"/>
    <w:rsid w:val="002E69B2"/>
    <w:rsid w:val="00300CE7"/>
    <w:rsid w:val="00313AFA"/>
    <w:rsid w:val="00314CCC"/>
    <w:rsid w:val="003218ED"/>
    <w:rsid w:val="0033480E"/>
    <w:rsid w:val="00356EE5"/>
    <w:rsid w:val="00360F8A"/>
    <w:rsid w:val="003661FA"/>
    <w:rsid w:val="00382DD1"/>
    <w:rsid w:val="003834FE"/>
    <w:rsid w:val="0038460A"/>
    <w:rsid w:val="00386620"/>
    <w:rsid w:val="00386E83"/>
    <w:rsid w:val="0039219D"/>
    <w:rsid w:val="003940C2"/>
    <w:rsid w:val="003A1ED6"/>
    <w:rsid w:val="003B0EED"/>
    <w:rsid w:val="003C1240"/>
    <w:rsid w:val="003C2ED2"/>
    <w:rsid w:val="003C3659"/>
    <w:rsid w:val="003D0BD0"/>
    <w:rsid w:val="003D66AC"/>
    <w:rsid w:val="003E0DC4"/>
    <w:rsid w:val="003E4D8D"/>
    <w:rsid w:val="003F1F08"/>
    <w:rsid w:val="00415633"/>
    <w:rsid w:val="00423C28"/>
    <w:rsid w:val="00432DE5"/>
    <w:rsid w:val="00433AE3"/>
    <w:rsid w:val="00434769"/>
    <w:rsid w:val="004362DE"/>
    <w:rsid w:val="0044221F"/>
    <w:rsid w:val="00445A8A"/>
    <w:rsid w:val="00447459"/>
    <w:rsid w:val="00447C1E"/>
    <w:rsid w:val="00460F59"/>
    <w:rsid w:val="00463B46"/>
    <w:rsid w:val="00467999"/>
    <w:rsid w:val="00474D5C"/>
    <w:rsid w:val="00477C34"/>
    <w:rsid w:val="004809E2"/>
    <w:rsid w:val="00486B77"/>
    <w:rsid w:val="00494B06"/>
    <w:rsid w:val="004A0F34"/>
    <w:rsid w:val="004A13B5"/>
    <w:rsid w:val="004A7979"/>
    <w:rsid w:val="004B347B"/>
    <w:rsid w:val="004C06F4"/>
    <w:rsid w:val="004D039F"/>
    <w:rsid w:val="004D1F44"/>
    <w:rsid w:val="004D474D"/>
    <w:rsid w:val="004F702C"/>
    <w:rsid w:val="004F78CC"/>
    <w:rsid w:val="0050440B"/>
    <w:rsid w:val="0050706C"/>
    <w:rsid w:val="0051139C"/>
    <w:rsid w:val="00512F91"/>
    <w:rsid w:val="00532315"/>
    <w:rsid w:val="0053278F"/>
    <w:rsid w:val="0053361C"/>
    <w:rsid w:val="00536E9F"/>
    <w:rsid w:val="00546760"/>
    <w:rsid w:val="005504AD"/>
    <w:rsid w:val="0055479D"/>
    <w:rsid w:val="005562F1"/>
    <w:rsid w:val="00562270"/>
    <w:rsid w:val="00575249"/>
    <w:rsid w:val="00581664"/>
    <w:rsid w:val="005876F8"/>
    <w:rsid w:val="00587FB4"/>
    <w:rsid w:val="00590CB9"/>
    <w:rsid w:val="005A4DFC"/>
    <w:rsid w:val="005A6FAA"/>
    <w:rsid w:val="005C72C1"/>
    <w:rsid w:val="005D1B32"/>
    <w:rsid w:val="005E1354"/>
    <w:rsid w:val="005E1ED6"/>
    <w:rsid w:val="005E2A00"/>
    <w:rsid w:val="005E50A6"/>
    <w:rsid w:val="005E67A0"/>
    <w:rsid w:val="005F21B8"/>
    <w:rsid w:val="005F6B94"/>
    <w:rsid w:val="00603149"/>
    <w:rsid w:val="00606EBA"/>
    <w:rsid w:val="00615F5C"/>
    <w:rsid w:val="0062071A"/>
    <w:rsid w:val="006256B7"/>
    <w:rsid w:val="00625DCB"/>
    <w:rsid w:val="0062638A"/>
    <w:rsid w:val="00644C31"/>
    <w:rsid w:val="0064643D"/>
    <w:rsid w:val="00655CCE"/>
    <w:rsid w:val="006622C0"/>
    <w:rsid w:val="00667855"/>
    <w:rsid w:val="006746EC"/>
    <w:rsid w:val="006753D0"/>
    <w:rsid w:val="00680C1C"/>
    <w:rsid w:val="00681C7C"/>
    <w:rsid w:val="00683074"/>
    <w:rsid w:val="006A24B2"/>
    <w:rsid w:val="006A309E"/>
    <w:rsid w:val="006A4ECC"/>
    <w:rsid w:val="006A5C06"/>
    <w:rsid w:val="006A65F6"/>
    <w:rsid w:val="006C489E"/>
    <w:rsid w:val="006C6C46"/>
    <w:rsid w:val="006C6D7C"/>
    <w:rsid w:val="006F10C2"/>
    <w:rsid w:val="006F10D6"/>
    <w:rsid w:val="006F60E4"/>
    <w:rsid w:val="007173FD"/>
    <w:rsid w:val="007351FC"/>
    <w:rsid w:val="007401F3"/>
    <w:rsid w:val="007625EF"/>
    <w:rsid w:val="00763A44"/>
    <w:rsid w:val="00772A79"/>
    <w:rsid w:val="007856FD"/>
    <w:rsid w:val="00785FF7"/>
    <w:rsid w:val="007877B3"/>
    <w:rsid w:val="00795D69"/>
    <w:rsid w:val="007A1ED4"/>
    <w:rsid w:val="007B0A37"/>
    <w:rsid w:val="007B5676"/>
    <w:rsid w:val="007D43FA"/>
    <w:rsid w:val="007E104B"/>
    <w:rsid w:val="007F04AD"/>
    <w:rsid w:val="007F6C7C"/>
    <w:rsid w:val="00803AFD"/>
    <w:rsid w:val="0081229A"/>
    <w:rsid w:val="008126B0"/>
    <w:rsid w:val="0081599A"/>
    <w:rsid w:val="00821176"/>
    <w:rsid w:val="0086078A"/>
    <w:rsid w:val="008611D2"/>
    <w:rsid w:val="00862149"/>
    <w:rsid w:val="0086219A"/>
    <w:rsid w:val="0086433C"/>
    <w:rsid w:val="008648C0"/>
    <w:rsid w:val="0087117C"/>
    <w:rsid w:val="00881633"/>
    <w:rsid w:val="00896D20"/>
    <w:rsid w:val="008A2B7F"/>
    <w:rsid w:val="008B1688"/>
    <w:rsid w:val="008B54FB"/>
    <w:rsid w:val="008B7095"/>
    <w:rsid w:val="008B7BD4"/>
    <w:rsid w:val="008C5262"/>
    <w:rsid w:val="008C545F"/>
    <w:rsid w:val="008D0AD1"/>
    <w:rsid w:val="008D3D77"/>
    <w:rsid w:val="008E0C39"/>
    <w:rsid w:val="008E1171"/>
    <w:rsid w:val="00903B3C"/>
    <w:rsid w:val="00906130"/>
    <w:rsid w:val="0090663E"/>
    <w:rsid w:val="009174F7"/>
    <w:rsid w:val="009308B3"/>
    <w:rsid w:val="00934254"/>
    <w:rsid w:val="00942B7A"/>
    <w:rsid w:val="00944B34"/>
    <w:rsid w:val="00946400"/>
    <w:rsid w:val="00950277"/>
    <w:rsid w:val="00951A96"/>
    <w:rsid w:val="00956D76"/>
    <w:rsid w:val="00973D13"/>
    <w:rsid w:val="00976B8F"/>
    <w:rsid w:val="00980E37"/>
    <w:rsid w:val="00982C73"/>
    <w:rsid w:val="00991EC2"/>
    <w:rsid w:val="00994B6A"/>
    <w:rsid w:val="00996E0A"/>
    <w:rsid w:val="009A0896"/>
    <w:rsid w:val="009A1578"/>
    <w:rsid w:val="009B2EED"/>
    <w:rsid w:val="009B798B"/>
    <w:rsid w:val="009B7ADA"/>
    <w:rsid w:val="009C227F"/>
    <w:rsid w:val="009D4362"/>
    <w:rsid w:val="009D61E1"/>
    <w:rsid w:val="009F6FBF"/>
    <w:rsid w:val="00A00D34"/>
    <w:rsid w:val="00A033E5"/>
    <w:rsid w:val="00A03F1E"/>
    <w:rsid w:val="00A13DF4"/>
    <w:rsid w:val="00A16C16"/>
    <w:rsid w:val="00A23CCE"/>
    <w:rsid w:val="00A24B06"/>
    <w:rsid w:val="00A2701D"/>
    <w:rsid w:val="00A437EC"/>
    <w:rsid w:val="00A61819"/>
    <w:rsid w:val="00A62B93"/>
    <w:rsid w:val="00A669F9"/>
    <w:rsid w:val="00A67DC5"/>
    <w:rsid w:val="00A708F0"/>
    <w:rsid w:val="00A72BD8"/>
    <w:rsid w:val="00A80C3B"/>
    <w:rsid w:val="00A8433F"/>
    <w:rsid w:val="00A85C62"/>
    <w:rsid w:val="00A9148E"/>
    <w:rsid w:val="00A919C6"/>
    <w:rsid w:val="00A961B0"/>
    <w:rsid w:val="00AA0433"/>
    <w:rsid w:val="00AA3EF2"/>
    <w:rsid w:val="00AA449C"/>
    <w:rsid w:val="00AA72FD"/>
    <w:rsid w:val="00AA7368"/>
    <w:rsid w:val="00AB7046"/>
    <w:rsid w:val="00AD1904"/>
    <w:rsid w:val="00AE19F5"/>
    <w:rsid w:val="00AE2CF3"/>
    <w:rsid w:val="00AF1BBE"/>
    <w:rsid w:val="00B2412B"/>
    <w:rsid w:val="00B27D94"/>
    <w:rsid w:val="00B50D73"/>
    <w:rsid w:val="00B54B65"/>
    <w:rsid w:val="00B57D5D"/>
    <w:rsid w:val="00B615C0"/>
    <w:rsid w:val="00B73335"/>
    <w:rsid w:val="00B76BEB"/>
    <w:rsid w:val="00B77400"/>
    <w:rsid w:val="00BA118C"/>
    <w:rsid w:val="00BB7710"/>
    <w:rsid w:val="00BC49E5"/>
    <w:rsid w:val="00BD254D"/>
    <w:rsid w:val="00BD58FC"/>
    <w:rsid w:val="00BE2F4B"/>
    <w:rsid w:val="00BF03AB"/>
    <w:rsid w:val="00BF22AD"/>
    <w:rsid w:val="00BF5441"/>
    <w:rsid w:val="00C00046"/>
    <w:rsid w:val="00C00E68"/>
    <w:rsid w:val="00C04695"/>
    <w:rsid w:val="00C0719F"/>
    <w:rsid w:val="00C24D9A"/>
    <w:rsid w:val="00C40252"/>
    <w:rsid w:val="00C4311B"/>
    <w:rsid w:val="00C47C7E"/>
    <w:rsid w:val="00C564BF"/>
    <w:rsid w:val="00C65485"/>
    <w:rsid w:val="00C73E4D"/>
    <w:rsid w:val="00C74C5C"/>
    <w:rsid w:val="00C82E86"/>
    <w:rsid w:val="00C840D3"/>
    <w:rsid w:val="00C927CB"/>
    <w:rsid w:val="00CB362C"/>
    <w:rsid w:val="00CB4986"/>
    <w:rsid w:val="00CC0DB6"/>
    <w:rsid w:val="00CD4938"/>
    <w:rsid w:val="00CD5FBE"/>
    <w:rsid w:val="00CE33B0"/>
    <w:rsid w:val="00CE367C"/>
    <w:rsid w:val="00CF4067"/>
    <w:rsid w:val="00CF4226"/>
    <w:rsid w:val="00CF66A0"/>
    <w:rsid w:val="00D02FD6"/>
    <w:rsid w:val="00D06D3C"/>
    <w:rsid w:val="00D162B4"/>
    <w:rsid w:val="00D17167"/>
    <w:rsid w:val="00D34185"/>
    <w:rsid w:val="00D34C9E"/>
    <w:rsid w:val="00D42B03"/>
    <w:rsid w:val="00D43CC9"/>
    <w:rsid w:val="00D53C3C"/>
    <w:rsid w:val="00D727E9"/>
    <w:rsid w:val="00D74849"/>
    <w:rsid w:val="00D75577"/>
    <w:rsid w:val="00D763ED"/>
    <w:rsid w:val="00D84FBD"/>
    <w:rsid w:val="00D85D5F"/>
    <w:rsid w:val="00D9034F"/>
    <w:rsid w:val="00D92201"/>
    <w:rsid w:val="00D95D65"/>
    <w:rsid w:val="00D96531"/>
    <w:rsid w:val="00DB47D2"/>
    <w:rsid w:val="00DC1654"/>
    <w:rsid w:val="00DC1F16"/>
    <w:rsid w:val="00DC500C"/>
    <w:rsid w:val="00DD0485"/>
    <w:rsid w:val="00DD0A22"/>
    <w:rsid w:val="00DD1B22"/>
    <w:rsid w:val="00DF3B97"/>
    <w:rsid w:val="00E04490"/>
    <w:rsid w:val="00E06DE1"/>
    <w:rsid w:val="00E16210"/>
    <w:rsid w:val="00E20769"/>
    <w:rsid w:val="00E26902"/>
    <w:rsid w:val="00E27862"/>
    <w:rsid w:val="00E27B0A"/>
    <w:rsid w:val="00E31D28"/>
    <w:rsid w:val="00E46562"/>
    <w:rsid w:val="00E52345"/>
    <w:rsid w:val="00E55DF3"/>
    <w:rsid w:val="00E61E37"/>
    <w:rsid w:val="00E62471"/>
    <w:rsid w:val="00E626C0"/>
    <w:rsid w:val="00E6310B"/>
    <w:rsid w:val="00E7456C"/>
    <w:rsid w:val="00E832CB"/>
    <w:rsid w:val="00E928F3"/>
    <w:rsid w:val="00EA63EB"/>
    <w:rsid w:val="00EA6796"/>
    <w:rsid w:val="00ED0732"/>
    <w:rsid w:val="00ED439F"/>
    <w:rsid w:val="00ED62D0"/>
    <w:rsid w:val="00ED7E4A"/>
    <w:rsid w:val="00EE24B6"/>
    <w:rsid w:val="00EF233F"/>
    <w:rsid w:val="00F12716"/>
    <w:rsid w:val="00F168AD"/>
    <w:rsid w:val="00F23939"/>
    <w:rsid w:val="00F26171"/>
    <w:rsid w:val="00F30B38"/>
    <w:rsid w:val="00F32317"/>
    <w:rsid w:val="00F353DE"/>
    <w:rsid w:val="00F420D4"/>
    <w:rsid w:val="00F4386B"/>
    <w:rsid w:val="00F5389B"/>
    <w:rsid w:val="00F54242"/>
    <w:rsid w:val="00F67B48"/>
    <w:rsid w:val="00F841C6"/>
    <w:rsid w:val="00F841DF"/>
    <w:rsid w:val="00F90E3C"/>
    <w:rsid w:val="00F92187"/>
    <w:rsid w:val="00F926CD"/>
    <w:rsid w:val="00F94B61"/>
    <w:rsid w:val="00F96B91"/>
    <w:rsid w:val="00FA021D"/>
    <w:rsid w:val="00FB725A"/>
    <w:rsid w:val="00FB7377"/>
    <w:rsid w:val="00FB7832"/>
    <w:rsid w:val="00FB7E18"/>
    <w:rsid w:val="00FC167E"/>
    <w:rsid w:val="00FD1920"/>
    <w:rsid w:val="00FE1D8A"/>
    <w:rsid w:val="00FE3BD7"/>
    <w:rsid w:val="00FE4B36"/>
    <w:rsid w:val="00FF4775"/>
    <w:rsid w:val="00FF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9961A0"/>
  <w14:defaultImageDpi w14:val="330"/>
  <w15:docId w15:val="{060737C0-DF25-414F-9010-3FA56396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2E0489"/>
    <w:pPr>
      <w:numPr>
        <w:numId w:val="10"/>
      </w:numPr>
    </w:pPr>
    <w:rPr>
      <w:rFonts w:asciiTheme="majorHAnsi" w:hAnsiTheme="majorHAnsi"/>
      <w:b/>
      <w:sz w:val="22"/>
    </w:rPr>
  </w:style>
  <w:style w:type="paragraph" w:customStyle="1" w:styleId="Style2">
    <w:name w:val="Style2"/>
    <w:basedOn w:val="Normal"/>
    <w:autoRedefine/>
    <w:qFormat/>
    <w:rsid w:val="002E0489"/>
    <w:pPr>
      <w:numPr>
        <w:ilvl w:val="1"/>
        <w:numId w:val="10"/>
      </w:numPr>
      <w:ind w:left="360" w:hanging="360"/>
    </w:pPr>
    <w:rPr>
      <w:rFonts w:asciiTheme="majorHAnsi" w:hAnsiTheme="majorHAnsi"/>
      <w:sz w:val="22"/>
    </w:rPr>
  </w:style>
  <w:style w:type="paragraph" w:customStyle="1" w:styleId="Style3">
    <w:name w:val="Style3"/>
    <w:basedOn w:val="Normal"/>
    <w:autoRedefine/>
    <w:qFormat/>
    <w:rsid w:val="002E0489"/>
    <w:pPr>
      <w:numPr>
        <w:ilvl w:val="2"/>
        <w:numId w:val="10"/>
      </w:numPr>
      <w:ind w:left="720" w:hanging="720"/>
    </w:pPr>
    <w:rPr>
      <w:rFonts w:asciiTheme="majorHAnsi" w:hAnsiTheme="majorHAnsi"/>
      <w:sz w:val="22"/>
    </w:rPr>
  </w:style>
  <w:style w:type="paragraph" w:customStyle="1" w:styleId="Style4">
    <w:name w:val="Style4"/>
    <w:basedOn w:val="Style3"/>
    <w:autoRedefine/>
    <w:qFormat/>
    <w:rsid w:val="002E0489"/>
    <w:pPr>
      <w:numPr>
        <w:ilvl w:val="0"/>
        <w:numId w:val="7"/>
      </w:numPr>
    </w:pPr>
  </w:style>
  <w:style w:type="paragraph" w:styleId="TOC1">
    <w:name w:val="toc 1"/>
    <w:basedOn w:val="Style1"/>
    <w:next w:val="Style2"/>
    <w:autoRedefine/>
    <w:uiPriority w:val="39"/>
    <w:unhideWhenUsed/>
    <w:qFormat/>
    <w:rsid w:val="002E0489"/>
    <w:pPr>
      <w:numPr>
        <w:numId w:val="0"/>
      </w:numPr>
      <w:spacing w:after="100"/>
    </w:pPr>
  </w:style>
  <w:style w:type="paragraph" w:styleId="TOC2">
    <w:name w:val="toc 2"/>
    <w:basedOn w:val="Style2"/>
    <w:next w:val="Style3"/>
    <w:autoRedefine/>
    <w:uiPriority w:val="39"/>
    <w:unhideWhenUsed/>
    <w:qFormat/>
    <w:rsid w:val="002E0489"/>
    <w:pPr>
      <w:numPr>
        <w:ilvl w:val="0"/>
        <w:numId w:val="0"/>
      </w:numPr>
      <w:spacing w:before="120" w:after="100"/>
    </w:pPr>
  </w:style>
  <w:style w:type="character" w:styleId="CommentReference">
    <w:name w:val="annotation reference"/>
    <w:basedOn w:val="DefaultParagraphFont"/>
    <w:uiPriority w:val="99"/>
    <w:semiHidden/>
    <w:unhideWhenUsed/>
    <w:rsid w:val="00247EA5"/>
    <w:rPr>
      <w:sz w:val="16"/>
      <w:szCs w:val="16"/>
    </w:rPr>
  </w:style>
  <w:style w:type="paragraph" w:styleId="CommentText">
    <w:name w:val="annotation text"/>
    <w:basedOn w:val="Normal"/>
    <w:link w:val="CommentTextChar"/>
    <w:uiPriority w:val="99"/>
    <w:semiHidden/>
    <w:unhideWhenUsed/>
    <w:rsid w:val="00247EA5"/>
    <w:rPr>
      <w:sz w:val="20"/>
      <w:szCs w:val="20"/>
    </w:rPr>
  </w:style>
  <w:style w:type="character" w:customStyle="1" w:styleId="CommentTextChar">
    <w:name w:val="Comment Text Char"/>
    <w:basedOn w:val="DefaultParagraphFont"/>
    <w:link w:val="CommentText"/>
    <w:uiPriority w:val="99"/>
    <w:semiHidden/>
    <w:rsid w:val="00247EA5"/>
    <w:rPr>
      <w:sz w:val="20"/>
      <w:szCs w:val="20"/>
    </w:rPr>
  </w:style>
  <w:style w:type="paragraph" w:styleId="CommentSubject">
    <w:name w:val="annotation subject"/>
    <w:basedOn w:val="CommentText"/>
    <w:next w:val="CommentText"/>
    <w:link w:val="CommentSubjectChar"/>
    <w:uiPriority w:val="99"/>
    <w:semiHidden/>
    <w:unhideWhenUsed/>
    <w:rsid w:val="00247EA5"/>
    <w:rPr>
      <w:b/>
      <w:bCs/>
    </w:rPr>
  </w:style>
  <w:style w:type="character" w:customStyle="1" w:styleId="CommentSubjectChar">
    <w:name w:val="Comment Subject Char"/>
    <w:basedOn w:val="CommentTextChar"/>
    <w:link w:val="CommentSubject"/>
    <w:uiPriority w:val="99"/>
    <w:semiHidden/>
    <w:rsid w:val="00247EA5"/>
    <w:rPr>
      <w:b/>
      <w:bCs/>
      <w:sz w:val="20"/>
      <w:szCs w:val="20"/>
    </w:rPr>
  </w:style>
  <w:style w:type="paragraph" w:styleId="BalloonText">
    <w:name w:val="Balloon Text"/>
    <w:basedOn w:val="Normal"/>
    <w:link w:val="BalloonTextChar"/>
    <w:uiPriority w:val="99"/>
    <w:semiHidden/>
    <w:unhideWhenUsed/>
    <w:rsid w:val="00247EA5"/>
    <w:rPr>
      <w:rFonts w:ascii="Tahoma" w:hAnsi="Tahoma" w:cs="Tahoma"/>
      <w:sz w:val="16"/>
      <w:szCs w:val="16"/>
    </w:rPr>
  </w:style>
  <w:style w:type="character" w:customStyle="1" w:styleId="BalloonTextChar">
    <w:name w:val="Balloon Text Char"/>
    <w:basedOn w:val="DefaultParagraphFont"/>
    <w:link w:val="BalloonText"/>
    <w:uiPriority w:val="99"/>
    <w:semiHidden/>
    <w:rsid w:val="00247EA5"/>
    <w:rPr>
      <w:rFonts w:ascii="Tahoma" w:hAnsi="Tahoma" w:cs="Tahoma"/>
      <w:sz w:val="16"/>
      <w:szCs w:val="16"/>
    </w:rPr>
  </w:style>
  <w:style w:type="paragraph" w:styleId="ListParagraph">
    <w:name w:val="List Paragraph"/>
    <w:basedOn w:val="Normal"/>
    <w:uiPriority w:val="34"/>
    <w:qFormat/>
    <w:rsid w:val="00BF03AB"/>
    <w:pPr>
      <w:ind w:left="720"/>
      <w:contextualSpacing/>
    </w:pPr>
  </w:style>
  <w:style w:type="paragraph" w:styleId="Header">
    <w:name w:val="header"/>
    <w:basedOn w:val="Normal"/>
    <w:link w:val="HeaderChar"/>
    <w:uiPriority w:val="99"/>
    <w:unhideWhenUsed/>
    <w:rsid w:val="00E6310B"/>
    <w:pPr>
      <w:tabs>
        <w:tab w:val="center" w:pos="4819"/>
        <w:tab w:val="right" w:pos="9638"/>
      </w:tabs>
    </w:pPr>
  </w:style>
  <w:style w:type="character" w:customStyle="1" w:styleId="HeaderChar">
    <w:name w:val="Header Char"/>
    <w:basedOn w:val="DefaultParagraphFont"/>
    <w:link w:val="Header"/>
    <w:uiPriority w:val="99"/>
    <w:rsid w:val="00E6310B"/>
  </w:style>
  <w:style w:type="paragraph" w:styleId="Footer">
    <w:name w:val="footer"/>
    <w:basedOn w:val="Normal"/>
    <w:link w:val="FooterChar"/>
    <w:uiPriority w:val="99"/>
    <w:unhideWhenUsed/>
    <w:rsid w:val="00E6310B"/>
    <w:pPr>
      <w:tabs>
        <w:tab w:val="center" w:pos="4819"/>
        <w:tab w:val="right" w:pos="9638"/>
      </w:tabs>
    </w:pPr>
  </w:style>
  <w:style w:type="character" w:customStyle="1" w:styleId="FooterChar">
    <w:name w:val="Footer Char"/>
    <w:basedOn w:val="DefaultParagraphFont"/>
    <w:link w:val="Footer"/>
    <w:uiPriority w:val="99"/>
    <w:rsid w:val="00E6310B"/>
  </w:style>
  <w:style w:type="table" w:styleId="TableGrid">
    <w:name w:val="Table Grid"/>
    <w:basedOn w:val="TableNormal"/>
    <w:uiPriority w:val="59"/>
    <w:rsid w:val="006A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25A"/>
    <w:rPr>
      <w:color w:val="0000FF" w:themeColor="hyperlink"/>
      <w:u w:val="single"/>
    </w:rPr>
  </w:style>
  <w:style w:type="paragraph" w:styleId="PlainText">
    <w:name w:val="Plain Text"/>
    <w:basedOn w:val="Normal"/>
    <w:link w:val="PlainTextChar"/>
    <w:uiPriority w:val="99"/>
    <w:semiHidden/>
    <w:unhideWhenUsed/>
    <w:rsid w:val="0007144B"/>
    <w:rPr>
      <w:rFonts w:ascii="Calibri" w:eastAsiaTheme="minorHAnsi" w:hAnsi="Calibri"/>
      <w:sz w:val="22"/>
      <w:szCs w:val="21"/>
      <w:lang w:val="en-GB"/>
    </w:rPr>
  </w:style>
  <w:style w:type="character" w:customStyle="1" w:styleId="PlainTextChar">
    <w:name w:val="Plain Text Char"/>
    <w:basedOn w:val="DefaultParagraphFont"/>
    <w:link w:val="PlainText"/>
    <w:uiPriority w:val="99"/>
    <w:semiHidden/>
    <w:rsid w:val="0007144B"/>
    <w:rPr>
      <w:rFonts w:ascii="Calibri" w:eastAsiaTheme="minorHAnsi" w:hAnsi="Calibri"/>
      <w:sz w:val="22"/>
      <w:szCs w:val="21"/>
      <w:lang w:val="en-GB"/>
    </w:rPr>
  </w:style>
  <w:style w:type="paragraph" w:styleId="Revision">
    <w:name w:val="Revision"/>
    <w:hidden/>
    <w:uiPriority w:val="99"/>
    <w:semiHidden/>
    <w:rsid w:val="00F6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5370">
      <w:bodyDiv w:val="1"/>
      <w:marLeft w:val="0"/>
      <w:marRight w:val="0"/>
      <w:marTop w:val="0"/>
      <w:marBottom w:val="0"/>
      <w:divBdr>
        <w:top w:val="none" w:sz="0" w:space="0" w:color="auto"/>
        <w:left w:val="none" w:sz="0" w:space="0" w:color="auto"/>
        <w:bottom w:val="none" w:sz="0" w:space="0" w:color="auto"/>
        <w:right w:val="none" w:sz="0" w:space="0" w:color="auto"/>
      </w:divBdr>
      <w:divsChild>
        <w:div w:id="91052675">
          <w:marLeft w:val="907"/>
          <w:marRight w:val="0"/>
          <w:marTop w:val="0"/>
          <w:marBottom w:val="240"/>
          <w:divBdr>
            <w:top w:val="none" w:sz="0" w:space="0" w:color="auto"/>
            <w:left w:val="none" w:sz="0" w:space="0" w:color="auto"/>
            <w:bottom w:val="none" w:sz="0" w:space="0" w:color="auto"/>
            <w:right w:val="none" w:sz="0" w:space="0" w:color="auto"/>
          </w:divBdr>
        </w:div>
        <w:div w:id="2108303460">
          <w:marLeft w:val="907"/>
          <w:marRight w:val="0"/>
          <w:marTop w:val="0"/>
          <w:marBottom w:val="240"/>
          <w:divBdr>
            <w:top w:val="none" w:sz="0" w:space="0" w:color="auto"/>
            <w:left w:val="none" w:sz="0" w:space="0" w:color="auto"/>
            <w:bottom w:val="none" w:sz="0" w:space="0" w:color="auto"/>
            <w:right w:val="none" w:sz="0" w:space="0" w:color="auto"/>
          </w:divBdr>
        </w:div>
      </w:divsChild>
    </w:div>
    <w:div w:id="169368626">
      <w:bodyDiv w:val="1"/>
      <w:marLeft w:val="0"/>
      <w:marRight w:val="0"/>
      <w:marTop w:val="0"/>
      <w:marBottom w:val="0"/>
      <w:divBdr>
        <w:top w:val="none" w:sz="0" w:space="0" w:color="auto"/>
        <w:left w:val="none" w:sz="0" w:space="0" w:color="auto"/>
        <w:bottom w:val="none" w:sz="0" w:space="0" w:color="auto"/>
        <w:right w:val="none" w:sz="0" w:space="0" w:color="auto"/>
      </w:divBdr>
    </w:div>
    <w:div w:id="357438359">
      <w:bodyDiv w:val="1"/>
      <w:marLeft w:val="0"/>
      <w:marRight w:val="0"/>
      <w:marTop w:val="0"/>
      <w:marBottom w:val="0"/>
      <w:divBdr>
        <w:top w:val="none" w:sz="0" w:space="0" w:color="auto"/>
        <w:left w:val="none" w:sz="0" w:space="0" w:color="auto"/>
        <w:bottom w:val="none" w:sz="0" w:space="0" w:color="auto"/>
        <w:right w:val="none" w:sz="0" w:space="0" w:color="auto"/>
      </w:divBdr>
      <w:divsChild>
        <w:div w:id="1397121804">
          <w:marLeft w:val="907"/>
          <w:marRight w:val="0"/>
          <w:marTop w:val="0"/>
          <w:marBottom w:val="240"/>
          <w:divBdr>
            <w:top w:val="none" w:sz="0" w:space="0" w:color="auto"/>
            <w:left w:val="none" w:sz="0" w:space="0" w:color="auto"/>
            <w:bottom w:val="none" w:sz="0" w:space="0" w:color="auto"/>
            <w:right w:val="none" w:sz="0" w:space="0" w:color="auto"/>
          </w:divBdr>
        </w:div>
        <w:div w:id="324672738">
          <w:marLeft w:val="907"/>
          <w:marRight w:val="0"/>
          <w:marTop w:val="0"/>
          <w:marBottom w:val="240"/>
          <w:divBdr>
            <w:top w:val="none" w:sz="0" w:space="0" w:color="auto"/>
            <w:left w:val="none" w:sz="0" w:space="0" w:color="auto"/>
            <w:bottom w:val="none" w:sz="0" w:space="0" w:color="auto"/>
            <w:right w:val="none" w:sz="0" w:space="0" w:color="auto"/>
          </w:divBdr>
        </w:div>
      </w:divsChild>
    </w:div>
    <w:div w:id="907418606">
      <w:bodyDiv w:val="1"/>
      <w:marLeft w:val="0"/>
      <w:marRight w:val="0"/>
      <w:marTop w:val="0"/>
      <w:marBottom w:val="0"/>
      <w:divBdr>
        <w:top w:val="none" w:sz="0" w:space="0" w:color="auto"/>
        <w:left w:val="none" w:sz="0" w:space="0" w:color="auto"/>
        <w:bottom w:val="none" w:sz="0" w:space="0" w:color="auto"/>
        <w:right w:val="none" w:sz="0" w:space="0" w:color="auto"/>
      </w:divBdr>
    </w:div>
    <w:div w:id="924604667">
      <w:bodyDiv w:val="1"/>
      <w:marLeft w:val="0"/>
      <w:marRight w:val="0"/>
      <w:marTop w:val="0"/>
      <w:marBottom w:val="0"/>
      <w:divBdr>
        <w:top w:val="none" w:sz="0" w:space="0" w:color="auto"/>
        <w:left w:val="none" w:sz="0" w:space="0" w:color="auto"/>
        <w:bottom w:val="none" w:sz="0" w:space="0" w:color="auto"/>
        <w:right w:val="none" w:sz="0" w:space="0" w:color="auto"/>
      </w:divBdr>
      <w:divsChild>
        <w:div w:id="2135980303">
          <w:marLeft w:val="907"/>
          <w:marRight w:val="0"/>
          <w:marTop w:val="0"/>
          <w:marBottom w:val="240"/>
          <w:divBdr>
            <w:top w:val="none" w:sz="0" w:space="0" w:color="auto"/>
            <w:left w:val="none" w:sz="0" w:space="0" w:color="auto"/>
            <w:bottom w:val="none" w:sz="0" w:space="0" w:color="auto"/>
            <w:right w:val="none" w:sz="0" w:space="0" w:color="auto"/>
          </w:divBdr>
        </w:div>
        <w:div w:id="1347055912">
          <w:marLeft w:val="907"/>
          <w:marRight w:val="0"/>
          <w:marTop w:val="0"/>
          <w:marBottom w:val="240"/>
          <w:divBdr>
            <w:top w:val="none" w:sz="0" w:space="0" w:color="auto"/>
            <w:left w:val="none" w:sz="0" w:space="0" w:color="auto"/>
            <w:bottom w:val="none" w:sz="0" w:space="0" w:color="auto"/>
            <w:right w:val="none" w:sz="0" w:space="0" w:color="auto"/>
          </w:divBdr>
        </w:div>
      </w:divsChild>
    </w:div>
    <w:div w:id="1260140017">
      <w:bodyDiv w:val="1"/>
      <w:marLeft w:val="0"/>
      <w:marRight w:val="0"/>
      <w:marTop w:val="0"/>
      <w:marBottom w:val="0"/>
      <w:divBdr>
        <w:top w:val="none" w:sz="0" w:space="0" w:color="auto"/>
        <w:left w:val="none" w:sz="0" w:space="0" w:color="auto"/>
        <w:bottom w:val="none" w:sz="0" w:space="0" w:color="auto"/>
        <w:right w:val="none" w:sz="0" w:space="0" w:color="auto"/>
      </w:divBdr>
      <w:divsChild>
        <w:div w:id="965350099">
          <w:marLeft w:val="907"/>
          <w:marRight w:val="0"/>
          <w:marTop w:val="0"/>
          <w:marBottom w:val="240"/>
          <w:divBdr>
            <w:top w:val="none" w:sz="0" w:space="0" w:color="auto"/>
            <w:left w:val="none" w:sz="0" w:space="0" w:color="auto"/>
            <w:bottom w:val="none" w:sz="0" w:space="0" w:color="auto"/>
            <w:right w:val="none" w:sz="0" w:space="0" w:color="auto"/>
          </w:divBdr>
        </w:div>
        <w:div w:id="825249178">
          <w:marLeft w:val="907"/>
          <w:marRight w:val="0"/>
          <w:marTop w:val="0"/>
          <w:marBottom w:val="240"/>
          <w:divBdr>
            <w:top w:val="none" w:sz="0" w:space="0" w:color="auto"/>
            <w:left w:val="none" w:sz="0" w:space="0" w:color="auto"/>
            <w:bottom w:val="none" w:sz="0" w:space="0" w:color="auto"/>
            <w:right w:val="none" w:sz="0" w:space="0" w:color="auto"/>
          </w:divBdr>
        </w:div>
        <w:div w:id="227232896">
          <w:marLeft w:val="907"/>
          <w:marRight w:val="0"/>
          <w:marTop w:val="0"/>
          <w:marBottom w:val="240"/>
          <w:divBdr>
            <w:top w:val="none" w:sz="0" w:space="0" w:color="auto"/>
            <w:left w:val="none" w:sz="0" w:space="0" w:color="auto"/>
            <w:bottom w:val="none" w:sz="0" w:space="0" w:color="auto"/>
            <w:right w:val="none" w:sz="0" w:space="0" w:color="auto"/>
          </w:divBdr>
        </w:div>
        <w:div w:id="300891977">
          <w:marLeft w:val="907"/>
          <w:marRight w:val="0"/>
          <w:marTop w:val="0"/>
          <w:marBottom w:val="240"/>
          <w:divBdr>
            <w:top w:val="none" w:sz="0" w:space="0" w:color="auto"/>
            <w:left w:val="none" w:sz="0" w:space="0" w:color="auto"/>
            <w:bottom w:val="none" w:sz="0" w:space="0" w:color="auto"/>
            <w:right w:val="none" w:sz="0" w:space="0" w:color="auto"/>
          </w:divBdr>
        </w:div>
        <w:div w:id="767584068">
          <w:marLeft w:val="907"/>
          <w:marRight w:val="0"/>
          <w:marTop w:val="0"/>
          <w:marBottom w:val="240"/>
          <w:divBdr>
            <w:top w:val="none" w:sz="0" w:space="0" w:color="auto"/>
            <w:left w:val="none" w:sz="0" w:space="0" w:color="auto"/>
            <w:bottom w:val="none" w:sz="0" w:space="0" w:color="auto"/>
            <w:right w:val="none" w:sz="0" w:space="0" w:color="auto"/>
          </w:divBdr>
        </w:div>
      </w:divsChild>
    </w:div>
    <w:div w:id="1374887812">
      <w:bodyDiv w:val="1"/>
      <w:marLeft w:val="0"/>
      <w:marRight w:val="0"/>
      <w:marTop w:val="0"/>
      <w:marBottom w:val="0"/>
      <w:divBdr>
        <w:top w:val="none" w:sz="0" w:space="0" w:color="auto"/>
        <w:left w:val="none" w:sz="0" w:space="0" w:color="auto"/>
        <w:bottom w:val="none" w:sz="0" w:space="0" w:color="auto"/>
        <w:right w:val="none" w:sz="0" w:space="0" w:color="auto"/>
      </w:divBdr>
    </w:div>
    <w:div w:id="1753893352">
      <w:bodyDiv w:val="1"/>
      <w:marLeft w:val="0"/>
      <w:marRight w:val="0"/>
      <w:marTop w:val="0"/>
      <w:marBottom w:val="0"/>
      <w:divBdr>
        <w:top w:val="none" w:sz="0" w:space="0" w:color="auto"/>
        <w:left w:val="none" w:sz="0" w:space="0" w:color="auto"/>
        <w:bottom w:val="none" w:sz="0" w:space="0" w:color="auto"/>
        <w:right w:val="none" w:sz="0" w:space="0" w:color="auto"/>
      </w:divBdr>
    </w:div>
    <w:div w:id="213463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40376-BF7D-4EFB-963E-D7615B30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14598</Words>
  <Characters>83209</Characters>
  <Application>Microsoft Office Word</Application>
  <DocSecurity>4</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97612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Judge</dc:creator>
  <cp:lastModifiedBy>Karen Drake</cp:lastModifiedBy>
  <cp:revision>2</cp:revision>
  <cp:lastPrinted>2017-11-16T07:03:00Z</cp:lastPrinted>
  <dcterms:created xsi:type="dcterms:W3CDTF">2018-06-07T08:55:00Z</dcterms:created>
  <dcterms:modified xsi:type="dcterms:W3CDTF">2018-06-07T08:55:00Z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http://csl.mendeley.com/styles/16961931/sage-vancouver-4-italics</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http://www.zotero.org/styles/osteoporosis-international</vt:lpwstr>
  </property>
  <property fmtid="{D5CDD505-2E9C-101B-9397-08002B2CF9AE}" pid="21" name="Mendeley Recent Style Name 8_1">
    <vt:lpwstr>Osteoporosis International</vt:lpwstr>
  </property>
  <property fmtid="{D5CDD505-2E9C-101B-9397-08002B2CF9AE}" pid="22" name="Mendeley Recent Style Id 9_1">
    <vt:lpwstr>http://csl.mendeley.com/styles/16961931/sage-vancouver-4-italics</vt:lpwstr>
  </property>
  <property fmtid="{D5CDD505-2E9C-101B-9397-08002B2CF9AE}" pid="23" name="Mendeley Recent Style Name 9_1">
    <vt:lpwstr>SAGE Vancouver FINAL - Michael Falk Hvidberg</vt:lpwstr>
  </property>
  <property fmtid="{D5CDD505-2E9C-101B-9397-08002B2CF9AE}" pid="24" name="Mendeley Unique User Id_1">
    <vt:lpwstr>2772813d-acf6-3e4b-bbd2-555689243a6d</vt:lpwstr>
  </property>
</Properties>
</file>