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8243" w14:textId="77777777" w:rsidR="00906259" w:rsidRPr="00EC7DEA" w:rsidRDefault="00EC7DEA" w:rsidP="00EC7DEA">
      <w:pPr>
        <w:spacing w:line="480" w:lineRule="auto"/>
        <w:rPr>
          <w:b/>
        </w:rPr>
      </w:pPr>
      <w:r w:rsidRPr="00EC7DEA">
        <w:rPr>
          <w:b/>
        </w:rPr>
        <w:t xml:space="preserve">Gastro-oesphageal reflux in infants; what </w:t>
      </w:r>
      <w:r w:rsidR="00CD2F46">
        <w:rPr>
          <w:b/>
        </w:rPr>
        <w:t>are we</w:t>
      </w:r>
      <w:r w:rsidRPr="00EC7DEA">
        <w:rPr>
          <w:b/>
        </w:rPr>
        <w:t xml:space="preserve"> treating? </w:t>
      </w:r>
    </w:p>
    <w:p w14:paraId="7EABF1AB" w14:textId="77777777" w:rsidR="00EC7DEA" w:rsidRDefault="00EC7DEA" w:rsidP="00EC7DEA">
      <w:pPr>
        <w:spacing w:line="480" w:lineRule="auto"/>
        <w:rPr>
          <w:vertAlign w:val="superscript"/>
        </w:rPr>
      </w:pPr>
      <w:r>
        <w:t>James J Ashton</w:t>
      </w:r>
      <w:r>
        <w:rPr>
          <w:vertAlign w:val="superscript"/>
        </w:rPr>
        <w:t>1,2</w:t>
      </w:r>
      <w:r>
        <w:t>, R Mark Beattie</w:t>
      </w:r>
      <w:r>
        <w:rPr>
          <w:vertAlign w:val="superscript"/>
        </w:rPr>
        <w:t>1</w:t>
      </w:r>
    </w:p>
    <w:p w14:paraId="25632934" w14:textId="77777777" w:rsidR="00EC7DEA" w:rsidRDefault="00EC7DEA" w:rsidP="00EC7DEA">
      <w:pPr>
        <w:pStyle w:val="ListParagraph"/>
        <w:numPr>
          <w:ilvl w:val="0"/>
          <w:numId w:val="1"/>
        </w:numPr>
        <w:spacing w:line="480" w:lineRule="auto"/>
      </w:pPr>
      <w:r>
        <w:t>Department of Paediatric Gastroenterology, Southampton Children’s Hospital, Southampton, UK</w:t>
      </w:r>
    </w:p>
    <w:p w14:paraId="683081EF" w14:textId="77777777" w:rsidR="00EC7DEA" w:rsidRDefault="00EC7DEA" w:rsidP="00EC7DEA">
      <w:pPr>
        <w:pStyle w:val="ListParagraph"/>
        <w:numPr>
          <w:ilvl w:val="0"/>
          <w:numId w:val="1"/>
        </w:numPr>
        <w:spacing w:line="480" w:lineRule="auto"/>
        <w:rPr>
          <w:rFonts w:cstheme="minorHAnsi"/>
          <w:szCs w:val="24"/>
        </w:rPr>
      </w:pPr>
      <w:r w:rsidRPr="009035F5">
        <w:rPr>
          <w:rFonts w:cstheme="minorHAnsi"/>
          <w:szCs w:val="24"/>
        </w:rPr>
        <w:t>Department of Human Genetics and Genomic Medicine, University of Southampton, Southampton, UK</w:t>
      </w:r>
    </w:p>
    <w:p w14:paraId="27F5AA0F" w14:textId="77777777" w:rsidR="00EC7DEA" w:rsidRDefault="00EC7DEA" w:rsidP="00EC7DEA">
      <w:pPr>
        <w:spacing w:line="480" w:lineRule="auto"/>
        <w:rPr>
          <w:rFonts w:cstheme="minorHAnsi"/>
          <w:szCs w:val="24"/>
        </w:rPr>
      </w:pPr>
    </w:p>
    <w:p w14:paraId="1689BB12" w14:textId="77777777" w:rsidR="00EC7DEA" w:rsidRPr="002B4DA4" w:rsidRDefault="00EC7DEA" w:rsidP="00EC7DEA">
      <w:pPr>
        <w:spacing w:line="480" w:lineRule="auto"/>
      </w:pPr>
      <w:r w:rsidRPr="002B4DA4">
        <w:t>Correspondence to-</w:t>
      </w:r>
    </w:p>
    <w:p w14:paraId="3CDA6F2A" w14:textId="77777777" w:rsidR="00EC7DEA" w:rsidRPr="002B4DA4" w:rsidRDefault="00EC7DEA" w:rsidP="00EC7DEA">
      <w:pPr>
        <w:spacing w:line="480" w:lineRule="auto"/>
      </w:pPr>
      <w:r w:rsidRPr="002B4DA4">
        <w:t xml:space="preserve">Professor R Mark Beattie </w:t>
      </w:r>
    </w:p>
    <w:p w14:paraId="22E77EFE" w14:textId="77777777" w:rsidR="00EC7DEA" w:rsidRPr="002B4DA4" w:rsidRDefault="00EC7DEA" w:rsidP="00EC7DEA">
      <w:pPr>
        <w:spacing w:line="480" w:lineRule="auto"/>
      </w:pPr>
      <w:r w:rsidRPr="002B4DA4">
        <w:t xml:space="preserve">Department of Paediatric Gastroenterology, </w:t>
      </w:r>
    </w:p>
    <w:p w14:paraId="25FF9CDC" w14:textId="77777777" w:rsidR="00EC7DEA" w:rsidRPr="002B4DA4" w:rsidRDefault="00EC7DEA" w:rsidP="00EC7DEA">
      <w:pPr>
        <w:spacing w:line="480" w:lineRule="auto"/>
      </w:pPr>
      <w:r w:rsidRPr="002B4DA4">
        <w:t xml:space="preserve">Southampton Children’s Hospital, </w:t>
      </w:r>
    </w:p>
    <w:p w14:paraId="5A315B71" w14:textId="77777777" w:rsidR="00EC7DEA" w:rsidRPr="002B4DA4" w:rsidRDefault="00EC7DEA" w:rsidP="00EC7DEA">
      <w:pPr>
        <w:spacing w:line="480" w:lineRule="auto"/>
      </w:pPr>
      <w:r w:rsidRPr="002B4DA4">
        <w:t>University Hospitals Southampton</w:t>
      </w:r>
    </w:p>
    <w:p w14:paraId="328DEEBE" w14:textId="77777777" w:rsidR="00EC7DEA" w:rsidRPr="002B4DA4" w:rsidRDefault="00EC7DEA" w:rsidP="00EC7DEA">
      <w:pPr>
        <w:spacing w:line="480" w:lineRule="auto"/>
      </w:pPr>
      <w:r w:rsidRPr="002B4DA4">
        <w:t>Tremona Road</w:t>
      </w:r>
    </w:p>
    <w:p w14:paraId="0A0CD00F" w14:textId="77777777" w:rsidR="00EC7DEA" w:rsidRPr="002B4DA4" w:rsidRDefault="00EC7DEA" w:rsidP="00EC7DEA">
      <w:pPr>
        <w:spacing w:line="480" w:lineRule="auto"/>
      </w:pPr>
      <w:r w:rsidRPr="002B4DA4">
        <w:t>Southampton</w:t>
      </w:r>
    </w:p>
    <w:p w14:paraId="28968B8B" w14:textId="77777777" w:rsidR="00EC7DEA" w:rsidRPr="002B4DA4" w:rsidRDefault="00EC7DEA" w:rsidP="00EC7DEA">
      <w:pPr>
        <w:spacing w:line="480" w:lineRule="auto"/>
      </w:pPr>
      <w:r w:rsidRPr="002B4DA4">
        <w:t>SO16 6YD</w:t>
      </w:r>
    </w:p>
    <w:p w14:paraId="327420E6" w14:textId="77777777" w:rsidR="00EC7DEA" w:rsidRPr="002B4DA4" w:rsidRDefault="00EC7DEA" w:rsidP="00EC7DEA">
      <w:pPr>
        <w:spacing w:line="480" w:lineRule="auto"/>
      </w:pPr>
      <w:r w:rsidRPr="002B4DA4">
        <w:t>UK</w:t>
      </w:r>
    </w:p>
    <w:p w14:paraId="2C1EE362" w14:textId="77777777" w:rsidR="00EC7DEA" w:rsidRPr="002B4DA4" w:rsidRDefault="00600F34" w:rsidP="00EC7DEA">
      <w:pPr>
        <w:spacing w:line="480" w:lineRule="auto"/>
      </w:pPr>
      <w:hyperlink r:id="rId8" w:history="1">
        <w:r w:rsidR="00EC7DEA" w:rsidRPr="003A08FA">
          <w:rPr>
            <w:rStyle w:val="Hyperlink"/>
          </w:rPr>
          <w:t>Mark.beattie@uhs.nhs.uk</w:t>
        </w:r>
      </w:hyperlink>
      <w:r w:rsidR="00EC7DEA">
        <w:t xml:space="preserve"> </w:t>
      </w:r>
    </w:p>
    <w:p w14:paraId="3805F98C" w14:textId="78D2B9C6" w:rsidR="00EC7DEA" w:rsidRDefault="00EC7DEA" w:rsidP="00EC7DEA">
      <w:pPr>
        <w:spacing w:line="480" w:lineRule="auto"/>
      </w:pPr>
      <w:r w:rsidRPr="002B4DA4">
        <w:t>The authors declared no conflicts of interest</w:t>
      </w:r>
    </w:p>
    <w:p w14:paraId="472DCEC6" w14:textId="10BF8B5D" w:rsidR="0040419D" w:rsidRDefault="0040419D" w:rsidP="00EC7DEA">
      <w:pPr>
        <w:spacing w:line="480" w:lineRule="auto"/>
      </w:pPr>
      <w:r>
        <w:t xml:space="preserve">JJA is funded by an Action Medical Research, research training fellowship. </w:t>
      </w:r>
    </w:p>
    <w:p w14:paraId="28DF44A8" w14:textId="77777777" w:rsidR="00EC7DEA" w:rsidRDefault="00EC7DEA" w:rsidP="00EC7DEA">
      <w:pPr>
        <w:spacing w:line="480" w:lineRule="auto"/>
        <w:rPr>
          <w:b/>
        </w:rPr>
      </w:pPr>
    </w:p>
    <w:p w14:paraId="1C4B4E3A" w14:textId="58140AF9" w:rsidR="00EC7DEA" w:rsidRDefault="00B506BC" w:rsidP="00EC7DEA">
      <w:pPr>
        <w:spacing w:line="480" w:lineRule="auto"/>
      </w:pPr>
      <w:r>
        <w:lastRenderedPageBreak/>
        <w:t xml:space="preserve">Frequent regurgitation of stomach contents into the oesophagus, leading to symptoms such as crying and vomiting after feeds </w:t>
      </w:r>
      <w:r w:rsidR="00454CBD">
        <w:t>affect</w:t>
      </w:r>
      <w:r w:rsidR="008F4F85">
        <w:t>s</w:t>
      </w:r>
      <w:r w:rsidR="00454CBD">
        <w:t xml:space="preserve"> </w:t>
      </w:r>
      <w:r w:rsidR="00454CBD">
        <w:t xml:space="preserve">up to </w:t>
      </w:r>
      <w:r>
        <w:t>50% of infants under the age of three months</w:t>
      </w:r>
      <w:r w:rsidR="008030AD">
        <w:t xml:space="preserve"> with a natural history of resolution in most cases</w:t>
      </w:r>
      <w:r w:rsidR="002853D3">
        <w:t xml:space="preserve"> </w:t>
      </w:r>
      <w:r w:rsidR="002853D3">
        <w:fldChar w:fldCharType="begin" w:fldLock="1"/>
      </w:r>
      <w:r w:rsidR="009D0258">
        <w:instrText>ADDIN CSL_CITATION { "citationItems" : [ { "id" : "ITEM-1", "itemData" : { "ISSN" : "1072-4710", "PMID" : "9193240", "abstract" : "OBJECTIVES To determine the prevalence of symptoms associated with overt gastroesophageal reflux (GER) during the first year of life, to describe when most infants outgrow these symptoms, and to assess the prevalence of parental reports of various symptoms associated with GER and the percentages of infants who have been treated for GER. DESIGN Cross-sectional survey. SETTING Nineteen Pediatric Practice Research Group practices in the Chicago, Ill, area (urban, suburban, and semirural). PARTICIPANTS A total of 948 parents of healthy children 13 months old and younger. INTERVENTION None. MAIN OUTCOME MEASURE Reported frequency of regurgitation. RESULTS Regurgitation of at least 1 episode a day was reported in half of 0- to 3-month-olds. This symptom decreased to 5% at 10 to 12 months of age (P &lt; .001). Peak reported regurgitation was 67% at 4 months; the prevalence of symptoms decreased dramatically from 61% to 21% between 6 and 7 months of age. Infants with at least 4 episodes daily of regurgitation showed a similar pattern (P &lt; .001). Peak regurgitation reported as a \"problem\" was most often seen at 6 months (23%); this prevalence decreased to 14% at 7 months of age. Parental perception that regurgitation was a problem was associated with the frequency and volume of regurgitation, increased crying or fussiness, reported discomfort with spitting up, and frequent back arching. Reported treatment for regurgitation included a change in formula in 8.1%, thickened feedings in 2.2%, termination of breast-feeding in 1.1%, and medication in 0.2%. CONCLUSIONS Complaints of regurgitation are common during the first year of life, peaking at 4 months of age. Many infants \"outgrow\" overt GER by 7 months and most by 1 year. Parents view this symptom as a problem more often than medical intervention is given.", "author" : [ { "dropping-particle" : "", "family" : "Nelson", "given" : "S P", "non-dropping-particle" : "", "parse-names" : false, "suffix" : "" }, { "dropping-particle" : "", "family" : "Chen", "given" : "E H", "non-dropping-particle" : "", "parse-names" : false, "suffix" : "" }, { "dropping-particle" : "", "family" : "Syniar", "given" : "G M", "non-dropping-particle" : "", "parse-names" : false, "suffix" : "" }, { "dropping-particle" : "", "family" : "Christoffel", "given" : "K K", "non-dropping-particle" : "", "parse-names" : false, "suffix" : "" } ], "container-title" : "Archives of pediatrics &amp; adolescent medicine", "id" : "ITEM-1", "issue" : "6", "issued" : { "date-parts" : [ [ "1997", "6" ] ] }, "page" : "569-72", "title" : "Prevalence of symptoms of gastroesophageal reflux during infancy. A pediatric practice-based survey. Pediatric Practice Research Group.", "type" : "article-journal", "volume" : "151" }, "uris" : [ "http://www.mendeley.com/documents/?uuid=74bea035-87dc-32c3-8173-ab28ba270a91" ] } ], "mendeley" : { "formattedCitation" : "[1]", "plainTextFormattedCitation" : "[1]", "previouslyFormattedCitation" : "[1]" }, "properties" : { "noteIndex" : 0 }, "schema" : "https://github.com/citation-style-language/schema/raw/master/csl-citation.json" }</w:instrText>
      </w:r>
      <w:r w:rsidR="002853D3">
        <w:fldChar w:fldCharType="separate"/>
      </w:r>
      <w:r w:rsidR="002853D3" w:rsidRPr="00B506BC">
        <w:rPr>
          <w:noProof/>
        </w:rPr>
        <w:t>[1]</w:t>
      </w:r>
      <w:r w:rsidR="002853D3">
        <w:fldChar w:fldCharType="end"/>
      </w:r>
      <w:r>
        <w:t>. The transition point between g</w:t>
      </w:r>
      <w:r w:rsidRPr="00EC7DEA">
        <w:t>astro</w:t>
      </w:r>
      <w:r>
        <w:t>-oesphageal reflux (GOR), which is extremely common and g</w:t>
      </w:r>
      <w:r w:rsidRPr="00EC7DEA">
        <w:t>astro</w:t>
      </w:r>
      <w:r>
        <w:t xml:space="preserve">-oesphageal reflux disease (GORD) is </w:t>
      </w:r>
      <w:r w:rsidR="008030AD">
        <w:t>not always straightforward</w:t>
      </w:r>
      <w:r w:rsidR="005A43C4">
        <w:t>,</w:t>
      </w:r>
      <w:r w:rsidR="008030AD">
        <w:t xml:space="preserve"> reflecting a </w:t>
      </w:r>
      <w:r w:rsidR="00325FFD">
        <w:t xml:space="preserve">disease </w:t>
      </w:r>
      <w:r w:rsidR="008030AD">
        <w:t>spectrum rather than two specific entities</w:t>
      </w:r>
      <w:r>
        <w:t xml:space="preserve">. </w:t>
      </w:r>
      <w:r w:rsidR="008030AD">
        <w:t xml:space="preserve">The </w:t>
      </w:r>
      <w:r w:rsidR="00325FFD">
        <w:t xml:space="preserve">recently </w:t>
      </w:r>
      <w:r w:rsidR="00EC7DEA">
        <w:t>publi</w:t>
      </w:r>
      <w:r w:rsidR="00325FFD">
        <w:t>shed</w:t>
      </w:r>
      <w:r w:rsidR="00EC7DEA">
        <w:t xml:space="preserve"> </w:t>
      </w:r>
      <w:r w:rsidR="008030AD">
        <w:t xml:space="preserve">guidelines </w:t>
      </w:r>
      <w:r w:rsidR="00EC7DEA">
        <w:t xml:space="preserve">from </w:t>
      </w:r>
      <w:r w:rsidR="00325FFD">
        <w:t xml:space="preserve">the </w:t>
      </w:r>
      <w:r w:rsidR="00EC7DEA">
        <w:t xml:space="preserve">joint working group </w:t>
      </w:r>
      <w:r w:rsidR="00325FFD">
        <w:t>of</w:t>
      </w:r>
      <w:r w:rsidR="00EC7DEA">
        <w:t xml:space="preserve"> European and North American societies for paediatric gastroenterology, hepatology and nutrition (ESPGHAN and NASPGHAN) </w:t>
      </w:r>
      <w:r w:rsidR="008030AD">
        <w:t xml:space="preserve">are helpful and address specific clinical questions which are relevant </w:t>
      </w:r>
      <w:r w:rsidR="003522B5">
        <w:t xml:space="preserve">to </w:t>
      </w:r>
      <w:r w:rsidR="00325FFD">
        <w:t>the clinician</w:t>
      </w:r>
      <w:r w:rsidR="008030AD">
        <w:t xml:space="preserve"> in practice </w:t>
      </w:r>
      <w:r w:rsidR="00325FFD">
        <w:t>including the diagnosis, differential diagnosis, investigation, therapeutics and prognosis</w:t>
      </w:r>
      <w:r w:rsidR="003522B5">
        <w:t xml:space="preserve"> </w:t>
      </w:r>
      <w:r w:rsidR="007D2F93">
        <w:fldChar w:fldCharType="begin" w:fldLock="1"/>
      </w:r>
      <w:r w:rsidR="009D0258">
        <w:instrText>ADDIN CSL_CITATION { "citationItems" : [ { "id" : "ITEM-1",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"ITEM-1", "issue" : "3", "issued" : { "date-parts" : [ [ "2018", "3" ] ] }, "page" : "516-554", "title" : "Pediatric Gastroesophageal Reflux Clinical Practice Guidelines", "type" : "article-journal", "volume" : "66" }, "uris" : [ "http://www.mendeley.com/documents/?uuid=90bcbc72-9e00-3faf-ba9a-55504e40bb06" ] } ], "mendeley" : { "formattedCitation" : "[2]", "plainTextFormattedCitation" : "[2]", "previouslyFormattedCitation" : "[2]" }, "properties" : { "noteIndex" : 0 }, "schema" : "https://github.com/citation-style-language/schema/raw/master/csl-citation.json" }</w:instrText>
      </w:r>
      <w:r w:rsidR="007D2F93">
        <w:fldChar w:fldCharType="separate"/>
      </w:r>
      <w:r w:rsidR="007D2F93" w:rsidRPr="007D2F93">
        <w:rPr>
          <w:noProof/>
        </w:rPr>
        <w:t>[2]</w:t>
      </w:r>
      <w:r w:rsidR="007D2F93">
        <w:fldChar w:fldCharType="end"/>
      </w:r>
      <w:r w:rsidR="00325FFD">
        <w:t xml:space="preserve">. The need for this and other guidance including </w:t>
      </w:r>
      <w:r w:rsidR="003F4819">
        <w:t>appraisal of the eviden</w:t>
      </w:r>
      <w:r w:rsidR="005F65F2">
        <w:t xml:space="preserve">ce </w:t>
      </w:r>
      <w:r w:rsidR="00325FFD">
        <w:t>for treatments (</w:t>
      </w:r>
      <w:r w:rsidR="005F65F2">
        <w:t>2014</w:t>
      </w:r>
      <w:r w:rsidR="00325FFD">
        <w:t>,</w:t>
      </w:r>
      <w:r w:rsidR="005F65F2">
        <w:t xml:space="preserve"> Cochrane</w:t>
      </w:r>
      <w:r w:rsidR="00325FFD">
        <w:t>)</w:t>
      </w:r>
      <w:r w:rsidR="005F65F2">
        <w:t xml:space="preserve"> and </w:t>
      </w:r>
      <w:r w:rsidR="003F4819">
        <w:t>national institute for</w:t>
      </w:r>
      <w:r w:rsidR="000B5EEA">
        <w:t xml:space="preserve"> health and care</w:t>
      </w:r>
      <w:r w:rsidR="008409FC">
        <w:t xml:space="preserve"> </w:t>
      </w:r>
      <w:r w:rsidR="003F4819">
        <w:t xml:space="preserve">excellence (NICE) </w:t>
      </w:r>
      <w:r w:rsidR="00325FFD">
        <w:t>guidance</w:t>
      </w:r>
      <w:r w:rsidR="008F4F85">
        <w:t xml:space="preserve"> (2015)</w:t>
      </w:r>
      <w:r w:rsidR="00325FFD">
        <w:t xml:space="preserve"> is </w:t>
      </w:r>
      <w:r w:rsidR="00325FFD">
        <w:t xml:space="preserve">crucial in a condition where there are </w:t>
      </w:r>
      <w:r w:rsidR="003F4819">
        <w:t xml:space="preserve"> multiple opinions on when, how and what to treat </w:t>
      </w:r>
      <w:r w:rsidR="003F4819">
        <w:fldChar w:fldCharType="begin" w:fldLock="1"/>
      </w:r>
      <w:r w:rsidR="009D0258">
        <w:instrText>ADDIN CSL_CITATION { "citationItems" : [ { "id" : "ITEM-1", "itemData" : { "DOI" : "10.1002/14651858.CD008550.pub2", "ISSN" : "14651858", "PMID" : "25419906", "abstract" : "BACKGROUND Gastro-oesophageal reflux (GOR) is a common disorder, characterised by regurgitation of gastric contents into the oesophagus. GOR is a very common presentation in infancy in both primary and secondary care settings. GOR can affect approximately 50% of infants younger than three months old (Nelson 1997). The natural history of GOR in infancy is generally that of a functional, self-limiting condition that improves with age; &lt; 5% of children with vomiting or regurgitation continue to have symptoms after infancy (Martin 2002). Older children and children with co-existing medical conditions can have a more protracted course. The definition of gastro-oesophageal reflux disease (GORD) and its precise distinction from GOR are debated, but consensus guidelines from the North American Society of Gastroenterology, Hepatology and Nutrition (NASPGHAN-ESPGHAN guidelines 2009) define GORD as 'troublesome symptoms or complications of GOR.' OBJECTIVES This Cochrane review aims to provide a robust analysis of currently available pharmacological interventions used to treat children with GOR by assessing all outcomes indicating benefit or harm. SEARCH METHODS We sought to identify relevant published trials by searching the Cochrane Central Register of Controlled Trials (CENTRAL) (2014, Issue 5), MEDLINE and EMBASE (1966 to 2014), the Centralised Information Service for Complementary Medicine (CISCOM), the Institute for Scientific Information (ISI) Science Citation Index (on BIDS-UK General Science Index) and the ISI Web of Science. We also searched for ongoing trials in the metaRegister of Controlled Trials (mRCT) (www.controlled-trials.com).Reference lists from trials selected by electronic searching were handsearched for relevant paediatric studies on medical treatment of children with gastro-oesophageal reflux, as were published abstracts from conference proceedings (published in Gut and Gastroenterology) and reviews published over the past five years.No language restrictions were applied. SELECTION CRITERIA Abstracts were reviewed by two review authors, and relevant RCTs on study participants (birth to 16 years) with GOR receiving a pharmacological treatment were selected. Subgroup analysis was considered for children up to 12 months of age, and for children 12 months to 16 years of age, and for those with neurological impairment. DATA COLLECTION AND ANALYSIS Trials were critically appraised and data collected by two review authors. Risk of bias was assessed\u2026", "author" : [ { "dropping-particle" : "", "family" : "Tighe", "given" : "Mark", "non-dropping-particle" : "", "parse-names" : false, "suffix" : "" }, { "dropping-particle" : "", "family" : "Afzal", "given" : "Nadeem A", "non-dropping-particle" : "", "parse-names" : false, "suffix" : "" }, { "dropping-particle" : "", "family" : "Bevan", "given" : "Amanda", "non-dropping-particle" : "", "parse-names" : false, "suffix" : "" }, { "dropping-particle" : "", "family" : "Hayen", "given" : "Andrew", "non-dropping-particle" : "", "parse-names" : false, "suffix" : "" }, { "dropping-particle" : "", "family" : "Munro", "given" : "Alasdair", "non-dropping-particle" : "", "parse-names" : false, "suffix" : "" }, { "dropping-particle" : "", "family" : "Beattie", "given" : "R Mark", "non-dropping-particle" : "", "parse-names" : false, "suffix" : "" } ], "container-title" : "Cochrane Database of Systematic Reviews", "id" : "ITEM-1", "issue" : "11", "issued" : { "date-parts" : [ [ "2014", "11", "24" ] ] }, "page" : "CD008550", "title" : "Pharmacological treatment of children with gastro-oesophageal reflux", "type" : "article-journal" }, "uris" : [ "http://www.mendeley.com/documents/?uuid=4c9e05cd-8c5f-3029-a4d8-3da9d9ede69e" ] }, { "id" : "ITEM-2", "itemData" : { "id" : "ITEM-2", "issued" : { "date-parts" : [ [ "0" ] ] }, "publisher" : "NICE", "title" : "Gastro-oesophageal reflux disease in children and young people: diagnosis and management  | Guidance and guidelines | NICE", "type" : "article-journal" }, "uris" : [ "http://www.mendeley.com/documents/?uuid=f5aa2c43-ac1f-39cd-b287-3682e7ccb180" ] } ], "mendeley" : { "formattedCitation" : "[3,4]", "plainTextFormattedCitation" : "[3,4]", "previouslyFormattedCitation" : "[3,4]" }, "properties" : { "noteIndex" : 0 }, "schema" : "https://github.com/citation-style-language/schema/raw/master/csl-citation.json" }</w:instrText>
      </w:r>
      <w:r w:rsidR="003F4819">
        <w:fldChar w:fldCharType="separate"/>
      </w:r>
      <w:r w:rsidR="007D2F93" w:rsidRPr="007D2F93">
        <w:rPr>
          <w:noProof/>
        </w:rPr>
        <w:t>[3,4]</w:t>
      </w:r>
      <w:r w:rsidR="003F4819">
        <w:fldChar w:fldCharType="end"/>
      </w:r>
      <w:r w:rsidR="003F4819">
        <w:t xml:space="preserve">. </w:t>
      </w:r>
      <w:r w:rsidR="00E639CC">
        <w:t>Despite this,</w:t>
      </w:r>
      <w:r w:rsidR="00325FFD">
        <w:t xml:space="preserve"> t</w:t>
      </w:r>
      <w:r w:rsidR="003F4819">
        <w:t xml:space="preserve">he </w:t>
      </w:r>
      <w:r w:rsidR="00D36A01">
        <w:t xml:space="preserve">utility </w:t>
      </w:r>
      <w:r w:rsidR="003F4819">
        <w:t xml:space="preserve">of these documents </w:t>
      </w:r>
      <w:r w:rsidR="00D36A01">
        <w:t xml:space="preserve">in clinical practice </w:t>
      </w:r>
      <w:r w:rsidR="003F4819">
        <w:t xml:space="preserve">is </w:t>
      </w:r>
      <w:r w:rsidR="00D36A01">
        <w:t>uncertain</w:t>
      </w:r>
      <w:r w:rsidR="003F4819">
        <w:t xml:space="preserve">, with </w:t>
      </w:r>
      <w:r w:rsidR="00D36A01">
        <w:t>the increase in p</w:t>
      </w:r>
      <w:r w:rsidR="00DD6940">
        <w:t>rescription of pharmacological treatments</w:t>
      </w:r>
      <w:r w:rsidR="003F4819">
        <w:t xml:space="preserve"> </w:t>
      </w:r>
      <w:r w:rsidR="00D36A01">
        <w:t xml:space="preserve">seemingly </w:t>
      </w:r>
      <w:r w:rsidR="007D1885">
        <w:t>driven</w:t>
      </w:r>
      <w:r w:rsidR="003F4819">
        <w:t xml:space="preserve"> largely by </w:t>
      </w:r>
      <w:r w:rsidR="007D1885">
        <w:t xml:space="preserve">the pressure to </w:t>
      </w:r>
      <w:r w:rsidR="00D36A01">
        <w:t>‘</w:t>
      </w:r>
      <w:r w:rsidR="007D1885">
        <w:t>do something</w:t>
      </w:r>
      <w:r w:rsidR="00D36A01">
        <w:t>’</w:t>
      </w:r>
      <w:r w:rsidR="007D1885">
        <w:t xml:space="preserve"> and </w:t>
      </w:r>
      <w:r w:rsidR="003F4819">
        <w:t xml:space="preserve">personal experience </w:t>
      </w:r>
      <w:r w:rsidR="00DD6940">
        <w:fldChar w:fldCharType="begin" w:fldLock="1"/>
      </w:r>
      <w:r w:rsidR="009D0258">
        <w:instrText>ADDIN CSL_CITATION { "citationItems" : [ { "id" : "ITEM-1", "itemData" : { "DOI" : "10.1542/peds.2007-1146", "ISSN" : "1098-4275", "PMID" : "17974730", "abstract" : "OBJECTIVE Our goal was to evaluate the diagnosis and treatment of infants with persistent regurgitation who were referred to a pediatric gastroenterology service. METHODS The records of 64 infants with persistent regurgitation and without any neurodevelopmental abnormalities, underlying illness, or cigarette smoke exposure were evaluated for diagnostic workup and treatment. Forty-four infants underwent extended esophageal pH monitoring. RESULTS Only 8 of 44 pH studies showed abnormal acid reflux. Forty-two of these 44 infants were already on antireflux medications. Other etiologies included hypertrophic pyloric stenosis (4) and renal tubular acidosis (1). Discontinuation of medication did not result in worsening of symptoms in most infants with normal pH studies. CONCLUSIONS The majority of infants who were prescribed antireflux drugs did not meet diagnostic criteria for gastroesophageal reflux disease.", "author" : [ { "dropping-particle" : "", "family" : "Khoshoo", "given" : "Vikram", "non-dropping-particle" : "", "parse-names" : false, "suffix" : "" }, { "dropping-particle" : "", "family" : "Edell", "given" : "Dean", "non-dropping-particle" : "", "parse-names" : false, "suffix" : "" }, { "dropping-particle" : "", "family" : "Thompson", "given" : "Aaron", "non-dropping-particle" : "", "parse-names" : false, "suffix" : "" }, { "dropping-particle" : "", "family" : "Rubin", "given" : "Mitchell", "non-dropping-particle" : "", "parse-names" : false, "suffix" : "" } ], "container-title" : "Pediatrics", "id" : "ITEM-1", "issue" : "5", "issued" : { "date-parts" : [ [ "2007", "11", "1" ] ] }, "page" : "946-9", "publisher" : "American Academy of Pediatrics", "title" : "Are we overprescribing antireflux medications for infants with regurgitation?", "type" : "article-journal", "volume" : "120" }, "uris" : [ "http://www.mendeley.com/documents/?uuid=997a1da5-b938-3bd8-931f-ff5a4287c0fc" ] }, { "id" : "ITEM-2", "itemData" : { "DOI" : "10.5863/1551-6776-23.1.41", "ISSN" : "1551-6776", "PMID" : "29491751", "abstract" : "OBJECTIVES Recent guidelines defined and differentiated the management of gastroesophageal reflux (GER) and gastroesophageal reflux disease (GERD). The guidelines recommend against using empiric acid suppression therapy for infantile GER. The primary objective of this study was to assess inpatient guideline adherence regarding management of infantile GER through the perspective of pharmacists. Secondary objectives included assessing pharmacist comfort level with differentiation between GER and GERD, observing current trends in practice relating to the primary objective, and determining the availability of institution-specific guidelines that address the management of infantile GER. METHODS An institutional review board-approved, national, online survey of pharmacists with inpatient pediatric experience was conducted. Pediatric pharmacy membership directories were used to create the listserv of eligible pharmacists. The 2009 NASPGHAN/ESPGHAN (North American Society for Pediatric Gastroenterology, Hepatology, and Nutrition/European Society for Pediatric Gastroenterology, Hepatology, and Nutrition) Pediatric Gastroesophageal Reflux Clinical Practice Guideline was used to develop the survey and to define both GER and GERD. Demographic data was also collected regarding the institutional setting and pharmacists responding. RESULTS The overall response rate was 14.8% (n = 149). Although 29.7% of pharmacists stated empiric acid suppression trials were not used for infantile GER at their institution, 44.6% responded that these trials are initiated 1 to 2 times per week in their hospitals. In addition, 19.6% responded that these empiric trials were initiated 3 to 5 times per week. A smaller percentage of responders reported even higher frequencies per week at their institutions. CONCLUSIONS From the results of the survey, infants continue to receive empiric acid suppression trials for GER in the inpatient setting, which is not adherent to the current guideline recommendation.", "author" : [ { "dropping-particle" : "", "family" : "Long", "given" : "Heather A.", "non-dropping-particle" : "", "parse-names" : false, "suffix" : "" }, { "dropping-particle" : "", "family" : "Solski", "given" : "Lauren", "non-dropping-particle" : "", "parse-names" : false, "suffix" : "" }, { "dropping-particle" : "", "family" : "Rebuck", "given" : "Jill A.", "non-dropping-particle" : "", "parse-names" : false, "suffix" : "" }, { "dropping-particle" : "", "family" : "Bridgeman", "given" : "Colin", "non-dropping-particle" : "", "parse-names" : false, "suffix" : "" } ], "container-title" : "The Journal of Pediatric Pharmacology and Therapeutics", "id" : "ITEM-2", "issue" : "1", "issued" : { "date-parts" : [ [ "2018", "1" ] ] }, "page" : "41-47", "title" : "Infantile Gastroesophageal Reflux: Adherence to Treatment Guidelines in the Hospital Setting", "type" : "article-journal", "volume" : "23" }, "uris" : [ "http://www.mendeley.com/documents/?uuid=59335fd3-6dc0-3cd2-911c-7ce909bf4e6c" ] } ], "mendeley" : { "formattedCitation" : "[5,6]", "plainTextFormattedCitation" : "[5,6]", "previouslyFormattedCitation" : "[5,6]" }, "properties" : { "noteIndex" : 0 }, "schema" : "https://github.com/citation-style-language/schema/raw/master/csl-citation.json" }</w:instrText>
      </w:r>
      <w:r w:rsidR="00DD6940">
        <w:fldChar w:fldCharType="separate"/>
      </w:r>
      <w:r w:rsidR="007D2F93" w:rsidRPr="007D2F93">
        <w:rPr>
          <w:noProof/>
        </w:rPr>
        <w:t>[5,6]</w:t>
      </w:r>
      <w:r w:rsidR="00DD6940">
        <w:fldChar w:fldCharType="end"/>
      </w:r>
      <w:r w:rsidR="003F4819">
        <w:t>.</w:t>
      </w:r>
    </w:p>
    <w:p w14:paraId="1004D513" w14:textId="77777777" w:rsidR="00B506BC" w:rsidRDefault="00DD6940" w:rsidP="00EC7DEA">
      <w:pPr>
        <w:spacing w:line="480" w:lineRule="auto"/>
        <w:rPr>
          <w:u w:val="single"/>
        </w:rPr>
      </w:pPr>
      <w:r>
        <w:rPr>
          <w:u w:val="single"/>
        </w:rPr>
        <w:t xml:space="preserve">Definition, </w:t>
      </w:r>
      <w:r w:rsidRPr="00DD6940">
        <w:rPr>
          <w:u w:val="single"/>
        </w:rPr>
        <w:t>Symptoms and Diagnosis</w:t>
      </w:r>
    </w:p>
    <w:p w14:paraId="246EF0C0" w14:textId="077C0F8E" w:rsidR="00DD6940" w:rsidRDefault="000B5EEA" w:rsidP="00DD6940">
      <w:pPr>
        <w:spacing w:line="480" w:lineRule="auto"/>
      </w:pPr>
      <w:r>
        <w:t>Reflux of gastric contents</w:t>
      </w:r>
      <w:r w:rsidR="00DD6940">
        <w:t xml:space="preserve"> </w:t>
      </w:r>
      <w:r w:rsidR="00DD6940">
        <w:t xml:space="preserve">into the oesophagus in infancy is both common and largely </w:t>
      </w:r>
      <w:r w:rsidR="007D1885">
        <w:t>self-limiting</w:t>
      </w:r>
      <w:r w:rsidR="00DD6940">
        <w:t xml:space="preserve">. Progression of simple GOR to GORD is defined as ‘reflux leading to troublesome symptoms and/or complications, such as oesophagitis </w:t>
      </w:r>
      <w:r w:rsidR="00A47A97">
        <w:t xml:space="preserve">or stricturing’ </w:t>
      </w:r>
      <w:r w:rsidR="00DD6940">
        <w:fldChar w:fldCharType="begin" w:fldLock="1"/>
      </w:r>
      <w:r w:rsidR="009D0258">
        <w:instrText>ADDIN CSL_CITATION { "citationItems" : [ { "id" : "ITEM-1",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"ITEM-1", "issue" : "3", "issued" : { "date-parts" : [ [ "2018", "3" ] ] }, "page" : "516-554", "title" : "Pediatric Gastroesophageal Reflux Clinical Practice Guidelines", "type" : "article-journal", "volume" : "66" }, "uris" : [ "http://www.mendeley.com/documents/?uuid=90bcbc72-9e00-3faf-ba9a-55504e40bb06" ] } ], "mendeley" : { "formattedCitation" : "[2]", "plainTextFormattedCitation" : "[2]", "previouslyFormattedCitation" : "[2]" }, "properties" : { "noteIndex" : 0 }, "schema" : "https://github.com/citation-style-language/schema/raw/master/csl-citation.json" }</w:instrText>
      </w:r>
      <w:r w:rsidR="00DD6940">
        <w:fldChar w:fldCharType="separate"/>
      </w:r>
      <w:r w:rsidR="007D2F93" w:rsidRPr="007D2F93">
        <w:rPr>
          <w:noProof/>
        </w:rPr>
        <w:t>[2]</w:t>
      </w:r>
      <w:r w:rsidR="00DD6940">
        <w:fldChar w:fldCharType="end"/>
      </w:r>
      <w:r w:rsidR="00DD6940">
        <w:t>. The troublesome nature of this definition centres on who is finding the symptoms troubling. Frequently it is the parents who are concerned</w:t>
      </w:r>
      <w:r w:rsidR="007D1885">
        <w:t>,</w:t>
      </w:r>
      <w:r w:rsidR="00DD6940">
        <w:t xml:space="preserve"> whilst the infant is growing well, has</w:t>
      </w:r>
      <w:r w:rsidR="007D1885">
        <w:t xml:space="preserve"> only</w:t>
      </w:r>
      <w:r w:rsidR="00DD6940">
        <w:t xml:space="preserve"> transient discomfort and is otherwise thriving. </w:t>
      </w:r>
      <w:r w:rsidR="00E908B9">
        <w:t xml:space="preserve">It is important </w:t>
      </w:r>
      <w:r w:rsidR="008F4F85">
        <w:t xml:space="preserve">for the clinician </w:t>
      </w:r>
      <w:r w:rsidR="00E908B9">
        <w:t xml:space="preserve">to offer treatment when it is likely to be helpful and impact on symptoms and prognosis. </w:t>
      </w:r>
      <w:r w:rsidR="008409FC">
        <w:t>It is crucial</w:t>
      </w:r>
      <w:r w:rsidR="000A50AE">
        <w:t xml:space="preserve"> not to over treat if the therapies a</w:t>
      </w:r>
      <w:r w:rsidR="008409FC">
        <w:t>re not likely to be effective. However i</w:t>
      </w:r>
      <w:r w:rsidR="000A50AE">
        <w:t>t is</w:t>
      </w:r>
      <w:r w:rsidR="008F4F85">
        <w:t xml:space="preserve"> </w:t>
      </w:r>
      <w:r w:rsidR="000A50AE">
        <w:t xml:space="preserve">important to recognise the wide differential in </w:t>
      </w:r>
      <w:r w:rsidR="00D43BBE">
        <w:t>children with reflux symptoms</w:t>
      </w:r>
      <w:r w:rsidR="001C643E">
        <w:t xml:space="preserve"> </w:t>
      </w:r>
      <w:r w:rsidR="000A50AE">
        <w:t>and that the evidence base for specific medical treatment is only in children with confirmed G</w:t>
      </w:r>
      <w:r w:rsidR="001C643E">
        <w:t>O</w:t>
      </w:r>
      <w:r w:rsidR="000A50AE">
        <w:t>RD</w:t>
      </w:r>
      <w:r w:rsidR="009D0258">
        <w:t xml:space="preserve"> </w:t>
      </w:r>
      <w:r w:rsidR="009D0258">
        <w:fldChar w:fldCharType="begin" w:fldLock="1"/>
      </w:r>
      <w:r w:rsidR="009D0258">
        <w:instrText>ADDIN CSL_CITATION { "citationItems" : [ { "id" : "ITEM-1",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"ITEM-1", "issue" : "3", "issued" : { "date-parts" : [ [ "2018", "3" ] ] }, "page" : "516-554", "title" : "Pediatric Gastroesophageal Reflux Clinical Practice Guidelines", "type" : "article-journal", "volume" : "66" }, "uris" : [ "http://www.mendeley.com/documents/?uuid=90bcbc72-9e00-3faf-ba9a-55504e40bb06" ] }, { "id" : "ITEM-2", "itemData" : { "id" : "ITEM-2", "issued" : { "date-parts" : [ [ "0" ] ] }, "publisher" : "NICE", "title" : "Gastro-oesophageal reflux disease in children and young people: diagnosis and management  | Guidance and guidelines | NICE", "type" : "article-journal" }, "uris" : [ "http://www.mendeley.com/documents/?uuid=f5aa2c43-ac1f-39cd-b287-3682e7ccb180" ] }, { "id" : "ITEM-3", "itemData" : { "DOI" : "10.1002/14651858.CD008550.pub2", "ISSN" : "14651858", "PMID" : "25419906", "abstract" : "BACKGROUND Gastro-oesophageal reflux (GOR) is a common disorder, characterised by regurgitation of gastric contents into the oesophagus. GOR is a very common presentation in infancy in both primary and secondary care settings. GOR can affect approximately 50% of infants younger than three months old (Nelson 1997). The natural history of GOR in infancy is generally that of a functional, self-limiting condition that improves with age; &lt; 5% of children with vomiting or regurgitation continue to have symptoms after infancy (Martin 2002). Older children and children with co-existing medical conditions can have a more protracted course. The definition of gastro-oesophageal reflux disease (GORD) and its precise distinction from GOR are debated, but consensus guidelines from the North American Society of Gastroenterology, Hepatology and Nutrition (NASPGHAN-ESPGHAN guidelines 2009) define GORD as 'troublesome symptoms or complications of GOR.' OBJECTIVES This Cochrane review aims to provide a robust analysis of currently available pharmacological interventions used to treat children with GOR by assessing all outcomes indicating benefit or harm. SEARCH METHODS We sought to identify relevant published trials by searching the Cochrane Central Register of Controlled Trials (CENTRAL) (2014, Issue 5), MEDLINE and EMBASE (1966 to 2014), the Centralised Information Service for Complementary Medicine (CISCOM), the Institute for Scientific Information (ISI) Science Citation Index (on BIDS-UK General Science Index) and the ISI Web of Science. We also searched for ongoing trials in the metaRegister of Controlled Trials (mRCT) (www.controlled-trials.com).Reference lists from trials selected by electronic searching were handsearched for relevant paediatric studies on medical treatment of children with gastro-oesophageal reflux, as were published abstracts from conference proceedings (published in Gut and Gastroenterology) and reviews published over the past five years.No language restrictions were applied. SELECTION CRITERIA Abstracts were reviewed by two review authors, and relevant RCTs on study participants (birth to 16 years) with GOR receiving a pharmacological treatment were selected. Subgroup analysis was considered for children up to 12 months of age, and for children 12 months to 16 years of age, and for those with neurological impairment. DATA COLLECTION AND ANALYSIS Trials were critically appraised and data collected by two review authors. Risk of bias was assessed\u2026", "author" : [ { "dropping-particle" : "", "family" : "Tighe", "given" : "Mark", "non-dropping-particle" : "", "parse-names" : false, "suffix" : "" }, { "dropping-particle" : "", "family" : "Afzal", "given" : "Nadeem A", "non-dropping-particle" : "", "parse-names" : false, "suffix" : "" }, { "dropping-particle" : "", "family" : "Bevan", "given" : "Amanda", "non-dropping-particle" : "", "parse-names" : false, "suffix" : "" }, { "dropping-particle" : "", "family" : "Hayen", "given" : "Andrew", "non-dropping-particle" : "", "parse-names" : false, "suffix" : "" }, { "dropping-particle" : "", "family" : "Munro", "given" : "Alasdair", "non-dropping-particle" : "", "parse-names" : false, "suffix" : "" }, { "dropping-particle" : "", "family" : "Beattie", "given" : "R Mark", "non-dropping-particle" : "", "parse-names" : false, "suffix" : "" } ], "container-title" : "Cochrane Database of Systematic Reviews", "id" : "ITEM-3", "issue" : "11", "issued" : { "date-parts" : [ [ "2014", "11", "24" ] ] }, "page" : "CD008550", "title" : "Pharmacological treatment of children with gastro-oesophageal reflux", "type" : "article-journal" }, "uris" : [ "http://www.mendeley.com/documents/?uuid=4c9e05cd-8c5f-3029-a4d8-3da9d9ede69e" ] } ], "mendeley" : { "formattedCitation" : "[2\u20134]", "plainTextFormattedCitation" : "[2\u20134]" }, "properties" : { "noteIndex" : 0 }, "schema" : "https://github.com/citation-style-language/schema/raw/master/csl-citation.json" }</w:instrText>
      </w:r>
      <w:r w:rsidR="009D0258">
        <w:fldChar w:fldCharType="separate"/>
      </w:r>
      <w:r w:rsidR="009D0258" w:rsidRPr="009D0258">
        <w:rPr>
          <w:noProof/>
        </w:rPr>
        <w:t>[2–4]</w:t>
      </w:r>
      <w:r w:rsidR="009D0258">
        <w:fldChar w:fldCharType="end"/>
      </w:r>
      <w:r w:rsidR="000A50AE">
        <w:t xml:space="preserve">. </w:t>
      </w:r>
    </w:p>
    <w:p w14:paraId="4F16CE17" w14:textId="101E69C4" w:rsidR="00A47A97" w:rsidRDefault="00A47A97" w:rsidP="00DD6940">
      <w:pPr>
        <w:spacing w:line="480" w:lineRule="auto"/>
      </w:pPr>
      <w:r>
        <w:lastRenderedPageBreak/>
        <w:t>The diagnosis of GOR is largely clinical, a full history and examination with the absence of ‘red flag’ symptoms is enough to make a diagnosis</w:t>
      </w:r>
      <w:r w:rsidR="00D43BBE">
        <w:t xml:space="preserve"> (table 1)</w:t>
      </w:r>
      <w:r>
        <w:t xml:space="preserve">. GORD </w:t>
      </w:r>
      <w:r w:rsidR="00246854">
        <w:t xml:space="preserve">in infancy </w:t>
      </w:r>
      <w:r>
        <w:t>can be considered in the context of GOR without improvement following simple intervention</w:t>
      </w:r>
      <w:r w:rsidR="00D43BBE">
        <w:t>.</w:t>
      </w:r>
    </w:p>
    <w:p w14:paraId="38ED281D" w14:textId="35049FBB" w:rsidR="00EB079D" w:rsidRDefault="00246854" w:rsidP="00DD6940">
      <w:pPr>
        <w:spacing w:line="480" w:lineRule="auto"/>
      </w:pPr>
      <w:r>
        <w:t xml:space="preserve">The ESPGHAN/NASPGHAN </w:t>
      </w:r>
      <w:r w:rsidR="00EB079D">
        <w:t xml:space="preserve">and NICE </w:t>
      </w:r>
      <w:r>
        <w:t xml:space="preserve">guidelines are clear about investigation of GOR in </w:t>
      </w:r>
      <w:r w:rsidR="008F4F85">
        <w:t>infants. T</w:t>
      </w:r>
      <w:r>
        <w:t xml:space="preserve">here is no place for </w:t>
      </w:r>
      <w:r w:rsidR="00273847">
        <w:t xml:space="preserve">routine </w:t>
      </w:r>
      <w:r w:rsidR="00D43BBE">
        <w:t>pH</w:t>
      </w:r>
      <w:r w:rsidR="00273847">
        <w:t xml:space="preserve">/impedance, </w:t>
      </w:r>
      <w:r>
        <w:t xml:space="preserve">endoscopy, ultrasound and barium contrast studies </w:t>
      </w:r>
      <w:r>
        <w:fldChar w:fldCharType="begin" w:fldLock="1"/>
      </w:r>
      <w:r w:rsidR="009D0258">
        <w:instrText>ADDIN CSL_CITATION { "citationItems" : [ { "id" : "ITEM-1",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"ITEM-1", "issue" : "3", "issued" : { "date-parts" : [ [ "2018", "3" ] ] }, "page" : "516-554", "title" : "Pediatric Gastroesophageal Reflux Clinical Practice Guidelines", "type" : "article-journal", "volume" : "66" }, "uris" : [ "http://www.mendeley.com/documents/?uuid=90bcbc72-9e00-3faf-ba9a-55504e40bb06" ] }, { "id" : "ITEM-2", "itemData" : { "id" : "ITEM-2", "issued" : { "date-parts" : [ [ "0" ] ] }, "publisher" : "NICE", "title" : "Gastro-oesophageal reflux disease in children and young people: diagnosis and management  | Guidance and guidelines | NICE", "type" : "article-journal" }, "uris" : [ "http://www.mendeley.com/documents/?uuid=f5aa2c43-ac1f-39cd-b287-3682e7ccb180" ] } ], "mendeley" : { "formattedCitation" : "[2,4]", "plainTextFormattedCitation" : "[2,4]", "previouslyFormattedCitation" : "[4,2]" }, "properties" : { "noteIndex" : 0 }, "schema" : "https://github.com/citation-style-language/schema/raw/master/csl-citation.json" }</w:instrText>
      </w:r>
      <w:r>
        <w:fldChar w:fldCharType="separate"/>
      </w:r>
      <w:r w:rsidR="009D0258" w:rsidRPr="009D0258">
        <w:rPr>
          <w:noProof/>
        </w:rPr>
        <w:t>[2,4]</w:t>
      </w:r>
      <w:r>
        <w:fldChar w:fldCharType="end"/>
      </w:r>
      <w:r>
        <w:t xml:space="preserve">. </w:t>
      </w:r>
      <w:r w:rsidR="008F4F85">
        <w:t>T</w:t>
      </w:r>
      <w:r>
        <w:t xml:space="preserve">he </w:t>
      </w:r>
      <w:r w:rsidR="00EB079D">
        <w:t xml:space="preserve">use of </w:t>
      </w:r>
      <w:r w:rsidR="0011792A">
        <w:t>pH</w:t>
      </w:r>
      <w:r w:rsidR="00EB079D">
        <w:t xml:space="preserve"> probes/impedance</w:t>
      </w:r>
      <w:r w:rsidR="008F4F85">
        <w:t>, endoscopy</w:t>
      </w:r>
      <w:r w:rsidR="00EB079D">
        <w:t xml:space="preserve"> and manometry should be reserved for assessment of improvement </w:t>
      </w:r>
      <w:r w:rsidR="00EB079D">
        <w:t xml:space="preserve">of symptoms and correlation of troublesome symptoms with acid reflux in select cases only, although some would use these investigation more frequently to make a diagnosis </w:t>
      </w:r>
      <w:r w:rsidR="00EB079D">
        <w:fldChar w:fldCharType="begin" w:fldLock="1"/>
      </w:r>
      <w:r w:rsidR="009D0258">
        <w:instrText>ADDIN CSL_CITATION { "citationItems" : [ { "id" : "ITEM-1", "itemData" : { "DOI" : "10.1136/BMJ.C4420", "ISSN" : "1756-1833", "PMID" : "20802001", "abstract" : "#### Summary points\n\nTransient, inappropriate relaxation of the lower oesophageal sphincter may permit contents of the stomach to pass into the oesophagus (gastro-oesophageal reflux).1 This usually presents as regurgitation or vomiting and is common in infants, when it is usually mild and self limiting, and requires no specific treatment.1 Gastro-oesophageal reflux disease (GORD) in infants describes reflux of gastric contents that causes troublesome symptoms or complications.2 GORD is sometimes wrongly diagnosed in healthy infants with troublesome but harmless symptoms of \u201cphysiological\u201d gastro-oesophageal reflux.3 This has led to increasing, potentially inappropriate, use of acid reducing drugs.3 4 Furthermore, few of the drugs used to treat infants with GORD are licensed for this use, a situation that DTB criticised 12 years ago.1 Here we consider GORD in infancy \u2026", "author" : [ { "dropping-particle" : "", "family" : "Drug and Therapeutics Bulletin", "given" : "", "non-dropping-particle" : "", "parse-names" : false, "suffix" : "" } ], "container-title" : "BMJ (Clinical research ed.)", "id" : "ITEM-1", "issued" : { "date-parts" : [ [ "2010", "8", "27" ] ] }, "page" : "c4420", "publisher" : "British Medical Journal Publishing Group", "title" : "Managing gastro-oesophageal reflux in infants.", "type" : "article-journal", "volume" : "341" }, "uris" : [ "http://www.mendeley.com/documents/?uuid=defb6e54-bc26-3598-a32a-8a5cc95089ba" ] } ], "mendeley" : { "formattedCitation" : "[7]", "plainTextFormattedCitation" : "[7]", "previouslyFormattedCitation" : "[7]" }, "properties" : { "noteIndex" : 0 }, "schema" : "https://github.com/citation-style-language/schema/raw/master/csl-citation.json" }</w:instrText>
      </w:r>
      <w:r w:rsidR="00EB079D">
        <w:fldChar w:fldCharType="separate"/>
      </w:r>
      <w:r w:rsidR="00D36A01" w:rsidRPr="00D36A01">
        <w:rPr>
          <w:noProof/>
        </w:rPr>
        <w:t>[7]</w:t>
      </w:r>
      <w:r w:rsidR="00EB079D">
        <w:fldChar w:fldCharType="end"/>
      </w:r>
      <w:r w:rsidR="00EB079D">
        <w:t xml:space="preserve">. </w:t>
      </w:r>
    </w:p>
    <w:p w14:paraId="1F4BFD7F" w14:textId="77777777" w:rsidR="00DD6940" w:rsidRDefault="00DD6940" w:rsidP="00EC7DEA">
      <w:pPr>
        <w:spacing w:line="480" w:lineRule="auto"/>
        <w:rPr>
          <w:u w:val="single"/>
        </w:rPr>
      </w:pPr>
      <w:r>
        <w:rPr>
          <w:u w:val="single"/>
        </w:rPr>
        <w:t>Therapies</w:t>
      </w:r>
    </w:p>
    <w:p w14:paraId="4148B698" w14:textId="77777777" w:rsidR="00DD6940" w:rsidRDefault="00AD5523" w:rsidP="00EC7DEA">
      <w:pPr>
        <w:spacing w:line="480" w:lineRule="auto"/>
      </w:pPr>
      <w:r>
        <w:t>Non-pharmacological interventions should be the first line according to both ESPGHAN/NASPGHAN and NICE. Simple strategies such as feed thickeners, assessment of volume intake (to avoid overfeeding) and adjustment of feed frequency/volume. Positional therapies may provide some benefit</w:t>
      </w:r>
      <w:r w:rsidR="00454CBD">
        <w:t xml:space="preserve"> but</w:t>
      </w:r>
      <w:r>
        <w:t xml:space="preserve"> should not be used in sleeping infants. </w:t>
      </w:r>
    </w:p>
    <w:p w14:paraId="432B1026" w14:textId="1F61EF0F" w:rsidR="008F4F85" w:rsidRDefault="00454CBD" w:rsidP="00EC7DEA">
      <w:pPr>
        <w:spacing w:line="480" w:lineRule="auto"/>
      </w:pPr>
      <w:r>
        <w:t>A</w:t>
      </w:r>
      <w:r w:rsidR="00AD5523">
        <w:t xml:space="preserve"> 2-4 week trial on extensively-hydrolysed (or amino acid) formula, or exclusion of diary from the maternal diet</w:t>
      </w:r>
      <w:r>
        <w:t xml:space="preserve"> is second line management</w:t>
      </w:r>
      <w:r w:rsidR="005603EC">
        <w:t xml:space="preserve"> </w:t>
      </w:r>
      <w:r w:rsidR="005603EC">
        <w:fldChar w:fldCharType="begin" w:fldLock="1"/>
      </w:r>
      <w:r w:rsidR="009D0258">
        <w:instrText>ADDIN CSL_CITATION { "citationItems" : [ { "id" : "ITEM-1",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"ITEM-1", "issue" : "3", "issued" : { "date-parts" : [ [ "2018", "3" ] ] }, "page" : "516-554", "title" : "Pediatric Gastroesophageal Reflux Clinical Practice Guidelines", "type" : "article-journal", "volume" : "66" }, "uris" : [ "http://www.mendeley.com/documents/?uuid=90bcbc72-9e00-3faf-ba9a-55504e40bb06" ] } ], "mendeley" : { "formattedCitation" : "[2]", "plainTextFormattedCitation" : "[2]", "previouslyFormattedCitation" : "[2]" }, "properties" : { "noteIndex" : 0 }, "schema" : "https://github.com/citation-style-language/schema/raw/master/csl-citation.json" }</w:instrText>
      </w:r>
      <w:r w:rsidR="005603EC">
        <w:fldChar w:fldCharType="separate"/>
      </w:r>
      <w:r w:rsidR="007D2F93" w:rsidRPr="007D2F93">
        <w:rPr>
          <w:noProof/>
        </w:rPr>
        <w:t>[2]</w:t>
      </w:r>
      <w:r w:rsidR="005603EC">
        <w:fldChar w:fldCharType="end"/>
      </w:r>
      <w:r w:rsidR="00AD5523">
        <w:t xml:space="preserve">. </w:t>
      </w:r>
    </w:p>
    <w:p w14:paraId="1D91CDAC" w14:textId="1913C8D8" w:rsidR="00AD5523" w:rsidRDefault="005603EC" w:rsidP="00EC7DEA">
      <w:pPr>
        <w:spacing w:line="480" w:lineRule="auto"/>
      </w:pPr>
      <w:r>
        <w:t>In contrast to older children there is no support for use of long-term alginates, H2 receptor antagonists (H2RAs), proton pump inhibitors (PPIs) or domperidon</w:t>
      </w:r>
      <w:r w:rsidR="0011792A">
        <w:t xml:space="preserve">e in infants with </w:t>
      </w:r>
      <w:r w:rsidR="000B5EEA">
        <w:t xml:space="preserve">straightforward </w:t>
      </w:r>
      <w:r w:rsidR="0011792A">
        <w:t xml:space="preserve">reflux. NICE and </w:t>
      </w:r>
      <w:r>
        <w:t>the 2014 Cochrane review</w:t>
      </w:r>
      <w:r w:rsidR="00E657AE">
        <w:t xml:space="preserve"> are cautious with recommending H2RA/PPI </w:t>
      </w:r>
      <w:r w:rsidR="00273847">
        <w:t>unless there is</w:t>
      </w:r>
      <w:r w:rsidR="00E657AE">
        <w:t xml:space="preserve"> overt regurgitation, feeding difficulty, distressing behaviour or faltering growth </w:t>
      </w:r>
      <w:r w:rsidR="00E657AE">
        <w:fldChar w:fldCharType="begin" w:fldLock="1"/>
      </w:r>
      <w:r w:rsidR="009D0258">
        <w:instrText>ADDIN CSL_CITATION { "citationItems" : [ { "id" : "ITEM-1", "itemData" : { "id" : "ITEM-1", "issued" : { "date-parts" : [ [ "0" ] ] }, "publisher" : "NICE", "title" : "Gastro-oesophageal reflux disease in children and young people: diagnosis and management  | Guidance and guidelines | NICE", "type" : "article-journal" }, "uris" : [ "http://www.mendeley.com/documents/?uuid=f5aa2c43-ac1f-39cd-b287-3682e7ccb180" ] }, { "id" : "ITEM-2", "itemData" : { "DOI" : "10.1002/14651858.CD008550.pub2", "ISSN" : "14651858", "PMID" : "25419906", "abstract" : "BACKGROUND Gastro-oesophageal reflux (GOR) is a common disorder, characterised by regurgitation of gastric contents into the oesophagus. GOR is a very common presentation in infancy in both primary and secondary care settings. GOR can affect approximately 50% of infants younger than three months old (Nelson 1997). The natural history of GOR in infancy is generally that of a functional, self-limiting condition that improves with age; &lt; 5% of children with vomiting or regurgitation continue to have symptoms after infancy (Martin 2002). Older children and children with co-existing medical conditions can have a more protracted course. The definition of gastro-oesophageal reflux disease (GORD) and its precise distinction from GOR are debated, but consensus guidelines from the North American Society of Gastroenterology, Hepatology and Nutrition (NASPGHAN-ESPGHAN guidelines 2009) define GORD as 'troublesome symptoms or complications of GOR.' OBJECTIVES This Cochrane review aims to provide a robust analysis of currently available pharmacological interventions used to treat children with GOR by assessing all outcomes indicating benefit or harm. SEARCH METHODS We sought to identify relevant published trials by searching the Cochrane Central Register of Controlled Trials (CENTRAL) (2014, Issue 5), MEDLINE and EMBASE (1966 to 2014), the Centralised Information Service for Complementary Medicine (CISCOM), the Institute for Scientific Information (ISI) Science Citation Index (on BIDS-UK General Science Index) and the ISI Web of Science. We also searched for ongoing trials in the metaRegister of Controlled Trials (mRCT) (www.controlled-trials.com).Reference lists from trials selected by electronic searching were handsearched for relevant paediatric studies on medical treatment of children with gastro-oesophageal reflux, as were published abstracts from conference proceedings (published in Gut and Gastroenterology) and reviews published over the past five years.No language restrictions were applied. SELECTION CRITERIA Abstracts were reviewed by two review authors, and relevant RCTs on study participants (birth to 16 years) with GOR receiving a pharmacological treatment were selected. Subgroup analysis was considered for children up to 12 months of age, and for children 12 months to 16 years of age, and for those with neurological impairment. DATA COLLECTION AND ANALYSIS Trials were critically appraised and data collected by two review authors. Risk of bias was assessed\u2026", "author" : [ { "dropping-particle" : "", "family" : "Tighe", "given" : "Mark", "non-dropping-particle" : "", "parse-names" : false, "suffix" : "" }, { "dropping-particle" : "", "family" : "Afzal", "given" : "Nadeem A", "non-dropping-particle" : "", "parse-names" : false, "suffix" : "" }, { "dropping-particle" : "", "family" : "Bevan", "given" : "Amanda", "non-dropping-particle" : "", "parse-names" : false, "suffix" : "" }, { "dropping-particle" : "", "family" : "Hayen", "given" : "Andrew", "non-dropping-particle" : "", "parse-names" : false, "suffix" : "" }, { "dropping-particle" : "", "family" : "Munro", "given" : "Alasdair", "non-dropping-particle" : "", "parse-names" : false, "suffix" : "" }, { "dropping-particle" : "", "family" : "Beattie", "given" : "R Mark", "non-dropping-particle" : "", "parse-names" : false, "suffix" : "" } ], "container-title" : "Cochrane Database of Systematic Reviews", "id" : "ITEM-2", "issue" : "11", "issued" : { "date-parts" : [ [ "2014", "11", "24" ] ] }, "page" : "CD008550", "title" : "Pharmacological treatment of children with gastro-oesophageal reflux", "type" : "article-journal" }, "uris" : [ "http://www.mendeley.com/documents/?uuid=4c9e05cd-8c5f-3029-a4d8-3da9d9ede69e" ] } ], "mendeley" : { "formattedCitation" : "[3,4]", "plainTextFormattedCitation" : "[3,4]", "previouslyFormattedCitation" : "[3,4]" }, "properties" : { "noteIndex" : 0 }, "schema" : "https://github.com/citation-style-language/schema/raw/master/csl-citation.json" }</w:instrText>
      </w:r>
      <w:r w:rsidR="00E657AE">
        <w:fldChar w:fldCharType="separate"/>
      </w:r>
      <w:r w:rsidR="007D2F93" w:rsidRPr="007D2F93">
        <w:rPr>
          <w:noProof/>
        </w:rPr>
        <w:t>[3,4]</w:t>
      </w:r>
      <w:r w:rsidR="00E657AE">
        <w:fldChar w:fldCharType="end"/>
      </w:r>
      <w:r w:rsidR="000B5EEA">
        <w:t>, i</w:t>
      </w:r>
      <w:r w:rsidR="00BE0BC0">
        <w:t>.</w:t>
      </w:r>
      <w:r w:rsidR="000B5EEA">
        <w:t>e</w:t>
      </w:r>
      <w:r w:rsidR="00BE0BC0">
        <w:t>.</w:t>
      </w:r>
      <w:r w:rsidR="000B5EEA">
        <w:t xml:space="preserve"> symptoms suggestive of </w:t>
      </w:r>
      <w:r w:rsidR="00BE0BC0">
        <w:t>GORD</w:t>
      </w:r>
      <w:r w:rsidR="00E657AE">
        <w:t>. However evidence suggests</w:t>
      </w:r>
      <w:r>
        <w:t xml:space="preserve"> </w:t>
      </w:r>
      <w:r w:rsidR="00E657AE">
        <w:t>that up to 40% of</w:t>
      </w:r>
      <w:r>
        <w:t xml:space="preserve"> paediatricians would routinely start a H2RA or PPI in a crying or unsettled infant, or</w:t>
      </w:r>
      <w:r w:rsidR="00E657AE">
        <w:t xml:space="preserve"> in visible regurgitation</w:t>
      </w:r>
      <w:r w:rsidR="005A43C4">
        <w:t>,</w:t>
      </w:r>
      <w:r w:rsidR="00E657AE">
        <w:t xml:space="preserve"> with less than 2% of general paediatricians in Europe adhering completely to the 2009 reflux publication from ESPGHAN/NASPGHAN </w:t>
      </w:r>
      <w:r w:rsidR="00E657AE">
        <w:fldChar w:fldCharType="begin" w:fldLock="1"/>
      </w:r>
      <w:r w:rsidR="009D0258">
        <w:instrText>ADDIN CSL_CITATION { "citationItems" : [ { "id" : "ITEM-1", "itemData" : { "DOI" : "10.1097/MPG.0b013e3182a69912", "ISSN" : "0277-2116", "PMID" : "24663035", "abstract" : "OBJECTIVE The aim of this study was to evaluate the current implementation of the 2009 North American Society for Pediatric Gastroenterology, Hepatology, and Nutrition-European Society for Pediatric Gastroenterology, Hepatology, and Nutrition guidelines, and to assess proton pump inhibitors' (PPIs) prescribing patterns among pediatricians from different European countries. METHODS A randomly identified sample of general pediatricians distributed across 11 European countries. They were asked to complete a case report-structured questionnaire investigating their approaches to infants, children, and adolescents with symptoms suggestive of gastroesophageal reflux. RESULTS A total of 567 European general pediatricians completed the study questionnaire. Only 1.8% of them showed complete adherence to the guidelines. Forty-six percent of them reported that they diagnose gastroesophageal reflux disease based on clinical symptoms irrespective of the age of the child; 39% prescribe PPIs in infants with unexplained crying and/or distressed behavior and 36% prescribe PPIs in infants with uncomplicated recurrent regurgitation and vomiting; 48% prescribed PPIs in children younger than 8 to 12 years with vomiting and heartburn, without specific testing; 45% discontinue PPI therapy abruptly rather than tapering the dose. The overall rate of pediatricians overprescribing PPIs was 82%. CONCLUSIONS The overall results of our survey show that the majority of pediatricians are unaware of 2009 North American Society for Pediatric Gastroenterology, Hepatology, and Nutrition-European Society for Pediatric Gastroenterology, Hepatology, and Nutrition reflux guidelines and often prescribe PPIs despite a lack of efficacy for the symptoms being treated. The overdiagnosis of gastroesophageal reflux disease places undue burden on both families and national health systems, which has not been affected by the publication of international guidelines.", "author" : [ { "dropping-particle" : "", "family" : "Quitadamo", "given" : "Paolo", "non-dropping-particle" : "", "parse-names" : false, "suffix" : "" }, { "dropping-particle" : "", "family" : "Papadopoulou", "given" : "Alexandra", "non-dropping-particle" : "", "parse-names" : false, "suffix" : "" }, { "dropping-particle" : "", "family" : "Wenzl", "given" : "Tobias", "non-dropping-particle" : "", "parse-names" : false, "suffix" : "" }, { "dropping-particle" : "", "family" : "Urbonas", "given" : "Vaidotas", "non-dropping-particle" : "", "parse-names" : false, "suffix" : "" }, { "dropping-particle" : "", "family" : "Kneepkens", "given" : "C.M. Frank", "non-dropping-particle" : "", "parse-names" : false, "suffix" : "" }, { "dropping-particle" : "", "family" : "Roman", "given" : "Enriqueta", "non-dropping-particle" : "", "parse-names" : false, "suffix" : "" }, { "dropping-particle" : "", "family" : "Orel", "given" : "Rok", "non-dropping-particle" : "", "parse-names" : false, "suffix" : "" }, { "dropping-particle" : "", "family" : "Pavkov", "given" : "Danijela Jojki\u0107", "non-dropping-particle" : "", "parse-names" : false, "suffix" : "" }, { "dropping-particle" : "", "family" : "Dias", "given" : "Jorge Amil", "non-dropping-particle" : "", "parse-names" : false, "suffix" : "" }, { "dropping-particle" : "", "family" : "Vandenplas", "given" : "Yvan", "non-dropping-particle" : "", "parse-names" : false, "suffix" : "" }, { "dropping-particle" : "", "family" : "Kostovski", "given" : "Aco", "non-dropping-particle" : "", "parse-names" : false, "suffix" : "" }, { "dropping-particle" : "", "family" : "Miele", "given" : "Erasmo", "non-dropping-particle" : "", "parse-names" : false, "suffix" : "" }, { "dropping-particle" : "", "family" : "Villani", "given" : "Alberto", "non-dropping-particle" : "", "parse-names" : false, "suffix" : "" }, { "dropping-particle" : "", "family" : "Staiano", "given" : "Annamaria", "non-dropping-particle" : "", "parse-names" : false, "suffix" : "" } ], "container-title" : "Journal of Pediatric Gastroenterology and Nutrition", "id" : "ITEM-1", "issue" : "4", "issued" : { "date-parts" : [ [ "2014", "4" ] ] }, "page" : "505-509", "title" : "European Pediatricians\u2019 Approach to Children With GER Symptoms", "type" : "article-journal", "volume" : "58" }, "uris" : [ "http://www.mendeley.com/documents/?uuid=b6fee108-dcfe-3f73-97aa-66c257619e51" ] } ], "mendeley" : { "formattedCitation" : "[8]", "plainTextFormattedCitation" : "[8]", "previouslyFormattedCitation" : "[8]" }, "properties" : { "noteIndex" : 0 }, "schema" : "https://github.com/citation-style-language/schema/raw/master/csl-citation.json" }</w:instrText>
      </w:r>
      <w:r w:rsidR="00E657AE">
        <w:fldChar w:fldCharType="separate"/>
      </w:r>
      <w:r w:rsidR="00D36A01" w:rsidRPr="00D36A01">
        <w:rPr>
          <w:noProof/>
        </w:rPr>
        <w:t>[8]</w:t>
      </w:r>
      <w:r w:rsidR="00E657AE">
        <w:fldChar w:fldCharType="end"/>
      </w:r>
      <w:r>
        <w:t xml:space="preserve">. </w:t>
      </w:r>
      <w:r w:rsidR="007843D0">
        <w:t>T</w:t>
      </w:r>
      <w:r w:rsidR="00273847">
        <w:t xml:space="preserve">he presence of GORD/Reflux </w:t>
      </w:r>
      <w:r w:rsidR="005A43C4">
        <w:t>o</w:t>
      </w:r>
      <w:r w:rsidR="00273847">
        <w:t xml:space="preserve">esophagitis </w:t>
      </w:r>
      <w:r w:rsidR="005A43C4">
        <w:t xml:space="preserve">is an </w:t>
      </w:r>
      <w:r w:rsidR="00D32287">
        <w:t xml:space="preserve">indication for </w:t>
      </w:r>
      <w:r w:rsidR="00273847">
        <w:t xml:space="preserve">step up </w:t>
      </w:r>
      <w:r w:rsidR="00273847">
        <w:lastRenderedPageBreak/>
        <w:t xml:space="preserve">therapy including H2RA, PPI’s and </w:t>
      </w:r>
      <w:r w:rsidR="00273847">
        <w:t xml:space="preserve">potentially jejunal feeding </w:t>
      </w:r>
      <w:r w:rsidR="009B1524">
        <w:t>or</w:t>
      </w:r>
      <w:r w:rsidR="00273847">
        <w:t xml:space="preserve"> surgical </w:t>
      </w:r>
      <w:r w:rsidR="00CD4B36">
        <w:t xml:space="preserve">intervention such as fundoplication in the most </w:t>
      </w:r>
      <w:r w:rsidR="007843D0">
        <w:t>severe</w:t>
      </w:r>
      <w:r w:rsidR="00CD4B36">
        <w:t xml:space="preserve"> cases. </w:t>
      </w:r>
    </w:p>
    <w:p w14:paraId="7D8BFAE6" w14:textId="710D077B" w:rsidR="00454CBD" w:rsidRDefault="00CD4B36" w:rsidP="00EC7DEA">
      <w:pPr>
        <w:spacing w:line="480" w:lineRule="auto"/>
      </w:pPr>
      <w:r>
        <w:t xml:space="preserve">The evidence base for the efficacy of PPI’s is </w:t>
      </w:r>
      <w:r w:rsidR="000B5EEA">
        <w:t xml:space="preserve">confined to </w:t>
      </w:r>
      <w:r>
        <w:t>children with severe reflux despite their widespread use. Over the last 10 years there has increasing concer</w:t>
      </w:r>
      <w:r w:rsidR="00D32287">
        <w:t>n</w:t>
      </w:r>
      <w:r w:rsidR="00454CBD">
        <w:t xml:space="preserve"> </w:t>
      </w:r>
      <w:r>
        <w:t>regarding their</w:t>
      </w:r>
      <w:r w:rsidR="00D32287">
        <w:t xml:space="preserve"> </w:t>
      </w:r>
      <w:r w:rsidR="00454CBD">
        <w:t xml:space="preserve">side effects including </w:t>
      </w:r>
      <w:r w:rsidR="00454CBD" w:rsidRPr="00454CBD">
        <w:t xml:space="preserve">respiratory </w:t>
      </w:r>
      <w:r w:rsidR="00454CBD">
        <w:t>and</w:t>
      </w:r>
      <w:r w:rsidR="00454CBD" w:rsidRPr="00454CBD">
        <w:t xml:space="preserve"> gastrointestinal infections</w:t>
      </w:r>
      <w:r w:rsidR="00454CBD">
        <w:t xml:space="preserve"> and nutrient malabsorption </w:t>
      </w:r>
      <w:r w:rsidR="009B1524">
        <w:t xml:space="preserve">which </w:t>
      </w:r>
      <w:r w:rsidR="00454CBD">
        <w:t xml:space="preserve">have led to regulators being more cautious around safe use in the infant population </w:t>
      </w:r>
      <w:r w:rsidR="00454CBD">
        <w:fldChar w:fldCharType="begin" w:fldLock="1"/>
      </w:r>
      <w:r w:rsidR="009D0258">
        <w:instrText>ADDIN CSL_CITATION { "citationItems" : [ { "id" : "ITEM-1", "itemData" : { "DOI" : "10.1345/aph.1M519", "ISSN" : "1060-0280", "PMID" : "20124466", "abstract" : "OBJECTIVE To evaluate the efficacy and safety of proton pump inhibitors (PPIs) in the treatment of gastroesophageal reflux disease (GERD) in infants &lt;1 year of age. DATA SOURCES A literature search was conducted through PubMed (up to December 2009), International Pharmaceutical Abstracts (1970-December 2009), and The Cochrane Library (up to December 2009) using combinations of the following key search terms: proton pump inhibitor, GERD, infant, children, pediatric, omeprazole, rabeprazole, lansoprazole, esomeprazole, and pantoprazole. Reference citations from identified articles were also reviewed. STUDY SELECTION AND DATA EXTRACTION All double-blind, placebo-controlled trials published in English that evaluated the safety and efficacy of PPIs in infants with GERD were included in this review. Trials involving children older than 12 months were not included. DATA SYNTHESIS GERD is a source of pain and discomfort in adults; yet, in infants, symptoms that are thought to be indicative of painful stimuli have no clear cause-and-effect relationship with infant GERD. PPIs are beneficial in relieving symptoms of GERD in the adult population, but their usefulness in decreasing GERD-associated behaviors in infants is still questionable, despite a large increase in PPI prescribing for children &lt;1 year of age. In all studies reviewed, infants treated with PPIs did not experience a significant decrease in behaviors perceived to be caused by GERD. The largest placebo-controlled trial to date found that rates of adverse events were increased in the PPI group compared with the placebo group, whereas the other trials reviewed reported no difference in adverse effects with the use of PPIs. CONCLUSIONS Clinical trials reveal that PPI therapy is not an effective treatment for common infant GERD-associated symptoms. Evidence supporting safety of PPI use in infants is conflicting, and more large-scale, randomized, placebo-controlled trials are necessary to better establish the role of PPIs in infant GERD.", "author" : [ { "dropping-particle" : "", "family" : "Higginbotham", "given" : "Tanner W", "non-dropping-particle" : "", "parse-names" : false, "suffix" : "" } ], "container-title" : "Annals of Pharmacotherapy", "id" : "ITEM-1", "issue" : "3", "issued" : { "date-parts" : [ [ "2010", "3", "2" ] ] }, "page" : "572-576", "title" : "Effectiveness and Safety of Proton Pump Inhibitors in Infantile Gastroesophageal Reflux Disease", "type" : "article-journal", "volume" : "44" }, "uris" : [ "http://www.mendeley.com/documents/?uuid=decda253-c071-3330-8a9d-f3b6b7d239e5" ] }, { "id" : "ITEM-2", "itemData" : { "DOI" : "10.1542/peds.2010-2719", "ISSN" : "0031-4005", "PMID" : "21464183", "abstract" : "INTRODUCTION Use of proton-pump inhibitors (PPIs) for the treatment of gastroesophageal reflux disease (GERD) in children has increased enormously. However, effectiveness and safety of PPIs for pediatric GERD are under debate. OBJECTIVES We performed a systematic review to determine effectiveness and safety of PPIs in children with GERD. METHODS We searched PubMed, Embase, and the Cochrane Database of Systematic Reviews for randomized controlled trials and crossover studies investigating efficacy and safety of PPIs in children aged 0 to 18 years with GERD for reduction in GERD symptoms, gastric pH, histologic aberrations, and reported adverse events. RESULTS Twelve studies were included with data from children aged 0-17 years. For infants, PPIs were more effective in 1 study (compared with hydrolyzed formula), not effective in 2 studies, and equally effective in 2 studies (compared with placebo) for the reduction of GERD symptoms. For children and adolescents, PPIs were equally effective (compared with alginates, ranitidine, or a different PPI dosage). For gastric acidity, in infants and children PPIs were more effective (compared with placebo, alginates, or ranitidine) in 4 studies. For reducing histologic aberrations, PPIs showed no difference (compared with ranitidine or alginates) in 3 studies. Six studies reported no differences in treatment-related adverse events (compared with placebo or a different PPI dosage). CONCLUSIONS PPIs are not effective in reducing GERD symptoms in infants. Placebo-controlled trials in older children are lacking. Although PPIs seem to be well tolerated during short-term use, evidence supporting the safety of PPIs is lacking.", "author" : [ { "dropping-particle" : "", "family" : "Pol", "given" : "R. J.", "non-dropping-particle" : "van der", "parse-names" : false, "suffix" : "" }, { "dropping-particle" : "", "family" : "Smits", "given" : "M. J.", "non-dropping-particle" : "", "parse-names" : false, "suffix" : "" }, { "dropping-particle" : "", "family" : "Wijk", "given" : "M. P.", "non-dropping-particle" : "van", "parse-names" : false, "suffix" : "" }, { "dropping-particle" : "", "family" : "Omari", "given" : "T. I.", "non-dropping-particle" : "", "parse-names" : false, "suffix" : "" }, { "dropping-particle" : "", "family" : "Tabbers", "given" : "M. M.", "non-dropping-particle" : "", "parse-names" : false, "suffix" : "" }, { "dropping-particle" : "", "family" : "Benninga", "given" : "M. A.", "non-dropping-particle" : "", "parse-names" : false, "suffix" : "" } ], "container-title" : "PEDIATRICS", "id" : "ITEM-2", "issue" : "5", "issued" : { "date-parts" : [ [ "2011", "5", "1" ] ] }, "page" : "925-935", "title" : "Efficacy of Proton-Pump Inhibitors in Children With Gastroesophageal Reflux Disease: A Systematic Review", "type" : "article-journal", "volume" : "127" }, "uris" : [ "http://www.mendeley.com/documents/?uuid=7e40b6be-b93b-34e3-bcd0-e6462cae874c" ] } ], "mendeley" : { "formattedCitation" : "[9,10]", "plainTextFormattedCitation" : "[9,10]", "previouslyFormattedCitation" : "[9,10]" }, "properties" : { "noteIndex" : 0 }, "schema" : "https://github.com/citation-style-language/schema/raw/master/csl-citation.json" }</w:instrText>
      </w:r>
      <w:r w:rsidR="00454CBD">
        <w:fldChar w:fldCharType="separate"/>
      </w:r>
      <w:r w:rsidR="00D36A01" w:rsidRPr="00D36A01">
        <w:rPr>
          <w:noProof/>
        </w:rPr>
        <w:t>[9,10]</w:t>
      </w:r>
      <w:r w:rsidR="00454CBD">
        <w:fldChar w:fldCharType="end"/>
      </w:r>
      <w:r w:rsidR="00454CBD">
        <w:t xml:space="preserve">. </w:t>
      </w:r>
    </w:p>
    <w:p w14:paraId="7E254B54" w14:textId="77777777" w:rsidR="00454CBD" w:rsidRPr="00454CBD" w:rsidRDefault="00454CBD" w:rsidP="007D1885">
      <w:pPr>
        <w:spacing w:line="480" w:lineRule="auto"/>
        <w:rPr>
          <w:u w:val="single"/>
        </w:rPr>
      </w:pPr>
      <w:r w:rsidRPr="00454CBD">
        <w:rPr>
          <w:u w:val="single"/>
        </w:rPr>
        <w:t xml:space="preserve">Conclusions </w:t>
      </w:r>
    </w:p>
    <w:p w14:paraId="77C7C66E" w14:textId="25AA5E37" w:rsidR="007D1885" w:rsidRPr="00AD5523" w:rsidRDefault="009B1524" w:rsidP="007D1885">
      <w:pPr>
        <w:spacing w:line="480" w:lineRule="auto"/>
      </w:pPr>
      <w:r>
        <w:t xml:space="preserve">The distinction between </w:t>
      </w:r>
      <w:r w:rsidR="00F530A1">
        <w:t>GOR</w:t>
      </w:r>
      <w:r>
        <w:t xml:space="preserve"> and </w:t>
      </w:r>
      <w:r w:rsidR="00F530A1">
        <w:t>GORD</w:t>
      </w:r>
      <w:r>
        <w:t xml:space="preserve"> is important and </w:t>
      </w:r>
      <w:r w:rsidR="005A43C4">
        <w:t xml:space="preserve">prompt and correct treatment </w:t>
      </w:r>
      <w:r>
        <w:t xml:space="preserve">is essential. </w:t>
      </w:r>
      <w:r w:rsidR="007D1885">
        <w:t xml:space="preserve">The only successful long-term strategy for treating GOR in infants is growth, and this should be </w:t>
      </w:r>
      <w:bookmarkStart w:id="0" w:name="_GoBack"/>
      <w:bookmarkEnd w:id="0"/>
      <w:r w:rsidR="007D1885">
        <w:t xml:space="preserve">reinforced early and often. </w:t>
      </w:r>
      <w:r w:rsidR="00D36A01">
        <w:t>Parental e</w:t>
      </w:r>
      <w:r w:rsidR="007D1885">
        <w:t>ducation and expectation man</w:t>
      </w:r>
      <w:r w:rsidR="00D36A01">
        <w:t>agement is key to good outcomes- ‘</w:t>
      </w:r>
      <w:r w:rsidR="007D1885">
        <w:t>if you or I were to drink milk all day, lie on our backs and cry a lot we would have reflux</w:t>
      </w:r>
      <w:r w:rsidR="00D36A01">
        <w:t>’. W</w:t>
      </w:r>
      <w:r w:rsidR="007D1885">
        <w:t>eaning</w:t>
      </w:r>
      <w:r w:rsidR="00D36A01">
        <w:t xml:space="preserve"> </w:t>
      </w:r>
      <w:r w:rsidR="007D1885">
        <w:t>and neurodevelopment require time but are effective in the vast majority of cases</w:t>
      </w:r>
      <w:r>
        <w:t xml:space="preserve">.  </w:t>
      </w:r>
      <w:r w:rsidR="00F530A1">
        <w:t>O</w:t>
      </w:r>
      <w:r w:rsidR="00D36A01">
        <w:t xml:space="preserve">ften the most difficult thing in medicine is to do nothing, but in infant GOR all guidelines point to therapeutic inactivity as the </w:t>
      </w:r>
      <w:r w:rsidR="00D36A01">
        <w:t>ultimate cure</w:t>
      </w:r>
      <w:r w:rsidR="007D1885">
        <w:t xml:space="preserve">. </w:t>
      </w:r>
    </w:p>
    <w:p w14:paraId="1F1261FC" w14:textId="27A4CFBF" w:rsidR="00D36A01" w:rsidRDefault="00D36A01" w:rsidP="00EC7DEA">
      <w:pPr>
        <w:spacing w:line="480" w:lineRule="auto"/>
      </w:pPr>
    </w:p>
    <w:p w14:paraId="78C28CC1" w14:textId="59E7C106" w:rsidR="00C50DAD" w:rsidRDefault="00C50DAD" w:rsidP="00EC7DEA">
      <w:pPr>
        <w:spacing w:line="480" w:lineRule="auto"/>
      </w:pPr>
    </w:p>
    <w:p w14:paraId="2AE4F17A" w14:textId="7CE6BA58" w:rsidR="00F911BE" w:rsidRDefault="00F911BE" w:rsidP="00EC7DEA">
      <w:pPr>
        <w:spacing w:line="480" w:lineRule="auto"/>
      </w:pPr>
    </w:p>
    <w:p w14:paraId="3A87CF95" w14:textId="699E1A00" w:rsidR="005A43C4" w:rsidRDefault="005A43C4" w:rsidP="00EC7DEA">
      <w:pPr>
        <w:spacing w:line="480" w:lineRule="auto"/>
      </w:pPr>
    </w:p>
    <w:p w14:paraId="71586C35" w14:textId="77777777" w:rsidR="005A43C4" w:rsidRDefault="005A43C4" w:rsidP="00EC7DEA">
      <w:pPr>
        <w:spacing w:line="480" w:lineRule="auto"/>
      </w:pPr>
    </w:p>
    <w:p w14:paraId="06DCA984" w14:textId="5A5FD4F7" w:rsidR="008409FC" w:rsidRDefault="008409FC" w:rsidP="00EC7DEA">
      <w:pPr>
        <w:spacing w:line="480" w:lineRule="auto"/>
      </w:pPr>
    </w:p>
    <w:p w14:paraId="2979E16C" w14:textId="77777777" w:rsidR="008409FC" w:rsidRDefault="008409FC" w:rsidP="00EC7DEA">
      <w:pPr>
        <w:spacing w:line="480" w:lineRule="auto"/>
      </w:pPr>
    </w:p>
    <w:p w14:paraId="1384B2F4" w14:textId="77777777" w:rsidR="00F911BE" w:rsidRDefault="00F911BE" w:rsidP="00EC7DEA">
      <w:pPr>
        <w:spacing w:line="480" w:lineRule="auto"/>
      </w:pPr>
    </w:p>
    <w:p w14:paraId="17485D8D" w14:textId="5B46C5E3" w:rsidR="00C903E5" w:rsidRDefault="00C903E5" w:rsidP="00C903E5">
      <w:pPr>
        <w:spacing w:line="480" w:lineRule="auto"/>
      </w:pPr>
      <w:r w:rsidRPr="00C903E5">
        <w:lastRenderedPageBreak/>
        <w:t>Selected key points for paediatricians</w:t>
      </w:r>
      <w:r w:rsidR="007C4F85">
        <w:t>/primary care physicians</w:t>
      </w:r>
      <w:r w:rsidRPr="00C903E5">
        <w:t xml:space="preserve"> from new guidance </w:t>
      </w:r>
      <w:r w:rsidR="00FE6079">
        <w:fldChar w:fldCharType="begin" w:fldLock="1"/>
      </w:r>
      <w:r w:rsidR="009D0258">
        <w:instrText>ADDIN CSL_CITATION { "citationItems" : [ { "id" : "ITEM-1",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"ITEM-1", "issue" : "3", "issued" : { "date-parts" : [ [ "2018", "3" ] ] }, "page" : "516-554", "title" : "Pediatric Gastroesophageal Reflux Clinical Practice Guidelines", "type" : "article-journal", "volume" : "66" }, "uris" : [ "http://www.mendeley.com/documents/?uuid=90bcbc72-9e00-3faf-ba9a-55504e40bb06" ] } ], "mendeley" : { "formattedCitation" : "[2]", "plainTextFormattedCitation" : "[2]", "previouslyFormattedCitation" : "[2]" }, "properties" : { "noteIndex" : 0 }, "schema" : "https://github.com/citation-style-language/schema/raw/master/csl-citation.json" }</w:instrText>
      </w:r>
      <w:r w:rsidR="00FE6079">
        <w:fldChar w:fldCharType="separate"/>
      </w:r>
      <w:r w:rsidR="00FE6079" w:rsidRPr="00FE6079">
        <w:rPr>
          <w:noProof/>
        </w:rPr>
        <w:t>[2]</w:t>
      </w:r>
      <w:r w:rsidR="00FE6079">
        <w:fldChar w:fldCharType="end"/>
      </w:r>
      <w:r w:rsidR="00FE6079">
        <w:t>-</w:t>
      </w:r>
    </w:p>
    <w:p w14:paraId="5DABECB5" w14:textId="77777777" w:rsidR="00C50DAD" w:rsidRPr="00C903E5" w:rsidRDefault="00C50DAD" w:rsidP="00C50DAD">
      <w:pPr>
        <w:pStyle w:val="ListParagraph"/>
        <w:numPr>
          <w:ilvl w:val="0"/>
          <w:numId w:val="5"/>
        </w:numPr>
        <w:spacing w:line="480" w:lineRule="auto"/>
      </w:pPr>
      <w:r w:rsidRPr="00C903E5">
        <w:t>Do not use barium contrast, ultrasound, endoscopy or manometry to diagnose GORD</w:t>
      </w:r>
    </w:p>
    <w:p w14:paraId="741D67C6" w14:textId="77777777" w:rsidR="00C50DAD" w:rsidRDefault="00C903E5" w:rsidP="00C50DAD">
      <w:pPr>
        <w:pStyle w:val="ListParagraph"/>
        <w:numPr>
          <w:ilvl w:val="0"/>
          <w:numId w:val="5"/>
        </w:numPr>
        <w:spacing w:line="480" w:lineRule="auto"/>
      </w:pPr>
      <w:r>
        <w:t xml:space="preserve">In infants do not use a trial of PPIs or H2RAs as a diagnostic test for GORD. </w:t>
      </w:r>
    </w:p>
    <w:p w14:paraId="5DAF9DF9" w14:textId="2CEA42FE" w:rsidR="00C903E5" w:rsidRDefault="00C50DAD" w:rsidP="00C50DAD">
      <w:pPr>
        <w:pStyle w:val="ListParagraph"/>
        <w:numPr>
          <w:ilvl w:val="0"/>
          <w:numId w:val="5"/>
        </w:numPr>
        <w:spacing w:line="480" w:lineRule="auto"/>
      </w:pPr>
      <w:r>
        <w:t xml:space="preserve">In infants </w:t>
      </w:r>
      <w:r w:rsidR="00C903E5">
        <w:t xml:space="preserve">PPIs/H2RAs should be reserved for oesophagitis and not used for crying/distress or visible regurgitation </w:t>
      </w:r>
    </w:p>
    <w:p w14:paraId="354C4D5F" w14:textId="77777777" w:rsidR="00C903E5" w:rsidRDefault="00C903E5" w:rsidP="00C50DAD">
      <w:pPr>
        <w:pStyle w:val="ListParagraph"/>
        <w:numPr>
          <w:ilvl w:val="0"/>
          <w:numId w:val="5"/>
        </w:numPr>
        <w:spacing w:line="480" w:lineRule="auto"/>
      </w:pPr>
      <w:r>
        <w:t>Do use a 2- to 4-week trial of extensively hydrolysed protein-based (or amino-acid based) formula in infants suspected of GORD after optimal non-pharmacological treatment has failed</w:t>
      </w:r>
    </w:p>
    <w:p w14:paraId="4B410F47" w14:textId="3E8E3D8A" w:rsidR="00C903E5" w:rsidRDefault="00C903E5" w:rsidP="00C50DAD">
      <w:pPr>
        <w:pStyle w:val="ListParagraph"/>
        <w:numPr>
          <w:ilvl w:val="0"/>
          <w:numId w:val="5"/>
        </w:numPr>
        <w:spacing w:line="480" w:lineRule="auto"/>
      </w:pPr>
      <w:r>
        <w:t>Do use thickened feeds for treating visible regurgitation/vomiting in infants with GORD</w:t>
      </w:r>
    </w:p>
    <w:p w14:paraId="71DBBD2F" w14:textId="3C0787EF" w:rsidR="00C50DAD" w:rsidRDefault="00C50DAD" w:rsidP="00C50DAD">
      <w:pPr>
        <w:pStyle w:val="ListParagraph"/>
        <w:numPr>
          <w:ilvl w:val="0"/>
          <w:numId w:val="5"/>
        </w:numPr>
        <w:spacing w:line="480" w:lineRule="auto"/>
      </w:pPr>
      <w:r>
        <w:t>Avoid overfeeding in infants by calculation of milk intake and adjustment of volume</w:t>
      </w:r>
    </w:p>
    <w:p w14:paraId="19F3E180" w14:textId="77777777" w:rsidR="00C903E5" w:rsidRDefault="00C903E5" w:rsidP="00C50DAD">
      <w:pPr>
        <w:pStyle w:val="ListParagraph"/>
        <w:numPr>
          <w:ilvl w:val="0"/>
          <w:numId w:val="5"/>
        </w:numPr>
        <w:spacing w:line="480" w:lineRule="auto"/>
      </w:pPr>
      <w:r>
        <w:t>Do not use anta-acids/alginates for chronic treatment in infants</w:t>
      </w:r>
    </w:p>
    <w:p w14:paraId="3C1EA2A6" w14:textId="2E425C81" w:rsidR="00C903E5" w:rsidRDefault="00C903E5" w:rsidP="00C50DAD">
      <w:pPr>
        <w:pStyle w:val="ListParagraph"/>
        <w:numPr>
          <w:ilvl w:val="0"/>
          <w:numId w:val="5"/>
        </w:numPr>
        <w:spacing w:line="480" w:lineRule="auto"/>
      </w:pPr>
      <w:r>
        <w:t xml:space="preserve">Do not use domperidone, metoclopramide in </w:t>
      </w:r>
      <w:r w:rsidR="002F4388">
        <w:t>t</w:t>
      </w:r>
      <w:r>
        <w:t>reatment of GORD</w:t>
      </w:r>
      <w:r w:rsidR="002F4388">
        <w:t xml:space="preserve"> in infants </w:t>
      </w:r>
    </w:p>
    <w:p w14:paraId="730D6A59" w14:textId="0460BDAD" w:rsidR="002F4388" w:rsidRDefault="002F4388" w:rsidP="002F4388">
      <w:pPr>
        <w:pStyle w:val="ListParagraph"/>
        <w:numPr>
          <w:ilvl w:val="0"/>
          <w:numId w:val="5"/>
        </w:numPr>
        <w:spacing w:line="480" w:lineRule="auto"/>
      </w:pPr>
      <w:r>
        <w:t xml:space="preserve">Do not use other prokinetics (such as erythromycin) in the routine treatment of GORD in infants </w:t>
      </w:r>
    </w:p>
    <w:p w14:paraId="1D35AACD" w14:textId="7E528827" w:rsidR="00C903E5" w:rsidRDefault="00C903E5" w:rsidP="00C50DAD">
      <w:pPr>
        <w:pStyle w:val="ListParagraph"/>
        <w:numPr>
          <w:ilvl w:val="0"/>
          <w:numId w:val="5"/>
        </w:numPr>
        <w:spacing w:line="480" w:lineRule="auto"/>
      </w:pPr>
      <w:r>
        <w:t>Do provide parental education and support as part of the treatment of GORD</w:t>
      </w:r>
    </w:p>
    <w:p w14:paraId="72620F29" w14:textId="36EC7B8D" w:rsidR="00021636" w:rsidRDefault="00021636" w:rsidP="00C50DAD">
      <w:pPr>
        <w:spacing w:line="240" w:lineRule="auto"/>
      </w:pPr>
    </w:p>
    <w:p w14:paraId="294C9A2E" w14:textId="7AC394E6" w:rsidR="00021636" w:rsidRDefault="00021636" w:rsidP="00C50DAD">
      <w:pPr>
        <w:spacing w:line="240" w:lineRule="auto"/>
      </w:pPr>
    </w:p>
    <w:p w14:paraId="7D7D0527" w14:textId="7590E7F7" w:rsidR="00021636" w:rsidRDefault="00021636" w:rsidP="00EC7DEA">
      <w:pPr>
        <w:spacing w:line="480" w:lineRule="auto"/>
      </w:pPr>
    </w:p>
    <w:p w14:paraId="2D4044C4" w14:textId="355566E3" w:rsidR="002F4388" w:rsidRDefault="002F4388" w:rsidP="00EC7DEA">
      <w:pPr>
        <w:spacing w:line="480" w:lineRule="auto"/>
      </w:pPr>
    </w:p>
    <w:p w14:paraId="2858E689" w14:textId="77777777" w:rsidR="008409FC" w:rsidRDefault="008409FC" w:rsidP="00EC7DEA">
      <w:pPr>
        <w:spacing w:line="480" w:lineRule="auto"/>
      </w:pPr>
    </w:p>
    <w:p w14:paraId="7353B2DD" w14:textId="6D01C15E" w:rsidR="002F4388" w:rsidRDefault="002F4388" w:rsidP="00EC7DEA">
      <w:pPr>
        <w:spacing w:line="480" w:lineRule="auto"/>
      </w:pPr>
    </w:p>
    <w:p w14:paraId="7764215D" w14:textId="5760F47B" w:rsidR="002F4388" w:rsidRDefault="002F4388" w:rsidP="00EC7DEA">
      <w:pPr>
        <w:spacing w:line="480" w:lineRule="auto"/>
      </w:pPr>
    </w:p>
    <w:p w14:paraId="3D8FEABA" w14:textId="552CA574" w:rsidR="002F4388" w:rsidRDefault="002F4388" w:rsidP="00EC7DEA">
      <w:pPr>
        <w:spacing w:line="480" w:lineRule="auto"/>
      </w:pPr>
    </w:p>
    <w:p w14:paraId="2CD442B6" w14:textId="66100559" w:rsidR="002F4388" w:rsidRDefault="002F4388" w:rsidP="00EC7DEA">
      <w:pPr>
        <w:spacing w:line="480" w:lineRule="auto"/>
      </w:pPr>
    </w:p>
    <w:p w14:paraId="00ADBBD5" w14:textId="555C91F8" w:rsidR="00021636" w:rsidRDefault="00021636" w:rsidP="00021636">
      <w:pPr>
        <w:spacing w:line="480" w:lineRule="auto"/>
      </w:pPr>
      <w:r>
        <w:lastRenderedPageBreak/>
        <w:t xml:space="preserve">Table 1- ‘Red Flag’ signs and symptoms </w:t>
      </w:r>
      <w:r w:rsidR="00510DBC">
        <w:t>in children</w:t>
      </w:r>
      <w:r>
        <w:t xml:space="preserve"> with reflux in infancy, adapted from NICE guidelines 2015 </w:t>
      </w:r>
      <w:r>
        <w:fldChar w:fldCharType="begin" w:fldLock="1"/>
      </w:r>
      <w:r w:rsidR="009D0258">
        <w:instrText>ADDIN CSL_CITATION { "citationItems" : [ { "id" : "ITEM-1", "itemData" : { "id" : "ITEM-1", "issued" : { "date-parts" : [ [ "0" ] ] }, "publisher" : "NICE", "title" : "Gastro-oesophageal reflux disease in children and young people: diagnosis and management  | Guidance and guidelines | NICE", "type" : "article-journal" }, "uris" : [ "http://www.mendeley.com/documents/?uuid=f5aa2c43-ac1f-39cd-b287-3682e7ccb180" ] }, { "id" : "ITEM-2", "itemData" : { "DOI" : "10.1097/MPG.0000000000001889", "ISSN" : "0277-2116", "PMID" : "29470322", "abstract" : "This document serves as an update of the North American Society for Pediatric Gastroenterology, Hepatology, and Nutrition (NASPGHAN) and the European Society for Pediatric Gastroenterology, Hepatology, and Nutrition (ESPGHAN) 2009 clinical guidelines for the diagnosis and management of gastroesophageal reflux disease (GERD) in infants and children and is intended to be applied in daily practice and as a basis for clinical trials. Eight clinical questions addressing diagnostic, therapeutic and prognostic topics were formulated. A systematic literature search was performed from October 1, 2008 (if the question was addressed by 2009 guidelines) or from inception to June 1, 2015 using Embase, MEDLINE, the Cochrane Database of Systematic Reviews and the Cochrane Central Register of Controlled Clinical Trials. The approach of the Grading of Recommendations Assessment, Development and Evaluation (GRADE) was applied to define and prioritize outcomes. For therapeutic questions, the quality of evidence was also assessed using GRADE. Grading the quality of evidence for other questions was performed according to the Quality Assessment of Studies of Diagnostic Accuracy (QUADAS) and Quality in Prognostic Studies (QUIPS) tools. During a 3-day consensus meeting, all recommendations were discussed and finalized. In cases where no randomized controlled trials (RCT; therapeutic questions) or diagnostic accuracy studies were available to support the recommendations, expert opinion was used. The group members voted on each recommendation, using the nominal voting technique. With this approach, recommendations regarding evaluation and management of infants and children with GERD to standardize and improve quality of care were formulated. Additionally, 2 algorithms were developed, 1 for infants &lt;12 months of age and the other for older infants and children.", "author" : [ { "dropping-particle" : "", "family" : "Rosen", "given" : "Rachel", "non-dropping-particle" : "", "parse-names" : false, "suffix" : "" }, { "dropping-particle" : "", "family" : "Vandenplas", "given" : "Yvan", "non-dropping-particle" : "", "parse-names" : false, "suffix" : "" }, { "dropping-particle" : "", "family" : "Singendonk", "given" : "Maartje", "non-dropping-particle" : "", "parse-names" : false, "suffix" : "" }, { "dropping-particle" : "", "family" : "Cabana", "given" : "Michael", "non-dropping-particle" : "", "parse-names" : false, "suffix" : "" }, { "dropping-particle" : "", "family" : "DiLorenzo", "given" : "Carlo", "non-dropping-particle" : "", "parse-names" : false, "suffix" : "" }, { "dropping-particle" : "", "family" : "Gottrand", "given" : "Frederic", "non-dropping-particle" : "", "parse-names" : false, "suffix" : "" }, { "dropping-particle" : "", "family" : "Gupta", "given" : "Sandeep", "non-dropping-particle" : "", "parse-names" : false, "suffix" : "" }, { "dropping-particle" : "", "family" : "Langendam", "given" : "Miranda", "non-dropping-particle" : "", "parse-names" : false, "suffix" : "" }, { "dropping-particle" : "", "family" : "Staiano", "given" : "Annamaria", "non-dropping-particle" : "", "parse-names" : false, "suffix" : "" }, { "dropping-particle" : "", "family" : "Thapar", "given" : "Nikhil", "non-dropping-particle" : "", "parse-names" : false, "suffix" : "" }, { "dropping-particle" : "", "family" : "Tipnis", "given" : "Neelesh", "non-dropping-particle" : "", "parse-names" : false, "suffix" : "" }, { "dropping-particle" : "", "family" : "Tabbers", "given" : "Merit", "non-dropping-particle" : "", "parse-names" : false, "suffix" : "" } ], "container-title" : "Journal of Pediatric Gastroenterology and Nutrition", "id" : "ITEM-2", "issue" : "3", "issued" : { "date-parts" : [ [ "2018", "3" ] ] }, "page" : "516-554", "title" : "Pediatric Gastroesophageal Reflux Clinical Practice Guidelines", "type" : "article-journal", "volume" : "66" }, "uris" : [ "http://www.mendeley.com/documents/?uuid=90bcbc72-9e00-3faf-ba9a-55504e40bb06" ] } ], "mendeley" : { "formattedCitation" : "[2,4]", "manualFormatting" : "[4]", "plainTextFormattedCitation" : "[2,4]", "previouslyFormattedCitation" : "[2,4]" }, "properties" : { "noteIndex" : 0 }, "schema" : "https://github.com/citation-style-language/schema/raw/master/csl-citation.json" }</w:instrText>
      </w:r>
      <w:r>
        <w:fldChar w:fldCharType="separate"/>
      </w:r>
      <w:r w:rsidR="00FE6079">
        <w:rPr>
          <w:noProof/>
        </w:rPr>
        <w:t>[</w:t>
      </w:r>
      <w:r w:rsidRPr="00CD7BA7">
        <w:rPr>
          <w:noProof/>
        </w:rPr>
        <w:t>4]</w:t>
      </w:r>
      <w:r>
        <w:fldChar w:fldCharType="end"/>
      </w:r>
      <w:r>
        <w:t>.</w:t>
      </w:r>
    </w:p>
    <w:tbl>
      <w:tblPr>
        <w:tblpPr w:leftFromText="180" w:rightFromText="180" w:vertAnchor="text" w:horzAnchor="margin" w:tblpY="120"/>
        <w:tblW w:w="874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4528"/>
        <w:gridCol w:w="4212"/>
      </w:tblGrid>
      <w:tr w:rsidR="00FE6079" w:rsidRPr="00A47A97" w14:paraId="51B2EB43" w14:textId="77777777" w:rsidTr="00FE6079">
        <w:trPr>
          <w:trHeight w:val="272"/>
        </w:trPr>
        <w:tc>
          <w:tcPr>
            <w:tcW w:w="8740" w:type="dxa"/>
            <w:gridSpan w:val="2"/>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tcPr>
          <w:p w14:paraId="79767D54" w14:textId="77777777" w:rsidR="00FE6079" w:rsidRPr="00A47A97" w:rsidRDefault="00FE6079" w:rsidP="00FE6079">
            <w:pPr>
              <w:spacing w:line="240" w:lineRule="auto"/>
              <w:jc w:val="center"/>
              <w:rPr>
                <w:b/>
                <w:bCs/>
              </w:rPr>
            </w:pPr>
            <w:r>
              <w:rPr>
                <w:b/>
                <w:bCs/>
              </w:rPr>
              <w:t>Red flags in gastro-oesophageal reflux</w:t>
            </w:r>
          </w:p>
        </w:tc>
      </w:tr>
      <w:tr w:rsidR="00FE6079" w:rsidRPr="00A47A97" w14:paraId="034746A0" w14:textId="77777777" w:rsidTr="00FE6079">
        <w:trPr>
          <w:trHeight w:val="272"/>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57F84AF8" w14:textId="77777777" w:rsidR="00FE6079" w:rsidRPr="00A47A97" w:rsidRDefault="00FE6079" w:rsidP="00FE6079">
            <w:pPr>
              <w:spacing w:line="240" w:lineRule="auto"/>
              <w:jc w:val="center"/>
            </w:pPr>
            <w:r w:rsidRPr="00A47A97">
              <w:rPr>
                <w:b/>
                <w:bCs/>
              </w:rPr>
              <w:t>Gastrointestinal</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B60FFEE" w14:textId="77777777" w:rsidR="00FE6079" w:rsidRPr="00A47A97" w:rsidRDefault="00FE6079" w:rsidP="00FE6079">
            <w:pPr>
              <w:spacing w:line="240" w:lineRule="auto"/>
              <w:jc w:val="center"/>
            </w:pPr>
            <w:r w:rsidRPr="00A47A97">
              <w:rPr>
                <w:b/>
                <w:bCs/>
              </w:rPr>
              <w:t>Systemic</w:t>
            </w:r>
          </w:p>
        </w:tc>
      </w:tr>
      <w:tr w:rsidR="00FE6079" w:rsidRPr="00A47A97" w14:paraId="4E9D9DC1" w14:textId="77777777" w:rsidTr="00FE6079">
        <w:trPr>
          <w:trHeight w:val="278"/>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606D10A9" w14:textId="77777777" w:rsidR="00FE6079" w:rsidRPr="00A47A97" w:rsidRDefault="00FE6079" w:rsidP="00FE6079">
            <w:pPr>
              <w:spacing w:line="240" w:lineRule="auto"/>
              <w:jc w:val="center"/>
            </w:pPr>
            <w:r w:rsidRPr="00A47A97">
              <w:t>Frequent, forceful (projectile) vomiting</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3250780" w14:textId="77777777" w:rsidR="00FE6079" w:rsidRPr="00A47A97" w:rsidRDefault="00FE6079" w:rsidP="00FE6079">
            <w:pPr>
              <w:spacing w:line="240" w:lineRule="auto"/>
              <w:jc w:val="center"/>
            </w:pPr>
            <w:r w:rsidRPr="00A47A97">
              <w:t>Appearing unwell</w:t>
            </w:r>
            <w:r>
              <w:t xml:space="preserve">. </w:t>
            </w:r>
            <w:r w:rsidRPr="00A47A97">
              <w:t>Fever</w:t>
            </w:r>
          </w:p>
        </w:tc>
      </w:tr>
      <w:tr w:rsidR="00FE6079" w:rsidRPr="00A47A97" w14:paraId="4981A07C" w14:textId="77777777" w:rsidTr="00FE6079">
        <w:trPr>
          <w:trHeight w:val="272"/>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0FB9D04E" w14:textId="77777777" w:rsidR="00FE6079" w:rsidRPr="00A47A97" w:rsidRDefault="00FE6079" w:rsidP="00FE6079">
            <w:pPr>
              <w:spacing w:line="240" w:lineRule="auto"/>
              <w:jc w:val="center"/>
            </w:pPr>
            <w:r w:rsidRPr="00A47A97">
              <w:t>Bile–stained vomit</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678F5FC" w14:textId="77777777" w:rsidR="00FE6079" w:rsidRPr="00A47A97" w:rsidRDefault="00FE6079" w:rsidP="00FE6079">
            <w:pPr>
              <w:spacing w:line="240" w:lineRule="auto"/>
              <w:jc w:val="center"/>
            </w:pPr>
            <w:r w:rsidRPr="00A47A97">
              <w:t>Bulging fontanelle</w:t>
            </w:r>
          </w:p>
        </w:tc>
      </w:tr>
      <w:tr w:rsidR="00FE6079" w:rsidRPr="00A47A97" w14:paraId="495800DB" w14:textId="77777777" w:rsidTr="00FE6079">
        <w:trPr>
          <w:trHeight w:val="441"/>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0CF68A05" w14:textId="77777777" w:rsidR="00FE6079" w:rsidRPr="00A47A97" w:rsidRDefault="00FE6079" w:rsidP="00FE6079">
            <w:pPr>
              <w:spacing w:line="240" w:lineRule="auto"/>
              <w:jc w:val="center"/>
            </w:pPr>
            <w:r w:rsidRPr="00A47A97">
              <w:t>Haematemesis</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919948A" w14:textId="77777777" w:rsidR="00FE6079" w:rsidRPr="00A47A97" w:rsidRDefault="00FE6079" w:rsidP="00FE6079">
            <w:pPr>
              <w:spacing w:line="240" w:lineRule="auto"/>
              <w:jc w:val="center"/>
            </w:pPr>
            <w:r w:rsidRPr="00A47A97">
              <w:t>Rapidly increasing head circumference (more than 1 cm per week)</w:t>
            </w:r>
          </w:p>
          <w:p w14:paraId="15647137" w14:textId="77777777" w:rsidR="00FE6079" w:rsidRPr="00A47A97" w:rsidRDefault="00FE6079" w:rsidP="00FE6079">
            <w:pPr>
              <w:spacing w:line="240" w:lineRule="auto"/>
              <w:jc w:val="center"/>
            </w:pPr>
            <w:r w:rsidRPr="00A47A97">
              <w:t>Persistent morning headache, and vomiting worse in the morning</w:t>
            </w:r>
          </w:p>
        </w:tc>
      </w:tr>
      <w:tr w:rsidR="00FE6079" w:rsidRPr="00A47A97" w14:paraId="23A9A260" w14:textId="77777777" w:rsidTr="00FE6079">
        <w:trPr>
          <w:trHeight w:val="278"/>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50259C09" w14:textId="77777777" w:rsidR="00FE6079" w:rsidRPr="00A47A97" w:rsidRDefault="00FE6079" w:rsidP="00FE6079">
            <w:pPr>
              <w:spacing w:line="240" w:lineRule="auto"/>
              <w:jc w:val="center"/>
            </w:pPr>
            <w:r w:rsidRPr="00A47A97">
              <w:t>Onset of regurgitation and/or vomiting after 6 months or persisting after 1 year</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DDFF43D" w14:textId="77777777" w:rsidR="00FE6079" w:rsidRPr="00A47A97" w:rsidRDefault="00FE6079" w:rsidP="00FE6079">
            <w:pPr>
              <w:spacing w:line="240" w:lineRule="auto"/>
              <w:jc w:val="center"/>
            </w:pPr>
            <w:r w:rsidRPr="00A47A97">
              <w:t>Altered responsiveness, for example, lethargy or irritability</w:t>
            </w:r>
          </w:p>
        </w:tc>
      </w:tr>
      <w:tr w:rsidR="00FE6079" w:rsidRPr="00A47A97" w14:paraId="258AF69E" w14:textId="77777777" w:rsidTr="00FE6079">
        <w:trPr>
          <w:trHeight w:val="272"/>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3DC70B07" w14:textId="77777777" w:rsidR="00FE6079" w:rsidRPr="00A47A97" w:rsidRDefault="00FE6079" w:rsidP="00FE6079">
            <w:pPr>
              <w:spacing w:line="240" w:lineRule="auto"/>
              <w:jc w:val="center"/>
            </w:pPr>
            <w:r w:rsidRPr="00A47A97">
              <w:t>Blood in stool</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7FED054" w14:textId="77777777" w:rsidR="00FE6079" w:rsidRPr="00A47A97" w:rsidRDefault="00FE6079" w:rsidP="00FE6079">
            <w:pPr>
              <w:spacing w:line="240" w:lineRule="auto"/>
              <w:jc w:val="center"/>
            </w:pPr>
            <w:r w:rsidRPr="00A47A97">
              <w:t>Infants and children with, or at high risk of, atopy</w:t>
            </w:r>
          </w:p>
        </w:tc>
      </w:tr>
      <w:tr w:rsidR="00FE6079" w:rsidRPr="00A47A97" w14:paraId="0C6B9B05" w14:textId="77777777" w:rsidTr="00FE6079">
        <w:trPr>
          <w:trHeight w:val="272"/>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5F23C58B" w14:textId="77777777" w:rsidR="00FE6079" w:rsidRPr="00A47A97" w:rsidRDefault="00FE6079" w:rsidP="00FE6079">
            <w:pPr>
              <w:spacing w:line="240" w:lineRule="auto"/>
              <w:jc w:val="center"/>
            </w:pPr>
            <w:r w:rsidRPr="00A47A97">
              <w:t>Abdominal distension, tenderness or palpable mass</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7A5E3D89" w14:textId="77777777" w:rsidR="00FE6079" w:rsidRPr="00A47A97" w:rsidRDefault="00FE6079" w:rsidP="00FE6079">
            <w:pPr>
              <w:spacing w:line="240" w:lineRule="auto"/>
              <w:jc w:val="center"/>
            </w:pPr>
          </w:p>
        </w:tc>
      </w:tr>
      <w:tr w:rsidR="00FE6079" w:rsidRPr="00A47A97" w14:paraId="55FA40D5" w14:textId="77777777" w:rsidTr="00FE6079">
        <w:trPr>
          <w:trHeight w:val="278"/>
        </w:trPr>
        <w:tc>
          <w:tcPr>
            <w:tcW w:w="4528" w:type="dxa"/>
            <w:tcBorders>
              <w:top w:val="single" w:sz="6" w:space="0" w:color="808080"/>
              <w:left w:val="single" w:sz="6" w:space="0" w:color="808080"/>
              <w:bottom w:val="single" w:sz="6" w:space="0" w:color="808080"/>
              <w:right w:val="single" w:sz="6" w:space="0" w:color="808080"/>
            </w:tcBorders>
            <w:shd w:val="clear" w:color="auto" w:fill="FFFFFF"/>
            <w:tcMar>
              <w:top w:w="90" w:type="dxa"/>
              <w:left w:w="90" w:type="dxa"/>
              <w:bottom w:w="90" w:type="dxa"/>
              <w:right w:w="90" w:type="dxa"/>
            </w:tcMar>
            <w:vAlign w:val="center"/>
            <w:hideMark/>
          </w:tcPr>
          <w:p w14:paraId="1726D82D" w14:textId="77777777" w:rsidR="00FE6079" w:rsidRPr="00A47A97" w:rsidRDefault="00FE6079" w:rsidP="00FE6079">
            <w:pPr>
              <w:spacing w:line="240" w:lineRule="auto"/>
              <w:jc w:val="center"/>
            </w:pPr>
            <w:r w:rsidRPr="00A47A97">
              <w:t>Chronic diarrhoea</w:t>
            </w:r>
          </w:p>
        </w:tc>
        <w:tc>
          <w:tcPr>
            <w:tcW w:w="421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83FE328" w14:textId="77777777" w:rsidR="00FE6079" w:rsidRPr="00A47A97" w:rsidRDefault="00FE6079" w:rsidP="00FE6079">
            <w:pPr>
              <w:spacing w:line="240" w:lineRule="auto"/>
              <w:jc w:val="center"/>
            </w:pPr>
          </w:p>
        </w:tc>
      </w:tr>
    </w:tbl>
    <w:p w14:paraId="2EE9D358" w14:textId="641A2ACC" w:rsidR="00021636" w:rsidRDefault="00021636" w:rsidP="00EC7DEA">
      <w:pPr>
        <w:spacing w:line="480" w:lineRule="auto"/>
      </w:pPr>
    </w:p>
    <w:p w14:paraId="5AE8C83F" w14:textId="2F57078F" w:rsidR="003A2E53" w:rsidRDefault="003A2E53" w:rsidP="00EC7DEA">
      <w:pPr>
        <w:spacing w:line="480" w:lineRule="auto"/>
      </w:pPr>
    </w:p>
    <w:p w14:paraId="38C9B74A" w14:textId="2D897085" w:rsidR="003A2E53" w:rsidRDefault="003A2E53" w:rsidP="00EC7DEA">
      <w:pPr>
        <w:spacing w:line="480" w:lineRule="auto"/>
      </w:pPr>
    </w:p>
    <w:p w14:paraId="0CAE619B" w14:textId="18E32F22" w:rsidR="003A2E53" w:rsidRDefault="003A2E53" w:rsidP="00EC7DEA">
      <w:pPr>
        <w:spacing w:line="480" w:lineRule="auto"/>
      </w:pPr>
    </w:p>
    <w:p w14:paraId="5E93EB30" w14:textId="6BB28759" w:rsidR="003A2E53" w:rsidRDefault="003A2E53" w:rsidP="00EC7DEA">
      <w:pPr>
        <w:spacing w:line="480" w:lineRule="auto"/>
      </w:pPr>
    </w:p>
    <w:p w14:paraId="3AFF4549" w14:textId="6E11E758" w:rsidR="003A2E53" w:rsidRDefault="003A2E53" w:rsidP="00EC7DEA">
      <w:pPr>
        <w:spacing w:line="480" w:lineRule="auto"/>
      </w:pPr>
    </w:p>
    <w:p w14:paraId="3FE51567" w14:textId="5272E2C3" w:rsidR="003A2E53" w:rsidRDefault="003A2E53" w:rsidP="00EC7DEA">
      <w:pPr>
        <w:spacing w:line="480" w:lineRule="auto"/>
      </w:pPr>
    </w:p>
    <w:p w14:paraId="1C724495" w14:textId="77777777" w:rsidR="003A2E53" w:rsidRDefault="003A2E53" w:rsidP="00EC7DEA">
      <w:pPr>
        <w:spacing w:line="480" w:lineRule="auto"/>
      </w:pPr>
    </w:p>
    <w:p w14:paraId="10D81D46" w14:textId="77777777" w:rsidR="00B506BC" w:rsidRDefault="00B506BC" w:rsidP="00EC7DEA">
      <w:pPr>
        <w:spacing w:line="480" w:lineRule="auto"/>
        <w:rPr>
          <w:u w:val="single"/>
        </w:rPr>
      </w:pPr>
      <w:r w:rsidRPr="00B506BC">
        <w:rPr>
          <w:u w:val="single"/>
        </w:rPr>
        <w:lastRenderedPageBreak/>
        <w:t>References</w:t>
      </w:r>
    </w:p>
    <w:p w14:paraId="4CD68E4C" w14:textId="1C378815" w:rsidR="009D0258" w:rsidRPr="009D0258" w:rsidRDefault="00B506BC" w:rsidP="009D0258">
      <w:pPr>
        <w:widowControl w:val="0"/>
        <w:autoSpaceDE w:val="0"/>
        <w:autoSpaceDN w:val="0"/>
        <w:adjustRightInd w:val="0"/>
        <w:spacing w:line="480" w:lineRule="auto"/>
        <w:ind w:left="640" w:hanging="640"/>
        <w:rPr>
          <w:rFonts w:ascii="Calibri" w:hAnsi="Calibri" w:cs="Calibri"/>
          <w:noProof/>
          <w:szCs w:val="24"/>
        </w:rPr>
      </w:pPr>
      <w:r>
        <w:rPr>
          <w:u w:val="single"/>
        </w:rPr>
        <w:fldChar w:fldCharType="begin" w:fldLock="1"/>
      </w:r>
      <w:r>
        <w:rPr>
          <w:u w:val="single"/>
        </w:rPr>
        <w:instrText xml:space="preserve">ADDIN Mendeley Bibliography CSL_BIBLIOGRAPHY </w:instrText>
      </w:r>
      <w:r>
        <w:rPr>
          <w:u w:val="single"/>
        </w:rPr>
        <w:fldChar w:fldCharType="separate"/>
      </w:r>
      <w:r w:rsidR="009D0258" w:rsidRPr="009D0258">
        <w:rPr>
          <w:rFonts w:ascii="Calibri" w:hAnsi="Calibri" w:cs="Calibri"/>
          <w:noProof/>
          <w:szCs w:val="24"/>
        </w:rPr>
        <w:t xml:space="preserve">1 </w:t>
      </w:r>
      <w:r w:rsidR="009D0258" w:rsidRPr="009D0258">
        <w:rPr>
          <w:rFonts w:ascii="Calibri" w:hAnsi="Calibri" w:cs="Calibri"/>
          <w:noProof/>
          <w:szCs w:val="24"/>
        </w:rPr>
        <w:tab/>
        <w:t xml:space="preserve">Nelson SP, Chen EH, Syniar GM, </w:t>
      </w:r>
      <w:r w:rsidR="009D0258" w:rsidRPr="009D0258">
        <w:rPr>
          <w:rFonts w:ascii="Calibri" w:hAnsi="Calibri" w:cs="Calibri"/>
          <w:i/>
          <w:iCs/>
          <w:noProof/>
          <w:szCs w:val="24"/>
        </w:rPr>
        <w:t>et al.</w:t>
      </w:r>
      <w:r w:rsidR="009D0258" w:rsidRPr="009D0258">
        <w:rPr>
          <w:rFonts w:ascii="Calibri" w:hAnsi="Calibri" w:cs="Calibri"/>
          <w:noProof/>
          <w:szCs w:val="24"/>
        </w:rPr>
        <w:t xml:space="preserve"> Prevalence of symptoms of gastroesophageal reflux during infancy. A pediatric practice-based survey. Pediatric Practice Research Group. </w:t>
      </w:r>
      <w:r w:rsidR="009D0258" w:rsidRPr="009D0258">
        <w:rPr>
          <w:rFonts w:ascii="Calibri" w:hAnsi="Calibri" w:cs="Calibri"/>
          <w:i/>
          <w:iCs/>
          <w:noProof/>
          <w:szCs w:val="24"/>
        </w:rPr>
        <w:t>Arch Pediatr Adolesc Med</w:t>
      </w:r>
      <w:r w:rsidR="009D0258" w:rsidRPr="009D0258">
        <w:rPr>
          <w:rFonts w:ascii="Calibri" w:hAnsi="Calibri" w:cs="Calibri"/>
          <w:noProof/>
          <w:szCs w:val="24"/>
        </w:rPr>
        <w:t xml:space="preserve"> 1997;</w:t>
      </w:r>
      <w:r w:rsidR="009D0258" w:rsidRPr="009D0258">
        <w:rPr>
          <w:rFonts w:ascii="Calibri" w:hAnsi="Calibri" w:cs="Calibri"/>
          <w:b/>
          <w:bCs/>
          <w:noProof/>
          <w:szCs w:val="24"/>
        </w:rPr>
        <w:t>151</w:t>
      </w:r>
      <w:r w:rsidR="009D0258" w:rsidRPr="009D0258">
        <w:rPr>
          <w:rFonts w:ascii="Calibri" w:hAnsi="Calibri" w:cs="Calibri"/>
          <w:noProof/>
          <w:szCs w:val="24"/>
        </w:rPr>
        <w:t>:569–72.http://www.ncbi.nlm.nih.gov/pubmed/9193240 (accessed 26 Apr 2018).</w:t>
      </w:r>
    </w:p>
    <w:p w14:paraId="5E1DE20F"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2 </w:t>
      </w:r>
      <w:r w:rsidRPr="009D0258">
        <w:rPr>
          <w:rFonts w:ascii="Calibri" w:hAnsi="Calibri" w:cs="Calibri"/>
          <w:noProof/>
          <w:szCs w:val="24"/>
        </w:rPr>
        <w:tab/>
        <w:t xml:space="preserve">Rosen R, Vandenplas Y, Singendonk M, </w:t>
      </w:r>
      <w:r w:rsidRPr="009D0258">
        <w:rPr>
          <w:rFonts w:ascii="Calibri" w:hAnsi="Calibri" w:cs="Calibri"/>
          <w:i/>
          <w:iCs/>
          <w:noProof/>
          <w:szCs w:val="24"/>
        </w:rPr>
        <w:t>et al.</w:t>
      </w:r>
      <w:r w:rsidRPr="009D0258">
        <w:rPr>
          <w:rFonts w:ascii="Calibri" w:hAnsi="Calibri" w:cs="Calibri"/>
          <w:noProof/>
          <w:szCs w:val="24"/>
        </w:rPr>
        <w:t xml:space="preserve"> Pediatric Gastroesophageal Reflux Clinical Practice Guidelines. </w:t>
      </w:r>
      <w:r w:rsidRPr="009D0258">
        <w:rPr>
          <w:rFonts w:ascii="Calibri" w:hAnsi="Calibri" w:cs="Calibri"/>
          <w:i/>
          <w:iCs/>
          <w:noProof/>
          <w:szCs w:val="24"/>
        </w:rPr>
        <w:t>J Pediatr Gastroenterol Nutr</w:t>
      </w:r>
      <w:r w:rsidRPr="009D0258">
        <w:rPr>
          <w:rFonts w:ascii="Calibri" w:hAnsi="Calibri" w:cs="Calibri"/>
          <w:noProof/>
          <w:szCs w:val="24"/>
        </w:rPr>
        <w:t xml:space="preserve"> 2018;</w:t>
      </w:r>
      <w:r w:rsidRPr="009D0258">
        <w:rPr>
          <w:rFonts w:ascii="Calibri" w:hAnsi="Calibri" w:cs="Calibri"/>
          <w:b/>
          <w:bCs/>
          <w:noProof/>
          <w:szCs w:val="24"/>
        </w:rPr>
        <w:t>66</w:t>
      </w:r>
      <w:r w:rsidRPr="009D0258">
        <w:rPr>
          <w:rFonts w:ascii="Calibri" w:hAnsi="Calibri" w:cs="Calibri"/>
          <w:noProof/>
          <w:szCs w:val="24"/>
        </w:rPr>
        <w:t>:516–54. doi:10.1097/MPG.0000000000001889</w:t>
      </w:r>
    </w:p>
    <w:p w14:paraId="3B763B3B"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3 </w:t>
      </w:r>
      <w:r w:rsidRPr="009D0258">
        <w:rPr>
          <w:rFonts w:ascii="Calibri" w:hAnsi="Calibri" w:cs="Calibri"/>
          <w:noProof/>
          <w:szCs w:val="24"/>
        </w:rPr>
        <w:tab/>
        <w:t xml:space="preserve">Tighe M, Afzal NA, Bevan A, </w:t>
      </w:r>
      <w:r w:rsidRPr="009D0258">
        <w:rPr>
          <w:rFonts w:ascii="Calibri" w:hAnsi="Calibri" w:cs="Calibri"/>
          <w:i/>
          <w:iCs/>
          <w:noProof/>
          <w:szCs w:val="24"/>
        </w:rPr>
        <w:t>et al.</w:t>
      </w:r>
      <w:r w:rsidRPr="009D0258">
        <w:rPr>
          <w:rFonts w:ascii="Calibri" w:hAnsi="Calibri" w:cs="Calibri"/>
          <w:noProof/>
          <w:szCs w:val="24"/>
        </w:rPr>
        <w:t xml:space="preserve"> Pharmacological treatment of children with gastro-oesophageal reflux. </w:t>
      </w:r>
      <w:r w:rsidRPr="009D0258">
        <w:rPr>
          <w:rFonts w:ascii="Calibri" w:hAnsi="Calibri" w:cs="Calibri"/>
          <w:i/>
          <w:iCs/>
          <w:noProof/>
          <w:szCs w:val="24"/>
        </w:rPr>
        <w:t>Cochrane Database Syst Rev</w:t>
      </w:r>
      <w:r w:rsidRPr="009D0258">
        <w:rPr>
          <w:rFonts w:ascii="Calibri" w:hAnsi="Calibri" w:cs="Calibri"/>
          <w:noProof/>
          <w:szCs w:val="24"/>
        </w:rPr>
        <w:t xml:space="preserve"> 2014;:CD008550. doi:10.1002/14651858.CD008550.pub2</w:t>
      </w:r>
    </w:p>
    <w:p w14:paraId="41CB21D9"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4 </w:t>
      </w:r>
      <w:r w:rsidRPr="009D0258">
        <w:rPr>
          <w:rFonts w:ascii="Calibri" w:hAnsi="Calibri" w:cs="Calibri"/>
          <w:noProof/>
          <w:szCs w:val="24"/>
        </w:rPr>
        <w:tab/>
        <w:t>Gastro-oesophageal reflux disease in children and young people: diagnosis and management  | Guidance and guidelines | NICE. https://www.nice.org.uk/guidance/ng1 (accessed 26 Apr 2018).</w:t>
      </w:r>
    </w:p>
    <w:p w14:paraId="28DE4C63"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5 </w:t>
      </w:r>
      <w:r w:rsidRPr="009D0258">
        <w:rPr>
          <w:rFonts w:ascii="Calibri" w:hAnsi="Calibri" w:cs="Calibri"/>
          <w:noProof/>
          <w:szCs w:val="24"/>
        </w:rPr>
        <w:tab/>
        <w:t xml:space="preserve">Khoshoo V, Edell D, Thompson A, </w:t>
      </w:r>
      <w:r w:rsidRPr="009D0258">
        <w:rPr>
          <w:rFonts w:ascii="Calibri" w:hAnsi="Calibri" w:cs="Calibri"/>
          <w:i/>
          <w:iCs/>
          <w:noProof/>
          <w:szCs w:val="24"/>
        </w:rPr>
        <w:t>et al.</w:t>
      </w:r>
      <w:r w:rsidRPr="009D0258">
        <w:rPr>
          <w:rFonts w:ascii="Calibri" w:hAnsi="Calibri" w:cs="Calibri"/>
          <w:noProof/>
          <w:szCs w:val="24"/>
        </w:rPr>
        <w:t xml:space="preserve"> Are we overprescribing antireflux medications for infants with regurgitation? </w:t>
      </w:r>
      <w:r w:rsidRPr="009D0258">
        <w:rPr>
          <w:rFonts w:ascii="Calibri" w:hAnsi="Calibri" w:cs="Calibri"/>
          <w:i/>
          <w:iCs/>
          <w:noProof/>
          <w:szCs w:val="24"/>
        </w:rPr>
        <w:t>Pediatrics</w:t>
      </w:r>
      <w:r w:rsidRPr="009D0258">
        <w:rPr>
          <w:rFonts w:ascii="Calibri" w:hAnsi="Calibri" w:cs="Calibri"/>
          <w:noProof/>
          <w:szCs w:val="24"/>
        </w:rPr>
        <w:t xml:space="preserve"> 2007;</w:t>
      </w:r>
      <w:r w:rsidRPr="009D0258">
        <w:rPr>
          <w:rFonts w:ascii="Calibri" w:hAnsi="Calibri" w:cs="Calibri"/>
          <w:b/>
          <w:bCs/>
          <w:noProof/>
          <w:szCs w:val="24"/>
        </w:rPr>
        <w:t>120</w:t>
      </w:r>
      <w:r w:rsidRPr="009D0258">
        <w:rPr>
          <w:rFonts w:ascii="Calibri" w:hAnsi="Calibri" w:cs="Calibri"/>
          <w:noProof/>
          <w:szCs w:val="24"/>
        </w:rPr>
        <w:t>:946–9. doi:10.1542/peds.2007-1146</w:t>
      </w:r>
    </w:p>
    <w:p w14:paraId="73254189"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6 </w:t>
      </w:r>
      <w:r w:rsidRPr="009D0258">
        <w:rPr>
          <w:rFonts w:ascii="Calibri" w:hAnsi="Calibri" w:cs="Calibri"/>
          <w:noProof/>
          <w:szCs w:val="24"/>
        </w:rPr>
        <w:tab/>
        <w:t xml:space="preserve">Long HA, Solski L, Rebuck JA, </w:t>
      </w:r>
      <w:r w:rsidRPr="009D0258">
        <w:rPr>
          <w:rFonts w:ascii="Calibri" w:hAnsi="Calibri" w:cs="Calibri"/>
          <w:i/>
          <w:iCs/>
          <w:noProof/>
          <w:szCs w:val="24"/>
        </w:rPr>
        <w:t>et al.</w:t>
      </w:r>
      <w:r w:rsidRPr="009D0258">
        <w:rPr>
          <w:rFonts w:ascii="Calibri" w:hAnsi="Calibri" w:cs="Calibri"/>
          <w:noProof/>
          <w:szCs w:val="24"/>
        </w:rPr>
        <w:t xml:space="preserve"> Infantile Gastroesophageal Reflux: Adherence to Treatment Guidelines in the Hospital Setting. </w:t>
      </w:r>
      <w:r w:rsidRPr="009D0258">
        <w:rPr>
          <w:rFonts w:ascii="Calibri" w:hAnsi="Calibri" w:cs="Calibri"/>
          <w:i/>
          <w:iCs/>
          <w:noProof/>
          <w:szCs w:val="24"/>
        </w:rPr>
        <w:t>J Pediatr Pharmacol Ther</w:t>
      </w:r>
      <w:r w:rsidRPr="009D0258">
        <w:rPr>
          <w:rFonts w:ascii="Calibri" w:hAnsi="Calibri" w:cs="Calibri"/>
          <w:noProof/>
          <w:szCs w:val="24"/>
        </w:rPr>
        <w:t xml:space="preserve"> 2018;</w:t>
      </w:r>
      <w:r w:rsidRPr="009D0258">
        <w:rPr>
          <w:rFonts w:ascii="Calibri" w:hAnsi="Calibri" w:cs="Calibri"/>
          <w:b/>
          <w:bCs/>
          <w:noProof/>
          <w:szCs w:val="24"/>
        </w:rPr>
        <w:t>23</w:t>
      </w:r>
      <w:r w:rsidRPr="009D0258">
        <w:rPr>
          <w:rFonts w:ascii="Calibri" w:hAnsi="Calibri" w:cs="Calibri"/>
          <w:noProof/>
          <w:szCs w:val="24"/>
        </w:rPr>
        <w:t>:41–7. doi:10.5863/1551-6776-23.1.41</w:t>
      </w:r>
    </w:p>
    <w:p w14:paraId="77502139"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7 </w:t>
      </w:r>
      <w:r w:rsidRPr="009D0258">
        <w:rPr>
          <w:rFonts w:ascii="Calibri" w:hAnsi="Calibri" w:cs="Calibri"/>
          <w:noProof/>
          <w:szCs w:val="24"/>
        </w:rPr>
        <w:tab/>
        <w:t xml:space="preserve">Drug and Therapeutics Bulletin. Managing gastro-oesophageal reflux in infants. </w:t>
      </w:r>
      <w:r w:rsidRPr="009D0258">
        <w:rPr>
          <w:rFonts w:ascii="Calibri" w:hAnsi="Calibri" w:cs="Calibri"/>
          <w:i/>
          <w:iCs/>
          <w:noProof/>
          <w:szCs w:val="24"/>
        </w:rPr>
        <w:t>BMJ</w:t>
      </w:r>
      <w:r w:rsidRPr="009D0258">
        <w:rPr>
          <w:rFonts w:ascii="Calibri" w:hAnsi="Calibri" w:cs="Calibri"/>
          <w:noProof/>
          <w:szCs w:val="24"/>
        </w:rPr>
        <w:t xml:space="preserve"> 2010;</w:t>
      </w:r>
      <w:r w:rsidRPr="009D0258">
        <w:rPr>
          <w:rFonts w:ascii="Calibri" w:hAnsi="Calibri" w:cs="Calibri"/>
          <w:b/>
          <w:bCs/>
          <w:noProof/>
          <w:szCs w:val="24"/>
        </w:rPr>
        <w:t>341</w:t>
      </w:r>
      <w:r w:rsidRPr="009D0258">
        <w:rPr>
          <w:rFonts w:ascii="Calibri" w:hAnsi="Calibri" w:cs="Calibri"/>
          <w:noProof/>
          <w:szCs w:val="24"/>
        </w:rPr>
        <w:t>:c4420. doi:10.1136/BMJ.C4420</w:t>
      </w:r>
    </w:p>
    <w:p w14:paraId="58177CAB"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t xml:space="preserve">8 </w:t>
      </w:r>
      <w:r w:rsidRPr="009D0258">
        <w:rPr>
          <w:rFonts w:ascii="Calibri" w:hAnsi="Calibri" w:cs="Calibri"/>
          <w:noProof/>
          <w:szCs w:val="24"/>
        </w:rPr>
        <w:tab/>
        <w:t xml:space="preserve">Quitadamo P, Papadopoulou A, Wenzl T, </w:t>
      </w:r>
      <w:r w:rsidRPr="009D0258">
        <w:rPr>
          <w:rFonts w:ascii="Calibri" w:hAnsi="Calibri" w:cs="Calibri"/>
          <w:i/>
          <w:iCs/>
          <w:noProof/>
          <w:szCs w:val="24"/>
        </w:rPr>
        <w:t>et al.</w:t>
      </w:r>
      <w:r w:rsidRPr="009D0258">
        <w:rPr>
          <w:rFonts w:ascii="Calibri" w:hAnsi="Calibri" w:cs="Calibri"/>
          <w:noProof/>
          <w:szCs w:val="24"/>
        </w:rPr>
        <w:t xml:space="preserve"> European Pediatricians’ Approach to Children With GER Symptoms. </w:t>
      </w:r>
      <w:r w:rsidRPr="009D0258">
        <w:rPr>
          <w:rFonts w:ascii="Calibri" w:hAnsi="Calibri" w:cs="Calibri"/>
          <w:i/>
          <w:iCs/>
          <w:noProof/>
          <w:szCs w:val="24"/>
        </w:rPr>
        <w:t>J Pediatr Gastroenterol Nutr</w:t>
      </w:r>
      <w:r w:rsidRPr="009D0258">
        <w:rPr>
          <w:rFonts w:ascii="Calibri" w:hAnsi="Calibri" w:cs="Calibri"/>
          <w:noProof/>
          <w:szCs w:val="24"/>
        </w:rPr>
        <w:t xml:space="preserve"> 2014;</w:t>
      </w:r>
      <w:r w:rsidRPr="009D0258">
        <w:rPr>
          <w:rFonts w:ascii="Calibri" w:hAnsi="Calibri" w:cs="Calibri"/>
          <w:b/>
          <w:bCs/>
          <w:noProof/>
          <w:szCs w:val="24"/>
        </w:rPr>
        <w:t>58</w:t>
      </w:r>
      <w:r w:rsidRPr="009D0258">
        <w:rPr>
          <w:rFonts w:ascii="Calibri" w:hAnsi="Calibri" w:cs="Calibri"/>
          <w:noProof/>
          <w:szCs w:val="24"/>
        </w:rPr>
        <w:t>:505–9. doi:10.1097/MPG.0b013e3182a69912</w:t>
      </w:r>
    </w:p>
    <w:p w14:paraId="18169ACB"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szCs w:val="24"/>
        </w:rPr>
      </w:pPr>
      <w:r w:rsidRPr="009D0258">
        <w:rPr>
          <w:rFonts w:ascii="Calibri" w:hAnsi="Calibri" w:cs="Calibri"/>
          <w:noProof/>
          <w:szCs w:val="24"/>
        </w:rPr>
        <w:lastRenderedPageBreak/>
        <w:t xml:space="preserve">9 </w:t>
      </w:r>
      <w:r w:rsidRPr="009D0258">
        <w:rPr>
          <w:rFonts w:ascii="Calibri" w:hAnsi="Calibri" w:cs="Calibri"/>
          <w:noProof/>
          <w:szCs w:val="24"/>
        </w:rPr>
        <w:tab/>
        <w:t xml:space="preserve">Higginbotham TW. Effectiveness and Safety of Proton Pump Inhibitors in Infantile Gastroesophageal Reflux Disease. </w:t>
      </w:r>
      <w:r w:rsidRPr="009D0258">
        <w:rPr>
          <w:rFonts w:ascii="Calibri" w:hAnsi="Calibri" w:cs="Calibri"/>
          <w:i/>
          <w:iCs/>
          <w:noProof/>
          <w:szCs w:val="24"/>
        </w:rPr>
        <w:t>Ann Pharmacother</w:t>
      </w:r>
      <w:r w:rsidRPr="009D0258">
        <w:rPr>
          <w:rFonts w:ascii="Calibri" w:hAnsi="Calibri" w:cs="Calibri"/>
          <w:noProof/>
          <w:szCs w:val="24"/>
        </w:rPr>
        <w:t xml:space="preserve"> 2010;</w:t>
      </w:r>
      <w:r w:rsidRPr="009D0258">
        <w:rPr>
          <w:rFonts w:ascii="Calibri" w:hAnsi="Calibri" w:cs="Calibri"/>
          <w:b/>
          <w:bCs/>
          <w:noProof/>
          <w:szCs w:val="24"/>
        </w:rPr>
        <w:t>44</w:t>
      </w:r>
      <w:r w:rsidRPr="009D0258">
        <w:rPr>
          <w:rFonts w:ascii="Calibri" w:hAnsi="Calibri" w:cs="Calibri"/>
          <w:noProof/>
          <w:szCs w:val="24"/>
        </w:rPr>
        <w:t>:572–6. doi:10.1345/aph.1M519</w:t>
      </w:r>
    </w:p>
    <w:p w14:paraId="363D1C16" w14:textId="77777777" w:rsidR="009D0258" w:rsidRPr="009D0258" w:rsidRDefault="009D0258" w:rsidP="009D0258">
      <w:pPr>
        <w:widowControl w:val="0"/>
        <w:autoSpaceDE w:val="0"/>
        <w:autoSpaceDN w:val="0"/>
        <w:adjustRightInd w:val="0"/>
        <w:spacing w:line="480" w:lineRule="auto"/>
        <w:ind w:left="640" w:hanging="640"/>
        <w:rPr>
          <w:rFonts w:ascii="Calibri" w:hAnsi="Calibri" w:cs="Calibri"/>
          <w:noProof/>
        </w:rPr>
      </w:pPr>
      <w:r w:rsidRPr="009D0258">
        <w:rPr>
          <w:rFonts w:ascii="Calibri" w:hAnsi="Calibri" w:cs="Calibri"/>
          <w:noProof/>
          <w:szCs w:val="24"/>
        </w:rPr>
        <w:t xml:space="preserve">10 </w:t>
      </w:r>
      <w:r w:rsidRPr="009D0258">
        <w:rPr>
          <w:rFonts w:ascii="Calibri" w:hAnsi="Calibri" w:cs="Calibri"/>
          <w:noProof/>
          <w:szCs w:val="24"/>
        </w:rPr>
        <w:tab/>
        <w:t xml:space="preserve">van der Pol RJ, Smits MJ, van Wijk MP, </w:t>
      </w:r>
      <w:r w:rsidRPr="009D0258">
        <w:rPr>
          <w:rFonts w:ascii="Calibri" w:hAnsi="Calibri" w:cs="Calibri"/>
          <w:i/>
          <w:iCs/>
          <w:noProof/>
          <w:szCs w:val="24"/>
        </w:rPr>
        <w:t>et al.</w:t>
      </w:r>
      <w:r w:rsidRPr="009D0258">
        <w:rPr>
          <w:rFonts w:ascii="Calibri" w:hAnsi="Calibri" w:cs="Calibri"/>
          <w:noProof/>
          <w:szCs w:val="24"/>
        </w:rPr>
        <w:t xml:space="preserve"> Efficacy of Proton-Pump Inhibitors in Children With Gastroesophageal Reflux Disease: A Systematic Review. </w:t>
      </w:r>
      <w:r w:rsidRPr="009D0258">
        <w:rPr>
          <w:rFonts w:ascii="Calibri" w:hAnsi="Calibri" w:cs="Calibri"/>
          <w:i/>
          <w:iCs/>
          <w:noProof/>
          <w:szCs w:val="24"/>
        </w:rPr>
        <w:t>Pediatrics</w:t>
      </w:r>
      <w:r w:rsidRPr="009D0258">
        <w:rPr>
          <w:rFonts w:ascii="Calibri" w:hAnsi="Calibri" w:cs="Calibri"/>
          <w:noProof/>
          <w:szCs w:val="24"/>
        </w:rPr>
        <w:t xml:space="preserve"> 2011;</w:t>
      </w:r>
      <w:r w:rsidRPr="009D0258">
        <w:rPr>
          <w:rFonts w:ascii="Calibri" w:hAnsi="Calibri" w:cs="Calibri"/>
          <w:b/>
          <w:bCs/>
          <w:noProof/>
          <w:szCs w:val="24"/>
        </w:rPr>
        <w:t>127</w:t>
      </w:r>
      <w:r w:rsidRPr="009D0258">
        <w:rPr>
          <w:rFonts w:ascii="Calibri" w:hAnsi="Calibri" w:cs="Calibri"/>
          <w:noProof/>
          <w:szCs w:val="24"/>
        </w:rPr>
        <w:t>:925–35. doi:10.1542/peds.2010-2719</w:t>
      </w:r>
    </w:p>
    <w:p w14:paraId="6011FC95" w14:textId="77777777" w:rsidR="00B506BC" w:rsidRPr="00B506BC" w:rsidRDefault="00B506BC" w:rsidP="00EC7DEA">
      <w:pPr>
        <w:spacing w:line="480" w:lineRule="auto"/>
        <w:rPr>
          <w:u w:val="single"/>
        </w:rPr>
      </w:pPr>
      <w:r>
        <w:rPr>
          <w:u w:val="single"/>
        </w:rPr>
        <w:fldChar w:fldCharType="end"/>
      </w:r>
    </w:p>
    <w:p w14:paraId="2D13C49C" w14:textId="77777777" w:rsidR="00B506BC" w:rsidRPr="00EC7DEA" w:rsidRDefault="00B506BC" w:rsidP="00EC7DEA">
      <w:pPr>
        <w:spacing w:line="480" w:lineRule="auto"/>
        <w:rPr>
          <w:rFonts w:cstheme="minorHAnsi"/>
          <w:szCs w:val="24"/>
        </w:rPr>
      </w:pPr>
    </w:p>
    <w:sectPr w:rsidR="00B506BC" w:rsidRPr="00EC7DEA" w:rsidSect="008409FC">
      <w:headerReference w:type="defaul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961D" w16cid:durableId="1EAC7795"/>
  <w16cid:commentId w16cid:paraId="713814C2" w16cid:durableId="1EAC7A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1C2F4" w14:textId="77777777" w:rsidR="00600F34" w:rsidRDefault="00600F34" w:rsidP="008409FC">
      <w:pPr>
        <w:spacing w:after="0" w:line="240" w:lineRule="auto"/>
      </w:pPr>
      <w:r>
        <w:separator/>
      </w:r>
    </w:p>
  </w:endnote>
  <w:endnote w:type="continuationSeparator" w:id="0">
    <w:p w14:paraId="5AD605D0" w14:textId="77777777" w:rsidR="00600F34" w:rsidRDefault="00600F34" w:rsidP="0084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336F" w14:textId="77777777" w:rsidR="00600F34" w:rsidRDefault="00600F34" w:rsidP="008409FC">
      <w:pPr>
        <w:spacing w:after="0" w:line="240" w:lineRule="auto"/>
      </w:pPr>
      <w:r>
        <w:separator/>
      </w:r>
    </w:p>
  </w:footnote>
  <w:footnote w:type="continuationSeparator" w:id="0">
    <w:p w14:paraId="4AF80CB0" w14:textId="77777777" w:rsidR="00600F34" w:rsidRDefault="00600F34" w:rsidP="00840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107130"/>
      <w:docPartObj>
        <w:docPartGallery w:val="Page Numbers (Top of Page)"/>
        <w:docPartUnique/>
      </w:docPartObj>
    </w:sdtPr>
    <w:sdtEndPr>
      <w:rPr>
        <w:noProof/>
      </w:rPr>
    </w:sdtEndPr>
    <w:sdtContent>
      <w:p w14:paraId="2C359846" w14:textId="1A83EF76" w:rsidR="008409FC" w:rsidRDefault="008409FC">
        <w:pPr>
          <w:pStyle w:val="Header"/>
          <w:jc w:val="right"/>
        </w:pPr>
        <w:r>
          <w:fldChar w:fldCharType="begin"/>
        </w:r>
        <w:r>
          <w:instrText xml:space="preserve"> PAGE   \* MERGEFORMAT </w:instrText>
        </w:r>
        <w:r>
          <w:fldChar w:fldCharType="separate"/>
        </w:r>
        <w:r w:rsidR="005A43C4">
          <w:rPr>
            <w:noProof/>
          </w:rPr>
          <w:t>8</w:t>
        </w:r>
        <w:r>
          <w:rPr>
            <w:noProof/>
          </w:rPr>
          <w:fldChar w:fldCharType="end"/>
        </w:r>
      </w:p>
    </w:sdtContent>
  </w:sdt>
  <w:p w14:paraId="5905A84C" w14:textId="77777777" w:rsidR="008409FC" w:rsidRDefault="0084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9084F"/>
    <w:multiLevelType w:val="hybridMultilevel"/>
    <w:tmpl w:val="112E991C"/>
    <w:lvl w:ilvl="0" w:tplc="21D07A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D50A2"/>
    <w:multiLevelType w:val="hybridMultilevel"/>
    <w:tmpl w:val="9C72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F6043"/>
    <w:multiLevelType w:val="hybridMultilevel"/>
    <w:tmpl w:val="6020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E5304"/>
    <w:multiLevelType w:val="hybridMultilevel"/>
    <w:tmpl w:val="EC52A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D1594"/>
    <w:multiLevelType w:val="hybridMultilevel"/>
    <w:tmpl w:val="164E36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478B3"/>
    <w:multiLevelType w:val="hybridMultilevel"/>
    <w:tmpl w:val="62DC2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EA"/>
    <w:rsid w:val="00021636"/>
    <w:rsid w:val="000A50AE"/>
    <w:rsid w:val="000B5EEA"/>
    <w:rsid w:val="0011792A"/>
    <w:rsid w:val="0016471C"/>
    <w:rsid w:val="001C643E"/>
    <w:rsid w:val="00246854"/>
    <w:rsid w:val="00273847"/>
    <w:rsid w:val="002853D3"/>
    <w:rsid w:val="002F4388"/>
    <w:rsid w:val="00301A55"/>
    <w:rsid w:val="00325FFD"/>
    <w:rsid w:val="00344746"/>
    <w:rsid w:val="003522B5"/>
    <w:rsid w:val="003A2E53"/>
    <w:rsid w:val="003B3EDE"/>
    <w:rsid w:val="003F4819"/>
    <w:rsid w:val="0040419D"/>
    <w:rsid w:val="004252C7"/>
    <w:rsid w:val="00454CBD"/>
    <w:rsid w:val="004E769B"/>
    <w:rsid w:val="005029FD"/>
    <w:rsid w:val="00510DBC"/>
    <w:rsid w:val="00545993"/>
    <w:rsid w:val="005603EC"/>
    <w:rsid w:val="005A43C4"/>
    <w:rsid w:val="005F65F2"/>
    <w:rsid w:val="00600F34"/>
    <w:rsid w:val="006707E2"/>
    <w:rsid w:val="006B7086"/>
    <w:rsid w:val="006D542D"/>
    <w:rsid w:val="007843D0"/>
    <w:rsid w:val="007C4F85"/>
    <w:rsid w:val="007D1885"/>
    <w:rsid w:val="007D2F93"/>
    <w:rsid w:val="008030AD"/>
    <w:rsid w:val="008409FC"/>
    <w:rsid w:val="008911A1"/>
    <w:rsid w:val="008F4F85"/>
    <w:rsid w:val="00906259"/>
    <w:rsid w:val="009747CC"/>
    <w:rsid w:val="009B1524"/>
    <w:rsid w:val="009B27A6"/>
    <w:rsid w:val="009D0258"/>
    <w:rsid w:val="00A47A97"/>
    <w:rsid w:val="00AD5523"/>
    <w:rsid w:val="00B04F8F"/>
    <w:rsid w:val="00B506BC"/>
    <w:rsid w:val="00BD18F1"/>
    <w:rsid w:val="00BE0BC0"/>
    <w:rsid w:val="00C02E84"/>
    <w:rsid w:val="00C4258C"/>
    <w:rsid w:val="00C50DAD"/>
    <w:rsid w:val="00C63013"/>
    <w:rsid w:val="00C903E5"/>
    <w:rsid w:val="00CD2F46"/>
    <w:rsid w:val="00CD4B36"/>
    <w:rsid w:val="00CD7BA7"/>
    <w:rsid w:val="00CE77E4"/>
    <w:rsid w:val="00D22DD9"/>
    <w:rsid w:val="00D2694F"/>
    <w:rsid w:val="00D32287"/>
    <w:rsid w:val="00D36A01"/>
    <w:rsid w:val="00D43BBE"/>
    <w:rsid w:val="00DD6940"/>
    <w:rsid w:val="00E639CC"/>
    <w:rsid w:val="00E657AE"/>
    <w:rsid w:val="00E72542"/>
    <w:rsid w:val="00E908B9"/>
    <w:rsid w:val="00EB079D"/>
    <w:rsid w:val="00EC7DEA"/>
    <w:rsid w:val="00F530A1"/>
    <w:rsid w:val="00F911BE"/>
    <w:rsid w:val="00FA3033"/>
    <w:rsid w:val="00FD6ED1"/>
    <w:rsid w:val="00FE6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B70B0"/>
  <w15:chartTrackingRefBased/>
  <w15:docId w15:val="{C1863F68-A2D4-470E-A6A3-91166665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EA"/>
    <w:pPr>
      <w:ind w:left="720"/>
      <w:contextualSpacing/>
    </w:pPr>
  </w:style>
  <w:style w:type="character" w:styleId="Hyperlink">
    <w:name w:val="Hyperlink"/>
    <w:basedOn w:val="DefaultParagraphFont"/>
    <w:uiPriority w:val="99"/>
    <w:unhideWhenUsed/>
    <w:rsid w:val="00EC7DEA"/>
    <w:rPr>
      <w:color w:val="0563C1" w:themeColor="hyperlink"/>
      <w:u w:val="single"/>
    </w:rPr>
  </w:style>
  <w:style w:type="character" w:styleId="CommentReference">
    <w:name w:val="annotation reference"/>
    <w:basedOn w:val="DefaultParagraphFont"/>
    <w:uiPriority w:val="99"/>
    <w:semiHidden/>
    <w:unhideWhenUsed/>
    <w:rsid w:val="00273847"/>
    <w:rPr>
      <w:sz w:val="16"/>
      <w:szCs w:val="16"/>
    </w:rPr>
  </w:style>
  <w:style w:type="paragraph" w:styleId="CommentText">
    <w:name w:val="annotation text"/>
    <w:basedOn w:val="Normal"/>
    <w:link w:val="CommentTextChar"/>
    <w:uiPriority w:val="99"/>
    <w:semiHidden/>
    <w:unhideWhenUsed/>
    <w:rsid w:val="00273847"/>
    <w:pPr>
      <w:spacing w:line="240" w:lineRule="auto"/>
    </w:pPr>
    <w:rPr>
      <w:sz w:val="20"/>
      <w:szCs w:val="20"/>
    </w:rPr>
  </w:style>
  <w:style w:type="character" w:customStyle="1" w:styleId="CommentTextChar">
    <w:name w:val="Comment Text Char"/>
    <w:basedOn w:val="DefaultParagraphFont"/>
    <w:link w:val="CommentText"/>
    <w:uiPriority w:val="99"/>
    <w:semiHidden/>
    <w:rsid w:val="00273847"/>
    <w:rPr>
      <w:sz w:val="20"/>
      <w:szCs w:val="20"/>
    </w:rPr>
  </w:style>
  <w:style w:type="paragraph" w:styleId="CommentSubject">
    <w:name w:val="annotation subject"/>
    <w:basedOn w:val="CommentText"/>
    <w:next w:val="CommentText"/>
    <w:link w:val="CommentSubjectChar"/>
    <w:uiPriority w:val="99"/>
    <w:semiHidden/>
    <w:unhideWhenUsed/>
    <w:rsid w:val="00273847"/>
    <w:rPr>
      <w:b/>
      <w:bCs/>
    </w:rPr>
  </w:style>
  <w:style w:type="character" w:customStyle="1" w:styleId="CommentSubjectChar">
    <w:name w:val="Comment Subject Char"/>
    <w:basedOn w:val="CommentTextChar"/>
    <w:link w:val="CommentSubject"/>
    <w:uiPriority w:val="99"/>
    <w:semiHidden/>
    <w:rsid w:val="00273847"/>
    <w:rPr>
      <w:b/>
      <w:bCs/>
      <w:sz w:val="20"/>
      <w:szCs w:val="20"/>
    </w:rPr>
  </w:style>
  <w:style w:type="paragraph" w:styleId="BalloonText">
    <w:name w:val="Balloon Text"/>
    <w:basedOn w:val="Normal"/>
    <w:link w:val="BalloonTextChar"/>
    <w:uiPriority w:val="99"/>
    <w:semiHidden/>
    <w:unhideWhenUsed/>
    <w:rsid w:val="00273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847"/>
    <w:rPr>
      <w:rFonts w:ascii="Segoe UI" w:hAnsi="Segoe UI" w:cs="Segoe UI"/>
      <w:sz w:val="18"/>
      <w:szCs w:val="18"/>
    </w:rPr>
  </w:style>
  <w:style w:type="paragraph" w:styleId="Header">
    <w:name w:val="header"/>
    <w:basedOn w:val="Normal"/>
    <w:link w:val="HeaderChar"/>
    <w:uiPriority w:val="99"/>
    <w:unhideWhenUsed/>
    <w:rsid w:val="00840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9FC"/>
  </w:style>
  <w:style w:type="paragraph" w:styleId="Footer">
    <w:name w:val="footer"/>
    <w:basedOn w:val="Normal"/>
    <w:link w:val="FooterChar"/>
    <w:uiPriority w:val="99"/>
    <w:unhideWhenUsed/>
    <w:rsid w:val="00840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3621">
      <w:bodyDiv w:val="1"/>
      <w:marLeft w:val="0"/>
      <w:marRight w:val="0"/>
      <w:marTop w:val="0"/>
      <w:marBottom w:val="0"/>
      <w:divBdr>
        <w:top w:val="none" w:sz="0" w:space="0" w:color="auto"/>
        <w:left w:val="none" w:sz="0" w:space="0" w:color="auto"/>
        <w:bottom w:val="none" w:sz="0" w:space="0" w:color="auto"/>
        <w:right w:val="none" w:sz="0" w:space="0" w:color="auto"/>
      </w:divBdr>
      <w:divsChild>
        <w:div w:id="350957007">
          <w:marLeft w:val="0"/>
          <w:marRight w:val="0"/>
          <w:marTop w:val="0"/>
          <w:marBottom w:val="0"/>
          <w:divBdr>
            <w:top w:val="none" w:sz="0" w:space="0" w:color="auto"/>
            <w:left w:val="none" w:sz="0" w:space="0" w:color="auto"/>
            <w:bottom w:val="none" w:sz="0" w:space="0" w:color="auto"/>
            <w:right w:val="none" w:sz="0" w:space="0" w:color="auto"/>
          </w:divBdr>
        </w:div>
        <w:div w:id="87622117">
          <w:marLeft w:val="0"/>
          <w:marRight w:val="0"/>
          <w:marTop w:val="0"/>
          <w:marBottom w:val="0"/>
          <w:divBdr>
            <w:top w:val="none" w:sz="0" w:space="0" w:color="auto"/>
            <w:left w:val="none" w:sz="0" w:space="0" w:color="auto"/>
            <w:bottom w:val="none" w:sz="0" w:space="0" w:color="auto"/>
            <w:right w:val="none" w:sz="0" w:space="0" w:color="auto"/>
          </w:divBdr>
        </w:div>
        <w:div w:id="785538072">
          <w:marLeft w:val="0"/>
          <w:marRight w:val="0"/>
          <w:marTop w:val="0"/>
          <w:marBottom w:val="0"/>
          <w:divBdr>
            <w:top w:val="none" w:sz="0" w:space="0" w:color="auto"/>
            <w:left w:val="none" w:sz="0" w:space="0" w:color="auto"/>
            <w:bottom w:val="none" w:sz="0" w:space="0" w:color="auto"/>
            <w:right w:val="none" w:sz="0" w:space="0" w:color="auto"/>
          </w:divBdr>
        </w:div>
        <w:div w:id="871765034">
          <w:marLeft w:val="0"/>
          <w:marRight w:val="0"/>
          <w:marTop w:val="0"/>
          <w:marBottom w:val="0"/>
          <w:divBdr>
            <w:top w:val="none" w:sz="0" w:space="0" w:color="auto"/>
            <w:left w:val="none" w:sz="0" w:space="0" w:color="auto"/>
            <w:bottom w:val="none" w:sz="0" w:space="0" w:color="auto"/>
            <w:right w:val="none" w:sz="0" w:space="0" w:color="auto"/>
          </w:divBdr>
        </w:div>
        <w:div w:id="394282014">
          <w:marLeft w:val="0"/>
          <w:marRight w:val="0"/>
          <w:marTop w:val="0"/>
          <w:marBottom w:val="0"/>
          <w:divBdr>
            <w:top w:val="none" w:sz="0" w:space="0" w:color="auto"/>
            <w:left w:val="none" w:sz="0" w:space="0" w:color="auto"/>
            <w:bottom w:val="none" w:sz="0" w:space="0" w:color="auto"/>
            <w:right w:val="none" w:sz="0" w:space="0" w:color="auto"/>
          </w:divBdr>
        </w:div>
        <w:div w:id="1378554203">
          <w:marLeft w:val="0"/>
          <w:marRight w:val="0"/>
          <w:marTop w:val="0"/>
          <w:marBottom w:val="0"/>
          <w:divBdr>
            <w:top w:val="none" w:sz="0" w:space="0" w:color="auto"/>
            <w:left w:val="none" w:sz="0" w:space="0" w:color="auto"/>
            <w:bottom w:val="none" w:sz="0" w:space="0" w:color="auto"/>
            <w:right w:val="none" w:sz="0" w:space="0" w:color="auto"/>
          </w:divBdr>
        </w:div>
        <w:div w:id="1731080015">
          <w:marLeft w:val="0"/>
          <w:marRight w:val="0"/>
          <w:marTop w:val="0"/>
          <w:marBottom w:val="0"/>
          <w:divBdr>
            <w:top w:val="none" w:sz="0" w:space="0" w:color="auto"/>
            <w:left w:val="none" w:sz="0" w:space="0" w:color="auto"/>
            <w:bottom w:val="none" w:sz="0" w:space="0" w:color="auto"/>
            <w:right w:val="none" w:sz="0" w:space="0" w:color="auto"/>
          </w:divBdr>
        </w:div>
        <w:div w:id="1989095006">
          <w:marLeft w:val="0"/>
          <w:marRight w:val="0"/>
          <w:marTop w:val="0"/>
          <w:marBottom w:val="0"/>
          <w:divBdr>
            <w:top w:val="none" w:sz="0" w:space="0" w:color="auto"/>
            <w:left w:val="none" w:sz="0" w:space="0" w:color="auto"/>
            <w:bottom w:val="none" w:sz="0" w:space="0" w:color="auto"/>
            <w:right w:val="none" w:sz="0" w:space="0" w:color="auto"/>
          </w:divBdr>
        </w:div>
        <w:div w:id="1372917962">
          <w:marLeft w:val="0"/>
          <w:marRight w:val="0"/>
          <w:marTop w:val="0"/>
          <w:marBottom w:val="0"/>
          <w:divBdr>
            <w:top w:val="none" w:sz="0" w:space="0" w:color="auto"/>
            <w:left w:val="none" w:sz="0" w:space="0" w:color="auto"/>
            <w:bottom w:val="none" w:sz="0" w:space="0" w:color="auto"/>
            <w:right w:val="none" w:sz="0" w:space="0" w:color="auto"/>
          </w:divBdr>
        </w:div>
        <w:div w:id="482042325">
          <w:marLeft w:val="0"/>
          <w:marRight w:val="0"/>
          <w:marTop w:val="0"/>
          <w:marBottom w:val="0"/>
          <w:divBdr>
            <w:top w:val="none" w:sz="0" w:space="0" w:color="auto"/>
            <w:left w:val="none" w:sz="0" w:space="0" w:color="auto"/>
            <w:bottom w:val="none" w:sz="0" w:space="0" w:color="auto"/>
            <w:right w:val="none" w:sz="0" w:space="0" w:color="auto"/>
          </w:divBdr>
        </w:div>
        <w:div w:id="1353453184">
          <w:marLeft w:val="0"/>
          <w:marRight w:val="0"/>
          <w:marTop w:val="0"/>
          <w:marBottom w:val="0"/>
          <w:divBdr>
            <w:top w:val="none" w:sz="0" w:space="0" w:color="auto"/>
            <w:left w:val="none" w:sz="0" w:space="0" w:color="auto"/>
            <w:bottom w:val="none" w:sz="0" w:space="0" w:color="auto"/>
            <w:right w:val="none" w:sz="0" w:space="0" w:color="auto"/>
          </w:divBdr>
        </w:div>
        <w:div w:id="1400710346">
          <w:marLeft w:val="0"/>
          <w:marRight w:val="0"/>
          <w:marTop w:val="0"/>
          <w:marBottom w:val="0"/>
          <w:divBdr>
            <w:top w:val="none" w:sz="0" w:space="0" w:color="auto"/>
            <w:left w:val="none" w:sz="0" w:space="0" w:color="auto"/>
            <w:bottom w:val="none" w:sz="0" w:space="0" w:color="auto"/>
            <w:right w:val="none" w:sz="0" w:space="0" w:color="auto"/>
          </w:divBdr>
        </w:div>
        <w:div w:id="1932155971">
          <w:marLeft w:val="0"/>
          <w:marRight w:val="0"/>
          <w:marTop w:val="0"/>
          <w:marBottom w:val="0"/>
          <w:divBdr>
            <w:top w:val="none" w:sz="0" w:space="0" w:color="auto"/>
            <w:left w:val="none" w:sz="0" w:space="0" w:color="auto"/>
            <w:bottom w:val="none" w:sz="0" w:space="0" w:color="auto"/>
            <w:right w:val="none" w:sz="0" w:space="0" w:color="auto"/>
          </w:divBdr>
        </w:div>
        <w:div w:id="580605370">
          <w:marLeft w:val="0"/>
          <w:marRight w:val="0"/>
          <w:marTop w:val="0"/>
          <w:marBottom w:val="0"/>
          <w:divBdr>
            <w:top w:val="none" w:sz="0" w:space="0" w:color="auto"/>
            <w:left w:val="none" w:sz="0" w:space="0" w:color="auto"/>
            <w:bottom w:val="none" w:sz="0" w:space="0" w:color="auto"/>
            <w:right w:val="none" w:sz="0" w:space="0" w:color="auto"/>
          </w:divBdr>
        </w:div>
        <w:div w:id="1489054445">
          <w:marLeft w:val="0"/>
          <w:marRight w:val="0"/>
          <w:marTop w:val="0"/>
          <w:marBottom w:val="0"/>
          <w:divBdr>
            <w:top w:val="none" w:sz="0" w:space="0" w:color="auto"/>
            <w:left w:val="none" w:sz="0" w:space="0" w:color="auto"/>
            <w:bottom w:val="none" w:sz="0" w:space="0" w:color="auto"/>
            <w:right w:val="none" w:sz="0" w:space="0" w:color="auto"/>
          </w:divBdr>
        </w:div>
        <w:div w:id="1484740276">
          <w:marLeft w:val="0"/>
          <w:marRight w:val="0"/>
          <w:marTop w:val="0"/>
          <w:marBottom w:val="0"/>
          <w:divBdr>
            <w:top w:val="none" w:sz="0" w:space="0" w:color="auto"/>
            <w:left w:val="none" w:sz="0" w:space="0" w:color="auto"/>
            <w:bottom w:val="none" w:sz="0" w:space="0" w:color="auto"/>
            <w:right w:val="none" w:sz="0" w:space="0" w:color="auto"/>
          </w:divBdr>
        </w:div>
        <w:div w:id="1392653090">
          <w:marLeft w:val="0"/>
          <w:marRight w:val="0"/>
          <w:marTop w:val="0"/>
          <w:marBottom w:val="0"/>
          <w:divBdr>
            <w:top w:val="none" w:sz="0" w:space="0" w:color="auto"/>
            <w:left w:val="none" w:sz="0" w:space="0" w:color="auto"/>
            <w:bottom w:val="none" w:sz="0" w:space="0" w:color="auto"/>
            <w:right w:val="none" w:sz="0" w:space="0" w:color="auto"/>
          </w:divBdr>
        </w:div>
        <w:div w:id="630943739">
          <w:marLeft w:val="0"/>
          <w:marRight w:val="0"/>
          <w:marTop w:val="0"/>
          <w:marBottom w:val="0"/>
          <w:divBdr>
            <w:top w:val="none" w:sz="0" w:space="0" w:color="auto"/>
            <w:left w:val="none" w:sz="0" w:space="0" w:color="auto"/>
            <w:bottom w:val="none" w:sz="0" w:space="0" w:color="auto"/>
            <w:right w:val="none" w:sz="0" w:space="0" w:color="auto"/>
          </w:divBdr>
        </w:div>
        <w:div w:id="471213621">
          <w:marLeft w:val="0"/>
          <w:marRight w:val="0"/>
          <w:marTop w:val="0"/>
          <w:marBottom w:val="0"/>
          <w:divBdr>
            <w:top w:val="none" w:sz="0" w:space="0" w:color="auto"/>
            <w:left w:val="none" w:sz="0" w:space="0" w:color="auto"/>
            <w:bottom w:val="none" w:sz="0" w:space="0" w:color="auto"/>
            <w:right w:val="none" w:sz="0" w:space="0" w:color="auto"/>
          </w:divBdr>
        </w:div>
        <w:div w:id="1551770513">
          <w:marLeft w:val="0"/>
          <w:marRight w:val="0"/>
          <w:marTop w:val="0"/>
          <w:marBottom w:val="0"/>
          <w:divBdr>
            <w:top w:val="none" w:sz="0" w:space="0" w:color="auto"/>
            <w:left w:val="none" w:sz="0" w:space="0" w:color="auto"/>
            <w:bottom w:val="none" w:sz="0" w:space="0" w:color="auto"/>
            <w:right w:val="none" w:sz="0" w:space="0" w:color="auto"/>
          </w:divBdr>
        </w:div>
        <w:div w:id="76833206">
          <w:marLeft w:val="0"/>
          <w:marRight w:val="0"/>
          <w:marTop w:val="0"/>
          <w:marBottom w:val="0"/>
          <w:divBdr>
            <w:top w:val="none" w:sz="0" w:space="0" w:color="auto"/>
            <w:left w:val="none" w:sz="0" w:space="0" w:color="auto"/>
            <w:bottom w:val="none" w:sz="0" w:space="0" w:color="auto"/>
            <w:right w:val="none" w:sz="0" w:space="0" w:color="auto"/>
          </w:divBdr>
        </w:div>
        <w:div w:id="830562819">
          <w:marLeft w:val="0"/>
          <w:marRight w:val="0"/>
          <w:marTop w:val="0"/>
          <w:marBottom w:val="0"/>
          <w:divBdr>
            <w:top w:val="none" w:sz="0" w:space="0" w:color="auto"/>
            <w:left w:val="none" w:sz="0" w:space="0" w:color="auto"/>
            <w:bottom w:val="none" w:sz="0" w:space="0" w:color="auto"/>
            <w:right w:val="none" w:sz="0" w:space="0" w:color="auto"/>
          </w:divBdr>
        </w:div>
        <w:div w:id="764806449">
          <w:marLeft w:val="0"/>
          <w:marRight w:val="0"/>
          <w:marTop w:val="0"/>
          <w:marBottom w:val="0"/>
          <w:divBdr>
            <w:top w:val="none" w:sz="0" w:space="0" w:color="auto"/>
            <w:left w:val="none" w:sz="0" w:space="0" w:color="auto"/>
            <w:bottom w:val="none" w:sz="0" w:space="0" w:color="auto"/>
            <w:right w:val="none" w:sz="0" w:space="0" w:color="auto"/>
          </w:divBdr>
        </w:div>
        <w:div w:id="611590818">
          <w:marLeft w:val="0"/>
          <w:marRight w:val="0"/>
          <w:marTop w:val="0"/>
          <w:marBottom w:val="0"/>
          <w:divBdr>
            <w:top w:val="none" w:sz="0" w:space="0" w:color="auto"/>
            <w:left w:val="none" w:sz="0" w:space="0" w:color="auto"/>
            <w:bottom w:val="none" w:sz="0" w:space="0" w:color="auto"/>
            <w:right w:val="none" w:sz="0" w:space="0" w:color="auto"/>
          </w:divBdr>
        </w:div>
        <w:div w:id="846364580">
          <w:marLeft w:val="0"/>
          <w:marRight w:val="0"/>
          <w:marTop w:val="0"/>
          <w:marBottom w:val="0"/>
          <w:divBdr>
            <w:top w:val="none" w:sz="0" w:space="0" w:color="auto"/>
            <w:left w:val="none" w:sz="0" w:space="0" w:color="auto"/>
            <w:bottom w:val="none" w:sz="0" w:space="0" w:color="auto"/>
            <w:right w:val="none" w:sz="0" w:space="0" w:color="auto"/>
          </w:divBdr>
        </w:div>
        <w:div w:id="1819880726">
          <w:marLeft w:val="0"/>
          <w:marRight w:val="0"/>
          <w:marTop w:val="0"/>
          <w:marBottom w:val="0"/>
          <w:divBdr>
            <w:top w:val="none" w:sz="0" w:space="0" w:color="auto"/>
            <w:left w:val="none" w:sz="0" w:space="0" w:color="auto"/>
            <w:bottom w:val="none" w:sz="0" w:space="0" w:color="auto"/>
            <w:right w:val="none" w:sz="0" w:space="0" w:color="auto"/>
          </w:divBdr>
        </w:div>
        <w:div w:id="1141969748">
          <w:marLeft w:val="0"/>
          <w:marRight w:val="0"/>
          <w:marTop w:val="0"/>
          <w:marBottom w:val="0"/>
          <w:divBdr>
            <w:top w:val="none" w:sz="0" w:space="0" w:color="auto"/>
            <w:left w:val="none" w:sz="0" w:space="0" w:color="auto"/>
            <w:bottom w:val="none" w:sz="0" w:space="0" w:color="auto"/>
            <w:right w:val="none" w:sz="0" w:space="0" w:color="auto"/>
          </w:divBdr>
        </w:div>
        <w:div w:id="292248831">
          <w:marLeft w:val="0"/>
          <w:marRight w:val="0"/>
          <w:marTop w:val="0"/>
          <w:marBottom w:val="0"/>
          <w:divBdr>
            <w:top w:val="none" w:sz="0" w:space="0" w:color="auto"/>
            <w:left w:val="none" w:sz="0" w:space="0" w:color="auto"/>
            <w:bottom w:val="none" w:sz="0" w:space="0" w:color="auto"/>
            <w:right w:val="none" w:sz="0" w:space="0" w:color="auto"/>
          </w:divBdr>
        </w:div>
        <w:div w:id="964846394">
          <w:marLeft w:val="0"/>
          <w:marRight w:val="0"/>
          <w:marTop w:val="0"/>
          <w:marBottom w:val="0"/>
          <w:divBdr>
            <w:top w:val="none" w:sz="0" w:space="0" w:color="auto"/>
            <w:left w:val="none" w:sz="0" w:space="0" w:color="auto"/>
            <w:bottom w:val="none" w:sz="0" w:space="0" w:color="auto"/>
            <w:right w:val="none" w:sz="0" w:space="0" w:color="auto"/>
          </w:divBdr>
        </w:div>
        <w:div w:id="1351495252">
          <w:marLeft w:val="0"/>
          <w:marRight w:val="0"/>
          <w:marTop w:val="0"/>
          <w:marBottom w:val="0"/>
          <w:divBdr>
            <w:top w:val="none" w:sz="0" w:space="0" w:color="auto"/>
            <w:left w:val="none" w:sz="0" w:space="0" w:color="auto"/>
            <w:bottom w:val="none" w:sz="0" w:space="0" w:color="auto"/>
            <w:right w:val="none" w:sz="0" w:space="0" w:color="auto"/>
          </w:divBdr>
        </w:div>
        <w:div w:id="1724284609">
          <w:marLeft w:val="0"/>
          <w:marRight w:val="0"/>
          <w:marTop w:val="0"/>
          <w:marBottom w:val="0"/>
          <w:divBdr>
            <w:top w:val="none" w:sz="0" w:space="0" w:color="auto"/>
            <w:left w:val="none" w:sz="0" w:space="0" w:color="auto"/>
            <w:bottom w:val="none" w:sz="0" w:space="0" w:color="auto"/>
            <w:right w:val="none" w:sz="0" w:space="0" w:color="auto"/>
          </w:divBdr>
        </w:div>
        <w:div w:id="1687437050">
          <w:marLeft w:val="0"/>
          <w:marRight w:val="0"/>
          <w:marTop w:val="0"/>
          <w:marBottom w:val="0"/>
          <w:divBdr>
            <w:top w:val="none" w:sz="0" w:space="0" w:color="auto"/>
            <w:left w:val="none" w:sz="0" w:space="0" w:color="auto"/>
            <w:bottom w:val="none" w:sz="0" w:space="0" w:color="auto"/>
            <w:right w:val="none" w:sz="0" w:space="0" w:color="auto"/>
          </w:divBdr>
        </w:div>
        <w:div w:id="214053167">
          <w:marLeft w:val="0"/>
          <w:marRight w:val="0"/>
          <w:marTop w:val="0"/>
          <w:marBottom w:val="0"/>
          <w:divBdr>
            <w:top w:val="none" w:sz="0" w:space="0" w:color="auto"/>
            <w:left w:val="none" w:sz="0" w:space="0" w:color="auto"/>
            <w:bottom w:val="none" w:sz="0" w:space="0" w:color="auto"/>
            <w:right w:val="none" w:sz="0" w:space="0" w:color="auto"/>
          </w:divBdr>
        </w:div>
        <w:div w:id="1712879428">
          <w:marLeft w:val="0"/>
          <w:marRight w:val="0"/>
          <w:marTop w:val="0"/>
          <w:marBottom w:val="0"/>
          <w:divBdr>
            <w:top w:val="none" w:sz="0" w:space="0" w:color="auto"/>
            <w:left w:val="none" w:sz="0" w:space="0" w:color="auto"/>
            <w:bottom w:val="none" w:sz="0" w:space="0" w:color="auto"/>
            <w:right w:val="none" w:sz="0" w:space="0" w:color="auto"/>
          </w:divBdr>
        </w:div>
        <w:div w:id="275067176">
          <w:marLeft w:val="0"/>
          <w:marRight w:val="0"/>
          <w:marTop w:val="0"/>
          <w:marBottom w:val="0"/>
          <w:divBdr>
            <w:top w:val="none" w:sz="0" w:space="0" w:color="auto"/>
            <w:left w:val="none" w:sz="0" w:space="0" w:color="auto"/>
            <w:bottom w:val="none" w:sz="0" w:space="0" w:color="auto"/>
            <w:right w:val="none" w:sz="0" w:space="0" w:color="auto"/>
          </w:divBdr>
        </w:div>
        <w:div w:id="1809859842">
          <w:marLeft w:val="0"/>
          <w:marRight w:val="0"/>
          <w:marTop w:val="0"/>
          <w:marBottom w:val="0"/>
          <w:divBdr>
            <w:top w:val="none" w:sz="0" w:space="0" w:color="auto"/>
            <w:left w:val="none" w:sz="0" w:space="0" w:color="auto"/>
            <w:bottom w:val="none" w:sz="0" w:space="0" w:color="auto"/>
            <w:right w:val="none" w:sz="0" w:space="0" w:color="auto"/>
          </w:divBdr>
        </w:div>
        <w:div w:id="1977028983">
          <w:marLeft w:val="0"/>
          <w:marRight w:val="0"/>
          <w:marTop w:val="0"/>
          <w:marBottom w:val="0"/>
          <w:divBdr>
            <w:top w:val="none" w:sz="0" w:space="0" w:color="auto"/>
            <w:left w:val="none" w:sz="0" w:space="0" w:color="auto"/>
            <w:bottom w:val="none" w:sz="0" w:space="0" w:color="auto"/>
            <w:right w:val="none" w:sz="0" w:space="0" w:color="auto"/>
          </w:divBdr>
        </w:div>
        <w:div w:id="525368738">
          <w:marLeft w:val="0"/>
          <w:marRight w:val="0"/>
          <w:marTop w:val="0"/>
          <w:marBottom w:val="0"/>
          <w:divBdr>
            <w:top w:val="none" w:sz="0" w:space="0" w:color="auto"/>
            <w:left w:val="none" w:sz="0" w:space="0" w:color="auto"/>
            <w:bottom w:val="none" w:sz="0" w:space="0" w:color="auto"/>
            <w:right w:val="none" w:sz="0" w:space="0" w:color="auto"/>
          </w:divBdr>
        </w:div>
        <w:div w:id="1605503801">
          <w:marLeft w:val="0"/>
          <w:marRight w:val="0"/>
          <w:marTop w:val="0"/>
          <w:marBottom w:val="0"/>
          <w:divBdr>
            <w:top w:val="none" w:sz="0" w:space="0" w:color="auto"/>
            <w:left w:val="none" w:sz="0" w:space="0" w:color="auto"/>
            <w:bottom w:val="none" w:sz="0" w:space="0" w:color="auto"/>
            <w:right w:val="none" w:sz="0" w:space="0" w:color="auto"/>
          </w:divBdr>
        </w:div>
        <w:div w:id="608855172">
          <w:marLeft w:val="0"/>
          <w:marRight w:val="0"/>
          <w:marTop w:val="0"/>
          <w:marBottom w:val="0"/>
          <w:divBdr>
            <w:top w:val="none" w:sz="0" w:space="0" w:color="auto"/>
            <w:left w:val="none" w:sz="0" w:space="0" w:color="auto"/>
            <w:bottom w:val="none" w:sz="0" w:space="0" w:color="auto"/>
            <w:right w:val="none" w:sz="0" w:space="0" w:color="auto"/>
          </w:divBdr>
        </w:div>
        <w:div w:id="1071662333">
          <w:marLeft w:val="0"/>
          <w:marRight w:val="0"/>
          <w:marTop w:val="0"/>
          <w:marBottom w:val="0"/>
          <w:divBdr>
            <w:top w:val="none" w:sz="0" w:space="0" w:color="auto"/>
            <w:left w:val="none" w:sz="0" w:space="0" w:color="auto"/>
            <w:bottom w:val="none" w:sz="0" w:space="0" w:color="auto"/>
            <w:right w:val="none" w:sz="0" w:space="0" w:color="auto"/>
          </w:divBdr>
        </w:div>
        <w:div w:id="1015233697">
          <w:marLeft w:val="0"/>
          <w:marRight w:val="0"/>
          <w:marTop w:val="0"/>
          <w:marBottom w:val="0"/>
          <w:divBdr>
            <w:top w:val="none" w:sz="0" w:space="0" w:color="auto"/>
            <w:left w:val="none" w:sz="0" w:space="0" w:color="auto"/>
            <w:bottom w:val="none" w:sz="0" w:space="0" w:color="auto"/>
            <w:right w:val="none" w:sz="0" w:space="0" w:color="auto"/>
          </w:divBdr>
        </w:div>
        <w:div w:id="2093159106">
          <w:marLeft w:val="0"/>
          <w:marRight w:val="0"/>
          <w:marTop w:val="0"/>
          <w:marBottom w:val="0"/>
          <w:divBdr>
            <w:top w:val="none" w:sz="0" w:space="0" w:color="auto"/>
            <w:left w:val="none" w:sz="0" w:space="0" w:color="auto"/>
            <w:bottom w:val="none" w:sz="0" w:space="0" w:color="auto"/>
            <w:right w:val="none" w:sz="0" w:space="0" w:color="auto"/>
          </w:divBdr>
        </w:div>
        <w:div w:id="590744293">
          <w:marLeft w:val="0"/>
          <w:marRight w:val="0"/>
          <w:marTop w:val="0"/>
          <w:marBottom w:val="0"/>
          <w:divBdr>
            <w:top w:val="none" w:sz="0" w:space="0" w:color="auto"/>
            <w:left w:val="none" w:sz="0" w:space="0" w:color="auto"/>
            <w:bottom w:val="none" w:sz="0" w:space="0" w:color="auto"/>
            <w:right w:val="none" w:sz="0" w:space="0" w:color="auto"/>
          </w:divBdr>
        </w:div>
        <w:div w:id="90702974">
          <w:marLeft w:val="0"/>
          <w:marRight w:val="0"/>
          <w:marTop w:val="0"/>
          <w:marBottom w:val="0"/>
          <w:divBdr>
            <w:top w:val="none" w:sz="0" w:space="0" w:color="auto"/>
            <w:left w:val="none" w:sz="0" w:space="0" w:color="auto"/>
            <w:bottom w:val="none" w:sz="0" w:space="0" w:color="auto"/>
            <w:right w:val="none" w:sz="0" w:space="0" w:color="auto"/>
          </w:divBdr>
        </w:div>
        <w:div w:id="1374572114">
          <w:marLeft w:val="0"/>
          <w:marRight w:val="0"/>
          <w:marTop w:val="0"/>
          <w:marBottom w:val="0"/>
          <w:divBdr>
            <w:top w:val="none" w:sz="0" w:space="0" w:color="auto"/>
            <w:left w:val="none" w:sz="0" w:space="0" w:color="auto"/>
            <w:bottom w:val="none" w:sz="0" w:space="0" w:color="auto"/>
            <w:right w:val="none" w:sz="0" w:space="0" w:color="auto"/>
          </w:divBdr>
        </w:div>
        <w:div w:id="1314486095">
          <w:marLeft w:val="0"/>
          <w:marRight w:val="0"/>
          <w:marTop w:val="0"/>
          <w:marBottom w:val="0"/>
          <w:divBdr>
            <w:top w:val="none" w:sz="0" w:space="0" w:color="auto"/>
            <w:left w:val="none" w:sz="0" w:space="0" w:color="auto"/>
            <w:bottom w:val="none" w:sz="0" w:space="0" w:color="auto"/>
            <w:right w:val="none" w:sz="0" w:space="0" w:color="auto"/>
          </w:divBdr>
        </w:div>
        <w:div w:id="1288707688">
          <w:marLeft w:val="0"/>
          <w:marRight w:val="0"/>
          <w:marTop w:val="0"/>
          <w:marBottom w:val="0"/>
          <w:divBdr>
            <w:top w:val="none" w:sz="0" w:space="0" w:color="auto"/>
            <w:left w:val="none" w:sz="0" w:space="0" w:color="auto"/>
            <w:bottom w:val="none" w:sz="0" w:space="0" w:color="auto"/>
            <w:right w:val="none" w:sz="0" w:space="0" w:color="auto"/>
          </w:divBdr>
        </w:div>
        <w:div w:id="192231476">
          <w:marLeft w:val="0"/>
          <w:marRight w:val="0"/>
          <w:marTop w:val="0"/>
          <w:marBottom w:val="0"/>
          <w:divBdr>
            <w:top w:val="none" w:sz="0" w:space="0" w:color="auto"/>
            <w:left w:val="none" w:sz="0" w:space="0" w:color="auto"/>
            <w:bottom w:val="none" w:sz="0" w:space="0" w:color="auto"/>
            <w:right w:val="none" w:sz="0" w:space="0" w:color="auto"/>
          </w:divBdr>
        </w:div>
        <w:div w:id="789666183">
          <w:marLeft w:val="0"/>
          <w:marRight w:val="0"/>
          <w:marTop w:val="0"/>
          <w:marBottom w:val="0"/>
          <w:divBdr>
            <w:top w:val="none" w:sz="0" w:space="0" w:color="auto"/>
            <w:left w:val="none" w:sz="0" w:space="0" w:color="auto"/>
            <w:bottom w:val="none" w:sz="0" w:space="0" w:color="auto"/>
            <w:right w:val="none" w:sz="0" w:space="0" w:color="auto"/>
          </w:divBdr>
        </w:div>
        <w:div w:id="993071448">
          <w:marLeft w:val="0"/>
          <w:marRight w:val="0"/>
          <w:marTop w:val="0"/>
          <w:marBottom w:val="0"/>
          <w:divBdr>
            <w:top w:val="none" w:sz="0" w:space="0" w:color="auto"/>
            <w:left w:val="none" w:sz="0" w:space="0" w:color="auto"/>
            <w:bottom w:val="none" w:sz="0" w:space="0" w:color="auto"/>
            <w:right w:val="none" w:sz="0" w:space="0" w:color="auto"/>
          </w:divBdr>
        </w:div>
      </w:divsChild>
    </w:div>
    <w:div w:id="466775613">
      <w:bodyDiv w:val="1"/>
      <w:marLeft w:val="0"/>
      <w:marRight w:val="0"/>
      <w:marTop w:val="0"/>
      <w:marBottom w:val="0"/>
      <w:divBdr>
        <w:top w:val="none" w:sz="0" w:space="0" w:color="auto"/>
        <w:left w:val="none" w:sz="0" w:space="0" w:color="auto"/>
        <w:bottom w:val="none" w:sz="0" w:space="0" w:color="auto"/>
        <w:right w:val="none" w:sz="0" w:space="0" w:color="auto"/>
      </w:divBdr>
      <w:divsChild>
        <w:div w:id="1560356755">
          <w:marLeft w:val="0"/>
          <w:marRight w:val="0"/>
          <w:marTop w:val="0"/>
          <w:marBottom w:val="0"/>
          <w:divBdr>
            <w:top w:val="none" w:sz="0" w:space="0" w:color="auto"/>
            <w:left w:val="none" w:sz="0" w:space="0" w:color="auto"/>
            <w:bottom w:val="none" w:sz="0" w:space="0" w:color="auto"/>
            <w:right w:val="none" w:sz="0" w:space="0" w:color="auto"/>
          </w:divBdr>
        </w:div>
        <w:div w:id="1001616472">
          <w:marLeft w:val="0"/>
          <w:marRight w:val="0"/>
          <w:marTop w:val="0"/>
          <w:marBottom w:val="0"/>
          <w:divBdr>
            <w:top w:val="none" w:sz="0" w:space="0" w:color="auto"/>
            <w:left w:val="none" w:sz="0" w:space="0" w:color="auto"/>
            <w:bottom w:val="none" w:sz="0" w:space="0" w:color="auto"/>
            <w:right w:val="none" w:sz="0" w:space="0" w:color="auto"/>
          </w:divBdr>
        </w:div>
        <w:div w:id="94709903">
          <w:marLeft w:val="0"/>
          <w:marRight w:val="0"/>
          <w:marTop w:val="0"/>
          <w:marBottom w:val="0"/>
          <w:divBdr>
            <w:top w:val="none" w:sz="0" w:space="0" w:color="auto"/>
            <w:left w:val="none" w:sz="0" w:space="0" w:color="auto"/>
            <w:bottom w:val="none" w:sz="0" w:space="0" w:color="auto"/>
            <w:right w:val="none" w:sz="0" w:space="0" w:color="auto"/>
          </w:divBdr>
        </w:div>
        <w:div w:id="65224475">
          <w:marLeft w:val="0"/>
          <w:marRight w:val="0"/>
          <w:marTop w:val="0"/>
          <w:marBottom w:val="0"/>
          <w:divBdr>
            <w:top w:val="none" w:sz="0" w:space="0" w:color="auto"/>
            <w:left w:val="none" w:sz="0" w:space="0" w:color="auto"/>
            <w:bottom w:val="none" w:sz="0" w:space="0" w:color="auto"/>
            <w:right w:val="none" w:sz="0" w:space="0" w:color="auto"/>
          </w:divBdr>
        </w:div>
        <w:div w:id="176776741">
          <w:marLeft w:val="0"/>
          <w:marRight w:val="0"/>
          <w:marTop w:val="0"/>
          <w:marBottom w:val="0"/>
          <w:divBdr>
            <w:top w:val="none" w:sz="0" w:space="0" w:color="auto"/>
            <w:left w:val="none" w:sz="0" w:space="0" w:color="auto"/>
            <w:bottom w:val="none" w:sz="0" w:space="0" w:color="auto"/>
            <w:right w:val="none" w:sz="0" w:space="0" w:color="auto"/>
          </w:divBdr>
        </w:div>
        <w:div w:id="810752821">
          <w:marLeft w:val="0"/>
          <w:marRight w:val="0"/>
          <w:marTop w:val="0"/>
          <w:marBottom w:val="0"/>
          <w:divBdr>
            <w:top w:val="none" w:sz="0" w:space="0" w:color="auto"/>
            <w:left w:val="none" w:sz="0" w:space="0" w:color="auto"/>
            <w:bottom w:val="none" w:sz="0" w:space="0" w:color="auto"/>
            <w:right w:val="none" w:sz="0" w:space="0" w:color="auto"/>
          </w:divBdr>
        </w:div>
        <w:div w:id="1489975962">
          <w:marLeft w:val="0"/>
          <w:marRight w:val="0"/>
          <w:marTop w:val="0"/>
          <w:marBottom w:val="0"/>
          <w:divBdr>
            <w:top w:val="none" w:sz="0" w:space="0" w:color="auto"/>
            <w:left w:val="none" w:sz="0" w:space="0" w:color="auto"/>
            <w:bottom w:val="none" w:sz="0" w:space="0" w:color="auto"/>
            <w:right w:val="none" w:sz="0" w:space="0" w:color="auto"/>
          </w:divBdr>
        </w:div>
        <w:div w:id="996038740">
          <w:marLeft w:val="0"/>
          <w:marRight w:val="0"/>
          <w:marTop w:val="0"/>
          <w:marBottom w:val="0"/>
          <w:divBdr>
            <w:top w:val="none" w:sz="0" w:space="0" w:color="auto"/>
            <w:left w:val="none" w:sz="0" w:space="0" w:color="auto"/>
            <w:bottom w:val="none" w:sz="0" w:space="0" w:color="auto"/>
            <w:right w:val="none" w:sz="0" w:space="0" w:color="auto"/>
          </w:divBdr>
        </w:div>
        <w:div w:id="614870121">
          <w:marLeft w:val="0"/>
          <w:marRight w:val="0"/>
          <w:marTop w:val="0"/>
          <w:marBottom w:val="0"/>
          <w:divBdr>
            <w:top w:val="none" w:sz="0" w:space="0" w:color="auto"/>
            <w:left w:val="none" w:sz="0" w:space="0" w:color="auto"/>
            <w:bottom w:val="none" w:sz="0" w:space="0" w:color="auto"/>
            <w:right w:val="none" w:sz="0" w:space="0" w:color="auto"/>
          </w:divBdr>
        </w:div>
        <w:div w:id="1208369827">
          <w:marLeft w:val="0"/>
          <w:marRight w:val="0"/>
          <w:marTop w:val="0"/>
          <w:marBottom w:val="0"/>
          <w:divBdr>
            <w:top w:val="none" w:sz="0" w:space="0" w:color="auto"/>
            <w:left w:val="none" w:sz="0" w:space="0" w:color="auto"/>
            <w:bottom w:val="none" w:sz="0" w:space="0" w:color="auto"/>
            <w:right w:val="none" w:sz="0" w:space="0" w:color="auto"/>
          </w:divBdr>
        </w:div>
        <w:div w:id="351830">
          <w:marLeft w:val="0"/>
          <w:marRight w:val="0"/>
          <w:marTop w:val="0"/>
          <w:marBottom w:val="0"/>
          <w:divBdr>
            <w:top w:val="none" w:sz="0" w:space="0" w:color="auto"/>
            <w:left w:val="none" w:sz="0" w:space="0" w:color="auto"/>
            <w:bottom w:val="none" w:sz="0" w:space="0" w:color="auto"/>
            <w:right w:val="none" w:sz="0" w:space="0" w:color="auto"/>
          </w:divBdr>
        </w:div>
      </w:divsChild>
    </w:div>
    <w:div w:id="1995404079">
      <w:bodyDiv w:val="1"/>
      <w:marLeft w:val="0"/>
      <w:marRight w:val="0"/>
      <w:marTop w:val="0"/>
      <w:marBottom w:val="0"/>
      <w:divBdr>
        <w:top w:val="none" w:sz="0" w:space="0" w:color="auto"/>
        <w:left w:val="none" w:sz="0" w:space="0" w:color="auto"/>
        <w:bottom w:val="none" w:sz="0" w:space="0" w:color="auto"/>
        <w:right w:val="none" w:sz="0" w:space="0" w:color="auto"/>
      </w:divBdr>
      <w:divsChild>
        <w:div w:id="1293973464">
          <w:marLeft w:val="0"/>
          <w:marRight w:val="0"/>
          <w:marTop w:val="0"/>
          <w:marBottom w:val="0"/>
          <w:divBdr>
            <w:top w:val="none" w:sz="0" w:space="0" w:color="auto"/>
            <w:left w:val="none" w:sz="0" w:space="0" w:color="auto"/>
            <w:bottom w:val="none" w:sz="0" w:space="0" w:color="auto"/>
            <w:right w:val="none" w:sz="0" w:space="0" w:color="auto"/>
          </w:divBdr>
        </w:div>
        <w:div w:id="1290092098">
          <w:marLeft w:val="0"/>
          <w:marRight w:val="0"/>
          <w:marTop w:val="0"/>
          <w:marBottom w:val="0"/>
          <w:divBdr>
            <w:top w:val="none" w:sz="0" w:space="0" w:color="auto"/>
            <w:left w:val="none" w:sz="0" w:space="0" w:color="auto"/>
            <w:bottom w:val="none" w:sz="0" w:space="0" w:color="auto"/>
            <w:right w:val="none" w:sz="0" w:space="0" w:color="auto"/>
          </w:divBdr>
        </w:div>
        <w:div w:id="2052994117">
          <w:marLeft w:val="0"/>
          <w:marRight w:val="0"/>
          <w:marTop w:val="0"/>
          <w:marBottom w:val="0"/>
          <w:divBdr>
            <w:top w:val="none" w:sz="0" w:space="0" w:color="auto"/>
            <w:left w:val="none" w:sz="0" w:space="0" w:color="auto"/>
            <w:bottom w:val="none" w:sz="0" w:space="0" w:color="auto"/>
            <w:right w:val="none" w:sz="0" w:space="0" w:color="auto"/>
          </w:divBdr>
        </w:div>
        <w:div w:id="1136727852">
          <w:marLeft w:val="0"/>
          <w:marRight w:val="0"/>
          <w:marTop w:val="0"/>
          <w:marBottom w:val="0"/>
          <w:divBdr>
            <w:top w:val="none" w:sz="0" w:space="0" w:color="auto"/>
            <w:left w:val="none" w:sz="0" w:space="0" w:color="auto"/>
            <w:bottom w:val="none" w:sz="0" w:space="0" w:color="auto"/>
            <w:right w:val="none" w:sz="0" w:space="0" w:color="auto"/>
          </w:divBdr>
        </w:div>
        <w:div w:id="2030255357">
          <w:marLeft w:val="0"/>
          <w:marRight w:val="0"/>
          <w:marTop w:val="0"/>
          <w:marBottom w:val="0"/>
          <w:divBdr>
            <w:top w:val="none" w:sz="0" w:space="0" w:color="auto"/>
            <w:left w:val="none" w:sz="0" w:space="0" w:color="auto"/>
            <w:bottom w:val="none" w:sz="0" w:space="0" w:color="auto"/>
            <w:right w:val="none" w:sz="0" w:space="0" w:color="auto"/>
          </w:divBdr>
        </w:div>
        <w:div w:id="1079672056">
          <w:marLeft w:val="0"/>
          <w:marRight w:val="0"/>
          <w:marTop w:val="0"/>
          <w:marBottom w:val="0"/>
          <w:divBdr>
            <w:top w:val="none" w:sz="0" w:space="0" w:color="auto"/>
            <w:left w:val="none" w:sz="0" w:space="0" w:color="auto"/>
            <w:bottom w:val="none" w:sz="0" w:space="0" w:color="auto"/>
            <w:right w:val="none" w:sz="0" w:space="0" w:color="auto"/>
          </w:divBdr>
        </w:div>
        <w:div w:id="1921332636">
          <w:marLeft w:val="0"/>
          <w:marRight w:val="0"/>
          <w:marTop w:val="0"/>
          <w:marBottom w:val="0"/>
          <w:divBdr>
            <w:top w:val="none" w:sz="0" w:space="0" w:color="auto"/>
            <w:left w:val="none" w:sz="0" w:space="0" w:color="auto"/>
            <w:bottom w:val="none" w:sz="0" w:space="0" w:color="auto"/>
            <w:right w:val="none" w:sz="0" w:space="0" w:color="auto"/>
          </w:divBdr>
        </w:div>
        <w:div w:id="683432999">
          <w:marLeft w:val="0"/>
          <w:marRight w:val="0"/>
          <w:marTop w:val="0"/>
          <w:marBottom w:val="0"/>
          <w:divBdr>
            <w:top w:val="none" w:sz="0" w:space="0" w:color="auto"/>
            <w:left w:val="none" w:sz="0" w:space="0" w:color="auto"/>
            <w:bottom w:val="none" w:sz="0" w:space="0" w:color="auto"/>
            <w:right w:val="none" w:sz="0" w:space="0" w:color="auto"/>
          </w:divBdr>
        </w:div>
        <w:div w:id="2051025175">
          <w:marLeft w:val="0"/>
          <w:marRight w:val="0"/>
          <w:marTop w:val="0"/>
          <w:marBottom w:val="0"/>
          <w:divBdr>
            <w:top w:val="none" w:sz="0" w:space="0" w:color="auto"/>
            <w:left w:val="none" w:sz="0" w:space="0" w:color="auto"/>
            <w:bottom w:val="none" w:sz="0" w:space="0" w:color="auto"/>
            <w:right w:val="none" w:sz="0" w:space="0" w:color="auto"/>
          </w:divBdr>
        </w:div>
        <w:div w:id="1642729878">
          <w:marLeft w:val="0"/>
          <w:marRight w:val="0"/>
          <w:marTop w:val="0"/>
          <w:marBottom w:val="0"/>
          <w:divBdr>
            <w:top w:val="none" w:sz="0" w:space="0" w:color="auto"/>
            <w:left w:val="none" w:sz="0" w:space="0" w:color="auto"/>
            <w:bottom w:val="none" w:sz="0" w:space="0" w:color="auto"/>
            <w:right w:val="none" w:sz="0" w:space="0" w:color="auto"/>
          </w:divBdr>
        </w:div>
        <w:div w:id="1078867713">
          <w:marLeft w:val="0"/>
          <w:marRight w:val="0"/>
          <w:marTop w:val="0"/>
          <w:marBottom w:val="0"/>
          <w:divBdr>
            <w:top w:val="none" w:sz="0" w:space="0" w:color="auto"/>
            <w:left w:val="none" w:sz="0" w:space="0" w:color="auto"/>
            <w:bottom w:val="none" w:sz="0" w:space="0" w:color="auto"/>
            <w:right w:val="none" w:sz="0" w:space="0" w:color="auto"/>
          </w:divBdr>
        </w:div>
        <w:div w:id="1268269449">
          <w:marLeft w:val="0"/>
          <w:marRight w:val="0"/>
          <w:marTop w:val="0"/>
          <w:marBottom w:val="0"/>
          <w:divBdr>
            <w:top w:val="none" w:sz="0" w:space="0" w:color="auto"/>
            <w:left w:val="none" w:sz="0" w:space="0" w:color="auto"/>
            <w:bottom w:val="none" w:sz="0" w:space="0" w:color="auto"/>
            <w:right w:val="none" w:sz="0" w:space="0" w:color="auto"/>
          </w:divBdr>
        </w:div>
        <w:div w:id="1356036533">
          <w:marLeft w:val="0"/>
          <w:marRight w:val="0"/>
          <w:marTop w:val="0"/>
          <w:marBottom w:val="0"/>
          <w:divBdr>
            <w:top w:val="none" w:sz="0" w:space="0" w:color="auto"/>
            <w:left w:val="none" w:sz="0" w:space="0" w:color="auto"/>
            <w:bottom w:val="none" w:sz="0" w:space="0" w:color="auto"/>
            <w:right w:val="none" w:sz="0" w:space="0" w:color="auto"/>
          </w:divBdr>
        </w:div>
        <w:div w:id="1088694991">
          <w:marLeft w:val="0"/>
          <w:marRight w:val="0"/>
          <w:marTop w:val="0"/>
          <w:marBottom w:val="0"/>
          <w:divBdr>
            <w:top w:val="none" w:sz="0" w:space="0" w:color="auto"/>
            <w:left w:val="none" w:sz="0" w:space="0" w:color="auto"/>
            <w:bottom w:val="none" w:sz="0" w:space="0" w:color="auto"/>
            <w:right w:val="none" w:sz="0" w:space="0" w:color="auto"/>
          </w:divBdr>
        </w:div>
        <w:div w:id="1293176082">
          <w:marLeft w:val="0"/>
          <w:marRight w:val="0"/>
          <w:marTop w:val="0"/>
          <w:marBottom w:val="0"/>
          <w:divBdr>
            <w:top w:val="none" w:sz="0" w:space="0" w:color="auto"/>
            <w:left w:val="none" w:sz="0" w:space="0" w:color="auto"/>
            <w:bottom w:val="none" w:sz="0" w:space="0" w:color="auto"/>
            <w:right w:val="none" w:sz="0" w:space="0" w:color="auto"/>
          </w:divBdr>
        </w:div>
        <w:div w:id="1206213682">
          <w:marLeft w:val="0"/>
          <w:marRight w:val="0"/>
          <w:marTop w:val="0"/>
          <w:marBottom w:val="0"/>
          <w:divBdr>
            <w:top w:val="none" w:sz="0" w:space="0" w:color="auto"/>
            <w:left w:val="none" w:sz="0" w:space="0" w:color="auto"/>
            <w:bottom w:val="none" w:sz="0" w:space="0" w:color="auto"/>
            <w:right w:val="none" w:sz="0" w:space="0" w:color="auto"/>
          </w:divBdr>
        </w:div>
        <w:div w:id="308100927">
          <w:marLeft w:val="0"/>
          <w:marRight w:val="0"/>
          <w:marTop w:val="0"/>
          <w:marBottom w:val="0"/>
          <w:divBdr>
            <w:top w:val="none" w:sz="0" w:space="0" w:color="auto"/>
            <w:left w:val="none" w:sz="0" w:space="0" w:color="auto"/>
            <w:bottom w:val="none" w:sz="0" w:space="0" w:color="auto"/>
            <w:right w:val="none" w:sz="0" w:space="0" w:color="auto"/>
          </w:divBdr>
        </w:div>
        <w:div w:id="1622834184">
          <w:marLeft w:val="0"/>
          <w:marRight w:val="0"/>
          <w:marTop w:val="0"/>
          <w:marBottom w:val="0"/>
          <w:divBdr>
            <w:top w:val="none" w:sz="0" w:space="0" w:color="auto"/>
            <w:left w:val="none" w:sz="0" w:space="0" w:color="auto"/>
            <w:bottom w:val="none" w:sz="0" w:space="0" w:color="auto"/>
            <w:right w:val="none" w:sz="0" w:space="0" w:color="auto"/>
          </w:divBdr>
        </w:div>
        <w:div w:id="1931084469">
          <w:marLeft w:val="0"/>
          <w:marRight w:val="0"/>
          <w:marTop w:val="0"/>
          <w:marBottom w:val="0"/>
          <w:divBdr>
            <w:top w:val="none" w:sz="0" w:space="0" w:color="auto"/>
            <w:left w:val="none" w:sz="0" w:space="0" w:color="auto"/>
            <w:bottom w:val="none" w:sz="0" w:space="0" w:color="auto"/>
            <w:right w:val="none" w:sz="0" w:space="0" w:color="auto"/>
          </w:divBdr>
        </w:div>
        <w:div w:id="1858347039">
          <w:marLeft w:val="0"/>
          <w:marRight w:val="0"/>
          <w:marTop w:val="0"/>
          <w:marBottom w:val="0"/>
          <w:divBdr>
            <w:top w:val="none" w:sz="0" w:space="0" w:color="auto"/>
            <w:left w:val="none" w:sz="0" w:space="0" w:color="auto"/>
            <w:bottom w:val="none" w:sz="0" w:space="0" w:color="auto"/>
            <w:right w:val="none" w:sz="0" w:space="0" w:color="auto"/>
          </w:divBdr>
        </w:div>
        <w:div w:id="1196305831">
          <w:marLeft w:val="0"/>
          <w:marRight w:val="0"/>
          <w:marTop w:val="0"/>
          <w:marBottom w:val="0"/>
          <w:divBdr>
            <w:top w:val="none" w:sz="0" w:space="0" w:color="auto"/>
            <w:left w:val="none" w:sz="0" w:space="0" w:color="auto"/>
            <w:bottom w:val="none" w:sz="0" w:space="0" w:color="auto"/>
            <w:right w:val="none" w:sz="0" w:space="0" w:color="auto"/>
          </w:divBdr>
        </w:div>
        <w:div w:id="282669">
          <w:marLeft w:val="0"/>
          <w:marRight w:val="0"/>
          <w:marTop w:val="0"/>
          <w:marBottom w:val="0"/>
          <w:divBdr>
            <w:top w:val="none" w:sz="0" w:space="0" w:color="auto"/>
            <w:left w:val="none" w:sz="0" w:space="0" w:color="auto"/>
            <w:bottom w:val="none" w:sz="0" w:space="0" w:color="auto"/>
            <w:right w:val="none" w:sz="0" w:space="0" w:color="auto"/>
          </w:divBdr>
        </w:div>
        <w:div w:id="2037383580">
          <w:marLeft w:val="0"/>
          <w:marRight w:val="0"/>
          <w:marTop w:val="0"/>
          <w:marBottom w:val="0"/>
          <w:divBdr>
            <w:top w:val="none" w:sz="0" w:space="0" w:color="auto"/>
            <w:left w:val="none" w:sz="0" w:space="0" w:color="auto"/>
            <w:bottom w:val="none" w:sz="0" w:space="0" w:color="auto"/>
            <w:right w:val="none" w:sz="0" w:space="0" w:color="auto"/>
          </w:divBdr>
        </w:div>
        <w:div w:id="936015981">
          <w:marLeft w:val="0"/>
          <w:marRight w:val="0"/>
          <w:marTop w:val="0"/>
          <w:marBottom w:val="0"/>
          <w:divBdr>
            <w:top w:val="none" w:sz="0" w:space="0" w:color="auto"/>
            <w:left w:val="none" w:sz="0" w:space="0" w:color="auto"/>
            <w:bottom w:val="none" w:sz="0" w:space="0" w:color="auto"/>
            <w:right w:val="none" w:sz="0" w:space="0" w:color="auto"/>
          </w:divBdr>
        </w:div>
        <w:div w:id="418598669">
          <w:marLeft w:val="0"/>
          <w:marRight w:val="0"/>
          <w:marTop w:val="0"/>
          <w:marBottom w:val="0"/>
          <w:divBdr>
            <w:top w:val="none" w:sz="0" w:space="0" w:color="auto"/>
            <w:left w:val="none" w:sz="0" w:space="0" w:color="auto"/>
            <w:bottom w:val="none" w:sz="0" w:space="0" w:color="auto"/>
            <w:right w:val="none" w:sz="0" w:space="0" w:color="auto"/>
          </w:divBdr>
        </w:div>
        <w:div w:id="1158837450">
          <w:marLeft w:val="0"/>
          <w:marRight w:val="0"/>
          <w:marTop w:val="0"/>
          <w:marBottom w:val="0"/>
          <w:divBdr>
            <w:top w:val="none" w:sz="0" w:space="0" w:color="auto"/>
            <w:left w:val="none" w:sz="0" w:space="0" w:color="auto"/>
            <w:bottom w:val="none" w:sz="0" w:space="0" w:color="auto"/>
            <w:right w:val="none" w:sz="0" w:space="0" w:color="auto"/>
          </w:divBdr>
        </w:div>
        <w:div w:id="488980376">
          <w:marLeft w:val="0"/>
          <w:marRight w:val="0"/>
          <w:marTop w:val="0"/>
          <w:marBottom w:val="0"/>
          <w:divBdr>
            <w:top w:val="none" w:sz="0" w:space="0" w:color="auto"/>
            <w:left w:val="none" w:sz="0" w:space="0" w:color="auto"/>
            <w:bottom w:val="none" w:sz="0" w:space="0" w:color="auto"/>
            <w:right w:val="none" w:sz="0" w:space="0" w:color="auto"/>
          </w:divBdr>
        </w:div>
        <w:div w:id="915674536">
          <w:marLeft w:val="0"/>
          <w:marRight w:val="0"/>
          <w:marTop w:val="0"/>
          <w:marBottom w:val="0"/>
          <w:divBdr>
            <w:top w:val="none" w:sz="0" w:space="0" w:color="auto"/>
            <w:left w:val="none" w:sz="0" w:space="0" w:color="auto"/>
            <w:bottom w:val="none" w:sz="0" w:space="0" w:color="auto"/>
            <w:right w:val="none" w:sz="0" w:space="0" w:color="auto"/>
          </w:divBdr>
        </w:div>
        <w:div w:id="1826583362">
          <w:marLeft w:val="0"/>
          <w:marRight w:val="0"/>
          <w:marTop w:val="0"/>
          <w:marBottom w:val="0"/>
          <w:divBdr>
            <w:top w:val="none" w:sz="0" w:space="0" w:color="auto"/>
            <w:left w:val="none" w:sz="0" w:space="0" w:color="auto"/>
            <w:bottom w:val="none" w:sz="0" w:space="0" w:color="auto"/>
            <w:right w:val="none" w:sz="0" w:space="0" w:color="auto"/>
          </w:divBdr>
        </w:div>
        <w:div w:id="1212812496">
          <w:marLeft w:val="0"/>
          <w:marRight w:val="0"/>
          <w:marTop w:val="0"/>
          <w:marBottom w:val="0"/>
          <w:divBdr>
            <w:top w:val="none" w:sz="0" w:space="0" w:color="auto"/>
            <w:left w:val="none" w:sz="0" w:space="0" w:color="auto"/>
            <w:bottom w:val="none" w:sz="0" w:space="0" w:color="auto"/>
            <w:right w:val="none" w:sz="0" w:space="0" w:color="auto"/>
          </w:divBdr>
        </w:div>
        <w:div w:id="241450500">
          <w:marLeft w:val="0"/>
          <w:marRight w:val="0"/>
          <w:marTop w:val="0"/>
          <w:marBottom w:val="0"/>
          <w:divBdr>
            <w:top w:val="none" w:sz="0" w:space="0" w:color="auto"/>
            <w:left w:val="none" w:sz="0" w:space="0" w:color="auto"/>
            <w:bottom w:val="none" w:sz="0" w:space="0" w:color="auto"/>
            <w:right w:val="none" w:sz="0" w:space="0" w:color="auto"/>
          </w:divBdr>
        </w:div>
        <w:div w:id="960309794">
          <w:marLeft w:val="0"/>
          <w:marRight w:val="0"/>
          <w:marTop w:val="0"/>
          <w:marBottom w:val="0"/>
          <w:divBdr>
            <w:top w:val="none" w:sz="0" w:space="0" w:color="auto"/>
            <w:left w:val="none" w:sz="0" w:space="0" w:color="auto"/>
            <w:bottom w:val="none" w:sz="0" w:space="0" w:color="auto"/>
            <w:right w:val="none" w:sz="0" w:space="0" w:color="auto"/>
          </w:divBdr>
        </w:div>
        <w:div w:id="1830831739">
          <w:marLeft w:val="0"/>
          <w:marRight w:val="0"/>
          <w:marTop w:val="0"/>
          <w:marBottom w:val="0"/>
          <w:divBdr>
            <w:top w:val="none" w:sz="0" w:space="0" w:color="auto"/>
            <w:left w:val="none" w:sz="0" w:space="0" w:color="auto"/>
            <w:bottom w:val="none" w:sz="0" w:space="0" w:color="auto"/>
            <w:right w:val="none" w:sz="0" w:space="0" w:color="auto"/>
          </w:divBdr>
        </w:div>
        <w:div w:id="1967812510">
          <w:marLeft w:val="0"/>
          <w:marRight w:val="0"/>
          <w:marTop w:val="0"/>
          <w:marBottom w:val="0"/>
          <w:divBdr>
            <w:top w:val="none" w:sz="0" w:space="0" w:color="auto"/>
            <w:left w:val="none" w:sz="0" w:space="0" w:color="auto"/>
            <w:bottom w:val="none" w:sz="0" w:space="0" w:color="auto"/>
            <w:right w:val="none" w:sz="0" w:space="0" w:color="auto"/>
          </w:divBdr>
        </w:div>
        <w:div w:id="528565472">
          <w:marLeft w:val="0"/>
          <w:marRight w:val="0"/>
          <w:marTop w:val="0"/>
          <w:marBottom w:val="0"/>
          <w:divBdr>
            <w:top w:val="none" w:sz="0" w:space="0" w:color="auto"/>
            <w:left w:val="none" w:sz="0" w:space="0" w:color="auto"/>
            <w:bottom w:val="none" w:sz="0" w:space="0" w:color="auto"/>
            <w:right w:val="none" w:sz="0" w:space="0" w:color="auto"/>
          </w:divBdr>
        </w:div>
        <w:div w:id="1438790552">
          <w:marLeft w:val="0"/>
          <w:marRight w:val="0"/>
          <w:marTop w:val="0"/>
          <w:marBottom w:val="0"/>
          <w:divBdr>
            <w:top w:val="none" w:sz="0" w:space="0" w:color="auto"/>
            <w:left w:val="none" w:sz="0" w:space="0" w:color="auto"/>
            <w:bottom w:val="none" w:sz="0" w:space="0" w:color="auto"/>
            <w:right w:val="none" w:sz="0" w:space="0" w:color="auto"/>
          </w:divBdr>
        </w:div>
        <w:div w:id="1935622803">
          <w:marLeft w:val="0"/>
          <w:marRight w:val="0"/>
          <w:marTop w:val="0"/>
          <w:marBottom w:val="0"/>
          <w:divBdr>
            <w:top w:val="none" w:sz="0" w:space="0" w:color="auto"/>
            <w:left w:val="none" w:sz="0" w:space="0" w:color="auto"/>
            <w:bottom w:val="none" w:sz="0" w:space="0" w:color="auto"/>
            <w:right w:val="none" w:sz="0" w:space="0" w:color="auto"/>
          </w:divBdr>
        </w:div>
        <w:div w:id="441219739">
          <w:marLeft w:val="0"/>
          <w:marRight w:val="0"/>
          <w:marTop w:val="0"/>
          <w:marBottom w:val="0"/>
          <w:divBdr>
            <w:top w:val="none" w:sz="0" w:space="0" w:color="auto"/>
            <w:left w:val="none" w:sz="0" w:space="0" w:color="auto"/>
            <w:bottom w:val="none" w:sz="0" w:space="0" w:color="auto"/>
            <w:right w:val="none" w:sz="0" w:space="0" w:color="auto"/>
          </w:divBdr>
        </w:div>
        <w:div w:id="1249002337">
          <w:marLeft w:val="0"/>
          <w:marRight w:val="0"/>
          <w:marTop w:val="0"/>
          <w:marBottom w:val="0"/>
          <w:divBdr>
            <w:top w:val="none" w:sz="0" w:space="0" w:color="auto"/>
            <w:left w:val="none" w:sz="0" w:space="0" w:color="auto"/>
            <w:bottom w:val="none" w:sz="0" w:space="0" w:color="auto"/>
            <w:right w:val="none" w:sz="0" w:space="0" w:color="auto"/>
          </w:divBdr>
        </w:div>
        <w:div w:id="96368500">
          <w:marLeft w:val="0"/>
          <w:marRight w:val="0"/>
          <w:marTop w:val="0"/>
          <w:marBottom w:val="0"/>
          <w:divBdr>
            <w:top w:val="none" w:sz="0" w:space="0" w:color="auto"/>
            <w:left w:val="none" w:sz="0" w:space="0" w:color="auto"/>
            <w:bottom w:val="none" w:sz="0" w:space="0" w:color="auto"/>
            <w:right w:val="none" w:sz="0" w:space="0" w:color="auto"/>
          </w:divBdr>
        </w:div>
        <w:div w:id="1520239686">
          <w:marLeft w:val="0"/>
          <w:marRight w:val="0"/>
          <w:marTop w:val="0"/>
          <w:marBottom w:val="0"/>
          <w:divBdr>
            <w:top w:val="none" w:sz="0" w:space="0" w:color="auto"/>
            <w:left w:val="none" w:sz="0" w:space="0" w:color="auto"/>
            <w:bottom w:val="none" w:sz="0" w:space="0" w:color="auto"/>
            <w:right w:val="none" w:sz="0" w:space="0" w:color="auto"/>
          </w:divBdr>
        </w:div>
        <w:div w:id="2099213101">
          <w:marLeft w:val="0"/>
          <w:marRight w:val="0"/>
          <w:marTop w:val="0"/>
          <w:marBottom w:val="0"/>
          <w:divBdr>
            <w:top w:val="none" w:sz="0" w:space="0" w:color="auto"/>
            <w:left w:val="none" w:sz="0" w:space="0" w:color="auto"/>
            <w:bottom w:val="none" w:sz="0" w:space="0" w:color="auto"/>
            <w:right w:val="none" w:sz="0" w:space="0" w:color="auto"/>
          </w:divBdr>
        </w:div>
        <w:div w:id="561720296">
          <w:marLeft w:val="0"/>
          <w:marRight w:val="0"/>
          <w:marTop w:val="0"/>
          <w:marBottom w:val="0"/>
          <w:divBdr>
            <w:top w:val="none" w:sz="0" w:space="0" w:color="auto"/>
            <w:left w:val="none" w:sz="0" w:space="0" w:color="auto"/>
            <w:bottom w:val="none" w:sz="0" w:space="0" w:color="auto"/>
            <w:right w:val="none" w:sz="0" w:space="0" w:color="auto"/>
          </w:divBdr>
        </w:div>
        <w:div w:id="1855680941">
          <w:marLeft w:val="0"/>
          <w:marRight w:val="0"/>
          <w:marTop w:val="0"/>
          <w:marBottom w:val="0"/>
          <w:divBdr>
            <w:top w:val="none" w:sz="0" w:space="0" w:color="auto"/>
            <w:left w:val="none" w:sz="0" w:space="0" w:color="auto"/>
            <w:bottom w:val="none" w:sz="0" w:space="0" w:color="auto"/>
            <w:right w:val="none" w:sz="0" w:space="0" w:color="auto"/>
          </w:divBdr>
        </w:div>
        <w:div w:id="750279161">
          <w:marLeft w:val="0"/>
          <w:marRight w:val="0"/>
          <w:marTop w:val="0"/>
          <w:marBottom w:val="0"/>
          <w:divBdr>
            <w:top w:val="none" w:sz="0" w:space="0" w:color="auto"/>
            <w:left w:val="none" w:sz="0" w:space="0" w:color="auto"/>
            <w:bottom w:val="none" w:sz="0" w:space="0" w:color="auto"/>
            <w:right w:val="none" w:sz="0" w:space="0" w:color="auto"/>
          </w:divBdr>
        </w:div>
        <w:div w:id="973221312">
          <w:marLeft w:val="0"/>
          <w:marRight w:val="0"/>
          <w:marTop w:val="0"/>
          <w:marBottom w:val="0"/>
          <w:divBdr>
            <w:top w:val="none" w:sz="0" w:space="0" w:color="auto"/>
            <w:left w:val="none" w:sz="0" w:space="0" w:color="auto"/>
            <w:bottom w:val="none" w:sz="0" w:space="0" w:color="auto"/>
            <w:right w:val="none" w:sz="0" w:space="0" w:color="auto"/>
          </w:divBdr>
        </w:div>
        <w:div w:id="941228442">
          <w:marLeft w:val="0"/>
          <w:marRight w:val="0"/>
          <w:marTop w:val="0"/>
          <w:marBottom w:val="0"/>
          <w:divBdr>
            <w:top w:val="none" w:sz="0" w:space="0" w:color="auto"/>
            <w:left w:val="none" w:sz="0" w:space="0" w:color="auto"/>
            <w:bottom w:val="none" w:sz="0" w:space="0" w:color="auto"/>
            <w:right w:val="none" w:sz="0" w:space="0" w:color="auto"/>
          </w:divBdr>
        </w:div>
        <w:div w:id="166793972">
          <w:marLeft w:val="0"/>
          <w:marRight w:val="0"/>
          <w:marTop w:val="0"/>
          <w:marBottom w:val="0"/>
          <w:divBdr>
            <w:top w:val="none" w:sz="0" w:space="0" w:color="auto"/>
            <w:left w:val="none" w:sz="0" w:space="0" w:color="auto"/>
            <w:bottom w:val="none" w:sz="0" w:space="0" w:color="auto"/>
            <w:right w:val="none" w:sz="0" w:space="0" w:color="auto"/>
          </w:divBdr>
        </w:div>
        <w:div w:id="676007706">
          <w:marLeft w:val="0"/>
          <w:marRight w:val="0"/>
          <w:marTop w:val="0"/>
          <w:marBottom w:val="0"/>
          <w:divBdr>
            <w:top w:val="none" w:sz="0" w:space="0" w:color="auto"/>
            <w:left w:val="none" w:sz="0" w:space="0" w:color="auto"/>
            <w:bottom w:val="none" w:sz="0" w:space="0" w:color="auto"/>
            <w:right w:val="none" w:sz="0" w:space="0" w:color="auto"/>
          </w:divBdr>
        </w:div>
        <w:div w:id="1846625603">
          <w:marLeft w:val="0"/>
          <w:marRight w:val="0"/>
          <w:marTop w:val="0"/>
          <w:marBottom w:val="0"/>
          <w:divBdr>
            <w:top w:val="none" w:sz="0" w:space="0" w:color="auto"/>
            <w:left w:val="none" w:sz="0" w:space="0" w:color="auto"/>
            <w:bottom w:val="none" w:sz="0" w:space="0" w:color="auto"/>
            <w:right w:val="none" w:sz="0" w:space="0" w:color="auto"/>
          </w:divBdr>
        </w:div>
        <w:div w:id="115869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beattie@uhs.nhs.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6C2A-1B02-44FA-A999-C9A05EB8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11377</Words>
  <Characters>64850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Ashton J.</cp:lastModifiedBy>
  <cp:revision>10</cp:revision>
  <dcterms:created xsi:type="dcterms:W3CDTF">2018-05-21T06:54:00Z</dcterms:created>
  <dcterms:modified xsi:type="dcterms:W3CDTF">2018-05-21T07:53:00Z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Citation Style_1">
    <vt:lpwstr>http://www.zotero.org/styles/bmj</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http://www.zotero.org/styles/bmj</vt:lpwstr>
  </property>
  <property fmtid="{D5CDD505-2E9C-101B-9397-08002B2CF9AE}" pid="8" name="Mendeley Recent Style Name 1_1">
    <vt:lpwstr>BMJ</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http://www.zotero.org/styles/european-journal-of-paediatric-neurology</vt:lpwstr>
  </property>
  <property fmtid="{D5CDD505-2E9C-101B-9397-08002B2CF9AE}" pid="14" name="Mendeley Recent Style Name 4_1">
    <vt:lpwstr>European Journal of Paediatric Neurology</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