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00832" w14:textId="77777777" w:rsidR="008F3B31" w:rsidRDefault="008F3B31" w:rsidP="007733B9">
      <w:pPr>
        <w:spacing w:line="480" w:lineRule="auto"/>
        <w:rPr>
          <w:b/>
        </w:rPr>
      </w:pPr>
      <w:r>
        <w:rPr>
          <w:b/>
        </w:rPr>
        <w:t>Title</w:t>
      </w:r>
    </w:p>
    <w:p w14:paraId="21F8F811" w14:textId="7D5F22DE" w:rsidR="005C4D92" w:rsidRPr="008F3B31" w:rsidRDefault="005C4D92" w:rsidP="007733B9">
      <w:pPr>
        <w:spacing w:line="480" w:lineRule="auto"/>
      </w:pPr>
      <w:r w:rsidRPr="008F3B31">
        <w:t xml:space="preserve">Return to work recommendations </w:t>
      </w:r>
      <w:r w:rsidR="004129D2">
        <w:t>after</w:t>
      </w:r>
      <w:r w:rsidRPr="008F3B31">
        <w:t xml:space="preserve"> carpal tunnel release: A survey of UK hand surgeons and hand therapists</w:t>
      </w:r>
    </w:p>
    <w:p w14:paraId="67516CDB" w14:textId="77777777" w:rsidR="00B81CE8" w:rsidRDefault="00B81CE8" w:rsidP="007733B9">
      <w:pPr>
        <w:spacing w:line="480" w:lineRule="auto"/>
      </w:pPr>
    </w:p>
    <w:p w14:paraId="31B4C789" w14:textId="61CD8B1C" w:rsidR="00382E4E" w:rsidRDefault="00382E4E" w:rsidP="007733B9">
      <w:pPr>
        <w:spacing w:line="480" w:lineRule="auto"/>
        <w:rPr>
          <w:b/>
        </w:rPr>
      </w:pPr>
      <w:r>
        <w:rPr>
          <w:b/>
        </w:rPr>
        <w:t>Authors</w:t>
      </w:r>
    </w:p>
    <w:p w14:paraId="7F57AE7A" w14:textId="0EC4295C" w:rsidR="00382E4E" w:rsidRDefault="00382E4E" w:rsidP="007733B9">
      <w:pPr>
        <w:spacing w:line="480" w:lineRule="auto"/>
      </w:pPr>
      <w:r>
        <w:t>Lisa Newington</w:t>
      </w:r>
      <w:r w:rsidR="000D24E0">
        <w:t xml:space="preserve"> </w:t>
      </w:r>
      <w:r w:rsidR="000D24E0" w:rsidRPr="008408AD">
        <w:rPr>
          <w:vertAlign w:val="superscript"/>
        </w:rPr>
        <w:t>1, 2</w:t>
      </w:r>
      <w:r w:rsidR="008F3B31">
        <w:rPr>
          <w:vertAlign w:val="superscript"/>
        </w:rPr>
        <w:t xml:space="preserve"> *</w:t>
      </w:r>
      <w:r w:rsidR="008408AD">
        <w:t xml:space="preserve"> </w:t>
      </w:r>
      <w:r w:rsidR="006D25E6">
        <w:t>(</w:t>
      </w:r>
      <w:r w:rsidR="002629E8">
        <w:t>@</w:t>
      </w:r>
      <w:proofErr w:type="spellStart"/>
      <w:r w:rsidR="002629E8">
        <w:t>Lisa_Newington</w:t>
      </w:r>
      <w:proofErr w:type="spellEnd"/>
      <w:r w:rsidR="002629E8">
        <w:t>)</w:t>
      </w:r>
    </w:p>
    <w:p w14:paraId="72D6702C" w14:textId="0DC106A1" w:rsidR="00382E4E" w:rsidRDefault="00382E4E" w:rsidP="007733B9">
      <w:pPr>
        <w:spacing w:line="480" w:lineRule="auto"/>
      </w:pPr>
      <w:r>
        <w:t>Kristin Francis</w:t>
      </w:r>
      <w:r w:rsidR="007733B9">
        <w:t xml:space="preserve"> </w:t>
      </w:r>
      <w:r w:rsidR="00260FAB" w:rsidRPr="008408AD">
        <w:rPr>
          <w:vertAlign w:val="superscript"/>
        </w:rPr>
        <w:t>3</w:t>
      </w:r>
    </w:p>
    <w:p w14:paraId="1E6D1890" w14:textId="2FEBDC63" w:rsidR="000A3F6F" w:rsidRDefault="000A3F6F" w:rsidP="007733B9">
      <w:pPr>
        <w:spacing w:line="480" w:lineRule="auto"/>
      </w:pPr>
      <w:r>
        <w:t xml:space="preserve">Georgia </w:t>
      </w:r>
      <w:proofErr w:type="spellStart"/>
      <w:r>
        <w:t>Ntani</w:t>
      </w:r>
      <w:proofErr w:type="spellEnd"/>
      <w:r w:rsidR="007733B9">
        <w:t xml:space="preserve"> </w:t>
      </w:r>
      <w:r w:rsidR="007733B9" w:rsidRPr="008408AD">
        <w:rPr>
          <w:vertAlign w:val="superscript"/>
        </w:rPr>
        <w:t>1</w:t>
      </w:r>
    </w:p>
    <w:p w14:paraId="31686B20" w14:textId="105224DB" w:rsidR="0006124E" w:rsidRDefault="0006124E" w:rsidP="007733B9">
      <w:pPr>
        <w:spacing w:line="480" w:lineRule="auto"/>
      </w:pPr>
      <w:r>
        <w:t>David Warwick</w:t>
      </w:r>
      <w:r w:rsidR="00260FAB">
        <w:t xml:space="preserve"> </w:t>
      </w:r>
      <w:r w:rsidR="00260FAB" w:rsidRPr="008408AD">
        <w:rPr>
          <w:vertAlign w:val="superscript"/>
        </w:rPr>
        <w:t>4</w:t>
      </w:r>
      <w:r w:rsidR="002629E8">
        <w:t xml:space="preserve"> (@</w:t>
      </w:r>
      <w:proofErr w:type="spellStart"/>
      <w:r w:rsidR="008408AD">
        <w:t>handwrist</w:t>
      </w:r>
      <w:proofErr w:type="spellEnd"/>
      <w:r w:rsidR="008408AD">
        <w:t>)</w:t>
      </w:r>
    </w:p>
    <w:p w14:paraId="60553EB5" w14:textId="78A71486" w:rsidR="00382E4E" w:rsidRDefault="00382E4E" w:rsidP="007733B9">
      <w:pPr>
        <w:spacing w:line="480" w:lineRule="auto"/>
      </w:pPr>
      <w:r>
        <w:t>Jo Adams</w:t>
      </w:r>
      <w:r w:rsidR="007733B9" w:rsidRPr="008408AD">
        <w:rPr>
          <w:vertAlign w:val="superscript"/>
        </w:rPr>
        <w:t xml:space="preserve"> 5</w:t>
      </w:r>
      <w:r w:rsidR="002629E8">
        <w:t xml:space="preserve"> (@</w:t>
      </w:r>
      <w:proofErr w:type="spellStart"/>
      <w:r w:rsidR="002629E8">
        <w:t>JoAdamssoton</w:t>
      </w:r>
      <w:proofErr w:type="spellEnd"/>
      <w:r w:rsidR="002629E8">
        <w:t>)</w:t>
      </w:r>
    </w:p>
    <w:p w14:paraId="403523A2" w14:textId="726EC66F" w:rsidR="00382E4E" w:rsidRDefault="00382E4E" w:rsidP="007733B9">
      <w:pPr>
        <w:spacing w:line="480" w:lineRule="auto"/>
      </w:pPr>
      <w:r>
        <w:t>Karen Walker-Bone</w:t>
      </w:r>
      <w:r w:rsidR="007733B9">
        <w:t xml:space="preserve"> </w:t>
      </w:r>
      <w:r w:rsidR="007733B9" w:rsidRPr="008408AD">
        <w:rPr>
          <w:vertAlign w:val="superscript"/>
        </w:rPr>
        <w:t>1</w:t>
      </w:r>
    </w:p>
    <w:p w14:paraId="565D7A72" w14:textId="77777777" w:rsidR="000D24E0" w:rsidRDefault="000D24E0" w:rsidP="007733B9">
      <w:pPr>
        <w:spacing w:line="480" w:lineRule="auto"/>
      </w:pPr>
    </w:p>
    <w:p w14:paraId="5B2F3902" w14:textId="1CAD312D" w:rsidR="000D24E0" w:rsidRDefault="000D24E0" w:rsidP="007733B9">
      <w:pPr>
        <w:spacing w:line="480" w:lineRule="auto"/>
        <w:rPr>
          <w:b/>
        </w:rPr>
      </w:pPr>
      <w:r>
        <w:rPr>
          <w:b/>
        </w:rPr>
        <w:t>Affiliations</w:t>
      </w:r>
    </w:p>
    <w:p w14:paraId="48528679" w14:textId="5EFDD5E9" w:rsidR="000D24E0" w:rsidRDefault="000D24E0" w:rsidP="007733B9">
      <w:pPr>
        <w:pStyle w:val="ListParagraph"/>
        <w:numPr>
          <w:ilvl w:val="0"/>
          <w:numId w:val="1"/>
        </w:numPr>
        <w:spacing w:line="480" w:lineRule="auto"/>
      </w:pPr>
      <w:r>
        <w:t xml:space="preserve">Arthritis Research UK – MRC Centre for Musculoskeletal Health and Work, MRC </w:t>
      </w:r>
      <w:proofErr w:type="spellStart"/>
      <w:r>
        <w:t>Lifecourse</w:t>
      </w:r>
      <w:proofErr w:type="spellEnd"/>
      <w:r>
        <w:t xml:space="preserve"> Epidemiology Unit, Univer</w:t>
      </w:r>
      <w:r w:rsidR="008408AD">
        <w:t>sity of Southampton</w:t>
      </w:r>
      <w:r>
        <w:t xml:space="preserve">, </w:t>
      </w:r>
      <w:r w:rsidR="0039345E">
        <w:t xml:space="preserve">Southampton General Hospital, </w:t>
      </w:r>
      <w:proofErr w:type="spellStart"/>
      <w:r w:rsidR="0039345E">
        <w:t>Tremona</w:t>
      </w:r>
      <w:proofErr w:type="spellEnd"/>
      <w:r w:rsidR="0039345E">
        <w:t xml:space="preserve"> Road, SO16 6YD, </w:t>
      </w:r>
      <w:r>
        <w:t>UK</w:t>
      </w:r>
    </w:p>
    <w:p w14:paraId="14255401" w14:textId="798C12CD" w:rsidR="000D24E0" w:rsidRDefault="000D24E0" w:rsidP="007733B9">
      <w:pPr>
        <w:pStyle w:val="ListParagraph"/>
        <w:numPr>
          <w:ilvl w:val="0"/>
          <w:numId w:val="1"/>
        </w:numPr>
        <w:spacing w:line="480" w:lineRule="auto"/>
      </w:pPr>
      <w:r>
        <w:t xml:space="preserve">Hand Therapy, Chelsea and Westminster Hospital NHS Foundation Trust, </w:t>
      </w:r>
      <w:r w:rsidR="0039345E">
        <w:t xml:space="preserve">369 Fulham Road, </w:t>
      </w:r>
      <w:r>
        <w:t xml:space="preserve">London, </w:t>
      </w:r>
      <w:r w:rsidR="0039345E">
        <w:t xml:space="preserve">SW19 9NH, </w:t>
      </w:r>
      <w:r>
        <w:t>UK</w:t>
      </w:r>
    </w:p>
    <w:p w14:paraId="752AF1B8" w14:textId="5F8D7207" w:rsidR="007733B9" w:rsidRDefault="007733B9" w:rsidP="007733B9">
      <w:pPr>
        <w:pStyle w:val="ListParagraph"/>
        <w:numPr>
          <w:ilvl w:val="0"/>
          <w:numId w:val="1"/>
        </w:numPr>
        <w:spacing w:line="480" w:lineRule="auto"/>
      </w:pPr>
      <w:r>
        <w:t xml:space="preserve">London Hand and Wrist Unit, </w:t>
      </w:r>
      <w:r w:rsidR="0039345E">
        <w:t xml:space="preserve">Platinum Medical Centre, </w:t>
      </w:r>
      <w:r>
        <w:t xml:space="preserve">HCA Healthcare, </w:t>
      </w:r>
      <w:r w:rsidR="007B0DCC">
        <w:t xml:space="preserve">15-17 Lodge Road, </w:t>
      </w:r>
      <w:r>
        <w:t xml:space="preserve">London, </w:t>
      </w:r>
      <w:r w:rsidR="007B0DCC">
        <w:t xml:space="preserve">NW8 7JA, </w:t>
      </w:r>
      <w:r>
        <w:t>UK</w:t>
      </w:r>
    </w:p>
    <w:p w14:paraId="0C521C07" w14:textId="5A1A2345" w:rsidR="00260FAB" w:rsidRDefault="00260FAB" w:rsidP="007B0DCC">
      <w:pPr>
        <w:pStyle w:val="ListParagraph"/>
        <w:numPr>
          <w:ilvl w:val="0"/>
          <w:numId w:val="1"/>
        </w:numPr>
        <w:spacing w:line="480" w:lineRule="auto"/>
      </w:pPr>
      <w:r>
        <w:t xml:space="preserve">Faculty of Medicine, University of Southampton, </w:t>
      </w:r>
      <w:r w:rsidR="007B0DCC">
        <w:t xml:space="preserve">Southampton General Hospital, </w:t>
      </w:r>
      <w:proofErr w:type="spellStart"/>
      <w:r w:rsidR="007B0DCC">
        <w:t>Tremona</w:t>
      </w:r>
      <w:proofErr w:type="spellEnd"/>
      <w:r w:rsidR="007B0DCC">
        <w:t xml:space="preserve"> Road, SO16 6YD, UK</w:t>
      </w:r>
    </w:p>
    <w:p w14:paraId="1225D579" w14:textId="2C236FC4" w:rsidR="000D24E0" w:rsidRDefault="007733B9" w:rsidP="007733B9">
      <w:pPr>
        <w:pStyle w:val="ListParagraph"/>
        <w:numPr>
          <w:ilvl w:val="0"/>
          <w:numId w:val="1"/>
        </w:numPr>
        <w:spacing w:line="480" w:lineRule="auto"/>
      </w:pPr>
      <w:r>
        <w:t xml:space="preserve">Centre for Innovation and Leadership in Health Sciences, </w:t>
      </w:r>
      <w:r w:rsidR="000D24E0">
        <w:t>Faculty of Health Sciences, Univer</w:t>
      </w:r>
      <w:r w:rsidR="008408AD">
        <w:t>sity of Southampton</w:t>
      </w:r>
      <w:r w:rsidR="000D24E0">
        <w:t>,</w:t>
      </w:r>
      <w:r w:rsidR="00E21119">
        <w:t xml:space="preserve"> University Road, SO17 1BJ,</w:t>
      </w:r>
      <w:r w:rsidR="000D24E0">
        <w:t xml:space="preserve"> UK</w:t>
      </w:r>
    </w:p>
    <w:p w14:paraId="16735709" w14:textId="5E38E52A" w:rsidR="008F3B31" w:rsidRDefault="008F3B31" w:rsidP="007733B9">
      <w:pPr>
        <w:spacing w:line="480" w:lineRule="auto"/>
      </w:pPr>
      <w:r>
        <w:lastRenderedPageBreak/>
        <w:t xml:space="preserve">* Corresponding author: </w:t>
      </w:r>
      <w:hyperlink r:id="rId5" w:history="1">
        <w:r w:rsidRPr="009F4A5E">
          <w:rPr>
            <w:rStyle w:val="Hyperlink"/>
          </w:rPr>
          <w:t>ln@mrc.soton.ac.uk</w:t>
        </w:r>
      </w:hyperlink>
      <w:r>
        <w:t xml:space="preserve"> | 023 8077 7624</w:t>
      </w:r>
      <w:r w:rsidR="006148E3">
        <w:t xml:space="preserve"> </w:t>
      </w:r>
    </w:p>
    <w:p w14:paraId="1EBF7687" w14:textId="77777777" w:rsidR="007733B9" w:rsidRPr="00382E4E" w:rsidRDefault="007733B9" w:rsidP="007733B9">
      <w:pPr>
        <w:spacing w:line="480" w:lineRule="auto"/>
      </w:pPr>
    </w:p>
    <w:p w14:paraId="35F8665D" w14:textId="498D97FF" w:rsidR="00B04394" w:rsidRDefault="00B04394" w:rsidP="007733B9">
      <w:pPr>
        <w:spacing w:line="480" w:lineRule="auto"/>
        <w:rPr>
          <w:b/>
        </w:rPr>
      </w:pPr>
      <w:r>
        <w:rPr>
          <w:b/>
        </w:rPr>
        <w:t>Key words</w:t>
      </w:r>
    </w:p>
    <w:p w14:paraId="157BCDA9" w14:textId="3232E998" w:rsidR="00B04394" w:rsidRPr="00B04394" w:rsidRDefault="00B04394" w:rsidP="007733B9">
      <w:pPr>
        <w:spacing w:line="480" w:lineRule="auto"/>
      </w:pPr>
      <w:r>
        <w:t>Carpal tunnel syndrome; carpal tunnel release; return to work</w:t>
      </w:r>
      <w:r w:rsidR="007733B9">
        <w:t xml:space="preserve">; advice </w:t>
      </w:r>
    </w:p>
    <w:p w14:paraId="4C195B57" w14:textId="77777777" w:rsidR="0028520F" w:rsidRDefault="0028520F" w:rsidP="007733B9">
      <w:pPr>
        <w:spacing w:line="480" w:lineRule="auto"/>
      </w:pPr>
    </w:p>
    <w:p w14:paraId="320BB15E" w14:textId="77777777" w:rsidR="004732EE" w:rsidRDefault="004732EE" w:rsidP="007733B9">
      <w:pPr>
        <w:spacing w:line="480" w:lineRule="auto"/>
        <w:rPr>
          <w:b/>
        </w:rPr>
      </w:pPr>
      <w:r>
        <w:rPr>
          <w:b/>
        </w:rPr>
        <w:t>Ethics approval</w:t>
      </w:r>
    </w:p>
    <w:p w14:paraId="6FF74014" w14:textId="7A2445B2" w:rsidR="004732EE" w:rsidRPr="004732EE" w:rsidRDefault="004732EE" w:rsidP="007733B9">
      <w:pPr>
        <w:spacing w:line="480" w:lineRule="auto"/>
      </w:pPr>
      <w:r>
        <w:t>Full ethical a</w:t>
      </w:r>
      <w:r w:rsidRPr="00B57D89">
        <w:t xml:space="preserve">pproval was granted by the </w:t>
      </w:r>
      <w:r w:rsidRPr="004732EE">
        <w:t>University of Southampton</w:t>
      </w:r>
      <w:r w:rsidRPr="00B57D89">
        <w:t xml:space="preserve"> Faculty of Medicine Ethics Committee (20993) </w:t>
      </w:r>
      <w:r>
        <w:t>with the collaborative agreement of</w:t>
      </w:r>
      <w:r w:rsidRPr="00B57D89">
        <w:t xml:space="preserve"> the clinical associations involved. </w:t>
      </w:r>
    </w:p>
    <w:p w14:paraId="7B62362C" w14:textId="77777777" w:rsidR="004732EE" w:rsidRDefault="004732EE" w:rsidP="007733B9">
      <w:pPr>
        <w:spacing w:line="480" w:lineRule="auto"/>
        <w:rPr>
          <w:b/>
        </w:rPr>
      </w:pPr>
    </w:p>
    <w:p w14:paraId="098D6A5C" w14:textId="05A04156" w:rsidR="0028520F" w:rsidRDefault="0028520F" w:rsidP="007733B9">
      <w:pPr>
        <w:spacing w:line="480" w:lineRule="auto"/>
        <w:rPr>
          <w:b/>
        </w:rPr>
      </w:pPr>
      <w:r w:rsidRPr="0019639D">
        <w:rPr>
          <w:b/>
        </w:rPr>
        <w:t>Funding</w:t>
      </w:r>
      <w:r>
        <w:rPr>
          <w:b/>
        </w:rPr>
        <w:t xml:space="preserve"> </w:t>
      </w:r>
    </w:p>
    <w:p w14:paraId="4E3BB0DF" w14:textId="77777777" w:rsidR="007733B9" w:rsidRDefault="0028520F" w:rsidP="007733B9">
      <w:pPr>
        <w:spacing w:line="480" w:lineRule="auto"/>
        <w:rPr>
          <w:rFonts w:cs="Arial"/>
          <w:color w:val="000000" w:themeColor="text1"/>
          <w:lang w:eastAsia="en-GB"/>
        </w:rPr>
      </w:pPr>
      <w:r>
        <w:t>This work was supported by an NIHR Doctoral Research Fellowship [DRF-2015-08-056</w:t>
      </w:r>
      <w:r w:rsidRPr="005015A8">
        <w:t>].</w:t>
      </w:r>
      <w:r w:rsidR="005015A8" w:rsidRPr="005015A8">
        <w:t xml:space="preserve"> </w:t>
      </w:r>
      <w:r w:rsidR="005015A8" w:rsidRPr="005015A8">
        <w:rPr>
          <w:rFonts w:cs="Arial"/>
          <w:color w:val="000000" w:themeColor="text1"/>
          <w:lang w:eastAsia="en-GB"/>
        </w:rPr>
        <w:t>The views expressed are those of the authors and not necessarily those of the NHS, the NIHR or the Department of Health.</w:t>
      </w:r>
    </w:p>
    <w:p w14:paraId="26F85FD6" w14:textId="77777777" w:rsidR="007733B9" w:rsidRDefault="007733B9" w:rsidP="007733B9">
      <w:pPr>
        <w:spacing w:line="480" w:lineRule="auto"/>
        <w:rPr>
          <w:rFonts w:cs="Arial"/>
          <w:color w:val="000000" w:themeColor="text1"/>
          <w:lang w:eastAsia="en-GB"/>
        </w:rPr>
      </w:pPr>
    </w:p>
    <w:p w14:paraId="74315184" w14:textId="62FD3573" w:rsidR="003F7174" w:rsidRPr="007733B9" w:rsidRDefault="003F7174" w:rsidP="007733B9">
      <w:pPr>
        <w:spacing w:line="480" w:lineRule="auto"/>
        <w:rPr>
          <w:rFonts w:cs="Arial"/>
          <w:color w:val="000000" w:themeColor="text1"/>
          <w:lang w:eastAsia="en-GB"/>
        </w:rPr>
      </w:pPr>
      <w:r w:rsidRPr="0019639D">
        <w:rPr>
          <w:b/>
        </w:rPr>
        <w:t>Conflicts of interest</w:t>
      </w:r>
      <w:r>
        <w:t xml:space="preserve"> </w:t>
      </w:r>
    </w:p>
    <w:p w14:paraId="6DBC846E" w14:textId="2C69DB26" w:rsidR="003F7174" w:rsidRDefault="003F7174" w:rsidP="007733B9">
      <w:pPr>
        <w:spacing w:line="480" w:lineRule="auto"/>
      </w:pPr>
      <w:r>
        <w:t>The authors declare no potential conflicts of interest with respect to the research authorship, and/or publication of this article.</w:t>
      </w:r>
    </w:p>
    <w:p w14:paraId="00706508" w14:textId="77777777" w:rsidR="00382E4E" w:rsidRDefault="00382E4E" w:rsidP="007733B9">
      <w:pPr>
        <w:spacing w:line="480" w:lineRule="auto"/>
      </w:pPr>
    </w:p>
    <w:p w14:paraId="72E08146" w14:textId="20E8C8B1" w:rsidR="00382E4E" w:rsidRDefault="00382E4E" w:rsidP="007733B9">
      <w:pPr>
        <w:spacing w:line="480" w:lineRule="auto"/>
        <w:rPr>
          <w:b/>
        </w:rPr>
      </w:pPr>
      <w:r>
        <w:rPr>
          <w:b/>
        </w:rPr>
        <w:t>Acknowledgements</w:t>
      </w:r>
    </w:p>
    <w:p w14:paraId="69E38356" w14:textId="6CB367D4" w:rsidR="00EF20E1" w:rsidRDefault="00505C6A" w:rsidP="00EF20E1">
      <w:pPr>
        <w:spacing w:line="480" w:lineRule="auto"/>
        <w:sectPr w:rsidR="00EF20E1" w:rsidSect="00A4295E">
          <w:pgSz w:w="11900" w:h="16840"/>
          <w:pgMar w:top="1440" w:right="1440" w:bottom="1440" w:left="1440" w:header="708" w:footer="708" w:gutter="0"/>
          <w:cols w:space="708"/>
          <w:docGrid w:linePitch="360"/>
        </w:sectPr>
      </w:pPr>
      <w:r>
        <w:t>The authors would like to thank</w:t>
      </w:r>
      <w:r w:rsidR="00B11F52">
        <w:t xml:space="preserve"> Professor David Coggon, </w:t>
      </w:r>
      <w:r w:rsidR="00382E4E">
        <w:t xml:space="preserve">Mr Ian </w:t>
      </w:r>
      <w:proofErr w:type="spellStart"/>
      <w:r w:rsidR="00382E4E">
        <w:t>Winspur</w:t>
      </w:r>
      <w:proofErr w:type="spellEnd"/>
      <w:r w:rsidR="00382E4E">
        <w:t xml:space="preserve"> </w:t>
      </w:r>
      <w:r w:rsidR="00B11F52">
        <w:t xml:space="preserve">and Dr Ira Madan </w:t>
      </w:r>
      <w:r w:rsidR="00382E4E">
        <w:t>for their assistance</w:t>
      </w:r>
      <w:r>
        <w:t xml:space="preserve"> in</w:t>
      </w:r>
      <w:r w:rsidR="00382E4E">
        <w:t xml:space="preserve"> developing </w:t>
      </w:r>
      <w:r w:rsidR="00B369C3">
        <w:t xml:space="preserve">and refining </w:t>
      </w:r>
      <w:r w:rsidR="00382E4E">
        <w:t xml:space="preserve">the questionnaire content. </w:t>
      </w:r>
    </w:p>
    <w:p w14:paraId="2ACD5D07" w14:textId="77777777" w:rsidR="00EF20E1" w:rsidRPr="000E71DD" w:rsidRDefault="00EF20E1" w:rsidP="00EF20E1">
      <w:pPr>
        <w:spacing w:line="480" w:lineRule="auto"/>
        <w:jc w:val="center"/>
        <w:rPr>
          <w:b/>
        </w:rPr>
      </w:pPr>
      <w:r>
        <w:rPr>
          <w:b/>
        </w:rPr>
        <w:t>TITLE</w:t>
      </w:r>
    </w:p>
    <w:p w14:paraId="2376A797" w14:textId="77777777" w:rsidR="00EF20E1" w:rsidRDefault="00EF20E1" w:rsidP="00EF20E1">
      <w:pPr>
        <w:spacing w:line="480" w:lineRule="auto"/>
      </w:pPr>
      <w:r w:rsidRPr="000E71DD">
        <w:t xml:space="preserve">Return to work recommendations </w:t>
      </w:r>
      <w:r>
        <w:t xml:space="preserve">after </w:t>
      </w:r>
      <w:r w:rsidRPr="000E71DD">
        <w:t>carpal tunnel release: A survey of UK hand surgeons and hand therapists</w:t>
      </w:r>
    </w:p>
    <w:p w14:paraId="1A0821BA" w14:textId="77777777" w:rsidR="00EF20E1" w:rsidRPr="000E71DD" w:rsidRDefault="00EF20E1" w:rsidP="00EF20E1">
      <w:pPr>
        <w:spacing w:line="480" w:lineRule="auto"/>
        <w:jc w:val="center"/>
        <w:rPr>
          <w:b/>
        </w:rPr>
      </w:pPr>
      <w:r>
        <w:rPr>
          <w:b/>
        </w:rPr>
        <w:t>ABSTRACT</w:t>
      </w:r>
    </w:p>
    <w:p w14:paraId="45029631" w14:textId="77777777" w:rsidR="00EF20E1" w:rsidRDefault="00EF20E1" w:rsidP="00EF20E1">
      <w:pPr>
        <w:spacing w:line="480" w:lineRule="auto"/>
      </w:pPr>
      <w:r w:rsidRPr="0066704E">
        <w:t>The</w:t>
      </w:r>
      <w:bookmarkStart w:id="0" w:name="_GoBack"/>
      <w:bookmarkEnd w:id="0"/>
      <w:r w:rsidRPr="0066704E">
        <w:t xml:space="preserve">re is a limited evidence base </w:t>
      </w:r>
      <w:r>
        <w:t xml:space="preserve">from which to </w:t>
      </w:r>
      <w:r w:rsidRPr="00627348">
        <w:t>derive recommendations for safe and effective</w:t>
      </w:r>
      <w:r>
        <w:t xml:space="preserve"> </w:t>
      </w:r>
      <w:r w:rsidRPr="0066704E">
        <w:t xml:space="preserve">return to different types of occupation after carpal tunnel release surgery. The current practice of members of the British Society for Surgery of the Hand and the British Association of Hand Therapists was investigated </w:t>
      </w:r>
      <w:r>
        <w:t xml:space="preserve">with </w:t>
      </w:r>
      <w:r w:rsidRPr="0066704E">
        <w:t xml:space="preserve">a questionnaire. </w:t>
      </w:r>
      <w:r>
        <w:t xml:space="preserve">In total, </w:t>
      </w:r>
      <w:r w:rsidRPr="0066704E">
        <w:t>173 surgeons and 137 therapists r</w:t>
      </w:r>
      <w:r>
        <w:t xml:space="preserve">esponded </w:t>
      </w:r>
      <w:r w:rsidRPr="00627348">
        <w:t>from an estimated sample of 1,277</w:t>
      </w:r>
      <w:r>
        <w:t>. M</w:t>
      </w:r>
      <w:r w:rsidRPr="0066704E">
        <w:t>edian recommended return to work times were 7 days for desk-based duties, 15 days for repetitive light manual duties and 30 days for heavy manual duties. However, the responses were wide</w:t>
      </w:r>
      <w:r>
        <w:t>-</w:t>
      </w:r>
      <w:r w:rsidRPr="0066704E">
        <w:t>ranging:</w:t>
      </w:r>
      <w:r>
        <w:t xml:space="preserve"> 0-30 days for desk-based</w:t>
      </w:r>
      <w:r w:rsidRPr="0066704E">
        <w:t>; 1-56 days fo</w:t>
      </w:r>
      <w:r>
        <w:t>r repetitive light manual</w:t>
      </w:r>
      <w:r w:rsidRPr="0066704E">
        <w:t>; and 1</w:t>
      </w:r>
      <w:r>
        <w:t xml:space="preserve">-90 days for heavy manual. </w:t>
      </w:r>
      <w:r w:rsidRPr="0066704E">
        <w:t xml:space="preserve">Variation in the </w:t>
      </w:r>
      <w:r>
        <w:t>recommended</w:t>
      </w:r>
      <w:r w:rsidRPr="0066704E">
        <w:t xml:space="preserve"> timescales for return to work and other functional activities after carpal tunnel release suggests that patients are receiving different, po</w:t>
      </w:r>
      <w:r>
        <w:t>ssibly even conflicting, advice.</w:t>
      </w:r>
    </w:p>
    <w:p w14:paraId="0F48A36E" w14:textId="77777777" w:rsidR="00EF20E1" w:rsidRDefault="00EF20E1" w:rsidP="00EF20E1">
      <w:pPr>
        <w:spacing w:line="480" w:lineRule="auto"/>
      </w:pPr>
    </w:p>
    <w:p w14:paraId="70B26D54" w14:textId="77777777" w:rsidR="00EF20E1" w:rsidRDefault="00EF20E1" w:rsidP="00EF20E1">
      <w:pPr>
        <w:spacing w:line="480" w:lineRule="auto"/>
        <w:rPr>
          <w:lang w:val="en-US"/>
        </w:rPr>
        <w:sectPr w:rsidR="00EF20E1" w:rsidSect="000F6D6C">
          <w:footerReference w:type="even" r:id="rId6"/>
          <w:footerReference w:type="default" r:id="rId7"/>
          <w:pgSz w:w="11900" w:h="16840"/>
          <w:pgMar w:top="1134" w:right="1134" w:bottom="1134" w:left="1134" w:header="709" w:footer="709" w:gutter="0"/>
          <w:lnNumType w:countBy="1" w:restart="continuous"/>
          <w:cols w:space="708"/>
          <w:docGrid w:linePitch="360"/>
        </w:sectPr>
      </w:pPr>
      <w:r w:rsidRPr="0037558E">
        <w:rPr>
          <w:b/>
          <w:lang w:val="en-US"/>
        </w:rPr>
        <w:t>Level of evidence:</w:t>
      </w:r>
      <w:r>
        <w:rPr>
          <w:lang w:val="en-US"/>
        </w:rPr>
        <w:t xml:space="preserve"> V</w:t>
      </w:r>
    </w:p>
    <w:p w14:paraId="08191C77" w14:textId="77777777" w:rsidR="00EF20E1" w:rsidRPr="00B57D89" w:rsidRDefault="00EF20E1" w:rsidP="00EF20E1">
      <w:pPr>
        <w:spacing w:line="480" w:lineRule="auto"/>
        <w:jc w:val="center"/>
        <w:outlineLvl w:val="0"/>
      </w:pPr>
      <w:r w:rsidRPr="00B57D89">
        <w:rPr>
          <w:b/>
        </w:rPr>
        <w:t xml:space="preserve">INTRODUCTION </w:t>
      </w:r>
    </w:p>
    <w:p w14:paraId="4665B8E7" w14:textId="77777777" w:rsidR="00EF20E1" w:rsidRDefault="00EF20E1" w:rsidP="00EF20E1">
      <w:pPr>
        <w:spacing w:line="480" w:lineRule="auto"/>
      </w:pPr>
      <w:r>
        <w:t xml:space="preserve">To date, there is a limited evidence base from which to advise patients when they should aim to return to work (RTW), or other activities, after carpal tunnel release (CTR). The Royal College of Surgeons’ (RCS) patient guide “Helping you make a speedy recovery after carpal tunnel release” suggests timescales for return to different occupations, including: supervisory and managerial roles (7-14 days); light manual roles (14-28 days); heavy manual, rescue or custodial roles (42-70 days) (Royal College of Surgeons, 2014). However, it is not clear how these timescales were derived, or whether clinicians in the UK refer to this guidance when providing advice for patients. </w:t>
      </w:r>
    </w:p>
    <w:p w14:paraId="47734E2F" w14:textId="77777777" w:rsidR="00EF20E1" w:rsidRDefault="00EF20E1" w:rsidP="00EF20E1">
      <w:pPr>
        <w:spacing w:line="480" w:lineRule="auto"/>
      </w:pPr>
    </w:p>
    <w:p w14:paraId="2D8B39DE" w14:textId="77777777" w:rsidR="00EF20E1" w:rsidRDefault="00EF20E1" w:rsidP="00EF20E1">
      <w:pPr>
        <w:spacing w:line="480" w:lineRule="auto"/>
      </w:pPr>
      <w:r>
        <w:t xml:space="preserve">There is evidence that RTW times </w:t>
      </w:r>
      <w:r w:rsidRPr="00B57D89">
        <w:t xml:space="preserve">vary </w:t>
      </w:r>
      <w:r>
        <w:t xml:space="preserve">widely, with mean post-operative work absence </w:t>
      </w:r>
      <w:r w:rsidRPr="00B57D89">
        <w:t xml:space="preserve">ranging from a few days to several months </w:t>
      </w:r>
      <w:r>
        <w:rPr>
          <w:noProof/>
        </w:rPr>
        <w:t>(Newington et al., 2015)</w:t>
      </w:r>
      <w:r w:rsidRPr="00B57D89">
        <w:t xml:space="preserve">. The reasons for </w:t>
      </w:r>
      <w:r>
        <w:t xml:space="preserve">this variation appear to be complex and include both individual and work-related factors </w:t>
      </w:r>
      <w:r>
        <w:rPr>
          <w:noProof/>
        </w:rPr>
        <w:t>(Peters et al., 2016)</w:t>
      </w:r>
      <w:r w:rsidRPr="00B57D89">
        <w:t xml:space="preserve">. The role of surgeon-recommended </w:t>
      </w:r>
      <w:r>
        <w:t>RTW</w:t>
      </w:r>
      <w:r w:rsidRPr="00B57D89">
        <w:t xml:space="preserve"> times after CTR </w:t>
      </w:r>
      <w:r>
        <w:t>has been</w:t>
      </w:r>
      <w:r w:rsidRPr="00B57D89">
        <w:t xml:space="preserve"> explored in one small study </w:t>
      </w:r>
      <w:r>
        <w:rPr>
          <w:noProof/>
        </w:rPr>
        <w:t>(Ratzon et al., 2006)</w:t>
      </w:r>
      <w:r w:rsidRPr="00B57D89">
        <w:t xml:space="preserve">. </w:t>
      </w:r>
      <w:r>
        <w:t>It was found that p</w:t>
      </w:r>
      <w:r w:rsidRPr="00B57D89">
        <w:t>atients did not always follow their surgeon</w:t>
      </w:r>
      <w:r>
        <w:t>’</w:t>
      </w:r>
      <w:r w:rsidRPr="00B57D89">
        <w:t>s advice (6% returned</w:t>
      </w:r>
      <w:r>
        <w:t xml:space="preserve"> 1</w:t>
      </w:r>
      <w:r w:rsidRPr="00B57D89">
        <w:t xml:space="preserve"> week earlier than recommended</w:t>
      </w:r>
      <w:r>
        <w:t xml:space="preserve"> </w:t>
      </w:r>
      <w:r w:rsidRPr="00B57D89">
        <w:t xml:space="preserve">and 28% returned at least </w:t>
      </w:r>
      <w:r>
        <w:t>1</w:t>
      </w:r>
      <w:r w:rsidRPr="00B57D89">
        <w:t xml:space="preserve"> week later); however, surgeon</w:t>
      </w:r>
      <w:r>
        <w:t xml:space="preserve">s’ </w:t>
      </w:r>
      <w:r w:rsidRPr="00B57D89">
        <w:t xml:space="preserve">recommendations were a strong predictor of delayed </w:t>
      </w:r>
      <w:r>
        <w:t>RTW</w:t>
      </w:r>
      <w:r w:rsidRPr="00B57D89">
        <w:t>, defined as &gt;21</w:t>
      </w:r>
      <w:r>
        <w:t xml:space="preserve"> days (Odds ratio: 30.5; 95% CI 3.2 to 288)</w:t>
      </w:r>
      <w:r w:rsidRPr="00B57D89">
        <w:t>.</w:t>
      </w:r>
      <w:r>
        <w:t xml:space="preserve"> </w:t>
      </w:r>
    </w:p>
    <w:p w14:paraId="5137B67D" w14:textId="77777777" w:rsidR="00EF20E1" w:rsidRDefault="00EF20E1" w:rsidP="00EF20E1">
      <w:pPr>
        <w:spacing w:line="480" w:lineRule="auto"/>
      </w:pPr>
    </w:p>
    <w:p w14:paraId="6160C621" w14:textId="77777777" w:rsidR="00EF20E1" w:rsidRDefault="00EF20E1" w:rsidP="00EF20E1">
      <w:pPr>
        <w:spacing w:line="480" w:lineRule="auto"/>
      </w:pPr>
      <w:r w:rsidRPr="00990616">
        <w:t xml:space="preserve">The purpose of this study was to investigate the RTW recommendations of practising clinicians </w:t>
      </w:r>
    </w:p>
    <w:p w14:paraId="589DCF55" w14:textId="77777777" w:rsidR="00EF20E1" w:rsidRPr="00B57D89" w:rsidRDefault="00EF20E1" w:rsidP="00EF20E1">
      <w:pPr>
        <w:spacing w:line="480" w:lineRule="auto"/>
      </w:pPr>
      <w:proofErr w:type="gramStart"/>
      <w:r>
        <w:t>for</w:t>
      </w:r>
      <w:proofErr w:type="gramEnd"/>
      <w:r>
        <w:t xml:space="preserve"> patients undergoing CTR. </w:t>
      </w:r>
    </w:p>
    <w:p w14:paraId="3927C692" w14:textId="77777777" w:rsidR="00EF20E1" w:rsidRPr="00B57D89" w:rsidRDefault="00EF20E1" w:rsidP="00EF20E1">
      <w:pPr>
        <w:spacing w:line="480" w:lineRule="auto"/>
      </w:pPr>
    </w:p>
    <w:p w14:paraId="45F9AEF2" w14:textId="77777777" w:rsidR="00EF20E1" w:rsidRPr="00B57D89" w:rsidRDefault="00EF20E1" w:rsidP="00EF20E1">
      <w:pPr>
        <w:spacing w:line="480" w:lineRule="auto"/>
        <w:jc w:val="center"/>
        <w:outlineLvl w:val="0"/>
        <w:rPr>
          <w:b/>
        </w:rPr>
      </w:pPr>
      <w:r w:rsidRPr="00B57D89">
        <w:rPr>
          <w:b/>
        </w:rPr>
        <w:t>METHODS</w:t>
      </w:r>
    </w:p>
    <w:p w14:paraId="16B966F0" w14:textId="77777777" w:rsidR="00EF20E1" w:rsidRPr="00B57D89" w:rsidRDefault="00EF20E1" w:rsidP="00EF20E1">
      <w:pPr>
        <w:spacing w:line="480" w:lineRule="auto"/>
      </w:pPr>
      <w:r>
        <w:t>This survey of</w:t>
      </w:r>
      <w:r w:rsidRPr="00B57D89">
        <w:t xml:space="preserve"> practice </w:t>
      </w:r>
      <w:r>
        <w:t xml:space="preserve">was </w:t>
      </w:r>
      <w:r w:rsidRPr="00B57D89">
        <w:t xml:space="preserve">conducted </w:t>
      </w:r>
      <w:r>
        <w:t>among</w:t>
      </w:r>
      <w:r w:rsidRPr="00B57D89">
        <w:t xml:space="preserve"> m</w:t>
      </w:r>
      <w:r>
        <w:t>embers of the British Society for</w:t>
      </w:r>
      <w:r w:rsidRPr="00B57D89">
        <w:t xml:space="preserve"> Surgery of the Hand (BSSH), the Association of Surgeons in Primary </w:t>
      </w:r>
      <w:r>
        <w:t xml:space="preserve">Care, the Reconstructive Surgical Trials Network </w:t>
      </w:r>
      <w:r w:rsidRPr="00B57D89">
        <w:t>and the British Associa</w:t>
      </w:r>
      <w:r>
        <w:t>tion of Hand Therapists (BAHT). Q</w:t>
      </w:r>
      <w:r w:rsidRPr="00B57D89">
        <w:t xml:space="preserve">uestionnaires were circulated </w:t>
      </w:r>
      <w:r>
        <w:t xml:space="preserve">electronically </w:t>
      </w:r>
      <w:r w:rsidRPr="00B57D89">
        <w:t>in N</w:t>
      </w:r>
      <w:r>
        <w:t>ovember-December 2016</w:t>
      </w:r>
      <w:r w:rsidRPr="00B57D89">
        <w:t xml:space="preserve">. A reminder email was </w:t>
      </w:r>
      <w:r>
        <w:t>sent</w:t>
      </w:r>
      <w:r w:rsidRPr="00B57D89">
        <w:t xml:space="preserve"> 10-14 days </w:t>
      </w:r>
      <w:r>
        <w:t>later</w:t>
      </w:r>
      <w:r w:rsidRPr="00B57D89">
        <w:t xml:space="preserve">. In addition, printed </w:t>
      </w:r>
      <w:r>
        <w:t xml:space="preserve">versions of the </w:t>
      </w:r>
      <w:r w:rsidRPr="00B57D89">
        <w:t>questionnaire were distributed at the 2016 BSSH/BAHT Autumn Scientific Meeting</w:t>
      </w:r>
      <w:r>
        <w:t xml:space="preserve"> by </w:t>
      </w:r>
      <w:r w:rsidRPr="00627348">
        <w:t>LN and DW</w:t>
      </w:r>
      <w:r>
        <w:t xml:space="preserve">. </w:t>
      </w:r>
      <w:r w:rsidRPr="00B57D89">
        <w:t>Questionnaire content was developed in collaboration with clinicians specialising in hand surgery, hand therapy and occupational health</w:t>
      </w:r>
      <w:r>
        <w:t>,</w:t>
      </w:r>
      <w:r w:rsidRPr="00B57D89">
        <w:t xml:space="preserve"> and was piloted with </w:t>
      </w:r>
      <w:r>
        <w:t xml:space="preserve">five </w:t>
      </w:r>
      <w:r w:rsidRPr="00B57D89">
        <w:t>practi</w:t>
      </w:r>
      <w:r>
        <w:t>s</w:t>
      </w:r>
      <w:r w:rsidRPr="00B57D89">
        <w:t xml:space="preserve">ing hand surgeons and therapists. </w:t>
      </w:r>
      <w:r>
        <w:t xml:space="preserve">The final anonymous questionnaire asked respondents to </w:t>
      </w:r>
      <w:r w:rsidRPr="00B57D89">
        <w:t>answer in terms of their own clinical practice in the previous 12 months</w:t>
      </w:r>
      <w:r>
        <w:t xml:space="preserve"> (Appendix A, available online)</w:t>
      </w:r>
      <w:r w:rsidRPr="00B57D89">
        <w:t xml:space="preserve">. </w:t>
      </w:r>
      <w:r>
        <w:t>A</w:t>
      </w:r>
      <w:r w:rsidRPr="00B57D89">
        <w:t xml:space="preserve">pproval was granted by the </w:t>
      </w:r>
      <w:r w:rsidRPr="00627348">
        <w:t xml:space="preserve">University </w:t>
      </w:r>
      <w:proofErr w:type="gramStart"/>
      <w:r w:rsidRPr="00627348">
        <w:t>of Southampton Faculty of</w:t>
      </w:r>
      <w:proofErr w:type="gramEnd"/>
      <w:r w:rsidRPr="00627348">
        <w:t xml:space="preserve"> Medicine</w:t>
      </w:r>
      <w:r w:rsidRPr="00B57D89">
        <w:t xml:space="preserve"> Ethics Committee (20993) </w:t>
      </w:r>
      <w:r>
        <w:t>with the collaborative agreement of</w:t>
      </w:r>
      <w:r w:rsidRPr="00B57D89">
        <w:t xml:space="preserve"> the clinical associations involved. </w:t>
      </w:r>
    </w:p>
    <w:p w14:paraId="61AEC3AD" w14:textId="77777777" w:rsidR="00EF20E1" w:rsidRDefault="00EF20E1" w:rsidP="00EF20E1">
      <w:pPr>
        <w:spacing w:line="480" w:lineRule="auto"/>
      </w:pPr>
    </w:p>
    <w:p w14:paraId="0895B06C" w14:textId="77777777" w:rsidR="00EF20E1" w:rsidRPr="00627348" w:rsidRDefault="00EF20E1" w:rsidP="00EF20E1">
      <w:pPr>
        <w:spacing w:line="480" w:lineRule="auto"/>
        <w:rPr>
          <w:b/>
        </w:rPr>
      </w:pPr>
      <w:r w:rsidRPr="00627348">
        <w:rPr>
          <w:b/>
        </w:rPr>
        <w:t>Statistical methods</w:t>
      </w:r>
    </w:p>
    <w:p w14:paraId="719DDA46" w14:textId="77777777" w:rsidR="00EF20E1" w:rsidRPr="002A7D99" w:rsidRDefault="00EF20E1" w:rsidP="00EF20E1">
      <w:pPr>
        <w:spacing w:line="480" w:lineRule="auto"/>
      </w:pPr>
      <w:r w:rsidRPr="00B57D89">
        <w:t xml:space="preserve">Primary </w:t>
      </w:r>
      <w:r>
        <w:t xml:space="preserve">statistical </w:t>
      </w:r>
      <w:r w:rsidRPr="00B57D89">
        <w:t>analyses were descriptive. Data</w:t>
      </w:r>
      <w:r>
        <w:t xml:space="preserve"> for recommended RTW </w:t>
      </w:r>
      <w:r w:rsidRPr="00B57D89">
        <w:t xml:space="preserve">times were not normally distributed and therefore </w:t>
      </w:r>
      <w:r>
        <w:t xml:space="preserve">the </w:t>
      </w:r>
      <w:r w:rsidRPr="00B57D89">
        <w:t xml:space="preserve">Wilcoxon rank-sum test was used to </w:t>
      </w:r>
      <w:r>
        <w:t xml:space="preserve">explore </w:t>
      </w:r>
      <w:r w:rsidRPr="00B57D89">
        <w:t xml:space="preserve">differences between </w:t>
      </w:r>
      <w:r>
        <w:t xml:space="preserve">the hand </w:t>
      </w:r>
      <w:r w:rsidRPr="00E037BE">
        <w:t>surgery</w:t>
      </w:r>
      <w:r>
        <w:t xml:space="preserve"> and </w:t>
      </w:r>
      <w:r w:rsidRPr="00E037BE">
        <w:t>therapy groups</w:t>
      </w:r>
      <w:r>
        <w:t xml:space="preserve">. </w:t>
      </w:r>
      <w:r w:rsidRPr="00627348">
        <w:t xml:space="preserve">Statistical significance was set at the </w:t>
      </w:r>
      <w:r w:rsidRPr="00627348">
        <w:rPr>
          <w:i/>
        </w:rPr>
        <w:t>p</w:t>
      </w:r>
      <w:r w:rsidRPr="00627348">
        <w:t>&gt;0.05 level</w:t>
      </w:r>
      <w:r>
        <w:t xml:space="preserve">. </w:t>
      </w:r>
      <w:r w:rsidRPr="009A7B43">
        <w:t>Responses to the open-ended question were categorised independently and agreed by two researchers (</w:t>
      </w:r>
      <w:r w:rsidRPr="00627348">
        <w:t>LN and KF</w:t>
      </w:r>
      <w:r w:rsidRPr="009A7B43">
        <w:t>).</w:t>
      </w:r>
    </w:p>
    <w:p w14:paraId="4FCBB4BA" w14:textId="77777777" w:rsidR="00EF20E1" w:rsidRPr="00B57D89" w:rsidRDefault="00EF20E1" w:rsidP="00EF20E1">
      <w:pPr>
        <w:spacing w:line="480" w:lineRule="auto"/>
      </w:pPr>
    </w:p>
    <w:p w14:paraId="54E122CE" w14:textId="77777777" w:rsidR="00EF20E1" w:rsidRPr="00B57D89" w:rsidRDefault="00EF20E1" w:rsidP="00EF20E1">
      <w:pPr>
        <w:spacing w:line="480" w:lineRule="auto"/>
        <w:jc w:val="center"/>
        <w:outlineLvl w:val="0"/>
        <w:rPr>
          <w:b/>
        </w:rPr>
      </w:pPr>
      <w:r w:rsidRPr="00B57D89">
        <w:rPr>
          <w:b/>
        </w:rPr>
        <w:t>RESULTS</w:t>
      </w:r>
    </w:p>
    <w:p w14:paraId="5C010D81" w14:textId="77777777" w:rsidR="00EF20E1" w:rsidRPr="006C3229" w:rsidRDefault="00EF20E1" w:rsidP="00EF20E1">
      <w:pPr>
        <w:spacing w:line="480" w:lineRule="auto"/>
      </w:pPr>
      <w:r w:rsidRPr="00B57D89">
        <w:t>One hundred and seventy-three surgeons and 137 therapis</w:t>
      </w:r>
      <w:r>
        <w:t xml:space="preserve">ts completed the questionnaire. </w:t>
      </w:r>
      <w:r w:rsidRPr="00627348">
        <w:t>The estimated number of clinicians who were invited to participate was 1,277 surgeons and 682 therapists</w:t>
      </w:r>
      <w:r>
        <w:t>, yi</w:t>
      </w:r>
      <w:r w:rsidRPr="00A028B0">
        <w:t>elding</w:t>
      </w:r>
      <w:r w:rsidRPr="00B57D89">
        <w:t xml:space="preserve"> response rates of 13.5% and 20.1%, respectively. </w:t>
      </w:r>
      <w:r>
        <w:t xml:space="preserve">Thirty-eight clinicians </w:t>
      </w:r>
      <w:r w:rsidRPr="00B57D89">
        <w:t>were excluded from the final analysis bec</w:t>
      </w:r>
      <w:r>
        <w:t>ause they had either not</w:t>
      </w:r>
      <w:r w:rsidRPr="00B57D89">
        <w:t xml:space="preserve"> treated any CTR patients who were workers in the previous 12 months, or did not practi</w:t>
      </w:r>
      <w:r>
        <w:t>s</w:t>
      </w:r>
      <w:r w:rsidRPr="00B57D89">
        <w:t xml:space="preserve">e in the UK. </w:t>
      </w:r>
      <w:r>
        <w:t xml:space="preserve">The majority of surgical respondents (84%) were at consultant level; only eight surgeons were based in primary care. The majority of therapists were at senior and clinical specialist grades (68%) and were divided into occupational therapists (60%) and physiotherapists (40%). Sixty-eight percent of surgeons and 28% of therapists worked in private practice at least some of the time. The predominant CTR method was the mini open incision (77% of surgeons). </w:t>
      </w:r>
    </w:p>
    <w:p w14:paraId="2F6FF172" w14:textId="77777777" w:rsidR="00EF20E1" w:rsidRDefault="00EF20E1" w:rsidP="00EF20E1">
      <w:pPr>
        <w:spacing w:line="480" w:lineRule="auto"/>
      </w:pPr>
    </w:p>
    <w:p w14:paraId="748E653F" w14:textId="77777777" w:rsidR="00EF20E1" w:rsidRPr="00B57D89" w:rsidRDefault="00EF20E1" w:rsidP="00EF20E1">
      <w:pPr>
        <w:spacing w:line="480" w:lineRule="auto"/>
        <w:outlineLvl w:val="0"/>
        <w:rPr>
          <w:b/>
        </w:rPr>
      </w:pPr>
      <w:r w:rsidRPr="00B57D89">
        <w:rPr>
          <w:b/>
        </w:rPr>
        <w:t>Return to work times</w:t>
      </w:r>
    </w:p>
    <w:p w14:paraId="15CF22FE" w14:textId="77777777" w:rsidR="00EF20E1" w:rsidRPr="00B57D89" w:rsidRDefault="00EF20E1" w:rsidP="00EF20E1">
      <w:pPr>
        <w:spacing w:line="480" w:lineRule="auto"/>
      </w:pPr>
      <w:r w:rsidRPr="00B57D89">
        <w:t>Respondents were asked t</w:t>
      </w:r>
      <w:r>
        <w:t>o report the earliest time</w:t>
      </w:r>
      <w:r w:rsidRPr="00B57D89">
        <w:t xml:space="preserve"> after CTR that they advised </w:t>
      </w:r>
      <w:r>
        <w:t xml:space="preserve">their patients to </w:t>
      </w:r>
      <w:r w:rsidRPr="00B57D89">
        <w:t xml:space="preserve">return to </w:t>
      </w:r>
      <w:r>
        <w:t xml:space="preserve">three different types of work: </w:t>
      </w:r>
      <w:r w:rsidRPr="00627348">
        <w:t>desk-based duties (e.g. keyboard, mouse, writing, telephone); repetitive light manual duties (e.g. driving, delivery, stacking); and heavy manual duties (e.g. construction).</w:t>
      </w:r>
      <w:r w:rsidRPr="004E3457">
        <w:t xml:space="preserve"> </w:t>
      </w:r>
      <w:r w:rsidRPr="00627348">
        <w:t>Recommended RTW times are shown in Table 1</w:t>
      </w:r>
      <w:r w:rsidRPr="00B57D89">
        <w:t xml:space="preserve">. </w:t>
      </w:r>
      <w:r>
        <w:t>For each of these work types</w:t>
      </w:r>
      <w:r w:rsidRPr="00B57D89">
        <w:t xml:space="preserve">, clinicians who reported treating more than 70 CTR patients in the previous 12 months </w:t>
      </w:r>
      <w:r>
        <w:t xml:space="preserve">(one to two patients per week) </w:t>
      </w:r>
      <w:r w:rsidRPr="00B57D89">
        <w:t xml:space="preserve">recommended earlier </w:t>
      </w:r>
      <w:r>
        <w:t>RTW</w:t>
      </w:r>
      <w:r w:rsidRPr="00B57D89">
        <w:t xml:space="preserve"> times tha</w:t>
      </w:r>
      <w:r>
        <w:t>n those treating fewer patients</w:t>
      </w:r>
      <w:r w:rsidRPr="00B57D89">
        <w:t>.</w:t>
      </w:r>
    </w:p>
    <w:p w14:paraId="467E1C8D" w14:textId="77777777" w:rsidR="00EF20E1" w:rsidRPr="00B57D89" w:rsidRDefault="00EF20E1" w:rsidP="00EF20E1">
      <w:pPr>
        <w:spacing w:line="480" w:lineRule="auto"/>
      </w:pPr>
    </w:p>
    <w:p w14:paraId="6F1A227D" w14:textId="77777777" w:rsidR="00EF20E1" w:rsidRPr="00B57D89" w:rsidRDefault="00EF20E1" w:rsidP="00EF20E1">
      <w:pPr>
        <w:spacing w:line="480" w:lineRule="auto"/>
        <w:outlineLvl w:val="0"/>
        <w:rPr>
          <w:b/>
        </w:rPr>
      </w:pPr>
      <w:r w:rsidRPr="00B57D89">
        <w:rPr>
          <w:b/>
        </w:rPr>
        <w:t xml:space="preserve">Return to work recommendations </w:t>
      </w:r>
    </w:p>
    <w:p w14:paraId="58AA0A5F" w14:textId="77777777" w:rsidR="00EF20E1" w:rsidRPr="00EE6954" w:rsidRDefault="00EF20E1" w:rsidP="00EF20E1">
      <w:pPr>
        <w:spacing w:line="480" w:lineRule="auto"/>
      </w:pPr>
      <w:r w:rsidRPr="00B57D89">
        <w:t>One hund</w:t>
      </w:r>
      <w:r>
        <w:t>red and twenty-six surgeons (82</w:t>
      </w:r>
      <w:r w:rsidRPr="00B57D89">
        <w:t xml:space="preserve">%) and 94 therapists (80%) </w:t>
      </w:r>
      <w:r>
        <w:t xml:space="preserve">responded to an open question: </w:t>
      </w:r>
      <w:r w:rsidRPr="001E549D">
        <w:rPr>
          <w:i/>
        </w:rPr>
        <w:t>what do you recommend for patients returning to work after carpal tunnel release</w:t>
      </w:r>
      <w:r>
        <w:t xml:space="preserve">? </w:t>
      </w:r>
      <w:r w:rsidRPr="00627348">
        <w:t>Wound healing was discussed by 39 surgeons (31%) and 31 therapists (33%) with advice to limit function to clean and/or dry activities until healed. Forty-three surgeons (34%) and 51 therapists (54%) advised avoiding activities that might aggravate the surgical site, such as heavy gripping or weight-bearing through the hand. The recommended duration over which these activities should be avoided ranged from 2-6 weeks. A smaller number of responders, 38 surgeons (30%) and 12 therapists (13%), gave advice about commuting to work. The suggested timescales for resuming driving ranged from the day of surgery to 6 weeks post-operatively. Fifty-three surgeons (42%) and 29 therapists (31%) reported that their advice was dependent on the patient’s individual circumstances, although only seven surgeons and six therapists reported involving the patients’ employers in the RTW decision-making.</w:t>
      </w:r>
      <w:r>
        <w:t xml:space="preserve"> </w:t>
      </w:r>
    </w:p>
    <w:p w14:paraId="0E5CCD2F" w14:textId="77777777" w:rsidR="00EF20E1" w:rsidRDefault="00EF20E1" w:rsidP="00EF20E1">
      <w:pPr>
        <w:spacing w:line="480" w:lineRule="auto"/>
        <w:jc w:val="center"/>
        <w:outlineLvl w:val="0"/>
        <w:rPr>
          <w:b/>
        </w:rPr>
      </w:pPr>
    </w:p>
    <w:p w14:paraId="1938426B" w14:textId="77777777" w:rsidR="00EF20E1" w:rsidRPr="00CE3ED2" w:rsidRDefault="00EF20E1" w:rsidP="00EF20E1">
      <w:pPr>
        <w:spacing w:line="480" w:lineRule="auto"/>
        <w:jc w:val="center"/>
        <w:outlineLvl w:val="0"/>
        <w:rPr>
          <w:b/>
        </w:rPr>
      </w:pPr>
      <w:r>
        <w:rPr>
          <w:b/>
        </w:rPr>
        <w:t xml:space="preserve">DISCUSSION </w:t>
      </w:r>
    </w:p>
    <w:p w14:paraId="1E58BB25" w14:textId="77777777" w:rsidR="00EF20E1" w:rsidRDefault="00EF20E1" w:rsidP="00EF20E1">
      <w:pPr>
        <w:spacing w:line="480" w:lineRule="auto"/>
      </w:pPr>
      <w:r>
        <w:t xml:space="preserve">In this UK-based survey of 272 respondents, we found variation in the reported CTR patient pathways and RTW recommendations, despite the use of similar surgical procedures. Among respondents, the median recommended times for return to desk-based duties (7 days) and light manual duties (15 days) reflect the earliest time points suggested in the RCS patient guidance document </w:t>
      </w:r>
      <w:r>
        <w:rPr>
          <w:noProof/>
        </w:rPr>
        <w:t>(Royal College of Surgeons, 2014)</w:t>
      </w:r>
      <w:r>
        <w:t xml:space="preserve">. However, the median recommended time for return to heavy manual duties suggested by our respondents was 30 days, some 12 days earlier than the RCS guideline. This may suggest that the guideline, the evidence for which is unknown, is over-cautious for this particular occupational group and that, in practice, few patients need these extra days. Even earlier return to manual work has been reported in an uncontrolled study of a nurse-led carpal tunnel service </w:t>
      </w:r>
      <w:r>
        <w:rPr>
          <w:noProof/>
        </w:rPr>
        <w:t>(Mallick et al., 2009)</w:t>
      </w:r>
      <w:r>
        <w:t xml:space="preserve">. In this case series, 17% of the 191 manual workers returned to work within 1 day of surgery; 71% returned by 7 days and 91% within 2 weeks. </w:t>
      </w:r>
    </w:p>
    <w:p w14:paraId="4D103DBA" w14:textId="77777777" w:rsidR="00EF20E1" w:rsidRDefault="00EF20E1" w:rsidP="00EF20E1">
      <w:pPr>
        <w:spacing w:line="480" w:lineRule="auto"/>
      </w:pPr>
    </w:p>
    <w:p w14:paraId="031CE6C2" w14:textId="77777777" w:rsidR="00EF20E1" w:rsidRDefault="00EF20E1" w:rsidP="00EF20E1">
      <w:pPr>
        <w:spacing w:line="480" w:lineRule="auto"/>
      </w:pPr>
      <w:r>
        <w:t xml:space="preserve">The only statistically significant difference between surgeons and therapists was found in the median recommended time to return to desk-based duties (surgeons, 7 days; therapists, 10 days). Suture removal usually takes place 10-14 days after CTR and it is possible that surgeons generally advise their patients to return to desk-based work with sutures </w:t>
      </w:r>
      <w:r w:rsidRPr="00627348">
        <w:t>in situ</w:t>
      </w:r>
      <w:r>
        <w:t xml:space="preserve">, whereas therapists wait until sutures are removed. However, there is currently no evidence suggesting whether or not there is a risk to the incision site from carrying out desk-based duties before the wound is fully healed. </w:t>
      </w:r>
    </w:p>
    <w:p w14:paraId="06CD6052" w14:textId="77777777" w:rsidR="00EF20E1" w:rsidRDefault="00EF20E1" w:rsidP="00EF20E1">
      <w:pPr>
        <w:spacing w:line="480" w:lineRule="auto"/>
      </w:pPr>
    </w:p>
    <w:p w14:paraId="0FF4D3FB" w14:textId="77777777" w:rsidR="00EF20E1" w:rsidRDefault="00EF20E1" w:rsidP="00EF20E1">
      <w:pPr>
        <w:spacing w:line="480" w:lineRule="auto"/>
      </w:pPr>
      <w:r>
        <w:t xml:space="preserve">For all three work categories, clinicians treating larger numbers of CTR patients (&gt;70 per year) reported advising earlier RTW. We chose a cut-off point of &gt;70 patients to enable a comparison of those treating one or two CTR patients every week with those treating CTR patients less frequently. It is possible that clinicians with greater experience of treating CTR patients may be confident that earlier RTW is not detrimental to recovery. However, we found wide variation in reported timescales, even among those treating higher numbers of patients. This implies that patients are receiving different, and possibly conflicting, advice about when to RTW even from clinicians experienced in treating CTR patients. </w:t>
      </w:r>
    </w:p>
    <w:p w14:paraId="3E74F268" w14:textId="77777777" w:rsidR="00EF20E1" w:rsidRDefault="00EF20E1" w:rsidP="00EF20E1">
      <w:pPr>
        <w:spacing w:line="480" w:lineRule="auto"/>
      </w:pPr>
    </w:p>
    <w:p w14:paraId="27844D26" w14:textId="77777777" w:rsidR="00EF20E1" w:rsidRDefault="00EF20E1" w:rsidP="00EF20E1">
      <w:pPr>
        <w:spacing w:line="480" w:lineRule="auto"/>
      </w:pPr>
      <w:r>
        <w:t xml:space="preserve">A key limitation of our study is the potential for non-response bias. However, although the response rate was low (14-20%), the variation identified among this group of engaged clinicians (members of professional societies and/or conference attendees) may suggest even greater heterogeneity among the wider population of surgeons and therapists.  We acknowledge that the use of self-reported data may not be a true reflection of clinical practice and several steps were taken in an attempt to promote accurate reporting. The sampling frame was designed to capture clinicians regularly treating CTR patients, and these individuals were asked to think about their own practice, rather than answer hypothetically. </w:t>
      </w:r>
    </w:p>
    <w:p w14:paraId="19906002" w14:textId="77777777" w:rsidR="00EF20E1" w:rsidRDefault="00EF20E1" w:rsidP="00EF20E1">
      <w:pPr>
        <w:spacing w:line="480" w:lineRule="auto"/>
      </w:pPr>
    </w:p>
    <w:p w14:paraId="52BFDEDA" w14:textId="77777777" w:rsidR="00EF20E1" w:rsidRDefault="00EF20E1" w:rsidP="00EF20E1">
      <w:pPr>
        <w:spacing w:line="480" w:lineRule="auto"/>
        <w:sectPr w:rsidR="00EF20E1" w:rsidSect="000F6D6C">
          <w:pgSz w:w="11900" w:h="16840"/>
          <w:pgMar w:top="1134" w:right="1134" w:bottom="1134" w:left="1134" w:header="709" w:footer="709" w:gutter="0"/>
          <w:lnNumType w:countBy="1" w:restart="continuous"/>
          <w:cols w:space="708"/>
          <w:docGrid w:linePitch="360"/>
        </w:sectPr>
      </w:pPr>
      <w:r>
        <w:t xml:space="preserve">Overall, the content of clinician-reported RTW advice for CTR patients was similar, however the timescales for return to functional activities, such as driving, and for return to different occupational duties were wide-ranging. This suggests that patients are being given different advice about when it is safe for them to return to similar work roles. Furthermore, individual patients may be receiving conflicting RTW recommendations from different clinicians. Currently, there is limited evidence to better inform RTW advice </w:t>
      </w:r>
      <w:r w:rsidRPr="00627348">
        <w:t>and we are now conducting a multi-centre prospective study to establish whether earlier RTW after CTR is safe and effective, or whether longer periods of post-operative work absence are required for optimal surgical outcomes.</w:t>
      </w:r>
      <w:r>
        <w:t xml:space="preserve"> </w:t>
      </w:r>
    </w:p>
    <w:p w14:paraId="25D53EE4" w14:textId="77777777" w:rsidR="00EF20E1" w:rsidRPr="00004A52" w:rsidRDefault="00EF20E1" w:rsidP="00EF20E1">
      <w:pPr>
        <w:spacing w:line="480" w:lineRule="auto"/>
        <w:jc w:val="center"/>
        <w:outlineLvl w:val="0"/>
        <w:rPr>
          <w:b/>
        </w:rPr>
      </w:pPr>
      <w:r w:rsidRPr="00B57D89">
        <w:rPr>
          <w:b/>
        </w:rPr>
        <w:t>REFERENCES</w:t>
      </w:r>
    </w:p>
    <w:p w14:paraId="00DA87AD" w14:textId="77777777" w:rsidR="00EF20E1" w:rsidRDefault="00EF20E1" w:rsidP="00EF20E1">
      <w:pPr>
        <w:pStyle w:val="EndNoteBibliography"/>
        <w:spacing w:line="480" w:lineRule="auto"/>
        <w:rPr>
          <w:noProof/>
        </w:rPr>
      </w:pPr>
      <w:r>
        <w:rPr>
          <w:noProof/>
        </w:rPr>
        <w:t xml:space="preserve">Mallick A, </w:t>
      </w:r>
      <w:r w:rsidRPr="00CE5A6B">
        <w:rPr>
          <w:noProof/>
        </w:rPr>
        <w:t>Clarke</w:t>
      </w:r>
      <w:r>
        <w:rPr>
          <w:noProof/>
        </w:rPr>
        <w:t xml:space="preserve"> M, </w:t>
      </w:r>
      <w:r w:rsidRPr="00CE5A6B">
        <w:rPr>
          <w:noProof/>
        </w:rPr>
        <w:t>Wilson</w:t>
      </w:r>
      <w:r>
        <w:rPr>
          <w:noProof/>
        </w:rPr>
        <w:t xml:space="preserve"> S, </w:t>
      </w:r>
      <w:r w:rsidRPr="00CE5A6B">
        <w:rPr>
          <w:noProof/>
        </w:rPr>
        <w:t>Newey</w:t>
      </w:r>
      <w:r>
        <w:rPr>
          <w:noProof/>
        </w:rPr>
        <w:t xml:space="preserve"> ML. </w:t>
      </w:r>
      <w:r w:rsidRPr="00CE5A6B">
        <w:rPr>
          <w:noProof/>
        </w:rPr>
        <w:t>Reducing the economic imp</w:t>
      </w:r>
      <w:r>
        <w:rPr>
          <w:noProof/>
        </w:rPr>
        <w:t>act of carpal tunnel surgery. J Hand Surg Eur. 2009, 34</w:t>
      </w:r>
      <w:r w:rsidRPr="00CE5A6B">
        <w:rPr>
          <w:noProof/>
        </w:rPr>
        <w:t>: 679-81.</w:t>
      </w:r>
    </w:p>
    <w:p w14:paraId="5A9398F7" w14:textId="77777777" w:rsidR="00EF20E1" w:rsidRDefault="00EF20E1" w:rsidP="00EF20E1">
      <w:pPr>
        <w:pStyle w:val="EndNoteBibliography"/>
        <w:spacing w:line="480" w:lineRule="auto"/>
        <w:rPr>
          <w:noProof/>
        </w:rPr>
      </w:pPr>
    </w:p>
    <w:p w14:paraId="6B602082" w14:textId="77777777" w:rsidR="00EF20E1" w:rsidRDefault="00EF20E1" w:rsidP="00EF20E1">
      <w:pPr>
        <w:pStyle w:val="EndNoteBibliography"/>
        <w:spacing w:line="480" w:lineRule="auto"/>
        <w:rPr>
          <w:noProof/>
        </w:rPr>
      </w:pPr>
      <w:r w:rsidRPr="005A1B92">
        <w:rPr>
          <w:noProof/>
        </w:rPr>
        <w:t>Newington L, Harris EC, Walker-Bone K. Carpal tunnel syndrome and work.</w:t>
      </w:r>
      <w:r>
        <w:rPr>
          <w:noProof/>
        </w:rPr>
        <w:t xml:space="preserve"> Best Pract Res Clin Rheumatol.</w:t>
      </w:r>
      <w:r w:rsidRPr="005A1B92">
        <w:rPr>
          <w:noProof/>
        </w:rPr>
        <w:t xml:space="preserve"> 2015</w:t>
      </w:r>
      <w:r>
        <w:rPr>
          <w:noProof/>
        </w:rPr>
        <w:t>,</w:t>
      </w:r>
      <w:r w:rsidRPr="005A1B92">
        <w:rPr>
          <w:noProof/>
        </w:rPr>
        <w:t xml:space="preserve"> </w:t>
      </w:r>
      <w:r>
        <w:rPr>
          <w:noProof/>
        </w:rPr>
        <w:t>29</w:t>
      </w:r>
      <w:r w:rsidRPr="005A1B92">
        <w:rPr>
          <w:noProof/>
        </w:rPr>
        <w:t>: 440-53.</w:t>
      </w:r>
    </w:p>
    <w:p w14:paraId="61CC0C4B" w14:textId="77777777" w:rsidR="00EF20E1" w:rsidRDefault="00EF20E1" w:rsidP="00EF20E1">
      <w:pPr>
        <w:pStyle w:val="EndNoteBibliography"/>
        <w:spacing w:line="480" w:lineRule="auto"/>
        <w:rPr>
          <w:noProof/>
        </w:rPr>
      </w:pPr>
    </w:p>
    <w:p w14:paraId="6C0076D4" w14:textId="77777777" w:rsidR="00EF20E1" w:rsidRPr="001D510C" w:rsidRDefault="00EF20E1" w:rsidP="00EF20E1">
      <w:pPr>
        <w:pStyle w:val="EndNoteBibliography"/>
        <w:spacing w:line="480" w:lineRule="auto"/>
        <w:rPr>
          <w:noProof/>
        </w:rPr>
      </w:pPr>
      <w:r>
        <w:rPr>
          <w:noProof/>
        </w:rPr>
        <w:t xml:space="preserve">Peters S, </w:t>
      </w:r>
      <w:r w:rsidRPr="00036095">
        <w:rPr>
          <w:noProof/>
        </w:rPr>
        <w:t>Johnston</w:t>
      </w:r>
      <w:r>
        <w:rPr>
          <w:noProof/>
        </w:rPr>
        <w:t xml:space="preserve"> V, </w:t>
      </w:r>
      <w:r w:rsidRPr="00036095">
        <w:rPr>
          <w:noProof/>
        </w:rPr>
        <w:t>Hines</w:t>
      </w:r>
      <w:r>
        <w:rPr>
          <w:noProof/>
        </w:rPr>
        <w:t xml:space="preserve"> S, </w:t>
      </w:r>
      <w:r w:rsidRPr="00036095">
        <w:rPr>
          <w:noProof/>
        </w:rPr>
        <w:t>Ross</w:t>
      </w:r>
      <w:r>
        <w:rPr>
          <w:noProof/>
        </w:rPr>
        <w:t xml:space="preserve"> M,</w:t>
      </w:r>
      <w:r w:rsidRPr="00036095">
        <w:rPr>
          <w:noProof/>
        </w:rPr>
        <w:t>Coppieters</w:t>
      </w:r>
      <w:r>
        <w:rPr>
          <w:noProof/>
        </w:rPr>
        <w:t xml:space="preserve"> M.</w:t>
      </w:r>
      <w:r w:rsidRPr="00036095">
        <w:rPr>
          <w:noProof/>
        </w:rPr>
        <w:t xml:space="preserve"> Prognostic factors for return-to-work following surge</w:t>
      </w:r>
      <w:r>
        <w:rPr>
          <w:noProof/>
        </w:rPr>
        <w:t>ry for carpal tunnel syndrome: A systematic review.</w:t>
      </w:r>
      <w:r w:rsidRPr="00036095">
        <w:rPr>
          <w:noProof/>
        </w:rPr>
        <w:t xml:space="preserve"> </w:t>
      </w:r>
      <w:r>
        <w:rPr>
          <w:noProof/>
        </w:rPr>
        <w:t>JBI Database of System Rev Implement Rep.</w:t>
      </w:r>
      <w:r w:rsidRPr="001D510C">
        <w:rPr>
          <w:noProof/>
        </w:rPr>
        <w:t xml:space="preserve"> </w:t>
      </w:r>
      <w:r>
        <w:rPr>
          <w:noProof/>
        </w:rPr>
        <w:t>2016,</w:t>
      </w:r>
      <w:r w:rsidRPr="001D510C">
        <w:rPr>
          <w:noProof/>
        </w:rPr>
        <w:t xml:space="preserve"> </w:t>
      </w:r>
      <w:r>
        <w:rPr>
          <w:noProof/>
        </w:rPr>
        <w:t>14</w:t>
      </w:r>
      <w:r w:rsidRPr="001D510C">
        <w:rPr>
          <w:noProof/>
        </w:rPr>
        <w:t>: 135-216.</w:t>
      </w:r>
    </w:p>
    <w:p w14:paraId="68DB9E32" w14:textId="77777777" w:rsidR="00EF20E1" w:rsidRDefault="00EF20E1" w:rsidP="00EF20E1">
      <w:pPr>
        <w:pStyle w:val="EndNoteBibliography"/>
        <w:spacing w:line="480" w:lineRule="auto"/>
        <w:rPr>
          <w:noProof/>
        </w:rPr>
      </w:pPr>
    </w:p>
    <w:p w14:paraId="4C50D5AE" w14:textId="77777777" w:rsidR="00EF20E1" w:rsidRDefault="00EF20E1" w:rsidP="00EF20E1">
      <w:pPr>
        <w:pStyle w:val="EndNoteBibliography"/>
        <w:spacing w:line="480" w:lineRule="auto"/>
        <w:rPr>
          <w:noProof/>
        </w:rPr>
      </w:pPr>
      <w:r>
        <w:rPr>
          <w:noProof/>
        </w:rPr>
        <w:t xml:space="preserve">Ratzon N, </w:t>
      </w:r>
      <w:r w:rsidRPr="00036095">
        <w:rPr>
          <w:noProof/>
        </w:rPr>
        <w:t>Schejter-Margalit</w:t>
      </w:r>
      <w:r>
        <w:rPr>
          <w:noProof/>
        </w:rPr>
        <w:t xml:space="preserve"> T, </w:t>
      </w:r>
      <w:r w:rsidRPr="00036095">
        <w:rPr>
          <w:noProof/>
        </w:rPr>
        <w:t>Froom</w:t>
      </w:r>
      <w:r>
        <w:rPr>
          <w:noProof/>
        </w:rPr>
        <w:t xml:space="preserve"> P. </w:t>
      </w:r>
      <w:r w:rsidRPr="00036095">
        <w:rPr>
          <w:noProof/>
        </w:rPr>
        <w:t>Time to return to work and surgeons' recommendatio</w:t>
      </w:r>
      <w:r>
        <w:rPr>
          <w:noProof/>
        </w:rPr>
        <w:t>ns after carpal tunnel release.</w:t>
      </w:r>
      <w:r w:rsidRPr="00036095">
        <w:rPr>
          <w:noProof/>
        </w:rPr>
        <w:t xml:space="preserve"> </w:t>
      </w:r>
      <w:r w:rsidRPr="006C3DAB">
        <w:rPr>
          <w:noProof/>
        </w:rPr>
        <w:t>Occup Med</w:t>
      </w:r>
      <w:r>
        <w:rPr>
          <w:noProof/>
        </w:rPr>
        <w:t>.</w:t>
      </w:r>
      <w:r w:rsidRPr="006C3DAB">
        <w:rPr>
          <w:noProof/>
        </w:rPr>
        <w:t xml:space="preserve"> 2006</w:t>
      </w:r>
      <w:r>
        <w:rPr>
          <w:noProof/>
        </w:rPr>
        <w:t>,</w:t>
      </w:r>
      <w:r w:rsidRPr="006C3DAB">
        <w:rPr>
          <w:noProof/>
        </w:rPr>
        <w:t xml:space="preserve"> </w:t>
      </w:r>
      <w:r>
        <w:rPr>
          <w:noProof/>
        </w:rPr>
        <w:t>56</w:t>
      </w:r>
      <w:r w:rsidRPr="006C3DAB">
        <w:rPr>
          <w:noProof/>
        </w:rPr>
        <w:t>: 46-50.</w:t>
      </w:r>
    </w:p>
    <w:p w14:paraId="5422552B" w14:textId="77777777" w:rsidR="00EF20E1" w:rsidRDefault="00EF20E1" w:rsidP="00EF20E1">
      <w:pPr>
        <w:pStyle w:val="EndNoteBibliography"/>
        <w:spacing w:line="480" w:lineRule="auto"/>
        <w:rPr>
          <w:noProof/>
        </w:rPr>
      </w:pPr>
    </w:p>
    <w:p w14:paraId="442A2E1C" w14:textId="77777777" w:rsidR="00EF20E1" w:rsidRDefault="00EF20E1" w:rsidP="00EF20E1">
      <w:pPr>
        <w:pStyle w:val="EndNoteBibliography"/>
        <w:spacing w:line="480" w:lineRule="auto"/>
        <w:rPr>
          <w:noProof/>
        </w:rPr>
      </w:pPr>
      <w:r w:rsidRPr="00036095">
        <w:rPr>
          <w:noProof/>
        </w:rPr>
        <w:t xml:space="preserve">Royal College of Surgeons. </w:t>
      </w:r>
      <w:r>
        <w:rPr>
          <w:noProof/>
        </w:rPr>
        <w:t xml:space="preserve">Carpal tunnel release. </w:t>
      </w:r>
      <w:r w:rsidRPr="00036095">
        <w:rPr>
          <w:noProof/>
        </w:rPr>
        <w:t>Get well soon: Helping you make a speedy recover</w:t>
      </w:r>
      <w:r>
        <w:rPr>
          <w:noProof/>
        </w:rPr>
        <w:t>y after carpal tunnel release. London: Royal College of Surgeons, 2014.</w:t>
      </w:r>
    </w:p>
    <w:p w14:paraId="2A38974E" w14:textId="0605D5A0" w:rsidR="00EF20E1" w:rsidRDefault="00EF20E1" w:rsidP="00EF20E1">
      <w:pPr>
        <w:pStyle w:val="EndNoteBibliography"/>
        <w:spacing w:line="480" w:lineRule="auto"/>
        <w:rPr>
          <w:noProof/>
        </w:rPr>
      </w:pPr>
      <w:hyperlink r:id="rId8" w:history="1">
        <w:r w:rsidRPr="009F4A5E">
          <w:rPr>
            <w:rStyle w:val="Hyperlink"/>
            <w:rFonts w:asciiTheme="minorHAnsi" w:hAnsiTheme="minorHAnsi"/>
            <w:noProof/>
            <w:lang w:val="en-GB"/>
          </w:rPr>
          <w:t>http://www.rcseng.ac.uk/patients/recovering-from-surgery/carpal-tunnel-release/returning-to-work</w:t>
        </w:r>
      </w:hyperlink>
      <w:r>
        <w:rPr>
          <w:rFonts w:asciiTheme="minorHAnsi" w:hAnsiTheme="minorHAnsi"/>
          <w:noProof/>
          <w:lang w:val="en-GB"/>
        </w:rPr>
        <w:t xml:space="preserve"> (accessed  10 February 2018)</w:t>
      </w:r>
    </w:p>
    <w:p w14:paraId="581145EE" w14:textId="77777777" w:rsidR="00EF20E1" w:rsidRDefault="00EF20E1" w:rsidP="00EF20E1">
      <w:pPr>
        <w:pStyle w:val="EndNoteBibliography"/>
        <w:spacing w:line="480" w:lineRule="auto"/>
        <w:rPr>
          <w:noProof/>
        </w:rPr>
      </w:pPr>
    </w:p>
    <w:p w14:paraId="29B496F3" w14:textId="77777777" w:rsidR="00EF20E1" w:rsidRDefault="00EF20E1" w:rsidP="00EF20E1">
      <w:pPr>
        <w:pStyle w:val="EndNoteBibliography"/>
        <w:spacing w:line="480" w:lineRule="auto"/>
        <w:rPr>
          <w:noProof/>
        </w:rPr>
      </w:pPr>
    </w:p>
    <w:p w14:paraId="100FB9CD" w14:textId="77777777" w:rsidR="00EF20E1" w:rsidRPr="00036095" w:rsidRDefault="00EF20E1" w:rsidP="00EF20E1">
      <w:pPr>
        <w:pStyle w:val="EndNoteBibliography"/>
        <w:spacing w:line="480" w:lineRule="auto"/>
        <w:rPr>
          <w:noProof/>
        </w:rPr>
      </w:pPr>
    </w:p>
    <w:p w14:paraId="4657B8ED" w14:textId="77777777" w:rsidR="00EF20E1" w:rsidRDefault="00EF20E1" w:rsidP="00EF20E1">
      <w:pPr>
        <w:spacing w:line="480" w:lineRule="auto"/>
      </w:pPr>
    </w:p>
    <w:p w14:paraId="20A4DAB6" w14:textId="77777777" w:rsidR="00EF20E1" w:rsidRDefault="00EF20E1" w:rsidP="007733B9">
      <w:pPr>
        <w:spacing w:line="480" w:lineRule="auto"/>
        <w:sectPr w:rsidR="00EF20E1" w:rsidSect="00A4295E">
          <w:pgSz w:w="11900" w:h="16840"/>
          <w:pgMar w:top="1440" w:right="1440" w:bottom="1440" w:left="1440" w:header="708" w:footer="708" w:gutter="0"/>
          <w:cols w:space="708"/>
          <w:docGrid w:linePitch="360"/>
        </w:sectPr>
      </w:pPr>
    </w:p>
    <w:p w14:paraId="43F36D89" w14:textId="583266F6" w:rsidR="003F7174" w:rsidRDefault="003F7174" w:rsidP="00EF20E1">
      <w:pPr>
        <w:spacing w:line="480" w:lineRule="auto"/>
      </w:pPr>
    </w:p>
    <w:sectPr w:rsidR="003F7174" w:rsidSect="00A429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E3291" w14:textId="77777777" w:rsidR="008A7815" w:rsidRDefault="00EF20E1" w:rsidP="008A78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6AFAD" w14:textId="77777777" w:rsidR="008A7815" w:rsidRDefault="00EF20E1" w:rsidP="003B5D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DB029" w14:textId="77777777" w:rsidR="008A7815" w:rsidRDefault="00EF20E1" w:rsidP="008A78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EAC0C07" w14:textId="77777777" w:rsidR="008A7815" w:rsidRDefault="00EF20E1" w:rsidP="003B5D84">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173BF"/>
    <w:multiLevelType w:val="hybridMultilevel"/>
    <w:tmpl w:val="C8AC0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92"/>
    <w:rsid w:val="00006F42"/>
    <w:rsid w:val="00021BFD"/>
    <w:rsid w:val="00024A4B"/>
    <w:rsid w:val="00030221"/>
    <w:rsid w:val="00033CCC"/>
    <w:rsid w:val="000467EC"/>
    <w:rsid w:val="00050875"/>
    <w:rsid w:val="00052E09"/>
    <w:rsid w:val="0006073D"/>
    <w:rsid w:val="0006124E"/>
    <w:rsid w:val="000623F5"/>
    <w:rsid w:val="00066436"/>
    <w:rsid w:val="000741DC"/>
    <w:rsid w:val="000831DE"/>
    <w:rsid w:val="00084204"/>
    <w:rsid w:val="00085B88"/>
    <w:rsid w:val="00092857"/>
    <w:rsid w:val="00093EB8"/>
    <w:rsid w:val="000A3F6F"/>
    <w:rsid w:val="000B615E"/>
    <w:rsid w:val="000B6FA6"/>
    <w:rsid w:val="000D0373"/>
    <w:rsid w:val="000D24E0"/>
    <w:rsid w:val="000D6696"/>
    <w:rsid w:val="000E3F80"/>
    <w:rsid w:val="000F564F"/>
    <w:rsid w:val="0010373F"/>
    <w:rsid w:val="00107A29"/>
    <w:rsid w:val="001102DB"/>
    <w:rsid w:val="00110C44"/>
    <w:rsid w:val="0011593B"/>
    <w:rsid w:val="0011688F"/>
    <w:rsid w:val="001351E3"/>
    <w:rsid w:val="001432F0"/>
    <w:rsid w:val="001435B8"/>
    <w:rsid w:val="00151BA9"/>
    <w:rsid w:val="001667C7"/>
    <w:rsid w:val="00166FDD"/>
    <w:rsid w:val="00171492"/>
    <w:rsid w:val="00171A59"/>
    <w:rsid w:val="001732AB"/>
    <w:rsid w:val="00173F2E"/>
    <w:rsid w:val="00175983"/>
    <w:rsid w:val="00176EE5"/>
    <w:rsid w:val="00184523"/>
    <w:rsid w:val="00184806"/>
    <w:rsid w:val="0018652C"/>
    <w:rsid w:val="00197D50"/>
    <w:rsid w:val="001A14E3"/>
    <w:rsid w:val="001A22E6"/>
    <w:rsid w:val="001A342A"/>
    <w:rsid w:val="001B1412"/>
    <w:rsid w:val="001B2839"/>
    <w:rsid w:val="001B372D"/>
    <w:rsid w:val="001B421E"/>
    <w:rsid w:val="001B6F28"/>
    <w:rsid w:val="001C728F"/>
    <w:rsid w:val="001D3A99"/>
    <w:rsid w:val="001D50D7"/>
    <w:rsid w:val="001E1AA6"/>
    <w:rsid w:val="001E1E98"/>
    <w:rsid w:val="001E22A6"/>
    <w:rsid w:val="001F77ED"/>
    <w:rsid w:val="0020736A"/>
    <w:rsid w:val="0021087E"/>
    <w:rsid w:val="00210E21"/>
    <w:rsid w:val="00216895"/>
    <w:rsid w:val="0022105F"/>
    <w:rsid w:val="0022505F"/>
    <w:rsid w:val="00225C88"/>
    <w:rsid w:val="002322D6"/>
    <w:rsid w:val="002326F9"/>
    <w:rsid w:val="00236A93"/>
    <w:rsid w:val="002406B6"/>
    <w:rsid w:val="00242B9B"/>
    <w:rsid w:val="00243D0A"/>
    <w:rsid w:val="00247062"/>
    <w:rsid w:val="00255281"/>
    <w:rsid w:val="00260E84"/>
    <w:rsid w:val="00260FAB"/>
    <w:rsid w:val="00261FF5"/>
    <w:rsid w:val="002629E8"/>
    <w:rsid w:val="002667E6"/>
    <w:rsid w:val="002730EE"/>
    <w:rsid w:val="002748CC"/>
    <w:rsid w:val="00275118"/>
    <w:rsid w:val="002848A8"/>
    <w:rsid w:val="0028520F"/>
    <w:rsid w:val="002A224C"/>
    <w:rsid w:val="002A5B63"/>
    <w:rsid w:val="002A6BF8"/>
    <w:rsid w:val="002B01C2"/>
    <w:rsid w:val="002B693A"/>
    <w:rsid w:val="002C0D3F"/>
    <w:rsid w:val="002C7D5F"/>
    <w:rsid w:val="002D45E6"/>
    <w:rsid w:val="002E1511"/>
    <w:rsid w:val="002F0789"/>
    <w:rsid w:val="002F5D7D"/>
    <w:rsid w:val="002F7C28"/>
    <w:rsid w:val="003020C3"/>
    <w:rsid w:val="003027F5"/>
    <w:rsid w:val="00304E46"/>
    <w:rsid w:val="0030503D"/>
    <w:rsid w:val="00305B90"/>
    <w:rsid w:val="00310315"/>
    <w:rsid w:val="00310318"/>
    <w:rsid w:val="00311231"/>
    <w:rsid w:val="003238C5"/>
    <w:rsid w:val="00330BCE"/>
    <w:rsid w:val="0033476B"/>
    <w:rsid w:val="00336010"/>
    <w:rsid w:val="00340C88"/>
    <w:rsid w:val="00346EC9"/>
    <w:rsid w:val="003516EE"/>
    <w:rsid w:val="00356134"/>
    <w:rsid w:val="003611CD"/>
    <w:rsid w:val="00364698"/>
    <w:rsid w:val="0036610D"/>
    <w:rsid w:val="00382E4E"/>
    <w:rsid w:val="00387A70"/>
    <w:rsid w:val="00390D0B"/>
    <w:rsid w:val="0039345E"/>
    <w:rsid w:val="00395B54"/>
    <w:rsid w:val="003970B3"/>
    <w:rsid w:val="003A2987"/>
    <w:rsid w:val="003A6610"/>
    <w:rsid w:val="003B0F3C"/>
    <w:rsid w:val="003B5556"/>
    <w:rsid w:val="003B77A3"/>
    <w:rsid w:val="003C03EF"/>
    <w:rsid w:val="003D46AD"/>
    <w:rsid w:val="003F6936"/>
    <w:rsid w:val="003F6F89"/>
    <w:rsid w:val="003F7174"/>
    <w:rsid w:val="00400771"/>
    <w:rsid w:val="00411D22"/>
    <w:rsid w:val="004129D2"/>
    <w:rsid w:val="0041406B"/>
    <w:rsid w:val="004152F9"/>
    <w:rsid w:val="00415735"/>
    <w:rsid w:val="00417646"/>
    <w:rsid w:val="00417DFC"/>
    <w:rsid w:val="00421654"/>
    <w:rsid w:val="004228F4"/>
    <w:rsid w:val="004241B5"/>
    <w:rsid w:val="00425543"/>
    <w:rsid w:val="004278F3"/>
    <w:rsid w:val="00437E19"/>
    <w:rsid w:val="00444050"/>
    <w:rsid w:val="004456CE"/>
    <w:rsid w:val="004504DA"/>
    <w:rsid w:val="00450A34"/>
    <w:rsid w:val="004610D2"/>
    <w:rsid w:val="004641A5"/>
    <w:rsid w:val="00464720"/>
    <w:rsid w:val="00464D8D"/>
    <w:rsid w:val="00465F46"/>
    <w:rsid w:val="004732EE"/>
    <w:rsid w:val="00481152"/>
    <w:rsid w:val="00485287"/>
    <w:rsid w:val="00497EB0"/>
    <w:rsid w:val="004A080D"/>
    <w:rsid w:val="004B243C"/>
    <w:rsid w:val="004C06A0"/>
    <w:rsid w:val="004C45F9"/>
    <w:rsid w:val="004C54E6"/>
    <w:rsid w:val="004C5BBB"/>
    <w:rsid w:val="004C5D23"/>
    <w:rsid w:val="004C694D"/>
    <w:rsid w:val="004E29B8"/>
    <w:rsid w:val="005015A8"/>
    <w:rsid w:val="00503F4A"/>
    <w:rsid w:val="00504BD1"/>
    <w:rsid w:val="00505B49"/>
    <w:rsid w:val="00505C6A"/>
    <w:rsid w:val="005106AB"/>
    <w:rsid w:val="00512642"/>
    <w:rsid w:val="00513B69"/>
    <w:rsid w:val="00514E47"/>
    <w:rsid w:val="005257E3"/>
    <w:rsid w:val="00526E51"/>
    <w:rsid w:val="00527FB4"/>
    <w:rsid w:val="005378F9"/>
    <w:rsid w:val="00540C84"/>
    <w:rsid w:val="00540E10"/>
    <w:rsid w:val="00542468"/>
    <w:rsid w:val="00573636"/>
    <w:rsid w:val="005750D9"/>
    <w:rsid w:val="00575A6B"/>
    <w:rsid w:val="00577229"/>
    <w:rsid w:val="0058399C"/>
    <w:rsid w:val="00585839"/>
    <w:rsid w:val="0058714E"/>
    <w:rsid w:val="005901CF"/>
    <w:rsid w:val="0059026A"/>
    <w:rsid w:val="005B09F5"/>
    <w:rsid w:val="005B32BE"/>
    <w:rsid w:val="005B4968"/>
    <w:rsid w:val="005B6FAA"/>
    <w:rsid w:val="005C4D92"/>
    <w:rsid w:val="005D46F6"/>
    <w:rsid w:val="005E3663"/>
    <w:rsid w:val="00601ACC"/>
    <w:rsid w:val="0060639B"/>
    <w:rsid w:val="006148E3"/>
    <w:rsid w:val="00614E4D"/>
    <w:rsid w:val="00623EE0"/>
    <w:rsid w:val="0063705E"/>
    <w:rsid w:val="0063782F"/>
    <w:rsid w:val="00641464"/>
    <w:rsid w:val="0065219E"/>
    <w:rsid w:val="00655C2F"/>
    <w:rsid w:val="006655B3"/>
    <w:rsid w:val="00667A2D"/>
    <w:rsid w:val="00670030"/>
    <w:rsid w:val="006704A2"/>
    <w:rsid w:val="00672541"/>
    <w:rsid w:val="00675336"/>
    <w:rsid w:val="00685D39"/>
    <w:rsid w:val="0069247D"/>
    <w:rsid w:val="00693A1E"/>
    <w:rsid w:val="006A18E8"/>
    <w:rsid w:val="006A2BF9"/>
    <w:rsid w:val="006B3AFB"/>
    <w:rsid w:val="006B7082"/>
    <w:rsid w:val="006B7354"/>
    <w:rsid w:val="006C058B"/>
    <w:rsid w:val="006C093D"/>
    <w:rsid w:val="006C25FD"/>
    <w:rsid w:val="006C318A"/>
    <w:rsid w:val="006C4B35"/>
    <w:rsid w:val="006D25E6"/>
    <w:rsid w:val="006D4E70"/>
    <w:rsid w:val="006D6885"/>
    <w:rsid w:val="006E36F3"/>
    <w:rsid w:val="006E6C4A"/>
    <w:rsid w:val="006F1E61"/>
    <w:rsid w:val="006F704D"/>
    <w:rsid w:val="00706407"/>
    <w:rsid w:val="00707FAF"/>
    <w:rsid w:val="00711F45"/>
    <w:rsid w:val="00714C8B"/>
    <w:rsid w:val="00720E3A"/>
    <w:rsid w:val="00723508"/>
    <w:rsid w:val="00726BB7"/>
    <w:rsid w:val="007376C6"/>
    <w:rsid w:val="00745C2F"/>
    <w:rsid w:val="0076440E"/>
    <w:rsid w:val="007733B9"/>
    <w:rsid w:val="00774FED"/>
    <w:rsid w:val="00780853"/>
    <w:rsid w:val="007818BC"/>
    <w:rsid w:val="00785816"/>
    <w:rsid w:val="0078794A"/>
    <w:rsid w:val="00790AAB"/>
    <w:rsid w:val="00792CD9"/>
    <w:rsid w:val="007957CB"/>
    <w:rsid w:val="00795C5B"/>
    <w:rsid w:val="00797327"/>
    <w:rsid w:val="007B0DCC"/>
    <w:rsid w:val="007B2B60"/>
    <w:rsid w:val="007B752B"/>
    <w:rsid w:val="007B794B"/>
    <w:rsid w:val="007C18EB"/>
    <w:rsid w:val="007C336E"/>
    <w:rsid w:val="007C39FB"/>
    <w:rsid w:val="007C68BB"/>
    <w:rsid w:val="007C6A48"/>
    <w:rsid w:val="007D4B4C"/>
    <w:rsid w:val="007D63EA"/>
    <w:rsid w:val="007E06F3"/>
    <w:rsid w:val="007E1F84"/>
    <w:rsid w:val="007E33CE"/>
    <w:rsid w:val="007E5463"/>
    <w:rsid w:val="007E7E35"/>
    <w:rsid w:val="007F2E7A"/>
    <w:rsid w:val="007F3607"/>
    <w:rsid w:val="00801C25"/>
    <w:rsid w:val="00801F88"/>
    <w:rsid w:val="008021B1"/>
    <w:rsid w:val="00803151"/>
    <w:rsid w:val="008038C1"/>
    <w:rsid w:val="00810281"/>
    <w:rsid w:val="00811F12"/>
    <w:rsid w:val="008127C3"/>
    <w:rsid w:val="00820FE0"/>
    <w:rsid w:val="0082261A"/>
    <w:rsid w:val="008238D4"/>
    <w:rsid w:val="00824FB1"/>
    <w:rsid w:val="00830251"/>
    <w:rsid w:val="00833D45"/>
    <w:rsid w:val="0083518B"/>
    <w:rsid w:val="008408AD"/>
    <w:rsid w:val="00842208"/>
    <w:rsid w:val="00846A15"/>
    <w:rsid w:val="00850130"/>
    <w:rsid w:val="0085382C"/>
    <w:rsid w:val="00861A21"/>
    <w:rsid w:val="00861C96"/>
    <w:rsid w:val="00861D8E"/>
    <w:rsid w:val="00865A7F"/>
    <w:rsid w:val="0086627F"/>
    <w:rsid w:val="0087256A"/>
    <w:rsid w:val="0087792E"/>
    <w:rsid w:val="00883679"/>
    <w:rsid w:val="008866E1"/>
    <w:rsid w:val="00895419"/>
    <w:rsid w:val="008A19F7"/>
    <w:rsid w:val="008A404D"/>
    <w:rsid w:val="008A7899"/>
    <w:rsid w:val="008B12A5"/>
    <w:rsid w:val="008B1FE7"/>
    <w:rsid w:val="008B4A48"/>
    <w:rsid w:val="008B5E19"/>
    <w:rsid w:val="008C06CA"/>
    <w:rsid w:val="008C4F15"/>
    <w:rsid w:val="008D37C3"/>
    <w:rsid w:val="008D381C"/>
    <w:rsid w:val="008D7F99"/>
    <w:rsid w:val="008E54AF"/>
    <w:rsid w:val="008F3B31"/>
    <w:rsid w:val="008F4400"/>
    <w:rsid w:val="008F6365"/>
    <w:rsid w:val="00901834"/>
    <w:rsid w:val="00902119"/>
    <w:rsid w:val="009025A2"/>
    <w:rsid w:val="00902E10"/>
    <w:rsid w:val="0090339D"/>
    <w:rsid w:val="00905F6B"/>
    <w:rsid w:val="00910318"/>
    <w:rsid w:val="00913CA7"/>
    <w:rsid w:val="0091439A"/>
    <w:rsid w:val="009159CF"/>
    <w:rsid w:val="00920A11"/>
    <w:rsid w:val="00922736"/>
    <w:rsid w:val="0093035A"/>
    <w:rsid w:val="00940E23"/>
    <w:rsid w:val="00941DAA"/>
    <w:rsid w:val="009456AD"/>
    <w:rsid w:val="00955273"/>
    <w:rsid w:val="009642C6"/>
    <w:rsid w:val="0096786D"/>
    <w:rsid w:val="00972325"/>
    <w:rsid w:val="0097262F"/>
    <w:rsid w:val="00983D5D"/>
    <w:rsid w:val="00993959"/>
    <w:rsid w:val="00997ED9"/>
    <w:rsid w:val="009A6719"/>
    <w:rsid w:val="009B462A"/>
    <w:rsid w:val="009D3D0C"/>
    <w:rsid w:val="009D5C73"/>
    <w:rsid w:val="009D5D9C"/>
    <w:rsid w:val="009D6D98"/>
    <w:rsid w:val="009E01FE"/>
    <w:rsid w:val="009E2472"/>
    <w:rsid w:val="009E264B"/>
    <w:rsid w:val="009E4F7B"/>
    <w:rsid w:val="009E619A"/>
    <w:rsid w:val="009E7F97"/>
    <w:rsid w:val="009F061D"/>
    <w:rsid w:val="009F2693"/>
    <w:rsid w:val="009F514F"/>
    <w:rsid w:val="009F51E9"/>
    <w:rsid w:val="00A100FD"/>
    <w:rsid w:val="00A10F4F"/>
    <w:rsid w:val="00A138DF"/>
    <w:rsid w:val="00A15748"/>
    <w:rsid w:val="00A16721"/>
    <w:rsid w:val="00A220B7"/>
    <w:rsid w:val="00A24D6B"/>
    <w:rsid w:val="00A2586C"/>
    <w:rsid w:val="00A362AD"/>
    <w:rsid w:val="00A37CCA"/>
    <w:rsid w:val="00A4295E"/>
    <w:rsid w:val="00A528D6"/>
    <w:rsid w:val="00A64218"/>
    <w:rsid w:val="00A73D17"/>
    <w:rsid w:val="00A74CA2"/>
    <w:rsid w:val="00A768D8"/>
    <w:rsid w:val="00A80890"/>
    <w:rsid w:val="00A94F33"/>
    <w:rsid w:val="00AA5EF6"/>
    <w:rsid w:val="00AA618E"/>
    <w:rsid w:val="00AC1C01"/>
    <w:rsid w:val="00AC2A92"/>
    <w:rsid w:val="00AC2FFD"/>
    <w:rsid w:val="00AC7964"/>
    <w:rsid w:val="00AD100C"/>
    <w:rsid w:val="00AD247C"/>
    <w:rsid w:val="00AD627B"/>
    <w:rsid w:val="00AF3E0A"/>
    <w:rsid w:val="00AF78E2"/>
    <w:rsid w:val="00B01B95"/>
    <w:rsid w:val="00B0323C"/>
    <w:rsid w:val="00B04394"/>
    <w:rsid w:val="00B07F99"/>
    <w:rsid w:val="00B10D15"/>
    <w:rsid w:val="00B11F52"/>
    <w:rsid w:val="00B16866"/>
    <w:rsid w:val="00B2044D"/>
    <w:rsid w:val="00B212FE"/>
    <w:rsid w:val="00B22410"/>
    <w:rsid w:val="00B22ABD"/>
    <w:rsid w:val="00B31804"/>
    <w:rsid w:val="00B332BB"/>
    <w:rsid w:val="00B3670E"/>
    <w:rsid w:val="00B369C3"/>
    <w:rsid w:val="00B3712E"/>
    <w:rsid w:val="00B40823"/>
    <w:rsid w:val="00B6136A"/>
    <w:rsid w:val="00B645E6"/>
    <w:rsid w:val="00B67E68"/>
    <w:rsid w:val="00B73234"/>
    <w:rsid w:val="00B81140"/>
    <w:rsid w:val="00B81CE8"/>
    <w:rsid w:val="00B84647"/>
    <w:rsid w:val="00B877AD"/>
    <w:rsid w:val="00B97772"/>
    <w:rsid w:val="00BA17D5"/>
    <w:rsid w:val="00BB40F1"/>
    <w:rsid w:val="00BB5150"/>
    <w:rsid w:val="00BC424E"/>
    <w:rsid w:val="00BD32FA"/>
    <w:rsid w:val="00BD4FE0"/>
    <w:rsid w:val="00BD5495"/>
    <w:rsid w:val="00BE04CC"/>
    <w:rsid w:val="00BE0F3D"/>
    <w:rsid w:val="00BE3351"/>
    <w:rsid w:val="00BE3352"/>
    <w:rsid w:val="00BE460A"/>
    <w:rsid w:val="00BE5F34"/>
    <w:rsid w:val="00BF1538"/>
    <w:rsid w:val="00C0066E"/>
    <w:rsid w:val="00C05B55"/>
    <w:rsid w:val="00C10F83"/>
    <w:rsid w:val="00C14B24"/>
    <w:rsid w:val="00C15C87"/>
    <w:rsid w:val="00C22428"/>
    <w:rsid w:val="00C24C64"/>
    <w:rsid w:val="00C41EE4"/>
    <w:rsid w:val="00C4221E"/>
    <w:rsid w:val="00C6106B"/>
    <w:rsid w:val="00C61F70"/>
    <w:rsid w:val="00C704B9"/>
    <w:rsid w:val="00C7066A"/>
    <w:rsid w:val="00C70E2C"/>
    <w:rsid w:val="00C74492"/>
    <w:rsid w:val="00C76905"/>
    <w:rsid w:val="00C83BCB"/>
    <w:rsid w:val="00C90D0A"/>
    <w:rsid w:val="00C92870"/>
    <w:rsid w:val="00C963A0"/>
    <w:rsid w:val="00CA0237"/>
    <w:rsid w:val="00CA1588"/>
    <w:rsid w:val="00CA4ABE"/>
    <w:rsid w:val="00CC570D"/>
    <w:rsid w:val="00CC7561"/>
    <w:rsid w:val="00CC78F3"/>
    <w:rsid w:val="00CE1A01"/>
    <w:rsid w:val="00CF06FC"/>
    <w:rsid w:val="00CF3EA7"/>
    <w:rsid w:val="00D0238B"/>
    <w:rsid w:val="00D041D7"/>
    <w:rsid w:val="00D05916"/>
    <w:rsid w:val="00D073EB"/>
    <w:rsid w:val="00D25E83"/>
    <w:rsid w:val="00D303FB"/>
    <w:rsid w:val="00D33111"/>
    <w:rsid w:val="00D46D5E"/>
    <w:rsid w:val="00D6579F"/>
    <w:rsid w:val="00D74F97"/>
    <w:rsid w:val="00D77B5F"/>
    <w:rsid w:val="00D81EC6"/>
    <w:rsid w:val="00D94230"/>
    <w:rsid w:val="00DA125B"/>
    <w:rsid w:val="00DA1521"/>
    <w:rsid w:val="00DA492A"/>
    <w:rsid w:val="00DB1A24"/>
    <w:rsid w:val="00DB6BAE"/>
    <w:rsid w:val="00DC6ACA"/>
    <w:rsid w:val="00DD0DD2"/>
    <w:rsid w:val="00DD1F9F"/>
    <w:rsid w:val="00DD35E9"/>
    <w:rsid w:val="00DD6FC2"/>
    <w:rsid w:val="00DE1462"/>
    <w:rsid w:val="00DE2B8D"/>
    <w:rsid w:val="00DE37B3"/>
    <w:rsid w:val="00DE3901"/>
    <w:rsid w:val="00E00209"/>
    <w:rsid w:val="00E04147"/>
    <w:rsid w:val="00E050F5"/>
    <w:rsid w:val="00E11E50"/>
    <w:rsid w:val="00E13832"/>
    <w:rsid w:val="00E14024"/>
    <w:rsid w:val="00E21119"/>
    <w:rsid w:val="00E212DD"/>
    <w:rsid w:val="00E27ED7"/>
    <w:rsid w:val="00E3135E"/>
    <w:rsid w:val="00E36EBC"/>
    <w:rsid w:val="00E37829"/>
    <w:rsid w:val="00E37941"/>
    <w:rsid w:val="00E41D16"/>
    <w:rsid w:val="00E41D89"/>
    <w:rsid w:val="00E43C9B"/>
    <w:rsid w:val="00E446AE"/>
    <w:rsid w:val="00E511A3"/>
    <w:rsid w:val="00E513F8"/>
    <w:rsid w:val="00E5380D"/>
    <w:rsid w:val="00E55970"/>
    <w:rsid w:val="00E67114"/>
    <w:rsid w:val="00E7169D"/>
    <w:rsid w:val="00E71931"/>
    <w:rsid w:val="00E72F10"/>
    <w:rsid w:val="00E8583E"/>
    <w:rsid w:val="00E9187F"/>
    <w:rsid w:val="00E934C3"/>
    <w:rsid w:val="00E95AC3"/>
    <w:rsid w:val="00EA1376"/>
    <w:rsid w:val="00EA55DC"/>
    <w:rsid w:val="00EB039A"/>
    <w:rsid w:val="00EC1500"/>
    <w:rsid w:val="00EC4BD1"/>
    <w:rsid w:val="00EC4D56"/>
    <w:rsid w:val="00EE033C"/>
    <w:rsid w:val="00EE0FDA"/>
    <w:rsid w:val="00EE205F"/>
    <w:rsid w:val="00EE3433"/>
    <w:rsid w:val="00EE712C"/>
    <w:rsid w:val="00EF20E1"/>
    <w:rsid w:val="00EF2BC7"/>
    <w:rsid w:val="00EF5A98"/>
    <w:rsid w:val="00F12189"/>
    <w:rsid w:val="00F12E2E"/>
    <w:rsid w:val="00F306AF"/>
    <w:rsid w:val="00F3331F"/>
    <w:rsid w:val="00F36A3A"/>
    <w:rsid w:val="00F37E01"/>
    <w:rsid w:val="00F43544"/>
    <w:rsid w:val="00F44F8A"/>
    <w:rsid w:val="00F533C5"/>
    <w:rsid w:val="00F61EA6"/>
    <w:rsid w:val="00F63C1D"/>
    <w:rsid w:val="00F63EFE"/>
    <w:rsid w:val="00F701E4"/>
    <w:rsid w:val="00FA21D4"/>
    <w:rsid w:val="00FB0E98"/>
    <w:rsid w:val="00FB27DC"/>
    <w:rsid w:val="00FE7576"/>
    <w:rsid w:val="00FF0677"/>
    <w:rsid w:val="00FF62B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24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D9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4E0"/>
    <w:pPr>
      <w:ind w:left="720"/>
      <w:contextualSpacing/>
    </w:pPr>
  </w:style>
  <w:style w:type="character" w:styleId="Hyperlink">
    <w:name w:val="Hyperlink"/>
    <w:basedOn w:val="DefaultParagraphFont"/>
    <w:uiPriority w:val="99"/>
    <w:unhideWhenUsed/>
    <w:rsid w:val="008F3B31"/>
    <w:rPr>
      <w:color w:val="0563C1" w:themeColor="hyperlink"/>
      <w:u w:val="single"/>
    </w:rPr>
  </w:style>
  <w:style w:type="paragraph" w:customStyle="1" w:styleId="EndNoteBibliography">
    <w:name w:val="EndNote Bibliography"/>
    <w:basedOn w:val="Normal"/>
    <w:rsid w:val="00EF20E1"/>
    <w:rPr>
      <w:rFonts w:ascii="Calibri" w:hAnsi="Calibri"/>
      <w:lang w:val="en-US"/>
    </w:rPr>
  </w:style>
  <w:style w:type="paragraph" w:styleId="Footer">
    <w:name w:val="footer"/>
    <w:basedOn w:val="Normal"/>
    <w:link w:val="FooterChar"/>
    <w:uiPriority w:val="99"/>
    <w:unhideWhenUsed/>
    <w:rsid w:val="00EF20E1"/>
    <w:pPr>
      <w:tabs>
        <w:tab w:val="center" w:pos="4513"/>
        <w:tab w:val="right" w:pos="9026"/>
      </w:tabs>
    </w:pPr>
  </w:style>
  <w:style w:type="character" w:customStyle="1" w:styleId="FooterChar">
    <w:name w:val="Footer Char"/>
    <w:basedOn w:val="DefaultParagraphFont"/>
    <w:link w:val="Footer"/>
    <w:uiPriority w:val="99"/>
    <w:rsid w:val="00EF20E1"/>
    <w:rPr>
      <w:lang w:val="en-GB"/>
    </w:rPr>
  </w:style>
  <w:style w:type="character" w:styleId="PageNumber">
    <w:name w:val="page number"/>
    <w:basedOn w:val="DefaultParagraphFont"/>
    <w:uiPriority w:val="99"/>
    <w:semiHidden/>
    <w:unhideWhenUsed/>
    <w:rsid w:val="00EF20E1"/>
  </w:style>
  <w:style w:type="character" w:styleId="LineNumber">
    <w:name w:val="line number"/>
    <w:basedOn w:val="DefaultParagraphFont"/>
    <w:uiPriority w:val="99"/>
    <w:semiHidden/>
    <w:unhideWhenUsed/>
    <w:rsid w:val="00EF2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eng.ac.uk/patients/recovering-from-surgery/carpal-tunnel-release/returning-to-work" TargetMode="Externa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ln@mrc.soton.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1995</Words>
  <Characters>11378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Newington</dc:creator>
  <cp:keywords/>
  <dc:description/>
  <cp:lastModifiedBy>Warren S.</cp:lastModifiedBy>
  <cp:revision>2</cp:revision>
  <dcterms:created xsi:type="dcterms:W3CDTF">2018-06-13T11:48:00Z</dcterms:created>
  <dcterms:modified xsi:type="dcterms:W3CDTF">2018-06-13T11:48:00Z</dcterms:modified>
</cp:coreProperties>
</file>