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5600D" w14:textId="0259E9CB" w:rsidR="00C358AE" w:rsidRDefault="00354C22">
      <w:pPr>
        <w:rPr>
          <w:i/>
        </w:rPr>
      </w:pPr>
      <w:bookmarkStart w:id="0" w:name="_GoBack"/>
      <w:bookmarkEnd w:id="0"/>
      <w:r w:rsidRPr="00354C22">
        <w:rPr>
          <w:i/>
        </w:rPr>
        <w:t>ACP guideline v</w:t>
      </w:r>
      <w:r w:rsidR="00792C6A">
        <w:rPr>
          <w:i/>
        </w:rPr>
        <w:t>3</w:t>
      </w:r>
    </w:p>
    <w:p w14:paraId="0D7283CE" w14:textId="02D29641" w:rsidR="00354C22" w:rsidRDefault="000E0455">
      <w:pPr>
        <w:rPr>
          <w:b/>
        </w:rPr>
      </w:pPr>
      <w:r>
        <w:rPr>
          <w:b/>
        </w:rPr>
        <w:t>POSITION PAPER</w:t>
      </w:r>
    </w:p>
    <w:p w14:paraId="612EBDDE" w14:textId="77777777" w:rsidR="00791A98" w:rsidRDefault="00791A98">
      <w:pPr>
        <w:rPr>
          <w:b/>
        </w:rPr>
      </w:pPr>
    </w:p>
    <w:p w14:paraId="69951C66" w14:textId="79828A42" w:rsidR="00791A98" w:rsidRPr="005753A7" w:rsidRDefault="00354C22" w:rsidP="00791A98">
      <w:pPr>
        <w:jc w:val="center"/>
        <w:rPr>
          <w:b/>
          <w:bCs/>
          <w:sz w:val="28"/>
          <w:szCs w:val="28"/>
        </w:rPr>
      </w:pPr>
      <w:r w:rsidRPr="005753A7">
        <w:rPr>
          <w:b/>
          <w:sz w:val="28"/>
          <w:szCs w:val="28"/>
        </w:rPr>
        <w:t>Guideline of the American College of Physicians</w:t>
      </w:r>
      <w:r w:rsidR="00791A98" w:rsidRPr="005753A7">
        <w:rPr>
          <w:rFonts w:ascii="Syntax-Bold" w:hAnsi="Syntax-Bold" w:cs="Syntax-Bold"/>
          <w:b/>
          <w:bCs/>
          <w:sz w:val="28"/>
          <w:szCs w:val="28"/>
        </w:rPr>
        <w:t xml:space="preserve"> </w:t>
      </w:r>
      <w:r w:rsidR="00791A98" w:rsidRPr="005753A7">
        <w:rPr>
          <w:b/>
          <w:bCs/>
          <w:sz w:val="28"/>
          <w:szCs w:val="28"/>
        </w:rPr>
        <w:t>on the treatment</w:t>
      </w:r>
    </w:p>
    <w:p w14:paraId="7D372856" w14:textId="4D7E4983" w:rsidR="00354C22" w:rsidRPr="005753A7" w:rsidRDefault="00791A98" w:rsidP="00791A98">
      <w:pPr>
        <w:jc w:val="center"/>
        <w:rPr>
          <w:b/>
          <w:sz w:val="28"/>
          <w:szCs w:val="28"/>
        </w:rPr>
      </w:pPr>
      <w:r w:rsidRPr="005753A7">
        <w:rPr>
          <w:b/>
          <w:bCs/>
          <w:sz w:val="28"/>
          <w:szCs w:val="28"/>
        </w:rPr>
        <w:t xml:space="preserve">of </w:t>
      </w:r>
      <w:r w:rsidR="005753A7" w:rsidRPr="005753A7">
        <w:rPr>
          <w:b/>
          <w:bCs/>
          <w:sz w:val="28"/>
          <w:szCs w:val="28"/>
        </w:rPr>
        <w:t>o</w:t>
      </w:r>
      <w:r w:rsidRPr="005753A7">
        <w:rPr>
          <w:b/>
          <w:bCs/>
          <w:sz w:val="28"/>
          <w:szCs w:val="28"/>
        </w:rPr>
        <w:t xml:space="preserve">steoporosis </w:t>
      </w:r>
    </w:p>
    <w:p w14:paraId="60C45CD7" w14:textId="77777777" w:rsidR="005753A7" w:rsidRDefault="005753A7" w:rsidP="00354C22">
      <w:pPr>
        <w:jc w:val="center"/>
      </w:pPr>
    </w:p>
    <w:p w14:paraId="3D5578E1" w14:textId="77777777" w:rsidR="005753A7" w:rsidRDefault="005753A7" w:rsidP="00354C22">
      <w:pPr>
        <w:jc w:val="center"/>
      </w:pPr>
    </w:p>
    <w:p w14:paraId="4813556A" w14:textId="3C199AD4" w:rsidR="00354C22" w:rsidRDefault="00354C22" w:rsidP="00354C22">
      <w:pPr>
        <w:jc w:val="center"/>
        <w:rPr>
          <w:vertAlign w:val="superscript"/>
        </w:rPr>
      </w:pPr>
      <w:r w:rsidRPr="00354C22">
        <w:t>John A Kanis</w:t>
      </w:r>
      <w:r w:rsidRPr="00354C22">
        <w:rPr>
          <w:vertAlign w:val="superscript"/>
        </w:rPr>
        <w:t>1 2</w:t>
      </w:r>
      <w:r w:rsidRPr="00354C22">
        <w:t>, Cyrus Cooper</w:t>
      </w:r>
      <w:r w:rsidRPr="00354C22">
        <w:rPr>
          <w:vertAlign w:val="superscript"/>
        </w:rPr>
        <w:t>3 4</w:t>
      </w:r>
      <w:r w:rsidRPr="00354C22">
        <w:t>, Rene Rizzoli</w:t>
      </w:r>
      <w:r w:rsidRPr="00354C22">
        <w:rPr>
          <w:vertAlign w:val="superscript"/>
        </w:rPr>
        <w:t>5</w:t>
      </w:r>
      <w:r w:rsidRPr="00354C22">
        <w:t>, Jean-Yves Reginster</w:t>
      </w:r>
      <w:r w:rsidRPr="00354C22">
        <w:rPr>
          <w:vertAlign w:val="superscript"/>
        </w:rPr>
        <w:t>6</w:t>
      </w:r>
    </w:p>
    <w:p w14:paraId="28C0AC2F" w14:textId="77777777" w:rsidR="00354C22" w:rsidRDefault="00354C22" w:rsidP="00354C22">
      <w:pPr>
        <w:rPr>
          <w:vertAlign w:val="superscript"/>
        </w:rPr>
      </w:pPr>
    </w:p>
    <w:p w14:paraId="029A5767" w14:textId="77777777" w:rsidR="00354C22" w:rsidRPr="00354C22" w:rsidRDefault="00354C22" w:rsidP="00354C22">
      <w:r w:rsidRPr="00354C22">
        <w:rPr>
          <w:vertAlign w:val="superscript"/>
        </w:rPr>
        <w:t>1</w:t>
      </w:r>
      <w:r>
        <w:rPr>
          <w:vertAlign w:val="superscript"/>
        </w:rPr>
        <w:t xml:space="preserve"> </w:t>
      </w:r>
      <w:r w:rsidRPr="00354C22">
        <w:t>Centre for Metabolic Bone Diseases, University of Sheffield Medical School, Sheffield, UK</w:t>
      </w:r>
    </w:p>
    <w:p w14:paraId="7617B31A" w14:textId="77777777" w:rsidR="00354C22" w:rsidRPr="00354C22" w:rsidRDefault="00354C22" w:rsidP="00354C22">
      <w:r w:rsidRPr="00354C22">
        <w:rPr>
          <w:vertAlign w:val="superscript"/>
        </w:rPr>
        <w:t>2</w:t>
      </w:r>
      <w:r>
        <w:rPr>
          <w:vertAlign w:val="superscript"/>
        </w:rPr>
        <w:t xml:space="preserve"> </w:t>
      </w:r>
      <w:r w:rsidRPr="00354C22">
        <w:t>Institute for Health and Ageing, Catholic University of Australia, Melbourne, Australia</w:t>
      </w:r>
    </w:p>
    <w:p w14:paraId="063EDE7E" w14:textId="77777777" w:rsidR="00354C22" w:rsidRPr="00354C22" w:rsidRDefault="00354C22" w:rsidP="00354C22">
      <w:r w:rsidRPr="00354C22">
        <w:rPr>
          <w:vertAlign w:val="superscript"/>
        </w:rPr>
        <w:t>3</w:t>
      </w:r>
      <w:r>
        <w:rPr>
          <w:vertAlign w:val="superscript"/>
        </w:rPr>
        <w:t xml:space="preserve"> </w:t>
      </w:r>
      <w:r w:rsidRPr="00354C22">
        <w:t>MRC Lifecourse Epidemiology Unit, University of Southampton, Southampton, UK</w:t>
      </w:r>
    </w:p>
    <w:p w14:paraId="34EA3D7F" w14:textId="77777777" w:rsidR="00354C22" w:rsidRPr="00354C22" w:rsidRDefault="00354C22" w:rsidP="00354C22">
      <w:r w:rsidRPr="00354C22">
        <w:rPr>
          <w:vertAlign w:val="superscript"/>
        </w:rPr>
        <w:t>4</w:t>
      </w:r>
      <w:r>
        <w:rPr>
          <w:vertAlign w:val="superscript"/>
        </w:rPr>
        <w:t xml:space="preserve"> </w:t>
      </w:r>
      <w:r w:rsidRPr="00354C22">
        <w:t>NIHR Musculoskeletal Biomedical Research Unit, University of Oxford, Oxford, UK</w:t>
      </w:r>
    </w:p>
    <w:p w14:paraId="1946140B" w14:textId="77777777" w:rsidR="00354C22" w:rsidRDefault="00354C22">
      <w:r w:rsidRPr="00354C22">
        <w:rPr>
          <w:vertAlign w:val="superscript"/>
        </w:rPr>
        <w:t>5</w:t>
      </w:r>
      <w:r w:rsidRPr="00354C22">
        <w:rPr>
          <w:rFonts w:ascii="Calibri" w:eastAsia="MS Mincho" w:hAnsi="Calibri" w:cs="Times New Roman"/>
          <w:sz w:val="20"/>
          <w:lang w:eastAsia="ja-JP"/>
        </w:rPr>
        <w:t xml:space="preserve"> </w:t>
      </w:r>
      <w:r w:rsidRPr="00354C22">
        <w:t>Service of Bone Diseases, Geneva University Hospitals and Faculty of Medicine, Geneva, Switzerland</w:t>
      </w:r>
    </w:p>
    <w:p w14:paraId="0C243D11" w14:textId="77777777" w:rsidR="00072472" w:rsidRPr="00072472" w:rsidRDefault="00354C22" w:rsidP="00072472">
      <w:r w:rsidRPr="005F0FD5">
        <w:rPr>
          <w:vertAlign w:val="superscript"/>
        </w:rPr>
        <w:t>6</w:t>
      </w:r>
      <w:r w:rsidR="005F0FD5" w:rsidRPr="005F0FD5">
        <w:rPr>
          <w:rFonts w:ascii="Calibri" w:eastAsia="MS Mincho" w:hAnsi="Calibri" w:cs="Times New Roman"/>
          <w:sz w:val="20"/>
          <w:lang w:eastAsia="ja-JP"/>
        </w:rPr>
        <w:t xml:space="preserve"> </w:t>
      </w:r>
      <w:r w:rsidR="00072472" w:rsidRPr="00072472">
        <w:t>Department of Public Health, Epidemiology and Health Economics, University of Liège, Liège, Belgium and WHO Collaborating Centre for Public Health Aspects of Musculoskeletal Health and Aging, Liège, Belgium.</w:t>
      </w:r>
    </w:p>
    <w:p w14:paraId="307BBAD8" w14:textId="1786096C" w:rsidR="00354C22" w:rsidRDefault="00354C22"/>
    <w:p w14:paraId="15BBC9F0" w14:textId="77777777" w:rsidR="005F0FD5" w:rsidRDefault="005F0FD5" w:rsidP="005F0FD5">
      <w:pPr>
        <w:rPr>
          <w:b/>
          <w:bCs/>
        </w:rPr>
      </w:pPr>
    </w:p>
    <w:p w14:paraId="603EAB04" w14:textId="77777777" w:rsidR="005F0FD5" w:rsidRPr="005F0FD5" w:rsidRDefault="005F0FD5" w:rsidP="005F0FD5">
      <w:pPr>
        <w:rPr>
          <w:bCs/>
        </w:rPr>
      </w:pPr>
      <w:r w:rsidRPr="005F0FD5">
        <w:rPr>
          <w:b/>
          <w:bCs/>
        </w:rPr>
        <w:t xml:space="preserve">Corresponding author </w:t>
      </w:r>
    </w:p>
    <w:p w14:paraId="5F33A672" w14:textId="77777777" w:rsidR="005F0FD5" w:rsidRPr="005F0FD5" w:rsidRDefault="005F0FD5" w:rsidP="005F0FD5">
      <w:pPr>
        <w:rPr>
          <w:bCs/>
        </w:rPr>
      </w:pPr>
      <w:r w:rsidRPr="005F0FD5">
        <w:rPr>
          <w:bCs/>
        </w:rPr>
        <w:t xml:space="preserve">Prof. J. A. Kanis, Centre for Metabolic Bone Diseases, University of Sheffield Medical School, Beech Hill Road, Sheffield, S10 2RX, UK. </w:t>
      </w:r>
    </w:p>
    <w:p w14:paraId="5B855621" w14:textId="77777777" w:rsidR="005F0FD5" w:rsidRPr="005F0FD5" w:rsidRDefault="005F0FD5" w:rsidP="005F0FD5">
      <w:pPr>
        <w:rPr>
          <w:bCs/>
        </w:rPr>
      </w:pPr>
      <w:r w:rsidRPr="005F0FD5">
        <w:rPr>
          <w:bCs/>
        </w:rPr>
        <w:t>Telephone: +44 114 285 1109</w:t>
      </w:r>
    </w:p>
    <w:p w14:paraId="25460D5A" w14:textId="77777777" w:rsidR="005F0FD5" w:rsidRPr="005F0FD5" w:rsidRDefault="005F0FD5" w:rsidP="005F0FD5">
      <w:pPr>
        <w:rPr>
          <w:b/>
          <w:bCs/>
        </w:rPr>
      </w:pPr>
      <w:r w:rsidRPr="005F0FD5">
        <w:rPr>
          <w:bCs/>
        </w:rPr>
        <w:t xml:space="preserve">Email: </w:t>
      </w:r>
      <w:hyperlink r:id="rId7" w:history="1">
        <w:r w:rsidRPr="005F0FD5">
          <w:rPr>
            <w:rStyle w:val="Hyperlink"/>
          </w:rPr>
          <w:t>w.j.Pontefract@shef.ac.uk</w:t>
        </w:r>
      </w:hyperlink>
    </w:p>
    <w:p w14:paraId="0B7AF59D" w14:textId="77777777" w:rsidR="00354C22" w:rsidRDefault="00354C22"/>
    <w:p w14:paraId="072D3931" w14:textId="77777777" w:rsidR="00244FFE" w:rsidRPr="00244FFE" w:rsidRDefault="00244FFE" w:rsidP="00244FFE">
      <w:pPr>
        <w:rPr>
          <w:bCs/>
        </w:rPr>
      </w:pPr>
      <w:r w:rsidRPr="00244FFE">
        <w:rPr>
          <w:b/>
          <w:bCs/>
        </w:rPr>
        <w:t xml:space="preserve">Keywords </w:t>
      </w:r>
      <w:r w:rsidRPr="00244FFE">
        <w:rPr>
          <w:bCs/>
        </w:rPr>
        <w:t xml:space="preserve">Osteoporosis </w:t>
      </w:r>
      <w:r w:rsidRPr="00244FFE">
        <w:rPr>
          <w:b/>
          <w:bCs/>
        </w:rPr>
        <w:t>·</w:t>
      </w:r>
      <w:r w:rsidRPr="00244FFE">
        <w:rPr>
          <w:bCs/>
        </w:rPr>
        <w:t xml:space="preserve"> fracture risk </w:t>
      </w:r>
      <w:r w:rsidRPr="00244FFE">
        <w:rPr>
          <w:b/>
          <w:bCs/>
        </w:rPr>
        <w:t>·</w:t>
      </w:r>
      <w:r w:rsidRPr="00244FFE">
        <w:rPr>
          <w:bCs/>
        </w:rPr>
        <w:t xml:space="preserve"> healthcare burden </w:t>
      </w:r>
      <w:r w:rsidRPr="00244FFE">
        <w:rPr>
          <w:b/>
          <w:bCs/>
        </w:rPr>
        <w:t>·</w:t>
      </w:r>
      <w:r w:rsidRPr="00244FFE">
        <w:rPr>
          <w:bCs/>
        </w:rPr>
        <w:t xml:space="preserve"> secondary prevention </w:t>
      </w:r>
      <w:r w:rsidRPr="00244FFE">
        <w:rPr>
          <w:b/>
          <w:bCs/>
        </w:rPr>
        <w:t>·</w:t>
      </w:r>
      <w:r w:rsidRPr="00244FFE">
        <w:rPr>
          <w:bCs/>
        </w:rPr>
        <w:t xml:space="preserve"> treatment gap </w:t>
      </w:r>
      <w:r w:rsidRPr="00244FFE">
        <w:rPr>
          <w:b/>
          <w:bCs/>
        </w:rPr>
        <w:t>·</w:t>
      </w:r>
      <w:r w:rsidRPr="00244FFE">
        <w:rPr>
          <w:bCs/>
        </w:rPr>
        <w:t xml:space="preserve"> management</w:t>
      </w:r>
    </w:p>
    <w:p w14:paraId="5DDAE4D2" w14:textId="77777777" w:rsidR="00E5385E" w:rsidRDefault="00E5385E" w:rsidP="00C11296">
      <w:pPr>
        <w:rPr>
          <w:lang w:val="en-US"/>
        </w:rPr>
      </w:pPr>
    </w:p>
    <w:p w14:paraId="458158FC" w14:textId="659FF5FE" w:rsidR="00921EB5" w:rsidRDefault="00921EB5" w:rsidP="00921EB5">
      <w:pPr>
        <w:spacing w:line="240" w:lineRule="auto"/>
        <w:rPr>
          <w:lang w:val="en-US"/>
        </w:rPr>
      </w:pPr>
      <w:r>
        <w:rPr>
          <w:lang w:val="en-US"/>
        </w:rPr>
        <w:t>Word count (text): 1</w:t>
      </w:r>
      <w:r w:rsidR="00E837AB">
        <w:rPr>
          <w:lang w:val="en-US"/>
        </w:rPr>
        <w:t>420</w:t>
      </w:r>
    </w:p>
    <w:p w14:paraId="1B4209C2" w14:textId="77777777" w:rsidR="00921EB5" w:rsidRDefault="00921EB5" w:rsidP="00921EB5">
      <w:pPr>
        <w:spacing w:line="240" w:lineRule="auto"/>
        <w:rPr>
          <w:lang w:val="en-US"/>
        </w:rPr>
      </w:pPr>
      <w:r>
        <w:rPr>
          <w:lang w:val="en-US"/>
        </w:rPr>
        <w:t>Tables: 2</w:t>
      </w:r>
    </w:p>
    <w:p w14:paraId="797E363E" w14:textId="77777777" w:rsidR="00921EB5" w:rsidRDefault="00921EB5" w:rsidP="00921EB5">
      <w:pPr>
        <w:spacing w:line="240" w:lineRule="auto"/>
        <w:rPr>
          <w:lang w:val="en-US"/>
        </w:rPr>
      </w:pPr>
      <w:r>
        <w:rPr>
          <w:lang w:val="en-US"/>
        </w:rPr>
        <w:t>Figure: 1</w:t>
      </w:r>
    </w:p>
    <w:p w14:paraId="17AA9160" w14:textId="4A495767" w:rsidR="005753A7" w:rsidRDefault="00921EB5" w:rsidP="00921EB5">
      <w:pPr>
        <w:spacing w:line="240" w:lineRule="auto"/>
        <w:rPr>
          <w:lang w:val="en-US"/>
        </w:rPr>
      </w:pPr>
      <w:r>
        <w:rPr>
          <w:lang w:val="en-US"/>
        </w:rPr>
        <w:t>References: 4</w:t>
      </w:r>
      <w:r w:rsidR="00E837AB">
        <w:rPr>
          <w:lang w:val="en-US"/>
        </w:rPr>
        <w:t>3</w:t>
      </w:r>
      <w:r w:rsidR="005753A7">
        <w:rPr>
          <w:lang w:val="en-US"/>
        </w:rPr>
        <w:br w:type="page"/>
      </w:r>
    </w:p>
    <w:p w14:paraId="415D5385" w14:textId="1F7B279A" w:rsidR="00C11296" w:rsidRPr="00C11296" w:rsidRDefault="00141FFF" w:rsidP="00C11296">
      <w:pPr>
        <w:rPr>
          <w:iCs/>
        </w:rPr>
      </w:pPr>
      <w:r>
        <w:rPr>
          <w:lang w:val="en-US"/>
        </w:rPr>
        <w:lastRenderedPageBreak/>
        <w:t xml:space="preserve">The American College of Physicians (ACP) </w:t>
      </w:r>
      <w:r w:rsidRPr="006B2EB2">
        <w:rPr>
          <w:lang w:val="en-US"/>
        </w:rPr>
        <w:t xml:space="preserve">recently issued guidelines </w:t>
      </w:r>
      <w:r w:rsidRPr="006B2EB2">
        <w:t>for the treatment of low bone density or osteoporosis to prevent fractures [</w:t>
      </w:r>
      <w:r w:rsidR="00FB7128">
        <w:t>1</w:t>
      </w:r>
      <w:r w:rsidR="006B2EB2" w:rsidRPr="006B2EB2">
        <w:t>]</w:t>
      </w:r>
      <w:r w:rsidRPr="006B2EB2">
        <w:t>.</w:t>
      </w:r>
      <w:r>
        <w:t xml:space="preserve">  </w:t>
      </w:r>
      <w:r w:rsidR="00552956" w:rsidRPr="00552956">
        <w:rPr>
          <w:lang w:val="en-US"/>
        </w:rPr>
        <w:t>ACP recommend</w:t>
      </w:r>
      <w:r>
        <w:rPr>
          <w:lang w:val="en-US"/>
        </w:rPr>
        <w:t>s</w:t>
      </w:r>
      <w:r w:rsidR="00552956" w:rsidRPr="00552956">
        <w:rPr>
          <w:lang w:val="en-US"/>
        </w:rPr>
        <w:t xml:space="preserve"> that clinicians offer pharmacological treatment to reduce spine and hip fracture risk in women with osteoporosis, and consider treatment in women at high risk.</w:t>
      </w:r>
      <w:r>
        <w:rPr>
          <w:lang w:val="en-US"/>
        </w:rPr>
        <w:t xml:space="preserve">  </w:t>
      </w:r>
      <w:r w:rsidR="00C11296">
        <w:rPr>
          <w:lang w:val="en-US"/>
        </w:rPr>
        <w:t xml:space="preserve">More specifically, </w:t>
      </w:r>
      <w:r w:rsidR="00C11296" w:rsidRPr="00C11296">
        <w:rPr>
          <w:iCs/>
        </w:rPr>
        <w:t xml:space="preserve">ACP </w:t>
      </w:r>
      <w:r w:rsidR="00C11296">
        <w:rPr>
          <w:iCs/>
        </w:rPr>
        <w:t xml:space="preserve">strongly </w:t>
      </w:r>
      <w:r w:rsidR="00C11296" w:rsidRPr="00C11296">
        <w:rPr>
          <w:iCs/>
        </w:rPr>
        <w:t>recommends ‘that clinicians offer pharmacologic treatment with alendronate,</w:t>
      </w:r>
      <w:r w:rsidR="00C11296">
        <w:rPr>
          <w:iCs/>
        </w:rPr>
        <w:t xml:space="preserve"> </w:t>
      </w:r>
      <w:r w:rsidR="00C11296" w:rsidRPr="00C11296">
        <w:rPr>
          <w:iCs/>
        </w:rPr>
        <w:t>risedronate, zoledronic acid, or denosumab to reduce the risk for</w:t>
      </w:r>
      <w:r w:rsidR="00C11296">
        <w:rPr>
          <w:iCs/>
        </w:rPr>
        <w:t xml:space="preserve"> </w:t>
      </w:r>
      <w:r w:rsidR="00C11296" w:rsidRPr="00C11296">
        <w:rPr>
          <w:iCs/>
        </w:rPr>
        <w:t>hip and vertebral fractures in women who have known osteoporos</w:t>
      </w:r>
      <w:r w:rsidR="00C11296">
        <w:rPr>
          <w:iCs/>
        </w:rPr>
        <w:t>is’</w:t>
      </w:r>
      <w:r w:rsidR="00C11296" w:rsidRPr="00C11296">
        <w:rPr>
          <w:iCs/>
        </w:rPr>
        <w:t>.</w:t>
      </w:r>
    </w:p>
    <w:p w14:paraId="762CF905" w14:textId="62A3BDEB" w:rsidR="00141FFF" w:rsidRDefault="00141FFF" w:rsidP="00141FFF">
      <w:r>
        <w:rPr>
          <w:lang w:val="en-US"/>
        </w:rPr>
        <w:t>The recommendations are largely based</w:t>
      </w:r>
      <w:r w:rsidRPr="00141FFF">
        <w:rPr>
          <w:rFonts w:ascii="AvenirNextLTPro-Regular" w:eastAsia="AvenirNextLTPro-Regular" w:cs="AvenirNextLTPro-Regular"/>
          <w:sz w:val="17"/>
          <w:szCs w:val="17"/>
        </w:rPr>
        <w:t xml:space="preserve"> </w:t>
      </w:r>
      <w:r w:rsidRPr="00141FFF">
        <w:t>on a systematic review of randomized controlled</w:t>
      </w:r>
      <w:r>
        <w:t xml:space="preserve"> </w:t>
      </w:r>
      <w:r w:rsidRPr="00141FFF">
        <w:t>trials</w:t>
      </w:r>
      <w:r>
        <w:t xml:space="preserve">. </w:t>
      </w:r>
      <w:r w:rsidR="00E5385E">
        <w:t>Whereas</w:t>
      </w:r>
      <w:r w:rsidR="000627B8">
        <w:t xml:space="preserve"> a review of such evidence is to be </w:t>
      </w:r>
      <w:r w:rsidR="002C67BF">
        <w:t>commended, the</w:t>
      </w:r>
      <w:r w:rsidR="000627B8">
        <w:t xml:space="preserve"> guideline largely ignores other important evidence</w:t>
      </w:r>
      <w:r w:rsidR="00516321">
        <w:t xml:space="preserve"> that might </w:t>
      </w:r>
      <w:r w:rsidR="002C67BF">
        <w:t>modulate the way guidelines are formulated</w:t>
      </w:r>
      <w:r w:rsidR="001B0029">
        <w:t xml:space="preserve"> [</w:t>
      </w:r>
      <w:r w:rsidR="00BA464B">
        <w:t>2</w:t>
      </w:r>
      <w:r w:rsidR="001B0029">
        <w:t>]</w:t>
      </w:r>
      <w:r w:rsidR="002C67BF">
        <w:t>.  The areas of concern</w:t>
      </w:r>
      <w:r w:rsidR="00C578E9">
        <w:t xml:space="preserve"> discussed below,</w:t>
      </w:r>
      <w:r w:rsidR="002C67BF">
        <w:t xml:space="preserve"> include the scope of guidelines, </w:t>
      </w:r>
      <w:r w:rsidR="00F1346B">
        <w:t>the position on FRAX</w:t>
      </w:r>
      <w:r w:rsidR="00791A98">
        <w:t>, and the use of anabolic interventions.</w:t>
      </w:r>
    </w:p>
    <w:p w14:paraId="3BD65C35" w14:textId="77777777" w:rsidR="00573AE6" w:rsidRDefault="00573AE6" w:rsidP="00141FFF"/>
    <w:p w14:paraId="3073DDC2" w14:textId="77777777" w:rsidR="00573AE6" w:rsidRPr="00573AE6" w:rsidRDefault="00573AE6" w:rsidP="00141FFF">
      <w:pPr>
        <w:rPr>
          <w:b/>
        </w:rPr>
      </w:pPr>
      <w:r w:rsidRPr="00573AE6">
        <w:rPr>
          <w:b/>
        </w:rPr>
        <w:t>Scope</w:t>
      </w:r>
    </w:p>
    <w:p w14:paraId="00373AE9" w14:textId="42B62D81" w:rsidR="002C67BF" w:rsidRPr="00141FFF" w:rsidRDefault="002C67BF" w:rsidP="00141FFF">
      <w:r>
        <w:t xml:space="preserve">The restricted scope of the ACP </w:t>
      </w:r>
      <w:r w:rsidR="002C1F20">
        <w:t>guidelines is</w:t>
      </w:r>
      <w:r>
        <w:t xml:space="preserve"> </w:t>
      </w:r>
      <w:r w:rsidR="00C17135">
        <w:t>exemplified</w:t>
      </w:r>
      <w:r>
        <w:t xml:space="preserve"> in</w:t>
      </w:r>
      <w:r w:rsidR="00C17135">
        <w:t xml:space="preserve"> the title that refers to treatment in </w:t>
      </w:r>
      <w:r w:rsidR="00531F0C">
        <w:t xml:space="preserve">men and </w:t>
      </w:r>
      <w:r w:rsidR="00C17135">
        <w:t>women with osteoporosis.</w:t>
      </w:r>
      <w:r>
        <w:t xml:space="preserve"> </w:t>
      </w:r>
      <w:r w:rsidR="00531F0C">
        <w:t xml:space="preserve"> Two definitions of osteoporosis are provided; one, the WHO definition based on the T-score for bone mineral density and the other an individual with a prior fragility fracture.  </w:t>
      </w:r>
      <w:r w:rsidR="001C03CA">
        <w:t>Except for</w:t>
      </w:r>
      <w:r w:rsidR="00875437">
        <w:t xml:space="preserve"> teriparatide (not recommended as a first line treatment), the ACP guideline considers that the e</w:t>
      </w:r>
      <w:r w:rsidR="00875437" w:rsidRPr="00875437">
        <w:t>vidence is insufficient</w:t>
      </w:r>
      <w:r w:rsidR="00875437">
        <w:t xml:space="preserve"> to recommend tr</w:t>
      </w:r>
      <w:r w:rsidR="00531F0C">
        <w:t xml:space="preserve">eatment </w:t>
      </w:r>
      <w:r w:rsidR="002258A1">
        <w:t xml:space="preserve">of patients with prior fracture </w:t>
      </w:r>
      <w:r w:rsidR="00875437">
        <w:t>with other intervention</w:t>
      </w:r>
      <w:r w:rsidR="006E612B">
        <w:t>s</w:t>
      </w:r>
      <w:r w:rsidR="00875437">
        <w:t xml:space="preserve">.  </w:t>
      </w:r>
      <w:r w:rsidR="00E72A7E">
        <w:t>Thus,</w:t>
      </w:r>
      <w:r w:rsidR="00061190">
        <w:t xml:space="preserve"> the gateway to treatment is a BMD diagnosis of osteoporosis though no recommendations are provided on who should have a BMD measurement in the first place.</w:t>
      </w:r>
      <w:r w:rsidR="00E72A7E">
        <w:t xml:space="preserve">  The guideline fail</w:t>
      </w:r>
      <w:r w:rsidR="00C578E9">
        <w:t>s</w:t>
      </w:r>
      <w:r w:rsidR="00E72A7E">
        <w:t xml:space="preserve"> in the sense that there is no indication to whom they apply</w:t>
      </w:r>
      <w:r w:rsidR="00895A1B">
        <w:t xml:space="preserve"> and no reference to </w:t>
      </w:r>
      <w:r w:rsidR="00531F0C">
        <w:t>any</w:t>
      </w:r>
      <w:r w:rsidR="00895A1B">
        <w:t xml:space="preserve"> </w:t>
      </w:r>
      <w:r w:rsidR="00531F0C">
        <w:t>relevant literature.</w:t>
      </w:r>
    </w:p>
    <w:p w14:paraId="787E2B1E" w14:textId="599195FA" w:rsidR="007E007C" w:rsidRDefault="00875437" w:rsidP="00573AE6">
      <w:r>
        <w:t>The use of BMD as the exclusive gateway to assessment is problematic for many reasons</w:t>
      </w:r>
      <w:r w:rsidR="001C03CA">
        <w:t xml:space="preserve">.  </w:t>
      </w:r>
      <w:r w:rsidR="001C03CA" w:rsidRPr="001C03CA">
        <w:t>Problems include the low sensitivity of BMD for fracture prediction [</w:t>
      </w:r>
      <w:r w:rsidR="00EA380B">
        <w:t>3, 4</w:t>
      </w:r>
      <w:r w:rsidR="001C03CA" w:rsidRPr="001C03CA">
        <w:t xml:space="preserve">], the different significance of a given T-score </w:t>
      </w:r>
      <w:r w:rsidR="001C03CA" w:rsidRPr="001C03CA">
        <w:lastRenderedPageBreak/>
        <w:t>according to age [</w:t>
      </w:r>
      <w:r w:rsidR="00EA380B">
        <w:t>5</w:t>
      </w:r>
      <w:r w:rsidR="001C03CA" w:rsidRPr="001C03CA">
        <w:t xml:space="preserve">] and </w:t>
      </w:r>
      <w:r w:rsidR="001C03CA">
        <w:t xml:space="preserve">risks that differ according to </w:t>
      </w:r>
      <w:r w:rsidR="00C578E9">
        <w:t>latitude</w:t>
      </w:r>
      <w:r w:rsidR="001C03CA" w:rsidRPr="001C03CA">
        <w:t xml:space="preserve"> [</w:t>
      </w:r>
      <w:r w:rsidR="00EA380B">
        <w:t>6</w:t>
      </w:r>
      <w:r w:rsidR="0022188E">
        <w:t>]</w:t>
      </w:r>
      <w:r w:rsidR="00EA380B">
        <w:t xml:space="preserve"> </w:t>
      </w:r>
      <w:r w:rsidR="000348C2">
        <w:t>socioeconomic prosperity [</w:t>
      </w:r>
      <w:r w:rsidR="00EA380B">
        <w:t>7</w:t>
      </w:r>
      <w:r w:rsidR="000348C2">
        <w:t>]</w:t>
      </w:r>
      <w:r w:rsidR="001C03CA" w:rsidRPr="001C03CA">
        <w:t xml:space="preserve"> and</w:t>
      </w:r>
      <w:r w:rsidR="001C03CA">
        <w:t xml:space="preserve"> </w:t>
      </w:r>
      <w:r w:rsidR="001C03CA" w:rsidRPr="0022188E">
        <w:t>country [</w:t>
      </w:r>
      <w:r w:rsidR="00EA380B" w:rsidRPr="0022188E">
        <w:t>8</w:t>
      </w:r>
      <w:r w:rsidR="001C03CA" w:rsidRPr="0022188E">
        <w:t>]. In</w:t>
      </w:r>
      <w:r w:rsidR="001C03CA" w:rsidRPr="001C03CA">
        <w:t xml:space="preserve"> many countries, intervention thresholds, historically based on the T-score for BMD</w:t>
      </w:r>
      <w:r w:rsidR="001C03CA">
        <w:t>,</w:t>
      </w:r>
      <w:r w:rsidR="001C03CA" w:rsidRPr="001C03CA">
        <w:t xml:space="preserve"> have been replaced in recent years by more complete risk assessment tools that take account of the added weight of the risk factors on fracture risk [</w:t>
      </w:r>
      <w:r w:rsidR="00EA380B">
        <w:t>9-13</w:t>
      </w:r>
      <w:r w:rsidR="001C03CA" w:rsidRPr="001C03CA">
        <w:t>].</w:t>
      </w:r>
      <w:r w:rsidR="00573AE6">
        <w:t xml:space="preserve">  For example, t</w:t>
      </w:r>
      <w:r w:rsidR="00244FFE">
        <w:t>wenty years ago, the</w:t>
      </w:r>
      <w:r w:rsidR="00244FFE" w:rsidRPr="00244FFE">
        <w:rPr>
          <w:rFonts w:ascii="Times New Roman" w:hAnsi="Times New Roman" w:cs="Times New Roman"/>
          <w:color w:val="FFFFFF"/>
          <w:sz w:val="17"/>
          <w:szCs w:val="17"/>
        </w:rPr>
        <w:t xml:space="preserve"> </w:t>
      </w:r>
      <w:r w:rsidR="00244FFE" w:rsidRPr="00244FFE">
        <w:t>European Foundation for Osteoporosis</w:t>
      </w:r>
      <w:r w:rsidR="00244FFE">
        <w:t xml:space="preserve"> (now the International Osteoporosis Foundation) iss</w:t>
      </w:r>
      <w:r w:rsidR="00021CD4">
        <w:t>ued</w:t>
      </w:r>
      <w:r w:rsidR="00021CD4" w:rsidRPr="00021CD4">
        <w:t xml:space="preserve"> </w:t>
      </w:r>
      <w:r w:rsidR="00E30B5A">
        <w:t>g</w:t>
      </w:r>
      <w:r w:rsidR="00021CD4" w:rsidRPr="00021CD4">
        <w:t xml:space="preserve">uidelines for </w:t>
      </w:r>
      <w:r w:rsidR="00E30B5A">
        <w:t>the d</w:t>
      </w:r>
      <w:r w:rsidR="00021CD4" w:rsidRPr="00021CD4">
        <w:t xml:space="preserve">iagnosis and </w:t>
      </w:r>
      <w:r w:rsidR="00E30B5A">
        <w:t>m</w:t>
      </w:r>
      <w:r w:rsidR="00021CD4" w:rsidRPr="00021CD4">
        <w:t xml:space="preserve">anagement of </w:t>
      </w:r>
      <w:r w:rsidR="00E30B5A">
        <w:t>o</w:t>
      </w:r>
      <w:r w:rsidR="00021CD4" w:rsidRPr="00021CD4">
        <w:t>steoporosis</w:t>
      </w:r>
      <w:r w:rsidR="00021CD4">
        <w:t xml:space="preserve"> [</w:t>
      </w:r>
      <w:bookmarkStart w:id="1" w:name="_Hlk486455252"/>
      <w:r w:rsidR="00EA380B">
        <w:t>14</w:t>
      </w:r>
      <w:bookmarkEnd w:id="1"/>
      <w:r w:rsidR="00021CD4" w:rsidRPr="0022188E">
        <w:t>], shortly</w:t>
      </w:r>
      <w:r w:rsidR="00382BB7" w:rsidRPr="0022188E">
        <w:t xml:space="preserve"> </w:t>
      </w:r>
      <w:r w:rsidR="00021CD4" w:rsidRPr="0022188E">
        <w:t>followed b</w:t>
      </w:r>
      <w:r w:rsidR="00382BB7" w:rsidRPr="0022188E">
        <w:t>y</w:t>
      </w:r>
      <w:r w:rsidR="00021CD4" w:rsidRPr="0022188E">
        <w:t xml:space="preserve"> those of the Ro</w:t>
      </w:r>
      <w:r w:rsidR="00382BB7" w:rsidRPr="0022188E">
        <w:t>y</w:t>
      </w:r>
      <w:r w:rsidR="00021CD4" w:rsidRPr="0022188E">
        <w:t>al College of Physicians in the UK</w:t>
      </w:r>
      <w:r w:rsidR="00382BB7">
        <w:t xml:space="preserve"> [</w:t>
      </w:r>
      <w:bookmarkStart w:id="2" w:name="_Hlk486455274"/>
      <w:r w:rsidR="003B7ED2">
        <w:t>15</w:t>
      </w:r>
      <w:bookmarkEnd w:id="2"/>
      <w:r w:rsidR="00382BB7">
        <w:t>]</w:t>
      </w:r>
      <w:r w:rsidR="00021CD4">
        <w:t xml:space="preserve">. </w:t>
      </w:r>
      <w:r w:rsidR="00382BB7">
        <w:t xml:space="preserve"> Both organisations recommended treatment in </w:t>
      </w:r>
      <w:r w:rsidR="00E30B5A">
        <w:t>patients with osteoporosis based on bone mineral density measurements.  Prospective patients to be referred for bone densitometry were identified by the presence of clinical risk factors associated with osteoporosis.</w:t>
      </w:r>
      <w:r w:rsidR="00BE5E0A">
        <w:t xml:space="preserve"> </w:t>
      </w:r>
      <w:r w:rsidR="002C077D" w:rsidRPr="002C077D">
        <w:t>The</w:t>
      </w:r>
      <w:r w:rsidR="002C077D">
        <w:t xml:space="preserve"> </w:t>
      </w:r>
      <w:r w:rsidR="002C077D" w:rsidRPr="002C077D">
        <w:t>guidance utilise</w:t>
      </w:r>
      <w:r w:rsidR="002C077D">
        <w:t>d</w:t>
      </w:r>
      <w:r w:rsidR="002C077D" w:rsidRPr="002C077D">
        <w:t xml:space="preserve"> risk factors for fracture as an initial</w:t>
      </w:r>
      <w:r w:rsidR="002C077D">
        <w:t xml:space="preserve"> </w:t>
      </w:r>
      <w:r w:rsidR="002C077D" w:rsidRPr="002C077D">
        <w:t>step for assessment, but recommend</w:t>
      </w:r>
      <w:r w:rsidR="002C077D">
        <w:t>ed</w:t>
      </w:r>
      <w:r w:rsidR="002C077D" w:rsidRPr="002C077D">
        <w:t xml:space="preserve"> treatment only in</w:t>
      </w:r>
      <w:r w:rsidR="002C077D">
        <w:t xml:space="preserve"> </w:t>
      </w:r>
      <w:r w:rsidR="002C077D" w:rsidRPr="002C077D">
        <w:t>individuals with a T-score of -2.5.</w:t>
      </w:r>
      <w:r w:rsidR="002C077D">
        <w:t xml:space="preserve"> </w:t>
      </w:r>
      <w:r w:rsidR="00573AE6">
        <w:t xml:space="preserve"> Guidelines in the UK [</w:t>
      </w:r>
      <w:r w:rsidR="003B7ED2">
        <w:t xml:space="preserve">16, </w:t>
      </w:r>
      <w:r w:rsidR="003B7ED2" w:rsidRPr="003B7ED2">
        <w:t>17</w:t>
      </w:r>
      <w:r w:rsidR="00573AE6">
        <w:t xml:space="preserve"> and </w:t>
      </w:r>
      <w:r w:rsidR="00573AE6" w:rsidRPr="004C66A0">
        <w:t>Europe [</w:t>
      </w:r>
      <w:r w:rsidR="003B7ED2">
        <w:t>18, 19</w:t>
      </w:r>
      <w:r w:rsidR="00573AE6" w:rsidRPr="004C66A0">
        <w:t>] and many</w:t>
      </w:r>
      <w:r w:rsidR="00573AE6">
        <w:t xml:space="preserve"> other] </w:t>
      </w:r>
      <w:r w:rsidR="0022188E" w:rsidRPr="0022188E">
        <w:t xml:space="preserve">countries [20] </w:t>
      </w:r>
      <w:r w:rsidR="00573AE6" w:rsidRPr="0022188E">
        <w:t>now</w:t>
      </w:r>
      <w:r w:rsidR="00573AE6">
        <w:t xml:space="preserve"> accommodate FRAX as the primary gateway to risk assessment.   </w:t>
      </w:r>
      <w:r w:rsidR="007E007C" w:rsidRPr="007E007C">
        <w:t xml:space="preserve">Against this shift, the </w:t>
      </w:r>
      <w:r w:rsidR="00573AE6">
        <w:t>ACP</w:t>
      </w:r>
      <w:r w:rsidR="007E007C">
        <w:t xml:space="preserve"> </w:t>
      </w:r>
      <w:r w:rsidR="007E007C" w:rsidRPr="007E007C">
        <w:t>updated</w:t>
      </w:r>
      <w:r w:rsidR="007E007C">
        <w:t xml:space="preserve"> </w:t>
      </w:r>
      <w:r w:rsidR="007E007C" w:rsidRPr="007E007C">
        <w:t>guidance</w:t>
      </w:r>
      <w:r w:rsidR="000E2E73">
        <w:t>,</w:t>
      </w:r>
      <w:r w:rsidR="007E007C" w:rsidRPr="007E007C">
        <w:t xml:space="preserve"> firmly entrench</w:t>
      </w:r>
      <w:r w:rsidR="007E007C">
        <w:t>ing</w:t>
      </w:r>
      <w:r w:rsidR="007E007C" w:rsidRPr="007E007C">
        <w:t xml:space="preserve"> a T-score </w:t>
      </w:r>
      <w:r w:rsidR="007E007C">
        <w:t xml:space="preserve">treatment </w:t>
      </w:r>
      <w:r w:rsidR="007E007C" w:rsidRPr="007E007C">
        <w:t xml:space="preserve">threshold of -2.5 SD, </w:t>
      </w:r>
      <w:r w:rsidR="00573AE6">
        <w:t xml:space="preserve">is </w:t>
      </w:r>
      <w:r w:rsidR="007E007C" w:rsidRPr="007E007C">
        <w:t xml:space="preserve">reminiscent of European and UK guidance </w:t>
      </w:r>
      <w:r w:rsidR="007E007C">
        <w:t>some</w:t>
      </w:r>
      <w:r w:rsidR="007E007C" w:rsidRPr="007E007C">
        <w:t xml:space="preserve"> 20 years</w:t>
      </w:r>
      <w:r w:rsidR="007E007C">
        <w:t xml:space="preserve"> </w:t>
      </w:r>
      <w:r w:rsidR="007E007C" w:rsidRPr="007E007C">
        <w:t>ago [</w:t>
      </w:r>
      <w:r w:rsidR="003B7ED2">
        <w:t>14, 15</w:t>
      </w:r>
      <w:r w:rsidR="007E007C" w:rsidRPr="007E007C">
        <w:t>].</w:t>
      </w:r>
    </w:p>
    <w:p w14:paraId="5B9F4506" w14:textId="1FEE6492" w:rsidR="00BE5E0A" w:rsidRDefault="00F1346B" w:rsidP="00382BB7">
      <w:pPr>
        <w:spacing w:after="0" w:line="276" w:lineRule="auto"/>
        <w:rPr>
          <w:b/>
        </w:rPr>
      </w:pPr>
      <w:r w:rsidRPr="00F1346B">
        <w:rPr>
          <w:b/>
        </w:rPr>
        <w:t>Review of FRAX</w:t>
      </w:r>
    </w:p>
    <w:p w14:paraId="10C2C94B" w14:textId="28C6ECD9" w:rsidR="00A953D5" w:rsidRDefault="00F1346B" w:rsidP="00A953D5">
      <w:pPr>
        <w:spacing w:after="0" w:line="276" w:lineRule="auto"/>
      </w:pPr>
      <w:r>
        <w:t xml:space="preserve">The ACP guidance </w:t>
      </w:r>
      <w:r w:rsidR="008F221B">
        <w:t xml:space="preserve">eschews the use of FRAX and </w:t>
      </w:r>
      <w:r>
        <w:t xml:space="preserve">states that </w:t>
      </w:r>
      <w:r w:rsidRPr="00F1346B">
        <w:t xml:space="preserve">there is no evidence from </w:t>
      </w:r>
      <w:r>
        <w:t>randomised control trials</w:t>
      </w:r>
      <w:r w:rsidRPr="00F1346B">
        <w:t xml:space="preserve"> demonstrating a benefit of fracture reduction when FRAX scores are used for treatment decision making</w:t>
      </w:r>
      <w:r>
        <w:t xml:space="preserve">. </w:t>
      </w:r>
      <w:r w:rsidR="008F221B">
        <w:t xml:space="preserve">The argument implies that </w:t>
      </w:r>
      <w:r w:rsidR="008F221B" w:rsidRPr="008F221B">
        <w:t>the beneficial effects of treatment on fracture risk is restricted to patients with osteoporosis</w:t>
      </w:r>
      <w:r w:rsidR="008F221B">
        <w:t xml:space="preserve">.  </w:t>
      </w:r>
      <w:r w:rsidR="00BC4A7C">
        <w:t xml:space="preserve">Irrespective of the veracity of the </w:t>
      </w:r>
      <w:r w:rsidR="00103C2D">
        <w:t>statement, the</w:t>
      </w:r>
      <w:r w:rsidR="00BC4A7C" w:rsidRPr="00BC4A7C">
        <w:t xml:space="preserve"> argument presupposes that high FRAX</w:t>
      </w:r>
      <w:r w:rsidR="00103C2D">
        <w:t xml:space="preserve"> </w:t>
      </w:r>
      <w:r w:rsidR="00BC4A7C" w:rsidRPr="00BC4A7C">
        <w:t>scores with or without BMD do not identify individuals</w:t>
      </w:r>
      <w:r w:rsidR="00103C2D">
        <w:t xml:space="preserve"> </w:t>
      </w:r>
      <w:r w:rsidR="00BC4A7C" w:rsidRPr="00BC4A7C">
        <w:t xml:space="preserve">with low bone mineral density—a supposition that </w:t>
      </w:r>
      <w:r w:rsidR="008F221B">
        <w:t xml:space="preserve">has for several years been shown to </w:t>
      </w:r>
      <w:r w:rsidR="00A953D5">
        <w:t xml:space="preserve">be </w:t>
      </w:r>
      <w:r w:rsidR="00A953D5" w:rsidRPr="00BC4A7C">
        <w:t>ill</w:t>
      </w:r>
      <w:r w:rsidR="00BC4A7C" w:rsidRPr="00BC4A7C">
        <w:t xml:space="preserve">-founded </w:t>
      </w:r>
      <w:r w:rsidR="00BC4A7C" w:rsidRPr="0022188E">
        <w:t>[</w:t>
      </w:r>
      <w:r w:rsidR="003B7ED2" w:rsidRPr="0022188E">
        <w:t>21-23</w:t>
      </w:r>
      <w:r w:rsidR="00103C2D" w:rsidRPr="0022188E">
        <w:t>]</w:t>
      </w:r>
      <w:r w:rsidR="00BC4A7C" w:rsidRPr="0022188E">
        <w:t>.</w:t>
      </w:r>
      <w:r w:rsidR="00A953D5" w:rsidRPr="0022188E">
        <w:t xml:space="preserve"> </w:t>
      </w:r>
      <w:r w:rsidR="0022188E">
        <w:t xml:space="preserve"> </w:t>
      </w:r>
      <w:r w:rsidR="00F54909" w:rsidRPr="0022188E">
        <w:t>An</w:t>
      </w:r>
      <w:r w:rsidR="00F54909" w:rsidRPr="00F54909">
        <w:t xml:space="preserve"> example of the application of the</w:t>
      </w:r>
      <w:r w:rsidR="0022188E">
        <w:t xml:space="preserve"> </w:t>
      </w:r>
      <w:r w:rsidR="00F54909" w:rsidRPr="00F54909">
        <w:t>guidelines used by the National Osteoporosis Guideline</w:t>
      </w:r>
      <w:r w:rsidR="00F54909">
        <w:t xml:space="preserve"> </w:t>
      </w:r>
      <w:r w:rsidR="00F54909" w:rsidRPr="00F54909">
        <w:t xml:space="preserve">Group (NOGG) in the UK is given in Table </w:t>
      </w:r>
      <w:r w:rsidR="00F54909">
        <w:t>1</w:t>
      </w:r>
      <w:r w:rsidR="00F54909" w:rsidRPr="00F54909">
        <w:t>, which</w:t>
      </w:r>
      <w:r w:rsidR="00F54909">
        <w:t xml:space="preserve"> </w:t>
      </w:r>
      <w:r w:rsidR="00F54909" w:rsidRPr="00F54909">
        <w:t>shows that the case-finding strategy identifies women with</w:t>
      </w:r>
      <w:r w:rsidR="00F54909">
        <w:t xml:space="preserve"> </w:t>
      </w:r>
      <w:r w:rsidR="00F54909" w:rsidRPr="00F54909">
        <w:t xml:space="preserve">low BMD. </w:t>
      </w:r>
      <w:bookmarkStart w:id="3" w:name="_Hlk494385811"/>
      <w:r w:rsidR="00A953D5" w:rsidRPr="00A953D5">
        <w:t xml:space="preserve">Moreover, the conclusion that </w:t>
      </w:r>
      <w:r w:rsidR="00A953D5" w:rsidRPr="00A953D5">
        <w:lastRenderedPageBreak/>
        <w:t>these drugs only</w:t>
      </w:r>
      <w:r w:rsidR="00F54909">
        <w:t xml:space="preserve"> </w:t>
      </w:r>
      <w:r w:rsidR="00A953D5" w:rsidRPr="00A953D5">
        <w:t>act in BMD proven osteoporosis is a flawed one, driven by</w:t>
      </w:r>
      <w:r w:rsidR="00A953D5">
        <w:t xml:space="preserve"> </w:t>
      </w:r>
      <w:r w:rsidR="00A953D5" w:rsidRPr="00A953D5">
        <w:t xml:space="preserve">subgroup analyses, most of which are post </w:t>
      </w:r>
      <w:r w:rsidR="00A953D5" w:rsidRPr="00C61FF8">
        <w:t xml:space="preserve">hoc </w:t>
      </w:r>
      <w:r w:rsidR="003B7ED2">
        <w:t>[24</w:t>
      </w:r>
      <w:r w:rsidR="00A953D5" w:rsidRPr="00C61FF8">
        <w:t>]. Indeed, the relevant question in a more statistically appropriate manner is; is there an interaction between</w:t>
      </w:r>
      <w:r w:rsidR="00A953D5" w:rsidRPr="00A953D5">
        <w:t xml:space="preserve"> the</w:t>
      </w:r>
      <w:r w:rsidR="00A953D5">
        <w:t xml:space="preserve"> </w:t>
      </w:r>
      <w:r w:rsidR="00A953D5" w:rsidRPr="00A953D5">
        <w:t>effect of treatment and baseline BMD? All studies that</w:t>
      </w:r>
      <w:r w:rsidR="00A953D5">
        <w:t xml:space="preserve"> </w:t>
      </w:r>
      <w:r w:rsidR="00A953D5" w:rsidRPr="00A953D5">
        <w:t>have examined this for the outcome of vertebral fractures</w:t>
      </w:r>
      <w:r w:rsidR="00A953D5">
        <w:t xml:space="preserve"> </w:t>
      </w:r>
      <w:r w:rsidR="00A953D5" w:rsidRPr="00A953D5">
        <w:t>have not shown any impact of baseline BMD on risk</w:t>
      </w:r>
      <w:r w:rsidR="00A953D5">
        <w:t xml:space="preserve"> </w:t>
      </w:r>
      <w:r w:rsidR="00A953D5" w:rsidRPr="00A953D5">
        <w:t>reduction during therapy.</w:t>
      </w:r>
      <w:bookmarkEnd w:id="3"/>
    </w:p>
    <w:p w14:paraId="207C8B33" w14:textId="64F4D893" w:rsidR="00F54909" w:rsidRDefault="00F54909" w:rsidP="00A953D5">
      <w:pPr>
        <w:spacing w:after="0" w:line="276" w:lineRule="auto"/>
      </w:pPr>
    </w:p>
    <w:p w14:paraId="4A833642" w14:textId="40FF05BF" w:rsidR="00F54909" w:rsidRPr="00F54909" w:rsidRDefault="00F54909" w:rsidP="00F54909">
      <w:pPr>
        <w:spacing w:after="0" w:line="276" w:lineRule="auto"/>
      </w:pPr>
      <w:r w:rsidRPr="00F54909">
        <w:rPr>
          <w:b/>
        </w:rPr>
        <w:t xml:space="preserve">Table </w:t>
      </w:r>
      <w:r>
        <w:rPr>
          <w:b/>
        </w:rPr>
        <w:t>1</w:t>
      </w:r>
      <w:r w:rsidRPr="00F54909">
        <w:t xml:space="preserve"> NOGG strategy applied to women from without prior fracture, by age (/1000) [</w:t>
      </w:r>
      <w:r w:rsidR="003B7ED2">
        <w:t>21</w:t>
      </w:r>
      <w:r w:rsidRPr="00F54909">
        <w:t xml:space="preserve">] with </w:t>
      </w:r>
      <w:r w:rsidRPr="00F54909">
        <w:rPr>
          <w:bCs/>
          <w:lang w:val="sv-SE"/>
        </w:rPr>
        <w:t xml:space="preserve">kind permission from Springer </w:t>
      </w:r>
      <w:r w:rsidRPr="00F54909">
        <w:rPr>
          <w:bCs/>
        </w:rPr>
        <w:t>Science+Business Media B.V.</w:t>
      </w:r>
    </w:p>
    <w:tbl>
      <w:tblPr>
        <w:tblW w:w="0" w:type="auto"/>
        <w:tblBorders>
          <w:top w:val="single" w:sz="4" w:space="0" w:color="auto"/>
          <w:bottom w:val="single" w:sz="4" w:space="0" w:color="auto"/>
        </w:tblBorders>
        <w:tblLook w:val="04A0" w:firstRow="1" w:lastRow="0" w:firstColumn="1" w:lastColumn="0" w:noHBand="0" w:noVBand="1"/>
      </w:tblPr>
      <w:tblGrid>
        <w:gridCol w:w="1464"/>
        <w:gridCol w:w="1464"/>
        <w:gridCol w:w="1464"/>
        <w:gridCol w:w="1464"/>
        <w:gridCol w:w="1464"/>
        <w:gridCol w:w="1464"/>
      </w:tblGrid>
      <w:tr w:rsidR="00F54909" w:rsidRPr="00F54909" w14:paraId="44DD8637" w14:textId="77777777" w:rsidTr="001D05E6">
        <w:tc>
          <w:tcPr>
            <w:tcW w:w="1464" w:type="dxa"/>
            <w:tcBorders>
              <w:top w:val="single" w:sz="4" w:space="0" w:color="auto"/>
              <w:bottom w:val="single" w:sz="4" w:space="0" w:color="auto"/>
            </w:tcBorders>
          </w:tcPr>
          <w:p w14:paraId="26C56E8D" w14:textId="77777777" w:rsidR="00F54909" w:rsidRPr="00F54909" w:rsidRDefault="00F54909" w:rsidP="00F54909">
            <w:pPr>
              <w:spacing w:after="0" w:line="276" w:lineRule="auto"/>
            </w:pPr>
            <w:r w:rsidRPr="00F54909">
              <w:t>Age (years)</w:t>
            </w:r>
          </w:p>
        </w:tc>
        <w:tc>
          <w:tcPr>
            <w:tcW w:w="1464" w:type="dxa"/>
            <w:tcBorders>
              <w:top w:val="single" w:sz="4" w:space="0" w:color="auto"/>
              <w:bottom w:val="single" w:sz="4" w:space="0" w:color="auto"/>
            </w:tcBorders>
          </w:tcPr>
          <w:p w14:paraId="7F2ED243" w14:textId="77777777" w:rsidR="00F54909" w:rsidRPr="00F54909" w:rsidRDefault="00F54909" w:rsidP="00F54909">
            <w:pPr>
              <w:spacing w:after="0" w:line="276" w:lineRule="auto"/>
            </w:pPr>
            <w:r w:rsidRPr="00F54909">
              <w:t>Number scanned</w:t>
            </w:r>
          </w:p>
        </w:tc>
        <w:tc>
          <w:tcPr>
            <w:tcW w:w="1464" w:type="dxa"/>
            <w:tcBorders>
              <w:top w:val="single" w:sz="4" w:space="0" w:color="auto"/>
              <w:bottom w:val="single" w:sz="4" w:space="0" w:color="auto"/>
            </w:tcBorders>
          </w:tcPr>
          <w:p w14:paraId="424559A3" w14:textId="77777777" w:rsidR="00F54909" w:rsidRPr="00F54909" w:rsidRDefault="00F54909" w:rsidP="00F54909">
            <w:pPr>
              <w:spacing w:after="0" w:line="276" w:lineRule="auto"/>
            </w:pPr>
            <w:r w:rsidRPr="00F54909">
              <w:t>Number selected</w:t>
            </w:r>
          </w:p>
        </w:tc>
        <w:tc>
          <w:tcPr>
            <w:tcW w:w="1464" w:type="dxa"/>
            <w:tcBorders>
              <w:top w:val="single" w:sz="4" w:space="0" w:color="auto"/>
              <w:bottom w:val="single" w:sz="4" w:space="0" w:color="auto"/>
            </w:tcBorders>
          </w:tcPr>
          <w:p w14:paraId="798CA172" w14:textId="77777777" w:rsidR="00F54909" w:rsidRPr="00F54909" w:rsidRDefault="00F54909" w:rsidP="00F54909">
            <w:pPr>
              <w:spacing w:after="0" w:line="276" w:lineRule="auto"/>
            </w:pPr>
            <w:r w:rsidRPr="00F54909">
              <w:t>Expected hip fractures</w:t>
            </w:r>
          </w:p>
        </w:tc>
        <w:tc>
          <w:tcPr>
            <w:tcW w:w="1464" w:type="dxa"/>
            <w:tcBorders>
              <w:top w:val="single" w:sz="4" w:space="0" w:color="auto"/>
              <w:bottom w:val="single" w:sz="4" w:space="0" w:color="auto"/>
            </w:tcBorders>
          </w:tcPr>
          <w:p w14:paraId="231A8D73" w14:textId="77777777" w:rsidR="00F54909" w:rsidRPr="00F54909" w:rsidRDefault="00F54909" w:rsidP="00F54909">
            <w:pPr>
              <w:spacing w:after="0" w:line="276" w:lineRule="auto"/>
            </w:pPr>
            <w:r w:rsidRPr="00F54909">
              <w:t>Expected</w:t>
            </w:r>
            <w:r w:rsidRPr="00F54909">
              <w:br/>
              <w:t>MOF</w:t>
            </w:r>
          </w:p>
        </w:tc>
        <w:tc>
          <w:tcPr>
            <w:tcW w:w="1464" w:type="dxa"/>
            <w:tcBorders>
              <w:top w:val="single" w:sz="4" w:space="0" w:color="auto"/>
              <w:bottom w:val="single" w:sz="4" w:space="0" w:color="auto"/>
            </w:tcBorders>
          </w:tcPr>
          <w:p w14:paraId="4CB13225" w14:textId="77777777" w:rsidR="00F54909" w:rsidRPr="00F54909" w:rsidRDefault="00F54909" w:rsidP="00F54909">
            <w:pPr>
              <w:spacing w:after="0" w:line="276" w:lineRule="auto"/>
            </w:pPr>
            <w:r w:rsidRPr="00F54909">
              <w:t xml:space="preserve">Mean FN </w:t>
            </w:r>
            <w:r w:rsidRPr="00F54909">
              <w:br/>
              <w:t>T-score</w:t>
            </w:r>
          </w:p>
        </w:tc>
      </w:tr>
      <w:tr w:rsidR="00F54909" w:rsidRPr="00F54909" w14:paraId="4B2D81B4" w14:textId="77777777" w:rsidTr="001D05E6">
        <w:tc>
          <w:tcPr>
            <w:tcW w:w="1464" w:type="dxa"/>
            <w:tcBorders>
              <w:top w:val="single" w:sz="4" w:space="0" w:color="auto"/>
            </w:tcBorders>
          </w:tcPr>
          <w:p w14:paraId="0172BE7B" w14:textId="77777777" w:rsidR="00F54909" w:rsidRPr="00F54909" w:rsidRDefault="00F54909" w:rsidP="00F54909">
            <w:pPr>
              <w:spacing w:after="0" w:line="276" w:lineRule="auto"/>
            </w:pPr>
            <w:r w:rsidRPr="00F54909">
              <w:t>50</w:t>
            </w:r>
          </w:p>
        </w:tc>
        <w:tc>
          <w:tcPr>
            <w:tcW w:w="1464" w:type="dxa"/>
            <w:tcBorders>
              <w:top w:val="single" w:sz="4" w:space="0" w:color="auto"/>
            </w:tcBorders>
          </w:tcPr>
          <w:p w14:paraId="2A0227A3" w14:textId="77777777" w:rsidR="00F54909" w:rsidRPr="00F54909" w:rsidRDefault="00F54909" w:rsidP="00F54909">
            <w:pPr>
              <w:spacing w:after="0" w:line="276" w:lineRule="auto"/>
            </w:pPr>
            <w:r w:rsidRPr="00F54909">
              <w:t>63</w:t>
            </w:r>
          </w:p>
        </w:tc>
        <w:tc>
          <w:tcPr>
            <w:tcW w:w="1464" w:type="dxa"/>
            <w:tcBorders>
              <w:top w:val="single" w:sz="4" w:space="0" w:color="auto"/>
            </w:tcBorders>
          </w:tcPr>
          <w:p w14:paraId="2FB75F79" w14:textId="77777777" w:rsidR="00F54909" w:rsidRPr="00F54909" w:rsidRDefault="00F54909" w:rsidP="00F54909">
            <w:pPr>
              <w:spacing w:after="0" w:line="276" w:lineRule="auto"/>
            </w:pPr>
            <w:r w:rsidRPr="00F54909">
              <w:t>22</w:t>
            </w:r>
          </w:p>
        </w:tc>
        <w:tc>
          <w:tcPr>
            <w:tcW w:w="1464" w:type="dxa"/>
            <w:tcBorders>
              <w:top w:val="single" w:sz="4" w:space="0" w:color="auto"/>
            </w:tcBorders>
          </w:tcPr>
          <w:p w14:paraId="28D68055" w14:textId="77777777" w:rsidR="00F54909" w:rsidRPr="00F54909" w:rsidRDefault="00F54909" w:rsidP="00F54909">
            <w:pPr>
              <w:spacing w:after="0" w:line="276" w:lineRule="auto"/>
            </w:pPr>
            <w:r w:rsidRPr="00F54909">
              <w:t>2</w:t>
            </w:r>
          </w:p>
        </w:tc>
        <w:tc>
          <w:tcPr>
            <w:tcW w:w="1464" w:type="dxa"/>
            <w:tcBorders>
              <w:top w:val="single" w:sz="4" w:space="0" w:color="auto"/>
            </w:tcBorders>
          </w:tcPr>
          <w:p w14:paraId="48061721" w14:textId="77777777" w:rsidR="00F54909" w:rsidRPr="00F54909" w:rsidRDefault="00F54909" w:rsidP="00F54909">
            <w:pPr>
              <w:spacing w:after="0" w:line="276" w:lineRule="auto"/>
            </w:pPr>
            <w:r w:rsidRPr="00F54909">
              <w:t>52</w:t>
            </w:r>
          </w:p>
        </w:tc>
        <w:tc>
          <w:tcPr>
            <w:tcW w:w="1464" w:type="dxa"/>
            <w:tcBorders>
              <w:top w:val="single" w:sz="4" w:space="0" w:color="auto"/>
            </w:tcBorders>
          </w:tcPr>
          <w:p w14:paraId="2CB231CE" w14:textId="77777777" w:rsidR="00F54909" w:rsidRPr="00F54909" w:rsidRDefault="00F54909" w:rsidP="00F54909">
            <w:pPr>
              <w:spacing w:after="0" w:line="276" w:lineRule="auto"/>
            </w:pPr>
            <w:r w:rsidRPr="00F54909">
              <w:t>-1.78</w:t>
            </w:r>
          </w:p>
        </w:tc>
      </w:tr>
      <w:tr w:rsidR="00F54909" w:rsidRPr="00F54909" w14:paraId="6EBA8E74" w14:textId="77777777" w:rsidTr="001D05E6">
        <w:tc>
          <w:tcPr>
            <w:tcW w:w="1464" w:type="dxa"/>
          </w:tcPr>
          <w:p w14:paraId="2BD5B660" w14:textId="77777777" w:rsidR="00F54909" w:rsidRPr="00F54909" w:rsidRDefault="00F54909" w:rsidP="00F54909">
            <w:pPr>
              <w:spacing w:after="0" w:line="276" w:lineRule="auto"/>
            </w:pPr>
            <w:r w:rsidRPr="00F54909">
              <w:t>55</w:t>
            </w:r>
          </w:p>
        </w:tc>
        <w:tc>
          <w:tcPr>
            <w:tcW w:w="1464" w:type="dxa"/>
          </w:tcPr>
          <w:p w14:paraId="40C24E80" w14:textId="77777777" w:rsidR="00F54909" w:rsidRPr="00F54909" w:rsidRDefault="00F54909" w:rsidP="00F54909">
            <w:pPr>
              <w:spacing w:after="0" w:line="276" w:lineRule="auto"/>
            </w:pPr>
            <w:r w:rsidRPr="00F54909">
              <w:t>48</w:t>
            </w:r>
          </w:p>
        </w:tc>
        <w:tc>
          <w:tcPr>
            <w:tcW w:w="1464" w:type="dxa"/>
          </w:tcPr>
          <w:p w14:paraId="794A653B" w14:textId="77777777" w:rsidR="00F54909" w:rsidRPr="00F54909" w:rsidRDefault="00F54909" w:rsidP="00F54909">
            <w:pPr>
              <w:spacing w:after="0" w:line="276" w:lineRule="auto"/>
            </w:pPr>
            <w:r w:rsidRPr="00F54909">
              <w:t>16</w:t>
            </w:r>
          </w:p>
        </w:tc>
        <w:tc>
          <w:tcPr>
            <w:tcW w:w="1464" w:type="dxa"/>
          </w:tcPr>
          <w:p w14:paraId="361A7561" w14:textId="77777777" w:rsidR="00F54909" w:rsidRPr="00F54909" w:rsidRDefault="00F54909" w:rsidP="00F54909">
            <w:pPr>
              <w:spacing w:after="0" w:line="276" w:lineRule="auto"/>
            </w:pPr>
            <w:r w:rsidRPr="00F54909">
              <w:t>2</w:t>
            </w:r>
          </w:p>
        </w:tc>
        <w:tc>
          <w:tcPr>
            <w:tcW w:w="1464" w:type="dxa"/>
          </w:tcPr>
          <w:p w14:paraId="3015E846" w14:textId="77777777" w:rsidR="00F54909" w:rsidRPr="00F54909" w:rsidRDefault="00F54909" w:rsidP="00F54909">
            <w:pPr>
              <w:spacing w:after="0" w:line="276" w:lineRule="auto"/>
            </w:pPr>
            <w:r w:rsidRPr="00F54909">
              <w:t>27</w:t>
            </w:r>
          </w:p>
        </w:tc>
        <w:tc>
          <w:tcPr>
            <w:tcW w:w="1464" w:type="dxa"/>
          </w:tcPr>
          <w:p w14:paraId="537C9DB2" w14:textId="77777777" w:rsidR="00F54909" w:rsidRPr="00F54909" w:rsidRDefault="00F54909" w:rsidP="00F54909">
            <w:pPr>
              <w:spacing w:after="0" w:line="276" w:lineRule="auto"/>
            </w:pPr>
            <w:r w:rsidRPr="00F54909">
              <w:t>-2.28</w:t>
            </w:r>
          </w:p>
        </w:tc>
      </w:tr>
      <w:tr w:rsidR="00F54909" w:rsidRPr="00F54909" w14:paraId="502B6411" w14:textId="77777777" w:rsidTr="001D05E6">
        <w:tc>
          <w:tcPr>
            <w:tcW w:w="1464" w:type="dxa"/>
          </w:tcPr>
          <w:p w14:paraId="05F7DB59" w14:textId="77777777" w:rsidR="00F54909" w:rsidRPr="00F54909" w:rsidRDefault="00F54909" w:rsidP="00F54909">
            <w:pPr>
              <w:spacing w:after="0" w:line="276" w:lineRule="auto"/>
            </w:pPr>
            <w:r w:rsidRPr="00F54909">
              <w:t>60</w:t>
            </w:r>
          </w:p>
        </w:tc>
        <w:tc>
          <w:tcPr>
            <w:tcW w:w="1464" w:type="dxa"/>
          </w:tcPr>
          <w:p w14:paraId="10A6ABB1" w14:textId="77777777" w:rsidR="00F54909" w:rsidRPr="00F54909" w:rsidRDefault="00F54909" w:rsidP="00F54909">
            <w:pPr>
              <w:spacing w:after="0" w:line="276" w:lineRule="auto"/>
            </w:pPr>
            <w:r w:rsidRPr="00F54909">
              <w:t>59</w:t>
            </w:r>
          </w:p>
        </w:tc>
        <w:tc>
          <w:tcPr>
            <w:tcW w:w="1464" w:type="dxa"/>
          </w:tcPr>
          <w:p w14:paraId="65156E47" w14:textId="77777777" w:rsidR="00F54909" w:rsidRPr="00F54909" w:rsidRDefault="00F54909" w:rsidP="00F54909">
            <w:pPr>
              <w:spacing w:after="0" w:line="276" w:lineRule="auto"/>
            </w:pPr>
            <w:r w:rsidRPr="00F54909">
              <w:t>14</w:t>
            </w:r>
          </w:p>
        </w:tc>
        <w:tc>
          <w:tcPr>
            <w:tcW w:w="1464" w:type="dxa"/>
          </w:tcPr>
          <w:p w14:paraId="023496DA" w14:textId="77777777" w:rsidR="00F54909" w:rsidRPr="00F54909" w:rsidRDefault="00F54909" w:rsidP="00F54909">
            <w:pPr>
              <w:spacing w:after="0" w:line="276" w:lineRule="auto"/>
            </w:pPr>
            <w:r w:rsidRPr="00F54909">
              <w:t>2</w:t>
            </w:r>
          </w:p>
        </w:tc>
        <w:tc>
          <w:tcPr>
            <w:tcW w:w="1464" w:type="dxa"/>
          </w:tcPr>
          <w:p w14:paraId="368BE2BE" w14:textId="77777777" w:rsidR="00F54909" w:rsidRPr="00F54909" w:rsidRDefault="00F54909" w:rsidP="00F54909">
            <w:pPr>
              <w:spacing w:after="0" w:line="276" w:lineRule="auto"/>
            </w:pPr>
            <w:r w:rsidRPr="00F54909">
              <w:t>17</w:t>
            </w:r>
          </w:p>
        </w:tc>
        <w:tc>
          <w:tcPr>
            <w:tcW w:w="1464" w:type="dxa"/>
          </w:tcPr>
          <w:p w14:paraId="2F8659AF" w14:textId="77777777" w:rsidR="00F54909" w:rsidRPr="00F54909" w:rsidRDefault="00F54909" w:rsidP="00F54909">
            <w:pPr>
              <w:spacing w:after="0" w:line="276" w:lineRule="auto"/>
            </w:pPr>
            <w:r w:rsidRPr="00F54909">
              <w:t>-2.67</w:t>
            </w:r>
          </w:p>
        </w:tc>
      </w:tr>
      <w:tr w:rsidR="00F54909" w:rsidRPr="00F54909" w14:paraId="002B46A4" w14:textId="77777777" w:rsidTr="001D05E6">
        <w:tc>
          <w:tcPr>
            <w:tcW w:w="1464" w:type="dxa"/>
          </w:tcPr>
          <w:p w14:paraId="2BAAC3AF" w14:textId="77777777" w:rsidR="00F54909" w:rsidRPr="00F54909" w:rsidRDefault="00F54909" w:rsidP="00F54909">
            <w:pPr>
              <w:spacing w:after="0" w:line="276" w:lineRule="auto"/>
            </w:pPr>
            <w:r w:rsidRPr="00F54909">
              <w:t>65</w:t>
            </w:r>
          </w:p>
        </w:tc>
        <w:tc>
          <w:tcPr>
            <w:tcW w:w="1464" w:type="dxa"/>
          </w:tcPr>
          <w:p w14:paraId="5121CC71" w14:textId="77777777" w:rsidR="00F54909" w:rsidRPr="00F54909" w:rsidRDefault="00F54909" w:rsidP="00F54909">
            <w:pPr>
              <w:spacing w:after="0" w:line="276" w:lineRule="auto"/>
            </w:pPr>
            <w:r w:rsidRPr="00F54909">
              <w:t>131</w:t>
            </w:r>
          </w:p>
        </w:tc>
        <w:tc>
          <w:tcPr>
            <w:tcW w:w="1464" w:type="dxa"/>
          </w:tcPr>
          <w:p w14:paraId="18ACE9EA" w14:textId="77777777" w:rsidR="00F54909" w:rsidRPr="00F54909" w:rsidRDefault="00F54909" w:rsidP="00F54909">
            <w:pPr>
              <w:spacing w:after="0" w:line="276" w:lineRule="auto"/>
            </w:pPr>
            <w:r w:rsidRPr="00F54909">
              <w:t>38</w:t>
            </w:r>
          </w:p>
        </w:tc>
        <w:tc>
          <w:tcPr>
            <w:tcW w:w="1464" w:type="dxa"/>
          </w:tcPr>
          <w:p w14:paraId="3C9667D6" w14:textId="77777777" w:rsidR="00F54909" w:rsidRPr="00F54909" w:rsidRDefault="00F54909" w:rsidP="00F54909">
            <w:pPr>
              <w:spacing w:after="0" w:line="276" w:lineRule="auto"/>
            </w:pPr>
            <w:r w:rsidRPr="00F54909">
              <w:t>7</w:t>
            </w:r>
          </w:p>
        </w:tc>
        <w:tc>
          <w:tcPr>
            <w:tcW w:w="1464" w:type="dxa"/>
          </w:tcPr>
          <w:p w14:paraId="711A4E90" w14:textId="77777777" w:rsidR="00F54909" w:rsidRPr="00F54909" w:rsidRDefault="00F54909" w:rsidP="00F54909">
            <w:pPr>
              <w:spacing w:after="0" w:line="276" w:lineRule="auto"/>
            </w:pPr>
            <w:r w:rsidRPr="00F54909">
              <w:t>48</w:t>
            </w:r>
          </w:p>
        </w:tc>
        <w:tc>
          <w:tcPr>
            <w:tcW w:w="1464" w:type="dxa"/>
          </w:tcPr>
          <w:p w14:paraId="1944D1A4" w14:textId="77777777" w:rsidR="00F54909" w:rsidRPr="00F54909" w:rsidRDefault="00F54909" w:rsidP="00F54909">
            <w:pPr>
              <w:spacing w:after="0" w:line="276" w:lineRule="auto"/>
            </w:pPr>
            <w:r w:rsidRPr="00F54909">
              <w:t>-2.58</w:t>
            </w:r>
          </w:p>
        </w:tc>
      </w:tr>
      <w:tr w:rsidR="00F54909" w:rsidRPr="00F54909" w14:paraId="068A8E7D" w14:textId="77777777" w:rsidTr="001D05E6">
        <w:tc>
          <w:tcPr>
            <w:tcW w:w="1464" w:type="dxa"/>
          </w:tcPr>
          <w:p w14:paraId="1741AEB0" w14:textId="77777777" w:rsidR="00F54909" w:rsidRPr="00F54909" w:rsidRDefault="00F54909" w:rsidP="00F54909">
            <w:pPr>
              <w:spacing w:after="0" w:line="276" w:lineRule="auto"/>
            </w:pPr>
            <w:r w:rsidRPr="00F54909">
              <w:t>70</w:t>
            </w:r>
          </w:p>
        </w:tc>
        <w:tc>
          <w:tcPr>
            <w:tcW w:w="1464" w:type="dxa"/>
          </w:tcPr>
          <w:p w14:paraId="4DD756C0" w14:textId="77777777" w:rsidR="00F54909" w:rsidRPr="00F54909" w:rsidRDefault="00F54909" w:rsidP="00F54909">
            <w:pPr>
              <w:spacing w:after="0" w:line="276" w:lineRule="auto"/>
            </w:pPr>
            <w:r w:rsidRPr="00F54909">
              <w:t>140</w:t>
            </w:r>
          </w:p>
        </w:tc>
        <w:tc>
          <w:tcPr>
            <w:tcW w:w="1464" w:type="dxa"/>
          </w:tcPr>
          <w:p w14:paraId="5927F087" w14:textId="77777777" w:rsidR="00F54909" w:rsidRPr="00F54909" w:rsidRDefault="00F54909" w:rsidP="00F54909">
            <w:pPr>
              <w:spacing w:after="0" w:line="276" w:lineRule="auto"/>
            </w:pPr>
            <w:r w:rsidRPr="00F54909">
              <w:t>29</w:t>
            </w:r>
          </w:p>
        </w:tc>
        <w:tc>
          <w:tcPr>
            <w:tcW w:w="1464" w:type="dxa"/>
          </w:tcPr>
          <w:p w14:paraId="6C4342DB" w14:textId="77777777" w:rsidR="00F54909" w:rsidRPr="00F54909" w:rsidRDefault="00F54909" w:rsidP="00F54909">
            <w:pPr>
              <w:spacing w:after="0" w:line="276" w:lineRule="auto"/>
            </w:pPr>
            <w:r w:rsidRPr="00F54909">
              <w:t>8</w:t>
            </w:r>
          </w:p>
        </w:tc>
        <w:tc>
          <w:tcPr>
            <w:tcW w:w="1464" w:type="dxa"/>
          </w:tcPr>
          <w:p w14:paraId="6B68C743" w14:textId="77777777" w:rsidR="00F54909" w:rsidRPr="00F54909" w:rsidRDefault="00F54909" w:rsidP="00F54909">
            <w:pPr>
              <w:spacing w:after="0" w:line="276" w:lineRule="auto"/>
            </w:pPr>
            <w:r w:rsidRPr="00F54909">
              <w:t>38</w:t>
            </w:r>
          </w:p>
        </w:tc>
        <w:tc>
          <w:tcPr>
            <w:tcW w:w="1464" w:type="dxa"/>
          </w:tcPr>
          <w:p w14:paraId="2DB15159" w14:textId="77777777" w:rsidR="00F54909" w:rsidRPr="00F54909" w:rsidRDefault="00F54909" w:rsidP="00F54909">
            <w:pPr>
              <w:spacing w:after="0" w:line="276" w:lineRule="auto"/>
            </w:pPr>
            <w:r w:rsidRPr="00F54909">
              <w:t>-2.91</w:t>
            </w:r>
          </w:p>
        </w:tc>
      </w:tr>
      <w:tr w:rsidR="00F54909" w:rsidRPr="00F54909" w14:paraId="3BE48A5C" w14:textId="77777777" w:rsidTr="001D05E6">
        <w:tc>
          <w:tcPr>
            <w:tcW w:w="1464" w:type="dxa"/>
          </w:tcPr>
          <w:p w14:paraId="0C890C02" w14:textId="77777777" w:rsidR="00F54909" w:rsidRPr="00F54909" w:rsidRDefault="00F54909" w:rsidP="00F54909">
            <w:pPr>
              <w:spacing w:after="0" w:line="276" w:lineRule="auto"/>
            </w:pPr>
            <w:r w:rsidRPr="00F54909">
              <w:t>75</w:t>
            </w:r>
          </w:p>
        </w:tc>
        <w:tc>
          <w:tcPr>
            <w:tcW w:w="1464" w:type="dxa"/>
          </w:tcPr>
          <w:p w14:paraId="009E5DDB" w14:textId="77777777" w:rsidR="00F54909" w:rsidRPr="00F54909" w:rsidRDefault="00F54909" w:rsidP="00F54909">
            <w:pPr>
              <w:spacing w:after="0" w:line="276" w:lineRule="auto"/>
            </w:pPr>
            <w:r w:rsidRPr="00F54909">
              <w:t>89</w:t>
            </w:r>
          </w:p>
        </w:tc>
        <w:tc>
          <w:tcPr>
            <w:tcW w:w="1464" w:type="dxa"/>
          </w:tcPr>
          <w:p w14:paraId="568345B7" w14:textId="77777777" w:rsidR="00F54909" w:rsidRPr="00F54909" w:rsidRDefault="00F54909" w:rsidP="00F54909">
            <w:pPr>
              <w:spacing w:after="0" w:line="276" w:lineRule="auto"/>
            </w:pPr>
            <w:r w:rsidRPr="00F54909">
              <w:t>18</w:t>
            </w:r>
          </w:p>
        </w:tc>
        <w:tc>
          <w:tcPr>
            <w:tcW w:w="1464" w:type="dxa"/>
          </w:tcPr>
          <w:p w14:paraId="05166F4D" w14:textId="77777777" w:rsidR="00F54909" w:rsidRPr="00F54909" w:rsidRDefault="00F54909" w:rsidP="00F54909">
            <w:pPr>
              <w:spacing w:after="0" w:line="276" w:lineRule="auto"/>
            </w:pPr>
            <w:r w:rsidRPr="00F54909">
              <w:t>6</w:t>
            </w:r>
          </w:p>
        </w:tc>
        <w:tc>
          <w:tcPr>
            <w:tcW w:w="1464" w:type="dxa"/>
          </w:tcPr>
          <w:p w14:paraId="48B8988A" w14:textId="77777777" w:rsidR="00F54909" w:rsidRPr="00F54909" w:rsidRDefault="00F54909" w:rsidP="00F54909">
            <w:pPr>
              <w:spacing w:after="0" w:line="276" w:lineRule="auto"/>
            </w:pPr>
            <w:r w:rsidRPr="00F54909">
              <w:t>23</w:t>
            </w:r>
          </w:p>
        </w:tc>
        <w:tc>
          <w:tcPr>
            <w:tcW w:w="1464" w:type="dxa"/>
          </w:tcPr>
          <w:p w14:paraId="6CC0CF7B" w14:textId="77777777" w:rsidR="00F54909" w:rsidRPr="00F54909" w:rsidRDefault="00F54909" w:rsidP="00F54909">
            <w:pPr>
              <w:spacing w:after="0" w:line="276" w:lineRule="auto"/>
            </w:pPr>
            <w:r w:rsidRPr="00F54909">
              <w:t>-3.35</w:t>
            </w:r>
          </w:p>
        </w:tc>
      </w:tr>
      <w:tr w:rsidR="00F54909" w:rsidRPr="00F54909" w14:paraId="08012855" w14:textId="77777777" w:rsidTr="001D05E6">
        <w:tc>
          <w:tcPr>
            <w:tcW w:w="1464" w:type="dxa"/>
          </w:tcPr>
          <w:p w14:paraId="499CBBD2" w14:textId="77777777" w:rsidR="00F54909" w:rsidRPr="00F54909" w:rsidRDefault="00F54909" w:rsidP="00F54909">
            <w:pPr>
              <w:spacing w:after="0" w:line="276" w:lineRule="auto"/>
            </w:pPr>
            <w:r w:rsidRPr="00F54909">
              <w:t>80</w:t>
            </w:r>
          </w:p>
        </w:tc>
        <w:tc>
          <w:tcPr>
            <w:tcW w:w="1464" w:type="dxa"/>
          </w:tcPr>
          <w:p w14:paraId="1CDE3D4F" w14:textId="77777777" w:rsidR="00F54909" w:rsidRPr="00F54909" w:rsidRDefault="00F54909" w:rsidP="00F54909">
            <w:pPr>
              <w:spacing w:after="0" w:line="276" w:lineRule="auto"/>
            </w:pPr>
            <w:r w:rsidRPr="00F54909">
              <w:t>69</w:t>
            </w:r>
          </w:p>
        </w:tc>
        <w:tc>
          <w:tcPr>
            <w:tcW w:w="1464" w:type="dxa"/>
          </w:tcPr>
          <w:p w14:paraId="14E2C742" w14:textId="77777777" w:rsidR="00F54909" w:rsidRPr="00F54909" w:rsidRDefault="00F54909" w:rsidP="00F54909">
            <w:pPr>
              <w:spacing w:after="0" w:line="276" w:lineRule="auto"/>
            </w:pPr>
            <w:r w:rsidRPr="00F54909">
              <w:t>15</w:t>
            </w:r>
          </w:p>
        </w:tc>
        <w:tc>
          <w:tcPr>
            <w:tcW w:w="1464" w:type="dxa"/>
          </w:tcPr>
          <w:p w14:paraId="5B02F45C" w14:textId="77777777" w:rsidR="00F54909" w:rsidRPr="00F54909" w:rsidRDefault="00F54909" w:rsidP="00F54909">
            <w:pPr>
              <w:spacing w:after="0" w:line="276" w:lineRule="auto"/>
            </w:pPr>
            <w:r w:rsidRPr="00F54909">
              <w:t>6</w:t>
            </w:r>
          </w:p>
        </w:tc>
        <w:tc>
          <w:tcPr>
            <w:tcW w:w="1464" w:type="dxa"/>
          </w:tcPr>
          <w:p w14:paraId="1B654EE8" w14:textId="77777777" w:rsidR="00F54909" w:rsidRPr="00F54909" w:rsidRDefault="00F54909" w:rsidP="00F54909">
            <w:pPr>
              <w:spacing w:after="0" w:line="276" w:lineRule="auto"/>
            </w:pPr>
            <w:r w:rsidRPr="00F54909">
              <w:t>16</w:t>
            </w:r>
          </w:p>
        </w:tc>
        <w:tc>
          <w:tcPr>
            <w:tcW w:w="1464" w:type="dxa"/>
          </w:tcPr>
          <w:p w14:paraId="1890D9D3" w14:textId="77777777" w:rsidR="00F54909" w:rsidRPr="00F54909" w:rsidRDefault="00F54909" w:rsidP="00F54909">
            <w:pPr>
              <w:spacing w:after="0" w:line="276" w:lineRule="auto"/>
            </w:pPr>
            <w:r w:rsidRPr="00F54909">
              <w:t>-3.60</w:t>
            </w:r>
          </w:p>
        </w:tc>
      </w:tr>
      <w:tr w:rsidR="00F54909" w:rsidRPr="00F54909" w14:paraId="679660E1" w14:textId="77777777" w:rsidTr="001D05E6">
        <w:tc>
          <w:tcPr>
            <w:tcW w:w="1464" w:type="dxa"/>
          </w:tcPr>
          <w:p w14:paraId="2F74EC98" w14:textId="77777777" w:rsidR="00F54909" w:rsidRPr="00F54909" w:rsidRDefault="00F54909" w:rsidP="00F54909">
            <w:pPr>
              <w:spacing w:after="0" w:line="276" w:lineRule="auto"/>
            </w:pPr>
            <w:r w:rsidRPr="00F54909">
              <w:t>85</w:t>
            </w:r>
          </w:p>
        </w:tc>
        <w:tc>
          <w:tcPr>
            <w:tcW w:w="1464" w:type="dxa"/>
          </w:tcPr>
          <w:p w14:paraId="33A54109" w14:textId="77777777" w:rsidR="00F54909" w:rsidRPr="00F54909" w:rsidRDefault="00F54909" w:rsidP="00F54909">
            <w:pPr>
              <w:spacing w:after="0" w:line="276" w:lineRule="auto"/>
            </w:pPr>
            <w:r w:rsidRPr="00F54909">
              <w:t>50</w:t>
            </w:r>
          </w:p>
        </w:tc>
        <w:tc>
          <w:tcPr>
            <w:tcW w:w="1464" w:type="dxa"/>
          </w:tcPr>
          <w:p w14:paraId="65BCCA7D" w14:textId="77777777" w:rsidR="00F54909" w:rsidRPr="00F54909" w:rsidRDefault="00F54909" w:rsidP="00F54909">
            <w:pPr>
              <w:spacing w:after="0" w:line="276" w:lineRule="auto"/>
            </w:pPr>
            <w:r w:rsidRPr="00F54909">
              <w:t>15</w:t>
            </w:r>
          </w:p>
        </w:tc>
        <w:tc>
          <w:tcPr>
            <w:tcW w:w="1464" w:type="dxa"/>
          </w:tcPr>
          <w:p w14:paraId="16B0FD8C" w14:textId="77777777" w:rsidR="00F54909" w:rsidRPr="00F54909" w:rsidRDefault="00F54909" w:rsidP="00F54909">
            <w:pPr>
              <w:spacing w:after="0" w:line="276" w:lineRule="auto"/>
            </w:pPr>
            <w:r w:rsidRPr="00F54909">
              <w:t>7</w:t>
            </w:r>
          </w:p>
        </w:tc>
        <w:tc>
          <w:tcPr>
            <w:tcW w:w="1464" w:type="dxa"/>
          </w:tcPr>
          <w:p w14:paraId="1EFB9910" w14:textId="77777777" w:rsidR="00F54909" w:rsidRPr="00F54909" w:rsidRDefault="00F54909" w:rsidP="00F54909">
            <w:pPr>
              <w:spacing w:after="0" w:line="276" w:lineRule="auto"/>
            </w:pPr>
            <w:r w:rsidRPr="00F54909">
              <w:t>20</w:t>
            </w:r>
          </w:p>
        </w:tc>
        <w:tc>
          <w:tcPr>
            <w:tcW w:w="1464" w:type="dxa"/>
          </w:tcPr>
          <w:p w14:paraId="352BACF1" w14:textId="77777777" w:rsidR="00F54909" w:rsidRPr="00F54909" w:rsidRDefault="00F54909" w:rsidP="00F54909">
            <w:pPr>
              <w:spacing w:after="0" w:line="276" w:lineRule="auto"/>
            </w:pPr>
            <w:r w:rsidRPr="00F54909">
              <w:t>-3.66</w:t>
            </w:r>
          </w:p>
        </w:tc>
      </w:tr>
      <w:tr w:rsidR="00F54909" w:rsidRPr="00F54909" w14:paraId="143620E7" w14:textId="77777777" w:rsidTr="001D05E6">
        <w:tc>
          <w:tcPr>
            <w:tcW w:w="1464" w:type="dxa"/>
          </w:tcPr>
          <w:p w14:paraId="0F0F94F2" w14:textId="77777777" w:rsidR="00F54909" w:rsidRPr="00F54909" w:rsidRDefault="00F54909" w:rsidP="00F54909">
            <w:pPr>
              <w:spacing w:after="0" w:line="276" w:lineRule="auto"/>
            </w:pPr>
          </w:p>
        </w:tc>
        <w:tc>
          <w:tcPr>
            <w:tcW w:w="1464" w:type="dxa"/>
          </w:tcPr>
          <w:p w14:paraId="63D1CF65" w14:textId="77777777" w:rsidR="00F54909" w:rsidRPr="00F54909" w:rsidRDefault="00F54909" w:rsidP="00F54909">
            <w:pPr>
              <w:spacing w:after="0" w:line="276" w:lineRule="auto"/>
            </w:pPr>
          </w:p>
        </w:tc>
        <w:tc>
          <w:tcPr>
            <w:tcW w:w="1464" w:type="dxa"/>
          </w:tcPr>
          <w:p w14:paraId="030E3A79" w14:textId="77777777" w:rsidR="00F54909" w:rsidRPr="00F54909" w:rsidRDefault="00F54909" w:rsidP="00F54909">
            <w:pPr>
              <w:spacing w:after="0" w:line="276" w:lineRule="auto"/>
            </w:pPr>
          </w:p>
        </w:tc>
        <w:tc>
          <w:tcPr>
            <w:tcW w:w="1464" w:type="dxa"/>
          </w:tcPr>
          <w:p w14:paraId="53E5F332" w14:textId="77777777" w:rsidR="00F54909" w:rsidRPr="00F54909" w:rsidRDefault="00F54909" w:rsidP="00F54909">
            <w:pPr>
              <w:spacing w:after="0" w:line="276" w:lineRule="auto"/>
            </w:pPr>
            <w:r w:rsidRPr="00F54909">
              <w:fldChar w:fldCharType="begin"/>
            </w:r>
            <w:r w:rsidRPr="00F54909">
              <w:instrText xml:space="preserve"> =SUM(ABOVE) </w:instrText>
            </w:r>
            <w:r w:rsidRPr="00F54909">
              <w:fldChar w:fldCharType="separate"/>
            </w:r>
            <w:r w:rsidRPr="00F54909">
              <w:t>40</w:t>
            </w:r>
            <w:r w:rsidRPr="00F54909">
              <w:fldChar w:fldCharType="end"/>
            </w:r>
          </w:p>
        </w:tc>
        <w:tc>
          <w:tcPr>
            <w:tcW w:w="1464" w:type="dxa"/>
          </w:tcPr>
          <w:p w14:paraId="37AFAAB2" w14:textId="77777777" w:rsidR="00F54909" w:rsidRPr="00F54909" w:rsidRDefault="00F54909" w:rsidP="00F54909">
            <w:pPr>
              <w:spacing w:after="0" w:line="276" w:lineRule="auto"/>
            </w:pPr>
            <w:r w:rsidRPr="00F54909">
              <w:fldChar w:fldCharType="begin"/>
            </w:r>
            <w:r w:rsidRPr="00F54909">
              <w:instrText xml:space="preserve"> =SUM(ABOVE) </w:instrText>
            </w:r>
            <w:r w:rsidRPr="00F54909">
              <w:fldChar w:fldCharType="separate"/>
            </w:r>
            <w:r w:rsidRPr="00F54909">
              <w:t>241</w:t>
            </w:r>
            <w:r w:rsidRPr="00F54909">
              <w:fldChar w:fldCharType="end"/>
            </w:r>
          </w:p>
        </w:tc>
        <w:tc>
          <w:tcPr>
            <w:tcW w:w="1464" w:type="dxa"/>
          </w:tcPr>
          <w:p w14:paraId="69343DDC" w14:textId="77777777" w:rsidR="00F54909" w:rsidRPr="00F54909" w:rsidRDefault="00F54909" w:rsidP="00F54909">
            <w:pPr>
              <w:spacing w:after="0" w:line="276" w:lineRule="auto"/>
            </w:pPr>
          </w:p>
        </w:tc>
      </w:tr>
    </w:tbl>
    <w:p w14:paraId="7B98FAAE" w14:textId="77777777" w:rsidR="00F54909" w:rsidRPr="00F54909" w:rsidRDefault="00F54909" w:rsidP="00F54909">
      <w:pPr>
        <w:spacing w:after="0" w:line="276" w:lineRule="auto"/>
      </w:pPr>
      <w:r w:rsidRPr="00F54909">
        <w:t>FN femoral neck</w:t>
      </w:r>
    </w:p>
    <w:p w14:paraId="36D5F154" w14:textId="77777777" w:rsidR="00F54909" w:rsidRPr="00F54909" w:rsidRDefault="00F54909" w:rsidP="00F54909">
      <w:pPr>
        <w:spacing w:after="0" w:line="276" w:lineRule="auto"/>
      </w:pPr>
      <w:r w:rsidRPr="00F54909">
        <w:t>MOF major osteoporotic fracture (hip, clinical spine, forearm, proximal humerus)</w:t>
      </w:r>
    </w:p>
    <w:p w14:paraId="20257052" w14:textId="77777777" w:rsidR="00F54909" w:rsidRDefault="00F54909" w:rsidP="00A953D5">
      <w:pPr>
        <w:spacing w:after="0" w:line="276" w:lineRule="auto"/>
      </w:pPr>
    </w:p>
    <w:p w14:paraId="2DC117C8" w14:textId="63BA2DCB" w:rsidR="00A953D5" w:rsidRDefault="00A953D5" w:rsidP="00A953D5">
      <w:pPr>
        <w:spacing w:after="0" w:line="276" w:lineRule="auto"/>
      </w:pPr>
    </w:p>
    <w:p w14:paraId="5F070C83" w14:textId="49E74E27" w:rsidR="00C12CA3" w:rsidRPr="00E22A7C" w:rsidRDefault="00A953D5" w:rsidP="00C12CA3">
      <w:pPr>
        <w:spacing w:after="0" w:line="276" w:lineRule="auto"/>
        <w:rPr>
          <w:bCs/>
        </w:rPr>
      </w:pPr>
      <w:bookmarkStart w:id="4" w:name="_Hlk494756755"/>
      <w:r>
        <w:t xml:space="preserve">The ACP acknowledges </w:t>
      </w:r>
      <w:r w:rsidRPr="00A953D5">
        <w:t>that ‘moderate-quality evidence from post hoc analysis of 1 RCT showed no significant interaction between fracture risk as assessed by FRAX and the efficacy of raloxifene for reducing the relative risk for vertebral fractures in women older than 75 years.</w:t>
      </w:r>
      <w:r w:rsidR="00894BF0">
        <w:t xml:space="preserve"> </w:t>
      </w:r>
      <w:r w:rsidR="006E4940">
        <w:t xml:space="preserve"> </w:t>
      </w:r>
      <w:r w:rsidR="00894BF0">
        <w:t>It neglected to indicate that similar findings for a majority of interventions used in osteoporosis</w:t>
      </w:r>
      <w:r w:rsidR="006E4940">
        <w:t xml:space="preserve"> including strontium </w:t>
      </w:r>
      <w:r w:rsidR="006E4940" w:rsidRPr="00467C92">
        <w:t>ranelate,</w:t>
      </w:r>
      <w:r w:rsidR="00894BF0" w:rsidRPr="00467C92">
        <w:t xml:space="preserve"> [</w:t>
      </w:r>
      <w:r w:rsidR="003B7ED2">
        <w:t>25</w:t>
      </w:r>
      <w:r w:rsidR="00FB7128">
        <w:rPr>
          <w:lang w:val="en-US"/>
        </w:rPr>
        <w:t>]</w:t>
      </w:r>
      <w:r w:rsidR="006E4940" w:rsidRPr="00467C92">
        <w:rPr>
          <w:lang w:val="en-US"/>
        </w:rPr>
        <w:t>, raloxifene</w:t>
      </w:r>
      <w:bookmarkStart w:id="5" w:name="_ENREF_5"/>
      <w:r w:rsidR="006E4940" w:rsidRPr="00467C92">
        <w:rPr>
          <w:lang w:val="en-US"/>
        </w:rPr>
        <w:t xml:space="preserve"> [</w:t>
      </w:r>
      <w:r w:rsidR="003B7ED2">
        <w:rPr>
          <w:lang w:val="en-US"/>
        </w:rPr>
        <w:t>26, 27</w:t>
      </w:r>
      <w:bookmarkStart w:id="6" w:name="_ENREF_6"/>
      <w:bookmarkEnd w:id="5"/>
      <w:r w:rsidR="00F54909" w:rsidRPr="00467C92">
        <w:rPr>
          <w:lang w:val="en-US"/>
        </w:rPr>
        <w:t>], bazedoxifene</w:t>
      </w:r>
      <w:r w:rsidR="006E4940" w:rsidRPr="00467C92">
        <w:rPr>
          <w:lang w:val="en-US"/>
        </w:rPr>
        <w:t xml:space="preserve"> </w:t>
      </w:r>
      <w:bookmarkEnd w:id="6"/>
      <w:r w:rsidR="006E4940" w:rsidRPr="00467C92">
        <w:rPr>
          <w:lang w:val="en-US"/>
        </w:rPr>
        <w:t>[</w:t>
      </w:r>
      <w:r w:rsidR="003B7ED2">
        <w:rPr>
          <w:lang w:val="en-US"/>
        </w:rPr>
        <w:t>26</w:t>
      </w:r>
      <w:r w:rsidR="006E4940" w:rsidRPr="00467C92">
        <w:rPr>
          <w:lang w:val="en-US"/>
        </w:rPr>
        <w:t xml:space="preserve">], clodronate </w:t>
      </w:r>
      <w:bookmarkStart w:id="7" w:name="_ENREF_7"/>
      <w:r w:rsidR="006E4940" w:rsidRPr="00467C92">
        <w:rPr>
          <w:lang w:val="en-US"/>
        </w:rPr>
        <w:t>[</w:t>
      </w:r>
      <w:r w:rsidR="008E1947">
        <w:rPr>
          <w:lang w:val="en-US"/>
        </w:rPr>
        <w:t>28</w:t>
      </w:r>
      <w:r w:rsidR="006E4940" w:rsidRPr="00467C92">
        <w:rPr>
          <w:lang w:val="en-US"/>
        </w:rPr>
        <w:t>]</w:t>
      </w:r>
      <w:bookmarkEnd w:id="7"/>
      <w:r w:rsidR="006E4940" w:rsidRPr="00467C92">
        <w:rPr>
          <w:lang w:val="en-US"/>
        </w:rPr>
        <w:t xml:space="preserve">, daily and weekly teriparatide </w:t>
      </w:r>
      <w:bookmarkStart w:id="8" w:name="_ENREF_8"/>
      <w:r w:rsidR="00F54909">
        <w:rPr>
          <w:lang w:val="en-US"/>
        </w:rPr>
        <w:t>[</w:t>
      </w:r>
      <w:r w:rsidR="008E1947">
        <w:rPr>
          <w:lang w:val="en-US"/>
        </w:rPr>
        <w:t>29, 30</w:t>
      </w:r>
      <w:r w:rsidR="006E4940" w:rsidRPr="00467C92">
        <w:rPr>
          <w:lang w:val="en-US"/>
        </w:rPr>
        <w:t>]</w:t>
      </w:r>
      <w:bookmarkEnd w:id="8"/>
      <w:r w:rsidR="00D8342E" w:rsidRPr="00467C92">
        <w:rPr>
          <w:lang w:val="en-US"/>
        </w:rPr>
        <w:t>, abaloparatide [</w:t>
      </w:r>
      <w:r w:rsidR="008E1947">
        <w:rPr>
          <w:lang w:val="en-US"/>
        </w:rPr>
        <w:t>31</w:t>
      </w:r>
      <w:r w:rsidR="00D8342E" w:rsidRPr="00467C92">
        <w:rPr>
          <w:lang w:val="en-US"/>
        </w:rPr>
        <w:t xml:space="preserve">], </w:t>
      </w:r>
      <w:r w:rsidR="00D8342E" w:rsidRPr="00685484">
        <w:rPr>
          <w:lang w:val="en-US"/>
        </w:rPr>
        <w:t>denosumab</w:t>
      </w:r>
      <w:r w:rsidR="006E4940" w:rsidRPr="00685484">
        <w:rPr>
          <w:lang w:val="en-US"/>
        </w:rPr>
        <w:t xml:space="preserve"> </w:t>
      </w:r>
      <w:r w:rsidR="00D8342E" w:rsidRPr="00685484">
        <w:rPr>
          <w:lang w:val="en-US"/>
        </w:rPr>
        <w:t>[</w:t>
      </w:r>
      <w:r w:rsidR="008E1947">
        <w:rPr>
          <w:lang w:val="en-US"/>
        </w:rPr>
        <w:t>32</w:t>
      </w:r>
      <w:r w:rsidR="00D8342E" w:rsidRPr="00685484">
        <w:rPr>
          <w:lang w:val="en-US"/>
        </w:rPr>
        <w:t>]</w:t>
      </w:r>
      <w:r w:rsidR="00467C92">
        <w:rPr>
          <w:lang w:val="en-US"/>
        </w:rPr>
        <w:t xml:space="preserve"> </w:t>
      </w:r>
      <w:r w:rsidR="00467C92" w:rsidRPr="00685484">
        <w:rPr>
          <w:lang w:val="en-US"/>
        </w:rPr>
        <w:t>alendronate [</w:t>
      </w:r>
      <w:r w:rsidR="008E1947">
        <w:rPr>
          <w:lang w:val="en-US"/>
        </w:rPr>
        <w:t>33</w:t>
      </w:r>
      <w:r w:rsidR="00467C92">
        <w:rPr>
          <w:lang w:val="en-US"/>
        </w:rPr>
        <w:t>]</w:t>
      </w:r>
      <w:r w:rsidR="00FB7128">
        <w:rPr>
          <w:lang w:val="en-US"/>
        </w:rPr>
        <w:t xml:space="preserve"> </w:t>
      </w:r>
      <w:r w:rsidR="00D8342E" w:rsidRPr="00467C92">
        <w:rPr>
          <w:lang w:val="en-US"/>
        </w:rPr>
        <w:t xml:space="preserve">as well as a basket of interventions used by general practitioners </w:t>
      </w:r>
      <w:r w:rsidR="00D8342E" w:rsidRPr="00467C92">
        <w:rPr>
          <w:lang w:val="en-US"/>
        </w:rPr>
        <w:lastRenderedPageBreak/>
        <w:t xml:space="preserve">in </w:t>
      </w:r>
      <w:r w:rsidR="00D8342E" w:rsidRPr="00E22A7C">
        <w:rPr>
          <w:lang w:val="en-US"/>
        </w:rPr>
        <w:t xml:space="preserve">the UK </w:t>
      </w:r>
      <w:bookmarkStart w:id="9" w:name="_Hlk494333147"/>
      <w:bookmarkStart w:id="10" w:name="_Hlk494333587"/>
      <w:r w:rsidR="0022188E">
        <w:rPr>
          <w:lang w:val="en-US"/>
        </w:rPr>
        <w:t>[</w:t>
      </w:r>
      <w:r w:rsidR="008E1947">
        <w:rPr>
          <w:lang w:val="en-US"/>
        </w:rPr>
        <w:t>34</w:t>
      </w:r>
      <w:bookmarkEnd w:id="9"/>
      <w:r w:rsidR="00467C92" w:rsidRPr="00E22A7C">
        <w:rPr>
          <w:bCs/>
        </w:rPr>
        <w:t>]</w:t>
      </w:r>
      <w:r w:rsidR="006E4940" w:rsidRPr="00E22A7C">
        <w:rPr>
          <w:bCs/>
        </w:rPr>
        <w:t>.</w:t>
      </w:r>
      <w:bookmarkEnd w:id="10"/>
      <w:r w:rsidR="00467C92" w:rsidRPr="00E22A7C">
        <w:t xml:space="preserve"> </w:t>
      </w:r>
      <w:r w:rsidR="0022188E">
        <w:t xml:space="preserve"> </w:t>
      </w:r>
      <w:r w:rsidR="00C12CA3" w:rsidRPr="00E22A7C">
        <w:t xml:space="preserve">Most of these were post hoc but, in the case of denosumab, was a pre-planned analysis.  In addition, </w:t>
      </w:r>
      <w:r w:rsidR="00467C92" w:rsidRPr="00E22A7C">
        <w:t>the</w:t>
      </w:r>
      <w:r w:rsidR="00206D51" w:rsidRPr="00206D51">
        <w:rPr>
          <w:rFonts w:ascii="Calibri" w:eastAsia="Verdana" w:hAnsi="Calibri" w:cs="Verdana"/>
          <w:lang w:val="en-US"/>
        </w:rPr>
        <w:t xml:space="preserve"> </w:t>
      </w:r>
      <w:r w:rsidR="00206D51">
        <w:rPr>
          <w:rFonts w:ascii="Calibri" w:eastAsia="Verdana" w:hAnsi="Calibri" w:cs="Verdana"/>
          <w:lang w:val="en-US"/>
        </w:rPr>
        <w:t>‘</w:t>
      </w:r>
      <w:r w:rsidR="00206D51" w:rsidRPr="00206D51">
        <w:rPr>
          <w:lang w:val="en-US"/>
        </w:rPr>
        <w:t>screening for prevention of fractures in older women’</w:t>
      </w:r>
      <w:r w:rsidR="00467C92" w:rsidRPr="00E22A7C">
        <w:t xml:space="preserve"> (SCOOP) </w:t>
      </w:r>
      <w:r w:rsidR="00206D51">
        <w:t xml:space="preserve">study </w:t>
      </w:r>
      <w:r w:rsidR="00467C92" w:rsidRPr="00E22A7C">
        <w:t>was a</w:t>
      </w:r>
      <w:r w:rsidR="00C12CA3" w:rsidRPr="00E22A7C">
        <w:t xml:space="preserve"> prospective </w:t>
      </w:r>
      <w:r w:rsidR="00467C92" w:rsidRPr="00E22A7C">
        <w:t>randomised</w:t>
      </w:r>
      <w:r w:rsidR="00C12CA3" w:rsidRPr="00E22A7C">
        <w:t xml:space="preserve"> </w:t>
      </w:r>
      <w:r w:rsidR="00467C92" w:rsidRPr="00E22A7C">
        <w:t>study</w:t>
      </w:r>
      <w:r w:rsidR="00C12CA3" w:rsidRPr="00E22A7C">
        <w:t xml:space="preserve"> </w:t>
      </w:r>
      <w:r w:rsidR="00467C92" w:rsidRPr="00E22A7C">
        <w:t>that</w:t>
      </w:r>
      <w:r w:rsidR="00C12CA3" w:rsidRPr="00E22A7C">
        <w:t xml:space="preserve"> </w:t>
      </w:r>
      <w:r w:rsidR="00467C92" w:rsidRPr="00E22A7C">
        <w:t>demonstrated</w:t>
      </w:r>
      <w:r w:rsidR="00C12CA3" w:rsidRPr="00E22A7C">
        <w:t xml:space="preserve"> efficacy for hip fracture in women selected on the basis of </w:t>
      </w:r>
      <w:r w:rsidR="00467C92" w:rsidRPr="00E22A7C">
        <w:t xml:space="preserve">hip fracture probability assessed </w:t>
      </w:r>
      <w:r w:rsidR="00467C92" w:rsidRPr="0022188E">
        <w:t>using FRAX</w:t>
      </w:r>
      <w:r w:rsidR="00C12CA3" w:rsidRPr="0022188E">
        <w:t xml:space="preserve"> </w:t>
      </w:r>
      <w:bookmarkStart w:id="11" w:name="_Hlk494331296"/>
      <w:r w:rsidR="00467C92" w:rsidRPr="0022188E">
        <w:rPr>
          <w:lang w:val="en-US"/>
        </w:rPr>
        <w:t>[</w:t>
      </w:r>
      <w:r w:rsidR="008E1947" w:rsidRPr="0022188E">
        <w:rPr>
          <w:lang w:val="en-US"/>
        </w:rPr>
        <w:t>34</w:t>
      </w:r>
      <w:r w:rsidR="00467C92" w:rsidRPr="0022188E">
        <w:rPr>
          <w:bCs/>
        </w:rPr>
        <w:t>].</w:t>
      </w:r>
    </w:p>
    <w:bookmarkEnd w:id="4"/>
    <w:bookmarkEnd w:id="11"/>
    <w:p w14:paraId="2C77D735" w14:textId="77777777" w:rsidR="00C12CA3" w:rsidRPr="00E22A7C" w:rsidRDefault="00C12CA3" w:rsidP="00C12CA3">
      <w:pPr>
        <w:spacing w:after="0" w:line="276" w:lineRule="auto"/>
        <w:rPr>
          <w:bCs/>
          <w:i/>
        </w:rPr>
      </w:pPr>
    </w:p>
    <w:p w14:paraId="64D111E4" w14:textId="1FC7DFAA" w:rsidR="00756848" w:rsidRPr="00756848" w:rsidRDefault="00756848" w:rsidP="00756848">
      <w:pPr>
        <w:spacing w:after="0" w:line="276" w:lineRule="auto"/>
      </w:pPr>
      <w:r w:rsidRPr="00756848">
        <w:t xml:space="preserve">It is axiomatic that different intervention thresholds will identify different patients at different risk.  Some examples are given in Table </w:t>
      </w:r>
      <w:r w:rsidR="008E63D2">
        <w:t>2</w:t>
      </w:r>
      <w:r w:rsidRPr="00756848">
        <w:t xml:space="preserve"> based on the National Health and Nutrition Examination Survey (NHANES) 2005–2008</w:t>
      </w:r>
      <w:r w:rsidR="008E63D2">
        <w:t xml:space="preserve"> [</w:t>
      </w:r>
      <w:r w:rsidR="008E1947">
        <w:t>35, 36</w:t>
      </w:r>
      <w:r w:rsidR="008E63D2">
        <w:t>]</w:t>
      </w:r>
      <w:r w:rsidRPr="00756848">
        <w:t>.</w:t>
      </w:r>
      <w:r w:rsidR="008E63D2">
        <w:rPr>
          <w:vertAlign w:val="superscript"/>
        </w:rPr>
        <w:t xml:space="preserve"> </w:t>
      </w:r>
      <w:r w:rsidRPr="00756848">
        <w:t xml:space="preserve"> It is of interest that the </w:t>
      </w:r>
      <w:r w:rsidR="008E63D2">
        <w:t xml:space="preserve">ACP </w:t>
      </w:r>
      <w:r w:rsidRPr="00756848">
        <w:t>guideline select</w:t>
      </w:r>
      <w:r w:rsidR="001D05E6">
        <w:t>s</w:t>
      </w:r>
      <w:r w:rsidRPr="00756848">
        <w:t xml:space="preserve"> the greate</w:t>
      </w:r>
      <w:r w:rsidR="001D05E6">
        <w:t>r</w:t>
      </w:r>
      <w:r w:rsidRPr="00756848">
        <w:t xml:space="preserve"> number of patients eligible for treatment </w:t>
      </w:r>
      <w:r w:rsidR="001D05E6">
        <w:t>than</w:t>
      </w:r>
      <w:r w:rsidRPr="00756848">
        <w:t xml:space="preserve"> an age-specific</w:t>
      </w:r>
      <w:r w:rsidR="001D05E6">
        <w:t xml:space="preserve"> FRAX</w:t>
      </w:r>
      <w:r w:rsidRPr="00756848">
        <w:t xml:space="preserve"> threshold </w:t>
      </w:r>
      <w:r w:rsidR="001D05E6">
        <w:t xml:space="preserve">but the latter </w:t>
      </w:r>
      <w:r w:rsidRPr="00756848">
        <w:t xml:space="preserve">identifies a population at </w:t>
      </w:r>
      <w:r w:rsidR="001D05E6">
        <w:t xml:space="preserve">much higher </w:t>
      </w:r>
      <w:r w:rsidRPr="00756848">
        <w:t xml:space="preserve">risk. </w:t>
      </w:r>
    </w:p>
    <w:p w14:paraId="43A852EF" w14:textId="77777777" w:rsidR="00756848" w:rsidRPr="00756848" w:rsidRDefault="00756848" w:rsidP="00756848">
      <w:pPr>
        <w:spacing w:after="0" w:line="276" w:lineRule="auto"/>
      </w:pPr>
    </w:p>
    <w:p w14:paraId="2B828560" w14:textId="2E1750F5" w:rsidR="00756848" w:rsidRPr="00756848" w:rsidRDefault="00756848" w:rsidP="00756848">
      <w:pPr>
        <w:spacing w:after="0" w:line="276" w:lineRule="auto"/>
      </w:pPr>
      <w:bookmarkStart w:id="12" w:name="_Hlk494931602"/>
      <w:r w:rsidRPr="00756848">
        <w:rPr>
          <w:b/>
        </w:rPr>
        <w:t xml:space="preserve">Table </w:t>
      </w:r>
      <w:r w:rsidR="009A145E">
        <w:rPr>
          <w:b/>
        </w:rPr>
        <w:t>2</w:t>
      </w:r>
      <w:r w:rsidRPr="00756848">
        <w:rPr>
          <w:b/>
        </w:rPr>
        <w:t>.</w:t>
      </w:r>
      <w:r w:rsidRPr="00756848">
        <w:t xml:space="preserve">  Number selected as being above the intervention threshold and the proportion who will fracture over 10 years (mean 10-year fracture probability of major osteoporotic fracture (MOP) and hip fracture) in men and women aged 50 years or more from the NHANES cohort according to different intervention thresholds [</w:t>
      </w:r>
      <w:r w:rsidR="008E1947">
        <w:t>36</w:t>
      </w:r>
      <w:r w:rsidR="00525269">
        <w:t xml:space="preserve">, with kind permission of </w:t>
      </w:r>
      <w:r w:rsidR="0034270B" w:rsidRPr="0022188E">
        <w:t xml:space="preserve">John </w:t>
      </w:r>
      <w:r w:rsidR="00525269" w:rsidRPr="0022188E">
        <w:t>Wiley</w:t>
      </w:r>
      <w:r w:rsidR="0034270B" w:rsidRPr="0022188E">
        <w:t xml:space="preserve"> and</w:t>
      </w:r>
      <w:r w:rsidR="0034270B">
        <w:t xml:space="preserve"> Sons</w:t>
      </w:r>
      <w:r w:rsidR="00206D51">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831"/>
        <w:gridCol w:w="868"/>
        <w:gridCol w:w="707"/>
        <w:gridCol w:w="284"/>
        <w:gridCol w:w="831"/>
        <w:gridCol w:w="891"/>
        <w:gridCol w:w="798"/>
      </w:tblGrid>
      <w:tr w:rsidR="00756848" w:rsidRPr="00756848" w14:paraId="7B5B59B2" w14:textId="77777777" w:rsidTr="001D05E6">
        <w:tc>
          <w:tcPr>
            <w:tcW w:w="3823" w:type="dxa"/>
          </w:tcPr>
          <w:p w14:paraId="49437297" w14:textId="77777777" w:rsidR="00756848" w:rsidRPr="00756848" w:rsidRDefault="00756848" w:rsidP="00756848">
            <w:pPr>
              <w:spacing w:line="276" w:lineRule="auto"/>
            </w:pPr>
          </w:p>
        </w:tc>
        <w:tc>
          <w:tcPr>
            <w:tcW w:w="832" w:type="dxa"/>
            <w:tcBorders>
              <w:top w:val="single" w:sz="4" w:space="0" w:color="auto"/>
              <w:bottom w:val="single" w:sz="4" w:space="0" w:color="auto"/>
            </w:tcBorders>
          </w:tcPr>
          <w:p w14:paraId="3B8FE5F8" w14:textId="77777777" w:rsidR="00756848" w:rsidRPr="00756848" w:rsidRDefault="00756848" w:rsidP="00756848">
            <w:pPr>
              <w:spacing w:line="276" w:lineRule="auto"/>
            </w:pPr>
          </w:p>
        </w:tc>
        <w:tc>
          <w:tcPr>
            <w:tcW w:w="869" w:type="dxa"/>
            <w:tcBorders>
              <w:top w:val="single" w:sz="4" w:space="0" w:color="auto"/>
              <w:bottom w:val="single" w:sz="4" w:space="0" w:color="auto"/>
            </w:tcBorders>
          </w:tcPr>
          <w:p w14:paraId="1A763024" w14:textId="77777777" w:rsidR="00756848" w:rsidRPr="00756848" w:rsidRDefault="00756848" w:rsidP="00756848">
            <w:pPr>
              <w:spacing w:line="276" w:lineRule="auto"/>
            </w:pPr>
            <w:r w:rsidRPr="00756848">
              <w:t>men</w:t>
            </w:r>
          </w:p>
        </w:tc>
        <w:tc>
          <w:tcPr>
            <w:tcW w:w="708" w:type="dxa"/>
            <w:tcBorders>
              <w:top w:val="single" w:sz="4" w:space="0" w:color="auto"/>
              <w:bottom w:val="single" w:sz="4" w:space="0" w:color="auto"/>
            </w:tcBorders>
          </w:tcPr>
          <w:p w14:paraId="43218EC6" w14:textId="77777777" w:rsidR="00756848" w:rsidRPr="00756848" w:rsidRDefault="00756848" w:rsidP="00756848">
            <w:pPr>
              <w:spacing w:line="276" w:lineRule="auto"/>
            </w:pPr>
          </w:p>
        </w:tc>
        <w:tc>
          <w:tcPr>
            <w:tcW w:w="284" w:type="dxa"/>
          </w:tcPr>
          <w:p w14:paraId="796F1685" w14:textId="77777777" w:rsidR="00756848" w:rsidRPr="00756848" w:rsidRDefault="00756848" w:rsidP="00756848">
            <w:pPr>
              <w:spacing w:line="276" w:lineRule="auto"/>
            </w:pPr>
          </w:p>
        </w:tc>
        <w:tc>
          <w:tcPr>
            <w:tcW w:w="832" w:type="dxa"/>
            <w:tcBorders>
              <w:top w:val="single" w:sz="4" w:space="0" w:color="auto"/>
              <w:bottom w:val="single" w:sz="4" w:space="0" w:color="auto"/>
            </w:tcBorders>
          </w:tcPr>
          <w:p w14:paraId="35BFEF4B" w14:textId="77777777" w:rsidR="00756848" w:rsidRPr="00756848" w:rsidRDefault="00756848" w:rsidP="00756848">
            <w:pPr>
              <w:spacing w:line="276" w:lineRule="auto"/>
            </w:pPr>
          </w:p>
        </w:tc>
        <w:tc>
          <w:tcPr>
            <w:tcW w:w="869" w:type="dxa"/>
            <w:tcBorders>
              <w:top w:val="single" w:sz="4" w:space="0" w:color="auto"/>
              <w:bottom w:val="single" w:sz="4" w:space="0" w:color="auto"/>
            </w:tcBorders>
          </w:tcPr>
          <w:p w14:paraId="1F4BD735" w14:textId="77777777" w:rsidR="00756848" w:rsidRPr="00756848" w:rsidRDefault="00756848" w:rsidP="00756848">
            <w:pPr>
              <w:spacing w:line="276" w:lineRule="auto"/>
            </w:pPr>
            <w:r w:rsidRPr="00756848">
              <w:t>women</w:t>
            </w:r>
          </w:p>
        </w:tc>
        <w:tc>
          <w:tcPr>
            <w:tcW w:w="799" w:type="dxa"/>
            <w:tcBorders>
              <w:top w:val="single" w:sz="4" w:space="0" w:color="auto"/>
              <w:bottom w:val="single" w:sz="4" w:space="0" w:color="auto"/>
            </w:tcBorders>
          </w:tcPr>
          <w:p w14:paraId="3B8BC041" w14:textId="77777777" w:rsidR="00756848" w:rsidRPr="00756848" w:rsidRDefault="00756848" w:rsidP="00756848">
            <w:pPr>
              <w:spacing w:line="276" w:lineRule="auto"/>
            </w:pPr>
          </w:p>
        </w:tc>
      </w:tr>
      <w:tr w:rsidR="00756848" w:rsidRPr="00756848" w14:paraId="4C54B95B" w14:textId="77777777" w:rsidTr="001D05E6">
        <w:tc>
          <w:tcPr>
            <w:tcW w:w="3823" w:type="dxa"/>
            <w:tcBorders>
              <w:bottom w:val="nil"/>
            </w:tcBorders>
          </w:tcPr>
          <w:p w14:paraId="7A8D0AEE" w14:textId="77777777" w:rsidR="00756848" w:rsidRPr="00756848" w:rsidRDefault="00756848" w:rsidP="00756848">
            <w:pPr>
              <w:spacing w:line="276" w:lineRule="auto"/>
            </w:pPr>
          </w:p>
        </w:tc>
        <w:tc>
          <w:tcPr>
            <w:tcW w:w="832" w:type="dxa"/>
            <w:tcBorders>
              <w:top w:val="single" w:sz="4" w:space="0" w:color="auto"/>
              <w:bottom w:val="nil"/>
            </w:tcBorders>
          </w:tcPr>
          <w:p w14:paraId="0FE943AD" w14:textId="77777777" w:rsidR="00756848" w:rsidRPr="00756848" w:rsidRDefault="00756848" w:rsidP="00756848">
            <w:pPr>
              <w:spacing w:line="276" w:lineRule="auto"/>
            </w:pPr>
          </w:p>
        </w:tc>
        <w:tc>
          <w:tcPr>
            <w:tcW w:w="1577" w:type="dxa"/>
            <w:gridSpan w:val="2"/>
            <w:tcBorders>
              <w:top w:val="single" w:sz="4" w:space="0" w:color="auto"/>
              <w:bottom w:val="nil"/>
            </w:tcBorders>
          </w:tcPr>
          <w:p w14:paraId="02D5F707" w14:textId="77777777" w:rsidR="00756848" w:rsidRPr="00756848" w:rsidRDefault="00756848" w:rsidP="00756848">
            <w:pPr>
              <w:spacing w:line="276" w:lineRule="auto"/>
            </w:pPr>
            <w:r w:rsidRPr="00756848">
              <w:t>% who fracture</w:t>
            </w:r>
          </w:p>
        </w:tc>
        <w:tc>
          <w:tcPr>
            <w:tcW w:w="284" w:type="dxa"/>
            <w:tcBorders>
              <w:bottom w:val="nil"/>
            </w:tcBorders>
          </w:tcPr>
          <w:p w14:paraId="65727D57" w14:textId="77777777" w:rsidR="00756848" w:rsidRPr="00756848" w:rsidRDefault="00756848" w:rsidP="00756848">
            <w:pPr>
              <w:spacing w:line="276" w:lineRule="auto"/>
            </w:pPr>
          </w:p>
        </w:tc>
        <w:tc>
          <w:tcPr>
            <w:tcW w:w="832" w:type="dxa"/>
            <w:tcBorders>
              <w:top w:val="single" w:sz="4" w:space="0" w:color="auto"/>
              <w:bottom w:val="nil"/>
            </w:tcBorders>
          </w:tcPr>
          <w:p w14:paraId="743F5C7B" w14:textId="77777777" w:rsidR="00756848" w:rsidRPr="00756848" w:rsidRDefault="00756848" w:rsidP="00756848">
            <w:pPr>
              <w:spacing w:line="276" w:lineRule="auto"/>
            </w:pPr>
          </w:p>
        </w:tc>
        <w:tc>
          <w:tcPr>
            <w:tcW w:w="1668" w:type="dxa"/>
            <w:gridSpan w:val="2"/>
            <w:tcBorders>
              <w:top w:val="single" w:sz="4" w:space="0" w:color="auto"/>
              <w:bottom w:val="nil"/>
            </w:tcBorders>
          </w:tcPr>
          <w:p w14:paraId="3DCBBE6A" w14:textId="77777777" w:rsidR="00756848" w:rsidRPr="00756848" w:rsidRDefault="00756848" w:rsidP="00756848">
            <w:pPr>
              <w:spacing w:line="276" w:lineRule="auto"/>
            </w:pPr>
            <w:r w:rsidRPr="00756848">
              <w:t>% who fracture</w:t>
            </w:r>
          </w:p>
        </w:tc>
      </w:tr>
      <w:tr w:rsidR="00756848" w:rsidRPr="00756848" w14:paraId="65713915" w14:textId="77777777" w:rsidTr="001D05E6">
        <w:tc>
          <w:tcPr>
            <w:tcW w:w="3823" w:type="dxa"/>
            <w:tcBorders>
              <w:top w:val="nil"/>
              <w:bottom w:val="single" w:sz="4" w:space="0" w:color="auto"/>
            </w:tcBorders>
          </w:tcPr>
          <w:p w14:paraId="6957B185" w14:textId="77777777" w:rsidR="00756848" w:rsidRPr="00756848" w:rsidRDefault="00756848" w:rsidP="00756848">
            <w:pPr>
              <w:spacing w:line="276" w:lineRule="auto"/>
            </w:pPr>
            <w:r w:rsidRPr="00756848">
              <w:t>Selection</w:t>
            </w:r>
          </w:p>
        </w:tc>
        <w:tc>
          <w:tcPr>
            <w:tcW w:w="832" w:type="dxa"/>
            <w:tcBorders>
              <w:top w:val="nil"/>
              <w:bottom w:val="single" w:sz="4" w:space="0" w:color="auto"/>
            </w:tcBorders>
          </w:tcPr>
          <w:p w14:paraId="644236DF" w14:textId="77777777" w:rsidR="00756848" w:rsidRPr="00756848" w:rsidRDefault="00756848" w:rsidP="00756848">
            <w:pPr>
              <w:spacing w:line="276" w:lineRule="auto"/>
            </w:pPr>
            <w:r w:rsidRPr="00756848">
              <w:t>N</w:t>
            </w:r>
          </w:p>
        </w:tc>
        <w:tc>
          <w:tcPr>
            <w:tcW w:w="869" w:type="dxa"/>
            <w:tcBorders>
              <w:top w:val="nil"/>
              <w:bottom w:val="single" w:sz="4" w:space="0" w:color="auto"/>
            </w:tcBorders>
          </w:tcPr>
          <w:p w14:paraId="5B3FF701" w14:textId="77777777" w:rsidR="00756848" w:rsidRPr="00756848" w:rsidRDefault="00756848" w:rsidP="00756848">
            <w:pPr>
              <w:spacing w:line="276" w:lineRule="auto"/>
            </w:pPr>
            <w:r w:rsidRPr="00756848">
              <w:t>MOP</w:t>
            </w:r>
          </w:p>
        </w:tc>
        <w:tc>
          <w:tcPr>
            <w:tcW w:w="708" w:type="dxa"/>
            <w:tcBorders>
              <w:top w:val="nil"/>
              <w:bottom w:val="single" w:sz="4" w:space="0" w:color="auto"/>
            </w:tcBorders>
          </w:tcPr>
          <w:p w14:paraId="3FF3D414" w14:textId="77777777" w:rsidR="00756848" w:rsidRPr="00756848" w:rsidRDefault="00756848" w:rsidP="00756848">
            <w:pPr>
              <w:spacing w:line="276" w:lineRule="auto"/>
            </w:pPr>
            <w:r w:rsidRPr="00756848">
              <w:t>Hip</w:t>
            </w:r>
          </w:p>
        </w:tc>
        <w:tc>
          <w:tcPr>
            <w:tcW w:w="284" w:type="dxa"/>
            <w:tcBorders>
              <w:top w:val="nil"/>
              <w:bottom w:val="single" w:sz="4" w:space="0" w:color="auto"/>
            </w:tcBorders>
          </w:tcPr>
          <w:p w14:paraId="081BE0A1" w14:textId="77777777" w:rsidR="00756848" w:rsidRPr="00756848" w:rsidRDefault="00756848" w:rsidP="00756848">
            <w:pPr>
              <w:spacing w:line="276" w:lineRule="auto"/>
            </w:pPr>
          </w:p>
        </w:tc>
        <w:tc>
          <w:tcPr>
            <w:tcW w:w="832" w:type="dxa"/>
            <w:tcBorders>
              <w:top w:val="nil"/>
              <w:bottom w:val="single" w:sz="4" w:space="0" w:color="auto"/>
            </w:tcBorders>
          </w:tcPr>
          <w:p w14:paraId="30854067" w14:textId="77777777" w:rsidR="00756848" w:rsidRPr="00756848" w:rsidRDefault="00756848" w:rsidP="00756848">
            <w:pPr>
              <w:spacing w:line="276" w:lineRule="auto"/>
            </w:pPr>
            <w:r w:rsidRPr="00756848">
              <w:t>N</w:t>
            </w:r>
          </w:p>
        </w:tc>
        <w:tc>
          <w:tcPr>
            <w:tcW w:w="869" w:type="dxa"/>
            <w:tcBorders>
              <w:top w:val="nil"/>
              <w:bottom w:val="single" w:sz="4" w:space="0" w:color="auto"/>
            </w:tcBorders>
          </w:tcPr>
          <w:p w14:paraId="030486F0" w14:textId="77777777" w:rsidR="00756848" w:rsidRPr="00756848" w:rsidRDefault="00756848" w:rsidP="00756848">
            <w:pPr>
              <w:spacing w:line="276" w:lineRule="auto"/>
            </w:pPr>
            <w:r w:rsidRPr="00756848">
              <w:t>MOP</w:t>
            </w:r>
          </w:p>
        </w:tc>
        <w:tc>
          <w:tcPr>
            <w:tcW w:w="799" w:type="dxa"/>
            <w:tcBorders>
              <w:top w:val="nil"/>
              <w:bottom w:val="single" w:sz="4" w:space="0" w:color="auto"/>
            </w:tcBorders>
          </w:tcPr>
          <w:p w14:paraId="5FB95EA8" w14:textId="77777777" w:rsidR="00756848" w:rsidRPr="00756848" w:rsidRDefault="00756848" w:rsidP="00756848">
            <w:pPr>
              <w:spacing w:line="276" w:lineRule="auto"/>
            </w:pPr>
            <w:r w:rsidRPr="00756848">
              <w:t>Hip</w:t>
            </w:r>
          </w:p>
        </w:tc>
      </w:tr>
      <w:tr w:rsidR="00756848" w:rsidRPr="00756848" w14:paraId="31356AFD" w14:textId="77777777" w:rsidTr="001D05E6">
        <w:tc>
          <w:tcPr>
            <w:tcW w:w="3823" w:type="dxa"/>
            <w:tcBorders>
              <w:top w:val="single" w:sz="4" w:space="0" w:color="auto"/>
            </w:tcBorders>
          </w:tcPr>
          <w:p w14:paraId="43A7DA9B" w14:textId="77777777" w:rsidR="00756848" w:rsidRPr="00756848" w:rsidRDefault="00756848" w:rsidP="00756848">
            <w:pPr>
              <w:spacing w:line="276" w:lineRule="auto"/>
            </w:pPr>
            <w:r w:rsidRPr="00756848">
              <w:t>None</w:t>
            </w:r>
          </w:p>
        </w:tc>
        <w:tc>
          <w:tcPr>
            <w:tcW w:w="832" w:type="dxa"/>
            <w:tcBorders>
              <w:top w:val="single" w:sz="4" w:space="0" w:color="auto"/>
            </w:tcBorders>
          </w:tcPr>
          <w:p w14:paraId="197A4F71" w14:textId="77777777" w:rsidR="00756848" w:rsidRPr="00756848" w:rsidRDefault="00756848" w:rsidP="00756848">
            <w:pPr>
              <w:spacing w:line="276" w:lineRule="auto"/>
            </w:pPr>
            <w:r w:rsidRPr="00756848">
              <w:t>1959</w:t>
            </w:r>
          </w:p>
        </w:tc>
        <w:tc>
          <w:tcPr>
            <w:tcW w:w="869" w:type="dxa"/>
            <w:tcBorders>
              <w:top w:val="single" w:sz="4" w:space="0" w:color="auto"/>
            </w:tcBorders>
          </w:tcPr>
          <w:p w14:paraId="04466172" w14:textId="77777777" w:rsidR="00756848" w:rsidRPr="00756848" w:rsidRDefault="00756848" w:rsidP="00756848">
            <w:pPr>
              <w:spacing w:line="276" w:lineRule="auto"/>
            </w:pPr>
            <w:r w:rsidRPr="00756848">
              <w:t>6.0</w:t>
            </w:r>
          </w:p>
        </w:tc>
        <w:tc>
          <w:tcPr>
            <w:tcW w:w="708" w:type="dxa"/>
            <w:tcBorders>
              <w:top w:val="single" w:sz="4" w:space="0" w:color="auto"/>
            </w:tcBorders>
          </w:tcPr>
          <w:p w14:paraId="1B14F928" w14:textId="77777777" w:rsidR="00756848" w:rsidRPr="00756848" w:rsidRDefault="00756848" w:rsidP="00756848">
            <w:pPr>
              <w:spacing w:line="276" w:lineRule="auto"/>
            </w:pPr>
            <w:r w:rsidRPr="00756848">
              <w:t>1.5</w:t>
            </w:r>
          </w:p>
        </w:tc>
        <w:tc>
          <w:tcPr>
            <w:tcW w:w="284" w:type="dxa"/>
            <w:tcBorders>
              <w:top w:val="single" w:sz="4" w:space="0" w:color="auto"/>
            </w:tcBorders>
          </w:tcPr>
          <w:p w14:paraId="0EA7237D" w14:textId="77777777" w:rsidR="00756848" w:rsidRPr="00756848" w:rsidRDefault="00756848" w:rsidP="00756848">
            <w:pPr>
              <w:spacing w:line="276" w:lineRule="auto"/>
            </w:pPr>
          </w:p>
        </w:tc>
        <w:tc>
          <w:tcPr>
            <w:tcW w:w="832" w:type="dxa"/>
            <w:tcBorders>
              <w:top w:val="single" w:sz="4" w:space="0" w:color="auto"/>
            </w:tcBorders>
          </w:tcPr>
          <w:p w14:paraId="3D092F7A" w14:textId="77777777" w:rsidR="00756848" w:rsidRPr="00756848" w:rsidRDefault="00756848" w:rsidP="00756848">
            <w:pPr>
              <w:spacing w:line="276" w:lineRule="auto"/>
            </w:pPr>
            <w:r w:rsidRPr="00756848">
              <w:t>1649</w:t>
            </w:r>
          </w:p>
        </w:tc>
        <w:tc>
          <w:tcPr>
            <w:tcW w:w="869" w:type="dxa"/>
            <w:tcBorders>
              <w:top w:val="single" w:sz="4" w:space="0" w:color="auto"/>
            </w:tcBorders>
          </w:tcPr>
          <w:p w14:paraId="246F3696" w14:textId="77777777" w:rsidR="00756848" w:rsidRPr="00756848" w:rsidRDefault="00756848" w:rsidP="00756848">
            <w:pPr>
              <w:spacing w:line="276" w:lineRule="auto"/>
            </w:pPr>
            <w:r w:rsidRPr="00756848">
              <w:t>10.2</w:t>
            </w:r>
          </w:p>
        </w:tc>
        <w:tc>
          <w:tcPr>
            <w:tcW w:w="799" w:type="dxa"/>
            <w:tcBorders>
              <w:top w:val="single" w:sz="4" w:space="0" w:color="auto"/>
            </w:tcBorders>
          </w:tcPr>
          <w:p w14:paraId="598DD51C" w14:textId="77777777" w:rsidR="00756848" w:rsidRPr="00756848" w:rsidRDefault="00756848" w:rsidP="00756848">
            <w:pPr>
              <w:spacing w:line="276" w:lineRule="auto"/>
            </w:pPr>
            <w:r w:rsidRPr="00756848">
              <w:t>2.4</w:t>
            </w:r>
          </w:p>
        </w:tc>
      </w:tr>
      <w:tr w:rsidR="00756848" w:rsidRPr="00756848" w14:paraId="0091C2D1" w14:textId="77777777" w:rsidTr="001D05E6">
        <w:tc>
          <w:tcPr>
            <w:tcW w:w="3823" w:type="dxa"/>
            <w:shd w:val="clear" w:color="auto" w:fill="auto"/>
          </w:tcPr>
          <w:p w14:paraId="69564140" w14:textId="77777777" w:rsidR="00756848" w:rsidRPr="00756848" w:rsidRDefault="00756848" w:rsidP="00756848">
            <w:pPr>
              <w:spacing w:line="276" w:lineRule="auto"/>
            </w:pPr>
            <w:r w:rsidRPr="00756848">
              <w:t>FRAX fixed thresholds</w:t>
            </w:r>
            <w:r w:rsidRPr="00756848">
              <w:rPr>
                <w:vertAlign w:val="superscript"/>
              </w:rPr>
              <w:t>a</w:t>
            </w:r>
          </w:p>
        </w:tc>
        <w:tc>
          <w:tcPr>
            <w:tcW w:w="832" w:type="dxa"/>
            <w:shd w:val="clear" w:color="auto" w:fill="auto"/>
          </w:tcPr>
          <w:p w14:paraId="2D12302F" w14:textId="77777777" w:rsidR="00756848" w:rsidRPr="00756848" w:rsidRDefault="00756848" w:rsidP="00756848">
            <w:pPr>
              <w:spacing w:line="276" w:lineRule="auto"/>
            </w:pPr>
            <w:r w:rsidRPr="00756848">
              <w:rPr>
                <w:lang w:val="en-US"/>
              </w:rPr>
              <w:t>266</w:t>
            </w:r>
          </w:p>
        </w:tc>
        <w:tc>
          <w:tcPr>
            <w:tcW w:w="869" w:type="dxa"/>
            <w:shd w:val="clear" w:color="auto" w:fill="auto"/>
          </w:tcPr>
          <w:p w14:paraId="2DCF3F2F" w14:textId="77777777" w:rsidR="00756848" w:rsidRPr="00756848" w:rsidRDefault="00756848" w:rsidP="00756848">
            <w:pPr>
              <w:spacing w:line="276" w:lineRule="auto"/>
            </w:pPr>
            <w:r w:rsidRPr="00756848">
              <w:rPr>
                <w:lang w:val="en-US"/>
              </w:rPr>
              <w:t>13.5</w:t>
            </w:r>
          </w:p>
        </w:tc>
        <w:tc>
          <w:tcPr>
            <w:tcW w:w="708" w:type="dxa"/>
            <w:shd w:val="clear" w:color="auto" w:fill="auto"/>
          </w:tcPr>
          <w:p w14:paraId="02B7CC30" w14:textId="77777777" w:rsidR="00756848" w:rsidRPr="00756848" w:rsidRDefault="00756848" w:rsidP="00756848">
            <w:pPr>
              <w:spacing w:line="276" w:lineRule="auto"/>
            </w:pPr>
            <w:r w:rsidRPr="00756848">
              <w:rPr>
                <w:lang w:val="en-US"/>
              </w:rPr>
              <w:t>6.3</w:t>
            </w:r>
          </w:p>
        </w:tc>
        <w:tc>
          <w:tcPr>
            <w:tcW w:w="284" w:type="dxa"/>
          </w:tcPr>
          <w:p w14:paraId="6021064E" w14:textId="77777777" w:rsidR="00756848" w:rsidRPr="00756848" w:rsidRDefault="00756848" w:rsidP="00756848">
            <w:pPr>
              <w:spacing w:line="276" w:lineRule="auto"/>
            </w:pPr>
          </w:p>
        </w:tc>
        <w:tc>
          <w:tcPr>
            <w:tcW w:w="832" w:type="dxa"/>
            <w:shd w:val="clear" w:color="auto" w:fill="auto"/>
          </w:tcPr>
          <w:p w14:paraId="6DFBD95E" w14:textId="77777777" w:rsidR="00756848" w:rsidRPr="00756848" w:rsidRDefault="00756848" w:rsidP="00756848">
            <w:pPr>
              <w:spacing w:line="276" w:lineRule="auto"/>
            </w:pPr>
            <w:r w:rsidRPr="00756848">
              <w:rPr>
                <w:lang w:val="en-US"/>
              </w:rPr>
              <w:t>387</w:t>
            </w:r>
          </w:p>
        </w:tc>
        <w:tc>
          <w:tcPr>
            <w:tcW w:w="869" w:type="dxa"/>
            <w:shd w:val="clear" w:color="auto" w:fill="auto"/>
          </w:tcPr>
          <w:p w14:paraId="71CEE5BA" w14:textId="77777777" w:rsidR="00756848" w:rsidRPr="00756848" w:rsidRDefault="00756848" w:rsidP="00756848">
            <w:pPr>
              <w:spacing w:line="276" w:lineRule="auto"/>
            </w:pPr>
            <w:r w:rsidRPr="00756848">
              <w:rPr>
                <w:lang w:val="en-US"/>
              </w:rPr>
              <w:t>21.2</w:t>
            </w:r>
          </w:p>
        </w:tc>
        <w:tc>
          <w:tcPr>
            <w:tcW w:w="799" w:type="dxa"/>
            <w:shd w:val="clear" w:color="auto" w:fill="auto"/>
          </w:tcPr>
          <w:p w14:paraId="29501711" w14:textId="77777777" w:rsidR="00756848" w:rsidRPr="00756848" w:rsidRDefault="00756848" w:rsidP="00756848">
            <w:pPr>
              <w:spacing w:line="276" w:lineRule="auto"/>
            </w:pPr>
            <w:r w:rsidRPr="00756848">
              <w:rPr>
                <w:lang w:val="en-US"/>
              </w:rPr>
              <w:t>7.9</w:t>
            </w:r>
          </w:p>
        </w:tc>
      </w:tr>
      <w:tr w:rsidR="00756848" w:rsidRPr="00756848" w14:paraId="543B76FB" w14:textId="77777777" w:rsidTr="001D05E6">
        <w:tc>
          <w:tcPr>
            <w:tcW w:w="3823" w:type="dxa"/>
            <w:shd w:val="clear" w:color="auto" w:fill="auto"/>
          </w:tcPr>
          <w:p w14:paraId="72EB8505" w14:textId="77777777" w:rsidR="00756848" w:rsidRPr="00756848" w:rsidRDefault="00756848" w:rsidP="00756848">
            <w:pPr>
              <w:spacing w:line="276" w:lineRule="auto"/>
            </w:pPr>
            <w:r w:rsidRPr="00756848">
              <w:t>FRAX at fracture threshold</w:t>
            </w:r>
            <w:r w:rsidRPr="00756848">
              <w:rPr>
                <w:vertAlign w:val="superscript"/>
              </w:rPr>
              <w:t>b</w:t>
            </w:r>
          </w:p>
        </w:tc>
        <w:tc>
          <w:tcPr>
            <w:tcW w:w="832" w:type="dxa"/>
            <w:shd w:val="clear" w:color="auto" w:fill="auto"/>
          </w:tcPr>
          <w:p w14:paraId="505AFA64" w14:textId="77777777" w:rsidR="00756848" w:rsidRPr="00756848" w:rsidRDefault="00756848" w:rsidP="00756848">
            <w:pPr>
              <w:spacing w:line="276" w:lineRule="auto"/>
            </w:pPr>
            <w:r w:rsidRPr="00756848">
              <w:rPr>
                <w:lang w:val="en-US"/>
              </w:rPr>
              <w:t>54</w:t>
            </w:r>
          </w:p>
        </w:tc>
        <w:tc>
          <w:tcPr>
            <w:tcW w:w="869" w:type="dxa"/>
            <w:shd w:val="clear" w:color="auto" w:fill="auto"/>
          </w:tcPr>
          <w:p w14:paraId="4D44B128" w14:textId="77777777" w:rsidR="00756848" w:rsidRPr="00756848" w:rsidRDefault="00756848" w:rsidP="00756848">
            <w:pPr>
              <w:spacing w:line="276" w:lineRule="auto"/>
            </w:pPr>
            <w:r w:rsidRPr="00756848">
              <w:rPr>
                <w:lang w:val="en-US"/>
              </w:rPr>
              <w:t>16.3</w:t>
            </w:r>
          </w:p>
        </w:tc>
        <w:tc>
          <w:tcPr>
            <w:tcW w:w="708" w:type="dxa"/>
            <w:shd w:val="clear" w:color="auto" w:fill="auto"/>
          </w:tcPr>
          <w:p w14:paraId="5F4D3BC6" w14:textId="77777777" w:rsidR="00756848" w:rsidRPr="00756848" w:rsidRDefault="00756848" w:rsidP="00756848">
            <w:pPr>
              <w:spacing w:line="276" w:lineRule="auto"/>
            </w:pPr>
            <w:r w:rsidRPr="00756848">
              <w:rPr>
                <w:lang w:val="en-US"/>
              </w:rPr>
              <w:t>4.0</w:t>
            </w:r>
          </w:p>
        </w:tc>
        <w:tc>
          <w:tcPr>
            <w:tcW w:w="284" w:type="dxa"/>
          </w:tcPr>
          <w:p w14:paraId="30FAF884" w14:textId="77777777" w:rsidR="00756848" w:rsidRPr="00756848" w:rsidRDefault="00756848" w:rsidP="00756848">
            <w:pPr>
              <w:spacing w:line="276" w:lineRule="auto"/>
            </w:pPr>
          </w:p>
        </w:tc>
        <w:tc>
          <w:tcPr>
            <w:tcW w:w="832" w:type="dxa"/>
            <w:shd w:val="clear" w:color="auto" w:fill="auto"/>
          </w:tcPr>
          <w:p w14:paraId="271CB4C6" w14:textId="77777777" w:rsidR="00756848" w:rsidRPr="00756848" w:rsidRDefault="00756848" w:rsidP="00756848">
            <w:pPr>
              <w:spacing w:line="276" w:lineRule="auto"/>
            </w:pPr>
            <w:r w:rsidRPr="00756848">
              <w:rPr>
                <w:lang w:val="en-US"/>
              </w:rPr>
              <w:t>144</w:t>
            </w:r>
          </w:p>
        </w:tc>
        <w:tc>
          <w:tcPr>
            <w:tcW w:w="869" w:type="dxa"/>
            <w:shd w:val="clear" w:color="auto" w:fill="auto"/>
          </w:tcPr>
          <w:p w14:paraId="134FDB16" w14:textId="77777777" w:rsidR="00756848" w:rsidRPr="00756848" w:rsidRDefault="00756848" w:rsidP="00756848">
            <w:pPr>
              <w:spacing w:line="276" w:lineRule="auto"/>
            </w:pPr>
            <w:r w:rsidRPr="00756848">
              <w:rPr>
                <w:lang w:val="en-US"/>
              </w:rPr>
              <w:t>26.0</w:t>
            </w:r>
          </w:p>
        </w:tc>
        <w:tc>
          <w:tcPr>
            <w:tcW w:w="799" w:type="dxa"/>
            <w:shd w:val="clear" w:color="auto" w:fill="auto"/>
          </w:tcPr>
          <w:p w14:paraId="79949595" w14:textId="77777777" w:rsidR="00756848" w:rsidRPr="00756848" w:rsidRDefault="00756848" w:rsidP="00756848">
            <w:pPr>
              <w:spacing w:line="276" w:lineRule="auto"/>
            </w:pPr>
            <w:r w:rsidRPr="00756848">
              <w:rPr>
                <w:lang w:val="en-US"/>
              </w:rPr>
              <w:t>9.7</w:t>
            </w:r>
          </w:p>
        </w:tc>
      </w:tr>
      <w:tr w:rsidR="00756848" w:rsidRPr="00756848" w14:paraId="41788F70" w14:textId="77777777" w:rsidTr="001D05E6">
        <w:tc>
          <w:tcPr>
            <w:tcW w:w="3823" w:type="dxa"/>
            <w:shd w:val="clear" w:color="auto" w:fill="auto"/>
          </w:tcPr>
          <w:p w14:paraId="08504CC9" w14:textId="77777777" w:rsidR="00756848" w:rsidRPr="00756848" w:rsidRDefault="00756848" w:rsidP="00756848">
            <w:pPr>
              <w:spacing w:line="276" w:lineRule="auto"/>
            </w:pPr>
            <w:r w:rsidRPr="00756848">
              <w:t>FRAX fixed thresholds + prior fracture</w:t>
            </w:r>
            <w:r w:rsidRPr="00756848">
              <w:rPr>
                <w:vertAlign w:val="superscript"/>
              </w:rPr>
              <w:t>c</w:t>
            </w:r>
          </w:p>
        </w:tc>
        <w:tc>
          <w:tcPr>
            <w:tcW w:w="832" w:type="dxa"/>
            <w:shd w:val="clear" w:color="auto" w:fill="auto"/>
          </w:tcPr>
          <w:p w14:paraId="0B9E6715" w14:textId="77777777" w:rsidR="00756848" w:rsidRPr="00756848" w:rsidRDefault="00756848" w:rsidP="00756848">
            <w:pPr>
              <w:spacing w:line="276" w:lineRule="auto"/>
            </w:pPr>
            <w:r w:rsidRPr="00756848">
              <w:t>326</w:t>
            </w:r>
          </w:p>
        </w:tc>
        <w:tc>
          <w:tcPr>
            <w:tcW w:w="869" w:type="dxa"/>
            <w:shd w:val="clear" w:color="auto" w:fill="auto"/>
          </w:tcPr>
          <w:p w14:paraId="56E53C9C" w14:textId="77777777" w:rsidR="00756848" w:rsidRPr="00756848" w:rsidRDefault="00756848" w:rsidP="00756848">
            <w:pPr>
              <w:spacing w:line="276" w:lineRule="auto"/>
            </w:pPr>
            <w:r w:rsidRPr="00756848">
              <w:t>12.3</w:t>
            </w:r>
          </w:p>
        </w:tc>
        <w:tc>
          <w:tcPr>
            <w:tcW w:w="708" w:type="dxa"/>
            <w:shd w:val="clear" w:color="auto" w:fill="auto"/>
          </w:tcPr>
          <w:p w14:paraId="33531E6A" w14:textId="77777777" w:rsidR="00756848" w:rsidRPr="00756848" w:rsidRDefault="00756848" w:rsidP="00756848">
            <w:pPr>
              <w:spacing w:line="276" w:lineRule="auto"/>
            </w:pPr>
            <w:r w:rsidRPr="00756848">
              <w:t>5.3</w:t>
            </w:r>
          </w:p>
        </w:tc>
        <w:tc>
          <w:tcPr>
            <w:tcW w:w="284" w:type="dxa"/>
          </w:tcPr>
          <w:p w14:paraId="16C29802" w14:textId="77777777" w:rsidR="00756848" w:rsidRPr="00756848" w:rsidRDefault="00756848" w:rsidP="00756848">
            <w:pPr>
              <w:spacing w:line="276" w:lineRule="auto"/>
            </w:pPr>
          </w:p>
        </w:tc>
        <w:tc>
          <w:tcPr>
            <w:tcW w:w="832" w:type="dxa"/>
            <w:shd w:val="clear" w:color="auto" w:fill="auto"/>
          </w:tcPr>
          <w:p w14:paraId="424E53DA" w14:textId="77777777" w:rsidR="00756848" w:rsidRPr="00756848" w:rsidRDefault="00756848" w:rsidP="00756848">
            <w:pPr>
              <w:spacing w:line="276" w:lineRule="auto"/>
            </w:pPr>
            <w:r w:rsidRPr="00756848">
              <w:t>414</w:t>
            </w:r>
          </w:p>
        </w:tc>
        <w:tc>
          <w:tcPr>
            <w:tcW w:w="869" w:type="dxa"/>
            <w:shd w:val="clear" w:color="auto" w:fill="auto"/>
          </w:tcPr>
          <w:p w14:paraId="51F3A4D7" w14:textId="77777777" w:rsidR="00756848" w:rsidRPr="00756848" w:rsidRDefault="00756848" w:rsidP="00756848">
            <w:pPr>
              <w:spacing w:line="276" w:lineRule="auto"/>
            </w:pPr>
            <w:r w:rsidRPr="00756848">
              <w:t>20.5</w:t>
            </w:r>
          </w:p>
        </w:tc>
        <w:tc>
          <w:tcPr>
            <w:tcW w:w="799" w:type="dxa"/>
            <w:shd w:val="clear" w:color="auto" w:fill="auto"/>
          </w:tcPr>
          <w:p w14:paraId="0B07B35C" w14:textId="77777777" w:rsidR="00756848" w:rsidRPr="00756848" w:rsidRDefault="00756848" w:rsidP="00756848">
            <w:pPr>
              <w:spacing w:line="276" w:lineRule="auto"/>
            </w:pPr>
            <w:r w:rsidRPr="00756848">
              <w:t>7.5</w:t>
            </w:r>
          </w:p>
        </w:tc>
      </w:tr>
      <w:tr w:rsidR="00756848" w:rsidRPr="00756848" w14:paraId="24AED302" w14:textId="77777777" w:rsidTr="001D05E6">
        <w:tc>
          <w:tcPr>
            <w:tcW w:w="3823" w:type="dxa"/>
            <w:shd w:val="clear" w:color="auto" w:fill="auto"/>
          </w:tcPr>
          <w:p w14:paraId="49238C4F" w14:textId="77777777" w:rsidR="00756848" w:rsidRPr="00756848" w:rsidRDefault="00756848" w:rsidP="00756848">
            <w:pPr>
              <w:spacing w:line="276" w:lineRule="auto"/>
            </w:pPr>
            <w:r w:rsidRPr="00756848">
              <w:t>FRAX at fracture threshold + prior fracture</w:t>
            </w:r>
            <w:r w:rsidRPr="00756848">
              <w:rPr>
                <w:vertAlign w:val="superscript"/>
              </w:rPr>
              <w:t>c</w:t>
            </w:r>
          </w:p>
        </w:tc>
        <w:tc>
          <w:tcPr>
            <w:tcW w:w="832" w:type="dxa"/>
            <w:shd w:val="clear" w:color="auto" w:fill="auto"/>
          </w:tcPr>
          <w:p w14:paraId="73CA9D9E" w14:textId="77777777" w:rsidR="00756848" w:rsidRPr="00756848" w:rsidRDefault="00756848" w:rsidP="00756848">
            <w:pPr>
              <w:spacing w:line="276" w:lineRule="auto"/>
            </w:pPr>
            <w:r w:rsidRPr="00756848">
              <w:t>121</w:t>
            </w:r>
          </w:p>
        </w:tc>
        <w:tc>
          <w:tcPr>
            <w:tcW w:w="869" w:type="dxa"/>
            <w:shd w:val="clear" w:color="auto" w:fill="auto"/>
          </w:tcPr>
          <w:p w14:paraId="3F0DBE52" w14:textId="77777777" w:rsidR="00756848" w:rsidRPr="00756848" w:rsidRDefault="00756848" w:rsidP="00756848">
            <w:pPr>
              <w:spacing w:line="276" w:lineRule="auto"/>
            </w:pPr>
            <w:r w:rsidRPr="00756848">
              <w:t>11.9</w:t>
            </w:r>
          </w:p>
        </w:tc>
        <w:tc>
          <w:tcPr>
            <w:tcW w:w="708" w:type="dxa"/>
            <w:shd w:val="clear" w:color="auto" w:fill="auto"/>
          </w:tcPr>
          <w:p w14:paraId="0D4B1673" w14:textId="77777777" w:rsidR="00756848" w:rsidRPr="00756848" w:rsidRDefault="00756848" w:rsidP="00756848">
            <w:pPr>
              <w:spacing w:line="276" w:lineRule="auto"/>
            </w:pPr>
            <w:r w:rsidRPr="00756848">
              <w:t>2.9</w:t>
            </w:r>
          </w:p>
        </w:tc>
        <w:tc>
          <w:tcPr>
            <w:tcW w:w="284" w:type="dxa"/>
          </w:tcPr>
          <w:p w14:paraId="14A8F845" w14:textId="77777777" w:rsidR="00756848" w:rsidRPr="00756848" w:rsidRDefault="00756848" w:rsidP="00756848">
            <w:pPr>
              <w:spacing w:line="276" w:lineRule="auto"/>
            </w:pPr>
          </w:p>
        </w:tc>
        <w:tc>
          <w:tcPr>
            <w:tcW w:w="832" w:type="dxa"/>
            <w:shd w:val="clear" w:color="auto" w:fill="auto"/>
          </w:tcPr>
          <w:p w14:paraId="31493547" w14:textId="77777777" w:rsidR="00756848" w:rsidRPr="00756848" w:rsidRDefault="00756848" w:rsidP="00756848">
            <w:pPr>
              <w:spacing w:line="276" w:lineRule="auto"/>
            </w:pPr>
            <w:r w:rsidRPr="00756848">
              <w:t>179</w:t>
            </w:r>
          </w:p>
        </w:tc>
        <w:tc>
          <w:tcPr>
            <w:tcW w:w="869" w:type="dxa"/>
            <w:shd w:val="clear" w:color="auto" w:fill="auto"/>
          </w:tcPr>
          <w:p w14:paraId="608D9FD6" w14:textId="77777777" w:rsidR="00756848" w:rsidRPr="00756848" w:rsidRDefault="00756848" w:rsidP="00756848">
            <w:pPr>
              <w:spacing w:line="276" w:lineRule="auto"/>
            </w:pPr>
            <w:r w:rsidRPr="00756848">
              <w:t>23.4</w:t>
            </w:r>
          </w:p>
        </w:tc>
        <w:tc>
          <w:tcPr>
            <w:tcW w:w="799" w:type="dxa"/>
            <w:shd w:val="clear" w:color="auto" w:fill="auto"/>
          </w:tcPr>
          <w:p w14:paraId="3439B3AD" w14:textId="77777777" w:rsidR="00756848" w:rsidRPr="00756848" w:rsidRDefault="00756848" w:rsidP="00756848">
            <w:pPr>
              <w:spacing w:line="276" w:lineRule="auto"/>
            </w:pPr>
            <w:r w:rsidRPr="00756848">
              <w:t>8.2</w:t>
            </w:r>
          </w:p>
        </w:tc>
      </w:tr>
      <w:tr w:rsidR="00756848" w:rsidRPr="00756848" w14:paraId="1E1EF95F" w14:textId="77777777" w:rsidTr="001D05E6">
        <w:tc>
          <w:tcPr>
            <w:tcW w:w="3823" w:type="dxa"/>
            <w:shd w:val="clear" w:color="auto" w:fill="auto"/>
          </w:tcPr>
          <w:p w14:paraId="61E1C16D" w14:textId="77777777" w:rsidR="00756848" w:rsidRPr="00756848" w:rsidRDefault="00756848" w:rsidP="00756848">
            <w:pPr>
              <w:spacing w:line="276" w:lineRule="auto"/>
            </w:pPr>
            <w:r w:rsidRPr="00756848">
              <w:t>NOF</w:t>
            </w:r>
            <w:r w:rsidRPr="00756848">
              <w:rPr>
                <w:vertAlign w:val="superscript"/>
              </w:rPr>
              <w:t>d</w:t>
            </w:r>
          </w:p>
        </w:tc>
        <w:tc>
          <w:tcPr>
            <w:tcW w:w="832" w:type="dxa"/>
            <w:shd w:val="clear" w:color="auto" w:fill="auto"/>
          </w:tcPr>
          <w:p w14:paraId="2CC65A4D" w14:textId="77777777" w:rsidR="00756848" w:rsidRPr="00756848" w:rsidRDefault="00756848" w:rsidP="00756848">
            <w:pPr>
              <w:spacing w:line="276" w:lineRule="auto"/>
            </w:pPr>
            <w:r w:rsidRPr="00756848">
              <w:t>330</w:t>
            </w:r>
          </w:p>
        </w:tc>
        <w:tc>
          <w:tcPr>
            <w:tcW w:w="869" w:type="dxa"/>
            <w:shd w:val="clear" w:color="auto" w:fill="auto"/>
          </w:tcPr>
          <w:p w14:paraId="5082FE6F" w14:textId="77777777" w:rsidR="00756848" w:rsidRPr="00756848" w:rsidRDefault="00756848" w:rsidP="00756848">
            <w:pPr>
              <w:spacing w:line="276" w:lineRule="auto"/>
            </w:pPr>
            <w:r w:rsidRPr="00756848">
              <w:t>11.7</w:t>
            </w:r>
          </w:p>
        </w:tc>
        <w:tc>
          <w:tcPr>
            <w:tcW w:w="708" w:type="dxa"/>
            <w:shd w:val="clear" w:color="auto" w:fill="auto"/>
          </w:tcPr>
          <w:p w14:paraId="4C67C695" w14:textId="77777777" w:rsidR="00756848" w:rsidRPr="00756848" w:rsidRDefault="00756848" w:rsidP="00756848">
            <w:pPr>
              <w:spacing w:line="276" w:lineRule="auto"/>
            </w:pPr>
            <w:r w:rsidRPr="00756848">
              <w:t>4.9</w:t>
            </w:r>
          </w:p>
        </w:tc>
        <w:tc>
          <w:tcPr>
            <w:tcW w:w="284" w:type="dxa"/>
          </w:tcPr>
          <w:p w14:paraId="443A2F4D" w14:textId="77777777" w:rsidR="00756848" w:rsidRPr="00756848" w:rsidRDefault="00756848" w:rsidP="00756848">
            <w:pPr>
              <w:spacing w:line="276" w:lineRule="auto"/>
            </w:pPr>
          </w:p>
        </w:tc>
        <w:tc>
          <w:tcPr>
            <w:tcW w:w="832" w:type="dxa"/>
            <w:shd w:val="clear" w:color="auto" w:fill="auto"/>
          </w:tcPr>
          <w:p w14:paraId="07356967" w14:textId="77777777" w:rsidR="00756848" w:rsidRPr="00756848" w:rsidRDefault="00756848" w:rsidP="00756848">
            <w:pPr>
              <w:spacing w:line="276" w:lineRule="auto"/>
            </w:pPr>
            <w:r w:rsidRPr="00756848">
              <w:t>511</w:t>
            </w:r>
          </w:p>
        </w:tc>
        <w:tc>
          <w:tcPr>
            <w:tcW w:w="869" w:type="dxa"/>
            <w:shd w:val="clear" w:color="auto" w:fill="auto"/>
          </w:tcPr>
          <w:p w14:paraId="27195263" w14:textId="77777777" w:rsidR="00756848" w:rsidRPr="00756848" w:rsidRDefault="00756848" w:rsidP="00756848">
            <w:pPr>
              <w:spacing w:line="276" w:lineRule="auto"/>
            </w:pPr>
            <w:r w:rsidRPr="00756848">
              <w:t>17.7</w:t>
            </w:r>
          </w:p>
        </w:tc>
        <w:tc>
          <w:tcPr>
            <w:tcW w:w="799" w:type="dxa"/>
            <w:shd w:val="clear" w:color="auto" w:fill="auto"/>
          </w:tcPr>
          <w:p w14:paraId="117A5BC3" w14:textId="77777777" w:rsidR="00756848" w:rsidRPr="00756848" w:rsidRDefault="00756848" w:rsidP="00756848">
            <w:pPr>
              <w:spacing w:line="276" w:lineRule="auto"/>
            </w:pPr>
            <w:r w:rsidRPr="00756848">
              <w:t>6.2</w:t>
            </w:r>
          </w:p>
        </w:tc>
      </w:tr>
      <w:tr w:rsidR="00756848" w:rsidRPr="00756848" w14:paraId="765F5EDD" w14:textId="77777777" w:rsidTr="001D05E6">
        <w:tc>
          <w:tcPr>
            <w:tcW w:w="3823" w:type="dxa"/>
            <w:shd w:val="clear" w:color="auto" w:fill="auto"/>
          </w:tcPr>
          <w:p w14:paraId="25516776" w14:textId="77777777" w:rsidR="00756848" w:rsidRPr="00756848" w:rsidRDefault="00756848" w:rsidP="00756848">
            <w:pPr>
              <w:spacing w:line="276" w:lineRule="auto"/>
            </w:pPr>
            <w:r w:rsidRPr="00756848">
              <w:t>Prior fracture</w:t>
            </w:r>
            <w:r w:rsidRPr="00756848">
              <w:rPr>
                <w:vertAlign w:val="superscript"/>
              </w:rPr>
              <w:t>c</w:t>
            </w:r>
          </w:p>
        </w:tc>
        <w:tc>
          <w:tcPr>
            <w:tcW w:w="832" w:type="dxa"/>
            <w:shd w:val="clear" w:color="auto" w:fill="auto"/>
          </w:tcPr>
          <w:p w14:paraId="3EFAEB51" w14:textId="77777777" w:rsidR="00756848" w:rsidRPr="00756848" w:rsidRDefault="00756848" w:rsidP="00756848">
            <w:pPr>
              <w:spacing w:line="276" w:lineRule="auto"/>
            </w:pPr>
            <w:r w:rsidRPr="00756848">
              <w:t>71</w:t>
            </w:r>
          </w:p>
        </w:tc>
        <w:tc>
          <w:tcPr>
            <w:tcW w:w="869" w:type="dxa"/>
            <w:shd w:val="clear" w:color="auto" w:fill="auto"/>
          </w:tcPr>
          <w:p w14:paraId="3B2246E9" w14:textId="77777777" w:rsidR="00756848" w:rsidRPr="00756848" w:rsidRDefault="00756848" w:rsidP="00756848">
            <w:pPr>
              <w:spacing w:line="276" w:lineRule="auto"/>
            </w:pPr>
            <w:r w:rsidRPr="00756848">
              <w:t>8.9</w:t>
            </w:r>
          </w:p>
        </w:tc>
        <w:tc>
          <w:tcPr>
            <w:tcW w:w="708" w:type="dxa"/>
            <w:shd w:val="clear" w:color="auto" w:fill="auto"/>
          </w:tcPr>
          <w:p w14:paraId="2D07333C" w14:textId="77777777" w:rsidR="00756848" w:rsidRPr="00756848" w:rsidRDefault="00756848" w:rsidP="00756848">
            <w:pPr>
              <w:spacing w:line="276" w:lineRule="auto"/>
            </w:pPr>
            <w:r w:rsidRPr="00756848">
              <w:t>2.1</w:t>
            </w:r>
          </w:p>
        </w:tc>
        <w:tc>
          <w:tcPr>
            <w:tcW w:w="284" w:type="dxa"/>
          </w:tcPr>
          <w:p w14:paraId="08454F6E" w14:textId="77777777" w:rsidR="00756848" w:rsidRPr="00756848" w:rsidRDefault="00756848" w:rsidP="00756848">
            <w:pPr>
              <w:spacing w:line="276" w:lineRule="auto"/>
            </w:pPr>
          </w:p>
        </w:tc>
        <w:tc>
          <w:tcPr>
            <w:tcW w:w="832" w:type="dxa"/>
            <w:shd w:val="clear" w:color="auto" w:fill="auto"/>
          </w:tcPr>
          <w:p w14:paraId="6604DF23" w14:textId="77777777" w:rsidR="00756848" w:rsidRPr="00756848" w:rsidRDefault="00756848" w:rsidP="00756848">
            <w:pPr>
              <w:spacing w:line="276" w:lineRule="auto"/>
            </w:pPr>
            <w:r w:rsidRPr="00756848">
              <w:t>57</w:t>
            </w:r>
          </w:p>
        </w:tc>
        <w:tc>
          <w:tcPr>
            <w:tcW w:w="869" w:type="dxa"/>
            <w:shd w:val="clear" w:color="auto" w:fill="auto"/>
          </w:tcPr>
          <w:p w14:paraId="63F13A0C" w14:textId="77777777" w:rsidR="00756848" w:rsidRPr="00756848" w:rsidRDefault="00756848" w:rsidP="00756848">
            <w:pPr>
              <w:spacing w:line="276" w:lineRule="auto"/>
            </w:pPr>
            <w:r w:rsidRPr="00756848">
              <w:t>19.0</w:t>
            </w:r>
          </w:p>
        </w:tc>
        <w:tc>
          <w:tcPr>
            <w:tcW w:w="799" w:type="dxa"/>
            <w:shd w:val="clear" w:color="auto" w:fill="auto"/>
          </w:tcPr>
          <w:p w14:paraId="384CD39F" w14:textId="77777777" w:rsidR="00756848" w:rsidRPr="00756848" w:rsidRDefault="00756848" w:rsidP="00756848">
            <w:pPr>
              <w:spacing w:line="276" w:lineRule="auto"/>
            </w:pPr>
            <w:r w:rsidRPr="00756848">
              <w:t>6.1</w:t>
            </w:r>
          </w:p>
        </w:tc>
      </w:tr>
      <w:tr w:rsidR="00756848" w:rsidRPr="00756848" w14:paraId="70B42DEC" w14:textId="77777777" w:rsidTr="001D05E6">
        <w:tc>
          <w:tcPr>
            <w:tcW w:w="3823" w:type="dxa"/>
            <w:shd w:val="clear" w:color="auto" w:fill="auto"/>
          </w:tcPr>
          <w:p w14:paraId="43C737E6" w14:textId="77777777" w:rsidR="00756848" w:rsidRPr="00756848" w:rsidRDefault="00756848" w:rsidP="00756848">
            <w:pPr>
              <w:spacing w:line="276" w:lineRule="auto"/>
            </w:pPr>
            <w:r w:rsidRPr="00756848">
              <w:t xml:space="preserve">T-score </w:t>
            </w:r>
            <w:r w:rsidRPr="00756848">
              <w:rPr>
                <w:u w:val="single"/>
              </w:rPr>
              <w:t>&lt;</w:t>
            </w:r>
            <w:r w:rsidRPr="00756848">
              <w:t>-2.5</w:t>
            </w:r>
            <w:r w:rsidRPr="00756848">
              <w:rPr>
                <w:vertAlign w:val="superscript"/>
              </w:rPr>
              <w:t>e</w:t>
            </w:r>
          </w:p>
        </w:tc>
        <w:tc>
          <w:tcPr>
            <w:tcW w:w="832" w:type="dxa"/>
            <w:shd w:val="clear" w:color="auto" w:fill="auto"/>
          </w:tcPr>
          <w:p w14:paraId="4CB856E2" w14:textId="77777777" w:rsidR="00756848" w:rsidRPr="00756848" w:rsidRDefault="00756848" w:rsidP="00756848">
            <w:pPr>
              <w:spacing w:line="276" w:lineRule="auto"/>
            </w:pPr>
            <w:r w:rsidRPr="00756848">
              <w:t>79</w:t>
            </w:r>
          </w:p>
        </w:tc>
        <w:tc>
          <w:tcPr>
            <w:tcW w:w="869" w:type="dxa"/>
            <w:shd w:val="clear" w:color="auto" w:fill="auto"/>
          </w:tcPr>
          <w:p w14:paraId="56E9FE42" w14:textId="77777777" w:rsidR="00756848" w:rsidRPr="00756848" w:rsidRDefault="00756848" w:rsidP="00756848">
            <w:pPr>
              <w:spacing w:line="276" w:lineRule="auto"/>
            </w:pPr>
            <w:r w:rsidRPr="00756848">
              <w:t>11.2</w:t>
            </w:r>
          </w:p>
        </w:tc>
        <w:tc>
          <w:tcPr>
            <w:tcW w:w="708" w:type="dxa"/>
            <w:shd w:val="clear" w:color="auto" w:fill="auto"/>
          </w:tcPr>
          <w:p w14:paraId="69CC01DD" w14:textId="77777777" w:rsidR="00756848" w:rsidRPr="00756848" w:rsidRDefault="00756848" w:rsidP="00756848">
            <w:pPr>
              <w:spacing w:line="276" w:lineRule="auto"/>
            </w:pPr>
            <w:r w:rsidRPr="00756848">
              <w:t>5.4</w:t>
            </w:r>
          </w:p>
        </w:tc>
        <w:tc>
          <w:tcPr>
            <w:tcW w:w="284" w:type="dxa"/>
          </w:tcPr>
          <w:p w14:paraId="52707DF6" w14:textId="77777777" w:rsidR="00756848" w:rsidRPr="00756848" w:rsidRDefault="00756848" w:rsidP="00756848">
            <w:pPr>
              <w:spacing w:line="276" w:lineRule="auto"/>
            </w:pPr>
          </w:p>
        </w:tc>
        <w:tc>
          <w:tcPr>
            <w:tcW w:w="832" w:type="dxa"/>
            <w:shd w:val="clear" w:color="auto" w:fill="auto"/>
          </w:tcPr>
          <w:p w14:paraId="409D17D1" w14:textId="77777777" w:rsidR="00756848" w:rsidRPr="00756848" w:rsidRDefault="00756848" w:rsidP="00756848">
            <w:pPr>
              <w:spacing w:line="276" w:lineRule="auto"/>
            </w:pPr>
            <w:r w:rsidRPr="00756848">
              <w:t>298</w:t>
            </w:r>
          </w:p>
        </w:tc>
        <w:tc>
          <w:tcPr>
            <w:tcW w:w="869" w:type="dxa"/>
            <w:shd w:val="clear" w:color="auto" w:fill="auto"/>
          </w:tcPr>
          <w:p w14:paraId="65A77169" w14:textId="77777777" w:rsidR="00756848" w:rsidRPr="00756848" w:rsidRDefault="00756848" w:rsidP="00756848">
            <w:pPr>
              <w:spacing w:line="276" w:lineRule="auto"/>
            </w:pPr>
            <w:r w:rsidRPr="00756848">
              <w:t>17.3</w:t>
            </w:r>
          </w:p>
        </w:tc>
        <w:tc>
          <w:tcPr>
            <w:tcW w:w="799" w:type="dxa"/>
            <w:shd w:val="clear" w:color="auto" w:fill="auto"/>
          </w:tcPr>
          <w:p w14:paraId="63B6A3BB" w14:textId="77777777" w:rsidR="00756848" w:rsidRPr="00756848" w:rsidRDefault="00756848" w:rsidP="00756848">
            <w:pPr>
              <w:spacing w:line="276" w:lineRule="auto"/>
            </w:pPr>
            <w:r w:rsidRPr="00756848">
              <w:t>6.7</w:t>
            </w:r>
          </w:p>
        </w:tc>
      </w:tr>
      <w:tr w:rsidR="00756848" w:rsidRPr="00756848" w14:paraId="5BF27F2E" w14:textId="77777777" w:rsidTr="001D05E6">
        <w:tc>
          <w:tcPr>
            <w:tcW w:w="3823" w:type="dxa"/>
          </w:tcPr>
          <w:p w14:paraId="4B52B3A4" w14:textId="77777777" w:rsidR="00756848" w:rsidRPr="00756848" w:rsidRDefault="00756848" w:rsidP="00756848">
            <w:pPr>
              <w:spacing w:line="276" w:lineRule="auto"/>
              <w:rPr>
                <w:lang w:val="fr-FR"/>
              </w:rPr>
            </w:pPr>
            <w:r w:rsidRPr="00756848">
              <w:rPr>
                <w:lang w:val="fr-FR"/>
              </w:rPr>
              <w:t xml:space="preserve">Prior fracture &amp; T-score </w:t>
            </w:r>
            <w:r w:rsidRPr="00756848">
              <w:rPr>
                <w:u w:val="single"/>
                <w:lang w:val="fr-FR"/>
              </w:rPr>
              <w:t>&lt;</w:t>
            </w:r>
            <w:r w:rsidRPr="00756848">
              <w:rPr>
                <w:lang w:val="fr-FR"/>
              </w:rPr>
              <w:t>-2.5</w:t>
            </w:r>
            <w:r w:rsidRPr="00756848">
              <w:rPr>
                <w:vertAlign w:val="superscript"/>
                <w:lang w:val="fr-FR"/>
              </w:rPr>
              <w:t>e</w:t>
            </w:r>
          </w:p>
        </w:tc>
        <w:tc>
          <w:tcPr>
            <w:tcW w:w="832" w:type="dxa"/>
          </w:tcPr>
          <w:p w14:paraId="3EC26CA0" w14:textId="77777777" w:rsidR="00756848" w:rsidRPr="00756848" w:rsidRDefault="00756848" w:rsidP="00756848">
            <w:pPr>
              <w:spacing w:line="276" w:lineRule="auto"/>
            </w:pPr>
            <w:r w:rsidRPr="00756848">
              <w:rPr>
                <w:lang w:val="fr-FR"/>
              </w:rPr>
              <w:t>148</w:t>
            </w:r>
          </w:p>
        </w:tc>
        <w:tc>
          <w:tcPr>
            <w:tcW w:w="869" w:type="dxa"/>
          </w:tcPr>
          <w:p w14:paraId="43CE0BFE" w14:textId="77777777" w:rsidR="00756848" w:rsidRPr="00756848" w:rsidRDefault="00756848" w:rsidP="00756848">
            <w:pPr>
              <w:spacing w:line="276" w:lineRule="auto"/>
            </w:pPr>
            <w:r w:rsidRPr="00756848">
              <w:rPr>
                <w:lang w:val="fr-FR"/>
              </w:rPr>
              <w:t>9.9</w:t>
            </w:r>
          </w:p>
        </w:tc>
        <w:tc>
          <w:tcPr>
            <w:tcW w:w="708" w:type="dxa"/>
          </w:tcPr>
          <w:p w14:paraId="52AEEF41" w14:textId="77777777" w:rsidR="00756848" w:rsidRPr="00756848" w:rsidRDefault="00756848" w:rsidP="00756848">
            <w:pPr>
              <w:spacing w:line="276" w:lineRule="auto"/>
            </w:pPr>
            <w:r w:rsidRPr="00756848">
              <w:rPr>
                <w:lang w:val="fr-FR"/>
              </w:rPr>
              <w:t>3.6</w:t>
            </w:r>
          </w:p>
        </w:tc>
        <w:tc>
          <w:tcPr>
            <w:tcW w:w="284" w:type="dxa"/>
          </w:tcPr>
          <w:p w14:paraId="1C1D849B" w14:textId="77777777" w:rsidR="00756848" w:rsidRPr="00756848" w:rsidRDefault="00756848" w:rsidP="00756848">
            <w:pPr>
              <w:spacing w:line="276" w:lineRule="auto"/>
            </w:pPr>
          </w:p>
        </w:tc>
        <w:tc>
          <w:tcPr>
            <w:tcW w:w="832" w:type="dxa"/>
          </w:tcPr>
          <w:p w14:paraId="3374E8AE" w14:textId="77777777" w:rsidR="00756848" w:rsidRPr="00756848" w:rsidRDefault="00756848" w:rsidP="00756848">
            <w:pPr>
              <w:spacing w:line="276" w:lineRule="auto"/>
            </w:pPr>
            <w:r w:rsidRPr="00756848">
              <w:rPr>
                <w:lang w:val="fr-FR"/>
              </w:rPr>
              <w:t>335</w:t>
            </w:r>
          </w:p>
        </w:tc>
        <w:tc>
          <w:tcPr>
            <w:tcW w:w="869" w:type="dxa"/>
          </w:tcPr>
          <w:p w14:paraId="270F21CC" w14:textId="7ACAFA6B" w:rsidR="00756848" w:rsidRPr="00756848" w:rsidRDefault="00756848" w:rsidP="00756848">
            <w:pPr>
              <w:spacing w:line="276" w:lineRule="auto"/>
            </w:pPr>
            <w:r w:rsidRPr="00756848">
              <w:rPr>
                <w:lang w:val="fr-FR"/>
              </w:rPr>
              <w:t>17</w:t>
            </w:r>
            <w:r w:rsidR="008E63D2">
              <w:rPr>
                <w:lang w:val="fr-FR"/>
              </w:rPr>
              <w:t>.0</w:t>
            </w:r>
          </w:p>
        </w:tc>
        <w:tc>
          <w:tcPr>
            <w:tcW w:w="799" w:type="dxa"/>
          </w:tcPr>
          <w:p w14:paraId="0A9046A3" w14:textId="77777777" w:rsidR="00756848" w:rsidRPr="00756848" w:rsidRDefault="00756848" w:rsidP="00756848">
            <w:pPr>
              <w:spacing w:line="276" w:lineRule="auto"/>
            </w:pPr>
            <w:r w:rsidRPr="00756848">
              <w:rPr>
                <w:lang w:val="fr-FR"/>
              </w:rPr>
              <w:t>6.4</w:t>
            </w:r>
          </w:p>
        </w:tc>
      </w:tr>
    </w:tbl>
    <w:p w14:paraId="5E927316" w14:textId="77777777" w:rsidR="00756848" w:rsidRPr="00756848" w:rsidRDefault="00756848" w:rsidP="00756848">
      <w:pPr>
        <w:spacing w:after="0" w:line="276" w:lineRule="auto"/>
        <w:rPr>
          <w:i/>
        </w:rPr>
      </w:pPr>
      <w:r w:rsidRPr="00756848">
        <w:rPr>
          <w:i/>
          <w:vertAlign w:val="superscript"/>
        </w:rPr>
        <w:t>a</w:t>
      </w:r>
      <w:r w:rsidRPr="00756848">
        <w:rPr>
          <w:i/>
        </w:rPr>
        <w:t xml:space="preserve"> FRAX with 20% and 3% probability thresholds for major fracture and hip fracture respectively</w:t>
      </w:r>
    </w:p>
    <w:p w14:paraId="3355EA49" w14:textId="77777777" w:rsidR="00756848" w:rsidRPr="00756848" w:rsidRDefault="00756848" w:rsidP="00756848">
      <w:pPr>
        <w:spacing w:after="0" w:line="276" w:lineRule="auto"/>
        <w:rPr>
          <w:i/>
        </w:rPr>
      </w:pPr>
      <w:r w:rsidRPr="00756848">
        <w:rPr>
          <w:i/>
          <w:vertAlign w:val="superscript"/>
        </w:rPr>
        <w:lastRenderedPageBreak/>
        <w:t>b</w:t>
      </w:r>
      <w:r w:rsidRPr="00756848">
        <w:rPr>
          <w:i/>
        </w:rPr>
        <w:t xml:space="preserve"> FRAX with age-specific thresholds plus prior fracture</w:t>
      </w:r>
    </w:p>
    <w:p w14:paraId="0209BD74" w14:textId="77777777" w:rsidR="00756848" w:rsidRPr="00756848" w:rsidRDefault="00756848" w:rsidP="00756848">
      <w:pPr>
        <w:spacing w:after="0" w:line="276" w:lineRule="auto"/>
        <w:rPr>
          <w:i/>
        </w:rPr>
      </w:pPr>
      <w:r w:rsidRPr="00756848">
        <w:rPr>
          <w:i/>
          <w:vertAlign w:val="superscript"/>
        </w:rPr>
        <w:t>c</w:t>
      </w:r>
      <w:r w:rsidRPr="00756848">
        <w:rPr>
          <w:i/>
        </w:rPr>
        <w:t xml:space="preserve"> Prior hip or spine fracture</w:t>
      </w:r>
    </w:p>
    <w:p w14:paraId="4AB5B0D4" w14:textId="751F615C" w:rsidR="00756848" w:rsidRPr="00756848" w:rsidRDefault="00756848" w:rsidP="00756848">
      <w:pPr>
        <w:spacing w:after="0" w:line="276" w:lineRule="auto"/>
        <w:rPr>
          <w:i/>
        </w:rPr>
      </w:pPr>
      <w:r w:rsidRPr="00756848">
        <w:rPr>
          <w:i/>
          <w:vertAlign w:val="superscript"/>
        </w:rPr>
        <w:t>d</w:t>
      </w:r>
      <w:r w:rsidRPr="00756848">
        <w:rPr>
          <w:i/>
        </w:rPr>
        <w:t xml:space="preserve"> National Osteoporosis Foundation Guidelines</w:t>
      </w:r>
      <w:r w:rsidR="00EB5FB9">
        <w:rPr>
          <w:i/>
        </w:rPr>
        <w:t xml:space="preserve"> </w:t>
      </w:r>
      <w:r w:rsidR="00206D51">
        <w:rPr>
          <w:i/>
        </w:rPr>
        <w:t>[</w:t>
      </w:r>
      <w:r w:rsidR="008E1947">
        <w:rPr>
          <w:i/>
        </w:rPr>
        <w:t>37</w:t>
      </w:r>
      <w:r w:rsidR="00206D51">
        <w:rPr>
          <w:i/>
        </w:rPr>
        <w:t>]</w:t>
      </w:r>
      <w:r w:rsidRPr="00756848">
        <w:rPr>
          <w:i/>
          <w:vertAlign w:val="superscript"/>
        </w:rPr>
        <w:t xml:space="preserve"> </w:t>
      </w:r>
    </w:p>
    <w:p w14:paraId="374D9CDF" w14:textId="77777777" w:rsidR="00756848" w:rsidRPr="00756848" w:rsidRDefault="00756848" w:rsidP="00756848">
      <w:pPr>
        <w:spacing w:after="0" w:line="276" w:lineRule="auto"/>
        <w:rPr>
          <w:i/>
        </w:rPr>
      </w:pPr>
      <w:r w:rsidRPr="00756848">
        <w:rPr>
          <w:i/>
          <w:vertAlign w:val="superscript"/>
        </w:rPr>
        <w:t>e</w:t>
      </w:r>
      <w:r w:rsidRPr="00756848">
        <w:rPr>
          <w:i/>
        </w:rPr>
        <w:t xml:space="preserve"> T-score at proximal femur or lumbar spine</w:t>
      </w:r>
    </w:p>
    <w:p w14:paraId="616DE489" w14:textId="77777777" w:rsidR="00C12CA3" w:rsidRDefault="00C12CA3" w:rsidP="0088641C">
      <w:pPr>
        <w:spacing w:after="0" w:line="276" w:lineRule="auto"/>
      </w:pPr>
    </w:p>
    <w:bookmarkEnd w:id="12"/>
    <w:p w14:paraId="07D3A3A4" w14:textId="5F22214A" w:rsidR="00CA558B" w:rsidRDefault="00E732FC" w:rsidP="0088641C">
      <w:pPr>
        <w:spacing w:after="0" w:line="276" w:lineRule="auto"/>
        <w:rPr>
          <w:b/>
        </w:rPr>
      </w:pPr>
      <w:r w:rsidRPr="009A145E">
        <w:rPr>
          <w:b/>
        </w:rPr>
        <w:t>Missed opportunity for anabolic treatment</w:t>
      </w:r>
    </w:p>
    <w:p w14:paraId="389CCA29" w14:textId="6D57A3BF" w:rsidR="005E2130" w:rsidRDefault="006E06E1" w:rsidP="006E06E1">
      <w:pPr>
        <w:spacing w:after="0" w:line="276" w:lineRule="auto"/>
      </w:pPr>
      <w:r>
        <w:rPr>
          <w:bCs/>
        </w:rPr>
        <w:t xml:space="preserve">The </w:t>
      </w:r>
      <w:r w:rsidRPr="006E06E1">
        <w:rPr>
          <w:bCs/>
        </w:rPr>
        <w:t xml:space="preserve">ACP </w:t>
      </w:r>
      <w:r>
        <w:rPr>
          <w:bCs/>
        </w:rPr>
        <w:t xml:space="preserve">guideline </w:t>
      </w:r>
      <w:r w:rsidRPr="006E06E1">
        <w:rPr>
          <w:bCs/>
        </w:rPr>
        <w:t>recommends that clinicians offer pharmacologic treatment with alendronate, risedronate,</w:t>
      </w:r>
      <w:r>
        <w:rPr>
          <w:bCs/>
        </w:rPr>
        <w:t xml:space="preserve"> </w:t>
      </w:r>
      <w:r w:rsidRPr="006E06E1">
        <w:rPr>
          <w:bCs/>
        </w:rPr>
        <w:t>zoledronic acid, or denosumab to reduce the risk for hip and vertebral fractures in women who have known osteoporosis.</w:t>
      </w:r>
      <w:r>
        <w:rPr>
          <w:bCs/>
        </w:rPr>
        <w:t xml:space="preserve"> </w:t>
      </w:r>
      <w:r w:rsidR="0089742B" w:rsidRPr="0089742B">
        <w:rPr>
          <w:bCs/>
        </w:rPr>
        <w:t xml:space="preserve">These drugs strengthen trabecular bone by reducing </w:t>
      </w:r>
      <w:r w:rsidR="0089742B">
        <w:rPr>
          <w:bCs/>
        </w:rPr>
        <w:t>bone turnover</w:t>
      </w:r>
      <w:r w:rsidR="0089742B" w:rsidRPr="0089742B">
        <w:rPr>
          <w:bCs/>
        </w:rPr>
        <w:t xml:space="preserve"> </w:t>
      </w:r>
      <w:r w:rsidR="0089742B">
        <w:rPr>
          <w:bCs/>
        </w:rPr>
        <w:t xml:space="preserve">but </w:t>
      </w:r>
      <w:r w:rsidR="0089742B" w:rsidRPr="0089742B">
        <w:rPr>
          <w:bCs/>
        </w:rPr>
        <w:t xml:space="preserve">do not rebuild the damaged trabecular architecture. They have less or even no effect on strengthening cortical bone. </w:t>
      </w:r>
      <w:r w:rsidR="00BF0116" w:rsidRPr="00BF0116">
        <w:t>Perhaps the greatest deficit of the ACP guideline</w:t>
      </w:r>
      <w:r w:rsidR="00BF0116">
        <w:t xml:space="preserve"> is the dismissive attitude to anabolic treatment such as teriparatide, parathyroid hormone and abaloparatide.   </w:t>
      </w:r>
      <w:r w:rsidR="005E2130">
        <w:t xml:space="preserve">The guideline acknowledges that </w:t>
      </w:r>
      <w:r w:rsidR="005E2130" w:rsidRPr="005E2130">
        <w:t>treatment with</w:t>
      </w:r>
      <w:r w:rsidR="005E2130">
        <w:t xml:space="preserve"> </w:t>
      </w:r>
      <w:r w:rsidR="005E2130" w:rsidRPr="005E2130">
        <w:t>teriparatide reduces radiographic vertebral and nonvertebral</w:t>
      </w:r>
      <w:r w:rsidR="005E2130">
        <w:t xml:space="preserve"> </w:t>
      </w:r>
      <w:r w:rsidR="005E2130" w:rsidRPr="005E2130">
        <w:t>fractures compared with placebo in postmenopausal</w:t>
      </w:r>
      <w:r w:rsidR="005E2130">
        <w:t xml:space="preserve"> </w:t>
      </w:r>
      <w:r w:rsidR="005E2130" w:rsidRPr="005E2130">
        <w:t>osteoporotic women</w:t>
      </w:r>
      <w:r w:rsidR="005E2130">
        <w:t xml:space="preserve">.  The position is predicated by the </w:t>
      </w:r>
      <w:r w:rsidR="00286E68">
        <w:t xml:space="preserve">view of the ACP </w:t>
      </w:r>
      <w:r w:rsidR="005E2130">
        <w:t>that there are no differences in efficacy between available interventions</w:t>
      </w:r>
      <w:r>
        <w:t>.</w:t>
      </w:r>
    </w:p>
    <w:p w14:paraId="5631D11E" w14:textId="50305A1E" w:rsidR="006C4FEB" w:rsidRDefault="006C4FEB" w:rsidP="006E06E1">
      <w:pPr>
        <w:spacing w:after="0" w:line="276" w:lineRule="auto"/>
      </w:pPr>
    </w:p>
    <w:p w14:paraId="3B63FC69" w14:textId="065C36F7" w:rsidR="00BF0116" w:rsidRDefault="005E2130" w:rsidP="005E2130">
      <w:pPr>
        <w:spacing w:after="0" w:line="276" w:lineRule="auto"/>
        <w:rPr>
          <w:bCs/>
          <w:iCs/>
        </w:rPr>
      </w:pPr>
      <w:r>
        <w:t xml:space="preserve">Gains in BMD </w:t>
      </w:r>
      <w:r w:rsidR="00286E68">
        <w:t xml:space="preserve">following treatment with teriparatide and abaloparatide </w:t>
      </w:r>
      <w:r>
        <w:t xml:space="preserve">are very substantial compared with the bisphosphonates, </w:t>
      </w:r>
      <w:r w:rsidR="00286E68">
        <w:t>SERMs and</w:t>
      </w:r>
      <w:r>
        <w:t xml:space="preserve"> denosumab and are expected to be translated in terms of fracture risk reduction.  </w:t>
      </w:r>
      <w:r w:rsidR="001F0EE6">
        <w:t xml:space="preserve">Indeed, in a head to head comparative trial, teriparatide has been shown to have superior efficacy than risedronate on vertebral and </w:t>
      </w:r>
      <w:r w:rsidR="00347F7F">
        <w:t>clinical</w:t>
      </w:r>
      <w:r w:rsidR="001F0EE6">
        <w:t xml:space="preserve"> fractures [</w:t>
      </w:r>
      <w:r w:rsidR="008E1947">
        <w:t>38</w:t>
      </w:r>
      <w:r w:rsidR="001F0EE6">
        <w:rPr>
          <w:bCs/>
          <w:iCs/>
        </w:rPr>
        <w:t xml:space="preserve">].  The relative risk reduction for clinical vertebral fractures </w:t>
      </w:r>
      <w:r w:rsidR="00347F7F">
        <w:rPr>
          <w:bCs/>
          <w:iCs/>
        </w:rPr>
        <w:t>was 56</w:t>
      </w:r>
      <w:r w:rsidR="001F0EE6">
        <w:rPr>
          <w:bCs/>
          <w:iCs/>
        </w:rPr>
        <w:t xml:space="preserve"> % (95% CI=32-71 %) and that for </w:t>
      </w:r>
      <w:r w:rsidR="00347F7F">
        <w:rPr>
          <w:bCs/>
          <w:iCs/>
        </w:rPr>
        <w:t>all clinical</w:t>
      </w:r>
      <w:r w:rsidR="001F0EE6">
        <w:rPr>
          <w:bCs/>
          <w:iCs/>
        </w:rPr>
        <w:t xml:space="preserve"> frac</w:t>
      </w:r>
      <w:r w:rsidR="00347F7F">
        <w:rPr>
          <w:bCs/>
          <w:iCs/>
        </w:rPr>
        <w:t>t</w:t>
      </w:r>
      <w:r w:rsidR="001F0EE6">
        <w:rPr>
          <w:bCs/>
          <w:iCs/>
        </w:rPr>
        <w:t>ures</w:t>
      </w:r>
      <w:r w:rsidR="00347F7F">
        <w:rPr>
          <w:bCs/>
          <w:iCs/>
        </w:rPr>
        <w:t xml:space="preserve"> 52 % (26- 68 %)</w:t>
      </w:r>
      <w:r w:rsidR="006C4FEB">
        <w:rPr>
          <w:bCs/>
          <w:iCs/>
        </w:rPr>
        <w:t xml:space="preserve">.  </w:t>
      </w:r>
      <w:r w:rsidR="009915A0">
        <w:rPr>
          <w:bCs/>
          <w:iCs/>
        </w:rPr>
        <w:t>I</w:t>
      </w:r>
      <w:r w:rsidR="009915A0" w:rsidRPr="009915A0">
        <w:rPr>
          <w:bCs/>
          <w:iCs/>
        </w:rPr>
        <w:t xml:space="preserve">n </w:t>
      </w:r>
      <w:r w:rsidR="009915A0">
        <w:rPr>
          <w:bCs/>
          <w:iCs/>
        </w:rPr>
        <w:t>a</w:t>
      </w:r>
      <w:r w:rsidR="009915A0" w:rsidRPr="009915A0">
        <w:rPr>
          <w:bCs/>
          <w:iCs/>
        </w:rPr>
        <w:t xml:space="preserve"> head-to-head comparison, </w:t>
      </w:r>
      <w:r w:rsidR="009915A0">
        <w:rPr>
          <w:bCs/>
          <w:iCs/>
        </w:rPr>
        <w:t xml:space="preserve">abaloparatide </w:t>
      </w:r>
      <w:r w:rsidR="00792C6A">
        <w:rPr>
          <w:bCs/>
          <w:iCs/>
        </w:rPr>
        <w:t xml:space="preserve">increased BMD and </w:t>
      </w:r>
      <w:r w:rsidR="009915A0" w:rsidRPr="009915A0">
        <w:rPr>
          <w:bCs/>
          <w:iCs/>
        </w:rPr>
        <w:t>reduce</w:t>
      </w:r>
      <w:r w:rsidR="009915A0">
        <w:rPr>
          <w:bCs/>
          <w:iCs/>
        </w:rPr>
        <w:t>d</w:t>
      </w:r>
      <w:r w:rsidR="009915A0" w:rsidRPr="009915A0">
        <w:rPr>
          <w:bCs/>
          <w:iCs/>
        </w:rPr>
        <w:t xml:space="preserve"> </w:t>
      </w:r>
      <w:r w:rsidR="00FC0AEC">
        <w:rPr>
          <w:bCs/>
          <w:iCs/>
        </w:rPr>
        <w:t xml:space="preserve">the risk of </w:t>
      </w:r>
      <w:r w:rsidR="009915A0" w:rsidRPr="009915A0">
        <w:rPr>
          <w:bCs/>
          <w:iCs/>
        </w:rPr>
        <w:t xml:space="preserve">non-vertebral fractures more than </w:t>
      </w:r>
      <w:r w:rsidR="009915A0">
        <w:rPr>
          <w:bCs/>
          <w:iCs/>
        </w:rPr>
        <w:t>t</w:t>
      </w:r>
      <w:r w:rsidR="009915A0" w:rsidRPr="009915A0">
        <w:rPr>
          <w:bCs/>
          <w:iCs/>
        </w:rPr>
        <w:t>eriparatide</w:t>
      </w:r>
      <w:r w:rsidR="00792C6A">
        <w:rPr>
          <w:bCs/>
          <w:iCs/>
        </w:rPr>
        <w:t xml:space="preserve"> and, indeed, more rapidly</w:t>
      </w:r>
      <w:r w:rsidR="009915A0">
        <w:rPr>
          <w:bCs/>
          <w:iCs/>
        </w:rPr>
        <w:t xml:space="preserve"> [</w:t>
      </w:r>
      <w:r w:rsidR="008E1947">
        <w:rPr>
          <w:bCs/>
          <w:iCs/>
        </w:rPr>
        <w:t>39</w:t>
      </w:r>
      <w:r w:rsidR="009915A0">
        <w:rPr>
          <w:bCs/>
          <w:iCs/>
        </w:rPr>
        <w:t>]</w:t>
      </w:r>
      <w:r w:rsidR="00792C6A">
        <w:rPr>
          <w:bCs/>
          <w:iCs/>
        </w:rPr>
        <w:t>.</w:t>
      </w:r>
      <w:r w:rsidR="00A33A29">
        <w:rPr>
          <w:bCs/>
          <w:iCs/>
        </w:rPr>
        <w:t xml:space="preserve"> </w:t>
      </w:r>
      <w:r w:rsidR="00792C6A">
        <w:rPr>
          <w:bCs/>
          <w:iCs/>
        </w:rPr>
        <w:t>R</w:t>
      </w:r>
      <w:r w:rsidR="00FC0AEC">
        <w:rPr>
          <w:bCs/>
          <w:iCs/>
        </w:rPr>
        <w:t>omosozumab</w:t>
      </w:r>
      <w:r w:rsidR="00A33A29">
        <w:rPr>
          <w:bCs/>
          <w:iCs/>
        </w:rPr>
        <w:t xml:space="preserve"> (still an investigational agent) followed after 12 mo</w:t>
      </w:r>
      <w:r w:rsidR="00FC0AEC">
        <w:rPr>
          <w:bCs/>
          <w:iCs/>
        </w:rPr>
        <w:t>n</w:t>
      </w:r>
      <w:r w:rsidR="00A33A29">
        <w:rPr>
          <w:bCs/>
          <w:iCs/>
        </w:rPr>
        <w:t>ths by alendronate</w:t>
      </w:r>
      <w:r w:rsidR="00FC0AEC">
        <w:rPr>
          <w:bCs/>
          <w:iCs/>
        </w:rPr>
        <w:t xml:space="preserve"> for a further year showed superior efficacy on fracture outcomes compared with alendronate alone</w:t>
      </w:r>
      <w:r w:rsidR="00792C6A">
        <w:rPr>
          <w:bCs/>
          <w:iCs/>
        </w:rPr>
        <w:t xml:space="preserve">, albeit with some concerns over adverse </w:t>
      </w:r>
      <w:r w:rsidR="00792C6A">
        <w:rPr>
          <w:bCs/>
          <w:iCs/>
        </w:rPr>
        <w:lastRenderedPageBreak/>
        <w:t>cardiovascular effects</w:t>
      </w:r>
      <w:r w:rsidR="00FC0AEC">
        <w:rPr>
          <w:bCs/>
          <w:iCs/>
        </w:rPr>
        <w:t xml:space="preserve"> [</w:t>
      </w:r>
      <w:r w:rsidR="008E1947">
        <w:rPr>
          <w:bCs/>
          <w:iCs/>
        </w:rPr>
        <w:t>40</w:t>
      </w:r>
      <w:r w:rsidR="00FC0AEC">
        <w:rPr>
          <w:bCs/>
          <w:iCs/>
        </w:rPr>
        <w:t xml:space="preserve">]. </w:t>
      </w:r>
      <w:r w:rsidR="00A33A29">
        <w:rPr>
          <w:bCs/>
          <w:iCs/>
        </w:rPr>
        <w:t xml:space="preserve"> </w:t>
      </w:r>
      <w:r w:rsidR="009915A0">
        <w:rPr>
          <w:bCs/>
          <w:iCs/>
        </w:rPr>
        <w:t>These o</w:t>
      </w:r>
      <w:r w:rsidR="006C434B">
        <w:rPr>
          <w:bCs/>
          <w:iCs/>
        </w:rPr>
        <w:t xml:space="preserve">bservations indicate the emergence of a rank order </w:t>
      </w:r>
      <w:r w:rsidR="006C434B" w:rsidRPr="00A33A29">
        <w:rPr>
          <w:bCs/>
          <w:iCs/>
        </w:rPr>
        <w:t>of efficacy</w:t>
      </w:r>
      <w:r w:rsidR="00A33A29">
        <w:rPr>
          <w:bCs/>
          <w:iCs/>
        </w:rPr>
        <w:t xml:space="preserve"> unappreciated by the ACP.</w:t>
      </w:r>
    </w:p>
    <w:p w14:paraId="457B827F" w14:textId="2E4A209B" w:rsidR="006C4FEB" w:rsidRDefault="006C4FEB" w:rsidP="005E2130">
      <w:pPr>
        <w:spacing w:after="0" w:line="276" w:lineRule="auto"/>
        <w:rPr>
          <w:bCs/>
          <w:iCs/>
        </w:rPr>
      </w:pPr>
    </w:p>
    <w:p w14:paraId="6CD19786" w14:textId="3E50C2E5" w:rsidR="006C4FEB" w:rsidRDefault="006C4FEB" w:rsidP="005E2130">
      <w:pPr>
        <w:spacing w:after="0" w:line="276" w:lineRule="auto"/>
        <w:rPr>
          <w:lang w:val="en-US"/>
        </w:rPr>
      </w:pPr>
      <w:r>
        <w:t xml:space="preserve">Given that treatments with anabolic agents are limited to 18-24 months and given that efficacy will wane once treatment is stopped, the real </w:t>
      </w:r>
      <w:r w:rsidR="00BD73E9">
        <w:t>potential</w:t>
      </w:r>
      <w:r>
        <w:t xml:space="preserve"> of the anabolic treatments is whether their greater effect on BMD and fracture can be maintained with the inhibitors of bone turnover</w:t>
      </w:r>
      <w:r w:rsidR="00BD73E9">
        <w:t xml:space="preserve"> once treatment is stopped (Figure </w:t>
      </w:r>
      <w:r w:rsidR="00BD73E9" w:rsidRPr="0022188E">
        <w:t>1) [</w:t>
      </w:r>
      <w:r w:rsidR="008E1947" w:rsidRPr="0022188E">
        <w:t>41</w:t>
      </w:r>
      <w:r w:rsidRPr="0022188E">
        <w:t>]</w:t>
      </w:r>
      <w:r w:rsidR="00601EF4" w:rsidRPr="0022188E">
        <w:t>.  In</w:t>
      </w:r>
      <w:r w:rsidR="00601EF4">
        <w:t xml:space="preserve"> the case of abaloparatide</w:t>
      </w:r>
      <w:r w:rsidR="00BD73E9">
        <w:t xml:space="preserve">, efficacy </w:t>
      </w:r>
      <w:r w:rsidR="007C1080">
        <w:t xml:space="preserve">was </w:t>
      </w:r>
      <w:r w:rsidR="00BD73E9">
        <w:t>shown in an 18-month placebo control study</w:t>
      </w:r>
      <w:r w:rsidR="00E53D73" w:rsidRPr="00E53D73">
        <w:t xml:space="preserve"> </w:t>
      </w:r>
      <w:r w:rsidR="00E53D73">
        <w:t>with s</w:t>
      </w:r>
      <w:r w:rsidR="00E53D73" w:rsidRPr="00E53D73">
        <w:t>ignificant reductions in risk of vertebral, nonvertebral, clinical, and major osteoporotic fractures compared with placebo</w:t>
      </w:r>
      <w:r w:rsidR="00BD73E9">
        <w:t xml:space="preserve"> [</w:t>
      </w:r>
      <w:r w:rsidR="008E1947">
        <w:t>39</w:t>
      </w:r>
      <w:r w:rsidR="00BD73E9">
        <w:t>]</w:t>
      </w:r>
      <w:r w:rsidR="007C1080">
        <w:t xml:space="preserve">.  </w:t>
      </w:r>
      <w:r w:rsidR="00E53D73">
        <w:t xml:space="preserve">Efficacy </w:t>
      </w:r>
      <w:r w:rsidR="00BD73E9">
        <w:t>was maintained</w:t>
      </w:r>
      <w:r w:rsidR="00743BCA">
        <w:t xml:space="preserve"> with a subsequent </w:t>
      </w:r>
      <w:r w:rsidR="00733E12">
        <w:t>24-month</w:t>
      </w:r>
      <w:r w:rsidR="00743BCA">
        <w:t xml:space="preserve"> treatment with alendronate (70 mg weekly) given to patients previously taking </w:t>
      </w:r>
      <w:r w:rsidR="00E53D73">
        <w:t xml:space="preserve">or abaloparatide or </w:t>
      </w:r>
      <w:r w:rsidR="00743BCA">
        <w:t>placebo (scenarios A and B in Figure 1).</w:t>
      </w:r>
      <w:r w:rsidR="00733E12">
        <w:t xml:space="preserve">  The relative risk reduction for vertebral fracture seen in the placebo control phase of the study (RRR=86 %) was maintained in </w:t>
      </w:r>
      <w:r w:rsidR="006E612B">
        <w:t xml:space="preserve">the </w:t>
      </w:r>
      <w:r w:rsidR="00733E12">
        <w:t xml:space="preserve">extension phase of </w:t>
      </w:r>
      <w:r w:rsidR="00733E12" w:rsidRPr="00733E12">
        <w:t>the trial (RRR=84 %).</w:t>
      </w:r>
      <w:r w:rsidR="00733E12" w:rsidRPr="00733E12">
        <w:rPr>
          <w:rFonts w:eastAsia="Tahoma" w:cs="Arial"/>
          <w:kern w:val="24"/>
          <w:lang w:val="en-US"/>
        </w:rPr>
        <w:t xml:space="preserve"> A sustained </w:t>
      </w:r>
      <w:r w:rsidR="00733E12">
        <w:rPr>
          <w:rFonts w:eastAsia="Tahoma" w:cs="Arial"/>
          <w:kern w:val="24"/>
          <w:lang w:val="en-US"/>
        </w:rPr>
        <w:t>e</w:t>
      </w:r>
      <w:r w:rsidR="00733E12" w:rsidRPr="00733E12">
        <w:rPr>
          <w:rFonts w:eastAsia="Tahoma" w:cs="Arial"/>
          <w:kern w:val="24"/>
          <w:lang w:val="en-US"/>
        </w:rPr>
        <w:t>ffect was also</w:t>
      </w:r>
      <w:r w:rsidR="00733E12">
        <w:rPr>
          <w:rFonts w:eastAsia="Tahoma" w:cs="Arial"/>
          <w:kern w:val="24"/>
          <w:lang w:val="en-US"/>
        </w:rPr>
        <w:t xml:space="preserve"> </w:t>
      </w:r>
      <w:r w:rsidR="00733E12">
        <w:rPr>
          <w:lang w:val="en-US"/>
        </w:rPr>
        <w:t>seen for</w:t>
      </w:r>
      <w:r w:rsidR="00733E12" w:rsidRPr="00733E12">
        <w:rPr>
          <w:lang w:val="en-US"/>
        </w:rPr>
        <w:t xml:space="preserve"> </w:t>
      </w:r>
      <w:r w:rsidR="00733E12">
        <w:rPr>
          <w:lang w:val="en-US"/>
        </w:rPr>
        <w:t>n</w:t>
      </w:r>
      <w:r w:rsidR="00733E12" w:rsidRPr="00733E12">
        <w:rPr>
          <w:lang w:val="en-US"/>
        </w:rPr>
        <w:t>on</w:t>
      </w:r>
      <w:r w:rsidR="00733E12">
        <w:rPr>
          <w:lang w:val="en-US"/>
        </w:rPr>
        <w:t>-</w:t>
      </w:r>
      <w:r w:rsidR="00733E12" w:rsidRPr="00733E12">
        <w:rPr>
          <w:lang w:val="en-US"/>
        </w:rPr>
        <w:t xml:space="preserve">vertebral </w:t>
      </w:r>
      <w:r w:rsidR="00733E12">
        <w:rPr>
          <w:lang w:val="en-US"/>
        </w:rPr>
        <w:t>f</w:t>
      </w:r>
      <w:r w:rsidR="00733E12" w:rsidRPr="00733E12">
        <w:rPr>
          <w:lang w:val="en-US"/>
        </w:rPr>
        <w:t>racture</w:t>
      </w:r>
      <w:r w:rsidR="00733E12">
        <w:rPr>
          <w:lang w:val="en-US"/>
        </w:rPr>
        <w:t>, major osteoporotic fracture and hip fracture risk reduction</w:t>
      </w:r>
      <w:r w:rsidR="007C1080">
        <w:rPr>
          <w:lang w:val="en-US"/>
        </w:rPr>
        <w:t xml:space="preserve"> [</w:t>
      </w:r>
      <w:r w:rsidR="00780B6D">
        <w:rPr>
          <w:lang w:val="en-US"/>
        </w:rPr>
        <w:t>42</w:t>
      </w:r>
      <w:r w:rsidR="007C1080">
        <w:rPr>
          <w:lang w:val="en-US"/>
        </w:rPr>
        <w:t>]</w:t>
      </w:r>
      <w:r w:rsidR="00733E12">
        <w:rPr>
          <w:lang w:val="en-US"/>
        </w:rPr>
        <w:t>.</w:t>
      </w:r>
    </w:p>
    <w:p w14:paraId="5037EEF2" w14:textId="6E59DF62" w:rsidR="00A1341C" w:rsidRDefault="00A1341C" w:rsidP="005E2130">
      <w:pPr>
        <w:spacing w:after="0" w:line="276" w:lineRule="auto"/>
        <w:rPr>
          <w:lang w:val="en-US"/>
        </w:rPr>
      </w:pPr>
    </w:p>
    <w:p w14:paraId="4789E7FB" w14:textId="77777777" w:rsidR="006C4FEB" w:rsidRDefault="006C4FEB" w:rsidP="005E2130">
      <w:pPr>
        <w:spacing w:after="0" w:line="276" w:lineRule="auto"/>
      </w:pPr>
    </w:p>
    <w:p w14:paraId="2956B623" w14:textId="74E9D755" w:rsidR="00286E68" w:rsidRDefault="00286E68" w:rsidP="00E53D73">
      <w:pPr>
        <w:spacing w:after="0" w:line="276" w:lineRule="auto"/>
        <w:jc w:val="center"/>
      </w:pPr>
    </w:p>
    <w:p w14:paraId="430D949E" w14:textId="77777777" w:rsidR="00A1341C" w:rsidRDefault="00A1341C" w:rsidP="00E53D73">
      <w:pPr>
        <w:spacing w:after="0" w:line="276" w:lineRule="auto"/>
        <w:ind w:left="1701"/>
        <w:rPr>
          <w:b/>
        </w:rPr>
      </w:pPr>
    </w:p>
    <w:p w14:paraId="790D8EF4" w14:textId="7B1EC1DC" w:rsidR="00A1341C" w:rsidRDefault="00A1341C" w:rsidP="00E53D73">
      <w:pPr>
        <w:spacing w:after="0" w:line="276" w:lineRule="auto"/>
        <w:ind w:left="1701"/>
        <w:rPr>
          <w:b/>
        </w:rPr>
      </w:pPr>
      <w:r w:rsidRPr="00A1341C">
        <w:rPr>
          <w:b/>
          <w:noProof/>
          <w:lang w:eastAsia="en-GB"/>
        </w:rPr>
        <w:drawing>
          <wp:inline distT="0" distB="0" distL="0" distR="0" wp14:anchorId="6600132D" wp14:editId="0DB654F9">
            <wp:extent cx="45720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000" b="4444"/>
                    <a:stretch/>
                  </pic:blipFill>
                  <pic:spPr bwMode="auto">
                    <a:xfrm>
                      <a:off x="0" y="0"/>
                      <a:ext cx="4572396" cy="2933954"/>
                    </a:xfrm>
                    <a:prstGeom prst="rect">
                      <a:avLst/>
                    </a:prstGeom>
                    <a:ln>
                      <a:noFill/>
                    </a:ln>
                    <a:extLst>
                      <a:ext uri="{53640926-AAD7-44D8-BBD7-CCE9431645EC}">
                        <a14:shadowObscured xmlns:a14="http://schemas.microsoft.com/office/drawing/2010/main"/>
                      </a:ext>
                    </a:extLst>
                  </pic:spPr>
                </pic:pic>
              </a:graphicData>
            </a:graphic>
          </wp:inline>
        </w:drawing>
      </w:r>
    </w:p>
    <w:p w14:paraId="302B7368" w14:textId="7B0B3C19" w:rsidR="00286E68" w:rsidRPr="000F60A6" w:rsidRDefault="00286E68" w:rsidP="00E53D73">
      <w:pPr>
        <w:spacing w:after="0" w:line="276" w:lineRule="auto"/>
        <w:ind w:left="1701"/>
      </w:pPr>
      <w:r w:rsidRPr="000F60A6">
        <w:rPr>
          <w:b/>
        </w:rPr>
        <w:lastRenderedPageBreak/>
        <w:t>Fig. 1</w:t>
      </w:r>
      <w:r w:rsidRPr="000F60A6">
        <w:t xml:space="preserve"> Schematic diagram showing the effects of a bone-forming</w:t>
      </w:r>
    </w:p>
    <w:p w14:paraId="0DF734AE" w14:textId="77777777" w:rsidR="00286E68" w:rsidRPr="000F60A6" w:rsidRDefault="00286E68" w:rsidP="00E53D73">
      <w:pPr>
        <w:spacing w:after="0" w:line="276" w:lineRule="auto"/>
        <w:ind w:left="1701"/>
      </w:pPr>
      <w:r w:rsidRPr="000F60A6">
        <w:t>agent on the relative fracture risk reduction (RRR) compared with</w:t>
      </w:r>
    </w:p>
    <w:p w14:paraId="5FAC9DCC" w14:textId="77777777" w:rsidR="00286E68" w:rsidRPr="000F60A6" w:rsidRDefault="00286E68" w:rsidP="00E53D73">
      <w:pPr>
        <w:spacing w:after="0" w:line="276" w:lineRule="auto"/>
        <w:ind w:left="1701"/>
      </w:pPr>
      <w:r w:rsidRPr="000F60A6">
        <w:t>placebo. In scenario A, treatment with a bone-forming agent induces a</w:t>
      </w:r>
    </w:p>
    <w:p w14:paraId="7C2E89DA" w14:textId="642159D9" w:rsidR="00286E68" w:rsidRPr="000F60A6" w:rsidRDefault="00286E68" w:rsidP="00E53D73">
      <w:pPr>
        <w:spacing w:after="0" w:line="276" w:lineRule="auto"/>
        <w:ind w:left="1701"/>
      </w:pPr>
      <w:r w:rsidRPr="000F60A6">
        <w:t>marked effect on fracture risk over a</w:t>
      </w:r>
      <w:r w:rsidR="00A1341C" w:rsidRPr="000F60A6">
        <w:t>n</w:t>
      </w:r>
      <w:r w:rsidRPr="000F60A6">
        <w:t xml:space="preserve"> </w:t>
      </w:r>
      <w:r w:rsidR="00A1341C" w:rsidRPr="000F60A6">
        <w:t>18</w:t>
      </w:r>
      <w:r w:rsidRPr="000F60A6">
        <w:t xml:space="preserve"> months exposure compared</w:t>
      </w:r>
    </w:p>
    <w:p w14:paraId="206B5BDF" w14:textId="77777777" w:rsidR="00286E68" w:rsidRPr="000F60A6" w:rsidRDefault="00286E68" w:rsidP="00E53D73">
      <w:pPr>
        <w:spacing w:after="0" w:line="276" w:lineRule="auto"/>
        <w:ind w:left="1701"/>
      </w:pPr>
      <w:r w:rsidRPr="000F60A6">
        <w:t>with placebo. On stopping the agent, the effect on fracture wears off</w:t>
      </w:r>
    </w:p>
    <w:p w14:paraId="51B02E3C" w14:textId="7A1C026F" w:rsidR="00286E68" w:rsidRPr="000F60A6" w:rsidRDefault="00286E68" w:rsidP="00E53D73">
      <w:pPr>
        <w:spacing w:after="0" w:line="276" w:lineRule="auto"/>
        <w:ind w:left="1701"/>
      </w:pPr>
      <w:r w:rsidRPr="000F60A6">
        <w:t xml:space="preserve">over a similar time interval of </w:t>
      </w:r>
      <w:r w:rsidR="00A1341C" w:rsidRPr="000F60A6">
        <w:t>18</w:t>
      </w:r>
      <w:r w:rsidRPr="000F60A6">
        <w:t xml:space="preserve"> months. In scenario C, the treatment</w:t>
      </w:r>
    </w:p>
    <w:p w14:paraId="6EEAA4C9" w14:textId="77777777" w:rsidR="00286E68" w:rsidRPr="000F60A6" w:rsidRDefault="00286E68" w:rsidP="00E53D73">
      <w:pPr>
        <w:spacing w:after="0" w:line="276" w:lineRule="auto"/>
        <w:ind w:left="1701"/>
      </w:pPr>
      <w:r w:rsidRPr="000F60A6">
        <w:t>group is treated after the exposure with an inhibitor of bone turnover</w:t>
      </w:r>
    </w:p>
    <w:p w14:paraId="3AC0AFED" w14:textId="1BE5520E" w:rsidR="00286E68" w:rsidRPr="000F60A6" w:rsidRDefault="00286E68" w:rsidP="00E53D73">
      <w:pPr>
        <w:spacing w:after="0" w:line="276" w:lineRule="auto"/>
        <w:ind w:left="1701"/>
      </w:pPr>
      <w:r w:rsidRPr="000F60A6">
        <w:t xml:space="preserve">which maintains the efficacy </w:t>
      </w:r>
      <w:r w:rsidR="00A1341C" w:rsidRPr="000F60A6">
        <w:t xml:space="preserve">up </w:t>
      </w:r>
      <w:r w:rsidRPr="000F60A6">
        <w:t xml:space="preserve">to </w:t>
      </w:r>
      <w:r w:rsidR="00A1341C" w:rsidRPr="000F60A6">
        <w:t>4</w:t>
      </w:r>
      <w:r w:rsidRPr="000F60A6">
        <w:t xml:space="preserve"> years. In scenario B, both the</w:t>
      </w:r>
    </w:p>
    <w:p w14:paraId="0D29E926" w14:textId="77777777" w:rsidR="00286E68" w:rsidRPr="000F60A6" w:rsidRDefault="00286E68" w:rsidP="00E53D73">
      <w:pPr>
        <w:spacing w:after="0" w:line="276" w:lineRule="auto"/>
        <w:ind w:left="1701"/>
      </w:pPr>
      <w:r w:rsidRPr="000F60A6">
        <w:t>treatment and the placebo groups are treated after the exposure with</w:t>
      </w:r>
    </w:p>
    <w:p w14:paraId="5F95E6D9" w14:textId="1870159A" w:rsidR="00286E68" w:rsidRPr="000F60A6" w:rsidRDefault="00286E68" w:rsidP="00E53D73">
      <w:pPr>
        <w:spacing w:after="0" w:line="276" w:lineRule="auto"/>
        <w:ind w:left="1701"/>
      </w:pPr>
      <w:r w:rsidRPr="000F60A6">
        <w:t>an inhibitor of bone turnover</w:t>
      </w:r>
      <w:r w:rsidR="00A1341C" w:rsidRPr="000F60A6">
        <w:t xml:space="preserve"> [adapted from </w:t>
      </w:r>
      <w:r w:rsidR="00780B6D">
        <w:t>41</w:t>
      </w:r>
      <w:r w:rsidR="00A1341C" w:rsidRPr="000F60A6">
        <w:t>]</w:t>
      </w:r>
      <w:r w:rsidR="00E53D73" w:rsidRPr="000F60A6">
        <w:t>.</w:t>
      </w:r>
    </w:p>
    <w:p w14:paraId="6C4E2A50" w14:textId="22BD0745" w:rsidR="00E53D73" w:rsidRDefault="00E53D73" w:rsidP="00E5385E">
      <w:pPr>
        <w:spacing w:line="276" w:lineRule="auto"/>
        <w:rPr>
          <w:b/>
        </w:rPr>
      </w:pPr>
    </w:p>
    <w:p w14:paraId="48CCA175" w14:textId="5EA02074" w:rsidR="00A15B82" w:rsidRPr="00A15B82" w:rsidRDefault="00A15B82" w:rsidP="00E5385E">
      <w:pPr>
        <w:spacing w:line="276" w:lineRule="auto"/>
      </w:pPr>
      <w:r w:rsidRPr="00A15B82">
        <w:t xml:space="preserve">The advent of </w:t>
      </w:r>
      <w:r>
        <w:t>anabolic therapy that can be sustained past the duration of exposure</w:t>
      </w:r>
      <w:r w:rsidR="00652332">
        <w:t>,</w:t>
      </w:r>
      <w:r>
        <w:t xml:space="preserve"> opens a new era in the management of osteop</w:t>
      </w:r>
      <w:r w:rsidR="00652332">
        <w:t>orosis, particularly those patients at imminent risk [</w:t>
      </w:r>
      <w:r w:rsidR="00780B6D">
        <w:t>43</w:t>
      </w:r>
      <w:r w:rsidR="00652332">
        <w:t>].</w:t>
      </w:r>
    </w:p>
    <w:p w14:paraId="10CA3808" w14:textId="77777777" w:rsidR="000F60A6" w:rsidRPr="000F60A6" w:rsidRDefault="000F60A6" w:rsidP="000F60A6">
      <w:pPr>
        <w:spacing w:line="276" w:lineRule="auto"/>
        <w:rPr>
          <w:b/>
          <w:lang w:val="en-US"/>
        </w:rPr>
      </w:pPr>
      <w:r w:rsidRPr="000F60A6">
        <w:rPr>
          <w:b/>
          <w:lang w:val="en-US"/>
        </w:rPr>
        <w:t xml:space="preserve">Conclusion </w:t>
      </w:r>
    </w:p>
    <w:p w14:paraId="38D45144" w14:textId="113AC06C" w:rsidR="000F60A6" w:rsidRPr="000F60A6" w:rsidRDefault="000F60A6" w:rsidP="000F60A6">
      <w:pPr>
        <w:spacing w:line="276" w:lineRule="auto"/>
      </w:pPr>
      <w:r w:rsidRPr="000F60A6">
        <w:rPr>
          <w:lang w:val="en-US"/>
        </w:rPr>
        <w:t>We recognize that several papers in this editorial post-date the review of the ACP though the sentiments were well rehearsed.  Notwithstanding, the ACP guideline appears outdated</w:t>
      </w:r>
      <w:r>
        <w:rPr>
          <w:lang w:val="en-US"/>
        </w:rPr>
        <w:t xml:space="preserve"> </w:t>
      </w:r>
      <w:r w:rsidR="00A12274">
        <w:rPr>
          <w:lang w:val="en-US"/>
        </w:rPr>
        <w:t xml:space="preserve">even </w:t>
      </w:r>
      <w:r>
        <w:rPr>
          <w:lang w:val="en-US"/>
        </w:rPr>
        <w:t xml:space="preserve">at </w:t>
      </w:r>
      <w:r w:rsidR="00A12274">
        <w:rPr>
          <w:lang w:val="en-US"/>
        </w:rPr>
        <w:t>its</w:t>
      </w:r>
      <w:r>
        <w:rPr>
          <w:lang w:val="en-US"/>
        </w:rPr>
        <w:t xml:space="preserve"> time of publication.</w:t>
      </w:r>
    </w:p>
    <w:p w14:paraId="26AED4BD" w14:textId="74215CCB" w:rsidR="000F60A6" w:rsidRDefault="00921EB5" w:rsidP="00E5385E">
      <w:pPr>
        <w:spacing w:line="276" w:lineRule="auto"/>
        <w:rPr>
          <w:b/>
        </w:rPr>
      </w:pPr>
      <w:r>
        <w:rPr>
          <w:b/>
        </w:rPr>
        <w:t>Competing Interests</w:t>
      </w:r>
    </w:p>
    <w:p w14:paraId="3EF1DBD8" w14:textId="16C3909F" w:rsidR="00921EB5" w:rsidRDefault="00921EB5" w:rsidP="00E5385E">
      <w:pPr>
        <w:spacing w:line="276" w:lineRule="auto"/>
      </w:pPr>
      <w:r w:rsidRPr="00921EB5">
        <w:lastRenderedPageBreak/>
        <w:t xml:space="preserve">JAK reports grants from Amgen, Eli Lilly and Radius Health; non-financial support from Medimaps, and Asahi; and other support from AgNovos. JAK is the architect of FRAX but has no financial interest. </w:t>
      </w:r>
      <w:r w:rsidR="006258AB" w:rsidRPr="006258AB">
        <w:t>Professor Cooper reports personal fees from Alliance for Better Bone Health, Amgen, Eli Lilly, GSK, Medtronic, Merck, Novartis, Pfizer, Roche, Servier, Takeda and UCB.</w:t>
      </w:r>
      <w:r w:rsidR="004844FC">
        <w:t xml:space="preserve"> </w:t>
      </w:r>
      <w:r w:rsidRPr="00921EB5">
        <w:t xml:space="preserve"> RR has received consulting fees or advisory board fees from Radius Health, Labatec, Danone, and Nestlé. J-YR has received advisory board or speaker fees from Asahi-Kasei, Eli Lilly, IBSA- Genévrier, Nycomed-Takeda, PharmEvo, Radius Health, Roche, Servier, UCB, Will Pharma and Zodiac.</w:t>
      </w:r>
    </w:p>
    <w:p w14:paraId="13167F28" w14:textId="46B4D266" w:rsidR="009A01C5" w:rsidRDefault="00910BEB" w:rsidP="00E5385E">
      <w:pPr>
        <w:spacing w:line="276" w:lineRule="auto"/>
        <w:rPr>
          <w:b/>
        </w:rPr>
      </w:pPr>
      <w:r w:rsidRPr="00910BEB">
        <w:rPr>
          <w:b/>
        </w:rPr>
        <w:t>Acknowledgements</w:t>
      </w:r>
    </w:p>
    <w:p w14:paraId="21F86AB9" w14:textId="64B215DC" w:rsidR="00910BEB" w:rsidRPr="00910BEB" w:rsidRDefault="00910BEB" w:rsidP="00E5385E">
      <w:pPr>
        <w:spacing w:line="276" w:lineRule="auto"/>
      </w:pPr>
      <w:r w:rsidRPr="00910BEB">
        <w:t>Committee of Scientific Advisors and the Committee of National Societies</w:t>
      </w:r>
      <w:r>
        <w:t xml:space="preserve"> of the International Osteoporosis Foundation (</w:t>
      </w:r>
      <w:r w:rsidRPr="00910BEB">
        <w:rPr>
          <w:highlight w:val="yellow"/>
        </w:rPr>
        <w:t>to complete</w:t>
      </w:r>
      <w:r>
        <w:t>)</w:t>
      </w:r>
    </w:p>
    <w:p w14:paraId="0FD7BBE8" w14:textId="700E49A5" w:rsidR="00355DBA" w:rsidRDefault="00355DBA" w:rsidP="00355DBA">
      <w:pPr>
        <w:spacing w:line="276" w:lineRule="auto"/>
        <w:rPr>
          <w:b/>
        </w:rPr>
      </w:pPr>
    </w:p>
    <w:p w14:paraId="06EC766B" w14:textId="318929E0" w:rsidR="00932C69" w:rsidRPr="00932C69" w:rsidRDefault="00932C69" w:rsidP="00932C69">
      <w:pPr>
        <w:spacing w:line="276" w:lineRule="auto"/>
        <w:rPr>
          <w:b/>
        </w:rPr>
      </w:pPr>
      <w:r w:rsidRPr="00932C69">
        <w:rPr>
          <w:b/>
        </w:rPr>
        <w:t>References</w:t>
      </w:r>
    </w:p>
    <w:p w14:paraId="16FFA32C" w14:textId="4D78B9F2" w:rsidR="00780B6D" w:rsidRDefault="00780B6D" w:rsidP="00FB7128">
      <w:pPr>
        <w:ind w:left="567" w:hanging="567"/>
        <w:rPr>
          <w:bCs/>
          <w:iCs/>
        </w:rPr>
      </w:pPr>
      <w:r>
        <w:rPr>
          <w:bCs/>
          <w:iCs/>
        </w:rPr>
        <w:t>1.</w:t>
      </w:r>
      <w:r>
        <w:rPr>
          <w:bCs/>
          <w:iCs/>
        </w:rPr>
        <w:tab/>
      </w:r>
      <w:r w:rsidRPr="00791A98">
        <w:rPr>
          <w:bCs/>
          <w:iCs/>
        </w:rPr>
        <w:t>Qaseem A, Forciea MA, McLean RM, Denberg TD; Clinical Guidelines Committee of the American College of Physicians</w:t>
      </w:r>
      <w:r>
        <w:rPr>
          <w:bCs/>
          <w:iCs/>
        </w:rPr>
        <w:t xml:space="preserve"> (2017) </w:t>
      </w:r>
      <w:r w:rsidRPr="00791A98">
        <w:rPr>
          <w:bCs/>
          <w:iCs/>
        </w:rPr>
        <w:t xml:space="preserve">Treatment of </w:t>
      </w:r>
      <w:r>
        <w:rPr>
          <w:bCs/>
          <w:iCs/>
        </w:rPr>
        <w:t>l</w:t>
      </w:r>
      <w:r w:rsidRPr="00791A98">
        <w:rPr>
          <w:bCs/>
          <w:iCs/>
        </w:rPr>
        <w:t xml:space="preserve">ow </w:t>
      </w:r>
      <w:r>
        <w:rPr>
          <w:bCs/>
          <w:iCs/>
        </w:rPr>
        <w:t>b</w:t>
      </w:r>
      <w:r w:rsidRPr="00791A98">
        <w:rPr>
          <w:bCs/>
          <w:iCs/>
        </w:rPr>
        <w:t xml:space="preserve">one </w:t>
      </w:r>
      <w:r>
        <w:rPr>
          <w:bCs/>
          <w:iCs/>
        </w:rPr>
        <w:t>d</w:t>
      </w:r>
      <w:r w:rsidRPr="00791A98">
        <w:rPr>
          <w:bCs/>
          <w:iCs/>
        </w:rPr>
        <w:t xml:space="preserve">ensity or </w:t>
      </w:r>
      <w:r>
        <w:rPr>
          <w:bCs/>
          <w:iCs/>
        </w:rPr>
        <w:t>o</w:t>
      </w:r>
      <w:r w:rsidRPr="00791A98">
        <w:rPr>
          <w:bCs/>
          <w:iCs/>
        </w:rPr>
        <w:t>steoporosis</w:t>
      </w:r>
      <w:r>
        <w:rPr>
          <w:bCs/>
          <w:iCs/>
        </w:rPr>
        <w:t xml:space="preserve"> </w:t>
      </w:r>
      <w:r w:rsidRPr="00791A98">
        <w:rPr>
          <w:bCs/>
          <w:iCs/>
        </w:rPr>
        <w:t xml:space="preserve">to </w:t>
      </w:r>
      <w:r>
        <w:rPr>
          <w:bCs/>
          <w:iCs/>
        </w:rPr>
        <w:t>p</w:t>
      </w:r>
      <w:r w:rsidRPr="00791A98">
        <w:rPr>
          <w:bCs/>
          <w:iCs/>
        </w:rPr>
        <w:t xml:space="preserve">revent </w:t>
      </w:r>
      <w:r>
        <w:rPr>
          <w:bCs/>
          <w:iCs/>
        </w:rPr>
        <w:t>f</w:t>
      </w:r>
      <w:r w:rsidRPr="00791A98">
        <w:rPr>
          <w:bCs/>
          <w:iCs/>
        </w:rPr>
        <w:t xml:space="preserve">ractures in </w:t>
      </w:r>
      <w:r>
        <w:rPr>
          <w:bCs/>
          <w:iCs/>
        </w:rPr>
        <w:t>m</w:t>
      </w:r>
      <w:r w:rsidRPr="00791A98">
        <w:rPr>
          <w:bCs/>
          <w:iCs/>
        </w:rPr>
        <w:t xml:space="preserve">en and </w:t>
      </w:r>
      <w:r>
        <w:rPr>
          <w:bCs/>
          <w:iCs/>
        </w:rPr>
        <w:t>w</w:t>
      </w:r>
      <w:r w:rsidRPr="00791A98">
        <w:rPr>
          <w:bCs/>
          <w:iCs/>
        </w:rPr>
        <w:t xml:space="preserve">omen: A </w:t>
      </w:r>
      <w:r>
        <w:rPr>
          <w:bCs/>
          <w:iCs/>
        </w:rPr>
        <w:t>c</w:t>
      </w:r>
      <w:r w:rsidRPr="00791A98">
        <w:rPr>
          <w:bCs/>
          <w:iCs/>
        </w:rPr>
        <w:t xml:space="preserve">linical </w:t>
      </w:r>
      <w:r>
        <w:rPr>
          <w:bCs/>
          <w:iCs/>
        </w:rPr>
        <w:t>p</w:t>
      </w:r>
      <w:r w:rsidRPr="00791A98">
        <w:rPr>
          <w:bCs/>
          <w:iCs/>
        </w:rPr>
        <w:t xml:space="preserve">ractice </w:t>
      </w:r>
      <w:r>
        <w:rPr>
          <w:bCs/>
          <w:iCs/>
        </w:rPr>
        <w:t>g</w:t>
      </w:r>
      <w:r w:rsidRPr="00791A98">
        <w:rPr>
          <w:bCs/>
          <w:iCs/>
        </w:rPr>
        <w:t xml:space="preserve">uideline </w:t>
      </w:r>
      <w:r>
        <w:rPr>
          <w:bCs/>
          <w:iCs/>
        </w:rPr>
        <w:t>u</w:t>
      </w:r>
      <w:r w:rsidRPr="00791A98">
        <w:rPr>
          <w:bCs/>
          <w:iCs/>
        </w:rPr>
        <w:t xml:space="preserve">pdate </w:t>
      </w:r>
      <w:r>
        <w:rPr>
          <w:bCs/>
          <w:iCs/>
        </w:rPr>
        <w:t>f</w:t>
      </w:r>
      <w:r w:rsidRPr="00791A98">
        <w:rPr>
          <w:bCs/>
          <w:iCs/>
        </w:rPr>
        <w:t>rom the American College of Physicians. Ann Intern Med</w:t>
      </w:r>
      <w:r>
        <w:rPr>
          <w:bCs/>
          <w:iCs/>
        </w:rPr>
        <w:t xml:space="preserve"> </w:t>
      </w:r>
      <w:r w:rsidRPr="00791A98">
        <w:rPr>
          <w:bCs/>
          <w:iCs/>
        </w:rPr>
        <w:t>166:</w:t>
      </w:r>
      <w:r>
        <w:rPr>
          <w:bCs/>
          <w:iCs/>
        </w:rPr>
        <w:t xml:space="preserve"> </w:t>
      </w:r>
      <w:r w:rsidRPr="00791A98">
        <w:rPr>
          <w:bCs/>
          <w:iCs/>
        </w:rPr>
        <w:t>818-839.</w:t>
      </w:r>
    </w:p>
    <w:p w14:paraId="056A4CB6" w14:textId="77777777" w:rsidR="00780B6D" w:rsidRPr="00780B6D" w:rsidRDefault="00780B6D" w:rsidP="00780B6D">
      <w:pPr>
        <w:ind w:left="567" w:hanging="567"/>
        <w:rPr>
          <w:bCs/>
          <w:iCs/>
        </w:rPr>
      </w:pPr>
      <w:r w:rsidRPr="00780B6D">
        <w:rPr>
          <w:bCs/>
          <w:iCs/>
        </w:rPr>
        <w:t>2.</w:t>
      </w:r>
      <w:r w:rsidRPr="00780B6D">
        <w:rPr>
          <w:bCs/>
          <w:iCs/>
        </w:rPr>
        <w:tab/>
        <w:t>Caplan L, Hansen KE, Saag KG (2017) Response to the ACP osteoporosis guideline 2017 Revision. Arthritis Rheumatol.. doi: 10.1002/art.40305. [</w:t>
      </w:r>
      <w:r w:rsidRPr="001435F7">
        <w:rPr>
          <w:bCs/>
          <w:iCs/>
          <w:highlight w:val="yellow"/>
        </w:rPr>
        <w:t>Epub ahead of print</w:t>
      </w:r>
      <w:r w:rsidRPr="00780B6D">
        <w:rPr>
          <w:bCs/>
          <w:iCs/>
        </w:rPr>
        <w:t>]</w:t>
      </w:r>
    </w:p>
    <w:p w14:paraId="7BFE5A07" w14:textId="56F608D3" w:rsidR="00780B6D" w:rsidRPr="00780B6D" w:rsidRDefault="00780B6D" w:rsidP="00780B6D">
      <w:pPr>
        <w:ind w:left="567" w:hanging="567"/>
        <w:rPr>
          <w:bCs/>
          <w:iCs/>
        </w:rPr>
      </w:pPr>
      <w:r w:rsidRPr="00780B6D">
        <w:rPr>
          <w:bCs/>
          <w:iCs/>
        </w:rPr>
        <w:t>3</w:t>
      </w:r>
      <w:r>
        <w:rPr>
          <w:bCs/>
          <w:iCs/>
        </w:rPr>
        <w:t>.</w:t>
      </w:r>
      <w:r w:rsidRPr="00780B6D">
        <w:rPr>
          <w:bCs/>
          <w:iCs/>
        </w:rPr>
        <w:tab/>
        <w:t>Cranney A, Jamal SA, Tsang JF, Josse RG, Leslie WD (2007) Low bone mineral density and fracture burden in postmenopausal women. CMAJ 177:575–580</w:t>
      </w:r>
    </w:p>
    <w:p w14:paraId="1444857C" w14:textId="639E3A8B" w:rsidR="00780B6D" w:rsidRPr="00780B6D" w:rsidRDefault="00780B6D" w:rsidP="00780B6D">
      <w:pPr>
        <w:ind w:left="567" w:hanging="567"/>
        <w:rPr>
          <w:bCs/>
          <w:iCs/>
        </w:rPr>
      </w:pPr>
      <w:r w:rsidRPr="00780B6D">
        <w:rPr>
          <w:bCs/>
          <w:iCs/>
        </w:rPr>
        <w:lastRenderedPageBreak/>
        <w:t>4</w:t>
      </w:r>
      <w:r>
        <w:rPr>
          <w:bCs/>
          <w:iCs/>
        </w:rPr>
        <w:t>.</w:t>
      </w:r>
      <w:r w:rsidRPr="00780B6D">
        <w:rPr>
          <w:bCs/>
          <w:iCs/>
        </w:rPr>
        <w:tab/>
        <w:t>World Health Organisation (1994) Assessment of fracture risk and its application to screening for postmenopausal osteoporosis. WHO Technical Report Series 843. WHO, Geneva</w:t>
      </w:r>
    </w:p>
    <w:p w14:paraId="320ED6C3" w14:textId="77777777" w:rsidR="00780B6D" w:rsidRPr="00780B6D" w:rsidRDefault="00780B6D" w:rsidP="00780B6D">
      <w:pPr>
        <w:ind w:left="567" w:hanging="567"/>
        <w:rPr>
          <w:bCs/>
          <w:iCs/>
        </w:rPr>
      </w:pPr>
      <w:r w:rsidRPr="00780B6D">
        <w:rPr>
          <w:bCs/>
          <w:iCs/>
        </w:rPr>
        <w:t>5.</w:t>
      </w:r>
      <w:r w:rsidRPr="00780B6D">
        <w:rPr>
          <w:bCs/>
          <w:iCs/>
        </w:rPr>
        <w:tab/>
        <w:t>Kanis JA, Johnell O, Oden A, Jonsson B, De Laet C, Dawson A (2000) Risk of hip fracture according to World Health Organization criteria for osteoporosis and osteopenia. Bone 27:585–590</w:t>
      </w:r>
    </w:p>
    <w:p w14:paraId="7E51B999" w14:textId="77777777" w:rsidR="00780B6D" w:rsidRPr="00780B6D" w:rsidRDefault="00780B6D" w:rsidP="00780B6D">
      <w:pPr>
        <w:ind w:left="567" w:hanging="567"/>
        <w:rPr>
          <w:bCs/>
          <w:iCs/>
        </w:rPr>
      </w:pPr>
      <w:r w:rsidRPr="00780B6D">
        <w:rPr>
          <w:bCs/>
          <w:iCs/>
        </w:rPr>
        <w:t>6.</w:t>
      </w:r>
      <w:r w:rsidRPr="00780B6D">
        <w:rPr>
          <w:bCs/>
          <w:iCs/>
        </w:rPr>
        <w:tab/>
        <w:t xml:space="preserve">Odén A, Kanis JA, McCloskey EV, Johansson H (2014) The effect of latitude on the risk and seasonal variation in hip fracture in Sweden.  J Bone Miner Res 29: 2217-2223.  </w:t>
      </w:r>
    </w:p>
    <w:p w14:paraId="204A1CB8" w14:textId="77777777" w:rsidR="00780B6D" w:rsidRPr="00780B6D" w:rsidRDefault="00780B6D" w:rsidP="00780B6D">
      <w:pPr>
        <w:ind w:left="567" w:hanging="567"/>
        <w:rPr>
          <w:bCs/>
          <w:iCs/>
        </w:rPr>
      </w:pPr>
      <w:r w:rsidRPr="00780B6D">
        <w:rPr>
          <w:bCs/>
          <w:iCs/>
        </w:rPr>
        <w:t>7.</w:t>
      </w:r>
      <w:r w:rsidRPr="00780B6D">
        <w:rPr>
          <w:bCs/>
          <w:iCs/>
        </w:rPr>
        <w:tab/>
        <w:t xml:space="preserve">Johnell O, Borgstrom F, Jonsson B, Kanis J (2007) Latitude, socioeconomic prosperity, mobile phones and hip fracture risk. </w:t>
      </w:r>
      <w:r w:rsidRPr="00780B6D">
        <w:rPr>
          <w:bCs/>
          <w:iCs/>
          <w:lang w:val="es-ES"/>
        </w:rPr>
        <w:t>Osteoporosis International 18: 333-337.</w:t>
      </w:r>
    </w:p>
    <w:p w14:paraId="563C7551" w14:textId="71A8300C" w:rsidR="00780B6D" w:rsidRPr="00780B6D" w:rsidRDefault="00780B6D" w:rsidP="00780B6D">
      <w:pPr>
        <w:ind w:left="567" w:hanging="567"/>
        <w:rPr>
          <w:bCs/>
          <w:iCs/>
        </w:rPr>
      </w:pPr>
      <w:r w:rsidRPr="00780B6D">
        <w:rPr>
          <w:bCs/>
          <w:iCs/>
        </w:rPr>
        <w:t>8.</w:t>
      </w:r>
      <w:r w:rsidRPr="00780B6D">
        <w:rPr>
          <w:bCs/>
          <w:iCs/>
        </w:rPr>
        <w:tab/>
        <w:t>Kanis JA, Odén A, McCloskey EV, Johansson H, Wahl D, Cyrus Cooper C on behalf of the IOF Working Group on Epidemiology and Quality of Life (2012) A systematic review of hip fracture incidence and probability of fracture worldwide. Osteoporos Int 23: 2239-2256.</w:t>
      </w:r>
    </w:p>
    <w:p w14:paraId="686D8049" w14:textId="77777777" w:rsidR="00780B6D" w:rsidRPr="00780B6D" w:rsidRDefault="00780B6D" w:rsidP="00780B6D">
      <w:pPr>
        <w:ind w:left="567" w:hanging="567"/>
        <w:rPr>
          <w:bCs/>
          <w:iCs/>
        </w:rPr>
      </w:pPr>
      <w:r w:rsidRPr="00780B6D">
        <w:rPr>
          <w:bCs/>
          <w:iCs/>
        </w:rPr>
        <w:t>9.</w:t>
      </w:r>
      <w:r w:rsidRPr="00780B6D">
        <w:rPr>
          <w:bCs/>
          <w:iCs/>
        </w:rPr>
        <w:tab/>
        <w:t>Nguyen ND, Frost SA, Center JR, Eisman JA, Nguyen TV (2008) Development of prognostic nomograms for individualizing 5-year and 10-year fracture risks. Osteoporos Int 19: 1431–1444</w:t>
      </w:r>
    </w:p>
    <w:p w14:paraId="682391F8" w14:textId="59AEDDE6" w:rsidR="00780B6D" w:rsidRPr="00932C69" w:rsidRDefault="00780B6D" w:rsidP="000348C2">
      <w:pPr>
        <w:spacing w:line="276" w:lineRule="auto"/>
        <w:ind w:left="567" w:hanging="567"/>
        <w:rPr>
          <w:bCs/>
          <w:iCs/>
        </w:rPr>
      </w:pPr>
      <w:r>
        <w:rPr>
          <w:bCs/>
          <w:iCs/>
        </w:rPr>
        <w:t>10.</w:t>
      </w:r>
      <w:r>
        <w:rPr>
          <w:bCs/>
          <w:iCs/>
        </w:rPr>
        <w:tab/>
      </w:r>
      <w:r w:rsidRPr="00932C69">
        <w:rPr>
          <w:bCs/>
          <w:iCs/>
        </w:rPr>
        <w:t>Hippisley-Cox J, Coupland C (2009) Predicting risk of osteoporotic fracture in men and women in England and Wales: prospective derivation and validation of QFracture Scores. BMJ 339:</w:t>
      </w:r>
      <w:r w:rsidR="0022188E">
        <w:rPr>
          <w:bCs/>
          <w:iCs/>
        </w:rPr>
        <w:t xml:space="preserve"> </w:t>
      </w:r>
      <w:r w:rsidRPr="00932C69">
        <w:rPr>
          <w:bCs/>
          <w:iCs/>
        </w:rPr>
        <w:t>b4229</w:t>
      </w:r>
    </w:p>
    <w:p w14:paraId="37A3BFC5" w14:textId="15DF0650" w:rsidR="00780B6D" w:rsidRDefault="00780B6D" w:rsidP="00FB7128">
      <w:pPr>
        <w:spacing w:line="276" w:lineRule="auto"/>
        <w:ind w:left="567" w:hanging="567"/>
        <w:rPr>
          <w:rStyle w:val="Hyperlink"/>
        </w:rPr>
      </w:pPr>
      <w:r>
        <w:rPr>
          <w:bCs/>
          <w:iCs/>
        </w:rPr>
        <w:t>11.</w:t>
      </w:r>
      <w:r>
        <w:rPr>
          <w:bCs/>
          <w:iCs/>
        </w:rPr>
        <w:tab/>
      </w:r>
      <w:r w:rsidRPr="00932C69">
        <w:rPr>
          <w:bCs/>
          <w:iCs/>
        </w:rPr>
        <w:t xml:space="preserve">Dachverband Osteologie e.V (2011) DVO guideline 2009 for prevention, diagnosis and therapy of osteoporosis in adults. </w:t>
      </w:r>
      <w:r w:rsidRPr="00792C6A">
        <w:rPr>
          <w:bCs/>
          <w:iCs/>
        </w:rPr>
        <w:t xml:space="preserve">Osteologie 20: 55–74. </w:t>
      </w:r>
    </w:p>
    <w:p w14:paraId="2000B8E4" w14:textId="58BF2136" w:rsidR="00780B6D" w:rsidRDefault="00780B6D" w:rsidP="00FB7128">
      <w:pPr>
        <w:ind w:left="567" w:hanging="567"/>
        <w:rPr>
          <w:bCs/>
          <w:iCs/>
        </w:rPr>
      </w:pPr>
      <w:r>
        <w:rPr>
          <w:bCs/>
          <w:iCs/>
        </w:rPr>
        <w:t>12.</w:t>
      </w:r>
      <w:r>
        <w:rPr>
          <w:bCs/>
          <w:iCs/>
        </w:rPr>
        <w:tab/>
      </w:r>
      <w:r w:rsidRPr="00B93620">
        <w:rPr>
          <w:bCs/>
          <w:iCs/>
        </w:rPr>
        <w:t>Kanis JA, Johnell O, Oden A, Johansson H, McCloskey EV</w:t>
      </w:r>
      <w:r>
        <w:rPr>
          <w:bCs/>
          <w:iCs/>
        </w:rPr>
        <w:t xml:space="preserve"> (</w:t>
      </w:r>
      <w:r w:rsidRPr="00B93620">
        <w:rPr>
          <w:bCs/>
          <w:iCs/>
        </w:rPr>
        <w:t>2008</w:t>
      </w:r>
      <w:r>
        <w:rPr>
          <w:bCs/>
          <w:iCs/>
        </w:rPr>
        <w:t>)</w:t>
      </w:r>
      <w:r w:rsidRPr="00B93620">
        <w:rPr>
          <w:bCs/>
          <w:iCs/>
        </w:rPr>
        <w:t xml:space="preserve"> FRAX™ and the assessment of fracture probability in men and women from the UK.  Osteoporos Int 19: 385-397.</w:t>
      </w:r>
    </w:p>
    <w:p w14:paraId="56C1D1E0" w14:textId="636D4383" w:rsidR="00780B6D" w:rsidRPr="00B93620" w:rsidRDefault="00780B6D" w:rsidP="00FB7128">
      <w:pPr>
        <w:ind w:left="567" w:hanging="567"/>
        <w:rPr>
          <w:bCs/>
          <w:iCs/>
        </w:rPr>
      </w:pPr>
      <w:r>
        <w:rPr>
          <w:bCs/>
          <w:iCs/>
        </w:rPr>
        <w:lastRenderedPageBreak/>
        <w:t>13.</w:t>
      </w:r>
      <w:r>
        <w:rPr>
          <w:bCs/>
          <w:iCs/>
        </w:rPr>
        <w:tab/>
      </w:r>
      <w:r w:rsidRPr="00B93620">
        <w:rPr>
          <w:bCs/>
          <w:iCs/>
        </w:rPr>
        <w:t>Kanis JA on behalf of the World Health Organization Scientific Group</w:t>
      </w:r>
      <w:r>
        <w:rPr>
          <w:bCs/>
          <w:iCs/>
        </w:rPr>
        <w:t xml:space="preserve"> (</w:t>
      </w:r>
      <w:r w:rsidRPr="00B93620">
        <w:rPr>
          <w:bCs/>
          <w:iCs/>
        </w:rPr>
        <w:t>2008</w:t>
      </w:r>
      <w:r>
        <w:rPr>
          <w:bCs/>
          <w:iCs/>
        </w:rPr>
        <w:t>)</w:t>
      </w:r>
      <w:r w:rsidRPr="00B93620">
        <w:rPr>
          <w:bCs/>
          <w:iCs/>
        </w:rPr>
        <w:t xml:space="preserve"> Assessment of osteoporosis at the primary health-care level. </w:t>
      </w:r>
      <w:r w:rsidRPr="00B93620">
        <w:rPr>
          <w:bCs/>
          <w:i/>
          <w:iCs/>
        </w:rPr>
        <w:t>Technical Report</w:t>
      </w:r>
      <w:r w:rsidRPr="00B93620">
        <w:rPr>
          <w:bCs/>
          <w:iCs/>
        </w:rPr>
        <w:t xml:space="preserve">. WHO Collaborating Centre, University of Sheffield, UK. Available at </w:t>
      </w:r>
      <w:hyperlink r:id="rId9" w:history="1">
        <w:r w:rsidRPr="00B93620">
          <w:rPr>
            <w:rStyle w:val="Hyperlink"/>
          </w:rPr>
          <w:t>http://www.shef.ac.uk/FRAX/index.htm</w:t>
        </w:r>
      </w:hyperlink>
    </w:p>
    <w:p w14:paraId="649D706A" w14:textId="77777777" w:rsidR="00780B6D" w:rsidRDefault="00780B6D" w:rsidP="00FB7128">
      <w:pPr>
        <w:ind w:left="567" w:hanging="567"/>
      </w:pPr>
      <w:r>
        <w:t>14.</w:t>
      </w:r>
      <w:r>
        <w:tab/>
      </w:r>
      <w:r w:rsidRPr="00021CD4">
        <w:t>Kanis JA, Delmas P, Burckhardt P, Cooper C, Torgerson D, on behalf of the EFFO (1997) Guidelines for diagnosis and management of osteoporosis. Osteoporosis International 7: 390-406.</w:t>
      </w:r>
    </w:p>
    <w:p w14:paraId="06EE7DE2" w14:textId="77777777" w:rsidR="00780B6D" w:rsidRDefault="00780B6D" w:rsidP="00FB7128">
      <w:pPr>
        <w:ind w:left="567" w:hanging="567"/>
        <w:rPr>
          <w:bCs/>
          <w:iCs/>
        </w:rPr>
      </w:pPr>
      <w:r>
        <w:rPr>
          <w:bCs/>
          <w:iCs/>
        </w:rPr>
        <w:t>15.</w:t>
      </w:r>
      <w:r>
        <w:rPr>
          <w:bCs/>
          <w:iCs/>
        </w:rPr>
        <w:tab/>
      </w:r>
      <w:r w:rsidRPr="00932C69">
        <w:rPr>
          <w:bCs/>
          <w:iCs/>
        </w:rPr>
        <w:t>Royal College of Physicians (1999) Osteoporosis: Clinical guidelines for prevention and treatment. Royal College of Physicians, London.</w:t>
      </w:r>
    </w:p>
    <w:p w14:paraId="066005BF" w14:textId="77777777" w:rsidR="00780B6D" w:rsidRDefault="00780B6D" w:rsidP="00FB7128">
      <w:pPr>
        <w:spacing w:line="276" w:lineRule="auto"/>
        <w:ind w:left="567" w:hanging="567"/>
      </w:pPr>
      <w:r>
        <w:t>16.</w:t>
      </w:r>
      <w:r>
        <w:tab/>
      </w:r>
      <w:r w:rsidRPr="00B222FE">
        <w:t>Compston J, Cooper A, Cooper C, Gittoes N, Gregson C, Harvey N, Hope S, Kanis JA, McCloskey EV, Poole KES, Reid DM, Selby P, Thompson F, Thurston A, Vine N: The National Osteoporosis Guideline Group (NOGG) (2017) UK clinical guideline for the prevention and treatment of osteoporosis.  Archives of Osteoporosis 12: 43. DOI 10.1007/s11657-017-0324-5</w:t>
      </w:r>
    </w:p>
    <w:p w14:paraId="2CC91E2B" w14:textId="77777777" w:rsidR="00780B6D" w:rsidRDefault="00780B6D" w:rsidP="00FB7128">
      <w:pPr>
        <w:spacing w:line="276" w:lineRule="auto"/>
        <w:ind w:left="567" w:hanging="567"/>
        <w:rPr>
          <w:bCs/>
          <w:iCs/>
        </w:rPr>
      </w:pPr>
      <w:r>
        <w:rPr>
          <w:bCs/>
          <w:iCs/>
        </w:rPr>
        <w:t>17.</w:t>
      </w:r>
      <w:r>
        <w:rPr>
          <w:bCs/>
          <w:iCs/>
        </w:rPr>
        <w:tab/>
      </w:r>
      <w:r w:rsidRPr="00B93620">
        <w:rPr>
          <w:bCs/>
          <w:iCs/>
        </w:rPr>
        <w:t>Compston J, Cooper A, Cooper C et al, on behalf of the National Osteoporosis Guideline Group (NOGG)</w:t>
      </w:r>
      <w:r>
        <w:rPr>
          <w:bCs/>
          <w:iCs/>
        </w:rPr>
        <w:t>(</w:t>
      </w:r>
      <w:r w:rsidRPr="00B93620">
        <w:rPr>
          <w:bCs/>
          <w:iCs/>
        </w:rPr>
        <w:t>2009</w:t>
      </w:r>
      <w:r>
        <w:rPr>
          <w:bCs/>
          <w:iCs/>
        </w:rPr>
        <w:t>)</w:t>
      </w:r>
      <w:r w:rsidRPr="00B93620">
        <w:rPr>
          <w:bCs/>
          <w:iCs/>
        </w:rPr>
        <w:t xml:space="preserve"> Guidelines for the diagnosis and management of osteoporosis in postmenopausal women and men from the age of 50 years in the UK. </w:t>
      </w:r>
      <w:r w:rsidRPr="00691719">
        <w:rPr>
          <w:bCs/>
          <w:iCs/>
        </w:rPr>
        <w:t xml:space="preserve">Maturitas </w:t>
      </w:r>
      <w:r w:rsidRPr="00B93620">
        <w:rPr>
          <w:iCs/>
        </w:rPr>
        <w:t>62</w:t>
      </w:r>
      <w:r w:rsidRPr="00B93620">
        <w:rPr>
          <w:bCs/>
          <w:iCs/>
        </w:rPr>
        <w:t>:105-108.</w:t>
      </w:r>
    </w:p>
    <w:p w14:paraId="3A9730C9" w14:textId="77777777" w:rsidR="00780B6D" w:rsidRPr="00894BF0" w:rsidRDefault="00780B6D" w:rsidP="00FB7128">
      <w:pPr>
        <w:ind w:left="567" w:hanging="567"/>
      </w:pPr>
      <w:r>
        <w:t>18.</w:t>
      </w:r>
      <w:r>
        <w:tab/>
      </w:r>
      <w:r w:rsidRPr="004C66A0">
        <w:t>Kanis JA McCloskey EV, Johansson H, Cooper C, Rizzoli R, Reginster J-Y   on behalf of the Scientific Advisory Board of the European Society for Clinical and Economic Aspects of Osteoporosis and Osteoarthritis (ESCEO) and the Committee of Scientific Advisors of the International Osteoporosis Foundation (IOF) (2013) European guidance for the diagnosis and management of osteoporosis in postmenopausal women.  Osteoporos Int. 24: 23-57.</w:t>
      </w:r>
    </w:p>
    <w:p w14:paraId="55376EB4" w14:textId="77777777" w:rsidR="00780B6D" w:rsidRDefault="00780B6D" w:rsidP="00FB7128">
      <w:pPr>
        <w:ind w:left="567" w:hanging="567"/>
        <w:rPr>
          <w:bCs/>
          <w:iCs/>
        </w:rPr>
      </w:pPr>
      <w:bookmarkStart w:id="13" w:name="_Hlk494385172"/>
      <w:bookmarkStart w:id="14" w:name="_Hlk484433125"/>
      <w:r>
        <w:rPr>
          <w:bCs/>
          <w:iCs/>
        </w:rPr>
        <w:lastRenderedPageBreak/>
        <w:t>19.</w:t>
      </w:r>
      <w:r>
        <w:rPr>
          <w:bCs/>
          <w:iCs/>
        </w:rPr>
        <w:tab/>
      </w:r>
      <w:r w:rsidRPr="00A12274">
        <w:rPr>
          <w:bCs/>
          <w:iCs/>
        </w:rPr>
        <w:t>Lekamwasam</w:t>
      </w:r>
      <w:bookmarkEnd w:id="13"/>
      <w:r w:rsidRPr="00A12274">
        <w:rPr>
          <w:bCs/>
          <w:iCs/>
        </w:rPr>
        <w:t xml:space="preserve"> S, Adachi JD, Agnusdei D, Bilezikian J, Boonen S, Borgström F et al for the Joint IOF-ECTS GIO Guidelines Working Group (2012) A framework for the development of guidelines for the management of glucocorticoid-induced osteoporosis. Osteoporos Int 23: 2257-76.</w:t>
      </w:r>
      <w:bookmarkEnd w:id="14"/>
    </w:p>
    <w:p w14:paraId="48589114" w14:textId="63D44E73" w:rsidR="00780B6D" w:rsidRDefault="00780B6D" w:rsidP="00FB7128">
      <w:pPr>
        <w:ind w:left="567" w:hanging="567"/>
        <w:rPr>
          <w:bCs/>
          <w:iCs/>
        </w:rPr>
      </w:pPr>
      <w:r>
        <w:rPr>
          <w:bCs/>
          <w:iCs/>
          <w:lang w:val="en-US"/>
        </w:rPr>
        <w:t>20.</w:t>
      </w:r>
      <w:r>
        <w:rPr>
          <w:bCs/>
          <w:iCs/>
          <w:lang w:val="en-US"/>
        </w:rPr>
        <w:tab/>
      </w:r>
      <w:r w:rsidRPr="003C4045">
        <w:rPr>
          <w:bCs/>
          <w:iCs/>
          <w:lang w:val="en-US"/>
        </w:rPr>
        <w:t xml:space="preserve">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w:t>
      </w:r>
      <w:r w:rsidRPr="003C4045">
        <w:rPr>
          <w:bCs/>
          <w:iCs/>
        </w:rPr>
        <w:t>11</w:t>
      </w:r>
      <w:r>
        <w:rPr>
          <w:bCs/>
          <w:iCs/>
        </w:rPr>
        <w:t xml:space="preserve">: </w:t>
      </w:r>
      <w:r w:rsidRPr="003C4045">
        <w:rPr>
          <w:bCs/>
          <w:iCs/>
        </w:rPr>
        <w:t>25. doi: 10.1007/s11657-016-0278-z.</w:t>
      </w:r>
    </w:p>
    <w:p w14:paraId="08C297B7" w14:textId="77777777" w:rsidR="00780B6D" w:rsidRDefault="00780B6D" w:rsidP="000348C2">
      <w:pPr>
        <w:spacing w:line="276" w:lineRule="auto"/>
        <w:ind w:left="567" w:hanging="567"/>
      </w:pPr>
      <w:bookmarkStart w:id="15" w:name="_Hlk494756996"/>
      <w:r>
        <w:t>21.</w:t>
      </w:r>
      <w:r>
        <w:tab/>
      </w:r>
      <w:r w:rsidRPr="00932C69">
        <w:t>Johansson H, Kanis JA, Oden A, Compston J, McCloskey E</w:t>
      </w:r>
      <w:r>
        <w:t xml:space="preserve"> </w:t>
      </w:r>
      <w:r w:rsidRPr="00932C69">
        <w:t>(2012) A comparison of case-finding strategies in the UK for the</w:t>
      </w:r>
      <w:r>
        <w:t xml:space="preserve"> </w:t>
      </w:r>
      <w:r w:rsidRPr="00932C69">
        <w:t>management of hip fractures. Osteoporos Int 23:907–915</w:t>
      </w:r>
      <w:bookmarkEnd w:id="15"/>
    </w:p>
    <w:p w14:paraId="2C430D17" w14:textId="77777777" w:rsidR="00780B6D" w:rsidRDefault="00780B6D" w:rsidP="00FB7128">
      <w:pPr>
        <w:ind w:left="567" w:hanging="567"/>
      </w:pPr>
      <w:bookmarkStart w:id="16" w:name="_Hlk494757029"/>
      <w:r>
        <w:t>22.</w:t>
      </w:r>
      <w:r>
        <w:tab/>
      </w:r>
      <w:r w:rsidRPr="00953BF2">
        <w:t>Kanis JA, McCloskey E, Johansson H, Oden A, Leslie WD (2012) FRAXs with and without BMD. Calcif Tissue Int 90:</w:t>
      </w:r>
      <w:r>
        <w:t xml:space="preserve"> </w:t>
      </w:r>
      <w:r w:rsidRPr="00953BF2">
        <w:t>1–13</w:t>
      </w:r>
    </w:p>
    <w:p w14:paraId="2359FB62" w14:textId="77777777" w:rsidR="00780B6D" w:rsidRDefault="00780B6D" w:rsidP="00FB7128">
      <w:pPr>
        <w:ind w:left="567" w:hanging="567"/>
        <w:rPr>
          <w:bCs/>
          <w:iCs/>
        </w:rPr>
      </w:pPr>
      <w:bookmarkStart w:id="17" w:name="_Hlk494757068"/>
      <w:bookmarkEnd w:id="16"/>
      <w:r>
        <w:rPr>
          <w:bCs/>
          <w:iCs/>
        </w:rPr>
        <w:t>23.</w:t>
      </w:r>
      <w:r>
        <w:rPr>
          <w:bCs/>
          <w:iCs/>
        </w:rPr>
        <w:tab/>
      </w:r>
      <w:r w:rsidRPr="00932C69">
        <w:rPr>
          <w:bCs/>
          <w:iCs/>
        </w:rPr>
        <w:t xml:space="preserve">Leslie WD, Majumdar SR, Lix L, Johansson H, McCloskey EV, Kanis JA (2012) High fracture probability with FRAX usually indicates densitometric osteoporosis: implications for clinical practice. </w:t>
      </w:r>
      <w:bookmarkStart w:id="18" w:name="_Hlk494373618"/>
      <w:r w:rsidRPr="00932C69">
        <w:rPr>
          <w:bCs/>
          <w:iCs/>
        </w:rPr>
        <w:t>Osteoporos Int 23:391–397</w:t>
      </w:r>
      <w:bookmarkEnd w:id="17"/>
      <w:bookmarkEnd w:id="18"/>
    </w:p>
    <w:p w14:paraId="4E0D91C7" w14:textId="77777777" w:rsidR="00780B6D" w:rsidRPr="00C61FF8" w:rsidRDefault="00780B6D" w:rsidP="00FB7128">
      <w:pPr>
        <w:ind w:left="567" w:hanging="567"/>
        <w:rPr>
          <w:bCs/>
          <w:iCs/>
        </w:rPr>
      </w:pPr>
      <w:r>
        <w:rPr>
          <w:bCs/>
          <w:iCs/>
        </w:rPr>
        <w:t>24.</w:t>
      </w:r>
      <w:r>
        <w:rPr>
          <w:bCs/>
          <w:iCs/>
        </w:rPr>
        <w:tab/>
      </w:r>
      <w:r w:rsidRPr="00C61FF8">
        <w:rPr>
          <w:bCs/>
          <w:iCs/>
        </w:rPr>
        <w:t>McCloskey E</w:t>
      </w:r>
      <w:r>
        <w:rPr>
          <w:bCs/>
          <w:iCs/>
        </w:rPr>
        <w:t xml:space="preserve"> (2016)</w:t>
      </w:r>
      <w:r w:rsidRPr="00C61FF8">
        <w:rPr>
          <w:bCs/>
          <w:iCs/>
        </w:rPr>
        <w:t xml:space="preserve"> A BMD threshold for treatment efficacy in osteoporosis? A need to consider the whole evidence base. Osteoporos Int</w:t>
      </w:r>
      <w:r>
        <w:rPr>
          <w:bCs/>
          <w:iCs/>
        </w:rPr>
        <w:t xml:space="preserve"> </w:t>
      </w:r>
      <w:r w:rsidRPr="00C61FF8">
        <w:rPr>
          <w:bCs/>
          <w:iCs/>
        </w:rPr>
        <w:t>27</w:t>
      </w:r>
      <w:r>
        <w:rPr>
          <w:bCs/>
          <w:iCs/>
        </w:rPr>
        <w:t xml:space="preserve">: </w:t>
      </w:r>
      <w:r w:rsidRPr="00C61FF8">
        <w:rPr>
          <w:bCs/>
          <w:iCs/>
        </w:rPr>
        <w:t>417-9.</w:t>
      </w:r>
    </w:p>
    <w:p w14:paraId="799E5B74" w14:textId="77777777" w:rsidR="00780B6D" w:rsidRDefault="00780B6D" w:rsidP="00FB7128">
      <w:pPr>
        <w:ind w:left="567" w:hanging="567"/>
      </w:pPr>
      <w:r>
        <w:rPr>
          <w:bCs/>
        </w:rPr>
        <w:t>25.</w:t>
      </w:r>
      <w:r>
        <w:rPr>
          <w:bCs/>
        </w:rPr>
        <w:tab/>
      </w:r>
      <w:r w:rsidRPr="00953BF2">
        <w:rPr>
          <w:bCs/>
        </w:rPr>
        <w:t>Kanis JA</w:t>
      </w:r>
      <w:r w:rsidRPr="00953BF2">
        <w:t>, Jönsson B, Odén A, McCloskey EV (2011) A meta-analysis of the effect of strontium ranelate on the risk of vertebral and non-vertebral fracture in postmenopausal osteoporosis and the interaction with FRAX</w:t>
      </w:r>
      <w:r w:rsidRPr="00953BF2">
        <w:rPr>
          <w:vertAlign w:val="superscript"/>
        </w:rPr>
        <w:t>®</w:t>
      </w:r>
      <w:r w:rsidRPr="00953BF2">
        <w:t xml:space="preserve">. Osteoporos Int. 22: 2347-2355 </w:t>
      </w:r>
      <w:r>
        <w:t>w</w:t>
      </w:r>
      <w:r w:rsidRPr="00953BF2">
        <w:t>ith erratum Osteoporos Int 22: 2357-2358.</w:t>
      </w:r>
    </w:p>
    <w:p w14:paraId="4B275B04" w14:textId="77777777" w:rsidR="00780B6D" w:rsidRDefault="00780B6D" w:rsidP="00FB7128">
      <w:pPr>
        <w:ind w:left="567" w:hanging="567"/>
      </w:pPr>
      <w:r>
        <w:rPr>
          <w:bCs/>
        </w:rPr>
        <w:lastRenderedPageBreak/>
        <w:t>26.</w:t>
      </w:r>
      <w:r>
        <w:rPr>
          <w:bCs/>
        </w:rPr>
        <w:tab/>
      </w:r>
      <w:r w:rsidRPr="00953BF2">
        <w:rPr>
          <w:bCs/>
        </w:rPr>
        <w:t>Kanis JA</w:t>
      </w:r>
      <w:r w:rsidRPr="00953BF2">
        <w:t>, Johansson H, Oden A, McCloskey EV (2009) Bazedoxifene reduces vertebral and clinical fractures in postmenopausal women at high risk assessed with FRAX</w:t>
      </w:r>
      <w:r w:rsidRPr="00953BF2">
        <w:rPr>
          <w:vertAlign w:val="superscript"/>
        </w:rPr>
        <w:t xml:space="preserve">®.  </w:t>
      </w:r>
      <w:r w:rsidRPr="00953BF2">
        <w:t xml:space="preserve">Bone 44:  </w:t>
      </w:r>
      <w:r>
        <w:t>10</w:t>
      </w:r>
      <w:r w:rsidRPr="00953BF2">
        <w:t xml:space="preserve">49-54. </w:t>
      </w:r>
    </w:p>
    <w:p w14:paraId="3FDB7541" w14:textId="77777777" w:rsidR="00780B6D" w:rsidRDefault="00780B6D" w:rsidP="00FB7128">
      <w:pPr>
        <w:ind w:left="567" w:hanging="567"/>
      </w:pPr>
      <w:r>
        <w:t>27.</w:t>
      </w:r>
      <w:r>
        <w:tab/>
      </w:r>
      <w:r w:rsidRPr="00953BF2">
        <w:t>Kanis JA, Johansson H, Oden A, McCloskey EV (2010) A meta-analysis of the efficacy of raloxifene on all clinical and vertebral fractures and its dependency on FRAX®. Bone 47: 729–735.</w:t>
      </w:r>
      <w:r w:rsidRPr="00894BF0">
        <w:t xml:space="preserve"> </w:t>
      </w:r>
    </w:p>
    <w:p w14:paraId="612E1F6B" w14:textId="77777777" w:rsidR="00780B6D" w:rsidRDefault="00780B6D" w:rsidP="00FB7128">
      <w:pPr>
        <w:ind w:left="567" w:hanging="567"/>
        <w:rPr>
          <w:bCs/>
          <w:iCs/>
        </w:rPr>
      </w:pPr>
      <w:r>
        <w:rPr>
          <w:bCs/>
          <w:iCs/>
        </w:rPr>
        <w:t>28.</w:t>
      </w:r>
      <w:r>
        <w:rPr>
          <w:bCs/>
          <w:iCs/>
        </w:rPr>
        <w:tab/>
      </w:r>
      <w:r w:rsidRPr="00FE5139">
        <w:rPr>
          <w:bCs/>
          <w:iCs/>
        </w:rPr>
        <w:t xml:space="preserve">McCloskey EV, Johansson H, Oden A, Vasireddy S, Kayan K, Pande K </w:t>
      </w:r>
      <w:r w:rsidRPr="00894BF0">
        <w:rPr>
          <w:bCs/>
          <w:iCs/>
        </w:rPr>
        <w:t xml:space="preserve">et al (2009) Ten-year fracture probability identifies women who will benefit from clodronate therapy--additional results from a double-blind, placebo-controlled randomised study. Osteoporos Int 20:811-817; </w:t>
      </w:r>
    </w:p>
    <w:p w14:paraId="41783FC9" w14:textId="77777777" w:rsidR="00780B6D" w:rsidRDefault="00780B6D" w:rsidP="00FB7128">
      <w:pPr>
        <w:spacing w:line="276" w:lineRule="auto"/>
        <w:ind w:left="567" w:hanging="567"/>
        <w:rPr>
          <w:bCs/>
          <w:iCs/>
        </w:rPr>
      </w:pPr>
      <w:r>
        <w:rPr>
          <w:bCs/>
          <w:iCs/>
        </w:rPr>
        <w:t>29</w:t>
      </w:r>
      <w:r>
        <w:rPr>
          <w:bCs/>
          <w:iCs/>
        </w:rPr>
        <w:tab/>
      </w:r>
      <w:r w:rsidRPr="00780B6D">
        <w:rPr>
          <w:bCs/>
          <w:iCs/>
        </w:rPr>
        <w:t>Harvey NC, Kanis JA,</w:t>
      </w:r>
      <w:r w:rsidRPr="00953BF2">
        <w:rPr>
          <w:bCs/>
          <w:iCs/>
        </w:rPr>
        <w:t xml:space="preserve"> Odén A,</w:t>
      </w:r>
      <w:r>
        <w:rPr>
          <w:bCs/>
          <w:iCs/>
        </w:rPr>
        <w:t xml:space="preserve"> </w:t>
      </w:r>
      <w:r w:rsidRPr="00953BF2">
        <w:rPr>
          <w:bCs/>
          <w:iCs/>
        </w:rPr>
        <w:t>Burge RT, Mitlak BH, Johansson H, McCloskey EV (2015</w:t>
      </w:r>
      <w:r>
        <w:rPr>
          <w:bCs/>
          <w:iCs/>
        </w:rPr>
        <w:t>a</w:t>
      </w:r>
      <w:r w:rsidRPr="00953BF2">
        <w:rPr>
          <w:bCs/>
          <w:iCs/>
        </w:rPr>
        <w:t>) FRAX and the effect of teriparatide on vertebral and non-vertebral fracture.  Osteoporos Int 26: 2347-53.</w:t>
      </w:r>
    </w:p>
    <w:p w14:paraId="098378BA" w14:textId="77777777" w:rsidR="00780B6D" w:rsidRDefault="00780B6D" w:rsidP="00FB7128">
      <w:pPr>
        <w:spacing w:line="276" w:lineRule="auto"/>
        <w:ind w:left="567" w:hanging="567"/>
        <w:rPr>
          <w:bCs/>
          <w:iCs/>
        </w:rPr>
      </w:pPr>
      <w:r>
        <w:rPr>
          <w:bCs/>
          <w:iCs/>
        </w:rPr>
        <w:t>30.</w:t>
      </w:r>
      <w:r>
        <w:rPr>
          <w:bCs/>
          <w:iCs/>
        </w:rPr>
        <w:tab/>
      </w:r>
      <w:r w:rsidRPr="00953BF2">
        <w:rPr>
          <w:bCs/>
          <w:iCs/>
        </w:rPr>
        <w:t>Harvey NC, Kanis JA, Odén A, Nakamura T, Shiraki M, Sugimoto T, Kuroda T, Johansson H, McCloskey EV, (2015</w:t>
      </w:r>
      <w:r>
        <w:rPr>
          <w:bCs/>
          <w:iCs/>
        </w:rPr>
        <w:t>b</w:t>
      </w:r>
      <w:r w:rsidRPr="00953BF2">
        <w:rPr>
          <w:bCs/>
          <w:iCs/>
        </w:rPr>
        <w:t>) Efficacy of weekly teriparatide does not vary by baseline fracture probability calculated using FRAX.  Osteoporos Int 26: 2347-2354.</w:t>
      </w:r>
    </w:p>
    <w:p w14:paraId="13BB2EB8" w14:textId="77777777" w:rsidR="00780B6D" w:rsidRDefault="00780B6D" w:rsidP="00FB7128">
      <w:pPr>
        <w:ind w:left="567" w:hanging="567"/>
        <w:rPr>
          <w:bCs/>
          <w:iCs/>
        </w:rPr>
      </w:pPr>
      <w:bookmarkStart w:id="19" w:name="_Hlk494818041"/>
      <w:r>
        <w:rPr>
          <w:bCs/>
          <w:iCs/>
        </w:rPr>
        <w:t>31.</w:t>
      </w:r>
      <w:r>
        <w:rPr>
          <w:bCs/>
          <w:iCs/>
        </w:rPr>
        <w:tab/>
      </w:r>
      <w:r w:rsidRPr="00967E10">
        <w:rPr>
          <w:bCs/>
          <w:iCs/>
        </w:rPr>
        <w:t>McCloskey EV, Johansson H, Oden A, Harvey NC, Jiang H, Modin S</w:t>
      </w:r>
      <w:r w:rsidRPr="00894BF0">
        <w:rPr>
          <w:bCs/>
          <w:iCs/>
        </w:rPr>
        <w:t xml:space="preserve"> et al (2017) The </w:t>
      </w:r>
      <w:r>
        <w:rPr>
          <w:bCs/>
          <w:iCs/>
        </w:rPr>
        <w:t>e</w:t>
      </w:r>
      <w:r w:rsidRPr="00894BF0">
        <w:rPr>
          <w:bCs/>
          <w:iCs/>
        </w:rPr>
        <w:t xml:space="preserve">ffect of </w:t>
      </w:r>
      <w:r>
        <w:rPr>
          <w:bCs/>
          <w:iCs/>
        </w:rPr>
        <w:t>a</w:t>
      </w:r>
      <w:r w:rsidRPr="00894BF0">
        <w:rPr>
          <w:bCs/>
          <w:iCs/>
        </w:rPr>
        <w:t xml:space="preserve">baloparatide-SC on </w:t>
      </w:r>
      <w:r>
        <w:rPr>
          <w:bCs/>
          <w:iCs/>
        </w:rPr>
        <w:t>f</w:t>
      </w:r>
      <w:r w:rsidRPr="00894BF0">
        <w:rPr>
          <w:bCs/>
          <w:iCs/>
        </w:rPr>
        <w:t xml:space="preserve">racture </w:t>
      </w:r>
      <w:r>
        <w:rPr>
          <w:bCs/>
          <w:iCs/>
        </w:rPr>
        <w:t>r</w:t>
      </w:r>
      <w:r w:rsidRPr="00894BF0">
        <w:rPr>
          <w:bCs/>
          <w:iCs/>
        </w:rPr>
        <w:t xml:space="preserve">isk is independent of baseline FRAX fracture probability: A post hoc analysis of the ACTIVE Study. J Bone Miner Res </w:t>
      </w:r>
      <w:r w:rsidRPr="00967E10">
        <w:rPr>
          <w:bCs/>
          <w:iCs/>
        </w:rPr>
        <w:t>32: 1625-1631</w:t>
      </w:r>
      <w:r>
        <w:rPr>
          <w:bCs/>
          <w:iCs/>
        </w:rPr>
        <w:t>.</w:t>
      </w:r>
      <w:bookmarkEnd w:id="19"/>
    </w:p>
    <w:p w14:paraId="0EFC16B3" w14:textId="77777777" w:rsidR="00780B6D" w:rsidRPr="00932C69" w:rsidRDefault="00780B6D" w:rsidP="00FB7128">
      <w:pPr>
        <w:ind w:left="567" w:hanging="567"/>
        <w:rPr>
          <w:bCs/>
          <w:iCs/>
        </w:rPr>
      </w:pPr>
      <w:bookmarkStart w:id="20" w:name="_Hlk494818184"/>
      <w:r>
        <w:rPr>
          <w:bCs/>
          <w:iCs/>
        </w:rPr>
        <w:t>32.</w:t>
      </w:r>
      <w:r>
        <w:rPr>
          <w:bCs/>
          <w:iCs/>
        </w:rPr>
        <w:tab/>
      </w:r>
      <w:r w:rsidRPr="00685484">
        <w:rPr>
          <w:bCs/>
          <w:iCs/>
        </w:rPr>
        <w:t>McCloskey EV, Johansson H, Oden A, Austin M, Siris E, Wang A</w:t>
      </w:r>
      <w:r>
        <w:rPr>
          <w:bCs/>
          <w:iCs/>
        </w:rPr>
        <w:t xml:space="preserve"> et al </w:t>
      </w:r>
      <w:r w:rsidRPr="00685484">
        <w:rPr>
          <w:bCs/>
          <w:iCs/>
        </w:rPr>
        <w:t xml:space="preserve">(2012) Denosumab reduces the risk of all osteoporotic fractures in postmenopausal women, particularly in those with moderate to high fracture risk as assessed with FRAX®. </w:t>
      </w:r>
      <w:r w:rsidRPr="00FE5139">
        <w:rPr>
          <w:bCs/>
          <w:iCs/>
        </w:rPr>
        <w:t xml:space="preserve">J Bone Miner Res </w:t>
      </w:r>
      <w:r w:rsidRPr="00685484">
        <w:rPr>
          <w:bCs/>
          <w:iCs/>
        </w:rPr>
        <w:t xml:space="preserve">27: 1480-1486.  </w:t>
      </w:r>
      <w:bookmarkEnd w:id="20"/>
    </w:p>
    <w:p w14:paraId="77FF79EF" w14:textId="77777777" w:rsidR="00780B6D" w:rsidRPr="00685484" w:rsidRDefault="00780B6D" w:rsidP="00FB7128">
      <w:pPr>
        <w:spacing w:line="276" w:lineRule="auto"/>
        <w:ind w:left="567" w:hanging="567"/>
        <w:rPr>
          <w:bCs/>
          <w:iCs/>
        </w:rPr>
      </w:pPr>
      <w:r>
        <w:rPr>
          <w:bCs/>
          <w:iCs/>
        </w:rPr>
        <w:lastRenderedPageBreak/>
        <w:t>33.</w:t>
      </w:r>
      <w:r>
        <w:rPr>
          <w:bCs/>
          <w:iCs/>
        </w:rPr>
        <w:tab/>
      </w:r>
      <w:r w:rsidRPr="00685484">
        <w:rPr>
          <w:bCs/>
          <w:iCs/>
        </w:rPr>
        <w:t>Donaldson MG1, Palermo L, Ensrud KE, Hochberg MC, Schousboe JT, Cummings SR</w:t>
      </w:r>
      <w:r>
        <w:rPr>
          <w:bCs/>
          <w:iCs/>
        </w:rPr>
        <w:t xml:space="preserve"> (2012)</w:t>
      </w:r>
      <w:r w:rsidRPr="00685484">
        <w:rPr>
          <w:bCs/>
          <w:iCs/>
        </w:rPr>
        <w:t xml:space="preserve"> Effect of alendronate for reducing fracture by FRAX score and femoral neck bone mineral density: The Fracture Intervention Trial. J Bone Miner Res. 27</w:t>
      </w:r>
      <w:r>
        <w:rPr>
          <w:bCs/>
          <w:iCs/>
        </w:rPr>
        <w:t xml:space="preserve">: </w:t>
      </w:r>
      <w:r w:rsidRPr="00685484">
        <w:rPr>
          <w:bCs/>
          <w:iCs/>
        </w:rPr>
        <w:t>1804-10.</w:t>
      </w:r>
    </w:p>
    <w:p w14:paraId="1EF5CCC6" w14:textId="77777777" w:rsidR="00780B6D" w:rsidRPr="00932C69" w:rsidRDefault="00780B6D" w:rsidP="00FB7128">
      <w:pPr>
        <w:ind w:left="567" w:hanging="567"/>
        <w:rPr>
          <w:bCs/>
          <w:iCs/>
        </w:rPr>
      </w:pPr>
      <w:bookmarkStart w:id="21" w:name="_Hlk494818115"/>
      <w:r>
        <w:rPr>
          <w:bCs/>
          <w:iCs/>
        </w:rPr>
        <w:t>34.</w:t>
      </w:r>
      <w:r>
        <w:rPr>
          <w:bCs/>
          <w:iCs/>
        </w:rPr>
        <w:tab/>
      </w:r>
      <w:r w:rsidRPr="00E22A7C">
        <w:rPr>
          <w:bCs/>
          <w:iCs/>
        </w:rPr>
        <w:t xml:space="preserve">Shepstone L, Lenaghan E, Cooper C, Clarke S, Fordham R, Gittoes NJ, Harvey IM, Harvey NC, Heawood A, Holland R, Howe A, Kanis J, Marshall T, O'Neill TW, Peters TJ, Redmond NM, Torgerson DJ, McCloskey EV (2017) A randomized controlled trial of screening in the community to reduce fractures in older women – The SCOOP Study.  Lancet, </w:t>
      </w:r>
      <w:r w:rsidRPr="001435F7">
        <w:rPr>
          <w:bCs/>
          <w:iCs/>
          <w:highlight w:val="yellow"/>
        </w:rPr>
        <w:t>in press</w:t>
      </w:r>
      <w:r>
        <w:rPr>
          <w:bCs/>
          <w:iCs/>
        </w:rPr>
        <w:t>.</w:t>
      </w:r>
    </w:p>
    <w:bookmarkEnd w:id="21"/>
    <w:p w14:paraId="56BD80A6" w14:textId="77777777" w:rsidR="00780B6D" w:rsidRPr="00792C6A" w:rsidRDefault="00780B6D" w:rsidP="00FB7128">
      <w:pPr>
        <w:spacing w:line="276" w:lineRule="auto"/>
        <w:ind w:left="567" w:hanging="567"/>
        <w:rPr>
          <w:rStyle w:val="Hyperlink"/>
        </w:rPr>
      </w:pPr>
      <w:r>
        <w:t>35.</w:t>
      </w:r>
      <w:r>
        <w:tab/>
      </w:r>
      <w:r w:rsidRPr="00A12274">
        <w:t xml:space="preserve">Dawson-Hughes B, Looker AC, Tosteson ANA, Johansson H, Kanis JA, Melton LJ (2012) The potential impact of the National Osteoporosis Foundation guidance on treatment eligibility in the U.S.: an update in NHANES 2005-2008.  </w:t>
      </w:r>
      <w:r w:rsidRPr="00792C6A">
        <w:t>Osteoporos Int 23: 811-820.</w:t>
      </w:r>
    </w:p>
    <w:p w14:paraId="3EFD4D67" w14:textId="77777777" w:rsidR="00780B6D" w:rsidRPr="00792C6A" w:rsidRDefault="00780B6D" w:rsidP="00FB7128">
      <w:pPr>
        <w:ind w:left="567" w:hanging="567"/>
      </w:pPr>
      <w:r w:rsidRPr="00792C6A">
        <w:t>36.</w:t>
      </w:r>
      <w:r w:rsidRPr="00792C6A">
        <w:tab/>
        <w:t>Kanis JA, McCloskey EV, Harvey NC, Johansson H, Leslie WD (2015) Intervention thresholds and the diagnosis of osteoporosis</w:t>
      </w:r>
      <w:bookmarkStart w:id="22" w:name="_Hlk494379713"/>
      <w:r w:rsidRPr="00792C6A">
        <w:t xml:space="preserve">. </w:t>
      </w:r>
      <w:bookmarkStart w:id="23" w:name="_Hlk494407896"/>
      <w:r w:rsidRPr="00792C6A">
        <w:t xml:space="preserve">J Bone Miner Res </w:t>
      </w:r>
      <w:bookmarkEnd w:id="23"/>
      <w:r w:rsidRPr="00792C6A">
        <w:rPr>
          <w:bCs/>
          <w:iCs/>
        </w:rPr>
        <w:t>30: 1747-1753</w:t>
      </w:r>
      <w:bookmarkEnd w:id="22"/>
      <w:r w:rsidRPr="00792C6A">
        <w:rPr>
          <w:bCs/>
          <w:iCs/>
        </w:rPr>
        <w:t>.</w:t>
      </w:r>
    </w:p>
    <w:p w14:paraId="168F2DE1" w14:textId="51F6B154" w:rsidR="00780B6D" w:rsidRPr="00792C6A" w:rsidRDefault="00780B6D" w:rsidP="00FB7128">
      <w:pPr>
        <w:spacing w:line="276" w:lineRule="auto"/>
        <w:ind w:left="567" w:hanging="567"/>
      </w:pPr>
      <w:r w:rsidRPr="00792C6A">
        <w:t>37.</w:t>
      </w:r>
      <w:r w:rsidRPr="00792C6A">
        <w:tab/>
        <w:t xml:space="preserve">Cosman F, de Beur SJ, LeBoff MS, Lewiecki EM, Tanner B Randall S, Lindsay R (2014) Clinician’s guide to prevention and treatment of osteoporosis. Osteoporos </w:t>
      </w:r>
      <w:r w:rsidR="001435F7" w:rsidRPr="00792C6A">
        <w:t>Int 25</w:t>
      </w:r>
      <w:r w:rsidRPr="00792C6A">
        <w:t>: 2359-81.</w:t>
      </w:r>
    </w:p>
    <w:p w14:paraId="0DDFD2D4" w14:textId="77777777" w:rsidR="00780B6D" w:rsidRPr="00792C6A" w:rsidRDefault="00780B6D" w:rsidP="00FB7128">
      <w:pPr>
        <w:ind w:left="567" w:hanging="567"/>
        <w:rPr>
          <w:bCs/>
          <w:iCs/>
        </w:rPr>
      </w:pPr>
      <w:bookmarkStart w:id="24" w:name="_Hlk494374008"/>
      <w:r w:rsidRPr="00792C6A">
        <w:rPr>
          <w:bCs/>
          <w:iCs/>
        </w:rPr>
        <w:t>38.</w:t>
      </w:r>
      <w:r w:rsidRPr="00792C6A">
        <w:rPr>
          <w:bCs/>
          <w:iCs/>
        </w:rPr>
        <w:tab/>
        <w:t>Kendler</w:t>
      </w:r>
      <w:bookmarkEnd w:id="24"/>
      <w:r w:rsidRPr="00792C6A">
        <w:rPr>
          <w:bCs/>
          <w:iCs/>
        </w:rPr>
        <w:t xml:space="preserve"> DL, Zerbini C, Russo L, GreenspanS, Zikan V, BagurA (2017) </w:t>
      </w:r>
      <w:r w:rsidRPr="00792C6A">
        <w:rPr>
          <w:rFonts w:cs="AdvTTb8864ccf.B"/>
          <w:color w:val="131413"/>
        </w:rPr>
        <w:t>Effects</w:t>
      </w:r>
      <w:r w:rsidRPr="00792C6A">
        <w:rPr>
          <w:bCs/>
          <w:iCs/>
        </w:rPr>
        <w:t xml:space="preserve"> of 24 months treatment of teriparatide compared with risedronate on new fractures in postmenopausal women with severe osteoporosis: a randomized, double-dummy, clinical trial. Osteoporos Int 28 (Suppl 1): 69-70</w:t>
      </w:r>
    </w:p>
    <w:p w14:paraId="5EA7CA6F" w14:textId="77777777" w:rsidR="00780B6D" w:rsidRPr="00792C6A" w:rsidRDefault="00780B6D" w:rsidP="00FB7128">
      <w:pPr>
        <w:ind w:left="567" w:hanging="567"/>
        <w:rPr>
          <w:bCs/>
          <w:iCs/>
        </w:rPr>
      </w:pPr>
      <w:r w:rsidRPr="00792C6A">
        <w:rPr>
          <w:bCs/>
          <w:iCs/>
        </w:rPr>
        <w:t>39.</w:t>
      </w:r>
      <w:r w:rsidRPr="00792C6A">
        <w:rPr>
          <w:bCs/>
          <w:iCs/>
        </w:rPr>
        <w:tab/>
        <w:t>Miller PD, Hattersley G, Riis BJ, Williams GC, Lau E, Russo LA et al (2016). Effect of abaloparatide vs placebo on new vertebral fractures in postmenopausal women with osteoporosis: A randomized clinical trial. JAMA 316: 722-33.</w:t>
      </w:r>
    </w:p>
    <w:p w14:paraId="3D4D2037" w14:textId="77777777" w:rsidR="00780B6D" w:rsidRPr="00FC0AEC" w:rsidRDefault="00780B6D" w:rsidP="00FB7128">
      <w:pPr>
        <w:ind w:left="567" w:hanging="567"/>
        <w:rPr>
          <w:bCs/>
          <w:iCs/>
        </w:rPr>
      </w:pPr>
      <w:r>
        <w:rPr>
          <w:bCs/>
          <w:iCs/>
        </w:rPr>
        <w:lastRenderedPageBreak/>
        <w:t>40.</w:t>
      </w:r>
      <w:r>
        <w:rPr>
          <w:bCs/>
          <w:iCs/>
        </w:rPr>
        <w:tab/>
      </w:r>
      <w:r w:rsidRPr="00FC0AEC">
        <w:rPr>
          <w:bCs/>
          <w:iCs/>
        </w:rPr>
        <w:t>Saag KG, Petersen J, Brandi ML, Karaplis AC, Lorentzon M, Thomas T</w:t>
      </w:r>
      <w:r>
        <w:rPr>
          <w:bCs/>
          <w:iCs/>
        </w:rPr>
        <w:t xml:space="preserve"> et al (2017)</w:t>
      </w:r>
      <w:r w:rsidRPr="00FC0AEC">
        <w:rPr>
          <w:bCs/>
          <w:iCs/>
        </w:rPr>
        <w:t xml:space="preserve"> Romosozumab or alendronate for fracture prevention in women with osteoporosis. N Engl J Med. 2017 Sep 11. doi: 10.1056/NEJMoa1708322. [</w:t>
      </w:r>
      <w:r w:rsidRPr="001435F7">
        <w:rPr>
          <w:bCs/>
          <w:iCs/>
          <w:highlight w:val="yellow"/>
        </w:rPr>
        <w:t>Epub ahead of print</w:t>
      </w:r>
      <w:r w:rsidRPr="00FC0AEC">
        <w:rPr>
          <w:bCs/>
          <w:iCs/>
        </w:rPr>
        <w:t>]</w:t>
      </w:r>
    </w:p>
    <w:p w14:paraId="52D9AD8E" w14:textId="77777777" w:rsidR="00780B6D" w:rsidRDefault="00780B6D" w:rsidP="00FB7128">
      <w:pPr>
        <w:ind w:left="567" w:hanging="567"/>
      </w:pPr>
      <w:r>
        <w:t>41.</w:t>
      </w:r>
      <w:r>
        <w:tab/>
      </w:r>
      <w:r w:rsidRPr="00B222FE">
        <w:t>Kanis JA, Rizzoli R, Cooper C, Reginster J-Y (2014) Challenges for the development of bone forming agents in Europe.  Calcif Tissue Int 94: 469-473.</w:t>
      </w:r>
    </w:p>
    <w:p w14:paraId="03E3F6AF" w14:textId="2B8FA08C" w:rsidR="00780B6D" w:rsidRDefault="00780B6D" w:rsidP="00FB7128">
      <w:pPr>
        <w:spacing w:line="276" w:lineRule="auto"/>
        <w:ind w:left="567" w:hanging="567"/>
      </w:pPr>
      <w:r>
        <w:t>42.</w:t>
      </w:r>
      <w:r>
        <w:tab/>
      </w:r>
      <w:r w:rsidRPr="007C1080">
        <w:t>Bone</w:t>
      </w:r>
      <w:r>
        <w:t xml:space="preserve"> HG</w:t>
      </w:r>
      <w:r w:rsidRPr="007C1080">
        <w:t>, Cosman</w:t>
      </w:r>
      <w:r>
        <w:t xml:space="preserve"> F</w:t>
      </w:r>
      <w:r w:rsidRPr="007C1080">
        <w:t>, Miller</w:t>
      </w:r>
      <w:r>
        <w:t xml:space="preserve"> PD</w:t>
      </w:r>
      <w:r w:rsidRPr="007C1080">
        <w:t>, Williams</w:t>
      </w:r>
      <w:r>
        <w:t xml:space="preserve"> GC</w:t>
      </w:r>
      <w:r w:rsidRPr="007C1080">
        <w:t>, Hattersley</w:t>
      </w:r>
      <w:r>
        <w:t xml:space="preserve"> G</w:t>
      </w:r>
      <w:r w:rsidRPr="007C1080">
        <w:t>, Hu</w:t>
      </w:r>
      <w:r>
        <w:t xml:space="preserve"> M</w:t>
      </w:r>
      <w:r w:rsidRPr="007C1080">
        <w:t>, Fitzpatrick</w:t>
      </w:r>
      <w:r>
        <w:t xml:space="preserve"> LA</w:t>
      </w:r>
      <w:r w:rsidRPr="007C1080">
        <w:t>, Papapoulos</w:t>
      </w:r>
      <w:r>
        <w:t xml:space="preserve"> S (2017)</w:t>
      </w:r>
      <w:r w:rsidRPr="007C1080">
        <w:t xml:space="preserve"> </w:t>
      </w:r>
      <w:r>
        <w:t>S</w:t>
      </w:r>
      <w:r w:rsidRPr="007C1080">
        <w:t xml:space="preserve">ustained fracture risk reduction with sequential abaloparatide/alendronate: results of </w:t>
      </w:r>
      <w:r>
        <w:t>ACTIVEe</w:t>
      </w:r>
      <w:r w:rsidRPr="007C1080">
        <w:t>xtend</w:t>
      </w:r>
      <w:r>
        <w:t>.</w:t>
      </w:r>
      <w:r w:rsidRPr="007C1080">
        <w:t xml:space="preserve"> J Bone Miner Res</w:t>
      </w:r>
      <w:r>
        <w:t xml:space="preserve"> 32 (Suppl 1): S25-26</w:t>
      </w:r>
      <w:r w:rsidR="001435F7">
        <w:t>, a</w:t>
      </w:r>
      <w:r>
        <w:t>bstract 1074</w:t>
      </w:r>
    </w:p>
    <w:p w14:paraId="5B7B3FBC" w14:textId="77777777" w:rsidR="00780B6D" w:rsidRDefault="00780B6D" w:rsidP="00FB7128">
      <w:pPr>
        <w:ind w:left="567" w:hanging="567"/>
        <w:rPr>
          <w:bCs/>
          <w:iCs/>
        </w:rPr>
      </w:pPr>
      <w:r>
        <w:rPr>
          <w:bCs/>
          <w:iCs/>
        </w:rPr>
        <w:t>43.</w:t>
      </w:r>
      <w:r>
        <w:rPr>
          <w:bCs/>
          <w:iCs/>
        </w:rPr>
        <w:tab/>
      </w:r>
      <w:r w:rsidRPr="00652332">
        <w:rPr>
          <w:bCs/>
          <w:iCs/>
        </w:rPr>
        <w:t>Kanis JA, Cooper C, Abrahamsen B, Al-Daghri N, Brandi ML, Cannata-Andia J</w:t>
      </w:r>
      <w:r>
        <w:rPr>
          <w:bCs/>
          <w:iCs/>
        </w:rPr>
        <w:t xml:space="preserve"> et al</w:t>
      </w:r>
      <w:r w:rsidRPr="00652332">
        <w:rPr>
          <w:bCs/>
          <w:iCs/>
        </w:rPr>
        <w:t xml:space="preserve"> (2017) Identification and management of patients at increased risk of osteoporotic fracture. Osteoporos Int 28: 2023-2034.</w:t>
      </w:r>
    </w:p>
    <w:sectPr w:rsidR="00780B6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A0498" w14:textId="77777777" w:rsidR="00442930" w:rsidRDefault="00442930" w:rsidP="00A1341C">
      <w:pPr>
        <w:spacing w:after="0" w:line="240" w:lineRule="auto"/>
      </w:pPr>
      <w:r>
        <w:separator/>
      </w:r>
    </w:p>
  </w:endnote>
  <w:endnote w:type="continuationSeparator" w:id="0">
    <w:p w14:paraId="5385636F" w14:textId="77777777" w:rsidR="00442930" w:rsidRDefault="00442930" w:rsidP="00A1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ntax-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venirNextLTPro-Regular">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b8864cc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89755"/>
      <w:docPartObj>
        <w:docPartGallery w:val="Page Numbers (Bottom of Page)"/>
        <w:docPartUnique/>
      </w:docPartObj>
    </w:sdtPr>
    <w:sdtEndPr>
      <w:rPr>
        <w:noProof/>
      </w:rPr>
    </w:sdtEndPr>
    <w:sdtContent>
      <w:p w14:paraId="5E4085C6" w14:textId="59B92290" w:rsidR="008E1947" w:rsidRDefault="008E1947">
        <w:pPr>
          <w:pStyle w:val="Footer"/>
          <w:jc w:val="right"/>
        </w:pPr>
        <w:r>
          <w:fldChar w:fldCharType="begin"/>
        </w:r>
        <w:r>
          <w:instrText xml:space="preserve"> PAGE   \* MERGEFORMAT </w:instrText>
        </w:r>
        <w:r>
          <w:fldChar w:fldCharType="separate"/>
        </w:r>
        <w:r w:rsidR="003F7481">
          <w:rPr>
            <w:noProof/>
          </w:rPr>
          <w:t>2</w:t>
        </w:r>
        <w:r>
          <w:rPr>
            <w:noProof/>
          </w:rPr>
          <w:fldChar w:fldCharType="end"/>
        </w:r>
      </w:p>
    </w:sdtContent>
  </w:sdt>
  <w:p w14:paraId="10063F03" w14:textId="77777777" w:rsidR="008E1947" w:rsidRDefault="008E1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AAE87" w14:textId="77777777" w:rsidR="00442930" w:rsidRDefault="00442930" w:rsidP="00A1341C">
      <w:pPr>
        <w:spacing w:after="0" w:line="240" w:lineRule="auto"/>
      </w:pPr>
      <w:r>
        <w:separator/>
      </w:r>
    </w:p>
  </w:footnote>
  <w:footnote w:type="continuationSeparator" w:id="0">
    <w:p w14:paraId="6D92675A" w14:textId="77777777" w:rsidR="00442930" w:rsidRDefault="00442930" w:rsidP="00A13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11E34"/>
    <w:multiLevelType w:val="singleLevel"/>
    <w:tmpl w:val="2734582A"/>
    <w:lvl w:ilvl="0">
      <w:start w:val="415"/>
      <w:numFmt w:val="decimal"/>
      <w:lvlText w:val="%1."/>
      <w:lvlJc w:val="left"/>
      <w:pPr>
        <w:tabs>
          <w:tab w:val="num" w:pos="1244"/>
        </w:tabs>
        <w:ind w:left="1244" w:hanging="9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22"/>
    <w:rsid w:val="00021071"/>
    <w:rsid w:val="00021CD4"/>
    <w:rsid w:val="00032AD7"/>
    <w:rsid w:val="000348C2"/>
    <w:rsid w:val="00061190"/>
    <w:rsid w:val="000627B8"/>
    <w:rsid w:val="00072472"/>
    <w:rsid w:val="000E0455"/>
    <w:rsid w:val="000E2E73"/>
    <w:rsid w:val="000E5F2A"/>
    <w:rsid w:val="000F60A6"/>
    <w:rsid w:val="00103C2D"/>
    <w:rsid w:val="00141FFF"/>
    <w:rsid w:val="001435F7"/>
    <w:rsid w:val="001B0029"/>
    <w:rsid w:val="001C03CA"/>
    <w:rsid w:val="001D05E6"/>
    <w:rsid w:val="001F0EE6"/>
    <w:rsid w:val="00206D51"/>
    <w:rsid w:val="0021671D"/>
    <w:rsid w:val="0022188E"/>
    <w:rsid w:val="002258A1"/>
    <w:rsid w:val="00244FFE"/>
    <w:rsid w:val="00286E68"/>
    <w:rsid w:val="00287B71"/>
    <w:rsid w:val="002C077D"/>
    <w:rsid w:val="002C1F20"/>
    <w:rsid w:val="002C67BF"/>
    <w:rsid w:val="002E3C0E"/>
    <w:rsid w:val="0034270B"/>
    <w:rsid w:val="00347F7F"/>
    <w:rsid w:val="00354C22"/>
    <w:rsid w:val="00355DBA"/>
    <w:rsid w:val="00382BB7"/>
    <w:rsid w:val="003B7ED2"/>
    <w:rsid w:val="003C4045"/>
    <w:rsid w:val="003F7481"/>
    <w:rsid w:val="00442930"/>
    <w:rsid w:val="004473AC"/>
    <w:rsid w:val="00467C92"/>
    <w:rsid w:val="004844FC"/>
    <w:rsid w:val="004C0310"/>
    <w:rsid w:val="004C66A0"/>
    <w:rsid w:val="00516321"/>
    <w:rsid w:val="00525269"/>
    <w:rsid w:val="00531F0C"/>
    <w:rsid w:val="00552956"/>
    <w:rsid w:val="00565DB4"/>
    <w:rsid w:val="00573AE6"/>
    <w:rsid w:val="005753A7"/>
    <w:rsid w:val="005E2130"/>
    <w:rsid w:val="005F0FD5"/>
    <w:rsid w:val="005F7FE4"/>
    <w:rsid w:val="00601EF4"/>
    <w:rsid w:val="006258AB"/>
    <w:rsid w:val="00650A72"/>
    <w:rsid w:val="00652332"/>
    <w:rsid w:val="006563E0"/>
    <w:rsid w:val="00685484"/>
    <w:rsid w:val="00691719"/>
    <w:rsid w:val="006B0728"/>
    <w:rsid w:val="006B2EB2"/>
    <w:rsid w:val="006C434B"/>
    <w:rsid w:val="006C4FEB"/>
    <w:rsid w:val="006C7F59"/>
    <w:rsid w:val="006E06E1"/>
    <w:rsid w:val="006E4940"/>
    <w:rsid w:val="006E612B"/>
    <w:rsid w:val="0071522E"/>
    <w:rsid w:val="00733E12"/>
    <w:rsid w:val="00743BCA"/>
    <w:rsid w:val="00752B38"/>
    <w:rsid w:val="00756848"/>
    <w:rsid w:val="00760FA6"/>
    <w:rsid w:val="00780B6D"/>
    <w:rsid w:val="0078661C"/>
    <w:rsid w:val="00791A98"/>
    <w:rsid w:val="00792C6A"/>
    <w:rsid w:val="007C1080"/>
    <w:rsid w:val="007E007C"/>
    <w:rsid w:val="007F3F75"/>
    <w:rsid w:val="00822867"/>
    <w:rsid w:val="00875437"/>
    <w:rsid w:val="0088641C"/>
    <w:rsid w:val="00894BF0"/>
    <w:rsid w:val="00895A1B"/>
    <w:rsid w:val="0089742B"/>
    <w:rsid w:val="008A4CA0"/>
    <w:rsid w:val="008B70EE"/>
    <w:rsid w:val="008E1947"/>
    <w:rsid w:val="008E63D2"/>
    <w:rsid w:val="008F221B"/>
    <w:rsid w:val="00910BEB"/>
    <w:rsid w:val="00920413"/>
    <w:rsid w:val="00921EB5"/>
    <w:rsid w:val="00932C69"/>
    <w:rsid w:val="00953BF2"/>
    <w:rsid w:val="00967E10"/>
    <w:rsid w:val="009915A0"/>
    <w:rsid w:val="009A01C5"/>
    <w:rsid w:val="009A145E"/>
    <w:rsid w:val="009C4843"/>
    <w:rsid w:val="009C65D7"/>
    <w:rsid w:val="00A12274"/>
    <w:rsid w:val="00A1341C"/>
    <w:rsid w:val="00A15B82"/>
    <w:rsid w:val="00A233DF"/>
    <w:rsid w:val="00A33A29"/>
    <w:rsid w:val="00A904B7"/>
    <w:rsid w:val="00A953D5"/>
    <w:rsid w:val="00B222FE"/>
    <w:rsid w:val="00B41CD7"/>
    <w:rsid w:val="00B57941"/>
    <w:rsid w:val="00B64B51"/>
    <w:rsid w:val="00B93620"/>
    <w:rsid w:val="00BA464B"/>
    <w:rsid w:val="00BC41F3"/>
    <w:rsid w:val="00BC4A7C"/>
    <w:rsid w:val="00BD73E9"/>
    <w:rsid w:val="00BE5E0A"/>
    <w:rsid w:val="00BF0116"/>
    <w:rsid w:val="00C11296"/>
    <w:rsid w:val="00C12CA3"/>
    <w:rsid w:val="00C17135"/>
    <w:rsid w:val="00C24EFC"/>
    <w:rsid w:val="00C358AE"/>
    <w:rsid w:val="00C578E9"/>
    <w:rsid w:val="00C61FF8"/>
    <w:rsid w:val="00CA558B"/>
    <w:rsid w:val="00CE24E3"/>
    <w:rsid w:val="00CE3BE6"/>
    <w:rsid w:val="00D56D9B"/>
    <w:rsid w:val="00D8342E"/>
    <w:rsid w:val="00D97735"/>
    <w:rsid w:val="00DC16F9"/>
    <w:rsid w:val="00E22A7C"/>
    <w:rsid w:val="00E30B5A"/>
    <w:rsid w:val="00E5385E"/>
    <w:rsid w:val="00E53D73"/>
    <w:rsid w:val="00E72A7E"/>
    <w:rsid w:val="00E732FC"/>
    <w:rsid w:val="00E837AB"/>
    <w:rsid w:val="00E87E00"/>
    <w:rsid w:val="00EA380B"/>
    <w:rsid w:val="00EB5FB9"/>
    <w:rsid w:val="00F1346B"/>
    <w:rsid w:val="00F25F2F"/>
    <w:rsid w:val="00F54909"/>
    <w:rsid w:val="00F750E4"/>
    <w:rsid w:val="00FB7128"/>
    <w:rsid w:val="00FC0412"/>
    <w:rsid w:val="00FC0AEC"/>
    <w:rsid w:val="00FE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FDEF"/>
  <w15:chartTrackingRefBased/>
  <w15:docId w15:val="{DAFBEFA2-CF42-44A7-975C-4B373896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FD5"/>
    <w:rPr>
      <w:color w:val="0563C1" w:themeColor="hyperlink"/>
      <w:u w:val="single"/>
    </w:rPr>
  </w:style>
  <w:style w:type="character" w:customStyle="1" w:styleId="UnresolvedMention">
    <w:name w:val="Unresolved Mention"/>
    <w:basedOn w:val="DefaultParagraphFont"/>
    <w:uiPriority w:val="99"/>
    <w:semiHidden/>
    <w:unhideWhenUsed/>
    <w:rsid w:val="005F0FD5"/>
    <w:rPr>
      <w:color w:val="808080"/>
      <w:shd w:val="clear" w:color="auto" w:fill="E6E6E6"/>
    </w:rPr>
  </w:style>
  <w:style w:type="character" w:styleId="CommentReference">
    <w:name w:val="annotation reference"/>
    <w:basedOn w:val="DefaultParagraphFont"/>
    <w:uiPriority w:val="99"/>
    <w:semiHidden/>
    <w:unhideWhenUsed/>
    <w:rsid w:val="00287B71"/>
    <w:rPr>
      <w:sz w:val="16"/>
      <w:szCs w:val="16"/>
    </w:rPr>
  </w:style>
  <w:style w:type="paragraph" w:styleId="CommentText">
    <w:name w:val="annotation text"/>
    <w:basedOn w:val="Normal"/>
    <w:link w:val="CommentTextChar"/>
    <w:uiPriority w:val="99"/>
    <w:semiHidden/>
    <w:unhideWhenUsed/>
    <w:rsid w:val="00287B71"/>
    <w:pPr>
      <w:spacing w:line="240" w:lineRule="auto"/>
    </w:pPr>
    <w:rPr>
      <w:sz w:val="20"/>
      <w:szCs w:val="20"/>
    </w:rPr>
  </w:style>
  <w:style w:type="character" w:customStyle="1" w:styleId="CommentTextChar">
    <w:name w:val="Comment Text Char"/>
    <w:basedOn w:val="DefaultParagraphFont"/>
    <w:link w:val="CommentText"/>
    <w:uiPriority w:val="99"/>
    <w:semiHidden/>
    <w:rsid w:val="00287B71"/>
    <w:rPr>
      <w:sz w:val="20"/>
      <w:szCs w:val="20"/>
    </w:rPr>
  </w:style>
  <w:style w:type="paragraph" w:styleId="CommentSubject">
    <w:name w:val="annotation subject"/>
    <w:basedOn w:val="CommentText"/>
    <w:next w:val="CommentText"/>
    <w:link w:val="CommentSubjectChar"/>
    <w:uiPriority w:val="99"/>
    <w:semiHidden/>
    <w:unhideWhenUsed/>
    <w:rsid w:val="00287B71"/>
    <w:rPr>
      <w:b/>
      <w:bCs/>
    </w:rPr>
  </w:style>
  <w:style w:type="character" w:customStyle="1" w:styleId="CommentSubjectChar">
    <w:name w:val="Comment Subject Char"/>
    <w:basedOn w:val="CommentTextChar"/>
    <w:link w:val="CommentSubject"/>
    <w:uiPriority w:val="99"/>
    <w:semiHidden/>
    <w:rsid w:val="00287B71"/>
    <w:rPr>
      <w:b/>
      <w:bCs/>
      <w:sz w:val="20"/>
      <w:szCs w:val="20"/>
    </w:rPr>
  </w:style>
  <w:style w:type="paragraph" w:styleId="BalloonText">
    <w:name w:val="Balloon Text"/>
    <w:basedOn w:val="Normal"/>
    <w:link w:val="BalloonTextChar"/>
    <w:uiPriority w:val="99"/>
    <w:semiHidden/>
    <w:unhideWhenUsed/>
    <w:rsid w:val="00287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B71"/>
    <w:rPr>
      <w:rFonts w:ascii="Segoe UI" w:hAnsi="Segoe UI" w:cs="Segoe UI"/>
      <w:sz w:val="18"/>
      <w:szCs w:val="18"/>
    </w:rPr>
  </w:style>
  <w:style w:type="table" w:styleId="TableGrid">
    <w:name w:val="Table Grid"/>
    <w:basedOn w:val="TableNormal"/>
    <w:uiPriority w:val="39"/>
    <w:rsid w:val="0075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1C"/>
  </w:style>
  <w:style w:type="paragraph" w:styleId="Footer">
    <w:name w:val="footer"/>
    <w:basedOn w:val="Normal"/>
    <w:link w:val="FooterChar"/>
    <w:uiPriority w:val="99"/>
    <w:unhideWhenUsed/>
    <w:rsid w:val="00A1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1C"/>
  </w:style>
  <w:style w:type="paragraph" w:styleId="BodyTextIndent">
    <w:name w:val="Body Text Indent"/>
    <w:basedOn w:val="Normal"/>
    <w:link w:val="BodyTextIndentChar"/>
    <w:uiPriority w:val="99"/>
    <w:semiHidden/>
    <w:unhideWhenUsed/>
    <w:rsid w:val="000348C2"/>
    <w:pPr>
      <w:spacing w:after="120"/>
      <w:ind w:left="283"/>
    </w:pPr>
  </w:style>
  <w:style w:type="character" w:customStyle="1" w:styleId="BodyTextIndentChar">
    <w:name w:val="Body Text Indent Char"/>
    <w:basedOn w:val="DefaultParagraphFont"/>
    <w:link w:val="BodyTextIndent"/>
    <w:uiPriority w:val="99"/>
    <w:semiHidden/>
    <w:rsid w:val="000348C2"/>
  </w:style>
  <w:style w:type="paragraph" w:styleId="NoSpacing">
    <w:name w:val="No Spacing"/>
    <w:uiPriority w:val="1"/>
    <w:qFormat/>
    <w:rsid w:val="00072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8759">
      <w:bodyDiv w:val="1"/>
      <w:marLeft w:val="0"/>
      <w:marRight w:val="0"/>
      <w:marTop w:val="0"/>
      <w:marBottom w:val="0"/>
      <w:divBdr>
        <w:top w:val="none" w:sz="0" w:space="0" w:color="auto"/>
        <w:left w:val="none" w:sz="0" w:space="0" w:color="auto"/>
        <w:bottom w:val="none" w:sz="0" w:space="0" w:color="auto"/>
        <w:right w:val="none" w:sz="0" w:space="0" w:color="auto"/>
      </w:divBdr>
      <w:divsChild>
        <w:div w:id="217475453">
          <w:marLeft w:val="1080"/>
          <w:marRight w:val="0"/>
          <w:marTop w:val="0"/>
          <w:marBottom w:val="120"/>
          <w:divBdr>
            <w:top w:val="none" w:sz="0" w:space="0" w:color="auto"/>
            <w:left w:val="none" w:sz="0" w:space="0" w:color="auto"/>
            <w:bottom w:val="none" w:sz="0" w:space="0" w:color="auto"/>
            <w:right w:val="none" w:sz="0" w:space="0" w:color="auto"/>
          </w:divBdr>
        </w:div>
      </w:divsChild>
    </w:div>
    <w:div w:id="1709910191">
      <w:bodyDiv w:val="1"/>
      <w:marLeft w:val="0"/>
      <w:marRight w:val="0"/>
      <w:marTop w:val="0"/>
      <w:marBottom w:val="0"/>
      <w:divBdr>
        <w:top w:val="none" w:sz="0" w:space="0" w:color="auto"/>
        <w:left w:val="none" w:sz="0" w:space="0" w:color="auto"/>
        <w:bottom w:val="none" w:sz="0" w:space="0" w:color="auto"/>
        <w:right w:val="none" w:sz="0" w:space="0" w:color="auto"/>
      </w:divBdr>
    </w:div>
    <w:div w:id="21318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j.Pontefract@shef.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hef.ac.uk/FRAX/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3550</Words>
  <Characters>20237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2018-06-07T11:03:00Z</cp:lastPrinted>
  <dcterms:created xsi:type="dcterms:W3CDTF">2018-06-07T11:09:00Z</dcterms:created>
  <dcterms:modified xsi:type="dcterms:W3CDTF">2018-06-07T11:09:00Z</dcterms:modified>
</cp:coreProperties>
</file>