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649A" w14:textId="1A294155" w:rsidR="00B74528" w:rsidRPr="00BB539A" w:rsidRDefault="00BB539A" w:rsidP="004B1A8C">
      <w:pPr>
        <w:spacing w:line="360" w:lineRule="auto"/>
        <w:jc w:val="both"/>
        <w:outlineLvl w:val="0"/>
        <w:rPr>
          <w:rFonts w:ascii="Times New Roman" w:hAnsi="Times New Roman" w:cs="Times New Roman"/>
          <w:b/>
          <w:sz w:val="24"/>
        </w:rPr>
      </w:pPr>
      <w:bookmarkStart w:id="0" w:name="_GoBack"/>
      <w:bookmarkEnd w:id="0"/>
      <w:r w:rsidRPr="00BB539A">
        <w:rPr>
          <w:rFonts w:ascii="Times New Roman" w:hAnsi="Times New Roman" w:cs="Times New Roman"/>
          <w:b/>
          <w:sz w:val="24"/>
        </w:rPr>
        <w:t xml:space="preserve">Selenium and tellurium concentrations of </w:t>
      </w:r>
      <w:r>
        <w:rPr>
          <w:rFonts w:ascii="Times New Roman" w:hAnsi="Times New Roman" w:cs="Times New Roman"/>
          <w:b/>
          <w:sz w:val="24"/>
        </w:rPr>
        <w:t>British</w:t>
      </w:r>
      <w:r w:rsidRPr="00BB539A">
        <w:rPr>
          <w:rFonts w:ascii="Times New Roman" w:hAnsi="Times New Roman" w:cs="Times New Roman"/>
          <w:b/>
          <w:sz w:val="24"/>
        </w:rPr>
        <w:t xml:space="preserve"> </w:t>
      </w:r>
      <w:r w:rsidR="002B6142">
        <w:rPr>
          <w:rFonts w:ascii="Times New Roman" w:hAnsi="Times New Roman" w:cs="Times New Roman"/>
          <w:b/>
          <w:sz w:val="24"/>
        </w:rPr>
        <w:t>coals</w:t>
      </w:r>
    </w:p>
    <w:p w14:paraId="7C96994B" w14:textId="315FF90A" w:rsidR="00385133" w:rsidRPr="00BB539A" w:rsidRDefault="00BB539A" w:rsidP="00C63800">
      <w:pPr>
        <w:spacing w:line="360" w:lineRule="auto"/>
        <w:jc w:val="both"/>
        <w:rPr>
          <w:rFonts w:ascii="Times New Roman" w:hAnsi="Times New Roman" w:cs="Times New Roman"/>
          <w:sz w:val="24"/>
        </w:rPr>
      </w:pPr>
      <w:r w:rsidRPr="00BB539A">
        <w:rPr>
          <w:rFonts w:ascii="Times New Roman" w:hAnsi="Times New Roman" w:cs="Times New Roman"/>
          <w:sz w:val="24"/>
        </w:rPr>
        <w:t>Liam A. Bullock</w:t>
      </w:r>
      <w:r>
        <w:rPr>
          <w:rFonts w:ascii="Times New Roman" w:hAnsi="Times New Roman" w:cs="Times New Roman"/>
          <w:sz w:val="24"/>
          <w:vertAlign w:val="superscript"/>
        </w:rPr>
        <w:t>1</w:t>
      </w:r>
      <w:r>
        <w:rPr>
          <w:rFonts w:ascii="Times New Roman" w:hAnsi="Times New Roman" w:cs="Times New Roman"/>
          <w:sz w:val="24"/>
        </w:rPr>
        <w:t>, John Parnell</w:t>
      </w:r>
      <w:r>
        <w:rPr>
          <w:rFonts w:ascii="Times New Roman" w:hAnsi="Times New Roman" w:cs="Times New Roman"/>
          <w:sz w:val="24"/>
          <w:vertAlign w:val="superscript"/>
        </w:rPr>
        <w:t>1</w:t>
      </w:r>
      <w:r>
        <w:rPr>
          <w:rFonts w:ascii="Times New Roman" w:hAnsi="Times New Roman" w:cs="Times New Roman"/>
          <w:sz w:val="24"/>
        </w:rPr>
        <w:t>, Joerg Feldmann</w:t>
      </w:r>
      <w:r>
        <w:rPr>
          <w:rFonts w:ascii="Times New Roman" w:hAnsi="Times New Roman" w:cs="Times New Roman"/>
          <w:sz w:val="24"/>
          <w:vertAlign w:val="superscript"/>
        </w:rPr>
        <w:t>2</w:t>
      </w:r>
      <w:r w:rsidRPr="00BB539A">
        <w:rPr>
          <w:rFonts w:ascii="Times New Roman" w:hAnsi="Times New Roman" w:cs="Times New Roman"/>
          <w:sz w:val="24"/>
        </w:rPr>
        <w:t xml:space="preserve">, </w:t>
      </w:r>
      <w:r>
        <w:rPr>
          <w:rFonts w:ascii="Times New Roman" w:hAnsi="Times New Roman" w:cs="Times New Roman"/>
          <w:sz w:val="24"/>
        </w:rPr>
        <w:t>Joseph G. Armstrong</w:t>
      </w:r>
      <w:r>
        <w:rPr>
          <w:rFonts w:ascii="Times New Roman" w:hAnsi="Times New Roman" w:cs="Times New Roman"/>
          <w:sz w:val="24"/>
          <w:vertAlign w:val="superscript"/>
        </w:rPr>
        <w:t>1</w:t>
      </w:r>
      <w:r>
        <w:rPr>
          <w:rFonts w:ascii="Times New Roman" w:hAnsi="Times New Roman" w:cs="Times New Roman"/>
          <w:sz w:val="24"/>
        </w:rPr>
        <w:t xml:space="preserve">, </w:t>
      </w:r>
      <w:r w:rsidR="00385133" w:rsidRPr="00385133">
        <w:rPr>
          <w:rFonts w:ascii="Times New Roman" w:hAnsi="Times New Roman" w:cs="Times New Roman"/>
          <w:sz w:val="24"/>
        </w:rPr>
        <w:t>Alessandra S. Henn</w:t>
      </w:r>
      <w:r w:rsidR="00385133">
        <w:rPr>
          <w:rFonts w:ascii="Times New Roman" w:hAnsi="Times New Roman" w:cs="Times New Roman"/>
          <w:sz w:val="24"/>
          <w:vertAlign w:val="superscript"/>
        </w:rPr>
        <w:t>3</w:t>
      </w:r>
      <w:r w:rsidR="00385133">
        <w:rPr>
          <w:rFonts w:ascii="Times New Roman" w:hAnsi="Times New Roman" w:cs="Times New Roman"/>
          <w:sz w:val="24"/>
        </w:rPr>
        <w:t xml:space="preserve">, </w:t>
      </w:r>
      <w:r w:rsidR="00385133" w:rsidRPr="00385133">
        <w:rPr>
          <w:rFonts w:ascii="Times New Roman" w:hAnsi="Times New Roman" w:cs="Times New Roman"/>
          <w:sz w:val="24"/>
        </w:rPr>
        <w:t>Marcia F. Mesko</w:t>
      </w:r>
      <w:r w:rsidR="00385133">
        <w:rPr>
          <w:rFonts w:ascii="Times New Roman" w:hAnsi="Times New Roman" w:cs="Times New Roman"/>
          <w:sz w:val="24"/>
          <w:vertAlign w:val="superscript"/>
        </w:rPr>
        <w:t>4</w:t>
      </w:r>
      <w:r w:rsidR="00385133">
        <w:rPr>
          <w:rFonts w:ascii="Times New Roman" w:hAnsi="Times New Roman" w:cs="Times New Roman"/>
          <w:sz w:val="24"/>
        </w:rPr>
        <w:t xml:space="preserve">, </w:t>
      </w:r>
      <w:r w:rsidR="00385133" w:rsidRPr="00385133">
        <w:rPr>
          <w:rFonts w:ascii="Times New Roman" w:hAnsi="Times New Roman" w:cs="Times New Roman"/>
          <w:sz w:val="24"/>
        </w:rPr>
        <w:t>Paola A. Mello</w:t>
      </w:r>
      <w:r w:rsidR="00385133">
        <w:rPr>
          <w:rFonts w:ascii="Times New Roman" w:hAnsi="Times New Roman" w:cs="Times New Roman"/>
          <w:sz w:val="24"/>
          <w:vertAlign w:val="superscript"/>
        </w:rPr>
        <w:t>3</w:t>
      </w:r>
      <w:r w:rsidR="00385133" w:rsidRPr="00385133">
        <w:rPr>
          <w:rFonts w:ascii="Times New Roman" w:hAnsi="Times New Roman" w:cs="Times New Roman"/>
          <w:sz w:val="24"/>
        </w:rPr>
        <w:t xml:space="preserve">, </w:t>
      </w:r>
      <w:r w:rsidR="00385133">
        <w:rPr>
          <w:rFonts w:ascii="Times New Roman" w:hAnsi="Times New Roman" w:cs="Times New Roman"/>
          <w:sz w:val="24"/>
        </w:rPr>
        <w:t>E</w:t>
      </w:r>
      <w:r w:rsidR="00385133" w:rsidRPr="00385133">
        <w:rPr>
          <w:rFonts w:ascii="Times New Roman" w:hAnsi="Times New Roman" w:cs="Times New Roman"/>
          <w:sz w:val="24"/>
        </w:rPr>
        <w:t>rico M. M. Flores</w:t>
      </w:r>
      <w:r w:rsidR="00385133">
        <w:rPr>
          <w:rFonts w:ascii="Times New Roman" w:hAnsi="Times New Roman" w:cs="Times New Roman"/>
          <w:sz w:val="24"/>
          <w:vertAlign w:val="superscript"/>
        </w:rPr>
        <w:t>3</w:t>
      </w:r>
    </w:p>
    <w:p w14:paraId="69C51793" w14:textId="7E025764" w:rsidR="00BB539A" w:rsidRPr="008A5085" w:rsidRDefault="00BC2FF8" w:rsidP="00CC7122">
      <w:pPr>
        <w:pStyle w:val="ListParagraph"/>
        <w:spacing w:line="360" w:lineRule="auto"/>
        <w:ind w:left="0"/>
        <w:rPr>
          <w:rFonts w:ascii="Times New Roman" w:hAnsi="Times New Roman" w:cs="Times New Roman"/>
          <w:sz w:val="24"/>
        </w:rPr>
      </w:pPr>
      <w:r w:rsidRPr="008A5085">
        <w:rPr>
          <w:rFonts w:ascii="Times New Roman" w:hAnsi="Times New Roman" w:cs="Times New Roman"/>
          <w:sz w:val="24"/>
          <w:vertAlign w:val="superscript"/>
        </w:rPr>
        <w:t>1</w:t>
      </w:r>
      <w:r w:rsidR="00BB539A" w:rsidRPr="008A5085">
        <w:rPr>
          <w:rFonts w:ascii="Times New Roman" w:hAnsi="Times New Roman" w:cs="Times New Roman"/>
          <w:sz w:val="24"/>
        </w:rPr>
        <w:t xml:space="preserve">Department of Geology </w:t>
      </w:r>
      <w:r w:rsidR="00C63800" w:rsidRPr="008A5085">
        <w:rPr>
          <w:rFonts w:ascii="Times New Roman" w:hAnsi="Times New Roman" w:cs="Times New Roman"/>
          <w:sz w:val="24"/>
        </w:rPr>
        <w:t>and</w:t>
      </w:r>
      <w:r w:rsidR="00BB539A" w:rsidRPr="008A5085">
        <w:rPr>
          <w:rFonts w:ascii="Times New Roman" w:hAnsi="Times New Roman" w:cs="Times New Roman"/>
          <w:sz w:val="24"/>
        </w:rPr>
        <w:t xml:space="preserve"> Petroleum Geology, Meston Building, University of Aberdeen, King’s College, Aberdeen, AB24 3UE, UK </w:t>
      </w:r>
    </w:p>
    <w:p w14:paraId="492653FE" w14:textId="47C0E9B1" w:rsidR="00BB539A" w:rsidRPr="008A5085" w:rsidRDefault="00BC2FF8" w:rsidP="00CC7122">
      <w:pPr>
        <w:pStyle w:val="ListParagraph"/>
        <w:spacing w:line="360" w:lineRule="auto"/>
        <w:ind w:left="0"/>
        <w:rPr>
          <w:rFonts w:ascii="Times New Roman" w:hAnsi="Times New Roman" w:cs="Times New Roman"/>
          <w:sz w:val="24"/>
        </w:rPr>
      </w:pPr>
      <w:r w:rsidRPr="008A5085">
        <w:rPr>
          <w:rFonts w:ascii="Times New Roman" w:hAnsi="Times New Roman" w:cs="Times New Roman"/>
          <w:sz w:val="24"/>
          <w:vertAlign w:val="superscript"/>
        </w:rPr>
        <w:t>2</w:t>
      </w:r>
      <w:r w:rsidR="00BB539A" w:rsidRPr="008A5085">
        <w:rPr>
          <w:rFonts w:ascii="Times New Roman" w:hAnsi="Times New Roman" w:cs="Times New Roman"/>
          <w:sz w:val="24"/>
        </w:rPr>
        <w:t xml:space="preserve">Trace Element Speciation Laboratory (TESLA), Department of Chemistry, University of Aberdeen, </w:t>
      </w:r>
      <w:r w:rsidR="00C63800" w:rsidRPr="008A5085">
        <w:rPr>
          <w:rFonts w:ascii="Times New Roman" w:hAnsi="Times New Roman" w:cs="Times New Roman"/>
          <w:sz w:val="24"/>
        </w:rPr>
        <w:t xml:space="preserve">King’s College, Aberdeen, AB24 3UE, </w:t>
      </w:r>
      <w:r w:rsidR="00BB539A" w:rsidRPr="008A5085">
        <w:rPr>
          <w:rFonts w:ascii="Times New Roman" w:hAnsi="Times New Roman" w:cs="Times New Roman"/>
          <w:sz w:val="24"/>
        </w:rPr>
        <w:t xml:space="preserve">UK </w:t>
      </w:r>
    </w:p>
    <w:p w14:paraId="5E711F33" w14:textId="0E9B46E2" w:rsidR="00BB539A" w:rsidRPr="008A5085" w:rsidRDefault="00BC2FF8" w:rsidP="00CC7122">
      <w:pPr>
        <w:pStyle w:val="ListParagraph"/>
        <w:spacing w:line="360" w:lineRule="auto"/>
        <w:ind w:left="0"/>
        <w:rPr>
          <w:rFonts w:ascii="Times New Roman" w:hAnsi="Times New Roman" w:cs="Times New Roman"/>
          <w:sz w:val="24"/>
        </w:rPr>
      </w:pPr>
      <w:r w:rsidRPr="008A5085">
        <w:rPr>
          <w:rFonts w:ascii="Times New Roman" w:hAnsi="Times New Roman" w:cs="Times New Roman"/>
          <w:sz w:val="24"/>
          <w:vertAlign w:val="superscript"/>
        </w:rPr>
        <w:t>3</w:t>
      </w:r>
      <w:r w:rsidR="00BB539A" w:rsidRPr="008A5085">
        <w:rPr>
          <w:rFonts w:ascii="Times New Roman" w:hAnsi="Times New Roman" w:cs="Times New Roman"/>
          <w:sz w:val="24"/>
        </w:rPr>
        <w:t>Departamento de Química, Universidade Federal de Santa Maria, 97105-900, Santa Maria, RS, Brazil</w:t>
      </w:r>
    </w:p>
    <w:p w14:paraId="34C6BEE5" w14:textId="57789D75" w:rsidR="00BB539A" w:rsidRPr="008A5085" w:rsidRDefault="00BC2FF8" w:rsidP="00CC7122">
      <w:pPr>
        <w:spacing w:line="360" w:lineRule="auto"/>
        <w:rPr>
          <w:rFonts w:ascii="Times New Roman" w:hAnsi="Times New Roman" w:cs="Times New Roman"/>
          <w:sz w:val="24"/>
        </w:rPr>
      </w:pPr>
      <w:r w:rsidRPr="008A5085">
        <w:rPr>
          <w:rFonts w:ascii="Times New Roman" w:hAnsi="Times New Roman" w:cs="Times New Roman"/>
          <w:sz w:val="24"/>
          <w:vertAlign w:val="superscript"/>
        </w:rPr>
        <w:t xml:space="preserve">4 </w:t>
      </w:r>
      <w:r w:rsidR="00BB539A" w:rsidRPr="008A5085">
        <w:rPr>
          <w:rFonts w:ascii="Times New Roman" w:hAnsi="Times New Roman" w:cs="Times New Roman"/>
          <w:sz w:val="24"/>
        </w:rPr>
        <w:t>Centro de Ciências Químicas, Farmacêuticas e de Alimentos, Universidade Federal de Pelotas, 96010-610, Pelotas, RS, Brazil</w:t>
      </w:r>
    </w:p>
    <w:p w14:paraId="36A2BAB7" w14:textId="1301F804" w:rsidR="00BC2FF8" w:rsidRPr="008A5085" w:rsidRDefault="00BB539A" w:rsidP="004B1A8C">
      <w:pPr>
        <w:spacing w:line="360" w:lineRule="auto"/>
        <w:jc w:val="both"/>
        <w:outlineLvl w:val="0"/>
        <w:rPr>
          <w:rFonts w:ascii="Times New Roman" w:hAnsi="Times New Roman" w:cs="Times New Roman"/>
          <w:sz w:val="24"/>
        </w:rPr>
      </w:pPr>
      <w:r w:rsidRPr="008A5085">
        <w:rPr>
          <w:rFonts w:ascii="Times New Roman" w:hAnsi="Times New Roman" w:cs="Times New Roman"/>
          <w:sz w:val="24"/>
        </w:rPr>
        <w:t>Correspond</w:t>
      </w:r>
      <w:r w:rsidR="00BC2FF8" w:rsidRPr="008A5085">
        <w:rPr>
          <w:rFonts w:ascii="Times New Roman" w:hAnsi="Times New Roman" w:cs="Times New Roman"/>
          <w:sz w:val="24"/>
        </w:rPr>
        <w:t>ence</w:t>
      </w:r>
    </w:p>
    <w:p w14:paraId="66B31F49" w14:textId="06FC907E" w:rsidR="00BB539A" w:rsidRDefault="00BC2FF8" w:rsidP="00CC7122">
      <w:pPr>
        <w:spacing w:line="360" w:lineRule="auto"/>
        <w:rPr>
          <w:rFonts w:ascii="Times New Roman" w:hAnsi="Times New Roman" w:cs="Times New Roman"/>
          <w:sz w:val="24"/>
        </w:rPr>
      </w:pPr>
      <w:r w:rsidRPr="008A5085">
        <w:rPr>
          <w:rFonts w:ascii="Times New Roman" w:hAnsi="Times New Roman" w:cs="Times New Roman"/>
          <w:sz w:val="24"/>
        </w:rPr>
        <w:t xml:space="preserve">Liam A. Bullock, Department of Geology and Petroleum Geology, Meston Building, University of Aberdeen, King’s College, Aberdeen, AB24 3UE, UK. </w:t>
      </w:r>
      <w:r w:rsidR="00BB539A" w:rsidRPr="008A5085">
        <w:rPr>
          <w:rFonts w:ascii="Times New Roman" w:hAnsi="Times New Roman" w:cs="Times New Roman"/>
          <w:sz w:val="24"/>
        </w:rPr>
        <w:t>Email:</w:t>
      </w:r>
      <w:r w:rsidR="008A5085">
        <w:rPr>
          <w:rFonts w:ascii="Times New Roman" w:hAnsi="Times New Roman" w:cs="Times New Roman"/>
          <w:sz w:val="24"/>
        </w:rPr>
        <w:t xml:space="preserve"> </w:t>
      </w:r>
      <w:hyperlink r:id="rId9" w:history="1">
        <w:r w:rsidR="00BB539A" w:rsidRPr="008A5085">
          <w:rPr>
            <w:rStyle w:val="Hyperlink"/>
            <w:rFonts w:ascii="Times New Roman" w:hAnsi="Times New Roman" w:cs="Times New Roman"/>
            <w:sz w:val="24"/>
          </w:rPr>
          <w:t>liam.bullock@abdn.ac.uk</w:t>
        </w:r>
      </w:hyperlink>
      <w:r w:rsidR="00BB539A">
        <w:rPr>
          <w:rFonts w:ascii="Times New Roman" w:hAnsi="Times New Roman" w:cs="Times New Roman"/>
          <w:sz w:val="24"/>
        </w:rPr>
        <w:t xml:space="preserve"> </w:t>
      </w:r>
    </w:p>
    <w:p w14:paraId="00C41BC0" w14:textId="77777777" w:rsidR="00BB539A" w:rsidRDefault="00BB539A" w:rsidP="00C63800">
      <w:pPr>
        <w:spacing w:line="360" w:lineRule="auto"/>
        <w:jc w:val="both"/>
        <w:rPr>
          <w:rFonts w:ascii="Times New Roman" w:hAnsi="Times New Roman" w:cs="Times New Roman"/>
          <w:sz w:val="24"/>
        </w:rPr>
      </w:pPr>
    </w:p>
    <w:p w14:paraId="7E693B42" w14:textId="77777777" w:rsidR="00BB539A" w:rsidRDefault="00BB539A" w:rsidP="004B1A8C">
      <w:pPr>
        <w:spacing w:line="360" w:lineRule="auto"/>
        <w:jc w:val="both"/>
        <w:outlineLvl w:val="0"/>
        <w:rPr>
          <w:rFonts w:ascii="Times New Roman" w:hAnsi="Times New Roman" w:cs="Times New Roman"/>
          <w:sz w:val="24"/>
        </w:rPr>
      </w:pPr>
      <w:r>
        <w:rPr>
          <w:rFonts w:ascii="Times New Roman" w:hAnsi="Times New Roman" w:cs="Times New Roman"/>
          <w:sz w:val="24"/>
        </w:rPr>
        <w:t>ABSTRACT</w:t>
      </w:r>
    </w:p>
    <w:p w14:paraId="508190F1" w14:textId="262C220C" w:rsidR="00BB539A" w:rsidRDefault="004B6D95" w:rsidP="00C63800">
      <w:pPr>
        <w:spacing w:line="360" w:lineRule="auto"/>
        <w:jc w:val="both"/>
        <w:rPr>
          <w:rFonts w:ascii="Times New Roman" w:hAnsi="Times New Roman" w:cs="Times New Roman"/>
          <w:sz w:val="24"/>
        </w:rPr>
      </w:pPr>
      <w:r>
        <w:rPr>
          <w:rFonts w:ascii="Times New Roman" w:hAnsi="Times New Roman" w:cs="Times New Roman"/>
          <w:sz w:val="24"/>
        </w:rPr>
        <w:t>Standard mode and c</w:t>
      </w:r>
      <w:r w:rsidR="00792949" w:rsidRPr="00792949">
        <w:rPr>
          <w:rFonts w:ascii="Times New Roman" w:hAnsi="Times New Roman" w:cs="Times New Roman"/>
          <w:sz w:val="24"/>
        </w:rPr>
        <w:t>ollision/reaction cell</w:t>
      </w:r>
      <w:r w:rsidR="00792949">
        <w:rPr>
          <w:rFonts w:ascii="Times New Roman" w:hAnsi="Times New Roman" w:cs="Times New Roman"/>
          <w:sz w:val="24"/>
        </w:rPr>
        <w:t xml:space="preserve"> </w:t>
      </w:r>
      <w:r w:rsidR="005C3871" w:rsidRPr="005C3871">
        <w:rPr>
          <w:rFonts w:ascii="Times New Roman" w:hAnsi="Times New Roman" w:cs="Times New Roman"/>
          <w:sz w:val="24"/>
        </w:rPr>
        <w:t>mass spectroscopy methods</w:t>
      </w:r>
      <w:r w:rsidR="00792949">
        <w:rPr>
          <w:rFonts w:ascii="Times New Roman" w:hAnsi="Times New Roman" w:cs="Times New Roman"/>
          <w:sz w:val="24"/>
        </w:rPr>
        <w:t xml:space="preserve"> have been utilised in order to overcome spectral interferences and provide</w:t>
      </w:r>
      <w:r w:rsidR="005C3871" w:rsidRPr="005C3871">
        <w:rPr>
          <w:rFonts w:ascii="Times New Roman" w:hAnsi="Times New Roman" w:cs="Times New Roman"/>
          <w:sz w:val="24"/>
        </w:rPr>
        <w:t xml:space="preserve"> ultra-low quantification of selenium (Se) and tellurium (Te) in British </w:t>
      </w:r>
      <w:r w:rsidR="00DD07F6">
        <w:rPr>
          <w:rFonts w:ascii="Times New Roman" w:hAnsi="Times New Roman" w:cs="Times New Roman"/>
          <w:sz w:val="24"/>
        </w:rPr>
        <w:t>coals</w:t>
      </w:r>
      <w:r w:rsidR="005C3871" w:rsidRPr="005C3871">
        <w:rPr>
          <w:rFonts w:ascii="Times New Roman" w:hAnsi="Times New Roman" w:cs="Times New Roman"/>
          <w:sz w:val="24"/>
        </w:rPr>
        <w:t xml:space="preserve"> for the first time.</w:t>
      </w:r>
      <w:r w:rsidR="004469B7">
        <w:rPr>
          <w:rFonts w:ascii="Times New Roman" w:hAnsi="Times New Roman" w:cs="Times New Roman"/>
          <w:sz w:val="24"/>
        </w:rPr>
        <w:t xml:space="preserve"> The accurate detection of Se and Te in coals is becoming increasingly important, as coals and pyrite have been identified as potentially significant trace element sources.</w:t>
      </w:r>
      <w:r w:rsidR="005C3871" w:rsidRPr="005C3871">
        <w:rPr>
          <w:rFonts w:ascii="Times New Roman" w:hAnsi="Times New Roman" w:cs="Times New Roman"/>
          <w:sz w:val="24"/>
        </w:rPr>
        <w:t xml:space="preserve"> </w:t>
      </w:r>
      <w:r w:rsidR="00C241B6">
        <w:rPr>
          <w:rFonts w:ascii="Times New Roman" w:hAnsi="Times New Roman" w:cs="Times New Roman"/>
          <w:sz w:val="24"/>
        </w:rPr>
        <w:t xml:space="preserve">The </w:t>
      </w:r>
      <w:r w:rsidR="000A0D72">
        <w:rPr>
          <w:rFonts w:ascii="Times New Roman" w:hAnsi="Times New Roman" w:cs="Times New Roman"/>
          <w:sz w:val="24"/>
        </w:rPr>
        <w:t>mean</w:t>
      </w:r>
      <w:r w:rsidR="005C3871" w:rsidRPr="005C3871">
        <w:rPr>
          <w:rFonts w:ascii="Times New Roman" w:hAnsi="Times New Roman" w:cs="Times New Roman"/>
          <w:sz w:val="24"/>
        </w:rPr>
        <w:t xml:space="preserve"> Se concentration of British coals b</w:t>
      </w:r>
      <w:r w:rsidR="0067047E">
        <w:rPr>
          <w:rFonts w:ascii="Times New Roman" w:hAnsi="Times New Roman" w:cs="Times New Roman"/>
          <w:sz w:val="24"/>
        </w:rPr>
        <w:t>ear</w:t>
      </w:r>
      <w:r w:rsidR="005C3871" w:rsidRPr="005C3871">
        <w:rPr>
          <w:rFonts w:ascii="Times New Roman" w:hAnsi="Times New Roman" w:cs="Times New Roman"/>
          <w:sz w:val="24"/>
        </w:rPr>
        <w:t xml:space="preserve"> comparison to </w:t>
      </w:r>
      <w:r w:rsidR="00C241B6">
        <w:rPr>
          <w:rFonts w:ascii="Times New Roman" w:hAnsi="Times New Roman" w:cs="Times New Roman"/>
          <w:sz w:val="24"/>
        </w:rPr>
        <w:t xml:space="preserve">that of </w:t>
      </w:r>
      <w:r w:rsidR="005C3871" w:rsidRPr="005C3871">
        <w:rPr>
          <w:rFonts w:ascii="Times New Roman" w:hAnsi="Times New Roman" w:cs="Times New Roman"/>
          <w:sz w:val="24"/>
        </w:rPr>
        <w:t xml:space="preserve">world coals, with anomalous Se content (concentrations above 4 </w:t>
      </w:r>
      <w:r w:rsidR="00CE47CA" w:rsidRPr="00CE47CA">
        <w:rPr>
          <w:rFonts w:ascii="Times New Roman" w:hAnsi="Times New Roman" w:cs="Times New Roman"/>
          <w:sz w:val="24"/>
        </w:rPr>
        <w:t>mg/kg</w:t>
      </w:r>
      <w:r w:rsidR="005C3871" w:rsidRPr="005C3871">
        <w:rPr>
          <w:rFonts w:ascii="Times New Roman" w:hAnsi="Times New Roman" w:cs="Times New Roman"/>
          <w:sz w:val="24"/>
        </w:rPr>
        <w:t>) across westerly exposures, often coinciding</w:t>
      </w:r>
      <w:r w:rsidR="00C241B6">
        <w:rPr>
          <w:rFonts w:ascii="Times New Roman" w:hAnsi="Times New Roman" w:cs="Times New Roman"/>
          <w:sz w:val="24"/>
        </w:rPr>
        <w:t xml:space="preserve"> with</w:t>
      </w:r>
      <w:r w:rsidR="005C3871" w:rsidRPr="005C3871">
        <w:rPr>
          <w:rFonts w:ascii="Times New Roman" w:hAnsi="Times New Roman" w:cs="Times New Roman"/>
          <w:sz w:val="24"/>
        </w:rPr>
        <w:t xml:space="preserve"> high sulphur (S) content and visible pyrite. New Te</w:t>
      </w:r>
      <w:r w:rsidR="000134F9">
        <w:rPr>
          <w:rFonts w:ascii="Times New Roman" w:hAnsi="Times New Roman" w:cs="Times New Roman"/>
          <w:sz w:val="24"/>
        </w:rPr>
        <w:t xml:space="preserve"> data for British coals gives a</w:t>
      </w:r>
      <w:r w:rsidR="005C3871" w:rsidRPr="005C3871">
        <w:rPr>
          <w:rFonts w:ascii="Times New Roman" w:hAnsi="Times New Roman" w:cs="Times New Roman"/>
          <w:sz w:val="24"/>
        </w:rPr>
        <w:t xml:space="preserve"> </w:t>
      </w:r>
      <w:r w:rsidR="000A0D72">
        <w:rPr>
          <w:rFonts w:ascii="Times New Roman" w:hAnsi="Times New Roman" w:cs="Times New Roman"/>
          <w:sz w:val="24"/>
        </w:rPr>
        <w:t>mean</w:t>
      </w:r>
      <w:r w:rsidR="00C241B6">
        <w:rPr>
          <w:rFonts w:ascii="Times New Roman" w:hAnsi="Times New Roman" w:cs="Times New Roman"/>
          <w:sz w:val="24"/>
        </w:rPr>
        <w:t xml:space="preserve"> concentration</w:t>
      </w:r>
      <w:r w:rsidR="005C3871" w:rsidRPr="005C3871">
        <w:rPr>
          <w:rFonts w:ascii="Times New Roman" w:hAnsi="Times New Roman" w:cs="Times New Roman"/>
          <w:sz w:val="24"/>
        </w:rPr>
        <w:t xml:space="preserve"> of 0.02 </w:t>
      </w:r>
      <w:r w:rsidR="00CE47CA" w:rsidRPr="00CE47CA">
        <w:rPr>
          <w:rFonts w:ascii="Times New Roman" w:hAnsi="Times New Roman" w:cs="Times New Roman"/>
          <w:sz w:val="24"/>
        </w:rPr>
        <w:t>mg/kg</w:t>
      </w:r>
      <w:r w:rsidR="00C241B6">
        <w:rPr>
          <w:rFonts w:ascii="Times New Roman" w:hAnsi="Times New Roman" w:cs="Times New Roman"/>
          <w:sz w:val="24"/>
        </w:rPr>
        <w:t xml:space="preserve">, with anomalous Te in Ayrshire. There is </w:t>
      </w:r>
      <w:r w:rsidR="005C3871" w:rsidRPr="005C3871">
        <w:rPr>
          <w:rFonts w:ascii="Times New Roman" w:hAnsi="Times New Roman" w:cs="Times New Roman"/>
          <w:sz w:val="24"/>
        </w:rPr>
        <w:t xml:space="preserve">a positive correlation in the Te/Se ratio across the sample set. The close relationship between Se and Te, as well as </w:t>
      </w:r>
      <w:r w:rsidR="00C241B6">
        <w:rPr>
          <w:rFonts w:ascii="Times New Roman" w:hAnsi="Times New Roman" w:cs="Times New Roman"/>
          <w:sz w:val="24"/>
        </w:rPr>
        <w:t>Se-Te</w:t>
      </w:r>
      <w:r w:rsidR="005C3871" w:rsidRPr="005C3871">
        <w:rPr>
          <w:rFonts w:ascii="Times New Roman" w:hAnsi="Times New Roman" w:cs="Times New Roman"/>
          <w:sz w:val="24"/>
        </w:rPr>
        <w:t xml:space="preserve"> with both early syngenetic and later cleat-filling</w:t>
      </w:r>
      <w:r>
        <w:rPr>
          <w:rFonts w:ascii="Times New Roman" w:hAnsi="Times New Roman" w:cs="Times New Roman"/>
          <w:sz w:val="24"/>
        </w:rPr>
        <w:t xml:space="preserve"> pyrite</w:t>
      </w:r>
      <w:r w:rsidRPr="005C3871">
        <w:rPr>
          <w:rFonts w:ascii="Times New Roman" w:hAnsi="Times New Roman" w:cs="Times New Roman"/>
          <w:sz w:val="24"/>
        </w:rPr>
        <w:t xml:space="preserve">, </w:t>
      </w:r>
      <w:r w:rsidR="00B17EB2">
        <w:rPr>
          <w:rFonts w:ascii="Times New Roman" w:hAnsi="Times New Roman" w:cs="Times New Roman"/>
          <w:sz w:val="24"/>
        </w:rPr>
        <w:t>confirms</w:t>
      </w:r>
      <w:r w:rsidR="005C3871" w:rsidRPr="005C3871">
        <w:rPr>
          <w:rFonts w:ascii="Times New Roman" w:hAnsi="Times New Roman" w:cs="Times New Roman"/>
          <w:sz w:val="24"/>
        </w:rPr>
        <w:t xml:space="preserve"> an important role for </w:t>
      </w:r>
      <w:r>
        <w:rPr>
          <w:rFonts w:ascii="Times New Roman" w:hAnsi="Times New Roman" w:cs="Times New Roman"/>
          <w:sz w:val="24"/>
        </w:rPr>
        <w:t>sulphides</w:t>
      </w:r>
      <w:r w:rsidRPr="005C3871">
        <w:rPr>
          <w:rFonts w:ascii="Times New Roman" w:hAnsi="Times New Roman" w:cs="Times New Roman"/>
          <w:sz w:val="24"/>
        </w:rPr>
        <w:t xml:space="preserve"> </w:t>
      </w:r>
      <w:r w:rsidR="005C3871" w:rsidRPr="005C3871">
        <w:rPr>
          <w:rFonts w:ascii="Times New Roman" w:hAnsi="Times New Roman" w:cs="Times New Roman"/>
          <w:sz w:val="24"/>
        </w:rPr>
        <w:t>in Se and Te sequestration in British coals.</w:t>
      </w:r>
      <w:r w:rsidR="00112465" w:rsidRPr="00112465">
        <w:t xml:space="preserve"> </w:t>
      </w:r>
      <w:r w:rsidR="00112465" w:rsidRPr="003F2C5B">
        <w:rPr>
          <w:rFonts w:ascii="Times New Roman" w:hAnsi="Times New Roman" w:cs="Times New Roman"/>
          <w:sz w:val="24"/>
        </w:rPr>
        <w:t xml:space="preserve">The high Se-Bowland Shale and/or Ordovician volcanics may have provided the trace element source British coals of similar or younger age. </w:t>
      </w:r>
      <w:r w:rsidR="004469B7" w:rsidRPr="003F2C5B">
        <w:rPr>
          <w:rFonts w:ascii="Times New Roman" w:hAnsi="Times New Roman" w:cs="Times New Roman"/>
          <w:sz w:val="24"/>
        </w:rPr>
        <w:t xml:space="preserve">Regional </w:t>
      </w:r>
      <w:r w:rsidR="004469B7" w:rsidRPr="003F2C5B">
        <w:rPr>
          <w:rFonts w:ascii="Times New Roman" w:hAnsi="Times New Roman" w:cs="Times New Roman"/>
          <w:sz w:val="24"/>
        </w:rPr>
        <w:lastRenderedPageBreak/>
        <w:t xml:space="preserve">intrusive activity (shallow tabular intrusions or more extensive plutons) </w:t>
      </w:r>
      <w:r w:rsidR="00F7078E" w:rsidRPr="003F2C5B">
        <w:rPr>
          <w:rFonts w:ascii="Times New Roman" w:hAnsi="Times New Roman" w:cs="Times New Roman"/>
          <w:sz w:val="24"/>
        </w:rPr>
        <w:t xml:space="preserve">and episodes of intense deformation </w:t>
      </w:r>
      <w:r w:rsidR="004469B7" w:rsidRPr="003F2C5B">
        <w:rPr>
          <w:rFonts w:ascii="Times New Roman" w:hAnsi="Times New Roman" w:cs="Times New Roman"/>
          <w:sz w:val="24"/>
        </w:rPr>
        <w:t xml:space="preserve">can alter the thermal maturity of coals, and may </w:t>
      </w:r>
      <w:r w:rsidR="00112465" w:rsidRPr="003F2C5B">
        <w:rPr>
          <w:rFonts w:ascii="Times New Roman" w:hAnsi="Times New Roman" w:cs="Times New Roman"/>
          <w:sz w:val="24"/>
        </w:rPr>
        <w:t xml:space="preserve">have </w:t>
      </w:r>
      <w:r w:rsidR="004469B7" w:rsidRPr="003F2C5B">
        <w:rPr>
          <w:rFonts w:ascii="Times New Roman" w:hAnsi="Times New Roman" w:cs="Times New Roman"/>
          <w:sz w:val="24"/>
        </w:rPr>
        <w:t>drive</w:t>
      </w:r>
      <w:r w:rsidR="00112465" w:rsidRPr="003F2C5B">
        <w:rPr>
          <w:rFonts w:ascii="Times New Roman" w:hAnsi="Times New Roman" w:cs="Times New Roman"/>
          <w:sz w:val="24"/>
        </w:rPr>
        <w:t>n</w:t>
      </w:r>
      <w:r w:rsidR="004469B7" w:rsidRPr="003F2C5B">
        <w:rPr>
          <w:rFonts w:ascii="Times New Roman" w:hAnsi="Times New Roman" w:cs="Times New Roman"/>
          <w:sz w:val="24"/>
        </w:rPr>
        <w:t xml:space="preserve"> the movement of trace element-rich fluids through strata, locally enriching coals in Se and Te.</w:t>
      </w:r>
    </w:p>
    <w:p w14:paraId="15A24D9D" w14:textId="5EB630F6" w:rsidR="00BB539A" w:rsidRDefault="00BB539A" w:rsidP="004B1A8C">
      <w:pPr>
        <w:spacing w:line="360" w:lineRule="auto"/>
        <w:jc w:val="both"/>
        <w:outlineLvl w:val="0"/>
        <w:rPr>
          <w:rFonts w:ascii="Times New Roman" w:hAnsi="Times New Roman" w:cs="Times New Roman"/>
          <w:sz w:val="24"/>
        </w:rPr>
      </w:pPr>
      <w:r>
        <w:rPr>
          <w:rFonts w:ascii="Times New Roman" w:hAnsi="Times New Roman" w:cs="Times New Roman"/>
          <w:sz w:val="24"/>
        </w:rPr>
        <w:t>KEYWORDS</w:t>
      </w:r>
      <w:r w:rsidRPr="00BB539A">
        <w:t xml:space="preserve"> </w:t>
      </w:r>
      <w:r w:rsidR="00BC2FF8" w:rsidRPr="004B6D95">
        <w:rPr>
          <w:rFonts w:ascii="Times New Roman" w:hAnsi="Times New Roman" w:cs="Times New Roman"/>
          <w:sz w:val="24"/>
        </w:rPr>
        <w:t>coal</w:t>
      </w:r>
      <w:r w:rsidRPr="004B6D95">
        <w:rPr>
          <w:rFonts w:ascii="Times New Roman" w:hAnsi="Times New Roman" w:cs="Times New Roman"/>
          <w:sz w:val="24"/>
        </w:rPr>
        <w:t xml:space="preserve">, </w:t>
      </w:r>
      <w:r w:rsidR="00BC2FF8" w:rsidRPr="004B6D95">
        <w:rPr>
          <w:rFonts w:ascii="Times New Roman" w:hAnsi="Times New Roman" w:cs="Times New Roman"/>
          <w:sz w:val="24"/>
        </w:rPr>
        <w:t xml:space="preserve">Coal Measures, </w:t>
      </w:r>
      <w:r w:rsidR="00B5490C">
        <w:rPr>
          <w:rFonts w:ascii="Times New Roman" w:hAnsi="Times New Roman" w:cs="Times New Roman"/>
          <w:sz w:val="24"/>
        </w:rPr>
        <w:t xml:space="preserve">Great Britain, </w:t>
      </w:r>
      <w:r w:rsidR="00BC2FF8" w:rsidRPr="004B6D95">
        <w:rPr>
          <w:rFonts w:ascii="Times New Roman" w:hAnsi="Times New Roman" w:cs="Times New Roman"/>
          <w:sz w:val="24"/>
        </w:rPr>
        <w:t xml:space="preserve">pyrite, </w:t>
      </w:r>
      <w:r w:rsidRPr="004B6D95">
        <w:rPr>
          <w:rFonts w:ascii="Times New Roman" w:hAnsi="Times New Roman" w:cs="Times New Roman"/>
          <w:sz w:val="24"/>
        </w:rPr>
        <w:t xml:space="preserve">selenium, </w:t>
      </w:r>
      <w:r w:rsidR="00BC2FF8" w:rsidRPr="004B6D95">
        <w:rPr>
          <w:rFonts w:ascii="Times New Roman" w:hAnsi="Times New Roman" w:cs="Times New Roman"/>
          <w:sz w:val="24"/>
        </w:rPr>
        <w:t xml:space="preserve">sulphur, </w:t>
      </w:r>
      <w:r w:rsidR="003F2C5B">
        <w:rPr>
          <w:rFonts w:ascii="Times New Roman" w:hAnsi="Times New Roman" w:cs="Times New Roman"/>
          <w:sz w:val="24"/>
        </w:rPr>
        <w:t>tellurium</w:t>
      </w:r>
      <w:r w:rsidR="00BC2FF8" w:rsidRPr="004B6D95">
        <w:rPr>
          <w:rFonts w:ascii="Times New Roman" w:hAnsi="Times New Roman" w:cs="Times New Roman"/>
          <w:sz w:val="24"/>
        </w:rPr>
        <w:t xml:space="preserve"> </w:t>
      </w:r>
    </w:p>
    <w:p w14:paraId="0E882E45" w14:textId="77777777" w:rsidR="00BB539A" w:rsidRDefault="00BB539A" w:rsidP="00C63800">
      <w:pPr>
        <w:spacing w:line="360" w:lineRule="auto"/>
        <w:jc w:val="both"/>
        <w:rPr>
          <w:rFonts w:ascii="Times New Roman" w:hAnsi="Times New Roman" w:cs="Times New Roman"/>
          <w:sz w:val="24"/>
        </w:rPr>
      </w:pPr>
    </w:p>
    <w:p w14:paraId="1963C351" w14:textId="77777777" w:rsidR="00BB539A" w:rsidRPr="00CC7122" w:rsidRDefault="00BB539A" w:rsidP="004B1A8C">
      <w:pPr>
        <w:spacing w:line="360" w:lineRule="auto"/>
        <w:jc w:val="both"/>
        <w:outlineLvl w:val="0"/>
        <w:rPr>
          <w:rFonts w:ascii="Times New Roman" w:hAnsi="Times New Roman" w:cs="Times New Roman"/>
          <w:b/>
          <w:sz w:val="24"/>
        </w:rPr>
      </w:pPr>
      <w:r w:rsidRPr="004B6D95">
        <w:rPr>
          <w:rFonts w:ascii="Times New Roman" w:hAnsi="Times New Roman" w:cs="Times New Roman"/>
          <w:b/>
          <w:sz w:val="24"/>
        </w:rPr>
        <w:t>1 INTRODUCTION</w:t>
      </w:r>
    </w:p>
    <w:p w14:paraId="76657EC4" w14:textId="77777777" w:rsidR="00BC2FF8" w:rsidRDefault="00BC2FF8" w:rsidP="00C63800">
      <w:pPr>
        <w:spacing w:line="360" w:lineRule="auto"/>
        <w:jc w:val="both"/>
        <w:rPr>
          <w:rFonts w:ascii="Times New Roman" w:hAnsi="Times New Roman" w:cs="Times New Roman"/>
          <w:sz w:val="24"/>
        </w:rPr>
      </w:pPr>
    </w:p>
    <w:p w14:paraId="2348C163" w14:textId="44717618" w:rsidR="00BB539A" w:rsidRPr="00BB539A" w:rsidRDefault="00BB539A" w:rsidP="00C63800">
      <w:pPr>
        <w:spacing w:line="360" w:lineRule="auto"/>
        <w:jc w:val="both"/>
        <w:rPr>
          <w:rFonts w:ascii="Times New Roman" w:hAnsi="Times New Roman" w:cs="Times New Roman"/>
          <w:sz w:val="24"/>
        </w:rPr>
      </w:pPr>
      <w:r w:rsidRPr="00BB539A">
        <w:rPr>
          <w:rFonts w:ascii="Times New Roman" w:hAnsi="Times New Roman" w:cs="Times New Roman"/>
          <w:sz w:val="24"/>
        </w:rPr>
        <w:t xml:space="preserve">Previous research has detailed the relative abundance of trace elements in coal </w:t>
      </w:r>
      <w:r w:rsidRPr="004B6D95">
        <w:rPr>
          <w:rFonts w:ascii="Times New Roman" w:hAnsi="Times New Roman" w:cs="Times New Roman"/>
          <w:sz w:val="24"/>
        </w:rPr>
        <w:t>(</w:t>
      </w:r>
      <w:bookmarkStart w:id="1" w:name="_Hlk510009391"/>
      <w:r w:rsidR="004B6D95" w:rsidRPr="004B6D95">
        <w:rPr>
          <w:rFonts w:ascii="Times New Roman" w:hAnsi="Times New Roman" w:cs="Times New Roman"/>
          <w:sz w:val="24"/>
        </w:rPr>
        <w:t>Cravotta, 2008a, b; Dale, 2006; Davidson, 1996; Finkelman et al., 1981; Liu et al., 2006a, b; Pazand, 2015; Spears, 2015; Spears &amp; Zheng, 1999</w:t>
      </w:r>
      <w:bookmarkEnd w:id="1"/>
      <w:r w:rsidRPr="00BB539A">
        <w:rPr>
          <w:rFonts w:ascii="Times New Roman" w:hAnsi="Times New Roman" w:cs="Times New Roman"/>
          <w:sz w:val="24"/>
        </w:rPr>
        <w:t>)</w:t>
      </w:r>
      <w:r w:rsidR="00B17EB2">
        <w:rPr>
          <w:rFonts w:ascii="Times New Roman" w:hAnsi="Times New Roman" w:cs="Times New Roman"/>
          <w:sz w:val="24"/>
        </w:rPr>
        <w:t>.</w:t>
      </w:r>
      <w:r w:rsidRPr="00BB539A">
        <w:rPr>
          <w:rFonts w:ascii="Times New Roman" w:hAnsi="Times New Roman" w:cs="Times New Roman"/>
          <w:sz w:val="24"/>
        </w:rPr>
        <w:t xml:space="preserve"> </w:t>
      </w:r>
      <w:r w:rsidR="00B17EB2">
        <w:rPr>
          <w:rFonts w:ascii="Times New Roman" w:hAnsi="Times New Roman" w:cs="Times New Roman"/>
          <w:sz w:val="24"/>
        </w:rPr>
        <w:t>However</w:t>
      </w:r>
      <w:r w:rsidRPr="00BB539A">
        <w:rPr>
          <w:rFonts w:ascii="Times New Roman" w:hAnsi="Times New Roman" w:cs="Times New Roman"/>
          <w:sz w:val="24"/>
        </w:rPr>
        <w:t xml:space="preserve">, due to analytical limitations, a complete understanding of </w:t>
      </w:r>
      <w:r>
        <w:rPr>
          <w:rFonts w:ascii="Times New Roman" w:hAnsi="Times New Roman" w:cs="Times New Roman"/>
          <w:sz w:val="24"/>
        </w:rPr>
        <w:t>selenium (</w:t>
      </w:r>
      <w:r w:rsidRPr="00BB539A">
        <w:rPr>
          <w:rFonts w:ascii="Times New Roman" w:hAnsi="Times New Roman" w:cs="Times New Roman"/>
          <w:sz w:val="24"/>
        </w:rPr>
        <w:t>Se</w:t>
      </w:r>
      <w:r>
        <w:rPr>
          <w:rFonts w:ascii="Times New Roman" w:hAnsi="Times New Roman" w:cs="Times New Roman"/>
          <w:sz w:val="24"/>
        </w:rPr>
        <w:t>)</w:t>
      </w:r>
      <w:r w:rsidRPr="00BB539A">
        <w:rPr>
          <w:rFonts w:ascii="Times New Roman" w:hAnsi="Times New Roman" w:cs="Times New Roman"/>
          <w:sz w:val="24"/>
        </w:rPr>
        <w:t xml:space="preserve"> and</w:t>
      </w:r>
      <w:r>
        <w:rPr>
          <w:rFonts w:ascii="Times New Roman" w:hAnsi="Times New Roman" w:cs="Times New Roman"/>
          <w:sz w:val="24"/>
        </w:rPr>
        <w:t xml:space="preserve"> tellurium</w:t>
      </w:r>
      <w:r w:rsidRPr="00BB539A">
        <w:rPr>
          <w:rFonts w:ascii="Times New Roman" w:hAnsi="Times New Roman" w:cs="Times New Roman"/>
          <w:sz w:val="24"/>
        </w:rPr>
        <w:t xml:space="preserve"> </w:t>
      </w:r>
      <w:r>
        <w:rPr>
          <w:rFonts w:ascii="Times New Roman" w:hAnsi="Times New Roman" w:cs="Times New Roman"/>
          <w:sz w:val="24"/>
        </w:rPr>
        <w:t>(</w:t>
      </w:r>
      <w:r w:rsidRPr="00BB539A">
        <w:rPr>
          <w:rFonts w:ascii="Times New Roman" w:hAnsi="Times New Roman" w:cs="Times New Roman"/>
          <w:sz w:val="24"/>
        </w:rPr>
        <w:t>Te</w:t>
      </w:r>
      <w:r>
        <w:rPr>
          <w:rFonts w:ascii="Times New Roman" w:hAnsi="Times New Roman" w:cs="Times New Roman"/>
          <w:sz w:val="24"/>
        </w:rPr>
        <w:t>)</w:t>
      </w:r>
      <w:r w:rsidRPr="00BB539A">
        <w:rPr>
          <w:rFonts w:ascii="Times New Roman" w:hAnsi="Times New Roman" w:cs="Times New Roman"/>
          <w:sz w:val="24"/>
        </w:rPr>
        <w:t xml:space="preserve"> in </w:t>
      </w:r>
      <w:r>
        <w:rPr>
          <w:rFonts w:ascii="Times New Roman" w:hAnsi="Times New Roman" w:cs="Times New Roman"/>
          <w:sz w:val="24"/>
        </w:rPr>
        <w:t>British</w:t>
      </w:r>
      <w:r w:rsidRPr="00BB539A">
        <w:rPr>
          <w:rFonts w:ascii="Times New Roman" w:hAnsi="Times New Roman" w:cs="Times New Roman"/>
          <w:sz w:val="24"/>
        </w:rPr>
        <w:t xml:space="preserve"> coals is lacking. </w:t>
      </w:r>
      <w:r w:rsidR="002A7F4F">
        <w:rPr>
          <w:rFonts w:ascii="Times New Roman" w:hAnsi="Times New Roman" w:cs="Times New Roman"/>
          <w:sz w:val="24"/>
        </w:rPr>
        <w:t>Because of its low abundance, a</w:t>
      </w:r>
      <w:r w:rsidR="00656728" w:rsidRPr="00656728">
        <w:rPr>
          <w:rFonts w:ascii="Times New Roman" w:hAnsi="Times New Roman" w:cs="Times New Roman"/>
          <w:sz w:val="24"/>
        </w:rPr>
        <w:t>vailable data for Te in coals worldwide is particularly scarce</w:t>
      </w:r>
      <w:r w:rsidR="00656728">
        <w:rPr>
          <w:rFonts w:ascii="Times New Roman" w:hAnsi="Times New Roman" w:cs="Times New Roman"/>
          <w:sz w:val="24"/>
        </w:rPr>
        <w:t>.</w:t>
      </w:r>
      <w:r w:rsidR="00656728" w:rsidRPr="00656728">
        <w:rPr>
          <w:rFonts w:ascii="Times New Roman" w:hAnsi="Times New Roman" w:cs="Times New Roman"/>
          <w:sz w:val="24"/>
        </w:rPr>
        <w:t xml:space="preserve"> </w:t>
      </w:r>
      <w:r w:rsidRPr="00BB539A">
        <w:rPr>
          <w:rFonts w:ascii="Times New Roman" w:hAnsi="Times New Roman" w:cs="Times New Roman"/>
          <w:sz w:val="24"/>
        </w:rPr>
        <w:t xml:space="preserve">The global trend in environmental awareness and need for low carbon energy sources has led to an increasing interest in </w:t>
      </w:r>
      <w:r>
        <w:rPr>
          <w:rFonts w:ascii="Times New Roman" w:hAnsi="Times New Roman" w:cs="Times New Roman"/>
          <w:sz w:val="24"/>
        </w:rPr>
        <w:t>‘strategic elements’ such as Se</w:t>
      </w:r>
      <w:r w:rsidRPr="00BB539A">
        <w:rPr>
          <w:rFonts w:ascii="Times New Roman" w:hAnsi="Times New Roman" w:cs="Times New Roman"/>
          <w:sz w:val="24"/>
        </w:rPr>
        <w:t xml:space="preserve"> and </w:t>
      </w:r>
      <w:r>
        <w:rPr>
          <w:rFonts w:ascii="Times New Roman" w:hAnsi="Times New Roman" w:cs="Times New Roman"/>
          <w:sz w:val="24"/>
        </w:rPr>
        <w:t>T</w:t>
      </w:r>
      <w:r w:rsidRPr="00BB539A">
        <w:rPr>
          <w:rFonts w:ascii="Times New Roman" w:hAnsi="Times New Roman" w:cs="Times New Roman"/>
          <w:sz w:val="24"/>
        </w:rPr>
        <w:t>e</w:t>
      </w:r>
      <w:r w:rsidR="00662208">
        <w:rPr>
          <w:rFonts w:ascii="Times New Roman" w:hAnsi="Times New Roman" w:cs="Times New Roman"/>
          <w:sz w:val="24"/>
        </w:rPr>
        <w:t>. These elements are</w:t>
      </w:r>
      <w:r w:rsidRPr="00BB539A">
        <w:rPr>
          <w:rFonts w:ascii="Times New Roman" w:hAnsi="Times New Roman" w:cs="Times New Roman"/>
          <w:sz w:val="24"/>
        </w:rPr>
        <w:t xml:space="preserve"> essential </w:t>
      </w:r>
      <w:r w:rsidR="00662208">
        <w:rPr>
          <w:rFonts w:ascii="Times New Roman" w:hAnsi="Times New Roman" w:cs="Times New Roman"/>
          <w:sz w:val="24"/>
        </w:rPr>
        <w:t>for</w:t>
      </w:r>
      <w:r w:rsidRPr="00BB539A">
        <w:rPr>
          <w:rFonts w:ascii="Times New Roman" w:hAnsi="Times New Roman" w:cs="Times New Roman"/>
          <w:sz w:val="24"/>
        </w:rPr>
        <w:t xml:space="preserve"> future green energy technologies</w:t>
      </w:r>
      <w:r w:rsidR="00662208" w:rsidRPr="00662208">
        <w:rPr>
          <w:rFonts w:ascii="Times New Roman" w:hAnsi="Times New Roman" w:cs="Times New Roman"/>
          <w:sz w:val="24"/>
        </w:rPr>
        <w:t xml:space="preserve"> </w:t>
      </w:r>
      <w:r w:rsidR="00662208" w:rsidRPr="00BB539A">
        <w:rPr>
          <w:rFonts w:ascii="Times New Roman" w:hAnsi="Times New Roman" w:cs="Times New Roman"/>
          <w:sz w:val="24"/>
        </w:rPr>
        <w:t>due to the</w:t>
      </w:r>
      <w:r w:rsidR="00662208">
        <w:rPr>
          <w:rFonts w:ascii="Times New Roman" w:hAnsi="Times New Roman" w:cs="Times New Roman"/>
          <w:sz w:val="24"/>
        </w:rPr>
        <w:t>ir</w:t>
      </w:r>
      <w:r w:rsidR="00662208" w:rsidRPr="00BB539A">
        <w:rPr>
          <w:rFonts w:ascii="Times New Roman" w:hAnsi="Times New Roman" w:cs="Times New Roman"/>
          <w:sz w:val="24"/>
        </w:rPr>
        <w:t xml:space="preserve"> associated photovoltaic and photoconductive properties</w:t>
      </w:r>
      <w:r w:rsidRPr="00BB539A">
        <w:rPr>
          <w:rFonts w:ascii="Times New Roman" w:hAnsi="Times New Roman" w:cs="Times New Roman"/>
          <w:sz w:val="24"/>
        </w:rPr>
        <w:t xml:space="preserve"> (</w:t>
      </w:r>
      <w:bookmarkStart w:id="2" w:name="_Hlk510009574"/>
      <w:r w:rsidR="004B6D95" w:rsidRPr="004B6D95">
        <w:rPr>
          <w:rFonts w:ascii="Times New Roman" w:hAnsi="Times New Roman" w:cs="Times New Roman"/>
          <w:sz w:val="24"/>
        </w:rPr>
        <w:t>Ayres &amp; Talens Peiró, 2013; Lusty &amp; Gunn, 2014; STDA, 2013; Talens Peiró et al., 2011; Woodhouse et al., 2013</w:t>
      </w:r>
      <w:bookmarkEnd w:id="2"/>
      <w:r w:rsidRPr="00BB539A">
        <w:rPr>
          <w:rFonts w:ascii="Times New Roman" w:hAnsi="Times New Roman" w:cs="Times New Roman"/>
          <w:sz w:val="24"/>
        </w:rPr>
        <w:t>).</w:t>
      </w:r>
      <w:r w:rsidR="004B6D95">
        <w:rPr>
          <w:rFonts w:ascii="Times New Roman" w:hAnsi="Times New Roman" w:cs="Times New Roman"/>
          <w:sz w:val="24"/>
        </w:rPr>
        <w:t xml:space="preserve"> </w:t>
      </w:r>
      <w:r w:rsidR="007F6852">
        <w:rPr>
          <w:rFonts w:ascii="Times New Roman" w:hAnsi="Times New Roman" w:cs="Times New Roman"/>
          <w:sz w:val="24"/>
        </w:rPr>
        <w:t>C</w:t>
      </w:r>
      <w:r w:rsidR="007F6852" w:rsidRPr="007F6852">
        <w:rPr>
          <w:rFonts w:ascii="Times New Roman" w:hAnsi="Times New Roman" w:cs="Times New Roman"/>
          <w:sz w:val="24"/>
        </w:rPr>
        <w:t>oal has been specifically identified as a promising source for future prospects (</w:t>
      </w:r>
      <w:r w:rsidR="0048290F">
        <w:rPr>
          <w:rFonts w:ascii="Times New Roman" w:hAnsi="Times New Roman" w:cs="Times New Roman"/>
          <w:sz w:val="24"/>
        </w:rPr>
        <w:t>Bullock et al.</w:t>
      </w:r>
      <w:r w:rsidR="002937F2">
        <w:rPr>
          <w:rFonts w:ascii="Times New Roman" w:hAnsi="Times New Roman" w:cs="Times New Roman"/>
          <w:sz w:val="24"/>
        </w:rPr>
        <w:t>,</w:t>
      </w:r>
      <w:r w:rsidR="0048290F">
        <w:rPr>
          <w:rFonts w:ascii="Times New Roman" w:hAnsi="Times New Roman" w:cs="Times New Roman"/>
          <w:sz w:val="24"/>
        </w:rPr>
        <w:t xml:space="preserve"> 2017, 2018; </w:t>
      </w:r>
      <w:r w:rsidR="00991B4A" w:rsidRPr="007F6852">
        <w:rPr>
          <w:rFonts w:ascii="Times New Roman" w:hAnsi="Times New Roman" w:cs="Times New Roman"/>
          <w:sz w:val="24"/>
        </w:rPr>
        <w:t>Dai and Finkelman, 2018</w:t>
      </w:r>
      <w:r w:rsidR="00991B4A">
        <w:rPr>
          <w:rFonts w:ascii="Times New Roman" w:hAnsi="Times New Roman" w:cs="Times New Roman"/>
          <w:sz w:val="24"/>
        </w:rPr>
        <w:t xml:space="preserve">; </w:t>
      </w:r>
      <w:r w:rsidR="007F6852" w:rsidRPr="007F6852">
        <w:rPr>
          <w:rFonts w:ascii="Times New Roman" w:hAnsi="Times New Roman" w:cs="Times New Roman"/>
          <w:sz w:val="24"/>
        </w:rPr>
        <w:t>UKERC, 2012)</w:t>
      </w:r>
      <w:r w:rsidR="007F6852">
        <w:rPr>
          <w:rFonts w:ascii="Times New Roman" w:hAnsi="Times New Roman" w:cs="Times New Roman"/>
          <w:sz w:val="24"/>
        </w:rPr>
        <w:t>, and</w:t>
      </w:r>
      <w:r w:rsidR="007F6852" w:rsidRPr="007F6852">
        <w:rPr>
          <w:rFonts w:ascii="Times New Roman" w:hAnsi="Times New Roman" w:cs="Times New Roman"/>
          <w:sz w:val="24"/>
        </w:rPr>
        <w:t xml:space="preserve"> </w:t>
      </w:r>
      <w:r w:rsidR="007F6852">
        <w:rPr>
          <w:rFonts w:ascii="Times New Roman" w:hAnsi="Times New Roman" w:cs="Times New Roman"/>
          <w:sz w:val="24"/>
        </w:rPr>
        <w:t>p</w:t>
      </w:r>
      <w:r w:rsidR="007F6852" w:rsidRPr="007F6852">
        <w:rPr>
          <w:rFonts w:ascii="Times New Roman" w:hAnsi="Times New Roman" w:cs="Times New Roman"/>
          <w:sz w:val="24"/>
        </w:rPr>
        <w:t xml:space="preserve">yrite has been noted as a potential source of economic interest for Se (Keith et al., 2017). </w:t>
      </w:r>
      <w:r w:rsidR="00662208">
        <w:rPr>
          <w:rFonts w:ascii="Times New Roman" w:hAnsi="Times New Roman" w:cs="Times New Roman"/>
          <w:sz w:val="24"/>
        </w:rPr>
        <w:t>Both Se and Te</w:t>
      </w:r>
      <w:r w:rsidRPr="00BB539A">
        <w:rPr>
          <w:rFonts w:ascii="Times New Roman" w:hAnsi="Times New Roman" w:cs="Times New Roman"/>
          <w:sz w:val="24"/>
        </w:rPr>
        <w:t xml:space="preserve"> occur in low abundances in the Earth’s crust (Se = 0.05–0.09 mg</w:t>
      </w:r>
      <w:r w:rsidR="00544362">
        <w:rPr>
          <w:rFonts w:ascii="Times New Roman" w:hAnsi="Times New Roman" w:cs="Times New Roman"/>
          <w:sz w:val="24"/>
        </w:rPr>
        <w:t>/</w:t>
      </w:r>
      <w:r w:rsidRPr="00BB539A">
        <w:rPr>
          <w:rFonts w:ascii="Times New Roman" w:hAnsi="Times New Roman" w:cs="Times New Roman"/>
          <w:sz w:val="24"/>
        </w:rPr>
        <w:t xml:space="preserve">kg; Te = </w:t>
      </w:r>
      <w:r w:rsidR="00544362">
        <w:rPr>
          <w:rFonts w:ascii="Times New Roman" w:hAnsi="Times New Roman" w:cs="Times New Roman"/>
          <w:sz w:val="24"/>
        </w:rPr>
        <w:t>0.00</w:t>
      </w:r>
      <w:r w:rsidRPr="00BB539A">
        <w:rPr>
          <w:rFonts w:ascii="Times New Roman" w:hAnsi="Times New Roman" w:cs="Times New Roman"/>
          <w:sz w:val="24"/>
        </w:rPr>
        <w:t xml:space="preserve">2 </w:t>
      </w:r>
      <w:r w:rsidR="00544362">
        <w:rPr>
          <w:rFonts w:ascii="Times New Roman" w:hAnsi="Times New Roman" w:cs="Times New Roman"/>
          <w:sz w:val="24"/>
        </w:rPr>
        <w:t>m</w:t>
      </w:r>
      <w:r w:rsidR="00544362" w:rsidRPr="00BB539A">
        <w:rPr>
          <w:rFonts w:ascii="Times New Roman" w:hAnsi="Times New Roman" w:cs="Times New Roman"/>
          <w:sz w:val="24"/>
        </w:rPr>
        <w:t>g</w:t>
      </w:r>
      <w:r w:rsidR="00544362">
        <w:rPr>
          <w:rFonts w:ascii="Times New Roman" w:hAnsi="Times New Roman" w:cs="Times New Roman"/>
          <w:sz w:val="24"/>
        </w:rPr>
        <w:t>/</w:t>
      </w:r>
      <w:r w:rsidRPr="00BB539A">
        <w:rPr>
          <w:rFonts w:ascii="Times New Roman" w:hAnsi="Times New Roman" w:cs="Times New Roman"/>
          <w:sz w:val="24"/>
        </w:rPr>
        <w:t xml:space="preserve">kg; Rudnick </w:t>
      </w:r>
      <w:r w:rsidR="004B1A8C" w:rsidRPr="004B6D95">
        <w:rPr>
          <w:rFonts w:ascii="Times New Roman" w:hAnsi="Times New Roman" w:cs="Times New Roman"/>
          <w:sz w:val="24"/>
        </w:rPr>
        <w:t>&amp;</w:t>
      </w:r>
      <w:r w:rsidR="004B1A8C" w:rsidRPr="00BB539A">
        <w:rPr>
          <w:rFonts w:ascii="Times New Roman" w:hAnsi="Times New Roman" w:cs="Times New Roman"/>
          <w:sz w:val="24"/>
        </w:rPr>
        <w:t xml:space="preserve"> </w:t>
      </w:r>
      <w:r w:rsidRPr="00BB539A">
        <w:rPr>
          <w:rFonts w:ascii="Times New Roman" w:hAnsi="Times New Roman" w:cs="Times New Roman"/>
          <w:sz w:val="24"/>
        </w:rPr>
        <w:t xml:space="preserve">Gao, 2003), but are known to be concentrated in specific geological and environmental </w:t>
      </w:r>
      <w:r w:rsidR="004B6D95" w:rsidRPr="00BB539A">
        <w:rPr>
          <w:rFonts w:ascii="Times New Roman" w:hAnsi="Times New Roman" w:cs="Times New Roman"/>
          <w:sz w:val="24"/>
        </w:rPr>
        <w:t>reservoirs and</w:t>
      </w:r>
      <w:r w:rsidRPr="00BB539A">
        <w:rPr>
          <w:rFonts w:ascii="Times New Roman" w:hAnsi="Times New Roman" w:cs="Times New Roman"/>
          <w:sz w:val="24"/>
        </w:rPr>
        <w:t xml:space="preserve"> may be associated with mining activities and reserves</w:t>
      </w:r>
      <w:r w:rsidR="00A649A4">
        <w:rPr>
          <w:rFonts w:ascii="Times New Roman" w:hAnsi="Times New Roman" w:cs="Times New Roman"/>
          <w:sz w:val="24"/>
        </w:rPr>
        <w:t xml:space="preserve"> (</w:t>
      </w:r>
      <w:r w:rsidR="00A649A4" w:rsidRPr="00A649A4">
        <w:rPr>
          <w:rFonts w:ascii="Times New Roman" w:hAnsi="Times New Roman" w:cs="Times New Roman"/>
          <w:sz w:val="24"/>
        </w:rPr>
        <w:t>UKERC, 2012</w:t>
      </w:r>
      <w:r w:rsidR="00A649A4">
        <w:rPr>
          <w:rFonts w:ascii="Times New Roman" w:hAnsi="Times New Roman" w:cs="Times New Roman"/>
          <w:sz w:val="24"/>
        </w:rPr>
        <w:t>)</w:t>
      </w:r>
      <w:r w:rsidRPr="00BB539A">
        <w:rPr>
          <w:rFonts w:ascii="Times New Roman" w:hAnsi="Times New Roman" w:cs="Times New Roman"/>
          <w:sz w:val="24"/>
        </w:rPr>
        <w:t xml:space="preserve">. </w:t>
      </w:r>
      <w:r w:rsidR="00B17EB2">
        <w:rPr>
          <w:rFonts w:ascii="Times New Roman" w:hAnsi="Times New Roman" w:cs="Times New Roman"/>
          <w:sz w:val="24"/>
        </w:rPr>
        <w:t>These elements</w:t>
      </w:r>
      <w:r w:rsidRPr="00BB539A">
        <w:rPr>
          <w:rFonts w:ascii="Times New Roman" w:hAnsi="Times New Roman" w:cs="Times New Roman"/>
          <w:sz w:val="24"/>
        </w:rPr>
        <w:t xml:space="preserve"> </w:t>
      </w:r>
      <w:r w:rsidR="00B17EB2">
        <w:rPr>
          <w:rFonts w:ascii="Times New Roman" w:hAnsi="Times New Roman" w:cs="Times New Roman"/>
          <w:sz w:val="24"/>
        </w:rPr>
        <w:t>may also concentrate in</w:t>
      </w:r>
      <w:r w:rsidRPr="00BB539A">
        <w:rPr>
          <w:rFonts w:ascii="Times New Roman" w:hAnsi="Times New Roman" w:cs="Times New Roman"/>
          <w:sz w:val="24"/>
        </w:rPr>
        <w:t xml:space="preserve"> high concentrations in organic-rich sedim</w:t>
      </w:r>
      <w:r w:rsidR="00C241B6">
        <w:rPr>
          <w:rFonts w:ascii="Times New Roman" w:hAnsi="Times New Roman" w:cs="Times New Roman"/>
          <w:sz w:val="24"/>
        </w:rPr>
        <w:t>ents, such as coal (in raw form</w:t>
      </w:r>
      <w:r w:rsidRPr="00BB539A">
        <w:rPr>
          <w:rFonts w:ascii="Times New Roman" w:hAnsi="Times New Roman" w:cs="Times New Roman"/>
          <w:sz w:val="24"/>
        </w:rPr>
        <w:t xml:space="preserve"> and as coal ash following combustion</w:t>
      </w:r>
      <w:r w:rsidR="00662208">
        <w:rPr>
          <w:rFonts w:ascii="Times New Roman" w:hAnsi="Times New Roman" w:cs="Times New Roman"/>
          <w:sz w:val="24"/>
        </w:rPr>
        <w:t>)</w:t>
      </w:r>
      <w:r>
        <w:rPr>
          <w:rFonts w:ascii="Times New Roman" w:hAnsi="Times New Roman" w:cs="Times New Roman"/>
          <w:sz w:val="24"/>
        </w:rPr>
        <w:t xml:space="preserve">. </w:t>
      </w:r>
      <w:r w:rsidRPr="00BB539A">
        <w:rPr>
          <w:rFonts w:ascii="Times New Roman" w:hAnsi="Times New Roman" w:cs="Times New Roman"/>
          <w:sz w:val="24"/>
        </w:rPr>
        <w:t>An evaluation of concentrations and controls on Se and Te occurrence in coal is important for understanding resource potential a</w:t>
      </w:r>
      <w:r w:rsidR="00B17EB2">
        <w:rPr>
          <w:rFonts w:ascii="Times New Roman" w:hAnsi="Times New Roman" w:cs="Times New Roman"/>
          <w:sz w:val="24"/>
        </w:rPr>
        <w:t>nd</w:t>
      </w:r>
      <w:r w:rsidRPr="00BB539A">
        <w:rPr>
          <w:rFonts w:ascii="Times New Roman" w:hAnsi="Times New Roman" w:cs="Times New Roman"/>
          <w:sz w:val="24"/>
        </w:rPr>
        <w:t xml:space="preserve"> well as environmental threats relating to their occurrence and processing. </w:t>
      </w:r>
    </w:p>
    <w:p w14:paraId="49388B89" w14:textId="52DBC058" w:rsidR="00656728" w:rsidRPr="00CC7122" w:rsidRDefault="00544362" w:rsidP="00CC7122">
      <w:pPr>
        <w:spacing w:line="360" w:lineRule="auto"/>
        <w:ind w:firstLine="360"/>
        <w:jc w:val="both"/>
        <w:rPr>
          <w:rFonts w:ascii="Times New Roman" w:hAnsi="Times New Roman" w:cs="Times New Roman"/>
          <w:sz w:val="24"/>
        </w:rPr>
      </w:pPr>
      <w:r>
        <w:rPr>
          <w:rFonts w:ascii="Times New Roman" w:hAnsi="Times New Roman" w:cs="Times New Roman"/>
          <w:sz w:val="24"/>
        </w:rPr>
        <w:t>The enrichment of Se and Te in coals compared to crustal abundances reflects the</w:t>
      </w:r>
      <w:r w:rsidR="00EF0CC8" w:rsidRPr="00EF0CC8">
        <w:rPr>
          <w:rFonts w:ascii="Times New Roman" w:hAnsi="Times New Roman" w:cs="Times New Roman"/>
          <w:sz w:val="24"/>
        </w:rPr>
        <w:t xml:space="preserve"> affinity of </w:t>
      </w:r>
      <w:r>
        <w:rPr>
          <w:rFonts w:ascii="Times New Roman" w:hAnsi="Times New Roman" w:cs="Times New Roman"/>
          <w:sz w:val="24"/>
        </w:rPr>
        <w:t>these</w:t>
      </w:r>
      <w:r w:rsidR="00EF0CC8" w:rsidRPr="00EF0CC8">
        <w:rPr>
          <w:rFonts w:ascii="Times New Roman" w:hAnsi="Times New Roman" w:cs="Times New Roman"/>
          <w:sz w:val="24"/>
        </w:rPr>
        <w:t xml:space="preserve"> trace elements for both organic matter and sulphur (Spears, 2015; Spears et al., 2007), and possibly for the addition of Se and Te during diagenesis (Diehl et al., 2004). Limited data also suggest that trace element contents, including Se, increase with the thermal </w:t>
      </w:r>
      <w:r w:rsidR="00EF0CC8" w:rsidRPr="00EF0CC8">
        <w:rPr>
          <w:rFonts w:ascii="Times New Roman" w:hAnsi="Times New Roman" w:cs="Times New Roman"/>
          <w:sz w:val="24"/>
        </w:rPr>
        <w:lastRenderedPageBreak/>
        <w:t>maturity of coal (Liu et al., 2006</w:t>
      </w:r>
      <w:r w:rsidR="00FA3318">
        <w:rPr>
          <w:rFonts w:ascii="Times New Roman" w:hAnsi="Times New Roman" w:cs="Times New Roman"/>
          <w:sz w:val="24"/>
        </w:rPr>
        <w:t>a</w:t>
      </w:r>
      <w:r w:rsidR="00EF0CC8" w:rsidRPr="00EF0CC8">
        <w:rPr>
          <w:rFonts w:ascii="Times New Roman" w:hAnsi="Times New Roman" w:cs="Times New Roman"/>
          <w:sz w:val="24"/>
        </w:rPr>
        <w:t>; Raask, 1985). High Se in British and Irish Carboniferous sediments has been previously identified in organic-rich black shales (</w:t>
      </w:r>
      <w:r w:rsidR="00F7078E">
        <w:rPr>
          <w:rFonts w:ascii="Times New Roman" w:hAnsi="Times New Roman" w:cs="Times New Roman"/>
          <w:sz w:val="24"/>
        </w:rPr>
        <w:t xml:space="preserve">Bowland Shale of mid-Visean age; </w:t>
      </w:r>
      <w:r w:rsidR="00EF0CC8" w:rsidRPr="00EF0CC8">
        <w:rPr>
          <w:rFonts w:ascii="Times New Roman" w:hAnsi="Times New Roman" w:cs="Times New Roman"/>
          <w:sz w:val="24"/>
        </w:rPr>
        <w:t xml:space="preserve">Parnell et al., 2016), and it was suggested that overlying Ordovician volcanics may </w:t>
      </w:r>
      <w:r w:rsidR="00112465">
        <w:rPr>
          <w:rFonts w:ascii="Times New Roman" w:hAnsi="Times New Roman" w:cs="Times New Roman"/>
          <w:sz w:val="24"/>
        </w:rPr>
        <w:t xml:space="preserve">have </w:t>
      </w:r>
      <w:r w:rsidR="00EF0CC8" w:rsidRPr="00EF0CC8">
        <w:rPr>
          <w:rFonts w:ascii="Times New Roman" w:hAnsi="Times New Roman" w:cs="Times New Roman"/>
          <w:sz w:val="24"/>
        </w:rPr>
        <w:t>provide</w:t>
      </w:r>
      <w:r w:rsidR="00112465">
        <w:rPr>
          <w:rFonts w:ascii="Times New Roman" w:hAnsi="Times New Roman" w:cs="Times New Roman"/>
          <w:sz w:val="24"/>
        </w:rPr>
        <w:t>d</w:t>
      </w:r>
      <w:r w:rsidR="00EF0CC8" w:rsidRPr="00EF0CC8">
        <w:rPr>
          <w:rFonts w:ascii="Times New Roman" w:hAnsi="Times New Roman" w:cs="Times New Roman"/>
          <w:sz w:val="24"/>
        </w:rPr>
        <w:t xml:space="preserve"> an anomalous source in the watershed.</w:t>
      </w:r>
      <w:r w:rsidR="00112465">
        <w:rPr>
          <w:rFonts w:ascii="Times New Roman" w:hAnsi="Times New Roman" w:cs="Times New Roman"/>
          <w:sz w:val="24"/>
        </w:rPr>
        <w:t xml:space="preserve"> The high Se-Bowland Shale and/or Ordovician volcanics may therefore provide a source of Se (and other trace elements such as Te) to coal strata of similar or younger age.</w:t>
      </w:r>
      <w:r w:rsidR="00EF0CC8">
        <w:rPr>
          <w:rFonts w:ascii="Times New Roman" w:hAnsi="Times New Roman" w:cs="Times New Roman"/>
          <w:sz w:val="24"/>
        </w:rPr>
        <w:t xml:space="preserve"> </w:t>
      </w:r>
      <w:r w:rsidR="00BB539A" w:rsidRPr="00BB539A">
        <w:rPr>
          <w:rFonts w:ascii="Times New Roman" w:hAnsi="Times New Roman" w:cs="Times New Roman"/>
          <w:sz w:val="24"/>
        </w:rPr>
        <w:t xml:space="preserve">Despite the extensive studies into trace elements in coal, there is still a limited understanding of the processes of preferential accumulation of Se and Te in coal, how they relate to coal properties, </w:t>
      </w:r>
      <w:r w:rsidR="00C241B6">
        <w:rPr>
          <w:rFonts w:ascii="Times New Roman" w:hAnsi="Times New Roman" w:cs="Times New Roman"/>
          <w:sz w:val="24"/>
        </w:rPr>
        <w:t xml:space="preserve">and </w:t>
      </w:r>
      <w:r w:rsidR="007F6852">
        <w:rPr>
          <w:rFonts w:ascii="Times New Roman" w:hAnsi="Times New Roman" w:cs="Times New Roman"/>
          <w:sz w:val="24"/>
        </w:rPr>
        <w:t xml:space="preserve">their spatial and stratigraphic distribution in </w:t>
      </w:r>
      <w:r w:rsidR="00991B4A">
        <w:rPr>
          <w:rFonts w:ascii="Times New Roman" w:hAnsi="Times New Roman" w:cs="Times New Roman"/>
          <w:sz w:val="24"/>
        </w:rPr>
        <w:t>British</w:t>
      </w:r>
      <w:r w:rsidR="007F6852">
        <w:rPr>
          <w:rFonts w:ascii="Times New Roman" w:hAnsi="Times New Roman" w:cs="Times New Roman"/>
          <w:sz w:val="24"/>
        </w:rPr>
        <w:t xml:space="preserve"> coalfields</w:t>
      </w:r>
      <w:r w:rsidR="00BB539A" w:rsidRPr="00BB539A">
        <w:rPr>
          <w:rFonts w:ascii="Times New Roman" w:hAnsi="Times New Roman" w:cs="Times New Roman"/>
          <w:sz w:val="24"/>
        </w:rPr>
        <w:t xml:space="preserve">. </w:t>
      </w:r>
      <w:r w:rsidR="00B17EB2">
        <w:rPr>
          <w:rFonts w:ascii="Times New Roman" w:hAnsi="Times New Roman" w:cs="Times New Roman"/>
          <w:sz w:val="24"/>
        </w:rPr>
        <w:t>D</w:t>
      </w:r>
      <w:r w:rsidR="00656728" w:rsidRPr="00656728">
        <w:rPr>
          <w:rFonts w:ascii="Times New Roman" w:hAnsi="Times New Roman" w:cs="Times New Roman"/>
          <w:sz w:val="24"/>
        </w:rPr>
        <w:t xml:space="preserve">evelopments in analytical methods for measuring Se and Te using cold plasma and collision/reaction </w:t>
      </w:r>
      <w:r w:rsidR="001807F8">
        <w:rPr>
          <w:rFonts w:ascii="Times New Roman" w:hAnsi="Times New Roman" w:cs="Times New Roman"/>
          <w:sz w:val="24"/>
        </w:rPr>
        <w:t xml:space="preserve">cell (CRC) </w:t>
      </w:r>
      <w:r w:rsidR="00656728" w:rsidRPr="00656728">
        <w:rPr>
          <w:rFonts w:ascii="Times New Roman" w:hAnsi="Times New Roman" w:cs="Times New Roman"/>
          <w:sz w:val="24"/>
        </w:rPr>
        <w:t xml:space="preserve">interface, </w:t>
      </w:r>
      <w:r w:rsidR="00B17EB2">
        <w:rPr>
          <w:rFonts w:ascii="Times New Roman" w:hAnsi="Times New Roman" w:cs="Times New Roman"/>
          <w:sz w:val="24"/>
        </w:rPr>
        <w:t>allow the</w:t>
      </w:r>
      <w:r w:rsidR="00656728" w:rsidRPr="00656728">
        <w:rPr>
          <w:rFonts w:ascii="Times New Roman" w:hAnsi="Times New Roman" w:cs="Times New Roman"/>
          <w:sz w:val="24"/>
        </w:rPr>
        <w:t xml:space="preserve"> detect</w:t>
      </w:r>
      <w:r w:rsidR="00B17EB2">
        <w:rPr>
          <w:rFonts w:ascii="Times New Roman" w:hAnsi="Times New Roman" w:cs="Times New Roman"/>
          <w:sz w:val="24"/>
        </w:rPr>
        <w:t>ion</w:t>
      </w:r>
      <w:r w:rsidR="00656728" w:rsidRPr="00656728">
        <w:rPr>
          <w:rFonts w:ascii="Times New Roman" w:hAnsi="Times New Roman" w:cs="Times New Roman"/>
          <w:sz w:val="24"/>
        </w:rPr>
        <w:t xml:space="preserve"> </w:t>
      </w:r>
      <w:r w:rsidR="00B17EB2">
        <w:rPr>
          <w:rFonts w:ascii="Times New Roman" w:hAnsi="Times New Roman" w:cs="Times New Roman"/>
          <w:sz w:val="24"/>
        </w:rPr>
        <w:t xml:space="preserve">of </w:t>
      </w:r>
      <w:r w:rsidR="00656728" w:rsidRPr="00656728">
        <w:rPr>
          <w:rFonts w:ascii="Times New Roman" w:hAnsi="Times New Roman" w:cs="Times New Roman"/>
          <w:sz w:val="24"/>
        </w:rPr>
        <w:t>Se and Te down to ultra-low levels of detection in British coals.</w:t>
      </w:r>
      <w:r w:rsidR="00656728">
        <w:rPr>
          <w:rFonts w:ascii="Times New Roman" w:hAnsi="Times New Roman" w:cs="Times New Roman"/>
          <w:sz w:val="24"/>
        </w:rPr>
        <w:t xml:space="preserve"> </w:t>
      </w:r>
      <w:r w:rsidR="00BB539A" w:rsidRPr="00BB539A">
        <w:rPr>
          <w:rFonts w:ascii="Times New Roman" w:hAnsi="Times New Roman" w:cs="Times New Roman"/>
          <w:sz w:val="24"/>
        </w:rPr>
        <w:t xml:space="preserve">This study reports new data for Carboniferous coals from across </w:t>
      </w:r>
      <w:r w:rsidR="005639B0">
        <w:rPr>
          <w:rFonts w:ascii="Times New Roman" w:hAnsi="Times New Roman" w:cs="Times New Roman"/>
          <w:sz w:val="24"/>
        </w:rPr>
        <w:t>Great Britain</w:t>
      </w:r>
      <w:r w:rsidR="006C37E8">
        <w:rPr>
          <w:rFonts w:ascii="Times New Roman" w:hAnsi="Times New Roman" w:cs="Times New Roman"/>
          <w:sz w:val="24"/>
        </w:rPr>
        <w:t xml:space="preserve"> (Fi</w:t>
      </w:r>
      <w:r w:rsidR="006C37E8" w:rsidRPr="007F6852">
        <w:rPr>
          <w:rFonts w:ascii="Times New Roman" w:hAnsi="Times New Roman" w:cs="Times New Roman"/>
          <w:sz w:val="24"/>
        </w:rPr>
        <w:t>g</w:t>
      </w:r>
      <w:r w:rsidR="004B1A8C" w:rsidRPr="007F6852">
        <w:rPr>
          <w:rFonts w:ascii="Times New Roman" w:hAnsi="Times New Roman" w:cs="Times New Roman"/>
          <w:sz w:val="24"/>
        </w:rPr>
        <w:t>ure</w:t>
      </w:r>
      <w:r w:rsidR="004B1A8C">
        <w:rPr>
          <w:rFonts w:ascii="Times New Roman" w:hAnsi="Times New Roman" w:cs="Times New Roman"/>
          <w:sz w:val="24"/>
        </w:rPr>
        <w:t xml:space="preserve"> </w:t>
      </w:r>
      <w:r w:rsidR="006C37E8">
        <w:rPr>
          <w:rFonts w:ascii="Times New Roman" w:hAnsi="Times New Roman" w:cs="Times New Roman"/>
          <w:sz w:val="24"/>
        </w:rPr>
        <w:t>1)</w:t>
      </w:r>
      <w:r w:rsidR="00BB539A" w:rsidRPr="00BB539A">
        <w:rPr>
          <w:rFonts w:ascii="Times New Roman" w:hAnsi="Times New Roman" w:cs="Times New Roman"/>
          <w:sz w:val="24"/>
        </w:rPr>
        <w:t>, and in particular:</w:t>
      </w:r>
      <w:r w:rsidR="004B1A8C">
        <w:rPr>
          <w:rFonts w:ascii="Times New Roman" w:hAnsi="Times New Roman" w:cs="Times New Roman"/>
          <w:sz w:val="24"/>
        </w:rPr>
        <w:t xml:space="preserve"> (</w:t>
      </w:r>
      <w:r w:rsidR="004B1A8C" w:rsidRPr="00991B4A">
        <w:rPr>
          <w:rFonts w:ascii="Times New Roman" w:hAnsi="Times New Roman" w:cs="Times New Roman"/>
          <w:sz w:val="24"/>
        </w:rPr>
        <w:t xml:space="preserve">i) </w:t>
      </w:r>
      <w:r w:rsidR="00BB539A" w:rsidRPr="00991B4A">
        <w:rPr>
          <w:rFonts w:ascii="Times New Roman" w:hAnsi="Times New Roman" w:cs="Times New Roman"/>
          <w:sz w:val="24"/>
        </w:rPr>
        <w:t>Establishes a database for Se and Te concentrations in a set of coals of similar stratigraphic age</w:t>
      </w:r>
      <w:r w:rsidR="004B1A8C" w:rsidRPr="00991B4A">
        <w:rPr>
          <w:rFonts w:ascii="Times New Roman" w:hAnsi="Times New Roman" w:cs="Times New Roman"/>
          <w:sz w:val="24"/>
        </w:rPr>
        <w:t xml:space="preserve">; (ii) </w:t>
      </w:r>
      <w:r w:rsidR="00BB539A" w:rsidRPr="00991B4A">
        <w:rPr>
          <w:rFonts w:ascii="Times New Roman" w:hAnsi="Times New Roman" w:cs="Times New Roman"/>
          <w:sz w:val="24"/>
        </w:rPr>
        <w:t>Assesses how variable or constant the concentrations are over a wide area</w:t>
      </w:r>
      <w:r w:rsidR="004B1A8C" w:rsidRPr="00991B4A">
        <w:rPr>
          <w:rFonts w:ascii="Times New Roman" w:hAnsi="Times New Roman" w:cs="Times New Roman"/>
          <w:sz w:val="24"/>
        </w:rPr>
        <w:t xml:space="preserve">; (iii) </w:t>
      </w:r>
      <w:r w:rsidR="00BB539A" w:rsidRPr="00991B4A">
        <w:rPr>
          <w:rFonts w:ascii="Times New Roman" w:hAnsi="Times New Roman" w:cs="Times New Roman"/>
          <w:sz w:val="24"/>
        </w:rPr>
        <w:t>Assesses any variability in the ratio of Te/Se</w:t>
      </w:r>
      <w:r w:rsidR="004B1A8C" w:rsidRPr="00991B4A">
        <w:rPr>
          <w:rFonts w:ascii="Times New Roman" w:hAnsi="Times New Roman" w:cs="Times New Roman"/>
          <w:sz w:val="24"/>
        </w:rPr>
        <w:t>; and (iv)</w:t>
      </w:r>
      <w:r w:rsidR="004B1A8C">
        <w:rPr>
          <w:rFonts w:ascii="Times New Roman" w:hAnsi="Times New Roman" w:cs="Times New Roman"/>
          <w:sz w:val="24"/>
        </w:rPr>
        <w:t xml:space="preserve"> </w:t>
      </w:r>
      <w:r w:rsidR="00BB539A" w:rsidRPr="00CC7122">
        <w:rPr>
          <w:rFonts w:ascii="Times New Roman" w:hAnsi="Times New Roman" w:cs="Times New Roman"/>
          <w:sz w:val="24"/>
        </w:rPr>
        <w:t>Assesses any relationships between concentrations of Se and Te with percentage organic carbon, percentage sulphur</w:t>
      </w:r>
      <w:r w:rsidR="00C241B6" w:rsidRPr="00CC7122">
        <w:rPr>
          <w:rFonts w:ascii="Times New Roman" w:hAnsi="Times New Roman" w:cs="Times New Roman"/>
          <w:sz w:val="24"/>
        </w:rPr>
        <w:t xml:space="preserve"> (S)</w:t>
      </w:r>
      <w:r w:rsidR="00BB539A" w:rsidRPr="00CC7122">
        <w:rPr>
          <w:rFonts w:ascii="Times New Roman" w:hAnsi="Times New Roman" w:cs="Times New Roman"/>
          <w:sz w:val="24"/>
        </w:rPr>
        <w:t xml:space="preserve"> and thermal maturity.</w:t>
      </w:r>
    </w:p>
    <w:p w14:paraId="194DDBF7" w14:textId="030ECD93" w:rsidR="005C3871" w:rsidRPr="005C3871" w:rsidRDefault="005C3871" w:rsidP="00C63800">
      <w:pPr>
        <w:spacing w:line="360" w:lineRule="auto"/>
        <w:ind w:firstLine="360"/>
        <w:jc w:val="both"/>
        <w:rPr>
          <w:rFonts w:ascii="Times New Roman" w:hAnsi="Times New Roman" w:cs="Times New Roman"/>
          <w:sz w:val="24"/>
        </w:rPr>
      </w:pPr>
      <w:r w:rsidRPr="005C3871">
        <w:rPr>
          <w:rFonts w:ascii="Times New Roman" w:hAnsi="Times New Roman" w:cs="Times New Roman"/>
          <w:sz w:val="24"/>
        </w:rPr>
        <w:t xml:space="preserve">Samples were analysed using both </w:t>
      </w:r>
      <w:r w:rsidR="00CE47CA">
        <w:rPr>
          <w:rFonts w:ascii="Times New Roman" w:hAnsi="Times New Roman" w:cs="Times New Roman"/>
          <w:sz w:val="24"/>
        </w:rPr>
        <w:t>standard mode</w:t>
      </w:r>
      <w:r w:rsidR="00CE47CA" w:rsidRPr="005C3871">
        <w:rPr>
          <w:rFonts w:ascii="Times New Roman" w:hAnsi="Times New Roman" w:cs="Times New Roman"/>
          <w:sz w:val="24"/>
        </w:rPr>
        <w:t xml:space="preserve"> </w:t>
      </w:r>
      <w:r w:rsidRPr="005C3871">
        <w:rPr>
          <w:rFonts w:ascii="Times New Roman" w:hAnsi="Times New Roman" w:cs="Times New Roman"/>
          <w:sz w:val="24"/>
        </w:rPr>
        <w:t xml:space="preserve">mass spectrometry methods and </w:t>
      </w:r>
      <w:r w:rsidR="001807F8">
        <w:rPr>
          <w:rFonts w:ascii="Times New Roman" w:hAnsi="Times New Roman" w:cs="Times New Roman"/>
          <w:sz w:val="24"/>
        </w:rPr>
        <w:t>CRC</w:t>
      </w:r>
      <w:r w:rsidRPr="005C3871">
        <w:rPr>
          <w:rFonts w:ascii="Times New Roman" w:hAnsi="Times New Roman" w:cs="Times New Roman"/>
          <w:sz w:val="24"/>
        </w:rPr>
        <w:t xml:space="preserve"> microwave-assisted wet digestion methods</w:t>
      </w:r>
      <w:r w:rsidR="001807F8">
        <w:rPr>
          <w:rFonts w:ascii="Times New Roman" w:hAnsi="Times New Roman" w:cs="Times New Roman"/>
          <w:sz w:val="24"/>
        </w:rPr>
        <w:t xml:space="preserve"> (Henn et al., 2018)</w:t>
      </w:r>
      <w:r w:rsidRPr="005C3871">
        <w:rPr>
          <w:rFonts w:ascii="Times New Roman" w:hAnsi="Times New Roman" w:cs="Times New Roman"/>
          <w:sz w:val="24"/>
        </w:rPr>
        <w:t xml:space="preserve"> for better detection of low concentrations. </w:t>
      </w:r>
    </w:p>
    <w:p w14:paraId="5AFC5A5C" w14:textId="77777777" w:rsidR="00285BAB" w:rsidRDefault="00285BAB" w:rsidP="00C63800">
      <w:pPr>
        <w:spacing w:line="360" w:lineRule="auto"/>
        <w:jc w:val="both"/>
        <w:rPr>
          <w:rFonts w:ascii="Times New Roman" w:hAnsi="Times New Roman" w:cs="Times New Roman"/>
          <w:sz w:val="24"/>
        </w:rPr>
      </w:pPr>
    </w:p>
    <w:p w14:paraId="1E236E24" w14:textId="77777777" w:rsidR="005639B0" w:rsidRDefault="005639B0" w:rsidP="004B1A8C">
      <w:pPr>
        <w:spacing w:line="360" w:lineRule="auto"/>
        <w:jc w:val="both"/>
        <w:outlineLvl w:val="0"/>
        <w:rPr>
          <w:rFonts w:ascii="Times New Roman" w:hAnsi="Times New Roman" w:cs="Times New Roman"/>
          <w:b/>
          <w:sz w:val="24"/>
        </w:rPr>
      </w:pPr>
      <w:r w:rsidRPr="00991B4A">
        <w:rPr>
          <w:rFonts w:ascii="Times New Roman" w:hAnsi="Times New Roman" w:cs="Times New Roman"/>
          <w:b/>
          <w:sz w:val="24"/>
        </w:rPr>
        <w:t>2 METHODS AND MATERIALS</w:t>
      </w:r>
    </w:p>
    <w:p w14:paraId="50451213" w14:textId="77777777" w:rsidR="005639B0" w:rsidRPr="00CC7122" w:rsidRDefault="005639B0" w:rsidP="004B1A8C">
      <w:pPr>
        <w:spacing w:line="360" w:lineRule="auto"/>
        <w:jc w:val="both"/>
        <w:outlineLvl w:val="0"/>
        <w:rPr>
          <w:rFonts w:ascii="Times New Roman" w:hAnsi="Times New Roman" w:cs="Times New Roman"/>
          <w:b/>
          <w:sz w:val="24"/>
        </w:rPr>
      </w:pPr>
      <w:r w:rsidRPr="00991B4A">
        <w:rPr>
          <w:rFonts w:ascii="Times New Roman" w:hAnsi="Times New Roman" w:cs="Times New Roman"/>
          <w:b/>
          <w:sz w:val="24"/>
        </w:rPr>
        <w:t>2.1 Sampling</w:t>
      </w:r>
      <w:r w:rsidR="00DE09FC" w:rsidRPr="00991B4A">
        <w:rPr>
          <w:rFonts w:ascii="Times New Roman" w:hAnsi="Times New Roman" w:cs="Times New Roman"/>
          <w:b/>
          <w:sz w:val="24"/>
        </w:rPr>
        <w:t xml:space="preserve"> and coal properties</w:t>
      </w:r>
    </w:p>
    <w:p w14:paraId="04D3492F" w14:textId="78A4B307" w:rsidR="005639B0" w:rsidRDefault="005639B0" w:rsidP="00C63800">
      <w:pPr>
        <w:spacing w:line="360" w:lineRule="auto"/>
        <w:jc w:val="both"/>
        <w:rPr>
          <w:rFonts w:ascii="Times New Roman" w:hAnsi="Times New Roman" w:cs="Times New Roman"/>
          <w:sz w:val="24"/>
        </w:rPr>
      </w:pPr>
      <w:r w:rsidRPr="005639B0">
        <w:rPr>
          <w:rFonts w:ascii="Times New Roman" w:hAnsi="Times New Roman" w:cs="Times New Roman"/>
          <w:sz w:val="24"/>
        </w:rPr>
        <w:t xml:space="preserve">Sample localities include exposures and collieries from </w:t>
      </w:r>
      <w:r w:rsidR="00B20CD9">
        <w:rPr>
          <w:rFonts w:ascii="Times New Roman" w:hAnsi="Times New Roman" w:cs="Times New Roman"/>
          <w:sz w:val="24"/>
        </w:rPr>
        <w:t xml:space="preserve">the </w:t>
      </w:r>
      <w:r w:rsidR="00662208">
        <w:rPr>
          <w:rFonts w:ascii="Times New Roman" w:hAnsi="Times New Roman" w:cs="Times New Roman"/>
          <w:sz w:val="24"/>
        </w:rPr>
        <w:t>coalfields</w:t>
      </w:r>
      <w:r w:rsidRPr="005639B0">
        <w:rPr>
          <w:rFonts w:ascii="Times New Roman" w:hAnsi="Times New Roman" w:cs="Times New Roman"/>
          <w:sz w:val="24"/>
        </w:rPr>
        <w:t xml:space="preserve"> </w:t>
      </w:r>
      <w:r w:rsidR="00B20CD9">
        <w:rPr>
          <w:rFonts w:ascii="Times New Roman" w:hAnsi="Times New Roman" w:cs="Times New Roman"/>
          <w:sz w:val="24"/>
        </w:rPr>
        <w:t>of North West Scotland,</w:t>
      </w:r>
      <w:r w:rsidR="00662208">
        <w:rPr>
          <w:rFonts w:ascii="Times New Roman" w:hAnsi="Times New Roman" w:cs="Times New Roman"/>
          <w:sz w:val="24"/>
        </w:rPr>
        <w:t xml:space="preserve"> across the Midland Valley of Scotland, Northern England, the Midlands, Wales</w:t>
      </w:r>
      <w:r>
        <w:rPr>
          <w:rFonts w:ascii="Times New Roman" w:hAnsi="Times New Roman" w:cs="Times New Roman"/>
          <w:sz w:val="24"/>
        </w:rPr>
        <w:t xml:space="preserve"> and </w:t>
      </w:r>
      <w:r w:rsidRPr="005639B0">
        <w:rPr>
          <w:rFonts w:ascii="Times New Roman" w:hAnsi="Times New Roman" w:cs="Times New Roman"/>
          <w:sz w:val="24"/>
        </w:rPr>
        <w:t>Ken</w:t>
      </w:r>
      <w:r>
        <w:rPr>
          <w:rFonts w:ascii="Times New Roman" w:hAnsi="Times New Roman" w:cs="Times New Roman"/>
          <w:sz w:val="24"/>
        </w:rPr>
        <w:t>t</w:t>
      </w:r>
      <w:r w:rsidR="00662208">
        <w:rPr>
          <w:rFonts w:ascii="Times New Roman" w:hAnsi="Times New Roman" w:cs="Times New Roman"/>
          <w:sz w:val="24"/>
        </w:rPr>
        <w:t xml:space="preserve"> (see Table 1 and </w:t>
      </w:r>
      <w:r w:rsidR="004B1A8C" w:rsidRPr="00991B4A">
        <w:rPr>
          <w:rFonts w:ascii="Times New Roman" w:hAnsi="Times New Roman" w:cs="Times New Roman"/>
          <w:sz w:val="24"/>
        </w:rPr>
        <w:t>Figure</w:t>
      </w:r>
      <w:r w:rsidR="00662208">
        <w:rPr>
          <w:rFonts w:ascii="Times New Roman" w:hAnsi="Times New Roman" w:cs="Times New Roman"/>
          <w:sz w:val="24"/>
        </w:rPr>
        <w:t xml:space="preserve"> 1)</w:t>
      </w:r>
      <w:r w:rsidRPr="005639B0">
        <w:rPr>
          <w:rFonts w:ascii="Times New Roman" w:hAnsi="Times New Roman" w:cs="Times New Roman"/>
          <w:sz w:val="24"/>
        </w:rPr>
        <w:t xml:space="preserve">. </w:t>
      </w:r>
      <w:r w:rsidR="005E6784">
        <w:rPr>
          <w:rFonts w:ascii="Times New Roman" w:hAnsi="Times New Roman" w:cs="Times New Roman"/>
          <w:sz w:val="24"/>
        </w:rPr>
        <w:t xml:space="preserve">In total, </w:t>
      </w:r>
      <w:r w:rsidR="00F65269">
        <w:rPr>
          <w:rFonts w:ascii="Times New Roman" w:hAnsi="Times New Roman" w:cs="Times New Roman"/>
          <w:sz w:val="24"/>
        </w:rPr>
        <w:t>44</w:t>
      </w:r>
      <w:r w:rsidR="00991B4A">
        <w:rPr>
          <w:rFonts w:ascii="Times New Roman" w:hAnsi="Times New Roman" w:cs="Times New Roman"/>
          <w:sz w:val="24"/>
        </w:rPr>
        <w:t xml:space="preserve"> </w:t>
      </w:r>
      <w:r w:rsidR="005E6784">
        <w:rPr>
          <w:rFonts w:ascii="Times New Roman" w:hAnsi="Times New Roman" w:cs="Times New Roman"/>
          <w:sz w:val="24"/>
        </w:rPr>
        <w:t>samples were analysed for Se</w:t>
      </w:r>
      <w:r w:rsidR="00991B4A">
        <w:rPr>
          <w:rFonts w:ascii="Times New Roman" w:hAnsi="Times New Roman" w:cs="Times New Roman"/>
          <w:sz w:val="24"/>
        </w:rPr>
        <w:t xml:space="preserve"> and </w:t>
      </w:r>
      <w:r w:rsidR="005E6784">
        <w:rPr>
          <w:rFonts w:ascii="Times New Roman" w:hAnsi="Times New Roman" w:cs="Times New Roman"/>
          <w:sz w:val="24"/>
        </w:rPr>
        <w:t xml:space="preserve">Te content. </w:t>
      </w:r>
      <w:r w:rsidR="00DE09FC" w:rsidRPr="00DE09FC">
        <w:rPr>
          <w:rFonts w:ascii="Times New Roman" w:hAnsi="Times New Roman" w:cs="Times New Roman"/>
          <w:sz w:val="24"/>
        </w:rPr>
        <w:t>Coal rank and thermal maturity indicator information has been compiled based on vitrinite reflectance values. Vitrinite reflectance values for British coals have been collected from a range of sources (</w:t>
      </w:r>
      <w:r w:rsidR="009E6D39">
        <w:rPr>
          <w:rFonts w:ascii="Times New Roman" w:hAnsi="Times New Roman" w:cs="Times New Roman"/>
          <w:sz w:val="24"/>
        </w:rPr>
        <w:t xml:space="preserve">Armstroff, 2004; </w:t>
      </w:r>
      <w:r w:rsidR="00991B4A" w:rsidRPr="00991B4A">
        <w:rPr>
          <w:rFonts w:ascii="Times New Roman" w:hAnsi="Times New Roman" w:cs="Times New Roman"/>
          <w:sz w:val="24"/>
        </w:rPr>
        <w:t>BCURA, 200</w:t>
      </w:r>
      <w:r w:rsidR="005264DE">
        <w:rPr>
          <w:rFonts w:ascii="Times New Roman" w:hAnsi="Times New Roman" w:cs="Times New Roman"/>
          <w:sz w:val="24"/>
        </w:rPr>
        <w:t>2</w:t>
      </w:r>
      <w:r w:rsidR="00991B4A" w:rsidRPr="00991B4A">
        <w:rPr>
          <w:rFonts w:ascii="Times New Roman" w:hAnsi="Times New Roman" w:cs="Times New Roman"/>
          <w:sz w:val="24"/>
        </w:rPr>
        <w:t>;</w:t>
      </w:r>
      <w:r w:rsidR="009E6D39">
        <w:rPr>
          <w:rFonts w:ascii="Times New Roman" w:hAnsi="Times New Roman" w:cs="Times New Roman"/>
          <w:sz w:val="24"/>
        </w:rPr>
        <w:t xml:space="preserve"> Burnett, 1987; </w:t>
      </w:r>
      <w:r w:rsidR="00991B4A" w:rsidRPr="00991B4A">
        <w:rPr>
          <w:rFonts w:ascii="Times New Roman" w:hAnsi="Times New Roman" w:cs="Times New Roman"/>
          <w:sz w:val="24"/>
        </w:rPr>
        <w:t>DECC, 2013;</w:t>
      </w:r>
      <w:r w:rsidR="009E6D39">
        <w:rPr>
          <w:rFonts w:ascii="Times New Roman" w:hAnsi="Times New Roman" w:cs="Times New Roman"/>
          <w:sz w:val="24"/>
        </w:rPr>
        <w:t xml:space="preserve"> Durucan et al., 2009</w:t>
      </w:r>
      <w:r w:rsidR="001C32BE">
        <w:rPr>
          <w:rFonts w:ascii="Times New Roman" w:hAnsi="Times New Roman" w:cs="Times New Roman"/>
          <w:sz w:val="24"/>
        </w:rPr>
        <w:t>;</w:t>
      </w:r>
      <w:r w:rsidR="00DE09FC" w:rsidRPr="00991B4A">
        <w:rPr>
          <w:rFonts w:ascii="Times New Roman" w:hAnsi="Times New Roman" w:cs="Times New Roman"/>
          <w:sz w:val="24"/>
        </w:rPr>
        <w:t xml:space="preserve"> </w:t>
      </w:r>
      <w:r w:rsidR="00991B4A" w:rsidRPr="00991B4A">
        <w:rPr>
          <w:rFonts w:ascii="Times New Roman" w:hAnsi="Times New Roman" w:cs="Times New Roman"/>
          <w:sz w:val="24"/>
        </w:rPr>
        <w:t>Parnell, 1992</w:t>
      </w:r>
      <w:r w:rsidR="009E6D39">
        <w:rPr>
          <w:rFonts w:ascii="Times New Roman" w:hAnsi="Times New Roman" w:cs="Times New Roman"/>
          <w:sz w:val="24"/>
        </w:rPr>
        <w:t>; Vincent et al., 2004</w:t>
      </w:r>
      <w:r w:rsidR="00DE09FC" w:rsidRPr="00DE09FC">
        <w:rPr>
          <w:rFonts w:ascii="Times New Roman" w:hAnsi="Times New Roman" w:cs="Times New Roman"/>
          <w:sz w:val="24"/>
        </w:rPr>
        <w:t>).</w:t>
      </w:r>
    </w:p>
    <w:p w14:paraId="38AB413A" w14:textId="77777777" w:rsidR="005639B0" w:rsidRDefault="005639B0" w:rsidP="00C63800">
      <w:pPr>
        <w:spacing w:line="360" w:lineRule="auto"/>
        <w:jc w:val="both"/>
        <w:rPr>
          <w:rFonts w:ascii="Times New Roman" w:hAnsi="Times New Roman" w:cs="Times New Roman"/>
          <w:sz w:val="24"/>
        </w:rPr>
      </w:pPr>
    </w:p>
    <w:p w14:paraId="1CF22DE8" w14:textId="77777777" w:rsidR="005639B0" w:rsidRPr="00CC7122" w:rsidRDefault="005639B0" w:rsidP="004B1A8C">
      <w:pPr>
        <w:spacing w:line="360" w:lineRule="auto"/>
        <w:jc w:val="both"/>
        <w:outlineLvl w:val="0"/>
        <w:rPr>
          <w:rFonts w:ascii="Times New Roman" w:hAnsi="Times New Roman" w:cs="Times New Roman"/>
          <w:b/>
          <w:sz w:val="24"/>
        </w:rPr>
      </w:pPr>
      <w:r w:rsidRPr="0099492E">
        <w:rPr>
          <w:rFonts w:ascii="Times New Roman" w:hAnsi="Times New Roman" w:cs="Times New Roman"/>
          <w:b/>
          <w:sz w:val="24"/>
        </w:rPr>
        <w:t>2.2 Se-Te determination</w:t>
      </w:r>
    </w:p>
    <w:p w14:paraId="11D7DCF9" w14:textId="77777777" w:rsidR="005639B0" w:rsidRPr="005639B0" w:rsidRDefault="00B20CD9" w:rsidP="00C63800">
      <w:pPr>
        <w:spacing w:line="360" w:lineRule="auto"/>
        <w:jc w:val="both"/>
        <w:rPr>
          <w:rFonts w:ascii="Times New Roman" w:hAnsi="Times New Roman" w:cs="Times New Roman"/>
          <w:sz w:val="24"/>
        </w:rPr>
      </w:pPr>
      <w:r>
        <w:rPr>
          <w:rFonts w:ascii="Times New Roman" w:hAnsi="Times New Roman" w:cs="Times New Roman"/>
          <w:sz w:val="24"/>
        </w:rPr>
        <w:t>The Se and Te content of coals was</w:t>
      </w:r>
      <w:r w:rsidR="005639B0" w:rsidRPr="005639B0">
        <w:rPr>
          <w:rFonts w:ascii="Times New Roman" w:hAnsi="Times New Roman" w:cs="Times New Roman"/>
          <w:sz w:val="24"/>
        </w:rPr>
        <w:t xml:space="preserve"> determined by two techniques:</w:t>
      </w:r>
    </w:p>
    <w:p w14:paraId="2144FF12" w14:textId="0B4714E4" w:rsidR="005639B0" w:rsidRPr="00426C2D" w:rsidRDefault="005639B0" w:rsidP="00C63800">
      <w:pPr>
        <w:spacing w:line="360" w:lineRule="auto"/>
        <w:ind w:firstLine="720"/>
        <w:jc w:val="both"/>
        <w:rPr>
          <w:rFonts w:ascii="Times New Roman" w:hAnsi="Times New Roman" w:cs="Times New Roman"/>
          <w:sz w:val="24"/>
        </w:rPr>
      </w:pPr>
      <w:r w:rsidRPr="005639B0">
        <w:rPr>
          <w:rFonts w:ascii="Times New Roman" w:hAnsi="Times New Roman" w:cs="Times New Roman"/>
          <w:sz w:val="24"/>
        </w:rPr>
        <w:t>Firstly, s</w:t>
      </w:r>
      <w:r w:rsidR="00662208">
        <w:rPr>
          <w:rFonts w:ascii="Times New Roman" w:hAnsi="Times New Roman" w:cs="Times New Roman"/>
          <w:sz w:val="24"/>
        </w:rPr>
        <w:t>elect</w:t>
      </w:r>
      <w:r w:rsidR="004B1A8C" w:rsidRPr="00991B4A">
        <w:rPr>
          <w:rFonts w:ascii="Times New Roman" w:hAnsi="Times New Roman" w:cs="Times New Roman"/>
          <w:sz w:val="24"/>
        </w:rPr>
        <w:t>ed</w:t>
      </w:r>
      <w:r w:rsidRPr="005639B0">
        <w:rPr>
          <w:rFonts w:ascii="Times New Roman" w:hAnsi="Times New Roman" w:cs="Times New Roman"/>
          <w:sz w:val="24"/>
        </w:rPr>
        <w:t xml:space="preserve"> </w:t>
      </w:r>
      <w:r w:rsidR="00B20CD9">
        <w:rPr>
          <w:rFonts w:ascii="Times New Roman" w:hAnsi="Times New Roman" w:cs="Times New Roman"/>
          <w:sz w:val="24"/>
        </w:rPr>
        <w:t xml:space="preserve">whole rock </w:t>
      </w:r>
      <w:r w:rsidRPr="005639B0">
        <w:rPr>
          <w:rFonts w:ascii="Times New Roman" w:hAnsi="Times New Roman" w:cs="Times New Roman"/>
          <w:sz w:val="24"/>
        </w:rPr>
        <w:t>samples were analysed as part of a suite of 51 elements using</w:t>
      </w:r>
      <w:r w:rsidR="00662208">
        <w:rPr>
          <w:rFonts w:ascii="Times New Roman" w:hAnsi="Times New Roman" w:cs="Times New Roman"/>
          <w:sz w:val="24"/>
        </w:rPr>
        <w:t xml:space="preserve"> </w:t>
      </w:r>
      <w:r w:rsidR="00CE47CA">
        <w:rPr>
          <w:rFonts w:ascii="Times New Roman" w:hAnsi="Times New Roman" w:cs="Times New Roman"/>
          <w:sz w:val="24"/>
        </w:rPr>
        <w:t>standard mode</w:t>
      </w:r>
      <w:r w:rsidR="00CE47CA" w:rsidRPr="005639B0">
        <w:rPr>
          <w:rFonts w:ascii="Times New Roman" w:hAnsi="Times New Roman" w:cs="Times New Roman"/>
          <w:sz w:val="24"/>
        </w:rPr>
        <w:t xml:space="preserve"> </w:t>
      </w:r>
      <w:r w:rsidRPr="005639B0">
        <w:rPr>
          <w:rFonts w:ascii="Times New Roman" w:hAnsi="Times New Roman" w:cs="Times New Roman"/>
          <w:sz w:val="24"/>
        </w:rPr>
        <w:t xml:space="preserve">aqua regia </w:t>
      </w:r>
      <w:r w:rsidR="00662208" w:rsidRPr="005639B0">
        <w:rPr>
          <w:rFonts w:ascii="Times New Roman" w:hAnsi="Times New Roman" w:cs="Times New Roman"/>
          <w:sz w:val="24"/>
        </w:rPr>
        <w:t xml:space="preserve">inductively coupled plasma-mass spectrometry </w:t>
      </w:r>
      <w:r w:rsidR="00662208">
        <w:rPr>
          <w:rFonts w:ascii="Times New Roman" w:hAnsi="Times New Roman" w:cs="Times New Roman"/>
          <w:sz w:val="24"/>
        </w:rPr>
        <w:t>(</w:t>
      </w:r>
      <w:r w:rsidRPr="005639B0">
        <w:rPr>
          <w:rFonts w:ascii="Times New Roman" w:hAnsi="Times New Roman" w:cs="Times New Roman"/>
          <w:sz w:val="24"/>
        </w:rPr>
        <w:t>ICP-MS</w:t>
      </w:r>
      <w:r w:rsidR="00662208">
        <w:rPr>
          <w:rFonts w:ascii="Times New Roman" w:hAnsi="Times New Roman" w:cs="Times New Roman"/>
          <w:sz w:val="24"/>
        </w:rPr>
        <w:t>)</w:t>
      </w:r>
      <w:r w:rsidRPr="005639B0">
        <w:rPr>
          <w:rFonts w:ascii="Times New Roman" w:hAnsi="Times New Roman" w:cs="Times New Roman"/>
          <w:sz w:val="24"/>
        </w:rPr>
        <w:t xml:space="preserve"> techniques at ALS Minerals (Loughrea</w:t>
      </w:r>
      <w:r>
        <w:rPr>
          <w:rFonts w:ascii="Times New Roman" w:hAnsi="Times New Roman" w:cs="Times New Roman"/>
          <w:sz w:val="24"/>
        </w:rPr>
        <w:t>,</w:t>
      </w:r>
      <w:r w:rsidRPr="005639B0">
        <w:rPr>
          <w:rFonts w:ascii="Times New Roman" w:hAnsi="Times New Roman" w:cs="Times New Roman"/>
          <w:sz w:val="24"/>
        </w:rPr>
        <w:t xml:space="preserve"> Ireland). Samples were milled and homogenised, and 0.25 g were digested with aqua regia in a graphite heating block. The residue was diluted with deionised water, mixed and analysed using a Varian 725 instrument (</w:t>
      </w:r>
      <w:r w:rsidR="00DE09FC" w:rsidRPr="005639B0">
        <w:rPr>
          <w:rFonts w:ascii="Times New Roman" w:hAnsi="Times New Roman" w:cs="Times New Roman"/>
          <w:sz w:val="24"/>
        </w:rPr>
        <w:t>ICP-MS</w:t>
      </w:r>
      <w:r w:rsidR="00DE09FC">
        <w:rPr>
          <w:rFonts w:ascii="Times New Roman" w:hAnsi="Times New Roman" w:cs="Times New Roman"/>
          <w:sz w:val="24"/>
        </w:rPr>
        <w:t xml:space="preserve"> m</w:t>
      </w:r>
      <w:r>
        <w:rPr>
          <w:rFonts w:ascii="Times New Roman" w:hAnsi="Times New Roman" w:cs="Times New Roman"/>
          <w:sz w:val="24"/>
        </w:rPr>
        <w:t>ethod code</w:t>
      </w:r>
      <w:r w:rsidRPr="005639B0">
        <w:rPr>
          <w:rFonts w:ascii="Times New Roman" w:hAnsi="Times New Roman" w:cs="Times New Roman"/>
          <w:sz w:val="24"/>
        </w:rPr>
        <w:t xml:space="preserve"> ME-MS41). </w:t>
      </w:r>
      <w:r w:rsidR="005D2900">
        <w:rPr>
          <w:rFonts w:ascii="Times New Roman" w:hAnsi="Times New Roman" w:cs="Times New Roman"/>
          <w:sz w:val="24"/>
        </w:rPr>
        <w:t xml:space="preserve">The </w:t>
      </w:r>
      <w:r w:rsidR="00D137B2">
        <w:rPr>
          <w:rFonts w:ascii="Times New Roman" w:hAnsi="Times New Roman" w:cs="Times New Roman"/>
          <w:sz w:val="24"/>
        </w:rPr>
        <w:t xml:space="preserve">standard mode </w:t>
      </w:r>
      <w:r w:rsidR="005D2900">
        <w:rPr>
          <w:rFonts w:ascii="Times New Roman" w:hAnsi="Times New Roman" w:cs="Times New Roman"/>
          <w:sz w:val="24"/>
        </w:rPr>
        <w:t xml:space="preserve">lower limit of detection for Se is 0.2 </w:t>
      </w:r>
      <w:r w:rsidR="00CE47CA" w:rsidRPr="00CE47CA">
        <w:rPr>
          <w:rFonts w:ascii="Times New Roman" w:hAnsi="Times New Roman" w:cs="Times New Roman"/>
          <w:sz w:val="24"/>
        </w:rPr>
        <w:t>mg/kg</w:t>
      </w:r>
      <w:r w:rsidR="005D2900">
        <w:rPr>
          <w:rFonts w:ascii="Times New Roman" w:hAnsi="Times New Roman" w:cs="Times New Roman"/>
          <w:sz w:val="24"/>
        </w:rPr>
        <w:t xml:space="preserve">, and for Te 0.01 </w:t>
      </w:r>
      <w:r w:rsidR="00CE47CA" w:rsidRPr="00CE47CA">
        <w:rPr>
          <w:rFonts w:ascii="Times New Roman" w:hAnsi="Times New Roman" w:cs="Times New Roman"/>
          <w:sz w:val="24"/>
        </w:rPr>
        <w:t>mg/kg</w:t>
      </w:r>
      <w:r w:rsidR="005D2900">
        <w:rPr>
          <w:rFonts w:ascii="Times New Roman" w:hAnsi="Times New Roman" w:cs="Times New Roman"/>
          <w:sz w:val="24"/>
        </w:rPr>
        <w:t>.</w:t>
      </w:r>
      <w:r w:rsidR="00B20CD9" w:rsidRPr="00B20CD9">
        <w:t xml:space="preserve"> </w:t>
      </w:r>
      <w:r w:rsidR="00B20CD9" w:rsidRPr="005639B0">
        <w:rPr>
          <w:rFonts w:ascii="Times New Roman" w:hAnsi="Times New Roman" w:cs="Times New Roman"/>
          <w:sz w:val="24"/>
        </w:rPr>
        <w:t xml:space="preserve">Measurement of four </w:t>
      </w:r>
      <w:r w:rsidR="00B20CD9" w:rsidRPr="00B20CD9">
        <w:rPr>
          <w:rFonts w:ascii="Times New Roman" w:hAnsi="Times New Roman" w:cs="Times New Roman"/>
          <w:sz w:val="24"/>
        </w:rPr>
        <w:t>Geologica</w:t>
      </w:r>
      <w:r w:rsidR="00B20CD9">
        <w:rPr>
          <w:rFonts w:ascii="Times New Roman" w:hAnsi="Times New Roman" w:cs="Times New Roman"/>
          <w:sz w:val="24"/>
        </w:rPr>
        <w:t>l Certified Reference Material</w:t>
      </w:r>
      <w:r w:rsidR="00B20CD9" w:rsidRPr="00B20CD9">
        <w:rPr>
          <w:rFonts w:ascii="Times New Roman" w:hAnsi="Times New Roman" w:cs="Times New Roman"/>
          <w:sz w:val="24"/>
        </w:rPr>
        <w:t xml:space="preserve"> </w:t>
      </w:r>
      <w:r w:rsidR="00CE47CA">
        <w:rPr>
          <w:rFonts w:ascii="Times New Roman" w:hAnsi="Times New Roman" w:cs="Times New Roman"/>
          <w:sz w:val="24"/>
        </w:rPr>
        <w:t xml:space="preserve">(CRM) </w:t>
      </w:r>
      <w:r w:rsidR="00B20CD9">
        <w:rPr>
          <w:rFonts w:ascii="Times New Roman" w:hAnsi="Times New Roman" w:cs="Times New Roman"/>
          <w:sz w:val="24"/>
        </w:rPr>
        <w:t>standards</w:t>
      </w:r>
      <w:r w:rsidR="00B20CD9" w:rsidRPr="00B20CD9">
        <w:rPr>
          <w:rFonts w:ascii="Times New Roman" w:hAnsi="Times New Roman" w:cs="Times New Roman"/>
          <w:sz w:val="24"/>
        </w:rPr>
        <w:t xml:space="preserve"> were within the anticipated target range (upper and lower bound) for each metal and standard. </w:t>
      </w:r>
      <w:r w:rsidR="00CE47CA">
        <w:rPr>
          <w:rFonts w:ascii="Times New Roman" w:hAnsi="Times New Roman" w:cs="Times New Roman"/>
          <w:sz w:val="24"/>
        </w:rPr>
        <w:t>The CRMs</w:t>
      </w:r>
      <w:r w:rsidR="00CE47CA" w:rsidRPr="00CE47CA">
        <w:rPr>
          <w:rFonts w:ascii="Times New Roman" w:hAnsi="Times New Roman" w:cs="Times New Roman"/>
          <w:sz w:val="24"/>
        </w:rPr>
        <w:t xml:space="preserve"> used for calibration </w:t>
      </w:r>
      <w:r w:rsidR="00CE47CA">
        <w:rPr>
          <w:rFonts w:ascii="Times New Roman" w:hAnsi="Times New Roman" w:cs="Times New Roman"/>
          <w:sz w:val="24"/>
        </w:rPr>
        <w:t>w</w:t>
      </w:r>
      <w:r w:rsidR="00CE47CA" w:rsidRPr="00CE47CA">
        <w:rPr>
          <w:rFonts w:ascii="Times New Roman" w:hAnsi="Times New Roman" w:cs="Times New Roman"/>
          <w:sz w:val="24"/>
        </w:rPr>
        <w:t>e</w:t>
      </w:r>
      <w:r w:rsidR="00CE47CA">
        <w:rPr>
          <w:rFonts w:ascii="Times New Roman" w:hAnsi="Times New Roman" w:cs="Times New Roman"/>
          <w:sz w:val="24"/>
        </w:rPr>
        <w:t>re</w:t>
      </w:r>
      <w:r w:rsidR="00CE47CA" w:rsidRPr="00CE47CA">
        <w:rPr>
          <w:rFonts w:ascii="Times New Roman" w:hAnsi="Times New Roman" w:cs="Times New Roman"/>
          <w:sz w:val="24"/>
        </w:rPr>
        <w:t xml:space="preserve"> MRGeo08 (mid-range multi-element CRM), GBM908-10 (base metal CRM), OREAS-122 and OGGeo08 (ore grade multi-element CRMs). </w:t>
      </w:r>
      <w:r w:rsidR="00B20CD9" w:rsidRPr="00B20CD9">
        <w:rPr>
          <w:rFonts w:ascii="Times New Roman" w:hAnsi="Times New Roman" w:cs="Times New Roman"/>
          <w:sz w:val="24"/>
        </w:rPr>
        <w:t xml:space="preserve">Duplicate </w:t>
      </w:r>
      <w:r w:rsidR="00D137B2" w:rsidRPr="00B20CD9">
        <w:rPr>
          <w:rFonts w:ascii="Times New Roman" w:hAnsi="Times New Roman" w:cs="Times New Roman"/>
          <w:sz w:val="24"/>
        </w:rPr>
        <w:t>analys</w:t>
      </w:r>
      <w:r w:rsidR="00D137B2">
        <w:rPr>
          <w:rFonts w:ascii="Times New Roman" w:hAnsi="Times New Roman" w:cs="Times New Roman"/>
          <w:sz w:val="24"/>
        </w:rPr>
        <w:t>e</w:t>
      </w:r>
      <w:r w:rsidR="00D137B2" w:rsidRPr="00B20CD9">
        <w:rPr>
          <w:rFonts w:ascii="Times New Roman" w:hAnsi="Times New Roman" w:cs="Times New Roman"/>
          <w:sz w:val="24"/>
        </w:rPr>
        <w:t xml:space="preserve">s </w:t>
      </w:r>
      <w:r w:rsidR="00B20CD9" w:rsidRPr="00B20CD9">
        <w:rPr>
          <w:rFonts w:ascii="Times New Roman" w:hAnsi="Times New Roman" w:cs="Times New Roman"/>
          <w:sz w:val="24"/>
        </w:rPr>
        <w:t xml:space="preserve">of </w:t>
      </w:r>
      <w:r w:rsidR="00D137B2">
        <w:rPr>
          <w:rFonts w:ascii="Times New Roman" w:hAnsi="Times New Roman" w:cs="Times New Roman"/>
          <w:sz w:val="24"/>
        </w:rPr>
        <w:t>two</w:t>
      </w:r>
      <w:r w:rsidR="00D137B2" w:rsidRPr="00B20CD9">
        <w:rPr>
          <w:rFonts w:ascii="Times New Roman" w:hAnsi="Times New Roman" w:cs="Times New Roman"/>
          <w:sz w:val="24"/>
        </w:rPr>
        <w:t xml:space="preserve"> </w:t>
      </w:r>
      <w:r w:rsidR="00B20CD9" w:rsidRPr="00B20CD9">
        <w:rPr>
          <w:rFonts w:ascii="Times New Roman" w:hAnsi="Times New Roman" w:cs="Times New Roman"/>
          <w:sz w:val="24"/>
        </w:rPr>
        <w:t>sample</w:t>
      </w:r>
      <w:r w:rsidR="00D137B2">
        <w:rPr>
          <w:rFonts w:ascii="Times New Roman" w:hAnsi="Times New Roman" w:cs="Times New Roman"/>
          <w:sz w:val="24"/>
        </w:rPr>
        <w:t>s</w:t>
      </w:r>
      <w:r w:rsidR="00B20CD9" w:rsidRPr="00B20CD9">
        <w:rPr>
          <w:rFonts w:ascii="Times New Roman" w:hAnsi="Times New Roman" w:cs="Times New Roman"/>
          <w:sz w:val="24"/>
        </w:rPr>
        <w:t xml:space="preserve"> produced reported values within the acceptable range fo</w:t>
      </w:r>
      <w:r w:rsidR="000A0D72">
        <w:rPr>
          <w:rFonts w:ascii="Times New Roman" w:hAnsi="Times New Roman" w:cs="Times New Roman"/>
          <w:sz w:val="24"/>
        </w:rPr>
        <w:t>r laboratory duplicates, with a</w:t>
      </w:r>
      <w:r w:rsidR="00B20CD9" w:rsidRPr="00B20CD9">
        <w:rPr>
          <w:rFonts w:ascii="Times New Roman" w:hAnsi="Times New Roman" w:cs="Times New Roman"/>
          <w:sz w:val="24"/>
        </w:rPr>
        <w:t xml:space="preserve"> </w:t>
      </w:r>
      <w:r w:rsidR="000A0D72">
        <w:rPr>
          <w:rFonts w:ascii="Times New Roman" w:hAnsi="Times New Roman" w:cs="Times New Roman"/>
          <w:sz w:val="24"/>
        </w:rPr>
        <w:t>mean</w:t>
      </w:r>
      <w:r w:rsidR="00B20CD9" w:rsidRPr="00B20CD9">
        <w:rPr>
          <w:rFonts w:ascii="Times New Roman" w:hAnsi="Times New Roman" w:cs="Times New Roman"/>
          <w:sz w:val="24"/>
        </w:rPr>
        <w:t xml:space="preserve"> rel</w:t>
      </w:r>
      <w:r w:rsidR="00B20CD9">
        <w:rPr>
          <w:rFonts w:ascii="Times New Roman" w:hAnsi="Times New Roman" w:cs="Times New Roman"/>
          <w:sz w:val="24"/>
        </w:rPr>
        <w:t>ative percent difference of 4%.</w:t>
      </w:r>
      <w:r w:rsidR="00B20CD9" w:rsidRPr="00B20CD9">
        <w:rPr>
          <w:rFonts w:ascii="Times New Roman" w:hAnsi="Times New Roman" w:cs="Times New Roman"/>
          <w:sz w:val="24"/>
        </w:rPr>
        <w:t xml:space="preserve"> </w:t>
      </w:r>
      <w:r w:rsidR="00B20CD9" w:rsidRPr="005639B0">
        <w:rPr>
          <w:rFonts w:ascii="Times New Roman" w:hAnsi="Times New Roman" w:cs="Times New Roman"/>
          <w:sz w:val="24"/>
        </w:rPr>
        <w:t>Duplicate analyses include</w:t>
      </w:r>
      <w:r w:rsidR="00D137B2">
        <w:rPr>
          <w:rFonts w:ascii="Times New Roman" w:hAnsi="Times New Roman" w:cs="Times New Roman"/>
          <w:sz w:val="24"/>
        </w:rPr>
        <w:t>d</w:t>
      </w:r>
      <w:r w:rsidR="00B20CD9" w:rsidRPr="005639B0">
        <w:rPr>
          <w:rFonts w:ascii="Times New Roman" w:hAnsi="Times New Roman" w:cs="Times New Roman"/>
          <w:sz w:val="24"/>
        </w:rPr>
        <w:t xml:space="preserve"> samples </w:t>
      </w:r>
      <w:r w:rsidR="00B20CD9" w:rsidRPr="00426C2D">
        <w:rPr>
          <w:rFonts w:ascii="Times New Roman" w:hAnsi="Times New Roman" w:cs="Times New Roman"/>
          <w:sz w:val="24"/>
        </w:rPr>
        <w:t>processed through the entire analytical procedure.</w:t>
      </w:r>
    </w:p>
    <w:p w14:paraId="62FDB46D" w14:textId="02EA2631" w:rsidR="0051327F" w:rsidRPr="00426C2D" w:rsidRDefault="0051327F" w:rsidP="00E80F7D">
      <w:pPr>
        <w:pStyle w:val="NoSpacing"/>
        <w:spacing w:line="360" w:lineRule="auto"/>
        <w:ind w:firstLine="708"/>
        <w:jc w:val="both"/>
        <w:rPr>
          <w:rFonts w:ascii="Times New Roman" w:hAnsi="Times New Roman"/>
          <w:sz w:val="24"/>
          <w:szCs w:val="24"/>
          <w:lang w:val="en-US"/>
        </w:rPr>
      </w:pPr>
      <w:r w:rsidRPr="00426C2D">
        <w:rPr>
          <w:rFonts w:ascii="Times New Roman" w:hAnsi="Times New Roman"/>
          <w:sz w:val="24"/>
          <w:szCs w:val="24"/>
          <w:lang w:val="en-US"/>
        </w:rPr>
        <w:t>Secondly, selected samples were digested by microwave assisted wet digestion (MAWD) and Se and Te determined by ICP-MS. Samples were ground using a cryogenic mill, with 2 minutes of pre-cooling time followed by 3 minutes of grinding. Cryogenic milling was used to minimi</w:t>
      </w:r>
      <w:r w:rsidR="00E80F7D" w:rsidRPr="00426C2D">
        <w:rPr>
          <w:rFonts w:ascii="Times New Roman" w:hAnsi="Times New Roman"/>
          <w:sz w:val="24"/>
          <w:szCs w:val="24"/>
          <w:lang w:val="en-US"/>
        </w:rPr>
        <w:t>s</w:t>
      </w:r>
      <w:r w:rsidRPr="00426C2D">
        <w:rPr>
          <w:rFonts w:ascii="Times New Roman" w:hAnsi="Times New Roman"/>
          <w:sz w:val="24"/>
          <w:szCs w:val="24"/>
          <w:lang w:val="en-US"/>
        </w:rPr>
        <w:t xml:space="preserve">e the risks of contamination </w:t>
      </w:r>
      <w:r w:rsidR="00E80F7D" w:rsidRPr="00426C2D">
        <w:rPr>
          <w:rFonts w:ascii="Times New Roman" w:hAnsi="Times New Roman"/>
          <w:sz w:val="24"/>
          <w:szCs w:val="24"/>
          <w:shd w:val="clear" w:color="auto" w:fill="FFFFFF"/>
          <w:lang w:val="en-US"/>
        </w:rPr>
        <w:t>as</w:t>
      </w:r>
      <w:r w:rsidRPr="00426C2D">
        <w:rPr>
          <w:rFonts w:ascii="Times New Roman" w:hAnsi="Times New Roman"/>
          <w:sz w:val="24"/>
          <w:szCs w:val="24"/>
          <w:shd w:val="clear" w:color="auto" w:fill="FFFFFF"/>
          <w:lang w:val="en-US"/>
        </w:rPr>
        <w:t xml:space="preserve"> it is performed in closed environment (avoiding contamination by the atmosphere of laboratory)</w:t>
      </w:r>
      <w:r w:rsidR="00E80F7D" w:rsidRPr="00426C2D">
        <w:rPr>
          <w:rFonts w:ascii="Times New Roman" w:hAnsi="Times New Roman"/>
          <w:sz w:val="24"/>
          <w:szCs w:val="24"/>
          <w:shd w:val="clear" w:color="auto" w:fill="FFFFFF"/>
          <w:lang w:val="en-US"/>
        </w:rPr>
        <w:t>,</w:t>
      </w:r>
      <w:r w:rsidRPr="00426C2D">
        <w:rPr>
          <w:rFonts w:ascii="Times New Roman" w:hAnsi="Times New Roman"/>
          <w:sz w:val="24"/>
          <w:szCs w:val="24"/>
          <w:shd w:val="clear" w:color="auto" w:fill="FFFFFF"/>
          <w:lang w:val="en-US"/>
        </w:rPr>
        <w:t xml:space="preserve"> and provides a very fine particle size in a relatively short time</w:t>
      </w:r>
      <w:r w:rsidRPr="00426C2D">
        <w:rPr>
          <w:rFonts w:ascii="Times New Roman" w:hAnsi="Times New Roman"/>
          <w:sz w:val="24"/>
          <w:szCs w:val="24"/>
          <w:lang w:val="en-US"/>
        </w:rPr>
        <w:t xml:space="preserve">, important for the anticipated low levels of Se and Te in the coal sample set. Samples were oven dried at 105ºC for 2 hours before use. </w:t>
      </w:r>
      <w:r w:rsidR="00E80F7D" w:rsidRPr="00426C2D">
        <w:rPr>
          <w:rFonts w:ascii="Times New Roman" w:hAnsi="Times New Roman"/>
          <w:sz w:val="24"/>
          <w:szCs w:val="24"/>
          <w:lang w:val="en-US"/>
        </w:rPr>
        <w:t>The microwave-induced combustion method for coal analysis is comprehensively detailed by Flores et al. (2008).</w:t>
      </w:r>
    </w:p>
    <w:p w14:paraId="39FF9DB4" w14:textId="106BE116" w:rsidR="0051327F" w:rsidRPr="00426C2D" w:rsidRDefault="0051327F" w:rsidP="00E80F7D">
      <w:pPr>
        <w:pStyle w:val="NoSpacing"/>
        <w:spacing w:line="360" w:lineRule="auto"/>
        <w:ind w:firstLine="708"/>
        <w:jc w:val="both"/>
        <w:rPr>
          <w:rFonts w:ascii="Times New Roman" w:hAnsi="Times New Roman"/>
          <w:sz w:val="24"/>
          <w:szCs w:val="24"/>
          <w:lang w:val="en-US"/>
        </w:rPr>
      </w:pPr>
      <w:r w:rsidRPr="00426C2D">
        <w:rPr>
          <w:rFonts w:ascii="Times New Roman" w:hAnsi="Times New Roman"/>
          <w:sz w:val="24"/>
          <w:szCs w:val="24"/>
          <w:lang w:val="en-US"/>
        </w:rPr>
        <w:t>Coal was digested by MAWD using a microwave oven (Multiwave 3000</w:t>
      </w:r>
      <w:r w:rsidRPr="00426C2D">
        <w:rPr>
          <w:rFonts w:ascii="Times New Roman" w:hAnsi="Times New Roman"/>
          <w:sz w:val="24"/>
          <w:szCs w:val="24"/>
          <w:vertAlign w:val="superscript"/>
          <w:lang w:val="en-US"/>
        </w:rPr>
        <w:t>®</w:t>
      </w:r>
      <w:r w:rsidRPr="00426C2D">
        <w:rPr>
          <w:rFonts w:ascii="Times New Roman" w:hAnsi="Times New Roman"/>
          <w:sz w:val="24"/>
          <w:szCs w:val="24"/>
          <w:lang w:val="en-US"/>
        </w:rPr>
        <w:t>, Microwave Sample Preparation System, Anton Paar, Graz, Austria, software version v1.27-Synt) equipped with up to sixteen PTFE vessels with 100 mL of internal volume and maximum operational temperature and pressure of 220</w:t>
      </w:r>
      <w:r w:rsidR="000134F9" w:rsidRPr="00426C2D">
        <w:rPr>
          <w:rFonts w:ascii="Times New Roman" w:hAnsi="Times New Roman"/>
          <w:sz w:val="24"/>
          <w:szCs w:val="24"/>
          <w:lang w:val="en-US"/>
        </w:rPr>
        <w:t>ºC</w:t>
      </w:r>
      <w:r w:rsidRPr="00426C2D">
        <w:rPr>
          <w:rFonts w:ascii="Times New Roman" w:hAnsi="Times New Roman"/>
          <w:sz w:val="24"/>
          <w:szCs w:val="24"/>
          <w:lang w:val="en-US"/>
        </w:rPr>
        <w:t xml:space="preserve"> and 40 bar, respectively. Experiments were carried out using 250 mg of sample (diluted to 25 mL). These operating conditions were used to select suitable dilutions prior to Se and Te determination to avoid C interferences. </w:t>
      </w:r>
    </w:p>
    <w:p w14:paraId="1E51CFA5" w14:textId="095B7140" w:rsidR="0051327F" w:rsidRPr="00426C2D" w:rsidRDefault="0051327F" w:rsidP="00E80F7D">
      <w:pPr>
        <w:pStyle w:val="NoSpacing"/>
        <w:spacing w:line="360" w:lineRule="auto"/>
        <w:ind w:firstLine="708"/>
        <w:jc w:val="both"/>
        <w:rPr>
          <w:rFonts w:ascii="Times New Roman" w:hAnsi="Times New Roman"/>
          <w:sz w:val="24"/>
          <w:szCs w:val="24"/>
          <w:lang w:val="en-US"/>
        </w:rPr>
      </w:pPr>
      <w:r w:rsidRPr="00426C2D">
        <w:rPr>
          <w:rFonts w:ascii="Times New Roman" w:hAnsi="Times New Roman"/>
          <w:sz w:val="24"/>
          <w:szCs w:val="24"/>
          <w:lang w:val="en-US"/>
        </w:rPr>
        <w:t>Hydrofluoric acid (40%) was used without previous purification for digestion by MAWD. Water was purified using a Milli-Q system, and used to prepare all standard solutions and reagents. Concentrated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(65%) was distillated in a sub-boiling system for MAWD and preparation of reference solutions. Reference solutions of Se and Te (0.01 to 10 µg L</w:t>
      </w:r>
      <w:r w:rsidRPr="00426C2D">
        <w:rPr>
          <w:rFonts w:ascii="Times New Roman" w:hAnsi="Times New Roman"/>
          <w:sz w:val="24"/>
          <w:szCs w:val="24"/>
          <w:vertAlign w:val="superscript"/>
          <w:lang w:val="en-US"/>
        </w:rPr>
        <w:t>-1</w:t>
      </w:r>
      <w:r w:rsidRPr="00426C2D">
        <w:rPr>
          <w:rFonts w:ascii="Times New Roman" w:hAnsi="Times New Roman"/>
          <w:sz w:val="24"/>
          <w:szCs w:val="24"/>
          <w:lang w:val="en-US"/>
        </w:rPr>
        <w:t>) were prepared by sequential dilution of a stock solution (1000 mg L</w:t>
      </w:r>
      <w:r w:rsidRPr="00426C2D">
        <w:rPr>
          <w:rFonts w:ascii="Times New Roman" w:hAnsi="Times New Roman"/>
          <w:sz w:val="24"/>
          <w:szCs w:val="24"/>
          <w:vertAlign w:val="superscript"/>
          <w:lang w:val="en-US"/>
        </w:rPr>
        <w:t>-1</w:t>
      </w:r>
      <w:r w:rsidRPr="00426C2D">
        <w:rPr>
          <w:rFonts w:ascii="Times New Roman" w:hAnsi="Times New Roman"/>
          <w:sz w:val="24"/>
          <w:szCs w:val="24"/>
          <w:lang w:val="en-US"/>
        </w:rPr>
        <w:t>) in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Argon (99.998%) was used for plasma generation, nebulisation and as auxiliary gas and hydrogen (99.999%) was used in the CRC. </w:t>
      </w:r>
    </w:p>
    <w:p w14:paraId="4397AAD5" w14:textId="4A833FF9" w:rsidR="0051327F" w:rsidRPr="00426C2D" w:rsidRDefault="0051327F" w:rsidP="00E80F7D">
      <w:pPr>
        <w:pStyle w:val="NoSpacing"/>
        <w:spacing w:line="360" w:lineRule="auto"/>
        <w:ind w:firstLine="708"/>
        <w:jc w:val="both"/>
        <w:rPr>
          <w:rFonts w:ascii="Times New Roman" w:hAnsi="Times New Roman"/>
          <w:b/>
          <w:sz w:val="24"/>
          <w:szCs w:val="24"/>
          <w:lang w:val="en-US"/>
        </w:rPr>
      </w:pPr>
      <w:r w:rsidRPr="00426C2D">
        <w:rPr>
          <w:rFonts w:ascii="Times New Roman" w:hAnsi="Times New Roman"/>
          <w:sz w:val="24"/>
          <w:szCs w:val="24"/>
          <w:lang w:val="en-US"/>
        </w:rPr>
        <w:t>In order to evaluate the MAWD method, select samples were digested by MAWD using three digestion solutions: i) 4 mL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+ 1 mL HCl + 1 mL HF, ii) 4 mL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+ 1 mL H</w:t>
      </w:r>
      <w:r w:rsidRPr="00426C2D">
        <w:rPr>
          <w:rFonts w:ascii="Times New Roman" w:hAnsi="Times New Roman"/>
          <w:sz w:val="24"/>
          <w:szCs w:val="24"/>
          <w:vertAlign w:val="subscript"/>
          <w:lang w:val="en-US"/>
        </w:rPr>
        <w:t>2</w:t>
      </w:r>
      <w:r w:rsidRPr="00426C2D">
        <w:rPr>
          <w:rFonts w:ascii="Times New Roman" w:hAnsi="Times New Roman"/>
          <w:sz w:val="24"/>
          <w:szCs w:val="24"/>
          <w:lang w:val="en-US"/>
        </w:rPr>
        <w:t>O</w:t>
      </w:r>
      <w:r w:rsidRPr="00426C2D">
        <w:rPr>
          <w:rFonts w:ascii="Times New Roman" w:hAnsi="Times New Roman"/>
          <w:sz w:val="24"/>
          <w:szCs w:val="24"/>
          <w:vertAlign w:val="subscript"/>
          <w:lang w:val="en-US"/>
        </w:rPr>
        <w:t>2</w:t>
      </w:r>
      <w:r w:rsidRPr="00426C2D">
        <w:rPr>
          <w:rFonts w:ascii="Times New Roman" w:hAnsi="Times New Roman"/>
          <w:sz w:val="24"/>
          <w:szCs w:val="24"/>
          <w:lang w:val="en-US"/>
        </w:rPr>
        <w:t xml:space="preserve"> + 1 mL HF and iii) 7 mL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+ 1 mL HF. No statistical difference (ANOVA) was observed between the results obtained for Se and Te among all evaluated methods. These results indicate that the digestion solution (HNO</w:t>
      </w:r>
      <w:r w:rsidRPr="00426C2D">
        <w:rPr>
          <w:rFonts w:ascii="Times New Roman" w:hAnsi="Times New Roman"/>
          <w:sz w:val="24"/>
          <w:szCs w:val="24"/>
          <w:vertAlign w:val="subscript"/>
          <w:lang w:val="en-US"/>
        </w:rPr>
        <w:t>3</w:t>
      </w:r>
      <w:r w:rsidRPr="00426C2D">
        <w:rPr>
          <w:rFonts w:ascii="Times New Roman" w:hAnsi="Times New Roman"/>
          <w:sz w:val="24"/>
          <w:szCs w:val="24"/>
          <w:lang w:val="en-US"/>
        </w:rPr>
        <w:t xml:space="preserve"> + HF) was suitable for Se and Te recovery for coal and other reagents, and HCl or H</w:t>
      </w:r>
      <w:r w:rsidRPr="00426C2D">
        <w:rPr>
          <w:rFonts w:ascii="Times New Roman" w:hAnsi="Times New Roman"/>
          <w:sz w:val="24"/>
          <w:szCs w:val="24"/>
          <w:vertAlign w:val="subscript"/>
          <w:lang w:val="en-US"/>
        </w:rPr>
        <w:t>2</w:t>
      </w:r>
      <w:r w:rsidRPr="00426C2D">
        <w:rPr>
          <w:rFonts w:ascii="Times New Roman" w:hAnsi="Times New Roman"/>
          <w:sz w:val="24"/>
          <w:szCs w:val="24"/>
          <w:lang w:val="en-US"/>
        </w:rPr>
        <w:t>O</w:t>
      </w:r>
      <w:r w:rsidRPr="00426C2D">
        <w:rPr>
          <w:rFonts w:ascii="Times New Roman" w:hAnsi="Times New Roman"/>
          <w:sz w:val="24"/>
          <w:szCs w:val="24"/>
          <w:vertAlign w:val="subscript"/>
          <w:lang w:val="en-US"/>
        </w:rPr>
        <w:t>2</w:t>
      </w:r>
      <w:r w:rsidRPr="00426C2D">
        <w:rPr>
          <w:rFonts w:ascii="Times New Roman" w:hAnsi="Times New Roman"/>
          <w:sz w:val="24"/>
          <w:szCs w:val="24"/>
          <w:lang w:val="en-US"/>
        </w:rPr>
        <w:t xml:space="preserve"> were not required.</w:t>
      </w:r>
      <w:r w:rsidR="00E80F7D" w:rsidRPr="00426C2D">
        <w:rPr>
          <w:rFonts w:ascii="Times New Roman" w:hAnsi="Times New Roman"/>
          <w:sz w:val="24"/>
          <w:szCs w:val="24"/>
          <w:lang w:val="en-US"/>
        </w:rPr>
        <w:t xml:space="preserve"> </w:t>
      </w:r>
      <w:r w:rsidRPr="00426C2D">
        <w:rPr>
          <w:rFonts w:ascii="Times New Roman" w:hAnsi="Times New Roman"/>
          <w:sz w:val="24"/>
          <w:szCs w:val="24"/>
          <w:lang w:val="en-US"/>
        </w:rPr>
        <w:t>The accuracy of MAWD method was evaluated using two CRMs: NIST 1635 (subbituminous coal) and SARM 20 (coal). No statistical difference (t-test, 95% of confidence level) was observed between results obtained for CRMs and the certified values.</w:t>
      </w:r>
    </w:p>
    <w:p w14:paraId="2C818891" w14:textId="58FE56B4" w:rsidR="0051327F" w:rsidRPr="00426C2D" w:rsidRDefault="0051327F" w:rsidP="00E80F7D">
      <w:pPr>
        <w:pStyle w:val="NoSpacing"/>
        <w:spacing w:line="360" w:lineRule="auto"/>
        <w:ind w:firstLine="708"/>
        <w:jc w:val="both"/>
        <w:rPr>
          <w:rFonts w:ascii="Times New Roman" w:hAnsi="Times New Roman"/>
          <w:sz w:val="24"/>
          <w:szCs w:val="24"/>
          <w:lang w:val="en-US"/>
        </w:rPr>
      </w:pPr>
      <w:r w:rsidRPr="00426C2D">
        <w:rPr>
          <w:rFonts w:ascii="Times New Roman" w:hAnsi="Times New Roman"/>
          <w:sz w:val="24"/>
          <w:szCs w:val="24"/>
          <w:lang w:val="en-US"/>
        </w:rPr>
        <w:t>A quadrupole-based ICP-MS (NexION 300X®, Perkin Elmer, Canada) equipped with a concentric nebuliser, a cyclonic spray chamber and a quartz torch with a quartz injector tube was used. In order to avoid any damage to the nebuli</w:t>
      </w:r>
      <w:r w:rsidR="00E80F7D" w:rsidRPr="00426C2D">
        <w:rPr>
          <w:rFonts w:ascii="Times New Roman" w:hAnsi="Times New Roman"/>
          <w:sz w:val="24"/>
          <w:szCs w:val="24"/>
          <w:lang w:val="en-US"/>
        </w:rPr>
        <w:t>s</w:t>
      </w:r>
      <w:r w:rsidRPr="00426C2D">
        <w:rPr>
          <w:rFonts w:ascii="Times New Roman" w:hAnsi="Times New Roman"/>
          <w:sz w:val="24"/>
          <w:szCs w:val="24"/>
          <w:lang w:val="en-US"/>
        </w:rPr>
        <w:t>ation system of the ICP-MS instrument due to the HF content in digests, a dilution factor of 10 was used for sample analysis. The ICP-MS instrument was equipped with a cell that can be used both as a collision cell and as a dynamic reaction cell. This collision/reaction cell (CRC-ICP-MS) method allows for lower levels of detection of Se and Te by minimising the occurrence of spectral and non-spectral interferences. With standard mode ICP-MS methods, spectral interferences occur at the most abundant isotopes of Se. Here, hydrogen gas was utili</w:t>
      </w:r>
      <w:r w:rsidR="00E80F7D" w:rsidRPr="00426C2D">
        <w:rPr>
          <w:rFonts w:ascii="Times New Roman" w:hAnsi="Times New Roman"/>
          <w:sz w:val="24"/>
          <w:szCs w:val="24"/>
          <w:lang w:val="en-US"/>
        </w:rPr>
        <w:t>s</w:t>
      </w:r>
      <w:r w:rsidRPr="00426C2D">
        <w:rPr>
          <w:rFonts w:ascii="Times New Roman" w:hAnsi="Times New Roman"/>
          <w:sz w:val="24"/>
          <w:szCs w:val="24"/>
          <w:lang w:val="en-US"/>
        </w:rPr>
        <w:t>ed in order to effectively minimi</w:t>
      </w:r>
      <w:r w:rsidR="00E80F7D" w:rsidRPr="00426C2D">
        <w:rPr>
          <w:rFonts w:ascii="Times New Roman" w:hAnsi="Times New Roman"/>
          <w:sz w:val="24"/>
          <w:szCs w:val="24"/>
          <w:lang w:val="en-US"/>
        </w:rPr>
        <w:t>s</w:t>
      </w:r>
      <w:r w:rsidRPr="00426C2D">
        <w:rPr>
          <w:rFonts w:ascii="Times New Roman" w:hAnsi="Times New Roman"/>
          <w:sz w:val="24"/>
          <w:szCs w:val="24"/>
          <w:lang w:val="en-US"/>
        </w:rPr>
        <w:t xml:space="preserve">e the spectral interferences of the argon-based polyatomic ions at m/z 77, 78 and 80. For Te, m/z 128 was monitored for spectral interferences. In order to limit polyatomic interferences with argon-, matrix- and solvent based ions, Se determination was be carried out by monitoring </w:t>
      </w:r>
      <w:r w:rsidRPr="00426C2D">
        <w:rPr>
          <w:rFonts w:ascii="Times New Roman" w:hAnsi="Times New Roman"/>
          <w:sz w:val="24"/>
          <w:szCs w:val="24"/>
          <w:vertAlign w:val="superscript"/>
          <w:lang w:val="en-US"/>
        </w:rPr>
        <w:t>78</w:t>
      </w:r>
      <w:r w:rsidRPr="00426C2D">
        <w:rPr>
          <w:rFonts w:ascii="Times New Roman" w:hAnsi="Times New Roman"/>
          <w:sz w:val="24"/>
          <w:szCs w:val="24"/>
          <w:lang w:val="en-US"/>
        </w:rPr>
        <w:t>Se isotope. Under optimi</w:t>
      </w:r>
      <w:r w:rsidR="00E80F7D" w:rsidRPr="00426C2D">
        <w:rPr>
          <w:rFonts w:ascii="Times New Roman" w:hAnsi="Times New Roman"/>
          <w:sz w:val="24"/>
          <w:szCs w:val="24"/>
          <w:lang w:val="en-US"/>
        </w:rPr>
        <w:t>s</w:t>
      </w:r>
      <w:r w:rsidRPr="00426C2D">
        <w:rPr>
          <w:rFonts w:ascii="Times New Roman" w:hAnsi="Times New Roman"/>
          <w:sz w:val="24"/>
          <w:szCs w:val="24"/>
          <w:lang w:val="en-US"/>
        </w:rPr>
        <w:t>ed conditions, the instrumental and method limit of detection was 0.01 µg L</w:t>
      </w:r>
      <w:r w:rsidRPr="00426C2D">
        <w:rPr>
          <w:rFonts w:ascii="Times New Roman" w:hAnsi="Times New Roman"/>
          <w:sz w:val="24"/>
          <w:szCs w:val="24"/>
          <w:vertAlign w:val="superscript"/>
          <w:lang w:val="en-US"/>
        </w:rPr>
        <w:t>−1</w:t>
      </w:r>
      <w:r w:rsidRPr="00426C2D">
        <w:rPr>
          <w:rFonts w:ascii="Times New Roman" w:hAnsi="Times New Roman"/>
          <w:sz w:val="24"/>
          <w:szCs w:val="24"/>
          <w:lang w:val="en-US"/>
        </w:rPr>
        <w:t xml:space="preserve">, suitable for Se and Te determination at very low concentration in coal. The overall effectiveness and importance of the method for ultra-low Se determination is further detailed in Henn et al. (2018). </w:t>
      </w:r>
    </w:p>
    <w:p w14:paraId="0BF8F072" w14:textId="77777777" w:rsidR="003E639B" w:rsidRPr="00426C2D" w:rsidRDefault="003E639B" w:rsidP="00C63800">
      <w:pPr>
        <w:spacing w:line="360" w:lineRule="auto"/>
        <w:jc w:val="both"/>
        <w:rPr>
          <w:rFonts w:ascii="Times New Roman" w:hAnsi="Times New Roman" w:cs="Times New Roman"/>
          <w:sz w:val="24"/>
        </w:rPr>
      </w:pPr>
    </w:p>
    <w:p w14:paraId="682CEC4D" w14:textId="77777777" w:rsidR="003E639B" w:rsidRPr="00CC7122" w:rsidRDefault="003E639B" w:rsidP="004B1A8C">
      <w:pPr>
        <w:spacing w:line="360" w:lineRule="auto"/>
        <w:jc w:val="both"/>
        <w:outlineLvl w:val="0"/>
        <w:rPr>
          <w:rFonts w:ascii="Times New Roman" w:hAnsi="Times New Roman" w:cs="Times New Roman"/>
          <w:b/>
          <w:sz w:val="24"/>
        </w:rPr>
      </w:pPr>
      <w:r w:rsidRPr="00E21E72">
        <w:rPr>
          <w:rFonts w:ascii="Times New Roman" w:hAnsi="Times New Roman" w:cs="Times New Roman"/>
          <w:b/>
          <w:sz w:val="24"/>
        </w:rPr>
        <w:t>2.3 Total organic carbon and sulphur content</w:t>
      </w:r>
    </w:p>
    <w:p w14:paraId="1E722A3B" w14:textId="61F3E2BB" w:rsidR="005639B0" w:rsidRPr="00426C2D" w:rsidRDefault="005639B0" w:rsidP="00C63800">
      <w:pPr>
        <w:spacing w:line="360" w:lineRule="auto"/>
        <w:jc w:val="both"/>
        <w:rPr>
          <w:rFonts w:ascii="Times New Roman" w:hAnsi="Times New Roman" w:cs="Times New Roman"/>
          <w:sz w:val="24"/>
        </w:rPr>
      </w:pPr>
      <w:r w:rsidRPr="005639B0">
        <w:rPr>
          <w:rFonts w:ascii="Times New Roman" w:hAnsi="Times New Roman" w:cs="Times New Roman"/>
          <w:sz w:val="24"/>
        </w:rPr>
        <w:t xml:space="preserve">Total organic carbon (TOC) and </w:t>
      </w:r>
      <w:r w:rsidR="003E639B">
        <w:rPr>
          <w:rFonts w:ascii="Times New Roman" w:hAnsi="Times New Roman" w:cs="Times New Roman"/>
          <w:sz w:val="24"/>
        </w:rPr>
        <w:t>sulphur (</w:t>
      </w:r>
      <w:r w:rsidRPr="005639B0">
        <w:rPr>
          <w:rFonts w:ascii="Times New Roman" w:hAnsi="Times New Roman" w:cs="Times New Roman"/>
          <w:sz w:val="24"/>
        </w:rPr>
        <w:t>S</w:t>
      </w:r>
      <w:r w:rsidR="003E639B">
        <w:rPr>
          <w:rFonts w:ascii="Times New Roman" w:hAnsi="Times New Roman" w:cs="Times New Roman"/>
          <w:sz w:val="24"/>
        </w:rPr>
        <w:t>)</w:t>
      </w:r>
      <w:r w:rsidRPr="005639B0">
        <w:rPr>
          <w:rFonts w:ascii="Times New Roman" w:hAnsi="Times New Roman" w:cs="Times New Roman"/>
          <w:sz w:val="24"/>
        </w:rPr>
        <w:t xml:space="preserve"> contents were measured using a LECO CS225 elemental analyser, after decarbonatisation with hydrochloric acid, to a precision of ±0.05%. Analyses were run concurrently with </w:t>
      </w:r>
      <w:r w:rsidR="008D5F99">
        <w:rPr>
          <w:rFonts w:ascii="Times New Roman" w:hAnsi="Times New Roman" w:cs="Times New Roman"/>
          <w:sz w:val="24"/>
        </w:rPr>
        <w:t>CRM</w:t>
      </w:r>
      <w:r w:rsidR="008D5F99" w:rsidRPr="005639B0">
        <w:rPr>
          <w:rFonts w:ascii="Times New Roman" w:hAnsi="Times New Roman" w:cs="Times New Roman"/>
          <w:sz w:val="24"/>
        </w:rPr>
        <w:t xml:space="preserve">s </w:t>
      </w:r>
      <w:r w:rsidRPr="005639B0">
        <w:rPr>
          <w:rFonts w:ascii="Times New Roman" w:hAnsi="Times New Roman" w:cs="Times New Roman"/>
          <w:sz w:val="24"/>
        </w:rPr>
        <w:t xml:space="preserve">501-024 (Leco Instruments, 3.23 ± 0.03% C, 0.047 ± 0.003% S, instrument uncertainty ± 0.05% C, ± 0.002% S) and BCS-CRM 362 (Bureau of Analysed Samples Ltd., 1.48% S). </w:t>
      </w:r>
      <w:r w:rsidR="008D5F99" w:rsidRPr="008D5F99">
        <w:rPr>
          <w:rFonts w:ascii="Times New Roman" w:hAnsi="Times New Roman" w:cs="Times New Roman"/>
          <w:sz w:val="24"/>
        </w:rPr>
        <w:t xml:space="preserve">The instrument was calibrated using these CRMs. The </w:t>
      </w:r>
      <w:r w:rsidR="008D5F99" w:rsidRPr="00426C2D">
        <w:rPr>
          <w:rFonts w:ascii="Times New Roman" w:hAnsi="Times New Roman" w:cs="Times New Roman"/>
          <w:sz w:val="24"/>
        </w:rPr>
        <w:t>repeatability of sample results was consistently within 1%, based on the 3 runs of CRM certified vs. obtained values, and uncertainty was determined based on the results of 3 blanks.</w:t>
      </w:r>
      <w:r w:rsidR="006B0362" w:rsidRPr="00426C2D">
        <w:t xml:space="preserve"> </w:t>
      </w:r>
      <w:r w:rsidR="006B0362" w:rsidRPr="00426C2D">
        <w:rPr>
          <w:rFonts w:ascii="Times New Roman" w:hAnsi="Times New Roman" w:cs="Times New Roman"/>
          <w:sz w:val="24"/>
        </w:rPr>
        <w:t>Blank sample measurements provided the methodogical interference response from 3 analyte-free samples. The resulting trace S and TOC values obtained for the blank samples were then algebraically subtracted from the standard and sample responses to avoid analytical interferences.</w:t>
      </w:r>
    </w:p>
    <w:p w14:paraId="1CCACE43" w14:textId="77777777" w:rsidR="00B328A5" w:rsidRPr="00426C2D" w:rsidRDefault="00B328A5" w:rsidP="00C63800">
      <w:pPr>
        <w:spacing w:line="360" w:lineRule="auto"/>
        <w:jc w:val="both"/>
        <w:rPr>
          <w:rFonts w:ascii="Times New Roman" w:hAnsi="Times New Roman" w:cs="Times New Roman"/>
          <w:sz w:val="24"/>
        </w:rPr>
      </w:pPr>
    </w:p>
    <w:p w14:paraId="2B5795FD" w14:textId="77777777" w:rsidR="003E639B" w:rsidRPr="00CC7122" w:rsidRDefault="003E639B" w:rsidP="004B1A8C">
      <w:pPr>
        <w:spacing w:line="360" w:lineRule="auto"/>
        <w:jc w:val="both"/>
        <w:outlineLvl w:val="0"/>
        <w:rPr>
          <w:rFonts w:ascii="Times New Roman" w:hAnsi="Times New Roman" w:cs="Times New Roman"/>
          <w:b/>
          <w:sz w:val="24"/>
        </w:rPr>
      </w:pPr>
      <w:r w:rsidRPr="00E21E72">
        <w:rPr>
          <w:rFonts w:ascii="Times New Roman" w:hAnsi="Times New Roman" w:cs="Times New Roman"/>
          <w:b/>
          <w:sz w:val="24"/>
        </w:rPr>
        <w:t>3 STRATIGRAPHY AND SEDIMENTOLOGY</w:t>
      </w:r>
    </w:p>
    <w:p w14:paraId="0981A59C" w14:textId="77777777" w:rsidR="004B1A8C" w:rsidRDefault="004B1A8C" w:rsidP="00C63800">
      <w:pPr>
        <w:spacing w:line="360" w:lineRule="auto"/>
        <w:jc w:val="both"/>
        <w:rPr>
          <w:rFonts w:ascii="Times New Roman" w:hAnsi="Times New Roman" w:cs="Times New Roman"/>
          <w:sz w:val="24"/>
        </w:rPr>
      </w:pPr>
    </w:p>
    <w:p w14:paraId="5A21E6D9" w14:textId="49BC9469" w:rsidR="003E639B" w:rsidRDefault="00B17EB2" w:rsidP="00C63800">
      <w:pPr>
        <w:spacing w:line="360" w:lineRule="auto"/>
        <w:jc w:val="both"/>
        <w:rPr>
          <w:rFonts w:ascii="Times New Roman" w:hAnsi="Times New Roman" w:cs="Times New Roman"/>
          <w:sz w:val="24"/>
        </w:rPr>
      </w:pPr>
      <w:r>
        <w:rPr>
          <w:rFonts w:ascii="Times New Roman" w:hAnsi="Times New Roman" w:cs="Times New Roman"/>
          <w:sz w:val="24"/>
        </w:rPr>
        <w:t>The c</w:t>
      </w:r>
      <w:r w:rsidR="003E639B" w:rsidRPr="003E639B">
        <w:rPr>
          <w:rFonts w:ascii="Times New Roman" w:hAnsi="Times New Roman" w:cs="Times New Roman"/>
          <w:sz w:val="24"/>
        </w:rPr>
        <w:t xml:space="preserve">oal samples from </w:t>
      </w:r>
      <w:r w:rsidR="003E639B">
        <w:rPr>
          <w:rFonts w:ascii="Times New Roman" w:hAnsi="Times New Roman" w:cs="Times New Roman"/>
          <w:sz w:val="24"/>
        </w:rPr>
        <w:t>British</w:t>
      </w:r>
      <w:r w:rsidR="003E639B" w:rsidRPr="003E639B">
        <w:rPr>
          <w:rFonts w:ascii="Times New Roman" w:hAnsi="Times New Roman" w:cs="Times New Roman"/>
          <w:sz w:val="24"/>
        </w:rPr>
        <w:t xml:space="preserve"> coalfields are all of Carboniferous age</w:t>
      </w:r>
      <w:r w:rsidR="00DD07F6">
        <w:rPr>
          <w:rFonts w:ascii="Times New Roman" w:hAnsi="Times New Roman" w:cs="Times New Roman"/>
          <w:sz w:val="24"/>
        </w:rPr>
        <w:t>, predominantly represented by Coal Measures</w:t>
      </w:r>
      <w:r w:rsidR="003E639B" w:rsidRPr="003E639B">
        <w:rPr>
          <w:rFonts w:ascii="Times New Roman" w:hAnsi="Times New Roman" w:cs="Times New Roman"/>
          <w:sz w:val="24"/>
        </w:rPr>
        <w:t>. The Coal Measures Supergroup of the UK extends from the Midland Valley of Scotland, across the north of England, to the Midlands, South Wales and Kent. The widespread development of coal-</w:t>
      </w:r>
      <w:r w:rsidR="0032550B">
        <w:rPr>
          <w:rFonts w:ascii="Times New Roman" w:hAnsi="Times New Roman" w:cs="Times New Roman"/>
          <w:sz w:val="24"/>
        </w:rPr>
        <w:t>bearing</w:t>
      </w:r>
      <w:r w:rsidR="003E639B" w:rsidRPr="003E639B">
        <w:rPr>
          <w:rFonts w:ascii="Times New Roman" w:hAnsi="Times New Roman" w:cs="Times New Roman"/>
          <w:sz w:val="24"/>
        </w:rPr>
        <w:t xml:space="preserve"> strata </w:t>
      </w:r>
      <w:r w:rsidR="0032550B">
        <w:rPr>
          <w:rFonts w:ascii="Times New Roman" w:hAnsi="Times New Roman" w:cs="Times New Roman"/>
          <w:sz w:val="24"/>
        </w:rPr>
        <w:t xml:space="preserve">formed </w:t>
      </w:r>
      <w:r w:rsidR="003E639B" w:rsidRPr="003E639B">
        <w:rPr>
          <w:rFonts w:ascii="Times New Roman" w:hAnsi="Times New Roman" w:cs="Times New Roman"/>
          <w:sz w:val="24"/>
        </w:rPr>
        <w:t xml:space="preserve">early in the European Westphalian equatorial climatic (delta-top) conditions (Fielding, 1982; </w:t>
      </w:r>
      <w:r w:rsidR="004B1A8C" w:rsidRPr="00E21E72">
        <w:rPr>
          <w:rFonts w:ascii="Times New Roman" w:hAnsi="Times New Roman" w:cs="Times New Roman"/>
          <w:sz w:val="24"/>
        </w:rPr>
        <w:t>Spears, 2015;</w:t>
      </w:r>
      <w:r w:rsidR="004B1A8C">
        <w:rPr>
          <w:rFonts w:ascii="Times New Roman" w:hAnsi="Times New Roman" w:cs="Times New Roman"/>
          <w:sz w:val="24"/>
        </w:rPr>
        <w:t xml:space="preserve"> </w:t>
      </w:r>
      <w:r w:rsidR="003E639B" w:rsidRPr="003E639B">
        <w:rPr>
          <w:rFonts w:ascii="Times New Roman" w:hAnsi="Times New Roman" w:cs="Times New Roman"/>
          <w:sz w:val="24"/>
        </w:rPr>
        <w:t>Waters et al., 2007). The depositional environment was characterised by low-lying paralic delta plain</w:t>
      </w:r>
      <w:r w:rsidR="0032550B">
        <w:rPr>
          <w:rFonts w:ascii="Times New Roman" w:hAnsi="Times New Roman" w:cs="Times New Roman"/>
          <w:sz w:val="24"/>
        </w:rPr>
        <w:t>s</w:t>
      </w:r>
      <w:r w:rsidR="003E639B" w:rsidRPr="003E639B">
        <w:rPr>
          <w:rFonts w:ascii="Times New Roman" w:hAnsi="Times New Roman" w:cs="Times New Roman"/>
          <w:sz w:val="24"/>
        </w:rPr>
        <w:t xml:space="preserve"> with abundant vegetation and major river distributaries (Spears, 2015). The main coal-bearing interval</w:t>
      </w:r>
      <w:r w:rsidR="0032550B">
        <w:rPr>
          <w:rFonts w:ascii="Times New Roman" w:hAnsi="Times New Roman" w:cs="Times New Roman"/>
          <w:sz w:val="24"/>
        </w:rPr>
        <w:t>s</w:t>
      </w:r>
      <w:r w:rsidR="003E639B" w:rsidRPr="003E639B">
        <w:rPr>
          <w:rFonts w:ascii="Times New Roman" w:hAnsi="Times New Roman" w:cs="Times New Roman"/>
          <w:sz w:val="24"/>
        </w:rPr>
        <w:t xml:space="preserve"> comprise the Lower and Middle Coal Measures, formed during the Westphalian A and Westphalian B to Lower C in a fluvial coastal plain environment (Gayer et al., 1996). This was dominated by overbank mudrocks, representing deposition in extensive </w:t>
      </w:r>
      <w:r w:rsidR="009A5778" w:rsidRPr="003E639B">
        <w:rPr>
          <w:rFonts w:ascii="Times New Roman" w:hAnsi="Times New Roman" w:cs="Times New Roman"/>
          <w:sz w:val="24"/>
        </w:rPr>
        <w:t>interdistri</w:t>
      </w:r>
      <w:r w:rsidR="009A5778" w:rsidRPr="00E21E72">
        <w:rPr>
          <w:rFonts w:ascii="Times New Roman" w:hAnsi="Times New Roman" w:cs="Times New Roman"/>
          <w:sz w:val="24"/>
        </w:rPr>
        <w:t>butary</w:t>
      </w:r>
      <w:r w:rsidR="009A5778" w:rsidRPr="003E639B">
        <w:rPr>
          <w:rFonts w:ascii="Times New Roman" w:hAnsi="Times New Roman" w:cs="Times New Roman"/>
          <w:sz w:val="24"/>
        </w:rPr>
        <w:t xml:space="preserve"> </w:t>
      </w:r>
      <w:r w:rsidR="003E639B" w:rsidRPr="003E639B">
        <w:rPr>
          <w:rFonts w:ascii="Times New Roman" w:hAnsi="Times New Roman" w:cs="Times New Roman"/>
          <w:sz w:val="24"/>
        </w:rPr>
        <w:t xml:space="preserve">lakes (Gayer et al., 1996). The start and end of the Carboniferous (into the Stephanian) </w:t>
      </w:r>
      <w:r w:rsidR="009A5778" w:rsidRPr="00E21E72">
        <w:rPr>
          <w:rFonts w:ascii="Times New Roman" w:hAnsi="Times New Roman" w:cs="Times New Roman"/>
          <w:sz w:val="24"/>
        </w:rPr>
        <w:t>was</w:t>
      </w:r>
      <w:r w:rsidR="009A5778" w:rsidRPr="003E639B">
        <w:rPr>
          <w:rFonts w:ascii="Times New Roman" w:hAnsi="Times New Roman" w:cs="Times New Roman"/>
          <w:sz w:val="24"/>
        </w:rPr>
        <w:t xml:space="preserve"> </w:t>
      </w:r>
      <w:r w:rsidR="003E639B" w:rsidRPr="003E639B">
        <w:rPr>
          <w:rFonts w:ascii="Times New Roman" w:hAnsi="Times New Roman" w:cs="Times New Roman"/>
          <w:sz w:val="24"/>
        </w:rPr>
        <w:t xml:space="preserve">marked by a climate that was (at least seasonally) arid (Waters et al., 2007). An increase in sand content and a climatic shift to dryer conditions led to a decrease in the number of coal seams during the Westphalian C, Westphalian D and Stephanian (Besly et al., 1993; Kombrink, 2008). The Coal Measures were strongly affected by post-depositional Variscan fold and thrust deformation, and such deformation resulted in a set of superimposed tectonic fractures on the coals, partially obliterating a cleat fracture system (Frodsham et al., 1993; </w:t>
      </w:r>
      <w:r w:rsidR="003E639B" w:rsidRPr="00E21E72">
        <w:rPr>
          <w:rFonts w:ascii="Times New Roman" w:hAnsi="Times New Roman" w:cs="Times New Roman"/>
          <w:sz w:val="24"/>
        </w:rPr>
        <w:t xml:space="preserve">Gayer </w:t>
      </w:r>
      <w:r w:rsidR="00640617" w:rsidRPr="00E21E72">
        <w:rPr>
          <w:rFonts w:ascii="Times New Roman" w:hAnsi="Times New Roman" w:cs="Times New Roman"/>
          <w:sz w:val="24"/>
        </w:rPr>
        <w:t xml:space="preserve">&amp; Nemcok, 1994; </w:t>
      </w:r>
      <w:r w:rsidR="003E639B" w:rsidRPr="00E21E72">
        <w:rPr>
          <w:rFonts w:ascii="Times New Roman" w:hAnsi="Times New Roman" w:cs="Times New Roman"/>
          <w:sz w:val="24"/>
        </w:rPr>
        <w:t>Gayer et al., 1996</w:t>
      </w:r>
      <w:r w:rsidR="00640617" w:rsidRPr="00E21E72">
        <w:rPr>
          <w:rFonts w:ascii="Times New Roman" w:hAnsi="Times New Roman" w:cs="Times New Roman"/>
          <w:sz w:val="24"/>
        </w:rPr>
        <w:t>; Owen, 1974; Woodland &amp; Evans, 1964</w:t>
      </w:r>
      <w:r w:rsidR="003E639B" w:rsidRPr="003E639B">
        <w:rPr>
          <w:rFonts w:ascii="Times New Roman" w:hAnsi="Times New Roman" w:cs="Times New Roman"/>
          <w:sz w:val="24"/>
        </w:rPr>
        <w:t>).</w:t>
      </w:r>
      <w:r w:rsidR="009B7732" w:rsidRPr="009B7732">
        <w:t xml:space="preserve"> </w:t>
      </w:r>
      <w:r w:rsidR="009B7732" w:rsidRPr="009B7732">
        <w:rPr>
          <w:rFonts w:ascii="Times New Roman" w:hAnsi="Times New Roman" w:cs="Times New Roman"/>
          <w:sz w:val="24"/>
        </w:rPr>
        <w:t>Although all the sampled coals are Ca</w:t>
      </w:r>
      <w:r w:rsidR="009B7732" w:rsidRPr="003F2C5B">
        <w:rPr>
          <w:rFonts w:ascii="Times New Roman" w:hAnsi="Times New Roman" w:cs="Times New Roman"/>
          <w:sz w:val="24"/>
        </w:rPr>
        <w:t>rboniferous in age, there are several sub-formations and some age variations across the sample suite. Samples span the range (from youngest to oldest): Upper Coal Measures</w:t>
      </w:r>
      <w:r w:rsidR="0099492E">
        <w:rPr>
          <w:rFonts w:ascii="Times New Roman" w:hAnsi="Times New Roman" w:cs="Times New Roman"/>
          <w:sz w:val="24"/>
        </w:rPr>
        <w:t xml:space="preserve"> and South Wales Upper Coal Measures</w:t>
      </w:r>
      <w:r w:rsidR="009B7732" w:rsidRPr="003F2C5B">
        <w:rPr>
          <w:rFonts w:ascii="Times New Roman" w:hAnsi="Times New Roman" w:cs="Times New Roman"/>
          <w:sz w:val="24"/>
        </w:rPr>
        <w:t xml:space="preserve"> (</w:t>
      </w:r>
      <w:r w:rsidR="00DC7377" w:rsidRPr="003F2C5B">
        <w:rPr>
          <w:rFonts w:ascii="Times New Roman" w:hAnsi="Times New Roman" w:cs="Times New Roman"/>
          <w:sz w:val="24"/>
        </w:rPr>
        <w:t>Westphalian C</w:t>
      </w:r>
      <w:r w:rsidR="009B7732" w:rsidRPr="003F2C5B">
        <w:rPr>
          <w:rFonts w:ascii="Times New Roman" w:hAnsi="Times New Roman" w:cs="Times New Roman"/>
          <w:sz w:val="24"/>
        </w:rPr>
        <w:t xml:space="preserve"> in age), Middle Coal Measures and Warwickshire Group (Westphalian B), Lower Coal Measures and Scottish Coal Measures (Westphalian A), one Yor</w:t>
      </w:r>
      <w:r w:rsidR="001C32BE" w:rsidRPr="003F2C5B">
        <w:rPr>
          <w:rFonts w:ascii="Times New Roman" w:hAnsi="Times New Roman" w:cs="Times New Roman"/>
          <w:sz w:val="24"/>
        </w:rPr>
        <w:t>e</w:t>
      </w:r>
      <w:r w:rsidR="009B7732" w:rsidRPr="003F2C5B">
        <w:rPr>
          <w:rFonts w:ascii="Times New Roman" w:hAnsi="Times New Roman" w:cs="Times New Roman"/>
          <w:sz w:val="24"/>
        </w:rPr>
        <w:t>dale Group sample (</w:t>
      </w:r>
      <w:r w:rsidR="001C32BE" w:rsidRPr="003F2C5B">
        <w:rPr>
          <w:rFonts w:ascii="Times New Roman" w:hAnsi="Times New Roman" w:cs="Times New Roman"/>
          <w:sz w:val="24"/>
        </w:rPr>
        <w:t>Namurian</w:t>
      </w:r>
      <w:r w:rsidR="009B7732" w:rsidRPr="003F2C5B">
        <w:rPr>
          <w:rFonts w:ascii="Times New Roman" w:hAnsi="Times New Roman" w:cs="Times New Roman"/>
          <w:sz w:val="24"/>
        </w:rPr>
        <w:t>)</w:t>
      </w:r>
      <w:r w:rsidR="001C32BE" w:rsidRPr="003F2C5B">
        <w:rPr>
          <w:rFonts w:ascii="Times New Roman" w:hAnsi="Times New Roman" w:cs="Times New Roman"/>
          <w:sz w:val="24"/>
        </w:rPr>
        <w:t>, and Cla</w:t>
      </w:r>
      <w:r w:rsidR="00DC7377" w:rsidRPr="003F2C5B">
        <w:rPr>
          <w:rFonts w:ascii="Times New Roman" w:hAnsi="Times New Roman" w:cs="Times New Roman"/>
          <w:sz w:val="24"/>
        </w:rPr>
        <w:t>ckmannan Group (Visean</w:t>
      </w:r>
      <w:r w:rsidR="001C32BE" w:rsidRPr="003F2C5B">
        <w:rPr>
          <w:rFonts w:ascii="Times New Roman" w:hAnsi="Times New Roman" w:cs="Times New Roman"/>
          <w:sz w:val="24"/>
        </w:rPr>
        <w:t>)</w:t>
      </w:r>
      <w:r w:rsidR="00DC7377" w:rsidRPr="003F2C5B">
        <w:rPr>
          <w:rFonts w:ascii="Times New Roman" w:hAnsi="Times New Roman" w:cs="Times New Roman"/>
          <w:sz w:val="24"/>
        </w:rPr>
        <w:t xml:space="preserve"> (Figure 2)</w:t>
      </w:r>
      <w:r w:rsidR="009B7732" w:rsidRPr="003F2C5B">
        <w:rPr>
          <w:rFonts w:ascii="Times New Roman" w:hAnsi="Times New Roman" w:cs="Times New Roman"/>
          <w:sz w:val="24"/>
        </w:rPr>
        <w:t>.</w:t>
      </w:r>
    </w:p>
    <w:p w14:paraId="61A1E7CD" w14:textId="77777777" w:rsidR="003E639B" w:rsidRDefault="003E639B" w:rsidP="00C63800">
      <w:pPr>
        <w:spacing w:line="360" w:lineRule="auto"/>
        <w:jc w:val="both"/>
        <w:rPr>
          <w:rFonts w:ascii="Times New Roman" w:hAnsi="Times New Roman" w:cs="Times New Roman"/>
          <w:sz w:val="24"/>
        </w:rPr>
      </w:pPr>
    </w:p>
    <w:p w14:paraId="1B467C91" w14:textId="77777777" w:rsidR="003E639B" w:rsidRPr="00E21E72" w:rsidRDefault="003E639B" w:rsidP="004B1A8C">
      <w:pPr>
        <w:spacing w:line="360" w:lineRule="auto"/>
        <w:jc w:val="both"/>
        <w:outlineLvl w:val="0"/>
        <w:rPr>
          <w:rFonts w:ascii="Times New Roman" w:hAnsi="Times New Roman" w:cs="Times New Roman"/>
          <w:b/>
          <w:sz w:val="24"/>
        </w:rPr>
      </w:pPr>
      <w:r w:rsidRPr="00E21E72">
        <w:rPr>
          <w:rFonts w:ascii="Times New Roman" w:hAnsi="Times New Roman" w:cs="Times New Roman"/>
          <w:b/>
          <w:sz w:val="24"/>
        </w:rPr>
        <w:t>4 RESULTS</w:t>
      </w:r>
    </w:p>
    <w:p w14:paraId="7A257906" w14:textId="77777777" w:rsidR="003E639B" w:rsidRPr="00CC7122" w:rsidRDefault="003E639B" w:rsidP="004B1A8C">
      <w:pPr>
        <w:spacing w:line="360" w:lineRule="auto"/>
        <w:jc w:val="both"/>
        <w:outlineLvl w:val="0"/>
        <w:rPr>
          <w:rFonts w:ascii="Times New Roman" w:hAnsi="Times New Roman" w:cs="Times New Roman"/>
          <w:b/>
          <w:sz w:val="24"/>
        </w:rPr>
      </w:pPr>
      <w:r w:rsidRPr="00E21E72">
        <w:rPr>
          <w:rFonts w:ascii="Times New Roman" w:hAnsi="Times New Roman" w:cs="Times New Roman"/>
          <w:b/>
          <w:sz w:val="24"/>
        </w:rPr>
        <w:t>4.1 Coal properties</w:t>
      </w:r>
    </w:p>
    <w:p w14:paraId="0AA0DDC9" w14:textId="5FDA2DE7" w:rsidR="003E639B" w:rsidRDefault="003E639B" w:rsidP="00C63800">
      <w:pPr>
        <w:spacing w:line="360" w:lineRule="auto"/>
        <w:jc w:val="both"/>
        <w:rPr>
          <w:rFonts w:ascii="Times New Roman" w:hAnsi="Times New Roman" w:cs="Times New Roman"/>
          <w:sz w:val="24"/>
        </w:rPr>
      </w:pPr>
      <w:r>
        <w:rPr>
          <w:rFonts w:ascii="Times New Roman" w:hAnsi="Times New Roman" w:cs="Times New Roman"/>
          <w:sz w:val="24"/>
        </w:rPr>
        <w:t>The</w:t>
      </w:r>
      <w:r w:rsidR="005E6784">
        <w:rPr>
          <w:rFonts w:ascii="Times New Roman" w:hAnsi="Times New Roman" w:cs="Times New Roman"/>
          <w:sz w:val="24"/>
        </w:rPr>
        <w:t xml:space="preserve"> majority of British coal samples are bituminous in coal rank, </w:t>
      </w:r>
      <w:r w:rsidR="00775850">
        <w:rPr>
          <w:rFonts w:ascii="Times New Roman" w:hAnsi="Times New Roman" w:cs="Times New Roman"/>
          <w:sz w:val="24"/>
        </w:rPr>
        <w:t>al</w:t>
      </w:r>
      <w:r w:rsidR="005E6784">
        <w:rPr>
          <w:rFonts w:ascii="Times New Roman" w:hAnsi="Times New Roman" w:cs="Times New Roman"/>
          <w:sz w:val="24"/>
        </w:rPr>
        <w:t xml:space="preserve">though some samples from the South Wales Coalfield are anthracitic. The </w:t>
      </w:r>
      <w:r w:rsidR="000A0D72">
        <w:rPr>
          <w:rFonts w:ascii="Times New Roman" w:hAnsi="Times New Roman" w:cs="Times New Roman"/>
          <w:sz w:val="24"/>
        </w:rPr>
        <w:t>arithmetic mean</w:t>
      </w:r>
      <w:r w:rsidR="005E6784">
        <w:rPr>
          <w:rFonts w:ascii="Times New Roman" w:hAnsi="Times New Roman" w:cs="Times New Roman"/>
          <w:sz w:val="24"/>
        </w:rPr>
        <w:t xml:space="preserve"> vitrinite reflectance value is </w:t>
      </w:r>
      <w:r w:rsidR="00BC5D01" w:rsidRPr="003F2C5B">
        <w:rPr>
          <w:rFonts w:ascii="Times New Roman" w:hAnsi="Times New Roman" w:cs="Times New Roman"/>
          <w:sz w:val="24"/>
        </w:rPr>
        <w:t>1.1</w:t>
      </w:r>
      <w:r w:rsidR="005E6784" w:rsidRPr="003F2C5B">
        <w:rPr>
          <w:rFonts w:ascii="Times New Roman" w:hAnsi="Times New Roman" w:cs="Times New Roman"/>
          <w:sz w:val="24"/>
        </w:rPr>
        <w:t xml:space="preserve">, with </w:t>
      </w:r>
      <w:r w:rsidR="0032550B" w:rsidRPr="003F2C5B">
        <w:rPr>
          <w:rFonts w:ascii="Times New Roman" w:hAnsi="Times New Roman" w:cs="Times New Roman"/>
          <w:sz w:val="24"/>
        </w:rPr>
        <w:t xml:space="preserve">typically higher </w:t>
      </w:r>
      <w:r w:rsidR="00902F79" w:rsidRPr="003F2C5B">
        <w:rPr>
          <w:rFonts w:ascii="Times New Roman" w:hAnsi="Times New Roman" w:cs="Times New Roman"/>
          <w:sz w:val="24"/>
        </w:rPr>
        <w:t>thermal maturity</w:t>
      </w:r>
      <w:r w:rsidR="00BC5D01" w:rsidRPr="003F2C5B">
        <w:rPr>
          <w:rFonts w:ascii="Times New Roman" w:hAnsi="Times New Roman" w:cs="Times New Roman"/>
          <w:sz w:val="24"/>
        </w:rPr>
        <w:t xml:space="preserve"> values</w:t>
      </w:r>
      <w:r w:rsidR="00902F79" w:rsidRPr="003F2C5B">
        <w:rPr>
          <w:rFonts w:ascii="Times New Roman" w:hAnsi="Times New Roman" w:cs="Times New Roman"/>
          <w:sz w:val="24"/>
        </w:rPr>
        <w:t xml:space="preserve"> in South Wales (vitrinite reflectance </w:t>
      </w:r>
      <w:r w:rsidR="005E6784" w:rsidRPr="003F2C5B">
        <w:rPr>
          <w:rFonts w:ascii="Times New Roman" w:hAnsi="Times New Roman" w:cs="Times New Roman"/>
          <w:sz w:val="24"/>
        </w:rPr>
        <w:t>value</w:t>
      </w:r>
      <w:r w:rsidR="00902F79" w:rsidRPr="003F2C5B">
        <w:rPr>
          <w:rFonts w:ascii="Times New Roman" w:hAnsi="Times New Roman" w:cs="Times New Roman"/>
          <w:sz w:val="24"/>
        </w:rPr>
        <w:t>s</w:t>
      </w:r>
      <w:r w:rsidR="005E6784" w:rsidRPr="003F2C5B">
        <w:rPr>
          <w:rFonts w:ascii="Times New Roman" w:hAnsi="Times New Roman" w:cs="Times New Roman"/>
          <w:sz w:val="24"/>
        </w:rPr>
        <w:t xml:space="preserve"> of </w:t>
      </w:r>
      <w:r w:rsidR="00BC5D01" w:rsidRPr="003F2C5B">
        <w:rPr>
          <w:rFonts w:ascii="Times New Roman" w:hAnsi="Times New Roman" w:cs="Times New Roman"/>
          <w:sz w:val="24"/>
        </w:rPr>
        <w:t>1</w:t>
      </w:r>
      <w:r w:rsidR="006F2203" w:rsidRPr="003F2C5B">
        <w:rPr>
          <w:rFonts w:ascii="Times New Roman" w:hAnsi="Times New Roman" w:cs="Times New Roman"/>
          <w:sz w:val="24"/>
        </w:rPr>
        <w:t>.1</w:t>
      </w:r>
      <w:r w:rsidR="00902F79" w:rsidRPr="003F2C5B">
        <w:rPr>
          <w:rFonts w:ascii="Times New Roman" w:hAnsi="Times New Roman" w:cs="Times New Roman"/>
          <w:sz w:val="24"/>
        </w:rPr>
        <w:t>-</w:t>
      </w:r>
      <w:r w:rsidR="005E6784" w:rsidRPr="003F2C5B">
        <w:rPr>
          <w:rFonts w:ascii="Times New Roman" w:hAnsi="Times New Roman" w:cs="Times New Roman"/>
          <w:sz w:val="24"/>
        </w:rPr>
        <w:t>2.</w:t>
      </w:r>
      <w:r w:rsidR="006F2203" w:rsidRPr="003F2C5B">
        <w:rPr>
          <w:rFonts w:ascii="Times New Roman" w:hAnsi="Times New Roman" w:cs="Times New Roman"/>
          <w:sz w:val="24"/>
        </w:rPr>
        <w:t>8</w:t>
      </w:r>
      <w:r w:rsidR="00902F79" w:rsidRPr="003F2C5B">
        <w:rPr>
          <w:rFonts w:ascii="Times New Roman" w:hAnsi="Times New Roman" w:cs="Times New Roman"/>
          <w:sz w:val="24"/>
        </w:rPr>
        <w:t>)</w:t>
      </w:r>
      <w:r w:rsidR="00BC5D01" w:rsidRPr="003F2C5B">
        <w:rPr>
          <w:rFonts w:ascii="Times New Roman" w:hAnsi="Times New Roman" w:cs="Times New Roman"/>
          <w:sz w:val="24"/>
        </w:rPr>
        <w:t xml:space="preserve"> and Fife-Stirling (2.9) (Table 1)</w:t>
      </w:r>
      <w:r w:rsidR="00902F79" w:rsidRPr="003F2C5B">
        <w:rPr>
          <w:rFonts w:ascii="Times New Roman" w:hAnsi="Times New Roman" w:cs="Times New Roman"/>
          <w:sz w:val="24"/>
        </w:rPr>
        <w:t>.</w:t>
      </w:r>
      <w:r w:rsidR="005E6784" w:rsidRPr="003F2C5B">
        <w:rPr>
          <w:rFonts w:ascii="Times New Roman" w:hAnsi="Times New Roman" w:cs="Times New Roman"/>
          <w:sz w:val="24"/>
        </w:rPr>
        <w:t xml:space="preserve"> Samples from Ayrshire,</w:t>
      </w:r>
      <w:r w:rsidR="00E21E72" w:rsidRPr="003F2C5B">
        <w:rPr>
          <w:rFonts w:ascii="Times New Roman" w:hAnsi="Times New Roman" w:cs="Times New Roman"/>
          <w:sz w:val="24"/>
        </w:rPr>
        <w:t xml:space="preserve"> Northumberland,</w:t>
      </w:r>
      <w:r w:rsidR="005E6784" w:rsidRPr="003F2C5B">
        <w:rPr>
          <w:rFonts w:ascii="Times New Roman" w:hAnsi="Times New Roman" w:cs="Times New Roman"/>
          <w:sz w:val="24"/>
        </w:rPr>
        <w:t xml:space="preserve"> Cumberland</w:t>
      </w:r>
      <w:r w:rsidR="005E3FED" w:rsidRPr="003F2C5B">
        <w:rPr>
          <w:rFonts w:ascii="Times New Roman" w:hAnsi="Times New Roman" w:cs="Times New Roman"/>
          <w:sz w:val="24"/>
        </w:rPr>
        <w:t>, North Wales</w:t>
      </w:r>
      <w:r w:rsidR="005E6784" w:rsidRPr="003F2C5B">
        <w:rPr>
          <w:rFonts w:ascii="Times New Roman" w:hAnsi="Times New Roman" w:cs="Times New Roman"/>
          <w:sz w:val="24"/>
        </w:rPr>
        <w:t xml:space="preserve"> and Staffordshire contain v</w:t>
      </w:r>
      <w:r w:rsidR="005E6784">
        <w:rPr>
          <w:rFonts w:ascii="Times New Roman" w:hAnsi="Times New Roman" w:cs="Times New Roman"/>
          <w:sz w:val="24"/>
        </w:rPr>
        <w:t xml:space="preserve">isible pyrite, including </w:t>
      </w:r>
      <w:r w:rsidR="005E6784" w:rsidRPr="005E6784">
        <w:rPr>
          <w:rFonts w:ascii="Times New Roman" w:hAnsi="Times New Roman" w:cs="Times New Roman"/>
          <w:sz w:val="24"/>
        </w:rPr>
        <w:t>disseminated and concretionary banded (bedding-parallel) pyrite</w:t>
      </w:r>
      <w:r w:rsidR="005E6784">
        <w:rPr>
          <w:rFonts w:ascii="Times New Roman" w:hAnsi="Times New Roman" w:cs="Times New Roman"/>
          <w:sz w:val="24"/>
        </w:rPr>
        <w:t>,</w:t>
      </w:r>
      <w:r w:rsidR="005E6784" w:rsidRPr="005E6784">
        <w:rPr>
          <w:rFonts w:ascii="Times New Roman" w:hAnsi="Times New Roman" w:cs="Times New Roman"/>
          <w:sz w:val="24"/>
        </w:rPr>
        <w:t xml:space="preserve"> and discordant, typically vertical, cross-cutting pyrite (i.e. cleat-hosted pyrite concentrated within small fractures</w:t>
      </w:r>
      <w:r w:rsidR="005E6784">
        <w:rPr>
          <w:rFonts w:ascii="Times New Roman" w:hAnsi="Times New Roman" w:cs="Times New Roman"/>
          <w:sz w:val="24"/>
        </w:rPr>
        <w:t xml:space="preserve">). Samples from Ayrshire include </w:t>
      </w:r>
      <w:r w:rsidR="0032550B" w:rsidRPr="00E21E72">
        <w:rPr>
          <w:rFonts w:ascii="Times New Roman" w:hAnsi="Times New Roman" w:cs="Times New Roman"/>
          <w:sz w:val="24"/>
        </w:rPr>
        <w:t>1</w:t>
      </w:r>
      <w:r w:rsidR="00640617" w:rsidRPr="00E21E72">
        <w:rPr>
          <w:rFonts w:ascii="Times New Roman" w:hAnsi="Times New Roman" w:cs="Times New Roman"/>
          <w:sz w:val="24"/>
        </w:rPr>
        <w:t>-</w:t>
      </w:r>
      <w:r w:rsidR="0032550B" w:rsidRPr="00E21E72">
        <w:rPr>
          <w:rFonts w:ascii="Times New Roman" w:hAnsi="Times New Roman" w:cs="Times New Roman"/>
          <w:sz w:val="24"/>
        </w:rPr>
        <w:t xml:space="preserve">cm </w:t>
      </w:r>
      <w:r w:rsidR="00640617" w:rsidRPr="00E21E72">
        <w:rPr>
          <w:rFonts w:ascii="Times New Roman" w:hAnsi="Times New Roman" w:cs="Times New Roman"/>
          <w:sz w:val="24"/>
        </w:rPr>
        <w:t>thick</w:t>
      </w:r>
      <w:r w:rsidR="00640617">
        <w:rPr>
          <w:rFonts w:ascii="Times New Roman" w:hAnsi="Times New Roman" w:cs="Times New Roman"/>
          <w:sz w:val="24"/>
        </w:rPr>
        <w:t xml:space="preserve"> </w:t>
      </w:r>
      <w:r w:rsidR="005E6784">
        <w:rPr>
          <w:rFonts w:ascii="Times New Roman" w:hAnsi="Times New Roman" w:cs="Times New Roman"/>
          <w:sz w:val="24"/>
        </w:rPr>
        <w:t xml:space="preserve">bands </w:t>
      </w:r>
      <w:r w:rsidR="00775850">
        <w:rPr>
          <w:rFonts w:ascii="Times New Roman" w:hAnsi="Times New Roman" w:cs="Times New Roman"/>
          <w:sz w:val="24"/>
        </w:rPr>
        <w:t>with a</w:t>
      </w:r>
      <w:r w:rsidR="005E6784">
        <w:rPr>
          <w:rFonts w:ascii="Times New Roman" w:hAnsi="Times New Roman" w:cs="Times New Roman"/>
          <w:sz w:val="24"/>
        </w:rPr>
        <w:t xml:space="preserve"> high pyrite content. Samples contain </w:t>
      </w:r>
      <w:r w:rsidR="000A0D72">
        <w:rPr>
          <w:rFonts w:ascii="Times New Roman" w:hAnsi="Times New Roman" w:cs="Times New Roman"/>
          <w:sz w:val="24"/>
        </w:rPr>
        <w:t>a mean</w:t>
      </w:r>
      <w:r w:rsidR="005E6784" w:rsidRPr="005E6784">
        <w:rPr>
          <w:rFonts w:ascii="Times New Roman" w:hAnsi="Times New Roman" w:cs="Times New Roman"/>
          <w:sz w:val="24"/>
        </w:rPr>
        <w:t xml:space="preserve"> moisture content </w:t>
      </w:r>
      <w:r w:rsidR="0032550B">
        <w:rPr>
          <w:rFonts w:ascii="Times New Roman" w:hAnsi="Times New Roman" w:cs="Times New Roman"/>
          <w:sz w:val="24"/>
        </w:rPr>
        <w:t>of</w:t>
      </w:r>
      <w:r w:rsidR="005E6784" w:rsidRPr="005E6784">
        <w:rPr>
          <w:rFonts w:ascii="Times New Roman" w:hAnsi="Times New Roman" w:cs="Times New Roman"/>
          <w:sz w:val="24"/>
        </w:rPr>
        <w:t xml:space="preserve"> 4.8%, </w:t>
      </w:r>
      <w:r w:rsidR="005E6784">
        <w:rPr>
          <w:rFonts w:ascii="Times New Roman" w:hAnsi="Times New Roman" w:cs="Times New Roman"/>
          <w:sz w:val="24"/>
        </w:rPr>
        <w:t>fixed carbon content of</w:t>
      </w:r>
      <w:r w:rsidR="00902F79">
        <w:rPr>
          <w:rFonts w:ascii="Times New Roman" w:hAnsi="Times New Roman" w:cs="Times New Roman"/>
          <w:sz w:val="24"/>
        </w:rPr>
        <w:t xml:space="preserve"> 60%, vitrinite </w:t>
      </w:r>
      <w:r w:rsidR="0032550B">
        <w:rPr>
          <w:rFonts w:ascii="Times New Roman" w:hAnsi="Times New Roman" w:cs="Times New Roman"/>
          <w:sz w:val="24"/>
        </w:rPr>
        <w:t>of 78</w:t>
      </w:r>
      <w:r w:rsidR="00902F79">
        <w:rPr>
          <w:rFonts w:ascii="Times New Roman" w:hAnsi="Times New Roman" w:cs="Times New Roman"/>
          <w:sz w:val="24"/>
        </w:rPr>
        <w:t>%</w:t>
      </w:r>
      <w:r w:rsidR="00775850">
        <w:rPr>
          <w:rFonts w:ascii="Times New Roman" w:hAnsi="Times New Roman" w:cs="Times New Roman"/>
          <w:sz w:val="24"/>
        </w:rPr>
        <w:t xml:space="preserve"> maceral content</w:t>
      </w:r>
      <w:r w:rsidR="005E6784" w:rsidRPr="005E6784">
        <w:rPr>
          <w:rFonts w:ascii="Times New Roman" w:hAnsi="Times New Roman" w:cs="Times New Roman"/>
          <w:sz w:val="24"/>
        </w:rPr>
        <w:t xml:space="preserve"> and volatile matter</w:t>
      </w:r>
      <w:r w:rsidR="00775850">
        <w:rPr>
          <w:rFonts w:ascii="Times New Roman" w:hAnsi="Times New Roman" w:cs="Times New Roman"/>
          <w:sz w:val="24"/>
        </w:rPr>
        <w:t xml:space="preserve"> content</w:t>
      </w:r>
      <w:r w:rsidR="0032550B">
        <w:rPr>
          <w:rFonts w:ascii="Times New Roman" w:hAnsi="Times New Roman" w:cs="Times New Roman"/>
          <w:sz w:val="24"/>
        </w:rPr>
        <w:t xml:space="preserve"> of</w:t>
      </w:r>
      <w:r w:rsidR="005E6784" w:rsidRPr="005E6784">
        <w:rPr>
          <w:rFonts w:ascii="Times New Roman" w:hAnsi="Times New Roman" w:cs="Times New Roman"/>
          <w:sz w:val="24"/>
        </w:rPr>
        <w:t xml:space="preserve"> 30% (</w:t>
      </w:r>
      <w:r w:rsidR="005E6784">
        <w:rPr>
          <w:rFonts w:ascii="Times New Roman" w:hAnsi="Times New Roman" w:cs="Times New Roman"/>
          <w:sz w:val="24"/>
        </w:rPr>
        <w:t>BCURA, 2002</w:t>
      </w:r>
      <w:r w:rsidR="005E6784" w:rsidRPr="005E6784">
        <w:rPr>
          <w:rFonts w:ascii="Times New Roman" w:hAnsi="Times New Roman" w:cs="Times New Roman"/>
          <w:sz w:val="24"/>
        </w:rPr>
        <w:t>).</w:t>
      </w:r>
    </w:p>
    <w:p w14:paraId="58690C35" w14:textId="77777777" w:rsidR="005E6784" w:rsidRDefault="005E6784" w:rsidP="00C63800">
      <w:pPr>
        <w:spacing w:line="360" w:lineRule="auto"/>
        <w:jc w:val="both"/>
        <w:rPr>
          <w:rFonts w:ascii="Times New Roman" w:hAnsi="Times New Roman" w:cs="Times New Roman"/>
          <w:sz w:val="24"/>
        </w:rPr>
      </w:pPr>
    </w:p>
    <w:p w14:paraId="51064331" w14:textId="77777777" w:rsidR="005E6784" w:rsidRPr="00CC7122" w:rsidRDefault="005E6784" w:rsidP="004B1A8C">
      <w:pPr>
        <w:spacing w:line="360" w:lineRule="auto"/>
        <w:jc w:val="both"/>
        <w:outlineLvl w:val="0"/>
        <w:rPr>
          <w:rFonts w:ascii="Times New Roman" w:hAnsi="Times New Roman" w:cs="Times New Roman"/>
          <w:b/>
          <w:sz w:val="24"/>
        </w:rPr>
      </w:pPr>
      <w:r w:rsidRPr="00E21E72">
        <w:rPr>
          <w:rFonts w:ascii="Times New Roman" w:hAnsi="Times New Roman" w:cs="Times New Roman"/>
          <w:b/>
          <w:sz w:val="24"/>
        </w:rPr>
        <w:t>4.2 Se-Te content of British coals</w:t>
      </w:r>
    </w:p>
    <w:p w14:paraId="69A00AA5" w14:textId="366BB931" w:rsidR="00424430" w:rsidRDefault="006C37E8" w:rsidP="00C63800">
      <w:pPr>
        <w:spacing w:line="360" w:lineRule="auto"/>
        <w:jc w:val="both"/>
        <w:rPr>
          <w:rFonts w:ascii="Times New Roman" w:hAnsi="Times New Roman" w:cs="Times New Roman"/>
          <w:sz w:val="24"/>
        </w:rPr>
      </w:pPr>
      <w:r w:rsidRPr="008356A4">
        <w:rPr>
          <w:rFonts w:ascii="Times New Roman" w:hAnsi="Times New Roman" w:cs="Times New Roman"/>
          <w:sz w:val="24"/>
        </w:rPr>
        <w:t xml:space="preserve">Results are shown in Table </w:t>
      </w:r>
      <w:r w:rsidR="00902F79">
        <w:rPr>
          <w:rFonts w:ascii="Times New Roman" w:hAnsi="Times New Roman" w:cs="Times New Roman"/>
          <w:sz w:val="24"/>
        </w:rPr>
        <w:t xml:space="preserve">1 </w:t>
      </w:r>
      <w:r w:rsidRPr="003F2C5B">
        <w:rPr>
          <w:rFonts w:ascii="Times New Roman" w:hAnsi="Times New Roman" w:cs="Times New Roman"/>
          <w:sz w:val="24"/>
        </w:rPr>
        <w:t>and Fig</w:t>
      </w:r>
      <w:r w:rsidR="00640617" w:rsidRPr="003F2C5B">
        <w:rPr>
          <w:rFonts w:ascii="Times New Roman" w:hAnsi="Times New Roman" w:cs="Times New Roman"/>
          <w:sz w:val="24"/>
        </w:rPr>
        <w:t>ures</w:t>
      </w:r>
      <w:r w:rsidRPr="003F2C5B">
        <w:rPr>
          <w:rFonts w:ascii="Times New Roman" w:hAnsi="Times New Roman" w:cs="Times New Roman"/>
          <w:sz w:val="24"/>
        </w:rPr>
        <w:t xml:space="preserve"> </w:t>
      </w:r>
      <w:r w:rsidR="00DC7377" w:rsidRPr="003F2C5B">
        <w:rPr>
          <w:rFonts w:ascii="Times New Roman" w:hAnsi="Times New Roman" w:cs="Times New Roman"/>
          <w:sz w:val="24"/>
        </w:rPr>
        <w:t>3</w:t>
      </w:r>
      <w:r w:rsidRPr="003F2C5B">
        <w:rPr>
          <w:rFonts w:ascii="Times New Roman" w:hAnsi="Times New Roman" w:cs="Times New Roman"/>
          <w:sz w:val="24"/>
        </w:rPr>
        <w:t>-</w:t>
      </w:r>
      <w:r w:rsidR="00FD1825" w:rsidRPr="003F2C5B">
        <w:rPr>
          <w:rFonts w:ascii="Times New Roman" w:hAnsi="Times New Roman" w:cs="Times New Roman"/>
          <w:sz w:val="24"/>
        </w:rPr>
        <w:t>9</w:t>
      </w:r>
      <w:r w:rsidRPr="003F2C5B">
        <w:rPr>
          <w:rFonts w:ascii="Times New Roman" w:hAnsi="Times New Roman" w:cs="Times New Roman"/>
          <w:sz w:val="24"/>
        </w:rPr>
        <w:t xml:space="preserve">. The world </w:t>
      </w:r>
      <w:r w:rsidR="000A0D72" w:rsidRPr="003F2C5B">
        <w:rPr>
          <w:rFonts w:ascii="Times New Roman" w:hAnsi="Times New Roman" w:cs="Times New Roman"/>
          <w:sz w:val="24"/>
        </w:rPr>
        <w:t>mean</w:t>
      </w:r>
      <w:r w:rsidRPr="003F2C5B">
        <w:rPr>
          <w:rFonts w:ascii="Times New Roman" w:hAnsi="Times New Roman" w:cs="Times New Roman"/>
          <w:sz w:val="24"/>
        </w:rPr>
        <w:t xml:space="preserve"> Se content</w:t>
      </w:r>
      <w:r w:rsidR="0032550B" w:rsidRPr="003F2C5B">
        <w:rPr>
          <w:rFonts w:ascii="Times New Roman" w:hAnsi="Times New Roman" w:cs="Times New Roman"/>
          <w:sz w:val="24"/>
        </w:rPr>
        <w:t xml:space="preserve"> of coals</w:t>
      </w:r>
      <w:r w:rsidRPr="003F2C5B">
        <w:rPr>
          <w:rFonts w:ascii="Times New Roman" w:hAnsi="Times New Roman" w:cs="Times New Roman"/>
          <w:sz w:val="24"/>
        </w:rPr>
        <w:t xml:space="preserve"> has been previously estimated in several studies, generally giving a range of 1-3 </w:t>
      </w:r>
      <w:r w:rsidR="00CE47CA" w:rsidRPr="003F2C5B">
        <w:rPr>
          <w:rFonts w:ascii="Times New Roman" w:hAnsi="Times New Roman" w:cs="Times New Roman"/>
          <w:sz w:val="24"/>
        </w:rPr>
        <w:t>mg/kg</w:t>
      </w:r>
      <w:r w:rsidRPr="003F2C5B">
        <w:rPr>
          <w:rFonts w:ascii="Times New Roman" w:hAnsi="Times New Roman" w:cs="Times New Roman"/>
          <w:sz w:val="24"/>
        </w:rPr>
        <w:t xml:space="preserve"> (</w:t>
      </w:r>
      <w:r w:rsidR="00640617" w:rsidRPr="003F2C5B">
        <w:rPr>
          <w:rFonts w:ascii="Times New Roman" w:hAnsi="Times New Roman" w:cs="Times New Roman"/>
          <w:sz w:val="24"/>
        </w:rPr>
        <w:t xml:space="preserve">Nalbandian, 2012; </w:t>
      </w:r>
      <w:r w:rsidRPr="003F2C5B">
        <w:rPr>
          <w:rFonts w:ascii="Times New Roman" w:hAnsi="Times New Roman" w:cs="Times New Roman"/>
          <w:sz w:val="24"/>
        </w:rPr>
        <w:t xml:space="preserve">PECH, 1980; Valkovic, 1983; Yudovich </w:t>
      </w:r>
      <w:r w:rsidR="00640617" w:rsidRPr="003F2C5B">
        <w:rPr>
          <w:rFonts w:ascii="Times New Roman" w:hAnsi="Times New Roman" w:cs="Times New Roman"/>
          <w:sz w:val="24"/>
        </w:rPr>
        <w:t xml:space="preserve">&amp; </w:t>
      </w:r>
      <w:r w:rsidRPr="003F2C5B">
        <w:rPr>
          <w:rFonts w:ascii="Times New Roman" w:hAnsi="Times New Roman" w:cs="Times New Roman"/>
          <w:sz w:val="24"/>
        </w:rPr>
        <w:t xml:space="preserve">Ketris, 2006). Here, Se values in excess of 4 </w:t>
      </w:r>
      <w:r w:rsidR="00CE47CA" w:rsidRPr="003F2C5B">
        <w:rPr>
          <w:rFonts w:ascii="Times New Roman" w:hAnsi="Times New Roman" w:cs="Times New Roman"/>
          <w:sz w:val="24"/>
        </w:rPr>
        <w:t>mg/kg</w:t>
      </w:r>
      <w:r w:rsidRPr="003F2C5B">
        <w:rPr>
          <w:rFonts w:ascii="Times New Roman" w:hAnsi="Times New Roman" w:cs="Times New Roman"/>
          <w:sz w:val="24"/>
        </w:rPr>
        <w:t xml:space="preserve"> are considered anomalous. This is based on concentrations known to lead to environmental implications (e.g. </w:t>
      </w:r>
      <w:r w:rsidR="00BC5D01" w:rsidRPr="003F2C5B">
        <w:rPr>
          <w:rFonts w:ascii="Times New Roman" w:hAnsi="Times New Roman" w:cs="Times New Roman"/>
          <w:sz w:val="24"/>
        </w:rPr>
        <w:t>3.6</w:t>
      </w:r>
      <w:r w:rsidRPr="003F2C5B">
        <w:rPr>
          <w:rFonts w:ascii="Times New Roman" w:hAnsi="Times New Roman" w:cs="Times New Roman"/>
          <w:sz w:val="24"/>
        </w:rPr>
        <w:t xml:space="preserve"> </w:t>
      </w:r>
      <w:r w:rsidR="00CE47CA" w:rsidRPr="003F2C5B">
        <w:rPr>
          <w:rFonts w:ascii="Times New Roman" w:hAnsi="Times New Roman" w:cs="Times New Roman"/>
          <w:sz w:val="24"/>
        </w:rPr>
        <w:t>mg/kg</w:t>
      </w:r>
      <w:r w:rsidR="000A0D72" w:rsidRPr="003F2C5B">
        <w:rPr>
          <w:rFonts w:ascii="Times New Roman" w:hAnsi="Times New Roman" w:cs="Times New Roman"/>
          <w:sz w:val="24"/>
        </w:rPr>
        <w:t xml:space="preserve"> mean</w:t>
      </w:r>
      <w:r w:rsidRPr="003F2C5B">
        <w:rPr>
          <w:rFonts w:ascii="Times New Roman" w:hAnsi="Times New Roman" w:cs="Times New Roman"/>
          <w:sz w:val="24"/>
        </w:rPr>
        <w:t xml:space="preserve"> Se in </w:t>
      </w:r>
      <w:r w:rsidR="00BC5D01" w:rsidRPr="003F2C5B">
        <w:rPr>
          <w:rFonts w:ascii="Times New Roman" w:hAnsi="Times New Roman" w:cs="Times New Roman"/>
          <w:sz w:val="24"/>
        </w:rPr>
        <w:t>British Columbia</w:t>
      </w:r>
      <w:r w:rsidRPr="003F2C5B">
        <w:rPr>
          <w:rFonts w:ascii="Times New Roman" w:hAnsi="Times New Roman" w:cs="Times New Roman"/>
          <w:sz w:val="24"/>
        </w:rPr>
        <w:t xml:space="preserve"> coals; </w:t>
      </w:r>
      <w:r w:rsidR="00BC5D01" w:rsidRPr="003F2C5B">
        <w:rPr>
          <w:rFonts w:ascii="Times New Roman" w:hAnsi="Times New Roman" w:cs="Times New Roman"/>
          <w:sz w:val="24"/>
        </w:rPr>
        <w:t>Vesper et al.</w:t>
      </w:r>
      <w:r w:rsidR="002937F2" w:rsidRPr="003F2C5B">
        <w:rPr>
          <w:rFonts w:ascii="Times New Roman" w:hAnsi="Times New Roman" w:cs="Times New Roman"/>
          <w:sz w:val="24"/>
        </w:rPr>
        <w:t>,</w:t>
      </w:r>
      <w:r w:rsidR="00BC5D01" w:rsidRPr="003F2C5B">
        <w:rPr>
          <w:rFonts w:ascii="Times New Roman" w:hAnsi="Times New Roman" w:cs="Times New Roman"/>
          <w:sz w:val="24"/>
        </w:rPr>
        <w:t xml:space="preserve"> 2008</w:t>
      </w:r>
      <w:r w:rsidRPr="003F2C5B">
        <w:rPr>
          <w:rFonts w:ascii="Times New Roman" w:hAnsi="Times New Roman" w:cs="Times New Roman"/>
          <w:sz w:val="24"/>
        </w:rPr>
        <w:t>).</w:t>
      </w:r>
      <w:r w:rsidRPr="008356A4">
        <w:rPr>
          <w:rFonts w:ascii="Times New Roman" w:hAnsi="Times New Roman" w:cs="Times New Roman"/>
          <w:sz w:val="24"/>
        </w:rPr>
        <w:t xml:space="preserve"> </w:t>
      </w:r>
    </w:p>
    <w:p w14:paraId="784C84E4" w14:textId="342BA922" w:rsidR="005C3871" w:rsidRPr="00426C2D" w:rsidRDefault="008356A4" w:rsidP="00424430">
      <w:pPr>
        <w:spacing w:line="360" w:lineRule="auto"/>
        <w:ind w:firstLine="720"/>
        <w:jc w:val="both"/>
        <w:rPr>
          <w:rFonts w:ascii="Times New Roman" w:hAnsi="Times New Roman" w:cs="Times New Roman"/>
          <w:sz w:val="24"/>
        </w:rPr>
      </w:pPr>
      <w:r w:rsidRPr="008356A4">
        <w:rPr>
          <w:rFonts w:ascii="Times New Roman" w:hAnsi="Times New Roman" w:cs="Times New Roman"/>
          <w:sz w:val="24"/>
        </w:rPr>
        <w:t xml:space="preserve">The </w:t>
      </w:r>
      <w:r w:rsidR="000A0D72">
        <w:rPr>
          <w:rFonts w:ascii="Times New Roman" w:hAnsi="Times New Roman" w:cs="Times New Roman"/>
          <w:sz w:val="24"/>
        </w:rPr>
        <w:t>arithmetic mean</w:t>
      </w:r>
      <w:r w:rsidRPr="008356A4">
        <w:rPr>
          <w:rFonts w:ascii="Times New Roman" w:hAnsi="Times New Roman" w:cs="Times New Roman"/>
          <w:sz w:val="24"/>
        </w:rPr>
        <w:t xml:space="preserve"> British coal Se content f</w:t>
      </w:r>
      <w:r w:rsidR="00902F79">
        <w:rPr>
          <w:rFonts w:ascii="Times New Roman" w:hAnsi="Times New Roman" w:cs="Times New Roman"/>
          <w:sz w:val="24"/>
        </w:rPr>
        <w:t>or</w:t>
      </w:r>
      <w:r w:rsidRPr="008356A4">
        <w:rPr>
          <w:rFonts w:ascii="Times New Roman" w:hAnsi="Times New Roman" w:cs="Times New Roman"/>
          <w:sz w:val="24"/>
        </w:rPr>
        <w:t xml:space="preserve"> samples analysed in this study is 2.1 </w:t>
      </w:r>
      <w:r w:rsidR="00CE47CA">
        <w:rPr>
          <w:rFonts w:ascii="Times New Roman" w:hAnsi="Times New Roman" w:cs="Times New Roman"/>
          <w:sz w:val="24"/>
        </w:rPr>
        <w:t>mg/kg</w:t>
      </w:r>
      <w:r w:rsidRPr="008356A4">
        <w:rPr>
          <w:rFonts w:ascii="Times New Roman" w:hAnsi="Times New Roman" w:cs="Times New Roman"/>
          <w:sz w:val="24"/>
        </w:rPr>
        <w:t xml:space="preserve">, in line with world </w:t>
      </w:r>
      <w:r w:rsidR="000A0D72">
        <w:rPr>
          <w:rFonts w:ascii="Times New Roman" w:hAnsi="Times New Roman" w:cs="Times New Roman"/>
          <w:sz w:val="24"/>
        </w:rPr>
        <w:t>mean</w:t>
      </w:r>
      <w:r w:rsidRPr="008356A4">
        <w:rPr>
          <w:rFonts w:ascii="Times New Roman" w:hAnsi="Times New Roman" w:cs="Times New Roman"/>
          <w:sz w:val="24"/>
        </w:rPr>
        <w:t xml:space="preserve"> content</w:t>
      </w:r>
      <w:r w:rsidR="009E2FF3">
        <w:rPr>
          <w:rFonts w:ascii="Times New Roman" w:hAnsi="Times New Roman" w:cs="Times New Roman"/>
          <w:sz w:val="24"/>
        </w:rPr>
        <w:t xml:space="preserve"> and sl</w:t>
      </w:r>
      <w:r w:rsidR="000A0D72">
        <w:rPr>
          <w:rFonts w:ascii="Times New Roman" w:hAnsi="Times New Roman" w:cs="Times New Roman"/>
          <w:sz w:val="24"/>
        </w:rPr>
        <w:t>ightly higher than the British mean</w:t>
      </w:r>
      <w:r w:rsidR="009E2FF3">
        <w:rPr>
          <w:rFonts w:ascii="Times New Roman" w:hAnsi="Times New Roman" w:cs="Times New Roman"/>
          <w:sz w:val="24"/>
        </w:rPr>
        <w:t xml:space="preserve"> of Spears and Zheng (1999)</w:t>
      </w:r>
      <w:r w:rsidRPr="008356A4">
        <w:rPr>
          <w:rFonts w:ascii="Times New Roman" w:hAnsi="Times New Roman" w:cs="Times New Roman"/>
          <w:sz w:val="24"/>
        </w:rPr>
        <w:t xml:space="preserve">. This value is slightly higher than the world </w:t>
      </w:r>
      <w:r w:rsidR="000A0D72">
        <w:rPr>
          <w:rFonts w:ascii="Times New Roman" w:hAnsi="Times New Roman" w:cs="Times New Roman"/>
          <w:sz w:val="24"/>
        </w:rPr>
        <w:t>mean</w:t>
      </w:r>
      <w:r w:rsidRPr="008356A4">
        <w:rPr>
          <w:rFonts w:ascii="Times New Roman" w:hAnsi="Times New Roman" w:cs="Times New Roman"/>
          <w:sz w:val="24"/>
        </w:rPr>
        <w:t xml:space="preserve"> Se content for bituminous coals of 1.6 </w:t>
      </w:r>
      <w:r w:rsidR="00CE47CA">
        <w:rPr>
          <w:rFonts w:ascii="Times New Roman" w:hAnsi="Times New Roman" w:cs="Times New Roman"/>
          <w:sz w:val="24"/>
        </w:rPr>
        <w:t>mg/kg</w:t>
      </w:r>
      <w:r w:rsidRPr="008356A4">
        <w:rPr>
          <w:rFonts w:ascii="Times New Roman" w:hAnsi="Times New Roman" w:cs="Times New Roman"/>
          <w:sz w:val="24"/>
        </w:rPr>
        <w:t xml:space="preserve"> (</w:t>
      </w:r>
      <w:r w:rsidRPr="00DB6417">
        <w:rPr>
          <w:rFonts w:ascii="Times New Roman" w:hAnsi="Times New Roman" w:cs="Times New Roman"/>
          <w:sz w:val="24"/>
        </w:rPr>
        <w:t xml:space="preserve">Yudovich </w:t>
      </w:r>
      <w:r w:rsidR="00640617" w:rsidRPr="00DB6417">
        <w:rPr>
          <w:rFonts w:ascii="Times New Roman" w:hAnsi="Times New Roman" w:cs="Times New Roman"/>
          <w:sz w:val="24"/>
        </w:rPr>
        <w:t>&amp;</w:t>
      </w:r>
      <w:r w:rsidR="00640617" w:rsidRPr="008356A4">
        <w:rPr>
          <w:rFonts w:ascii="Times New Roman" w:hAnsi="Times New Roman" w:cs="Times New Roman"/>
          <w:sz w:val="24"/>
        </w:rPr>
        <w:t xml:space="preserve"> </w:t>
      </w:r>
      <w:r w:rsidRPr="008356A4">
        <w:rPr>
          <w:rFonts w:ascii="Times New Roman" w:hAnsi="Times New Roman" w:cs="Times New Roman"/>
          <w:sz w:val="24"/>
        </w:rPr>
        <w:t xml:space="preserve">Ketris, 2006). </w:t>
      </w:r>
      <w:r w:rsidR="001D19E3" w:rsidRPr="00D96A42">
        <w:rPr>
          <w:rFonts w:ascii="Times New Roman" w:hAnsi="Times New Roman" w:cs="Times New Roman"/>
          <w:sz w:val="24"/>
        </w:rPr>
        <w:t>Overall, samples with detectable Te show an increase with increasing Se</w:t>
      </w:r>
      <w:r w:rsidR="001D19E3">
        <w:rPr>
          <w:rFonts w:ascii="Times New Roman" w:hAnsi="Times New Roman" w:cs="Times New Roman"/>
          <w:sz w:val="24"/>
        </w:rPr>
        <w:t>, with a strong positive correlation (linear trendline R</w:t>
      </w:r>
      <w:r w:rsidR="001D19E3" w:rsidRPr="007450CB">
        <w:rPr>
          <w:rFonts w:ascii="Times New Roman" w:hAnsi="Times New Roman" w:cs="Times New Roman"/>
          <w:sz w:val="24"/>
          <w:vertAlign w:val="superscript"/>
        </w:rPr>
        <w:t>2</w:t>
      </w:r>
      <w:r w:rsidR="001D19E3">
        <w:rPr>
          <w:rFonts w:ascii="Times New Roman" w:hAnsi="Times New Roman" w:cs="Times New Roman"/>
          <w:sz w:val="24"/>
        </w:rPr>
        <w:t xml:space="preserve"> value = 0.85, calculated using Microsoft Excel; </w:t>
      </w:r>
      <w:r w:rsidR="001D19E3" w:rsidRPr="00DB6417">
        <w:rPr>
          <w:rFonts w:ascii="Times New Roman" w:hAnsi="Times New Roman" w:cs="Times New Roman"/>
          <w:sz w:val="24"/>
        </w:rPr>
        <w:t xml:space="preserve">Figure </w:t>
      </w:r>
      <w:r w:rsidR="001D19E3">
        <w:rPr>
          <w:rFonts w:ascii="Times New Roman" w:hAnsi="Times New Roman" w:cs="Times New Roman"/>
          <w:sz w:val="24"/>
        </w:rPr>
        <w:t>3</w:t>
      </w:r>
      <w:r w:rsidR="00424430">
        <w:rPr>
          <w:rFonts w:ascii="Times New Roman" w:hAnsi="Times New Roman" w:cs="Times New Roman"/>
          <w:sz w:val="24"/>
        </w:rPr>
        <w:t xml:space="preserve">). </w:t>
      </w:r>
      <w:r w:rsidR="00424430" w:rsidRPr="00DB6417">
        <w:rPr>
          <w:rFonts w:ascii="Times New Roman" w:hAnsi="Times New Roman" w:cs="Times New Roman"/>
          <w:sz w:val="24"/>
        </w:rPr>
        <w:t>The</w:t>
      </w:r>
      <w:r w:rsidR="00424430" w:rsidRPr="00E64131">
        <w:rPr>
          <w:rFonts w:ascii="Times New Roman" w:hAnsi="Times New Roman" w:cs="Times New Roman"/>
          <w:sz w:val="24"/>
        </w:rPr>
        <w:t xml:space="preserve"> </w:t>
      </w:r>
      <w:r w:rsidR="00424430">
        <w:rPr>
          <w:rFonts w:ascii="Times New Roman" w:hAnsi="Times New Roman" w:cs="Times New Roman"/>
          <w:sz w:val="24"/>
        </w:rPr>
        <w:t xml:space="preserve">standard mode </w:t>
      </w:r>
      <w:r w:rsidR="00424430" w:rsidRPr="00E64131">
        <w:rPr>
          <w:rFonts w:ascii="Times New Roman" w:hAnsi="Times New Roman" w:cs="Times New Roman"/>
          <w:sz w:val="24"/>
        </w:rPr>
        <w:t xml:space="preserve">method shows a mean Se content of </w:t>
      </w:r>
      <w:r w:rsidR="00424430">
        <w:rPr>
          <w:rFonts w:ascii="Times New Roman" w:hAnsi="Times New Roman" w:cs="Times New Roman"/>
          <w:sz w:val="24"/>
        </w:rPr>
        <w:t>2.5 mg/kg</w:t>
      </w:r>
      <w:r w:rsidR="00424430" w:rsidRPr="00E64131">
        <w:rPr>
          <w:rFonts w:ascii="Times New Roman" w:hAnsi="Times New Roman" w:cs="Times New Roman"/>
          <w:sz w:val="24"/>
        </w:rPr>
        <w:t xml:space="preserve">, </w:t>
      </w:r>
      <w:r w:rsidR="00424430">
        <w:rPr>
          <w:rFonts w:ascii="Times New Roman" w:hAnsi="Times New Roman" w:cs="Times New Roman"/>
          <w:sz w:val="24"/>
        </w:rPr>
        <w:t>similar to that of</w:t>
      </w:r>
      <w:r w:rsidR="00424430" w:rsidRPr="00E64131">
        <w:rPr>
          <w:rFonts w:ascii="Times New Roman" w:hAnsi="Times New Roman" w:cs="Times New Roman"/>
          <w:sz w:val="24"/>
        </w:rPr>
        <w:t xml:space="preserve"> the </w:t>
      </w:r>
      <w:r w:rsidR="00424430">
        <w:rPr>
          <w:rFonts w:ascii="Times New Roman" w:hAnsi="Times New Roman" w:cs="Times New Roman"/>
          <w:sz w:val="24"/>
        </w:rPr>
        <w:t>CRC</w:t>
      </w:r>
      <w:r w:rsidR="00424430" w:rsidRPr="00E64131">
        <w:rPr>
          <w:rFonts w:ascii="Times New Roman" w:hAnsi="Times New Roman" w:cs="Times New Roman"/>
          <w:sz w:val="24"/>
        </w:rPr>
        <w:t xml:space="preserve"> method of 2.3 </w:t>
      </w:r>
      <w:r w:rsidR="00424430">
        <w:rPr>
          <w:rFonts w:ascii="Times New Roman" w:hAnsi="Times New Roman" w:cs="Times New Roman"/>
          <w:sz w:val="24"/>
        </w:rPr>
        <w:t>mg/kg</w:t>
      </w:r>
      <w:r w:rsidR="00424430" w:rsidRPr="00E64131">
        <w:rPr>
          <w:rFonts w:ascii="Times New Roman" w:hAnsi="Times New Roman" w:cs="Times New Roman"/>
          <w:sz w:val="24"/>
        </w:rPr>
        <w:t xml:space="preserve">. </w:t>
      </w:r>
      <w:r w:rsidR="00C57CEA">
        <w:rPr>
          <w:rFonts w:ascii="Times New Roman" w:hAnsi="Times New Roman" w:cs="Times New Roman"/>
          <w:sz w:val="24"/>
        </w:rPr>
        <w:t xml:space="preserve">Ayrshire (3.7 </w:t>
      </w:r>
      <w:r w:rsidR="00CE47CA">
        <w:rPr>
          <w:rFonts w:ascii="Times New Roman" w:hAnsi="Times New Roman" w:cs="Times New Roman"/>
          <w:sz w:val="24"/>
        </w:rPr>
        <w:t>mg/kg</w:t>
      </w:r>
      <w:r w:rsidR="00C57CEA">
        <w:rPr>
          <w:rFonts w:ascii="Times New Roman" w:hAnsi="Times New Roman" w:cs="Times New Roman"/>
          <w:sz w:val="24"/>
        </w:rPr>
        <w:t xml:space="preserve">) and North Wales (3.7 </w:t>
      </w:r>
      <w:r w:rsidR="00CE47CA">
        <w:rPr>
          <w:rFonts w:ascii="Times New Roman" w:hAnsi="Times New Roman" w:cs="Times New Roman"/>
          <w:sz w:val="24"/>
        </w:rPr>
        <w:t>mg/kg</w:t>
      </w:r>
      <w:r w:rsidR="00C57CEA">
        <w:rPr>
          <w:rFonts w:ascii="Times New Roman" w:hAnsi="Times New Roman" w:cs="Times New Roman"/>
          <w:sz w:val="24"/>
        </w:rPr>
        <w:t xml:space="preserve">) show the highest </w:t>
      </w:r>
      <w:r w:rsidR="000A0D72">
        <w:rPr>
          <w:rFonts w:ascii="Times New Roman" w:hAnsi="Times New Roman" w:cs="Times New Roman"/>
          <w:sz w:val="24"/>
        </w:rPr>
        <w:t>mean</w:t>
      </w:r>
      <w:r w:rsidR="002634F5">
        <w:rPr>
          <w:rFonts w:ascii="Times New Roman" w:hAnsi="Times New Roman" w:cs="Times New Roman"/>
          <w:sz w:val="24"/>
        </w:rPr>
        <w:t xml:space="preserve"> regional</w:t>
      </w:r>
      <w:r w:rsidR="00C57CEA">
        <w:rPr>
          <w:rFonts w:ascii="Times New Roman" w:hAnsi="Times New Roman" w:cs="Times New Roman"/>
          <w:sz w:val="24"/>
        </w:rPr>
        <w:t xml:space="preserve"> Se content from the sample set</w:t>
      </w:r>
      <w:r w:rsidR="00A17A6C">
        <w:rPr>
          <w:rFonts w:ascii="Times New Roman" w:hAnsi="Times New Roman" w:cs="Times New Roman"/>
          <w:sz w:val="24"/>
        </w:rPr>
        <w:t xml:space="preserve"> </w:t>
      </w:r>
      <w:r w:rsidR="00A17A6C" w:rsidRPr="00DB6417">
        <w:rPr>
          <w:rFonts w:ascii="Times New Roman" w:hAnsi="Times New Roman" w:cs="Times New Roman"/>
          <w:sz w:val="24"/>
        </w:rPr>
        <w:t>(</w:t>
      </w:r>
      <w:r w:rsidR="004B1A8C" w:rsidRPr="00DB6417">
        <w:rPr>
          <w:rFonts w:ascii="Times New Roman" w:hAnsi="Times New Roman" w:cs="Times New Roman"/>
          <w:sz w:val="24"/>
        </w:rPr>
        <w:t>Figure</w:t>
      </w:r>
      <w:r w:rsidR="00A17A6C" w:rsidRPr="00DB6417">
        <w:rPr>
          <w:rFonts w:ascii="Times New Roman" w:hAnsi="Times New Roman" w:cs="Times New Roman"/>
          <w:sz w:val="24"/>
        </w:rPr>
        <w:t xml:space="preserve"> </w:t>
      </w:r>
      <w:r w:rsidR="00FD1825">
        <w:rPr>
          <w:rFonts w:ascii="Times New Roman" w:hAnsi="Times New Roman" w:cs="Times New Roman"/>
          <w:sz w:val="24"/>
        </w:rPr>
        <w:t>4</w:t>
      </w:r>
      <w:r w:rsidR="00A17A6C" w:rsidRPr="00DB6417">
        <w:rPr>
          <w:rFonts w:ascii="Times New Roman" w:hAnsi="Times New Roman" w:cs="Times New Roman"/>
          <w:sz w:val="24"/>
        </w:rPr>
        <w:t>)</w:t>
      </w:r>
      <w:r w:rsidR="00C57CEA" w:rsidRPr="00DB6417">
        <w:rPr>
          <w:rFonts w:ascii="Times New Roman" w:hAnsi="Times New Roman" w:cs="Times New Roman"/>
          <w:sz w:val="24"/>
        </w:rPr>
        <w:t xml:space="preserve">. </w:t>
      </w:r>
      <w:r w:rsidRPr="00DB6417">
        <w:rPr>
          <w:rFonts w:ascii="Times New Roman" w:hAnsi="Times New Roman" w:cs="Times New Roman"/>
          <w:sz w:val="24"/>
        </w:rPr>
        <w:t>Anomalous Se is recog</w:t>
      </w:r>
      <w:r w:rsidR="00930185" w:rsidRPr="00CA2455">
        <w:rPr>
          <w:rFonts w:ascii="Times New Roman" w:hAnsi="Times New Roman" w:cs="Times New Roman"/>
          <w:sz w:val="24"/>
        </w:rPr>
        <w:t>nised in</w:t>
      </w:r>
      <w:r w:rsidR="002634F5" w:rsidRPr="00CA2455">
        <w:rPr>
          <w:rFonts w:ascii="Times New Roman" w:hAnsi="Times New Roman" w:cs="Times New Roman"/>
          <w:sz w:val="24"/>
        </w:rPr>
        <w:t xml:space="preserve"> individual</w:t>
      </w:r>
      <w:r w:rsidR="00930185" w:rsidRPr="00CA2455">
        <w:rPr>
          <w:rFonts w:ascii="Times New Roman" w:hAnsi="Times New Roman" w:cs="Times New Roman"/>
          <w:sz w:val="24"/>
        </w:rPr>
        <w:t xml:space="preserve"> coal sample</w:t>
      </w:r>
      <w:r w:rsidR="002634F5" w:rsidRPr="00CA2455">
        <w:rPr>
          <w:rFonts w:ascii="Times New Roman" w:hAnsi="Times New Roman" w:cs="Times New Roman"/>
          <w:sz w:val="24"/>
        </w:rPr>
        <w:t xml:space="preserve"> localitie</w:t>
      </w:r>
      <w:r w:rsidR="00930185" w:rsidRPr="00CA2455">
        <w:rPr>
          <w:rFonts w:ascii="Times New Roman" w:hAnsi="Times New Roman" w:cs="Times New Roman"/>
          <w:sz w:val="24"/>
        </w:rPr>
        <w:t xml:space="preserve">s from </w:t>
      </w:r>
      <w:r w:rsidR="00BC5D01">
        <w:rPr>
          <w:rFonts w:ascii="Times New Roman" w:hAnsi="Times New Roman" w:cs="Times New Roman"/>
          <w:sz w:val="24"/>
        </w:rPr>
        <w:t>Fife-Stirling</w:t>
      </w:r>
      <w:r w:rsidRPr="007D1762">
        <w:rPr>
          <w:rFonts w:ascii="Times New Roman" w:hAnsi="Times New Roman" w:cs="Times New Roman"/>
          <w:sz w:val="24"/>
        </w:rPr>
        <w:t xml:space="preserve"> (6 </w:t>
      </w:r>
      <w:r w:rsidR="00CE47CA" w:rsidRPr="007D1762">
        <w:rPr>
          <w:rFonts w:ascii="Times New Roman" w:hAnsi="Times New Roman" w:cs="Times New Roman"/>
          <w:sz w:val="24"/>
        </w:rPr>
        <w:t>mg/kg</w:t>
      </w:r>
      <w:r w:rsidRPr="0081317D">
        <w:rPr>
          <w:rFonts w:ascii="Times New Roman" w:hAnsi="Times New Roman" w:cs="Times New Roman"/>
          <w:sz w:val="24"/>
        </w:rPr>
        <w:t xml:space="preserve">), </w:t>
      </w:r>
      <w:r w:rsidR="00DB6417" w:rsidRPr="00DB6417">
        <w:rPr>
          <w:rFonts w:ascii="Times New Roman" w:hAnsi="Times New Roman" w:cs="Times New Roman"/>
          <w:sz w:val="24"/>
        </w:rPr>
        <w:t xml:space="preserve">Northumberland (5.9 mg/kg), </w:t>
      </w:r>
      <w:r w:rsidRPr="00DB6417">
        <w:rPr>
          <w:rFonts w:ascii="Times New Roman" w:hAnsi="Times New Roman" w:cs="Times New Roman"/>
          <w:sz w:val="24"/>
        </w:rPr>
        <w:t xml:space="preserve">Nottinghamshire (5.3 </w:t>
      </w:r>
      <w:r w:rsidR="00CE47CA" w:rsidRPr="00DB6417">
        <w:rPr>
          <w:rFonts w:ascii="Times New Roman" w:hAnsi="Times New Roman" w:cs="Times New Roman"/>
          <w:sz w:val="24"/>
        </w:rPr>
        <w:t>mg/kg</w:t>
      </w:r>
      <w:r w:rsidRPr="00DB6417">
        <w:rPr>
          <w:rFonts w:ascii="Times New Roman" w:hAnsi="Times New Roman" w:cs="Times New Roman"/>
          <w:sz w:val="24"/>
        </w:rPr>
        <w:t xml:space="preserve">), Argyllshire (5.7 </w:t>
      </w:r>
      <w:r w:rsidR="00CE47CA" w:rsidRPr="00DB6417">
        <w:rPr>
          <w:rFonts w:ascii="Times New Roman" w:hAnsi="Times New Roman" w:cs="Times New Roman"/>
          <w:sz w:val="24"/>
        </w:rPr>
        <w:t>mg/kg</w:t>
      </w:r>
      <w:r w:rsidRPr="00DB6417">
        <w:rPr>
          <w:rFonts w:ascii="Times New Roman" w:hAnsi="Times New Roman" w:cs="Times New Roman"/>
          <w:sz w:val="24"/>
        </w:rPr>
        <w:t xml:space="preserve">), </w:t>
      </w:r>
      <w:r w:rsidRPr="00426C2D">
        <w:rPr>
          <w:rFonts w:ascii="Times New Roman" w:hAnsi="Times New Roman" w:cs="Times New Roman"/>
          <w:sz w:val="24"/>
        </w:rPr>
        <w:t xml:space="preserve">Ayrshire (5.3 </w:t>
      </w:r>
      <w:r w:rsidR="00CE47CA" w:rsidRPr="00426C2D">
        <w:rPr>
          <w:rFonts w:ascii="Times New Roman" w:hAnsi="Times New Roman" w:cs="Times New Roman"/>
          <w:sz w:val="24"/>
        </w:rPr>
        <w:t>mg/kg</w:t>
      </w:r>
      <w:r w:rsidRPr="00426C2D">
        <w:rPr>
          <w:rFonts w:ascii="Times New Roman" w:hAnsi="Times New Roman" w:cs="Times New Roman"/>
          <w:sz w:val="24"/>
        </w:rPr>
        <w:t xml:space="preserve">), North Wales (5.6 </w:t>
      </w:r>
      <w:r w:rsidR="00CE47CA" w:rsidRPr="00426C2D">
        <w:rPr>
          <w:rFonts w:ascii="Times New Roman" w:hAnsi="Times New Roman" w:cs="Times New Roman"/>
          <w:sz w:val="24"/>
        </w:rPr>
        <w:t>mg/kg</w:t>
      </w:r>
      <w:r w:rsidRPr="00426C2D">
        <w:rPr>
          <w:rFonts w:ascii="Times New Roman" w:hAnsi="Times New Roman" w:cs="Times New Roman"/>
          <w:sz w:val="24"/>
        </w:rPr>
        <w:t xml:space="preserve">) and Staffordshire (5.6 </w:t>
      </w:r>
      <w:r w:rsidR="00CE47CA" w:rsidRPr="00426C2D">
        <w:rPr>
          <w:rFonts w:ascii="Times New Roman" w:hAnsi="Times New Roman" w:cs="Times New Roman"/>
          <w:sz w:val="24"/>
        </w:rPr>
        <w:t>mg/kg</w:t>
      </w:r>
      <w:r w:rsidRPr="00426C2D">
        <w:rPr>
          <w:rFonts w:ascii="Times New Roman" w:hAnsi="Times New Roman" w:cs="Times New Roman"/>
          <w:sz w:val="24"/>
        </w:rPr>
        <w:t>).</w:t>
      </w:r>
      <w:r w:rsidR="000A5C93" w:rsidRPr="00426C2D">
        <w:t xml:space="preserve"> </w:t>
      </w:r>
      <w:r w:rsidR="00424430" w:rsidRPr="00426C2D">
        <w:rPr>
          <w:rFonts w:ascii="Times New Roman" w:hAnsi="Times New Roman" w:cs="Times New Roman"/>
          <w:sz w:val="24"/>
        </w:rPr>
        <w:t>F</w:t>
      </w:r>
      <w:r w:rsidR="004B1A8C" w:rsidRPr="00426C2D">
        <w:rPr>
          <w:rFonts w:ascii="Times New Roman" w:hAnsi="Times New Roman" w:cs="Times New Roman"/>
          <w:sz w:val="24"/>
        </w:rPr>
        <w:t>igure</w:t>
      </w:r>
      <w:r w:rsidR="000A5C93" w:rsidRPr="00426C2D">
        <w:rPr>
          <w:rFonts w:ascii="Times New Roman" w:hAnsi="Times New Roman" w:cs="Times New Roman"/>
          <w:sz w:val="24"/>
        </w:rPr>
        <w:t xml:space="preserve"> </w:t>
      </w:r>
      <w:r w:rsidR="00424430" w:rsidRPr="00426C2D">
        <w:rPr>
          <w:rFonts w:ascii="Times New Roman" w:hAnsi="Times New Roman" w:cs="Times New Roman"/>
          <w:sz w:val="24"/>
        </w:rPr>
        <w:t>5</w:t>
      </w:r>
      <w:r w:rsidR="00490254" w:rsidRPr="00426C2D">
        <w:rPr>
          <w:rFonts w:ascii="Times New Roman" w:hAnsi="Times New Roman" w:cs="Times New Roman"/>
          <w:sz w:val="24"/>
        </w:rPr>
        <w:t xml:space="preserve"> </w:t>
      </w:r>
      <w:r w:rsidR="002634F5" w:rsidRPr="00426C2D">
        <w:rPr>
          <w:rFonts w:ascii="Times New Roman" w:hAnsi="Times New Roman" w:cs="Times New Roman"/>
          <w:sz w:val="24"/>
        </w:rPr>
        <w:t xml:space="preserve">shows </w:t>
      </w:r>
      <w:r w:rsidR="00775850" w:rsidRPr="00426C2D">
        <w:rPr>
          <w:rFonts w:ascii="Times New Roman" w:hAnsi="Times New Roman" w:cs="Times New Roman"/>
          <w:sz w:val="24"/>
        </w:rPr>
        <w:t>that high</w:t>
      </w:r>
      <w:r w:rsidR="00D96A42" w:rsidRPr="00426C2D">
        <w:rPr>
          <w:rFonts w:ascii="Times New Roman" w:hAnsi="Times New Roman" w:cs="Times New Roman"/>
          <w:sz w:val="24"/>
        </w:rPr>
        <w:t xml:space="preserve"> </w:t>
      </w:r>
      <w:r w:rsidR="002634F5" w:rsidRPr="00426C2D">
        <w:rPr>
          <w:rFonts w:ascii="Times New Roman" w:hAnsi="Times New Roman" w:cs="Times New Roman"/>
          <w:sz w:val="24"/>
        </w:rPr>
        <w:t>Se</w:t>
      </w:r>
      <w:r w:rsidR="000A5C93" w:rsidRPr="00426C2D">
        <w:rPr>
          <w:rFonts w:ascii="Times New Roman" w:hAnsi="Times New Roman" w:cs="Times New Roman"/>
          <w:sz w:val="24"/>
        </w:rPr>
        <w:t xml:space="preserve"> tend</w:t>
      </w:r>
      <w:r w:rsidR="00D96A42" w:rsidRPr="00426C2D">
        <w:rPr>
          <w:rFonts w:ascii="Times New Roman" w:hAnsi="Times New Roman" w:cs="Times New Roman"/>
          <w:sz w:val="24"/>
        </w:rPr>
        <w:t>s</w:t>
      </w:r>
      <w:r w:rsidR="000A5C93" w:rsidRPr="00426C2D">
        <w:rPr>
          <w:rFonts w:ascii="Times New Roman" w:hAnsi="Times New Roman" w:cs="Times New Roman"/>
          <w:sz w:val="24"/>
        </w:rPr>
        <w:t xml:space="preserve"> to occur in westerly coal exposures </w:t>
      </w:r>
      <w:r w:rsidR="00902F79" w:rsidRPr="00426C2D">
        <w:rPr>
          <w:rFonts w:ascii="Times New Roman" w:hAnsi="Times New Roman" w:cs="Times New Roman"/>
          <w:sz w:val="24"/>
        </w:rPr>
        <w:t>(e.g. Western Scotland, North</w:t>
      </w:r>
      <w:r w:rsidR="00FD1825" w:rsidRPr="00426C2D">
        <w:rPr>
          <w:rFonts w:ascii="Times New Roman" w:hAnsi="Times New Roman" w:cs="Times New Roman"/>
          <w:sz w:val="24"/>
        </w:rPr>
        <w:t xml:space="preserve"> and South</w:t>
      </w:r>
      <w:r w:rsidR="00902F79" w:rsidRPr="00426C2D">
        <w:rPr>
          <w:rFonts w:ascii="Times New Roman" w:hAnsi="Times New Roman" w:cs="Times New Roman"/>
          <w:sz w:val="24"/>
        </w:rPr>
        <w:t xml:space="preserve"> Wales</w:t>
      </w:r>
      <w:r w:rsidR="00E64AA3" w:rsidRPr="00426C2D">
        <w:rPr>
          <w:rFonts w:ascii="Times New Roman" w:hAnsi="Times New Roman" w:cs="Times New Roman"/>
          <w:sz w:val="24"/>
        </w:rPr>
        <w:t>, Cumberland</w:t>
      </w:r>
      <w:r w:rsidR="00902F79" w:rsidRPr="00426C2D">
        <w:rPr>
          <w:rFonts w:ascii="Times New Roman" w:hAnsi="Times New Roman" w:cs="Times New Roman"/>
          <w:sz w:val="24"/>
        </w:rPr>
        <w:t xml:space="preserve"> and Staffordshire)</w:t>
      </w:r>
      <w:r w:rsidR="00FD1825" w:rsidRPr="00426C2D">
        <w:rPr>
          <w:rFonts w:ascii="Times New Roman" w:hAnsi="Times New Roman" w:cs="Times New Roman"/>
          <w:sz w:val="24"/>
        </w:rPr>
        <w:t xml:space="preserve"> as well as </w:t>
      </w:r>
      <w:r w:rsidR="00BC5D01" w:rsidRPr="00426C2D">
        <w:rPr>
          <w:rFonts w:ascii="Times New Roman" w:hAnsi="Times New Roman" w:cs="Times New Roman"/>
          <w:sz w:val="24"/>
        </w:rPr>
        <w:t xml:space="preserve">in </w:t>
      </w:r>
      <w:r w:rsidR="00FD1825" w:rsidRPr="00426C2D">
        <w:rPr>
          <w:rFonts w:ascii="Times New Roman" w:hAnsi="Times New Roman" w:cs="Times New Roman"/>
          <w:sz w:val="24"/>
        </w:rPr>
        <w:t xml:space="preserve">Northumberland and </w:t>
      </w:r>
      <w:r w:rsidR="00BC5D01" w:rsidRPr="00426C2D">
        <w:rPr>
          <w:rFonts w:ascii="Times New Roman" w:hAnsi="Times New Roman" w:cs="Times New Roman"/>
          <w:sz w:val="24"/>
        </w:rPr>
        <w:t>Fife-Stirling</w:t>
      </w:r>
      <w:r w:rsidR="005C3871" w:rsidRPr="00426C2D">
        <w:rPr>
          <w:rFonts w:ascii="Times New Roman" w:hAnsi="Times New Roman" w:cs="Times New Roman"/>
          <w:sz w:val="24"/>
        </w:rPr>
        <w:t xml:space="preserve">. </w:t>
      </w:r>
    </w:p>
    <w:p w14:paraId="2A9313B8" w14:textId="71E87B65" w:rsidR="002322AE" w:rsidRDefault="00424430" w:rsidP="00C63800">
      <w:pPr>
        <w:spacing w:line="360" w:lineRule="auto"/>
        <w:ind w:firstLine="720"/>
        <w:jc w:val="both"/>
        <w:rPr>
          <w:rFonts w:ascii="Times New Roman" w:hAnsi="Times New Roman" w:cs="Times New Roman"/>
          <w:sz w:val="24"/>
        </w:rPr>
      </w:pPr>
      <w:r w:rsidRPr="00426C2D">
        <w:rPr>
          <w:rFonts w:ascii="Times New Roman" w:hAnsi="Times New Roman" w:cs="Times New Roman"/>
          <w:sz w:val="24"/>
        </w:rPr>
        <w:t xml:space="preserve">The </w:t>
      </w:r>
      <w:r w:rsidR="000A0D72" w:rsidRPr="00426C2D">
        <w:rPr>
          <w:rFonts w:ascii="Times New Roman" w:hAnsi="Times New Roman" w:cs="Times New Roman"/>
          <w:sz w:val="24"/>
        </w:rPr>
        <w:t>mean</w:t>
      </w:r>
      <w:r w:rsidRPr="00426C2D">
        <w:rPr>
          <w:rFonts w:ascii="Times New Roman" w:hAnsi="Times New Roman" w:cs="Times New Roman"/>
          <w:sz w:val="24"/>
        </w:rPr>
        <w:t xml:space="preserve"> Te content of British coals is 0.02 mg/kg. </w:t>
      </w:r>
      <w:r w:rsidR="002322AE" w:rsidRPr="00426C2D">
        <w:rPr>
          <w:rFonts w:ascii="Times New Roman" w:hAnsi="Times New Roman" w:cs="Times New Roman"/>
          <w:sz w:val="24"/>
        </w:rPr>
        <w:t xml:space="preserve">The highest recognised Te content of any British coal sampled is from </w:t>
      </w:r>
      <w:r w:rsidR="00BC5D01" w:rsidRPr="00426C2D">
        <w:rPr>
          <w:rFonts w:ascii="Times New Roman" w:hAnsi="Times New Roman" w:cs="Times New Roman"/>
          <w:sz w:val="24"/>
        </w:rPr>
        <w:t>Fife-Stirling</w:t>
      </w:r>
      <w:r w:rsidR="002322AE" w:rsidRPr="00426C2D">
        <w:rPr>
          <w:rFonts w:ascii="Times New Roman" w:hAnsi="Times New Roman" w:cs="Times New Roman"/>
          <w:sz w:val="24"/>
        </w:rPr>
        <w:t xml:space="preserve"> (0.11 </w:t>
      </w:r>
      <w:r w:rsidR="00CE47CA" w:rsidRPr="00426C2D">
        <w:rPr>
          <w:rFonts w:ascii="Times New Roman" w:hAnsi="Times New Roman" w:cs="Times New Roman"/>
          <w:sz w:val="24"/>
        </w:rPr>
        <w:t>mg/kg</w:t>
      </w:r>
      <w:r w:rsidR="002322AE" w:rsidRPr="00426C2D">
        <w:rPr>
          <w:rFonts w:ascii="Times New Roman" w:hAnsi="Times New Roman" w:cs="Times New Roman"/>
          <w:sz w:val="24"/>
        </w:rPr>
        <w:t>), a</w:t>
      </w:r>
      <w:r w:rsidR="00E64131" w:rsidRPr="00426C2D">
        <w:rPr>
          <w:rFonts w:ascii="Times New Roman" w:hAnsi="Times New Roman" w:cs="Times New Roman"/>
          <w:sz w:val="24"/>
        </w:rPr>
        <w:t>n order of</w:t>
      </w:r>
      <w:r w:rsidR="002322AE" w:rsidRPr="00426C2D">
        <w:rPr>
          <w:rFonts w:ascii="Times New Roman" w:hAnsi="Times New Roman" w:cs="Times New Roman"/>
          <w:sz w:val="24"/>
        </w:rPr>
        <w:t xml:space="preserve"> magnitude higher than the estimated world </w:t>
      </w:r>
      <w:r w:rsidR="000A0D72" w:rsidRPr="00426C2D">
        <w:rPr>
          <w:rFonts w:ascii="Times New Roman" w:hAnsi="Times New Roman" w:cs="Times New Roman"/>
          <w:sz w:val="24"/>
        </w:rPr>
        <w:t>mean</w:t>
      </w:r>
      <w:r w:rsidR="002322AE" w:rsidRPr="00426C2D">
        <w:rPr>
          <w:rFonts w:ascii="Times New Roman" w:hAnsi="Times New Roman" w:cs="Times New Roman"/>
          <w:sz w:val="24"/>
        </w:rPr>
        <w:t xml:space="preserve"> Te value (</w:t>
      </w:r>
      <w:r w:rsidRPr="00426C2D">
        <w:rPr>
          <w:rFonts w:ascii="Times New Roman" w:hAnsi="Times New Roman" w:cs="Times New Roman"/>
          <w:sz w:val="24"/>
        </w:rPr>
        <w:t>Table 1</w:t>
      </w:r>
      <w:r w:rsidR="002322AE" w:rsidRPr="00426C2D">
        <w:rPr>
          <w:rFonts w:ascii="Times New Roman" w:hAnsi="Times New Roman" w:cs="Times New Roman"/>
          <w:sz w:val="24"/>
        </w:rPr>
        <w:t>). The Midland Valley of Scotland and Argyllshire typically show higher Te content (</w:t>
      </w:r>
      <w:r w:rsidR="000A0D72" w:rsidRPr="00426C2D">
        <w:rPr>
          <w:rFonts w:ascii="Times New Roman" w:hAnsi="Times New Roman" w:cs="Times New Roman"/>
          <w:sz w:val="24"/>
        </w:rPr>
        <w:t xml:space="preserve">mean </w:t>
      </w:r>
      <w:r w:rsidR="002322AE" w:rsidRPr="00426C2D">
        <w:rPr>
          <w:rFonts w:ascii="Times New Roman" w:hAnsi="Times New Roman" w:cs="Times New Roman"/>
          <w:sz w:val="24"/>
        </w:rPr>
        <w:t xml:space="preserve">0.03 </w:t>
      </w:r>
      <w:r w:rsidR="00CE47CA" w:rsidRPr="00426C2D">
        <w:rPr>
          <w:rFonts w:ascii="Times New Roman" w:hAnsi="Times New Roman" w:cs="Times New Roman"/>
          <w:sz w:val="24"/>
        </w:rPr>
        <w:t>mg/kg</w:t>
      </w:r>
      <w:r w:rsidR="002322AE" w:rsidRPr="00426C2D">
        <w:rPr>
          <w:rFonts w:ascii="Times New Roman" w:hAnsi="Times New Roman" w:cs="Times New Roman"/>
          <w:sz w:val="24"/>
        </w:rPr>
        <w:t xml:space="preserve">), and coal samples from </w:t>
      </w:r>
      <w:r w:rsidR="00E64AA3" w:rsidRPr="00426C2D">
        <w:rPr>
          <w:rFonts w:ascii="Times New Roman" w:hAnsi="Times New Roman" w:cs="Times New Roman"/>
          <w:sz w:val="24"/>
        </w:rPr>
        <w:t xml:space="preserve">Cumberland (max. 0.09 mg/kg, mean 0.05 mg/kg), </w:t>
      </w:r>
      <w:r w:rsidR="002322AE" w:rsidRPr="00426C2D">
        <w:rPr>
          <w:rFonts w:ascii="Times New Roman" w:hAnsi="Times New Roman" w:cs="Times New Roman"/>
          <w:sz w:val="24"/>
        </w:rPr>
        <w:t xml:space="preserve">Nottinghamshire (max. 0.07 </w:t>
      </w:r>
      <w:r w:rsidR="00CE47CA" w:rsidRPr="00426C2D">
        <w:rPr>
          <w:rFonts w:ascii="Times New Roman" w:hAnsi="Times New Roman" w:cs="Times New Roman"/>
          <w:sz w:val="24"/>
        </w:rPr>
        <w:t>mg/kg</w:t>
      </w:r>
      <w:r w:rsidR="002322AE" w:rsidRPr="00426C2D">
        <w:rPr>
          <w:rFonts w:ascii="Times New Roman" w:hAnsi="Times New Roman" w:cs="Times New Roman"/>
          <w:sz w:val="24"/>
        </w:rPr>
        <w:t xml:space="preserve">, </w:t>
      </w:r>
      <w:r w:rsidR="000A0D72" w:rsidRPr="00426C2D">
        <w:rPr>
          <w:rFonts w:ascii="Times New Roman" w:hAnsi="Times New Roman" w:cs="Times New Roman"/>
          <w:sz w:val="24"/>
        </w:rPr>
        <w:t>mean</w:t>
      </w:r>
      <w:r w:rsidR="002322AE" w:rsidRPr="00426C2D">
        <w:rPr>
          <w:rFonts w:ascii="Times New Roman" w:hAnsi="Times New Roman" w:cs="Times New Roman"/>
          <w:sz w:val="24"/>
        </w:rPr>
        <w:t xml:space="preserve"> 0.04 </w:t>
      </w:r>
      <w:r w:rsidR="00CE47CA" w:rsidRPr="00426C2D">
        <w:rPr>
          <w:rFonts w:ascii="Times New Roman" w:hAnsi="Times New Roman" w:cs="Times New Roman"/>
          <w:sz w:val="24"/>
        </w:rPr>
        <w:t>mg/kg</w:t>
      </w:r>
      <w:r w:rsidR="002322AE" w:rsidRPr="00426C2D">
        <w:rPr>
          <w:rFonts w:ascii="Times New Roman" w:hAnsi="Times New Roman" w:cs="Times New Roman"/>
          <w:sz w:val="24"/>
        </w:rPr>
        <w:t>)</w:t>
      </w:r>
      <w:r w:rsidR="00BC5D01" w:rsidRPr="00426C2D">
        <w:rPr>
          <w:rFonts w:ascii="Times New Roman" w:hAnsi="Times New Roman" w:cs="Times New Roman"/>
          <w:sz w:val="24"/>
        </w:rPr>
        <w:t>, Northumberland (max. 0.06 mg/kg)</w:t>
      </w:r>
      <w:r w:rsidR="002322AE" w:rsidRPr="00426C2D">
        <w:rPr>
          <w:rFonts w:ascii="Times New Roman" w:hAnsi="Times New Roman" w:cs="Times New Roman"/>
          <w:sz w:val="24"/>
        </w:rPr>
        <w:t xml:space="preserve"> and Kent (max. 0.07 </w:t>
      </w:r>
      <w:r w:rsidR="00CE47CA" w:rsidRPr="00426C2D">
        <w:rPr>
          <w:rFonts w:ascii="Times New Roman" w:hAnsi="Times New Roman" w:cs="Times New Roman"/>
          <w:sz w:val="24"/>
        </w:rPr>
        <w:t>mg/kg</w:t>
      </w:r>
      <w:r w:rsidR="002322AE" w:rsidRPr="00426C2D">
        <w:rPr>
          <w:rFonts w:ascii="Times New Roman" w:hAnsi="Times New Roman" w:cs="Times New Roman"/>
          <w:sz w:val="24"/>
        </w:rPr>
        <w:t>) also show higher values (</w:t>
      </w:r>
      <w:r w:rsidR="004B1A8C" w:rsidRPr="00426C2D">
        <w:rPr>
          <w:rFonts w:ascii="Times New Roman" w:hAnsi="Times New Roman" w:cs="Times New Roman"/>
          <w:sz w:val="24"/>
        </w:rPr>
        <w:t>Figure</w:t>
      </w:r>
      <w:r w:rsidRPr="00426C2D">
        <w:rPr>
          <w:rFonts w:ascii="Times New Roman" w:hAnsi="Times New Roman" w:cs="Times New Roman"/>
          <w:sz w:val="24"/>
        </w:rPr>
        <w:t>s 4 and</w:t>
      </w:r>
      <w:r w:rsidR="002322AE" w:rsidRPr="00426C2D">
        <w:rPr>
          <w:rFonts w:ascii="Times New Roman" w:hAnsi="Times New Roman" w:cs="Times New Roman"/>
          <w:sz w:val="24"/>
        </w:rPr>
        <w:t xml:space="preserve"> </w:t>
      </w:r>
      <w:r w:rsidRPr="00426C2D">
        <w:rPr>
          <w:rFonts w:ascii="Times New Roman" w:hAnsi="Times New Roman" w:cs="Times New Roman"/>
          <w:sz w:val="24"/>
        </w:rPr>
        <w:t>6, Table 1</w:t>
      </w:r>
      <w:r w:rsidR="002322AE" w:rsidRPr="00426C2D">
        <w:rPr>
          <w:rFonts w:ascii="Times New Roman" w:hAnsi="Times New Roman" w:cs="Times New Roman"/>
          <w:sz w:val="24"/>
        </w:rPr>
        <w:t xml:space="preserve">). </w:t>
      </w:r>
      <w:r w:rsidR="00E64131" w:rsidRPr="00426C2D">
        <w:rPr>
          <w:rFonts w:ascii="Times New Roman" w:hAnsi="Times New Roman" w:cs="Times New Roman"/>
          <w:sz w:val="24"/>
        </w:rPr>
        <w:t xml:space="preserve">The mean Te content by </w:t>
      </w:r>
      <w:r w:rsidR="00DB6417" w:rsidRPr="00426C2D">
        <w:rPr>
          <w:rFonts w:ascii="Times New Roman" w:hAnsi="Times New Roman" w:cs="Times New Roman"/>
          <w:sz w:val="24"/>
        </w:rPr>
        <w:t>standard mode method</w:t>
      </w:r>
      <w:r w:rsidR="00682D6F" w:rsidRPr="00426C2D">
        <w:rPr>
          <w:rFonts w:ascii="Times New Roman" w:hAnsi="Times New Roman" w:cs="Times New Roman"/>
          <w:sz w:val="24"/>
        </w:rPr>
        <w:t xml:space="preserve"> also</w:t>
      </w:r>
      <w:r w:rsidR="00E64131" w:rsidRPr="00426C2D">
        <w:rPr>
          <w:rFonts w:ascii="Times New Roman" w:hAnsi="Times New Roman" w:cs="Times New Roman"/>
          <w:sz w:val="24"/>
        </w:rPr>
        <w:t xml:space="preserve"> compares well to the </w:t>
      </w:r>
      <w:r w:rsidR="00DB6417" w:rsidRPr="00426C2D">
        <w:rPr>
          <w:rFonts w:ascii="Times New Roman" w:hAnsi="Times New Roman" w:cs="Times New Roman"/>
          <w:sz w:val="24"/>
        </w:rPr>
        <w:t xml:space="preserve">CRC </w:t>
      </w:r>
      <w:r w:rsidR="00E64131" w:rsidRPr="00426C2D">
        <w:rPr>
          <w:rFonts w:ascii="Times New Roman" w:hAnsi="Times New Roman" w:cs="Times New Roman"/>
          <w:sz w:val="24"/>
        </w:rPr>
        <w:t xml:space="preserve">method (0.02 </w:t>
      </w:r>
      <w:r w:rsidR="00CE47CA" w:rsidRPr="00426C2D">
        <w:rPr>
          <w:rFonts w:ascii="Times New Roman" w:hAnsi="Times New Roman" w:cs="Times New Roman"/>
          <w:sz w:val="24"/>
        </w:rPr>
        <w:t>mg/kg</w:t>
      </w:r>
      <w:r w:rsidR="00E64131" w:rsidRPr="00426C2D">
        <w:rPr>
          <w:rFonts w:ascii="Times New Roman" w:hAnsi="Times New Roman" w:cs="Times New Roman"/>
          <w:sz w:val="24"/>
        </w:rPr>
        <w:t xml:space="preserve"> </w:t>
      </w:r>
      <w:r w:rsidR="00E64131" w:rsidRPr="00E64131">
        <w:rPr>
          <w:rFonts w:ascii="Times New Roman" w:hAnsi="Times New Roman" w:cs="Times New Roman"/>
          <w:sz w:val="24"/>
        </w:rPr>
        <w:t xml:space="preserve">and 0.03 </w:t>
      </w:r>
      <w:r w:rsidR="00CE47CA">
        <w:rPr>
          <w:rFonts w:ascii="Times New Roman" w:hAnsi="Times New Roman" w:cs="Times New Roman"/>
          <w:sz w:val="24"/>
        </w:rPr>
        <w:t>mg/kg</w:t>
      </w:r>
      <w:r w:rsidR="00E64131" w:rsidRPr="00E64131">
        <w:rPr>
          <w:rFonts w:ascii="Times New Roman" w:hAnsi="Times New Roman" w:cs="Times New Roman"/>
          <w:sz w:val="24"/>
        </w:rPr>
        <w:t xml:space="preserve"> respectively).</w:t>
      </w:r>
      <w:r w:rsidR="00AD791A" w:rsidRPr="00AD791A">
        <w:t xml:space="preserve"> </w:t>
      </w:r>
      <w:r w:rsidR="00AD791A" w:rsidRPr="00AD791A">
        <w:rPr>
          <w:rFonts w:ascii="Times New Roman" w:hAnsi="Times New Roman" w:cs="Times New Roman"/>
          <w:sz w:val="24"/>
        </w:rPr>
        <w:t>Whilst Te values measured by both methods compare well, the three coals that were measured by both methods show some analytical variation with Se calculations: the Minorca (Leicestershire) sample shows a good agreement for Se of 1.1 mg/kg (CRC) and 0.9 mg/kg (STM), whilst Bing (Cumberland) and Kellingley (Yorkshire) show slightly overestimated Se by standard mode (1.4 and 1.8 mg/kg respectively) compared to CRC (1.0 mg/kg for both samples).</w:t>
      </w:r>
    </w:p>
    <w:p w14:paraId="67683B1B" w14:textId="49EA17B7" w:rsidR="002322AE" w:rsidRDefault="00353461" w:rsidP="00C63800">
      <w:pPr>
        <w:spacing w:line="360" w:lineRule="auto"/>
        <w:ind w:firstLine="720"/>
        <w:jc w:val="both"/>
        <w:rPr>
          <w:rFonts w:ascii="Times New Roman" w:hAnsi="Times New Roman" w:cs="Times New Roman"/>
          <w:sz w:val="24"/>
        </w:rPr>
      </w:pPr>
      <w:r w:rsidRPr="00353461">
        <w:rPr>
          <w:rFonts w:ascii="Times New Roman" w:hAnsi="Times New Roman" w:cs="Times New Roman"/>
          <w:sz w:val="24"/>
        </w:rPr>
        <w:t xml:space="preserve">Clackmannan Group and </w:t>
      </w:r>
      <w:r w:rsidR="001D19E3">
        <w:rPr>
          <w:rFonts w:ascii="Times New Roman" w:hAnsi="Times New Roman" w:cs="Times New Roman"/>
          <w:sz w:val="24"/>
        </w:rPr>
        <w:t>Visean</w:t>
      </w:r>
      <w:r w:rsidRPr="00353461">
        <w:rPr>
          <w:rFonts w:ascii="Times New Roman" w:hAnsi="Times New Roman" w:cs="Times New Roman"/>
          <w:sz w:val="24"/>
        </w:rPr>
        <w:t xml:space="preserve"> age samples contain the highest </w:t>
      </w:r>
      <w:r w:rsidR="000A0D72">
        <w:rPr>
          <w:rFonts w:ascii="Times New Roman" w:hAnsi="Times New Roman" w:cs="Times New Roman"/>
          <w:sz w:val="24"/>
        </w:rPr>
        <w:t>mean</w:t>
      </w:r>
      <w:r w:rsidRPr="00353461">
        <w:rPr>
          <w:rFonts w:ascii="Times New Roman" w:hAnsi="Times New Roman" w:cs="Times New Roman"/>
          <w:sz w:val="24"/>
        </w:rPr>
        <w:t xml:space="preserve"> Se and </w:t>
      </w:r>
      <w:r w:rsidR="0068202C">
        <w:rPr>
          <w:rFonts w:ascii="Times New Roman" w:hAnsi="Times New Roman" w:cs="Times New Roman"/>
          <w:sz w:val="24"/>
        </w:rPr>
        <w:t xml:space="preserve">high </w:t>
      </w:r>
      <w:r w:rsidRPr="00353461">
        <w:rPr>
          <w:rFonts w:ascii="Times New Roman" w:hAnsi="Times New Roman" w:cs="Times New Roman"/>
          <w:sz w:val="24"/>
        </w:rPr>
        <w:t xml:space="preserve">Te (3.6 mg/kg and 0.03 mg/kg respectively), while the Westphalian samples show a similar range of </w:t>
      </w:r>
      <w:r w:rsidR="000A0D72">
        <w:rPr>
          <w:rFonts w:ascii="Times New Roman" w:hAnsi="Times New Roman" w:cs="Times New Roman"/>
          <w:sz w:val="24"/>
        </w:rPr>
        <w:t>mean</w:t>
      </w:r>
      <w:r w:rsidRPr="00353461">
        <w:rPr>
          <w:rFonts w:ascii="Times New Roman" w:hAnsi="Times New Roman" w:cs="Times New Roman"/>
          <w:sz w:val="24"/>
        </w:rPr>
        <w:t xml:space="preserve"> Se (1.9-2.2 mg/kg) and Te (0.01-0.02 mg/kg) contents</w:t>
      </w:r>
      <w:r w:rsidR="00424430">
        <w:rPr>
          <w:rFonts w:ascii="Times New Roman" w:hAnsi="Times New Roman" w:cs="Times New Roman"/>
          <w:sz w:val="24"/>
        </w:rPr>
        <w:t xml:space="preserve"> (Figure 7)</w:t>
      </w:r>
      <w:r w:rsidRPr="00353461">
        <w:rPr>
          <w:rFonts w:ascii="Times New Roman" w:hAnsi="Times New Roman" w:cs="Times New Roman"/>
          <w:sz w:val="24"/>
        </w:rPr>
        <w:t>.</w:t>
      </w:r>
      <w:r w:rsidR="0068202C">
        <w:rPr>
          <w:rFonts w:ascii="Times New Roman" w:hAnsi="Times New Roman" w:cs="Times New Roman"/>
          <w:sz w:val="24"/>
        </w:rPr>
        <w:t xml:space="preserve"> Middle Coal Measures samples show the highest average Te (0.04 mg/kg).</w:t>
      </w:r>
      <w:r w:rsidRPr="00353461">
        <w:rPr>
          <w:rFonts w:ascii="Times New Roman" w:hAnsi="Times New Roman" w:cs="Times New Roman"/>
          <w:sz w:val="24"/>
        </w:rPr>
        <w:t xml:space="preserve"> The Yor</w:t>
      </w:r>
      <w:r w:rsidR="001C32BE">
        <w:rPr>
          <w:rFonts w:ascii="Times New Roman" w:hAnsi="Times New Roman" w:cs="Times New Roman"/>
          <w:sz w:val="24"/>
        </w:rPr>
        <w:t>e</w:t>
      </w:r>
      <w:r w:rsidRPr="00353461">
        <w:rPr>
          <w:rFonts w:ascii="Times New Roman" w:hAnsi="Times New Roman" w:cs="Times New Roman"/>
          <w:sz w:val="24"/>
        </w:rPr>
        <w:t>dale sample contains the lowest overall Se (0.6 mg/kg) and Te (0.01 mg/kg)</w:t>
      </w:r>
      <w:r w:rsidR="00682D6F">
        <w:rPr>
          <w:rFonts w:ascii="Times New Roman" w:hAnsi="Times New Roman" w:cs="Times New Roman"/>
          <w:sz w:val="24"/>
        </w:rPr>
        <w:t xml:space="preserve"> for the sampled strata</w:t>
      </w:r>
      <w:r w:rsidR="00424430">
        <w:rPr>
          <w:rFonts w:ascii="Times New Roman" w:hAnsi="Times New Roman" w:cs="Times New Roman"/>
          <w:sz w:val="24"/>
        </w:rPr>
        <w:t xml:space="preserve"> (Figure </w:t>
      </w:r>
      <w:r w:rsidR="00572E3F">
        <w:rPr>
          <w:rFonts w:ascii="Times New Roman" w:hAnsi="Times New Roman" w:cs="Times New Roman"/>
          <w:sz w:val="24"/>
        </w:rPr>
        <w:t>7</w:t>
      </w:r>
      <w:r w:rsidR="00424430">
        <w:rPr>
          <w:rFonts w:ascii="Times New Roman" w:hAnsi="Times New Roman" w:cs="Times New Roman"/>
          <w:sz w:val="24"/>
        </w:rPr>
        <w:t>)</w:t>
      </w:r>
      <w:r w:rsidR="00424430" w:rsidRPr="00353461">
        <w:rPr>
          <w:rFonts w:ascii="Times New Roman" w:hAnsi="Times New Roman" w:cs="Times New Roman"/>
          <w:sz w:val="24"/>
        </w:rPr>
        <w:t>.</w:t>
      </w:r>
      <w:r w:rsidRPr="00DB6417">
        <w:rPr>
          <w:rFonts w:ascii="Times New Roman" w:hAnsi="Times New Roman" w:cs="Times New Roman"/>
          <w:sz w:val="24"/>
        </w:rPr>
        <w:t xml:space="preserve"> </w:t>
      </w:r>
      <w:r w:rsidR="00572E3F" w:rsidRPr="00DB6417">
        <w:rPr>
          <w:rFonts w:ascii="Times New Roman" w:hAnsi="Times New Roman" w:cs="Times New Roman"/>
          <w:sz w:val="24"/>
        </w:rPr>
        <w:t xml:space="preserve">There is a slight positive correlation between Se and S (Figure </w:t>
      </w:r>
      <w:r w:rsidR="00572E3F">
        <w:rPr>
          <w:rFonts w:ascii="Times New Roman" w:hAnsi="Times New Roman" w:cs="Times New Roman"/>
          <w:sz w:val="24"/>
        </w:rPr>
        <w:t>8</w:t>
      </w:r>
      <w:r w:rsidR="00572E3F" w:rsidRPr="00DB6417">
        <w:rPr>
          <w:rFonts w:ascii="Times New Roman" w:hAnsi="Times New Roman" w:cs="Times New Roman"/>
          <w:sz w:val="24"/>
        </w:rPr>
        <w:t xml:space="preserve">a), but no strong relationship between Se and TOC (Figure </w:t>
      </w:r>
      <w:r w:rsidR="00572E3F">
        <w:rPr>
          <w:rFonts w:ascii="Times New Roman" w:hAnsi="Times New Roman" w:cs="Times New Roman"/>
          <w:sz w:val="24"/>
        </w:rPr>
        <w:t>8</w:t>
      </w:r>
      <w:r w:rsidR="00572E3F" w:rsidRPr="00DB6417">
        <w:rPr>
          <w:rFonts w:ascii="Times New Roman" w:hAnsi="Times New Roman" w:cs="Times New Roman"/>
          <w:sz w:val="24"/>
        </w:rPr>
        <w:t>b).</w:t>
      </w:r>
      <w:r w:rsidR="00572E3F" w:rsidRPr="00A17A6C">
        <w:rPr>
          <w:rFonts w:ascii="Times New Roman" w:hAnsi="Times New Roman" w:cs="Times New Roman"/>
          <w:sz w:val="24"/>
        </w:rPr>
        <w:t xml:space="preserve"> </w:t>
      </w:r>
      <w:r w:rsidR="002322AE" w:rsidRPr="00DB6417">
        <w:rPr>
          <w:rFonts w:ascii="Times New Roman" w:hAnsi="Times New Roman" w:cs="Times New Roman"/>
          <w:sz w:val="24"/>
        </w:rPr>
        <w:t xml:space="preserve">There is </w:t>
      </w:r>
      <w:r w:rsidR="002322AE" w:rsidRPr="00426C2D">
        <w:rPr>
          <w:rFonts w:ascii="Times New Roman" w:hAnsi="Times New Roman" w:cs="Times New Roman"/>
          <w:sz w:val="24"/>
        </w:rPr>
        <w:t>no strong relationship between Te and S</w:t>
      </w:r>
      <w:r w:rsidR="002634F5" w:rsidRPr="00426C2D">
        <w:rPr>
          <w:rFonts w:ascii="Times New Roman" w:hAnsi="Times New Roman" w:cs="Times New Roman"/>
          <w:sz w:val="24"/>
        </w:rPr>
        <w:t>,</w:t>
      </w:r>
      <w:r w:rsidR="002322AE" w:rsidRPr="00426C2D">
        <w:rPr>
          <w:rFonts w:ascii="Times New Roman" w:hAnsi="Times New Roman" w:cs="Times New Roman"/>
          <w:sz w:val="24"/>
        </w:rPr>
        <w:t xml:space="preserve"> nor Te and TOC (Fig</w:t>
      </w:r>
      <w:r w:rsidR="00640617" w:rsidRPr="00426C2D">
        <w:rPr>
          <w:rFonts w:ascii="Times New Roman" w:hAnsi="Times New Roman" w:cs="Times New Roman"/>
          <w:sz w:val="24"/>
        </w:rPr>
        <w:t>ure</w:t>
      </w:r>
      <w:r w:rsidR="002322AE" w:rsidRPr="00426C2D">
        <w:rPr>
          <w:rFonts w:ascii="Times New Roman" w:hAnsi="Times New Roman" w:cs="Times New Roman"/>
          <w:sz w:val="24"/>
        </w:rPr>
        <w:t xml:space="preserve"> </w:t>
      </w:r>
      <w:r w:rsidR="00572E3F" w:rsidRPr="00426C2D">
        <w:rPr>
          <w:rFonts w:ascii="Times New Roman" w:hAnsi="Times New Roman" w:cs="Times New Roman"/>
          <w:sz w:val="24"/>
        </w:rPr>
        <w:t>8</w:t>
      </w:r>
      <w:r w:rsidR="002322AE" w:rsidRPr="00426C2D">
        <w:rPr>
          <w:rFonts w:ascii="Times New Roman" w:hAnsi="Times New Roman" w:cs="Times New Roman"/>
          <w:sz w:val="24"/>
        </w:rPr>
        <w:t xml:space="preserve">c-d). There is very high S in Ayrshire coals (27.5%), attributed to high pyrite content (completely pyritic seams in </w:t>
      </w:r>
      <w:r w:rsidR="00E64131" w:rsidRPr="00426C2D">
        <w:rPr>
          <w:rFonts w:ascii="Times New Roman" w:hAnsi="Times New Roman" w:cs="Times New Roman"/>
          <w:sz w:val="24"/>
        </w:rPr>
        <w:t xml:space="preserve">coal). </w:t>
      </w:r>
      <w:r w:rsidR="00682D6F" w:rsidRPr="00426C2D">
        <w:rPr>
          <w:rFonts w:ascii="Times New Roman" w:hAnsi="Times New Roman" w:cs="Times New Roman"/>
          <w:sz w:val="24"/>
        </w:rPr>
        <w:t>Northumberland,</w:t>
      </w:r>
      <w:r w:rsidR="0068202C" w:rsidRPr="00426C2D">
        <w:rPr>
          <w:rFonts w:ascii="Times New Roman" w:hAnsi="Times New Roman" w:cs="Times New Roman"/>
          <w:sz w:val="24"/>
        </w:rPr>
        <w:t xml:space="preserve"> Cumberland,</w:t>
      </w:r>
      <w:r w:rsidR="00682D6F" w:rsidRPr="00426C2D">
        <w:rPr>
          <w:rFonts w:ascii="Times New Roman" w:hAnsi="Times New Roman" w:cs="Times New Roman"/>
          <w:sz w:val="24"/>
        </w:rPr>
        <w:t xml:space="preserve"> </w:t>
      </w:r>
      <w:r w:rsidR="00E64131" w:rsidRPr="00426C2D">
        <w:rPr>
          <w:rFonts w:ascii="Times New Roman" w:hAnsi="Times New Roman" w:cs="Times New Roman"/>
          <w:sz w:val="24"/>
        </w:rPr>
        <w:t xml:space="preserve">South Wales, </w:t>
      </w:r>
      <w:r w:rsidR="002322AE" w:rsidRPr="00426C2D">
        <w:rPr>
          <w:rFonts w:ascii="Times New Roman" w:hAnsi="Times New Roman" w:cs="Times New Roman"/>
          <w:sz w:val="24"/>
        </w:rPr>
        <w:t>Ayrshire, Fife</w:t>
      </w:r>
      <w:r w:rsidR="00930185" w:rsidRPr="00426C2D">
        <w:rPr>
          <w:rFonts w:ascii="Times New Roman" w:hAnsi="Times New Roman" w:cs="Times New Roman"/>
          <w:sz w:val="24"/>
        </w:rPr>
        <w:t>-Stirling</w:t>
      </w:r>
      <w:r w:rsidR="002322AE" w:rsidRPr="00426C2D">
        <w:rPr>
          <w:rFonts w:ascii="Times New Roman" w:hAnsi="Times New Roman" w:cs="Times New Roman"/>
          <w:sz w:val="24"/>
        </w:rPr>
        <w:t>, Yorkshire, Staffordshire, North Wales and Pembrokeshire contain anomalous S</w:t>
      </w:r>
      <w:r w:rsidR="00E64131" w:rsidRPr="00426C2D">
        <w:rPr>
          <w:rFonts w:ascii="Times New Roman" w:hAnsi="Times New Roman" w:cs="Times New Roman"/>
          <w:sz w:val="24"/>
        </w:rPr>
        <w:t xml:space="preserve"> content</w:t>
      </w:r>
      <w:r w:rsidR="00572E3F" w:rsidRPr="00426C2D">
        <w:rPr>
          <w:rFonts w:ascii="Times New Roman" w:hAnsi="Times New Roman" w:cs="Times New Roman"/>
          <w:sz w:val="24"/>
        </w:rPr>
        <w:t xml:space="preserve"> and visible pyrite</w:t>
      </w:r>
      <w:r w:rsidR="00E64131" w:rsidRPr="00426C2D">
        <w:rPr>
          <w:rFonts w:ascii="Times New Roman" w:hAnsi="Times New Roman" w:cs="Times New Roman"/>
          <w:sz w:val="24"/>
        </w:rPr>
        <w:t>. Here, anomalous</w:t>
      </w:r>
      <w:r w:rsidR="002634F5" w:rsidRPr="00426C2D">
        <w:rPr>
          <w:rFonts w:ascii="Times New Roman" w:hAnsi="Times New Roman" w:cs="Times New Roman"/>
          <w:sz w:val="24"/>
        </w:rPr>
        <w:t xml:space="preserve"> </w:t>
      </w:r>
      <w:r w:rsidR="00E64131" w:rsidRPr="00426C2D">
        <w:rPr>
          <w:rFonts w:ascii="Times New Roman" w:hAnsi="Times New Roman" w:cs="Times New Roman"/>
          <w:sz w:val="24"/>
        </w:rPr>
        <w:t xml:space="preserve">S </w:t>
      </w:r>
      <w:r w:rsidR="002634F5" w:rsidRPr="00426C2D">
        <w:rPr>
          <w:rFonts w:ascii="Times New Roman" w:hAnsi="Times New Roman" w:cs="Times New Roman"/>
          <w:sz w:val="24"/>
        </w:rPr>
        <w:t>concentrations</w:t>
      </w:r>
      <w:r w:rsidR="00E64131" w:rsidRPr="00426C2D">
        <w:rPr>
          <w:rFonts w:ascii="Times New Roman" w:hAnsi="Times New Roman" w:cs="Times New Roman"/>
          <w:sz w:val="24"/>
        </w:rPr>
        <w:t xml:space="preserve"> are values considered</w:t>
      </w:r>
      <w:r w:rsidR="002322AE" w:rsidRPr="00426C2D">
        <w:rPr>
          <w:rFonts w:ascii="Times New Roman" w:hAnsi="Times New Roman" w:cs="Times New Roman"/>
          <w:sz w:val="24"/>
        </w:rPr>
        <w:t xml:space="preserve"> </w:t>
      </w:r>
      <w:r w:rsidR="002634F5" w:rsidRPr="00426C2D">
        <w:rPr>
          <w:rFonts w:ascii="Times New Roman" w:hAnsi="Times New Roman" w:cs="Times New Roman"/>
          <w:sz w:val="24"/>
        </w:rPr>
        <w:t xml:space="preserve">above </w:t>
      </w:r>
      <w:r w:rsidR="002322AE" w:rsidRPr="00426C2D">
        <w:rPr>
          <w:rFonts w:ascii="Times New Roman" w:hAnsi="Times New Roman" w:cs="Times New Roman"/>
          <w:sz w:val="24"/>
        </w:rPr>
        <w:t xml:space="preserve">1.3%, the cut-off value for S content of coals acceptable for local power </w:t>
      </w:r>
      <w:r w:rsidR="002322AE" w:rsidRPr="00DB6417">
        <w:rPr>
          <w:rFonts w:ascii="Times New Roman" w:hAnsi="Times New Roman" w:cs="Times New Roman"/>
          <w:sz w:val="24"/>
        </w:rPr>
        <w:t xml:space="preserve">generation </w:t>
      </w:r>
      <w:r w:rsidR="00640617" w:rsidRPr="00DB6417">
        <w:rPr>
          <w:rFonts w:ascii="Times New Roman" w:hAnsi="Times New Roman" w:cs="Times New Roman"/>
          <w:sz w:val="24"/>
        </w:rPr>
        <w:t>(</w:t>
      </w:r>
      <w:r w:rsidR="002322AE" w:rsidRPr="00DB6417">
        <w:rPr>
          <w:rFonts w:ascii="Times New Roman" w:hAnsi="Times New Roman" w:cs="Times New Roman"/>
          <w:sz w:val="24"/>
        </w:rPr>
        <w:t xml:space="preserve">Turner </w:t>
      </w:r>
      <w:r w:rsidR="00640617" w:rsidRPr="00DB6417">
        <w:rPr>
          <w:rFonts w:ascii="Times New Roman" w:hAnsi="Times New Roman" w:cs="Times New Roman"/>
          <w:sz w:val="24"/>
        </w:rPr>
        <w:t xml:space="preserve">&amp; </w:t>
      </w:r>
      <w:r w:rsidR="002322AE" w:rsidRPr="00DB6417">
        <w:rPr>
          <w:rFonts w:ascii="Times New Roman" w:hAnsi="Times New Roman" w:cs="Times New Roman"/>
          <w:sz w:val="24"/>
        </w:rPr>
        <w:t xml:space="preserve">Richardson, 2004). </w:t>
      </w:r>
      <w:r w:rsidR="00BC5D01" w:rsidRPr="00DB6417">
        <w:rPr>
          <w:rFonts w:ascii="Times New Roman" w:hAnsi="Times New Roman" w:cs="Times New Roman"/>
          <w:sz w:val="24"/>
        </w:rPr>
        <w:t xml:space="preserve">Figure </w:t>
      </w:r>
      <w:r w:rsidR="00572E3F">
        <w:rPr>
          <w:rFonts w:ascii="Times New Roman" w:hAnsi="Times New Roman" w:cs="Times New Roman"/>
          <w:sz w:val="24"/>
        </w:rPr>
        <w:t>9</w:t>
      </w:r>
      <w:r w:rsidR="00BC5D01" w:rsidRPr="00DB6417">
        <w:rPr>
          <w:rFonts w:ascii="Times New Roman" w:hAnsi="Times New Roman" w:cs="Times New Roman"/>
          <w:sz w:val="24"/>
        </w:rPr>
        <w:t xml:space="preserve"> shows that some </w:t>
      </w:r>
      <w:r w:rsidR="00BC5D01">
        <w:rPr>
          <w:rFonts w:ascii="Times New Roman" w:hAnsi="Times New Roman" w:cs="Times New Roman"/>
          <w:sz w:val="24"/>
        </w:rPr>
        <w:t>higher Se</w:t>
      </w:r>
      <w:r w:rsidR="00682D6F">
        <w:rPr>
          <w:rFonts w:ascii="Times New Roman" w:hAnsi="Times New Roman" w:cs="Times New Roman"/>
          <w:sz w:val="24"/>
        </w:rPr>
        <w:t xml:space="preserve"> and Te</w:t>
      </w:r>
      <w:r w:rsidR="00BC5D01" w:rsidRPr="00DB6417">
        <w:rPr>
          <w:rFonts w:ascii="Times New Roman" w:hAnsi="Times New Roman" w:cs="Times New Roman"/>
          <w:sz w:val="24"/>
        </w:rPr>
        <w:t xml:space="preserve"> content coals coincide with higher vitrinite reflectance values (e.g. </w:t>
      </w:r>
      <w:r w:rsidR="00BC5D01">
        <w:rPr>
          <w:rFonts w:ascii="Times New Roman" w:hAnsi="Times New Roman" w:cs="Times New Roman"/>
          <w:sz w:val="24"/>
        </w:rPr>
        <w:t>Kent</w:t>
      </w:r>
      <w:r w:rsidR="00BC5D01" w:rsidRPr="00DB6417">
        <w:rPr>
          <w:rFonts w:ascii="Times New Roman" w:hAnsi="Times New Roman" w:cs="Times New Roman"/>
          <w:sz w:val="24"/>
        </w:rPr>
        <w:t>, South Wales</w:t>
      </w:r>
      <w:r w:rsidR="00BC5D01">
        <w:rPr>
          <w:rFonts w:ascii="Times New Roman" w:hAnsi="Times New Roman" w:cs="Times New Roman"/>
          <w:sz w:val="24"/>
        </w:rPr>
        <w:t>, Fife-Stirling</w:t>
      </w:r>
      <w:r w:rsidR="00682D6F">
        <w:rPr>
          <w:rFonts w:ascii="Times New Roman" w:hAnsi="Times New Roman" w:cs="Times New Roman"/>
          <w:sz w:val="24"/>
        </w:rPr>
        <w:t xml:space="preserve"> and Northumberland</w:t>
      </w:r>
      <w:r w:rsidR="00BC5D01" w:rsidRPr="00DB6417">
        <w:rPr>
          <w:rFonts w:ascii="Times New Roman" w:hAnsi="Times New Roman" w:cs="Times New Roman"/>
          <w:sz w:val="24"/>
        </w:rPr>
        <w:t xml:space="preserve">). </w:t>
      </w:r>
    </w:p>
    <w:p w14:paraId="24B05CAB" w14:textId="77777777" w:rsidR="00285BAB" w:rsidRDefault="00285BAB" w:rsidP="00C63800">
      <w:pPr>
        <w:spacing w:line="360" w:lineRule="auto"/>
        <w:jc w:val="both"/>
        <w:rPr>
          <w:rFonts w:ascii="Times New Roman" w:hAnsi="Times New Roman" w:cs="Times New Roman"/>
          <w:sz w:val="24"/>
        </w:rPr>
      </w:pPr>
    </w:p>
    <w:p w14:paraId="1CDFC824" w14:textId="77777777" w:rsidR="00285BAB" w:rsidRPr="00CC7122" w:rsidRDefault="00285BAB" w:rsidP="004B1A8C">
      <w:pPr>
        <w:spacing w:line="360" w:lineRule="auto"/>
        <w:jc w:val="both"/>
        <w:outlineLvl w:val="0"/>
        <w:rPr>
          <w:rFonts w:ascii="Times New Roman" w:hAnsi="Times New Roman" w:cs="Times New Roman"/>
          <w:b/>
          <w:sz w:val="24"/>
        </w:rPr>
      </w:pPr>
      <w:r w:rsidRPr="0048290F">
        <w:rPr>
          <w:rFonts w:ascii="Times New Roman" w:hAnsi="Times New Roman" w:cs="Times New Roman"/>
          <w:b/>
          <w:sz w:val="24"/>
        </w:rPr>
        <w:t>5 DISCUSSION</w:t>
      </w:r>
    </w:p>
    <w:p w14:paraId="4474468D" w14:textId="77777777" w:rsidR="000A0D72" w:rsidRDefault="000A0D72" w:rsidP="000A0D72">
      <w:pPr>
        <w:spacing w:line="360" w:lineRule="auto"/>
        <w:jc w:val="both"/>
        <w:outlineLvl w:val="0"/>
        <w:rPr>
          <w:rFonts w:ascii="Times New Roman" w:hAnsi="Times New Roman" w:cs="Times New Roman"/>
          <w:b/>
          <w:sz w:val="24"/>
        </w:rPr>
      </w:pPr>
      <w:r>
        <w:rPr>
          <w:rFonts w:ascii="Times New Roman" w:hAnsi="Times New Roman" w:cs="Times New Roman"/>
          <w:b/>
          <w:sz w:val="24"/>
        </w:rPr>
        <w:t>5</w:t>
      </w:r>
      <w:r w:rsidRPr="00E21E72">
        <w:rPr>
          <w:rFonts w:ascii="Times New Roman" w:hAnsi="Times New Roman" w:cs="Times New Roman"/>
          <w:b/>
          <w:sz w:val="24"/>
        </w:rPr>
        <w:t>.</w:t>
      </w:r>
      <w:r>
        <w:rPr>
          <w:rFonts w:ascii="Times New Roman" w:hAnsi="Times New Roman" w:cs="Times New Roman"/>
          <w:b/>
          <w:sz w:val="24"/>
        </w:rPr>
        <w:t>1</w:t>
      </w:r>
      <w:r w:rsidRPr="00E21E72">
        <w:rPr>
          <w:rFonts w:ascii="Times New Roman" w:hAnsi="Times New Roman" w:cs="Times New Roman"/>
          <w:b/>
          <w:sz w:val="24"/>
        </w:rPr>
        <w:t xml:space="preserve"> </w:t>
      </w:r>
      <w:r>
        <w:rPr>
          <w:rFonts w:ascii="Times New Roman" w:hAnsi="Times New Roman" w:cs="Times New Roman"/>
          <w:b/>
          <w:sz w:val="24"/>
        </w:rPr>
        <w:t>Comparison to world coals</w:t>
      </w:r>
    </w:p>
    <w:p w14:paraId="3BC3719B" w14:textId="73107E70" w:rsidR="000A0D72" w:rsidRPr="000A0D72" w:rsidRDefault="000A0D72" w:rsidP="000A0D72">
      <w:pPr>
        <w:spacing w:line="360" w:lineRule="auto"/>
        <w:jc w:val="both"/>
        <w:rPr>
          <w:rFonts w:ascii="Times New Roman" w:hAnsi="Times New Roman" w:cs="Times New Roman"/>
          <w:sz w:val="24"/>
        </w:rPr>
      </w:pPr>
      <w:r w:rsidRPr="000A0D72">
        <w:rPr>
          <w:rFonts w:ascii="Times New Roman" w:hAnsi="Times New Roman" w:cs="Times New Roman"/>
          <w:sz w:val="24"/>
        </w:rPr>
        <w:t>Results show that British coals contain typical Se concentrations comparative to world Se coal content. Previous databases for Australia, USA, UK and Iran record mean Se values of 1.02 mg/kg, 1.7 mg/kg, 1.8 mg/kg and 1.2 mg/kg respectively (Coleman et al., 1993; Pazand, 2015; Riley et al., 2007; Spears and Zheng, 1999). Elevated Se levels in coal have led to a suggestion that coal might be a global resource for the element, of up to 500,000 tonnes, based on a content of 0.5 mg/kg (Speirs et al., 2013). Two regions where coal waste is regarded as an environmental problem, British Col</w:t>
      </w:r>
      <w:r w:rsidR="0068202C">
        <w:rPr>
          <w:rFonts w:ascii="Times New Roman" w:hAnsi="Times New Roman" w:cs="Times New Roman"/>
          <w:sz w:val="24"/>
        </w:rPr>
        <w:t>u</w:t>
      </w:r>
      <w:r w:rsidRPr="000A0D72">
        <w:rPr>
          <w:rFonts w:ascii="Times New Roman" w:hAnsi="Times New Roman" w:cs="Times New Roman"/>
          <w:sz w:val="24"/>
        </w:rPr>
        <w:t>mbia (Wellen et al.</w:t>
      </w:r>
      <w:r w:rsidR="002937F2">
        <w:rPr>
          <w:rFonts w:ascii="Times New Roman" w:hAnsi="Times New Roman" w:cs="Times New Roman"/>
          <w:sz w:val="24"/>
        </w:rPr>
        <w:t>,</w:t>
      </w:r>
      <w:r w:rsidRPr="000A0D72">
        <w:rPr>
          <w:rFonts w:ascii="Times New Roman" w:hAnsi="Times New Roman" w:cs="Times New Roman"/>
          <w:sz w:val="24"/>
        </w:rPr>
        <w:t xml:space="preserve"> 2015) and West Virginia (Lindberg et al., 2011), have mean Se contents of about 2.6 mg/kg and 3.6 mg/kg respectively (Kennedy et al., 2015, Vesper et al., 2008). All of these mean values are lower than the 4 mg/kg level considered anomalous, above which 6 of the 1</w:t>
      </w:r>
      <w:r w:rsidR="00F65269">
        <w:rPr>
          <w:rFonts w:ascii="Times New Roman" w:hAnsi="Times New Roman" w:cs="Times New Roman"/>
          <w:sz w:val="24"/>
        </w:rPr>
        <w:t>5</w:t>
      </w:r>
      <w:r w:rsidRPr="000A0D72">
        <w:rPr>
          <w:rFonts w:ascii="Times New Roman" w:hAnsi="Times New Roman" w:cs="Times New Roman"/>
          <w:sz w:val="24"/>
        </w:rPr>
        <w:t xml:space="preserve"> British regions measured. The regions of high Se content in British coals do not match to regions of anomalously high stream water Se content (Salminen, 2005).</w:t>
      </w:r>
    </w:p>
    <w:p w14:paraId="53EA0DBE" w14:textId="70A1212D" w:rsidR="000A0D72" w:rsidRDefault="000A0D72" w:rsidP="00E26343">
      <w:pPr>
        <w:spacing w:line="360" w:lineRule="auto"/>
        <w:ind w:firstLine="720"/>
        <w:jc w:val="both"/>
        <w:rPr>
          <w:rFonts w:ascii="Times New Roman" w:hAnsi="Times New Roman" w:cs="Times New Roman"/>
          <w:sz w:val="24"/>
        </w:rPr>
      </w:pPr>
      <w:r w:rsidRPr="000A0D72">
        <w:rPr>
          <w:rFonts w:ascii="Times New Roman" w:hAnsi="Times New Roman" w:cs="Times New Roman"/>
          <w:sz w:val="24"/>
        </w:rPr>
        <w:t xml:space="preserve">Previously, Te was seldom recognised in coals worldwide due to its low abundance. The </w:t>
      </w:r>
      <w:r>
        <w:rPr>
          <w:rFonts w:ascii="Times New Roman" w:hAnsi="Times New Roman" w:cs="Times New Roman"/>
          <w:sz w:val="24"/>
        </w:rPr>
        <w:t>mean</w:t>
      </w:r>
      <w:r w:rsidRPr="000A0D72">
        <w:rPr>
          <w:rFonts w:ascii="Times New Roman" w:hAnsi="Times New Roman" w:cs="Times New Roman"/>
          <w:sz w:val="24"/>
        </w:rPr>
        <w:t xml:space="preserve"> Te content of world coals has been taken at 1/100 of world </w:t>
      </w:r>
      <w:r>
        <w:rPr>
          <w:rFonts w:ascii="Times New Roman" w:hAnsi="Times New Roman" w:cs="Times New Roman"/>
          <w:sz w:val="24"/>
        </w:rPr>
        <w:t>mean Se content, giving a</w:t>
      </w:r>
      <w:r w:rsidRPr="000A0D72">
        <w:rPr>
          <w:rFonts w:ascii="Times New Roman" w:hAnsi="Times New Roman" w:cs="Times New Roman"/>
          <w:sz w:val="24"/>
        </w:rPr>
        <w:t xml:space="preserve"> </w:t>
      </w:r>
      <w:r>
        <w:rPr>
          <w:rFonts w:ascii="Times New Roman" w:hAnsi="Times New Roman" w:cs="Times New Roman"/>
          <w:sz w:val="24"/>
        </w:rPr>
        <w:t>mean</w:t>
      </w:r>
      <w:r w:rsidRPr="000A0D72">
        <w:rPr>
          <w:rFonts w:ascii="Times New Roman" w:hAnsi="Times New Roman" w:cs="Times New Roman"/>
          <w:sz w:val="24"/>
        </w:rPr>
        <w:t xml:space="preserve"> world Te content of 0.015 mg/kg (Davidson and Lakin, 1973). As a result (and with no known previous analysis of Te in British coals for comparison), any Te above this world </w:t>
      </w:r>
      <w:r>
        <w:rPr>
          <w:rFonts w:ascii="Times New Roman" w:hAnsi="Times New Roman" w:cs="Times New Roman"/>
          <w:sz w:val="24"/>
        </w:rPr>
        <w:t>mean</w:t>
      </w:r>
      <w:r w:rsidRPr="000A0D72">
        <w:rPr>
          <w:rFonts w:ascii="Times New Roman" w:hAnsi="Times New Roman" w:cs="Times New Roman"/>
          <w:sz w:val="24"/>
        </w:rPr>
        <w:t xml:space="preserve"> value is considered anomalous, though concentrations are too low to be considered significant in any economic or environmental sense. Limited previous data for Te in coals from China, Japan, Australia and UK are all in the range 0.02 to 0.08 ppm (Hashimoto et al., 1989, Spears and Tewalt, 2009; Woo et al., 1987), similar the values determined in British coals.</w:t>
      </w:r>
    </w:p>
    <w:p w14:paraId="5BFD5F9D" w14:textId="77777777" w:rsidR="00E26343" w:rsidRDefault="00E26343" w:rsidP="00E26343">
      <w:pPr>
        <w:spacing w:line="360" w:lineRule="auto"/>
        <w:ind w:firstLine="720"/>
        <w:jc w:val="both"/>
        <w:rPr>
          <w:rFonts w:ascii="Times New Roman" w:hAnsi="Times New Roman" w:cs="Times New Roman"/>
          <w:sz w:val="24"/>
        </w:rPr>
      </w:pPr>
    </w:p>
    <w:p w14:paraId="7771FCC0" w14:textId="77777777" w:rsidR="00E26343" w:rsidRDefault="00572E3F" w:rsidP="00E26343">
      <w:pPr>
        <w:spacing w:line="360" w:lineRule="auto"/>
        <w:jc w:val="both"/>
        <w:outlineLvl w:val="0"/>
        <w:rPr>
          <w:rFonts w:ascii="Times New Roman" w:hAnsi="Times New Roman" w:cs="Times New Roman"/>
          <w:b/>
          <w:sz w:val="24"/>
        </w:rPr>
      </w:pPr>
      <w:r>
        <w:rPr>
          <w:rFonts w:ascii="Times New Roman" w:hAnsi="Times New Roman" w:cs="Times New Roman"/>
          <w:b/>
          <w:sz w:val="24"/>
        </w:rPr>
        <w:t>5</w:t>
      </w:r>
      <w:r w:rsidRPr="00E21E72">
        <w:rPr>
          <w:rFonts w:ascii="Times New Roman" w:hAnsi="Times New Roman" w:cs="Times New Roman"/>
          <w:b/>
          <w:sz w:val="24"/>
        </w:rPr>
        <w:t>.</w:t>
      </w:r>
      <w:r w:rsidR="000A0D72">
        <w:rPr>
          <w:rFonts w:ascii="Times New Roman" w:hAnsi="Times New Roman" w:cs="Times New Roman"/>
          <w:b/>
          <w:sz w:val="24"/>
        </w:rPr>
        <w:t>2</w:t>
      </w:r>
      <w:r w:rsidRPr="00E21E72">
        <w:rPr>
          <w:rFonts w:ascii="Times New Roman" w:hAnsi="Times New Roman" w:cs="Times New Roman"/>
          <w:b/>
          <w:sz w:val="24"/>
        </w:rPr>
        <w:t xml:space="preserve"> </w:t>
      </w:r>
      <w:r>
        <w:rPr>
          <w:rFonts w:ascii="Times New Roman" w:hAnsi="Times New Roman" w:cs="Times New Roman"/>
          <w:b/>
          <w:sz w:val="24"/>
        </w:rPr>
        <w:t xml:space="preserve">Source and </w:t>
      </w:r>
      <w:r w:rsidR="00B22EA2">
        <w:rPr>
          <w:rFonts w:ascii="Times New Roman" w:hAnsi="Times New Roman" w:cs="Times New Roman"/>
          <w:b/>
          <w:sz w:val="24"/>
        </w:rPr>
        <w:t>enrichment of Se and Te in British coals</w:t>
      </w:r>
    </w:p>
    <w:p w14:paraId="1B7F86B5" w14:textId="6AFA40A4" w:rsidR="00E26343" w:rsidRPr="00E26343" w:rsidRDefault="00112465" w:rsidP="00E26343">
      <w:pPr>
        <w:spacing w:line="360" w:lineRule="auto"/>
        <w:jc w:val="both"/>
        <w:rPr>
          <w:rFonts w:ascii="Times New Roman" w:hAnsi="Times New Roman" w:cs="Times New Roman"/>
          <w:b/>
          <w:sz w:val="24"/>
        </w:rPr>
      </w:pPr>
      <w:r w:rsidRPr="00E26343">
        <w:rPr>
          <w:rFonts w:ascii="Times New Roman" w:hAnsi="Times New Roman" w:cs="Times New Roman"/>
          <w:sz w:val="24"/>
        </w:rPr>
        <w:t>High Se in the Bowland Shale and overlying Ordovician volcanics (Parnell et al., 2016) may have provided the initial source for Se and Te for British coals of similar or younger age.</w:t>
      </w:r>
      <w:r w:rsidR="001D19E3" w:rsidRPr="00E26343">
        <w:rPr>
          <w:rFonts w:ascii="Times New Roman" w:hAnsi="Times New Roman" w:cs="Times New Roman"/>
          <w:sz w:val="24"/>
        </w:rPr>
        <w:t xml:space="preserve"> This is particularly true of Visean-aged Clackmannan Group samples, which were deposited at a similar time to the Bowland Shale.</w:t>
      </w:r>
      <w:r w:rsidRPr="00E26343">
        <w:rPr>
          <w:rFonts w:ascii="Times New Roman" w:hAnsi="Times New Roman" w:cs="Times New Roman"/>
          <w:sz w:val="24"/>
        </w:rPr>
        <w:t xml:space="preserve"> </w:t>
      </w:r>
      <w:r w:rsidR="0023046C" w:rsidRPr="00E26343">
        <w:rPr>
          <w:rFonts w:ascii="Times New Roman" w:hAnsi="Times New Roman" w:cs="Times New Roman"/>
          <w:sz w:val="24"/>
        </w:rPr>
        <w:t xml:space="preserve">The limited overall Se and Te range of Westphalian A-C samples suggests there was little variation during the Westphalian period, which suggests that local variations in thermal maturity and mineralisation may play a role in </w:t>
      </w:r>
      <w:r w:rsidR="004469B7" w:rsidRPr="00E26343">
        <w:rPr>
          <w:rFonts w:ascii="Times New Roman" w:hAnsi="Times New Roman" w:cs="Times New Roman"/>
          <w:sz w:val="24"/>
        </w:rPr>
        <w:t xml:space="preserve">the </w:t>
      </w:r>
      <w:r w:rsidR="0023046C" w:rsidRPr="00E26343">
        <w:rPr>
          <w:rFonts w:ascii="Times New Roman" w:hAnsi="Times New Roman" w:cs="Times New Roman"/>
          <w:sz w:val="24"/>
        </w:rPr>
        <w:t xml:space="preserve">regional and stratigraphic trace element </w:t>
      </w:r>
      <w:r w:rsidR="004469B7" w:rsidRPr="00E26343">
        <w:rPr>
          <w:rFonts w:ascii="Times New Roman" w:hAnsi="Times New Roman" w:cs="Times New Roman"/>
          <w:sz w:val="24"/>
        </w:rPr>
        <w:t xml:space="preserve">patterns of </w:t>
      </w:r>
      <w:r w:rsidR="0023046C" w:rsidRPr="00E26343">
        <w:rPr>
          <w:rFonts w:ascii="Times New Roman" w:hAnsi="Times New Roman" w:cs="Times New Roman"/>
          <w:sz w:val="24"/>
        </w:rPr>
        <w:t>enrichment throughout</w:t>
      </w:r>
      <w:r w:rsidR="004469B7" w:rsidRPr="00E26343">
        <w:rPr>
          <w:rFonts w:ascii="Times New Roman" w:hAnsi="Times New Roman" w:cs="Times New Roman"/>
          <w:sz w:val="24"/>
        </w:rPr>
        <w:t xml:space="preserve"> Great Britain</w:t>
      </w:r>
      <w:r w:rsidR="0023046C" w:rsidRPr="00E26343">
        <w:rPr>
          <w:rFonts w:ascii="Times New Roman" w:hAnsi="Times New Roman" w:cs="Times New Roman"/>
          <w:sz w:val="24"/>
        </w:rPr>
        <w:t xml:space="preserve">. </w:t>
      </w:r>
      <w:r w:rsidR="00285BAB" w:rsidRPr="00E26343">
        <w:rPr>
          <w:rFonts w:ascii="Times New Roman" w:hAnsi="Times New Roman" w:cs="Times New Roman"/>
          <w:sz w:val="24"/>
        </w:rPr>
        <w:t xml:space="preserve">There are some </w:t>
      </w:r>
      <w:r w:rsidR="00285BAB" w:rsidRPr="00E26343">
        <w:rPr>
          <w:rFonts w:ascii="Times New Roman" w:hAnsi="Times New Roman" w:cs="Times New Roman"/>
          <w:sz w:val="24"/>
          <w:szCs w:val="24"/>
        </w:rPr>
        <w:t xml:space="preserve">correlations </w:t>
      </w:r>
      <w:r w:rsidR="007A63EC" w:rsidRPr="00E26343">
        <w:rPr>
          <w:rFonts w:ascii="Times New Roman" w:hAnsi="Times New Roman" w:cs="Times New Roman"/>
          <w:sz w:val="24"/>
          <w:szCs w:val="24"/>
        </w:rPr>
        <w:t>of</w:t>
      </w:r>
      <w:r w:rsidR="00285BAB" w:rsidRPr="00E26343">
        <w:rPr>
          <w:rFonts w:ascii="Times New Roman" w:hAnsi="Times New Roman" w:cs="Times New Roman"/>
          <w:sz w:val="24"/>
          <w:szCs w:val="24"/>
        </w:rPr>
        <w:t xml:space="preserve"> Te and Se </w:t>
      </w:r>
      <w:r w:rsidR="00682D6F" w:rsidRPr="00E26343">
        <w:rPr>
          <w:rFonts w:ascii="Times New Roman" w:hAnsi="Times New Roman" w:cs="Times New Roman"/>
          <w:sz w:val="24"/>
          <w:szCs w:val="24"/>
        </w:rPr>
        <w:t>with high</w:t>
      </w:r>
      <w:r w:rsidR="00285BAB" w:rsidRPr="00E26343">
        <w:rPr>
          <w:rFonts w:ascii="Times New Roman" w:hAnsi="Times New Roman" w:cs="Times New Roman"/>
          <w:sz w:val="24"/>
          <w:szCs w:val="24"/>
        </w:rPr>
        <w:t xml:space="preserve"> vitrinite reflectance</w:t>
      </w:r>
      <w:r w:rsidR="00682D6F" w:rsidRPr="00E26343">
        <w:rPr>
          <w:rFonts w:ascii="Times New Roman" w:hAnsi="Times New Roman" w:cs="Times New Roman"/>
          <w:sz w:val="24"/>
          <w:szCs w:val="24"/>
        </w:rPr>
        <w:t xml:space="preserve"> (Figure 8)</w:t>
      </w:r>
      <w:r w:rsidR="00285BAB" w:rsidRPr="00E26343">
        <w:rPr>
          <w:rFonts w:ascii="Times New Roman" w:hAnsi="Times New Roman" w:cs="Times New Roman"/>
          <w:sz w:val="24"/>
          <w:szCs w:val="24"/>
        </w:rPr>
        <w:t xml:space="preserve">, which </w:t>
      </w:r>
      <w:r w:rsidR="00682D6F" w:rsidRPr="00E26343">
        <w:rPr>
          <w:rFonts w:ascii="Times New Roman" w:hAnsi="Times New Roman" w:cs="Times New Roman"/>
          <w:sz w:val="24"/>
          <w:szCs w:val="24"/>
        </w:rPr>
        <w:t>may indicate that more thermally mature coals contain higher trace element content, previously attributed to uptake from groundwaters during burial (Raask, 1985)</w:t>
      </w:r>
      <w:r w:rsidR="00E26343" w:rsidRPr="00E26343">
        <w:rPr>
          <w:rFonts w:ascii="Times New Roman" w:hAnsi="Times New Roman" w:cs="Times New Roman"/>
          <w:sz w:val="24"/>
          <w:szCs w:val="24"/>
        </w:rPr>
        <w:t xml:space="preserve">. </w:t>
      </w:r>
    </w:p>
    <w:p w14:paraId="500DD383" w14:textId="434919CC" w:rsidR="007B3FA0" w:rsidRPr="00426C2D" w:rsidRDefault="0023046C" w:rsidP="00E26343">
      <w:pPr>
        <w:spacing w:line="360" w:lineRule="auto"/>
        <w:ind w:firstLine="720"/>
        <w:jc w:val="both"/>
        <w:rPr>
          <w:rFonts w:ascii="Times New Roman" w:hAnsi="Times New Roman" w:cs="Times New Roman"/>
          <w:b/>
          <w:sz w:val="24"/>
          <w:szCs w:val="24"/>
        </w:rPr>
      </w:pPr>
      <w:r w:rsidRPr="00E26343">
        <w:rPr>
          <w:rFonts w:ascii="Times New Roman" w:hAnsi="Times New Roman" w:cs="Times New Roman"/>
          <w:sz w:val="24"/>
          <w:szCs w:val="24"/>
        </w:rPr>
        <w:t>Causes of thermal maturity in coal, such as igneous intrusions heating the strata, may also be accompanied by trace element-carrying hydrothermal fluids percolating through coals, precipitating as pyrite. Dissolved metals in fluids can enhance Se and Te content of coals, and has been suggested for Carboniferous coals in Ayrshire (Bullock et al., 2018) and Jurassic coals in Brora (Bullock et al., 2017). The close proximity of the South Wales</w:t>
      </w:r>
      <w:r w:rsidR="00F65269" w:rsidRPr="00E26343">
        <w:rPr>
          <w:rFonts w:ascii="Times New Roman" w:hAnsi="Times New Roman" w:cs="Times New Roman"/>
          <w:sz w:val="24"/>
          <w:szCs w:val="24"/>
        </w:rPr>
        <w:t>, Cumberland</w:t>
      </w:r>
      <w:r w:rsidRPr="00E26343">
        <w:rPr>
          <w:rFonts w:ascii="Times New Roman" w:hAnsi="Times New Roman" w:cs="Times New Roman"/>
          <w:sz w:val="24"/>
          <w:szCs w:val="24"/>
        </w:rPr>
        <w:t xml:space="preserve"> and Northumberland coalfields to granitic intrusions (e.g. </w:t>
      </w:r>
      <w:r w:rsidR="00F65269" w:rsidRPr="00E26343">
        <w:rPr>
          <w:rFonts w:ascii="Times New Roman" w:hAnsi="Times New Roman" w:cs="Times New Roman"/>
          <w:sz w:val="24"/>
          <w:szCs w:val="24"/>
        </w:rPr>
        <w:t xml:space="preserve">Shap and Skiddaw granites of Cumberland, </w:t>
      </w:r>
      <w:r w:rsidRPr="00E26343">
        <w:rPr>
          <w:rFonts w:ascii="Times New Roman" w:hAnsi="Times New Roman" w:cs="Times New Roman"/>
          <w:sz w:val="24"/>
          <w:szCs w:val="24"/>
        </w:rPr>
        <w:t>Dartmoor granite in southwest England, Weardale granite in northeast England)</w:t>
      </w:r>
      <w:r w:rsidR="00F7078E" w:rsidRPr="00E26343">
        <w:rPr>
          <w:rFonts w:ascii="Times New Roman" w:hAnsi="Times New Roman" w:cs="Times New Roman"/>
          <w:sz w:val="24"/>
          <w:szCs w:val="24"/>
        </w:rPr>
        <w:t>, associated deformation which produced a series of faults through the coal strata (forming cleat systems), or later Variscan activity (in the case of South Wales),</w:t>
      </w:r>
      <w:r w:rsidRPr="00E26343">
        <w:rPr>
          <w:rFonts w:ascii="Times New Roman" w:hAnsi="Times New Roman" w:cs="Times New Roman"/>
          <w:sz w:val="24"/>
          <w:szCs w:val="24"/>
        </w:rPr>
        <w:t xml:space="preserve"> may</w:t>
      </w:r>
      <w:r w:rsidR="00F7078E" w:rsidRPr="00E26343">
        <w:rPr>
          <w:rFonts w:ascii="Times New Roman" w:hAnsi="Times New Roman" w:cs="Times New Roman"/>
          <w:sz w:val="24"/>
          <w:szCs w:val="24"/>
        </w:rPr>
        <w:t xml:space="preserve"> have</w:t>
      </w:r>
      <w:r w:rsidRPr="00E26343">
        <w:rPr>
          <w:rFonts w:ascii="Times New Roman" w:hAnsi="Times New Roman" w:cs="Times New Roman"/>
          <w:sz w:val="24"/>
          <w:szCs w:val="24"/>
        </w:rPr>
        <w:t xml:space="preserve"> provide</w:t>
      </w:r>
      <w:r w:rsidR="00F7078E" w:rsidRPr="00E26343">
        <w:rPr>
          <w:rFonts w:ascii="Times New Roman" w:hAnsi="Times New Roman" w:cs="Times New Roman"/>
          <w:sz w:val="24"/>
          <w:szCs w:val="24"/>
        </w:rPr>
        <w:t>d</w:t>
      </w:r>
      <w:r w:rsidRPr="00E26343">
        <w:rPr>
          <w:rFonts w:ascii="Times New Roman" w:hAnsi="Times New Roman" w:cs="Times New Roman"/>
          <w:sz w:val="24"/>
          <w:szCs w:val="24"/>
        </w:rPr>
        <w:t xml:space="preserve"> a source </w:t>
      </w:r>
      <w:r w:rsidR="00F7078E" w:rsidRPr="00E26343">
        <w:rPr>
          <w:rFonts w:ascii="Times New Roman" w:hAnsi="Times New Roman" w:cs="Times New Roman"/>
          <w:sz w:val="24"/>
          <w:szCs w:val="24"/>
        </w:rPr>
        <w:t>and/or flow pathway for hot metal-rich fluids and subsequent</w:t>
      </w:r>
      <w:r w:rsidR="00112465" w:rsidRPr="00E26343">
        <w:rPr>
          <w:rFonts w:ascii="Times New Roman" w:hAnsi="Times New Roman" w:cs="Times New Roman"/>
          <w:sz w:val="24"/>
          <w:szCs w:val="24"/>
        </w:rPr>
        <w:t xml:space="preserve"> increased maturity and</w:t>
      </w:r>
      <w:r w:rsidRPr="00E26343">
        <w:rPr>
          <w:rFonts w:ascii="Times New Roman" w:hAnsi="Times New Roman" w:cs="Times New Roman"/>
          <w:sz w:val="24"/>
          <w:szCs w:val="24"/>
        </w:rPr>
        <w:t xml:space="preserve"> trace element enrichment to these coals</w:t>
      </w:r>
      <w:r w:rsidR="00F7078E" w:rsidRPr="00E26343">
        <w:rPr>
          <w:rFonts w:ascii="Times New Roman" w:hAnsi="Times New Roman" w:cs="Times New Roman"/>
          <w:sz w:val="24"/>
          <w:szCs w:val="24"/>
        </w:rPr>
        <w:t xml:space="preserve"> (see also Gayer et al., 199</w:t>
      </w:r>
      <w:r w:rsidR="0070281F">
        <w:rPr>
          <w:rFonts w:ascii="Times New Roman" w:hAnsi="Times New Roman" w:cs="Times New Roman"/>
          <w:sz w:val="24"/>
          <w:szCs w:val="24"/>
        </w:rPr>
        <w:t>6</w:t>
      </w:r>
      <w:r w:rsidR="00F7078E" w:rsidRPr="00E26343">
        <w:rPr>
          <w:rFonts w:ascii="Times New Roman" w:hAnsi="Times New Roman" w:cs="Times New Roman"/>
          <w:sz w:val="24"/>
          <w:szCs w:val="24"/>
        </w:rPr>
        <w:t>; Turner and Richardson, 2004)</w:t>
      </w:r>
      <w:r w:rsidRPr="00E26343">
        <w:rPr>
          <w:rFonts w:ascii="Times New Roman" w:hAnsi="Times New Roman" w:cs="Times New Roman"/>
          <w:sz w:val="24"/>
          <w:szCs w:val="24"/>
        </w:rPr>
        <w:t xml:space="preserve">. The Clackmannan Group coals in Fife-Stirling shows higher </w:t>
      </w:r>
      <w:r w:rsidR="000A0D72" w:rsidRPr="00E26343">
        <w:rPr>
          <w:rFonts w:ascii="Times New Roman" w:hAnsi="Times New Roman" w:cs="Times New Roman"/>
          <w:sz w:val="24"/>
          <w:szCs w:val="24"/>
        </w:rPr>
        <w:t>mean</w:t>
      </w:r>
      <w:r w:rsidRPr="00E26343">
        <w:rPr>
          <w:rFonts w:ascii="Times New Roman" w:hAnsi="Times New Roman" w:cs="Times New Roman"/>
          <w:sz w:val="24"/>
          <w:szCs w:val="24"/>
        </w:rPr>
        <w:t xml:space="preserve"> Se and Te, which may be attributed to the 18-m thick </w:t>
      </w:r>
      <w:r w:rsidRPr="00426C2D">
        <w:rPr>
          <w:rFonts w:ascii="Times New Roman" w:hAnsi="Times New Roman" w:cs="Times New Roman"/>
          <w:sz w:val="24"/>
          <w:szCs w:val="24"/>
        </w:rPr>
        <w:t xml:space="preserve">Midland Valley Sill complex causing local heating of strata (Vincent et al., 2010), which may be responsible for the higher thermal maturity, and may have provided a potential source and/or fluid transport mechanism for </w:t>
      </w:r>
      <w:r w:rsidR="003554F3" w:rsidRPr="00426C2D">
        <w:rPr>
          <w:rFonts w:ascii="Times New Roman" w:hAnsi="Times New Roman" w:cs="Times New Roman"/>
          <w:sz w:val="24"/>
          <w:szCs w:val="24"/>
        </w:rPr>
        <w:t>chalc</w:t>
      </w:r>
      <w:r w:rsidRPr="00426C2D">
        <w:rPr>
          <w:rFonts w:ascii="Times New Roman" w:hAnsi="Times New Roman" w:cs="Times New Roman"/>
          <w:sz w:val="24"/>
          <w:szCs w:val="24"/>
        </w:rPr>
        <w:t>ophile elements through the strata.</w:t>
      </w:r>
    </w:p>
    <w:p w14:paraId="25001646" w14:textId="45D87417" w:rsidR="00B22EA2" w:rsidRPr="00426C2D" w:rsidRDefault="00B22EA2" w:rsidP="00E26343">
      <w:pPr>
        <w:spacing w:line="360" w:lineRule="auto"/>
        <w:ind w:firstLine="720"/>
        <w:jc w:val="both"/>
        <w:rPr>
          <w:rFonts w:ascii="Times New Roman" w:hAnsi="Times New Roman" w:cs="Times New Roman"/>
          <w:sz w:val="24"/>
        </w:rPr>
      </w:pPr>
      <w:r w:rsidRPr="00426C2D">
        <w:rPr>
          <w:rFonts w:ascii="Times New Roman" w:hAnsi="Times New Roman" w:cs="Times New Roman"/>
          <w:sz w:val="24"/>
          <w:szCs w:val="24"/>
        </w:rPr>
        <w:t xml:space="preserve">There is also a positive correlation in the Te/Se ratio (Figure 2), suggesting a close relationship between the two elements, both substituting for S in pyrite. Selenium can substitute </w:t>
      </w:r>
      <w:r w:rsidRPr="00426C2D">
        <w:rPr>
          <w:rFonts w:ascii="Times New Roman" w:hAnsi="Times New Roman" w:cs="Times New Roman"/>
          <w:sz w:val="24"/>
        </w:rPr>
        <w:t xml:space="preserve">readily for S in many sulphide minerals, and can also be precipitated by sulphate-reducing microbes (Hockin &amp; Gadd, 2003; Parnell et al., 2015). In coals, Te also has an indirect association with organic matter, and microbial activity can concentrate </w:t>
      </w:r>
      <w:r w:rsidRPr="00CA2455">
        <w:rPr>
          <w:rFonts w:ascii="Times New Roman" w:hAnsi="Times New Roman" w:cs="Times New Roman"/>
          <w:sz w:val="24"/>
        </w:rPr>
        <w:t xml:space="preserve">both Se and Te. High Se and Te coals </w:t>
      </w:r>
      <w:r>
        <w:rPr>
          <w:rFonts w:ascii="Times New Roman" w:hAnsi="Times New Roman" w:cs="Times New Roman"/>
          <w:sz w:val="24"/>
        </w:rPr>
        <w:t xml:space="preserve">recognised in this study </w:t>
      </w:r>
      <w:r w:rsidRPr="00CA2455">
        <w:rPr>
          <w:rFonts w:ascii="Times New Roman" w:hAnsi="Times New Roman" w:cs="Times New Roman"/>
          <w:sz w:val="24"/>
        </w:rPr>
        <w:t>typically contain visible pyrite</w:t>
      </w:r>
      <w:r>
        <w:rPr>
          <w:rFonts w:ascii="Times New Roman" w:hAnsi="Times New Roman" w:cs="Times New Roman"/>
          <w:sz w:val="24"/>
        </w:rPr>
        <w:t xml:space="preserve"> (e.g. samples from Ayrshire, Northumberland, South Wales and Staffordshire)</w:t>
      </w:r>
      <w:r w:rsidRPr="00CA2455">
        <w:rPr>
          <w:rFonts w:ascii="Times New Roman" w:hAnsi="Times New Roman" w:cs="Times New Roman"/>
          <w:sz w:val="24"/>
        </w:rPr>
        <w:t xml:space="preserve">. The role of pyrite is therefore pivotal in sequestration of Se and Te in coals. However, the </w:t>
      </w:r>
      <w:r w:rsidRPr="0048290F">
        <w:rPr>
          <w:rFonts w:ascii="Times New Roman" w:hAnsi="Times New Roman" w:cs="Times New Roman"/>
          <w:sz w:val="24"/>
        </w:rPr>
        <w:t>cross-plot of Se vs. S indicates only a slight a positive correlation, with several outliers (Figure</w:t>
      </w:r>
      <w:r w:rsidRPr="002342B8">
        <w:rPr>
          <w:rFonts w:ascii="Times New Roman" w:hAnsi="Times New Roman" w:cs="Times New Roman"/>
          <w:sz w:val="24"/>
        </w:rPr>
        <w:t xml:space="preserve"> </w:t>
      </w:r>
      <w:r>
        <w:rPr>
          <w:rFonts w:ascii="Times New Roman" w:hAnsi="Times New Roman" w:cs="Times New Roman"/>
          <w:sz w:val="24"/>
        </w:rPr>
        <w:t>8a</w:t>
      </w:r>
      <w:r w:rsidRPr="002342B8">
        <w:rPr>
          <w:rFonts w:ascii="Times New Roman" w:hAnsi="Times New Roman" w:cs="Times New Roman"/>
          <w:sz w:val="24"/>
        </w:rPr>
        <w:t xml:space="preserve">). This </w:t>
      </w:r>
      <w:r>
        <w:rPr>
          <w:rFonts w:ascii="Times New Roman" w:hAnsi="Times New Roman" w:cs="Times New Roman"/>
          <w:sz w:val="24"/>
        </w:rPr>
        <w:t>may therefore suggest that pyritic S is important in Se and Te sequestration, but sulphate and organic sulphur content in coals do not play a pivotal role in Se and Te sequestration, resulting in the data point outliers and a lack of correlation for total S vs. Se and Te</w:t>
      </w:r>
      <w:r w:rsidRPr="002342B8">
        <w:rPr>
          <w:rFonts w:ascii="Times New Roman" w:hAnsi="Times New Roman" w:cs="Times New Roman"/>
          <w:sz w:val="24"/>
        </w:rPr>
        <w:t>.</w:t>
      </w:r>
      <w:r>
        <w:rPr>
          <w:rFonts w:ascii="Times New Roman" w:hAnsi="Times New Roman" w:cs="Times New Roman"/>
          <w:sz w:val="24"/>
        </w:rPr>
        <w:t xml:space="preserve"> </w:t>
      </w:r>
      <w:r w:rsidR="000A0D72">
        <w:rPr>
          <w:rFonts w:ascii="Times New Roman" w:hAnsi="Times New Roman" w:cs="Times New Roman"/>
          <w:sz w:val="24"/>
        </w:rPr>
        <w:t>Though Se and Te have an affinity to organic matter (binding to the surface), the lower trace element content in non-pyritic coal compared to pyritic coal suggests that organic matter</w:t>
      </w:r>
      <w:r w:rsidR="00B86F25">
        <w:rPr>
          <w:rFonts w:ascii="Times New Roman" w:hAnsi="Times New Roman" w:cs="Times New Roman"/>
          <w:sz w:val="24"/>
        </w:rPr>
        <w:t xml:space="preserve"> may elevate mean concentrations above world average crustal compositions, but</w:t>
      </w:r>
      <w:r w:rsidR="000A0D72">
        <w:rPr>
          <w:rFonts w:ascii="Times New Roman" w:hAnsi="Times New Roman" w:cs="Times New Roman"/>
          <w:sz w:val="24"/>
        </w:rPr>
        <w:t xml:space="preserve"> is </w:t>
      </w:r>
      <w:r w:rsidR="00B86F25">
        <w:rPr>
          <w:rFonts w:ascii="Times New Roman" w:hAnsi="Times New Roman" w:cs="Times New Roman"/>
          <w:sz w:val="24"/>
        </w:rPr>
        <w:t xml:space="preserve">unlikely to play a significant role in enrichment compared to other coals </w:t>
      </w:r>
      <w:r w:rsidR="00B86F25" w:rsidRPr="00426C2D">
        <w:rPr>
          <w:rFonts w:ascii="Times New Roman" w:hAnsi="Times New Roman" w:cs="Times New Roman"/>
          <w:sz w:val="24"/>
        </w:rPr>
        <w:t xml:space="preserve">and organic-rich sediments. </w:t>
      </w:r>
    </w:p>
    <w:p w14:paraId="3D78188A" w14:textId="0A175CB3" w:rsidR="00285BAB" w:rsidRDefault="00285BAB" w:rsidP="00C63800">
      <w:pPr>
        <w:spacing w:line="360" w:lineRule="auto"/>
        <w:ind w:firstLine="720"/>
        <w:jc w:val="both"/>
        <w:rPr>
          <w:rFonts w:ascii="Times New Roman" w:hAnsi="Times New Roman" w:cs="Times New Roman"/>
          <w:sz w:val="24"/>
        </w:rPr>
      </w:pPr>
      <w:r w:rsidRPr="00426C2D">
        <w:rPr>
          <w:rFonts w:ascii="Times New Roman" w:hAnsi="Times New Roman" w:cs="Times New Roman"/>
          <w:sz w:val="24"/>
        </w:rPr>
        <w:t>Pyrite abundance appears variable across the sample set. High Se in Fif</w:t>
      </w:r>
      <w:r w:rsidR="00930185" w:rsidRPr="00426C2D">
        <w:rPr>
          <w:rFonts w:ascii="Times New Roman" w:hAnsi="Times New Roman" w:cs="Times New Roman"/>
          <w:sz w:val="24"/>
        </w:rPr>
        <w:t>e-Stirling</w:t>
      </w:r>
      <w:r w:rsidRPr="00426C2D">
        <w:rPr>
          <w:rFonts w:ascii="Times New Roman" w:hAnsi="Times New Roman" w:cs="Times New Roman"/>
          <w:sz w:val="24"/>
        </w:rPr>
        <w:t xml:space="preserve">, Ayrshire, </w:t>
      </w:r>
      <w:r w:rsidR="00F65269" w:rsidRPr="00426C2D">
        <w:rPr>
          <w:rFonts w:ascii="Times New Roman" w:hAnsi="Times New Roman" w:cs="Times New Roman"/>
          <w:sz w:val="24"/>
        </w:rPr>
        <w:t xml:space="preserve">Cumberland, </w:t>
      </w:r>
      <w:r w:rsidR="0048290F" w:rsidRPr="00426C2D">
        <w:rPr>
          <w:rFonts w:ascii="Times New Roman" w:hAnsi="Times New Roman" w:cs="Times New Roman"/>
          <w:sz w:val="24"/>
        </w:rPr>
        <w:t xml:space="preserve">Northumberland, </w:t>
      </w:r>
      <w:r w:rsidRPr="00426C2D">
        <w:rPr>
          <w:rFonts w:ascii="Times New Roman" w:hAnsi="Times New Roman" w:cs="Times New Roman"/>
          <w:sz w:val="24"/>
        </w:rPr>
        <w:t xml:space="preserve">North Wales and Staffordshire coincide with </w:t>
      </w:r>
      <w:r w:rsidR="003F16AE" w:rsidRPr="00426C2D">
        <w:rPr>
          <w:rFonts w:ascii="Times New Roman" w:hAnsi="Times New Roman" w:cs="Times New Roman"/>
          <w:sz w:val="24"/>
        </w:rPr>
        <w:t xml:space="preserve">high S and </w:t>
      </w:r>
      <w:r w:rsidRPr="00426C2D">
        <w:rPr>
          <w:rFonts w:ascii="Times New Roman" w:hAnsi="Times New Roman" w:cs="Times New Roman"/>
          <w:sz w:val="24"/>
        </w:rPr>
        <w:t xml:space="preserve">visible pyrite in sampled coals. Pyrite occurs in coal as early (syngenetic) replacement minerals, and later (epigenetic) cleat-filling pyrite (Cavender </w:t>
      </w:r>
      <w:r w:rsidR="00640617" w:rsidRPr="00426C2D">
        <w:rPr>
          <w:rFonts w:ascii="Times New Roman" w:hAnsi="Times New Roman" w:cs="Times New Roman"/>
          <w:sz w:val="24"/>
        </w:rPr>
        <w:t xml:space="preserve">&amp; </w:t>
      </w:r>
      <w:r w:rsidRPr="00426C2D">
        <w:rPr>
          <w:rFonts w:ascii="Times New Roman" w:hAnsi="Times New Roman" w:cs="Times New Roman"/>
          <w:sz w:val="24"/>
        </w:rPr>
        <w:t xml:space="preserve">Spears, 1995, 1997; </w:t>
      </w:r>
      <w:r w:rsidR="00640617" w:rsidRPr="00426C2D">
        <w:rPr>
          <w:rFonts w:ascii="Times New Roman" w:hAnsi="Times New Roman" w:cs="Times New Roman"/>
          <w:sz w:val="24"/>
        </w:rPr>
        <w:t xml:space="preserve">Spears &amp; Caswell, 1986; </w:t>
      </w:r>
      <w:r w:rsidRPr="00426C2D">
        <w:rPr>
          <w:rFonts w:ascii="Times New Roman" w:hAnsi="Times New Roman" w:cs="Times New Roman"/>
          <w:sz w:val="24"/>
        </w:rPr>
        <w:t xml:space="preserve">Spears </w:t>
      </w:r>
      <w:r w:rsidR="00640617" w:rsidRPr="00426C2D">
        <w:rPr>
          <w:rFonts w:ascii="Times New Roman" w:hAnsi="Times New Roman" w:cs="Times New Roman"/>
          <w:sz w:val="24"/>
        </w:rPr>
        <w:t xml:space="preserve">&amp; </w:t>
      </w:r>
      <w:r w:rsidRPr="00426C2D">
        <w:rPr>
          <w:rFonts w:ascii="Times New Roman" w:hAnsi="Times New Roman" w:cs="Times New Roman"/>
          <w:sz w:val="24"/>
        </w:rPr>
        <w:t xml:space="preserve">Tewalt, 2009). Samples from the Ayrshire </w:t>
      </w:r>
      <w:r w:rsidR="0048290F" w:rsidRPr="00426C2D">
        <w:rPr>
          <w:rFonts w:ascii="Times New Roman" w:hAnsi="Times New Roman" w:cs="Times New Roman"/>
          <w:sz w:val="24"/>
        </w:rPr>
        <w:t xml:space="preserve">and Northumberland </w:t>
      </w:r>
      <w:r w:rsidRPr="00426C2D">
        <w:rPr>
          <w:rFonts w:ascii="Times New Roman" w:hAnsi="Times New Roman" w:cs="Times New Roman"/>
          <w:sz w:val="24"/>
        </w:rPr>
        <w:t>Coalfield</w:t>
      </w:r>
      <w:r w:rsidR="0048290F" w:rsidRPr="00426C2D">
        <w:rPr>
          <w:rFonts w:ascii="Times New Roman" w:hAnsi="Times New Roman" w:cs="Times New Roman"/>
          <w:sz w:val="24"/>
        </w:rPr>
        <w:t>s</w:t>
      </w:r>
      <w:r w:rsidRPr="00426C2D">
        <w:rPr>
          <w:rFonts w:ascii="Times New Roman" w:hAnsi="Times New Roman" w:cs="Times New Roman"/>
          <w:sz w:val="24"/>
        </w:rPr>
        <w:t xml:space="preserve"> show the high</w:t>
      </w:r>
      <w:r w:rsidR="0067047E" w:rsidRPr="00426C2D">
        <w:rPr>
          <w:rFonts w:ascii="Times New Roman" w:hAnsi="Times New Roman" w:cs="Times New Roman"/>
          <w:sz w:val="24"/>
        </w:rPr>
        <w:t xml:space="preserve">est </w:t>
      </w:r>
      <w:r w:rsidR="0067047E" w:rsidRPr="0048290F">
        <w:rPr>
          <w:rFonts w:ascii="Times New Roman" w:hAnsi="Times New Roman" w:cs="Times New Roman"/>
          <w:sz w:val="24"/>
        </w:rPr>
        <w:t xml:space="preserve">pyrite abundance, with disseminated </w:t>
      </w:r>
      <w:r w:rsidRPr="0048290F">
        <w:rPr>
          <w:rFonts w:ascii="Times New Roman" w:hAnsi="Times New Roman" w:cs="Times New Roman"/>
          <w:sz w:val="24"/>
        </w:rPr>
        <w:t>pyrite</w:t>
      </w:r>
      <w:r w:rsidR="0067047E" w:rsidRPr="0048290F">
        <w:rPr>
          <w:rFonts w:ascii="Times New Roman" w:hAnsi="Times New Roman" w:cs="Times New Roman"/>
          <w:sz w:val="24"/>
        </w:rPr>
        <w:t>, banded pyrite</w:t>
      </w:r>
      <w:r w:rsidRPr="0048290F">
        <w:rPr>
          <w:rFonts w:ascii="Times New Roman" w:hAnsi="Times New Roman" w:cs="Times New Roman"/>
          <w:sz w:val="24"/>
        </w:rPr>
        <w:t xml:space="preserve"> and later-stage cleat pyrite evident. In previous studies, Se has been </w:t>
      </w:r>
      <w:r w:rsidR="00F40E56" w:rsidRPr="0048290F">
        <w:rPr>
          <w:rFonts w:ascii="Times New Roman" w:hAnsi="Times New Roman" w:cs="Times New Roman"/>
          <w:sz w:val="24"/>
        </w:rPr>
        <w:t>shown</w:t>
      </w:r>
      <w:r w:rsidRPr="0048290F">
        <w:rPr>
          <w:rFonts w:ascii="Times New Roman" w:hAnsi="Times New Roman" w:cs="Times New Roman"/>
          <w:sz w:val="24"/>
        </w:rPr>
        <w:t xml:space="preserve"> to be more abundant in early forms</w:t>
      </w:r>
      <w:r w:rsidR="00F40E56" w:rsidRPr="0048290F">
        <w:rPr>
          <w:rFonts w:ascii="Times New Roman" w:hAnsi="Times New Roman" w:cs="Times New Roman"/>
          <w:sz w:val="24"/>
        </w:rPr>
        <w:t xml:space="preserve"> of pyrite (Large et al., 2014)</w:t>
      </w:r>
      <w:r w:rsidRPr="0048290F">
        <w:rPr>
          <w:rFonts w:ascii="Times New Roman" w:hAnsi="Times New Roman" w:cs="Times New Roman"/>
          <w:sz w:val="24"/>
        </w:rPr>
        <w:t xml:space="preserve">. </w:t>
      </w:r>
      <w:r w:rsidR="003F16AE" w:rsidRPr="0048290F">
        <w:rPr>
          <w:rFonts w:ascii="Times New Roman" w:hAnsi="Times New Roman" w:cs="Times New Roman"/>
          <w:sz w:val="24"/>
        </w:rPr>
        <w:t>However, l</w:t>
      </w:r>
      <w:r w:rsidRPr="0048290F">
        <w:rPr>
          <w:rFonts w:ascii="Times New Roman" w:hAnsi="Times New Roman" w:cs="Times New Roman"/>
          <w:sz w:val="24"/>
        </w:rPr>
        <w:t>ate stage epigenetic fluids are</w:t>
      </w:r>
      <w:r w:rsidR="003F16AE" w:rsidRPr="0048290F">
        <w:rPr>
          <w:rFonts w:ascii="Times New Roman" w:hAnsi="Times New Roman" w:cs="Times New Roman"/>
          <w:sz w:val="24"/>
        </w:rPr>
        <w:t xml:space="preserve"> also</w:t>
      </w:r>
      <w:r w:rsidRPr="0048290F">
        <w:rPr>
          <w:rFonts w:ascii="Times New Roman" w:hAnsi="Times New Roman" w:cs="Times New Roman"/>
          <w:sz w:val="24"/>
        </w:rPr>
        <w:t xml:space="preserve"> known to be responsible for high concentrations of trace elements in some coals (</w:t>
      </w:r>
      <w:r w:rsidR="0048290F">
        <w:rPr>
          <w:rFonts w:ascii="Times New Roman" w:hAnsi="Times New Roman" w:cs="Times New Roman"/>
          <w:sz w:val="24"/>
        </w:rPr>
        <w:t xml:space="preserve">Bullock et al., 2018; </w:t>
      </w:r>
      <w:r w:rsidRPr="0048290F">
        <w:rPr>
          <w:rFonts w:ascii="Times New Roman" w:hAnsi="Times New Roman" w:cs="Times New Roman"/>
          <w:sz w:val="24"/>
        </w:rPr>
        <w:t xml:space="preserve">Diehl et al., 2004; </w:t>
      </w:r>
      <w:r w:rsidR="00640617" w:rsidRPr="0048290F">
        <w:rPr>
          <w:rFonts w:ascii="Times New Roman" w:hAnsi="Times New Roman" w:cs="Times New Roman"/>
          <w:sz w:val="24"/>
        </w:rPr>
        <w:t xml:space="preserve">Spears &amp; Tewalt, 2009; </w:t>
      </w:r>
      <w:r w:rsidRPr="0048290F">
        <w:rPr>
          <w:rFonts w:ascii="Times New Roman" w:hAnsi="Times New Roman" w:cs="Times New Roman"/>
          <w:sz w:val="24"/>
        </w:rPr>
        <w:t xml:space="preserve">Yudovich </w:t>
      </w:r>
      <w:r w:rsidR="00640617" w:rsidRPr="0048290F">
        <w:rPr>
          <w:rFonts w:ascii="Times New Roman" w:hAnsi="Times New Roman" w:cs="Times New Roman"/>
          <w:sz w:val="24"/>
        </w:rPr>
        <w:t xml:space="preserve">&amp; </w:t>
      </w:r>
      <w:r w:rsidRPr="0048290F">
        <w:rPr>
          <w:rFonts w:ascii="Times New Roman" w:hAnsi="Times New Roman" w:cs="Times New Roman"/>
          <w:sz w:val="24"/>
        </w:rPr>
        <w:t>Ketris</w:t>
      </w:r>
      <w:r w:rsidRPr="00285BAB">
        <w:rPr>
          <w:rFonts w:ascii="Times New Roman" w:hAnsi="Times New Roman" w:cs="Times New Roman"/>
          <w:sz w:val="24"/>
        </w:rPr>
        <w:t>, 2006). The presence of pyrite infilling cleats indicates a later period of formation. Cleats can provide channels for fluid flow, and the host coal can offer a source of reduced S for bacterial sulphate reduction (</w:t>
      </w:r>
      <w:r w:rsidR="0048290F">
        <w:rPr>
          <w:rFonts w:ascii="Times New Roman" w:hAnsi="Times New Roman" w:cs="Times New Roman"/>
          <w:sz w:val="24"/>
        </w:rPr>
        <w:t xml:space="preserve">Bullock et al., 2018; </w:t>
      </w:r>
      <w:r w:rsidRPr="00285BAB">
        <w:rPr>
          <w:rFonts w:ascii="Times New Roman" w:hAnsi="Times New Roman" w:cs="Times New Roman"/>
          <w:sz w:val="24"/>
        </w:rPr>
        <w:t xml:space="preserve">Hatch et al., 1976). The development of cleats provides a locus for pyrite precipitation, and associated Se and </w:t>
      </w:r>
      <w:r w:rsidR="00B22EA2">
        <w:rPr>
          <w:rFonts w:ascii="Times New Roman" w:hAnsi="Times New Roman" w:cs="Times New Roman"/>
          <w:sz w:val="24"/>
        </w:rPr>
        <w:t>Te</w:t>
      </w:r>
      <w:r w:rsidRPr="00285BAB">
        <w:rPr>
          <w:rFonts w:ascii="Times New Roman" w:hAnsi="Times New Roman" w:cs="Times New Roman"/>
          <w:sz w:val="24"/>
        </w:rPr>
        <w:t xml:space="preserve">. </w:t>
      </w:r>
    </w:p>
    <w:p w14:paraId="686ACD75" w14:textId="77777777" w:rsidR="00B22EA2" w:rsidRDefault="00B22EA2" w:rsidP="00B22EA2">
      <w:pPr>
        <w:spacing w:line="360" w:lineRule="auto"/>
        <w:jc w:val="both"/>
        <w:rPr>
          <w:rFonts w:ascii="Times New Roman" w:hAnsi="Times New Roman" w:cs="Times New Roman"/>
          <w:sz w:val="24"/>
        </w:rPr>
      </w:pPr>
    </w:p>
    <w:p w14:paraId="39BC7CFC" w14:textId="77777777" w:rsidR="00CB2F8D" w:rsidRPr="00CC7122" w:rsidRDefault="00CB2F8D" w:rsidP="004B1A8C">
      <w:pPr>
        <w:spacing w:line="360" w:lineRule="auto"/>
        <w:jc w:val="both"/>
        <w:outlineLvl w:val="0"/>
        <w:rPr>
          <w:rFonts w:ascii="Times New Roman" w:hAnsi="Times New Roman" w:cs="Times New Roman"/>
          <w:b/>
          <w:sz w:val="24"/>
        </w:rPr>
      </w:pPr>
      <w:r w:rsidRPr="004469B7">
        <w:rPr>
          <w:rFonts w:ascii="Times New Roman" w:hAnsi="Times New Roman" w:cs="Times New Roman"/>
          <w:b/>
          <w:sz w:val="24"/>
        </w:rPr>
        <w:t>6 CONCLUSIONS</w:t>
      </w:r>
    </w:p>
    <w:p w14:paraId="0F139FCC" w14:textId="1A5EF5C5" w:rsidR="00B7593E" w:rsidRPr="00B7593E" w:rsidRDefault="00F40E56" w:rsidP="00C63800">
      <w:pPr>
        <w:spacing w:line="360" w:lineRule="auto"/>
        <w:jc w:val="both"/>
        <w:rPr>
          <w:rFonts w:ascii="Times New Roman" w:hAnsi="Times New Roman" w:cs="Times New Roman"/>
          <w:sz w:val="24"/>
        </w:rPr>
      </w:pPr>
      <w:r>
        <w:rPr>
          <w:rFonts w:ascii="Times New Roman" w:hAnsi="Times New Roman" w:cs="Times New Roman"/>
          <w:sz w:val="24"/>
        </w:rPr>
        <w:t>A</w:t>
      </w:r>
      <w:r w:rsidR="00B7593E" w:rsidRPr="00B7593E">
        <w:rPr>
          <w:rFonts w:ascii="Times New Roman" w:hAnsi="Times New Roman" w:cs="Times New Roman"/>
          <w:sz w:val="24"/>
        </w:rPr>
        <w:t xml:space="preserve"> combination of </w:t>
      </w:r>
      <w:r w:rsidR="00CE47CA">
        <w:rPr>
          <w:rFonts w:ascii="Times New Roman" w:hAnsi="Times New Roman" w:cs="Times New Roman"/>
          <w:sz w:val="24"/>
        </w:rPr>
        <w:t>standard mode</w:t>
      </w:r>
      <w:r w:rsidR="00CE47CA" w:rsidRPr="00B7593E">
        <w:rPr>
          <w:rFonts w:ascii="Times New Roman" w:hAnsi="Times New Roman" w:cs="Times New Roman"/>
          <w:sz w:val="24"/>
        </w:rPr>
        <w:t xml:space="preserve"> </w:t>
      </w:r>
      <w:r w:rsidR="00B7593E" w:rsidRPr="00B7593E">
        <w:rPr>
          <w:rFonts w:ascii="Times New Roman" w:hAnsi="Times New Roman" w:cs="Times New Roman"/>
          <w:sz w:val="24"/>
        </w:rPr>
        <w:t xml:space="preserve">and </w:t>
      </w:r>
      <w:r w:rsidR="001807F8" w:rsidRPr="001807F8">
        <w:rPr>
          <w:rFonts w:ascii="Times New Roman" w:hAnsi="Times New Roman" w:cs="Times New Roman"/>
          <w:sz w:val="24"/>
        </w:rPr>
        <w:t>collision/reaction cell</w:t>
      </w:r>
      <w:r w:rsidR="001807F8" w:rsidRPr="001807F8" w:rsidDel="001807F8">
        <w:rPr>
          <w:rFonts w:ascii="Times New Roman" w:hAnsi="Times New Roman" w:cs="Times New Roman"/>
          <w:sz w:val="24"/>
        </w:rPr>
        <w:t xml:space="preserve"> </w:t>
      </w:r>
      <w:r w:rsidR="00B7593E" w:rsidRPr="00B7593E">
        <w:rPr>
          <w:rFonts w:ascii="Times New Roman" w:hAnsi="Times New Roman" w:cs="Times New Roman"/>
          <w:sz w:val="24"/>
        </w:rPr>
        <w:t>ICP-MS analytical methods</w:t>
      </w:r>
      <w:r>
        <w:rPr>
          <w:rFonts w:ascii="Times New Roman" w:hAnsi="Times New Roman" w:cs="Times New Roman"/>
          <w:sz w:val="24"/>
        </w:rPr>
        <w:t xml:space="preserve"> have led to the establishment of</w:t>
      </w:r>
      <w:r w:rsidR="00B7593E" w:rsidRPr="00B7593E">
        <w:rPr>
          <w:rFonts w:ascii="Times New Roman" w:hAnsi="Times New Roman" w:cs="Times New Roman"/>
          <w:sz w:val="24"/>
        </w:rPr>
        <w:t xml:space="preserve"> Se and Te concentrations of Carboniferous British Coal Measures to ultra-low levels of detection. </w:t>
      </w:r>
    </w:p>
    <w:p w14:paraId="7EE61D30" w14:textId="77777777" w:rsidR="00B7593E" w:rsidRPr="00B7593E" w:rsidRDefault="00B7593E" w:rsidP="00C63800">
      <w:pPr>
        <w:spacing w:line="360" w:lineRule="auto"/>
        <w:jc w:val="both"/>
        <w:rPr>
          <w:rFonts w:ascii="Times New Roman" w:hAnsi="Times New Roman" w:cs="Times New Roman"/>
          <w:sz w:val="24"/>
        </w:rPr>
      </w:pPr>
      <w:r w:rsidRPr="00B7593E">
        <w:rPr>
          <w:rFonts w:ascii="Times New Roman" w:hAnsi="Times New Roman" w:cs="Times New Roman"/>
          <w:sz w:val="24"/>
        </w:rPr>
        <w:t>Results show that:</w:t>
      </w:r>
    </w:p>
    <w:p w14:paraId="5CFAB099" w14:textId="188D8452" w:rsidR="00B7593E" w:rsidRPr="00426C2D" w:rsidRDefault="00B7593E" w:rsidP="00112465">
      <w:pPr>
        <w:pStyle w:val="ListParagraph"/>
        <w:numPr>
          <w:ilvl w:val="0"/>
          <w:numId w:val="3"/>
        </w:numPr>
        <w:spacing w:line="360" w:lineRule="auto"/>
        <w:jc w:val="both"/>
        <w:rPr>
          <w:rFonts w:ascii="Times New Roman" w:hAnsi="Times New Roman" w:cs="Times New Roman"/>
          <w:sz w:val="24"/>
        </w:rPr>
      </w:pPr>
      <w:r w:rsidRPr="00B7593E">
        <w:rPr>
          <w:rFonts w:ascii="Times New Roman" w:hAnsi="Times New Roman" w:cs="Times New Roman"/>
          <w:sz w:val="24"/>
        </w:rPr>
        <w:t xml:space="preserve">British coals contain typical Se concentrations comparative to world Se coal content, with </w:t>
      </w:r>
      <w:r w:rsidRPr="00426C2D">
        <w:rPr>
          <w:rFonts w:ascii="Times New Roman" w:hAnsi="Times New Roman" w:cs="Times New Roman"/>
          <w:sz w:val="24"/>
        </w:rPr>
        <w:t>anomalously high content in westerly coal exposures (Argyllshire, Ayrshire, Fife</w:t>
      </w:r>
      <w:r w:rsidR="00930185" w:rsidRPr="00426C2D">
        <w:rPr>
          <w:rFonts w:ascii="Times New Roman" w:hAnsi="Times New Roman" w:cs="Times New Roman"/>
          <w:sz w:val="24"/>
        </w:rPr>
        <w:t>-Stirling</w:t>
      </w:r>
      <w:r w:rsidRPr="00426C2D">
        <w:rPr>
          <w:rFonts w:ascii="Times New Roman" w:hAnsi="Times New Roman" w:cs="Times New Roman"/>
          <w:sz w:val="24"/>
        </w:rPr>
        <w:t xml:space="preserve">, </w:t>
      </w:r>
      <w:r w:rsidR="00F65269" w:rsidRPr="00426C2D">
        <w:rPr>
          <w:rFonts w:ascii="Times New Roman" w:hAnsi="Times New Roman" w:cs="Times New Roman"/>
          <w:sz w:val="24"/>
        </w:rPr>
        <w:t xml:space="preserve">Cumberland, </w:t>
      </w:r>
      <w:r w:rsidRPr="00426C2D">
        <w:rPr>
          <w:rFonts w:ascii="Times New Roman" w:hAnsi="Times New Roman" w:cs="Times New Roman"/>
          <w:sz w:val="24"/>
        </w:rPr>
        <w:t>Nottinghamshire, North Wales and Staffordshire)</w:t>
      </w:r>
      <w:r w:rsidR="005264DE" w:rsidRPr="00426C2D">
        <w:rPr>
          <w:rFonts w:ascii="Times New Roman" w:hAnsi="Times New Roman" w:cs="Times New Roman"/>
          <w:sz w:val="24"/>
        </w:rPr>
        <w:t xml:space="preserve">, Northumberland and </w:t>
      </w:r>
      <w:r w:rsidR="00BC5D01" w:rsidRPr="00426C2D">
        <w:rPr>
          <w:rFonts w:ascii="Times New Roman" w:hAnsi="Times New Roman" w:cs="Times New Roman"/>
          <w:sz w:val="24"/>
        </w:rPr>
        <w:t>Fife-Stirling</w:t>
      </w:r>
      <w:r w:rsidRPr="00426C2D">
        <w:rPr>
          <w:rFonts w:ascii="Times New Roman" w:hAnsi="Times New Roman" w:cs="Times New Roman"/>
          <w:sz w:val="24"/>
        </w:rPr>
        <w:t>.</w:t>
      </w:r>
      <w:r w:rsidR="00112465" w:rsidRPr="00426C2D">
        <w:t xml:space="preserve"> </w:t>
      </w:r>
      <w:r w:rsidR="00112465" w:rsidRPr="00426C2D">
        <w:rPr>
          <w:rFonts w:ascii="Times New Roman" w:hAnsi="Times New Roman" w:cs="Times New Roman"/>
          <w:sz w:val="24"/>
        </w:rPr>
        <w:t>The high Se-Bowland Shale and/or Ordovician volcanics may have provided a source of Se (and other trace elements such as Te).</w:t>
      </w:r>
    </w:p>
    <w:p w14:paraId="1855C8A8" w14:textId="099193AB" w:rsidR="00B7593E" w:rsidRPr="00426C2D" w:rsidRDefault="00B7593E" w:rsidP="00C63800">
      <w:pPr>
        <w:pStyle w:val="ListParagraph"/>
        <w:numPr>
          <w:ilvl w:val="0"/>
          <w:numId w:val="3"/>
        </w:numPr>
        <w:spacing w:line="360" w:lineRule="auto"/>
        <w:jc w:val="both"/>
        <w:rPr>
          <w:rFonts w:ascii="Times New Roman" w:hAnsi="Times New Roman" w:cs="Times New Roman"/>
          <w:sz w:val="24"/>
        </w:rPr>
      </w:pPr>
      <w:r w:rsidRPr="00426C2D">
        <w:rPr>
          <w:rFonts w:ascii="Times New Roman" w:hAnsi="Times New Roman" w:cs="Times New Roman"/>
          <w:sz w:val="24"/>
        </w:rPr>
        <w:t>Based on</w:t>
      </w:r>
      <w:r w:rsidR="00896FB9" w:rsidRPr="00426C2D">
        <w:rPr>
          <w:rFonts w:ascii="Times New Roman" w:hAnsi="Times New Roman" w:cs="Times New Roman"/>
          <w:sz w:val="24"/>
        </w:rPr>
        <w:t xml:space="preserve"> a combination of</w:t>
      </w:r>
      <w:r w:rsidRPr="00426C2D">
        <w:rPr>
          <w:rFonts w:ascii="Times New Roman" w:hAnsi="Times New Roman" w:cs="Times New Roman"/>
          <w:sz w:val="24"/>
        </w:rPr>
        <w:t xml:space="preserve"> </w:t>
      </w:r>
      <w:r w:rsidR="001807F8" w:rsidRPr="00426C2D">
        <w:rPr>
          <w:rFonts w:ascii="Times New Roman" w:hAnsi="Times New Roman" w:cs="Times New Roman"/>
          <w:sz w:val="24"/>
        </w:rPr>
        <w:t xml:space="preserve">CRC </w:t>
      </w:r>
      <w:r w:rsidRPr="00426C2D">
        <w:rPr>
          <w:rFonts w:ascii="Times New Roman" w:hAnsi="Times New Roman" w:cs="Times New Roman"/>
          <w:sz w:val="24"/>
        </w:rPr>
        <w:t xml:space="preserve">and </w:t>
      </w:r>
      <w:r w:rsidR="005264DE" w:rsidRPr="00426C2D">
        <w:rPr>
          <w:rFonts w:ascii="Times New Roman" w:hAnsi="Times New Roman" w:cs="Times New Roman"/>
          <w:sz w:val="24"/>
        </w:rPr>
        <w:t xml:space="preserve">standard mode </w:t>
      </w:r>
      <w:r w:rsidR="00896FB9" w:rsidRPr="00426C2D">
        <w:rPr>
          <w:rFonts w:ascii="Times New Roman" w:hAnsi="Times New Roman" w:cs="Times New Roman"/>
          <w:sz w:val="24"/>
        </w:rPr>
        <w:t xml:space="preserve">ICP-MS </w:t>
      </w:r>
      <w:r w:rsidRPr="00426C2D">
        <w:rPr>
          <w:rFonts w:ascii="Times New Roman" w:hAnsi="Times New Roman" w:cs="Times New Roman"/>
          <w:sz w:val="24"/>
        </w:rPr>
        <w:t xml:space="preserve">methods, the </w:t>
      </w:r>
      <w:r w:rsidR="000A0D72" w:rsidRPr="00426C2D">
        <w:rPr>
          <w:rFonts w:ascii="Times New Roman" w:hAnsi="Times New Roman" w:cs="Times New Roman"/>
          <w:sz w:val="24"/>
        </w:rPr>
        <w:t>mean</w:t>
      </w:r>
      <w:r w:rsidR="00896FB9" w:rsidRPr="00426C2D">
        <w:rPr>
          <w:rFonts w:ascii="Times New Roman" w:hAnsi="Times New Roman" w:cs="Times New Roman"/>
          <w:sz w:val="24"/>
        </w:rPr>
        <w:t xml:space="preserve"> measured</w:t>
      </w:r>
      <w:r w:rsidRPr="00426C2D">
        <w:rPr>
          <w:rFonts w:ascii="Times New Roman" w:hAnsi="Times New Roman" w:cs="Times New Roman"/>
          <w:sz w:val="24"/>
        </w:rPr>
        <w:t xml:space="preserve"> Te content of British coals is 0.02 </w:t>
      </w:r>
      <w:r w:rsidR="00CE47CA" w:rsidRPr="00426C2D">
        <w:rPr>
          <w:rFonts w:ascii="Times New Roman" w:hAnsi="Times New Roman" w:cs="Times New Roman"/>
          <w:sz w:val="24"/>
        </w:rPr>
        <w:t>mg/kg</w:t>
      </w:r>
      <w:r w:rsidRPr="00426C2D">
        <w:rPr>
          <w:rFonts w:ascii="Times New Roman" w:hAnsi="Times New Roman" w:cs="Times New Roman"/>
          <w:sz w:val="24"/>
        </w:rPr>
        <w:t xml:space="preserve">. The highest recognised Te content is from </w:t>
      </w:r>
      <w:r w:rsidR="00BC5D01" w:rsidRPr="00426C2D">
        <w:rPr>
          <w:rFonts w:ascii="Times New Roman" w:hAnsi="Times New Roman" w:cs="Times New Roman"/>
          <w:sz w:val="24"/>
        </w:rPr>
        <w:t>Fife-Stirling</w:t>
      </w:r>
      <w:r w:rsidRPr="00426C2D">
        <w:rPr>
          <w:rFonts w:ascii="Times New Roman" w:hAnsi="Times New Roman" w:cs="Times New Roman"/>
          <w:sz w:val="24"/>
        </w:rPr>
        <w:t xml:space="preserve">, a magnitude higher than the estimated world </w:t>
      </w:r>
      <w:r w:rsidR="000A0D72" w:rsidRPr="00426C2D">
        <w:rPr>
          <w:rFonts w:ascii="Times New Roman" w:hAnsi="Times New Roman" w:cs="Times New Roman"/>
          <w:sz w:val="24"/>
        </w:rPr>
        <w:t>mean</w:t>
      </w:r>
      <w:r w:rsidRPr="00426C2D">
        <w:rPr>
          <w:rFonts w:ascii="Times New Roman" w:hAnsi="Times New Roman" w:cs="Times New Roman"/>
          <w:sz w:val="24"/>
        </w:rPr>
        <w:t xml:space="preserve"> Te value.</w:t>
      </w:r>
    </w:p>
    <w:p w14:paraId="2DFF9E2A" w14:textId="528E7AA6" w:rsidR="00B7593E" w:rsidRPr="00426C2D" w:rsidRDefault="00B7593E" w:rsidP="00C63800">
      <w:pPr>
        <w:pStyle w:val="ListParagraph"/>
        <w:numPr>
          <w:ilvl w:val="0"/>
          <w:numId w:val="3"/>
        </w:numPr>
        <w:spacing w:line="360" w:lineRule="auto"/>
        <w:jc w:val="both"/>
        <w:rPr>
          <w:rFonts w:ascii="Times New Roman" w:hAnsi="Times New Roman" w:cs="Times New Roman"/>
          <w:sz w:val="24"/>
        </w:rPr>
      </w:pPr>
      <w:r w:rsidRPr="00426C2D">
        <w:rPr>
          <w:rFonts w:ascii="Times New Roman" w:hAnsi="Times New Roman" w:cs="Times New Roman"/>
          <w:sz w:val="24"/>
        </w:rPr>
        <w:t xml:space="preserve">High Se in </w:t>
      </w:r>
      <w:r w:rsidR="00BC5D01" w:rsidRPr="00426C2D">
        <w:rPr>
          <w:rFonts w:ascii="Times New Roman" w:hAnsi="Times New Roman" w:cs="Times New Roman"/>
          <w:sz w:val="24"/>
        </w:rPr>
        <w:t>Fife-Stirling</w:t>
      </w:r>
      <w:r w:rsidRPr="00426C2D">
        <w:rPr>
          <w:rFonts w:ascii="Times New Roman" w:hAnsi="Times New Roman" w:cs="Times New Roman"/>
          <w:sz w:val="24"/>
        </w:rPr>
        <w:t>, Ayrshire,</w:t>
      </w:r>
      <w:r w:rsidR="00F65269" w:rsidRPr="00426C2D">
        <w:rPr>
          <w:rFonts w:ascii="Times New Roman" w:hAnsi="Times New Roman" w:cs="Times New Roman"/>
          <w:sz w:val="24"/>
        </w:rPr>
        <w:t xml:space="preserve"> Cumberland, Northumberland,</w:t>
      </w:r>
      <w:r w:rsidRPr="00426C2D">
        <w:rPr>
          <w:rFonts w:ascii="Times New Roman" w:hAnsi="Times New Roman" w:cs="Times New Roman"/>
          <w:sz w:val="24"/>
        </w:rPr>
        <w:t xml:space="preserve"> North Wales and Staffordshire coincide with high S and visible pyrite in sampled coals. There is a positive correlation in the Te/Se ratio, suggesting substitution for S in pyrite and an important role of pyrite in sequestration of Se and Te in coals. Se and Te may be typically more abundant in early forms of pyrite, but the development of cleats provides a locus for pyrite precipitation and associated </w:t>
      </w:r>
      <w:r w:rsidR="00896FB9" w:rsidRPr="00426C2D">
        <w:rPr>
          <w:rFonts w:ascii="Times New Roman" w:hAnsi="Times New Roman" w:cs="Times New Roman"/>
          <w:sz w:val="24"/>
        </w:rPr>
        <w:t xml:space="preserve">higher </w:t>
      </w:r>
      <w:r w:rsidRPr="00426C2D">
        <w:rPr>
          <w:rFonts w:ascii="Times New Roman" w:hAnsi="Times New Roman" w:cs="Times New Roman"/>
          <w:sz w:val="24"/>
        </w:rPr>
        <w:t>Se and Te.</w:t>
      </w:r>
    </w:p>
    <w:p w14:paraId="7974E29B" w14:textId="11C5DA45" w:rsidR="004469B7" w:rsidRPr="00B7593E" w:rsidRDefault="004469B7" w:rsidP="00C63800">
      <w:pPr>
        <w:pStyle w:val="ListParagraph"/>
        <w:numPr>
          <w:ilvl w:val="0"/>
          <w:numId w:val="3"/>
        </w:numPr>
        <w:spacing w:line="360" w:lineRule="auto"/>
        <w:jc w:val="both"/>
        <w:rPr>
          <w:rFonts w:ascii="Times New Roman" w:hAnsi="Times New Roman" w:cs="Times New Roman"/>
          <w:sz w:val="24"/>
        </w:rPr>
      </w:pPr>
      <w:r w:rsidRPr="00426C2D">
        <w:rPr>
          <w:rFonts w:ascii="Times New Roman" w:hAnsi="Times New Roman" w:cs="Times New Roman"/>
          <w:sz w:val="24"/>
        </w:rPr>
        <w:t xml:space="preserve">Regional variations in coal maturity and mineralisation </w:t>
      </w:r>
      <w:r>
        <w:rPr>
          <w:rFonts w:ascii="Times New Roman" w:hAnsi="Times New Roman" w:cs="Times New Roman"/>
          <w:sz w:val="24"/>
        </w:rPr>
        <w:t xml:space="preserve">trends relating to igneous intrusions </w:t>
      </w:r>
      <w:r w:rsidR="00F7078E">
        <w:rPr>
          <w:rFonts w:ascii="Times New Roman" w:hAnsi="Times New Roman" w:cs="Times New Roman"/>
          <w:sz w:val="24"/>
        </w:rPr>
        <w:t xml:space="preserve">or episodes of deformation </w:t>
      </w:r>
      <w:r>
        <w:rPr>
          <w:rFonts w:ascii="Times New Roman" w:hAnsi="Times New Roman" w:cs="Times New Roman"/>
          <w:sz w:val="24"/>
        </w:rPr>
        <w:t xml:space="preserve">may play a role in the variations in Se and Te enrichment in British coals. </w:t>
      </w:r>
    </w:p>
    <w:p w14:paraId="7BBA3F58" w14:textId="77777777" w:rsidR="009113AF" w:rsidRDefault="009113AF" w:rsidP="00C63800">
      <w:pPr>
        <w:spacing w:line="360" w:lineRule="auto"/>
        <w:jc w:val="both"/>
        <w:rPr>
          <w:rFonts w:ascii="Times New Roman" w:hAnsi="Times New Roman" w:cs="Times New Roman"/>
          <w:sz w:val="24"/>
        </w:rPr>
      </w:pPr>
    </w:p>
    <w:p w14:paraId="331D00BD" w14:textId="77777777" w:rsidR="00896FB9" w:rsidRPr="00CC7122" w:rsidRDefault="00896FB9" w:rsidP="004B1A8C">
      <w:pPr>
        <w:spacing w:line="360" w:lineRule="auto"/>
        <w:jc w:val="both"/>
        <w:outlineLvl w:val="0"/>
        <w:rPr>
          <w:rFonts w:ascii="Times New Roman" w:hAnsi="Times New Roman" w:cs="Times New Roman"/>
          <w:b/>
          <w:sz w:val="24"/>
        </w:rPr>
      </w:pPr>
      <w:r w:rsidRPr="005264DE">
        <w:rPr>
          <w:rFonts w:ascii="Times New Roman" w:hAnsi="Times New Roman" w:cs="Times New Roman"/>
          <w:b/>
          <w:sz w:val="24"/>
        </w:rPr>
        <w:t>ACKNOWLEDGMENTS</w:t>
      </w:r>
      <w:r w:rsidRPr="00CC7122">
        <w:rPr>
          <w:rFonts w:ascii="Times New Roman" w:hAnsi="Times New Roman" w:cs="Times New Roman"/>
          <w:b/>
          <w:sz w:val="24"/>
        </w:rPr>
        <w:t xml:space="preserve"> </w:t>
      </w:r>
    </w:p>
    <w:p w14:paraId="7AB2308B" w14:textId="2056F841" w:rsidR="00896FB9" w:rsidRDefault="00896FB9" w:rsidP="00B5490C">
      <w:pPr>
        <w:spacing w:line="360" w:lineRule="auto"/>
        <w:jc w:val="both"/>
        <w:rPr>
          <w:rFonts w:ascii="Times New Roman" w:hAnsi="Times New Roman" w:cs="Times New Roman"/>
          <w:sz w:val="24"/>
        </w:rPr>
      </w:pPr>
      <w:r w:rsidRPr="00896FB9">
        <w:rPr>
          <w:rFonts w:ascii="Times New Roman" w:hAnsi="Times New Roman" w:cs="Times New Roman"/>
          <w:sz w:val="24"/>
        </w:rPr>
        <w:t>The authors wish to thank Kier Group</w:t>
      </w:r>
      <w:r>
        <w:rPr>
          <w:rFonts w:ascii="Times New Roman" w:hAnsi="Times New Roman" w:cs="Times New Roman"/>
          <w:sz w:val="24"/>
        </w:rPr>
        <w:t>,</w:t>
      </w:r>
      <w:r w:rsidRPr="00896FB9">
        <w:t xml:space="preserve"> </w:t>
      </w:r>
      <w:r w:rsidRPr="00896FB9">
        <w:rPr>
          <w:rFonts w:ascii="Times New Roman" w:hAnsi="Times New Roman" w:cs="Times New Roman"/>
          <w:sz w:val="24"/>
        </w:rPr>
        <w:t xml:space="preserve">the British Coal Utilisation Research Association (BCURA) and </w:t>
      </w:r>
      <w:r w:rsidRPr="00426C2D">
        <w:rPr>
          <w:rFonts w:ascii="Times New Roman" w:hAnsi="Times New Roman" w:cs="Times New Roman"/>
          <w:sz w:val="24"/>
        </w:rPr>
        <w:t>Uniper (E.On) for kindly providing coal samples.</w:t>
      </w:r>
      <w:r w:rsidRPr="00426C2D">
        <w:t xml:space="preserve"> </w:t>
      </w:r>
      <w:r w:rsidRPr="00426C2D">
        <w:rPr>
          <w:rFonts w:ascii="Times New Roman" w:hAnsi="Times New Roman" w:cs="Times New Roman"/>
          <w:sz w:val="24"/>
        </w:rPr>
        <w:t xml:space="preserve">The authors are grateful to Conselho Nacional de Desenvolvimento Científico e Tecnológico (CNPq), Coordenação de Aperfeiçoamento de Pessoal de Nível Superior (CAPES) and Fundação de Amparo à Pesquisa do Estado do Rio Grande do Sul (FAPERGS) for supporting this study. </w:t>
      </w:r>
      <w:r w:rsidR="00B5490C" w:rsidRPr="00426C2D">
        <w:rPr>
          <w:rFonts w:ascii="Times New Roman" w:hAnsi="Times New Roman" w:cs="Times New Roman"/>
          <w:sz w:val="24"/>
        </w:rPr>
        <w:t xml:space="preserve">The authors are grateful for the thorough and constructive comments from two anonymous reviewers, as well as the careful editorial handling of Dr Ian Somerville. </w:t>
      </w:r>
      <w:r w:rsidRPr="00426C2D">
        <w:rPr>
          <w:rFonts w:ascii="Times New Roman" w:hAnsi="Times New Roman" w:cs="Times New Roman"/>
          <w:sz w:val="24"/>
        </w:rPr>
        <w:t>Funding provided by NERC Security of Supply programme (grant NE/L001764/1).</w:t>
      </w:r>
      <w:r w:rsidR="00D128C0" w:rsidRPr="00426C2D">
        <w:rPr>
          <w:rFonts w:ascii="Times New Roman" w:hAnsi="Times New Roman" w:cs="Times New Roman"/>
          <w:sz w:val="24"/>
        </w:rPr>
        <w:t xml:space="preserve"> The authors declare </w:t>
      </w:r>
      <w:r w:rsidR="00D128C0">
        <w:rPr>
          <w:rFonts w:ascii="Times New Roman" w:hAnsi="Times New Roman" w:cs="Times New Roman"/>
          <w:sz w:val="24"/>
        </w:rPr>
        <w:t xml:space="preserve">no </w:t>
      </w:r>
      <w:r w:rsidR="00D128C0" w:rsidRPr="00D128C0">
        <w:rPr>
          <w:rFonts w:ascii="Times New Roman" w:hAnsi="Times New Roman" w:cs="Times New Roman"/>
          <w:sz w:val="24"/>
        </w:rPr>
        <w:t>conflict</w:t>
      </w:r>
      <w:r w:rsidR="00D128C0">
        <w:rPr>
          <w:rFonts w:ascii="Times New Roman" w:hAnsi="Times New Roman" w:cs="Times New Roman"/>
          <w:sz w:val="24"/>
        </w:rPr>
        <w:t>s</w:t>
      </w:r>
      <w:r w:rsidR="00D128C0" w:rsidRPr="00D128C0">
        <w:rPr>
          <w:rFonts w:ascii="Times New Roman" w:hAnsi="Times New Roman" w:cs="Times New Roman"/>
          <w:sz w:val="24"/>
        </w:rPr>
        <w:t xml:space="preserve"> of interest</w:t>
      </w:r>
      <w:r w:rsidR="00D128C0">
        <w:rPr>
          <w:rFonts w:ascii="Times New Roman" w:hAnsi="Times New Roman" w:cs="Times New Roman"/>
          <w:sz w:val="24"/>
        </w:rPr>
        <w:t>.</w:t>
      </w:r>
    </w:p>
    <w:p w14:paraId="20FD3531" w14:textId="77777777" w:rsidR="00896FB9" w:rsidRDefault="00896FB9" w:rsidP="00C63800">
      <w:pPr>
        <w:spacing w:line="360" w:lineRule="auto"/>
        <w:jc w:val="both"/>
        <w:rPr>
          <w:rFonts w:ascii="Times New Roman" w:hAnsi="Times New Roman" w:cs="Times New Roman"/>
          <w:sz w:val="24"/>
        </w:rPr>
      </w:pPr>
    </w:p>
    <w:p w14:paraId="2CEE5379" w14:textId="77777777" w:rsidR="009113AF" w:rsidRPr="00CC7122" w:rsidRDefault="009113AF" w:rsidP="004B1A8C">
      <w:pPr>
        <w:spacing w:line="360" w:lineRule="auto"/>
        <w:jc w:val="both"/>
        <w:outlineLvl w:val="0"/>
        <w:rPr>
          <w:rFonts w:ascii="Times New Roman" w:hAnsi="Times New Roman" w:cs="Times New Roman"/>
          <w:b/>
          <w:sz w:val="24"/>
        </w:rPr>
      </w:pPr>
      <w:r w:rsidRPr="005264DE">
        <w:rPr>
          <w:rFonts w:ascii="Times New Roman" w:hAnsi="Times New Roman" w:cs="Times New Roman"/>
          <w:b/>
          <w:sz w:val="24"/>
        </w:rPr>
        <w:t>REFERENCES</w:t>
      </w:r>
    </w:p>
    <w:p w14:paraId="35D8E695" w14:textId="6DFD60F2" w:rsidR="00EF0CC8" w:rsidRDefault="00EF0CC8" w:rsidP="00C63800">
      <w:pPr>
        <w:spacing w:line="360" w:lineRule="auto"/>
        <w:ind w:left="709" w:hanging="720"/>
        <w:jc w:val="both"/>
        <w:rPr>
          <w:rFonts w:ascii="Times New Roman" w:hAnsi="Times New Roman" w:cs="Times New Roman"/>
          <w:sz w:val="24"/>
        </w:rPr>
      </w:pPr>
      <w:r w:rsidRPr="00EF0CC8">
        <w:rPr>
          <w:rFonts w:ascii="Times New Roman" w:hAnsi="Times New Roman" w:cs="Times New Roman"/>
          <w:sz w:val="24"/>
        </w:rPr>
        <w:t>Adriano, D.C.</w:t>
      </w:r>
      <w:r>
        <w:rPr>
          <w:rFonts w:ascii="Times New Roman" w:hAnsi="Times New Roman" w:cs="Times New Roman"/>
          <w:sz w:val="24"/>
        </w:rPr>
        <w:t xml:space="preserve"> (2001).</w:t>
      </w:r>
      <w:r w:rsidRPr="00EF0CC8">
        <w:rPr>
          <w:rFonts w:ascii="Times New Roman" w:hAnsi="Times New Roman" w:cs="Times New Roman"/>
          <w:sz w:val="24"/>
        </w:rPr>
        <w:t xml:space="preserve"> Trace Elements in Terrestrial Environments, 2nd ed.; Springer: New York, USA, 2001, p. 867, ISBN 978-0-387-21510-5.</w:t>
      </w:r>
    </w:p>
    <w:p w14:paraId="13BD900E" w14:textId="7AF2C537" w:rsidR="00031E70" w:rsidRDefault="00031E70" w:rsidP="00C63800">
      <w:pPr>
        <w:spacing w:line="360" w:lineRule="auto"/>
        <w:ind w:left="709" w:hanging="720"/>
        <w:jc w:val="both"/>
        <w:rPr>
          <w:rFonts w:ascii="Times New Roman" w:hAnsi="Times New Roman" w:cs="Times New Roman"/>
          <w:sz w:val="24"/>
        </w:rPr>
      </w:pPr>
      <w:r>
        <w:rPr>
          <w:rFonts w:ascii="Times New Roman" w:hAnsi="Times New Roman" w:cs="Times New Roman"/>
          <w:sz w:val="24"/>
        </w:rPr>
        <w:t>Armstroff, A.</w:t>
      </w:r>
      <w:r w:rsidRPr="00031E70">
        <w:rPr>
          <w:rFonts w:ascii="Times New Roman" w:hAnsi="Times New Roman" w:cs="Times New Roman"/>
          <w:sz w:val="24"/>
        </w:rPr>
        <w:t xml:space="preserve"> </w:t>
      </w:r>
      <w:r>
        <w:rPr>
          <w:rFonts w:ascii="Times New Roman" w:hAnsi="Times New Roman" w:cs="Times New Roman"/>
          <w:sz w:val="24"/>
        </w:rPr>
        <w:t>(</w:t>
      </w:r>
      <w:r w:rsidRPr="00031E70">
        <w:rPr>
          <w:rFonts w:ascii="Times New Roman" w:hAnsi="Times New Roman" w:cs="Times New Roman"/>
          <w:sz w:val="24"/>
        </w:rPr>
        <w:t>2004</w:t>
      </w:r>
      <w:r>
        <w:rPr>
          <w:rFonts w:ascii="Times New Roman" w:hAnsi="Times New Roman" w:cs="Times New Roman"/>
          <w:sz w:val="24"/>
        </w:rPr>
        <w:t>)</w:t>
      </w:r>
      <w:r w:rsidRPr="00031E70">
        <w:rPr>
          <w:rFonts w:ascii="Times New Roman" w:hAnsi="Times New Roman" w:cs="Times New Roman"/>
          <w:sz w:val="24"/>
        </w:rPr>
        <w:t>. Geochemical Significance of Biomarkers in Paleozoic Coals. Doctoral Thesis (Ph.D), Technischen Universität Berlin.</w:t>
      </w:r>
    </w:p>
    <w:p w14:paraId="4E05050D" w14:textId="6CAB2DC7"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Ayres, R.U</w:t>
      </w:r>
      <w:r w:rsidRPr="00031E70">
        <w:rPr>
          <w:rFonts w:ascii="Times New Roman" w:hAnsi="Times New Roman" w:cs="Times New Roman"/>
          <w:sz w:val="24"/>
        </w:rPr>
        <w:t xml:space="preserve">., </w:t>
      </w:r>
      <w:r w:rsidR="00B3495A" w:rsidRPr="00031E70">
        <w:rPr>
          <w:rFonts w:ascii="Times New Roman" w:hAnsi="Times New Roman" w:cs="Times New Roman"/>
          <w:sz w:val="24"/>
        </w:rPr>
        <w:t xml:space="preserve">&amp; </w:t>
      </w:r>
      <w:r w:rsidRPr="00031E70">
        <w:rPr>
          <w:rFonts w:ascii="Times New Roman" w:hAnsi="Times New Roman" w:cs="Times New Roman"/>
          <w:sz w:val="24"/>
        </w:rPr>
        <w:t xml:space="preserve">Talens Peiró, L. </w:t>
      </w:r>
      <w:r w:rsidR="00B3495A" w:rsidRPr="00031E70">
        <w:rPr>
          <w:rFonts w:ascii="Times New Roman" w:hAnsi="Times New Roman" w:cs="Times New Roman"/>
          <w:sz w:val="24"/>
        </w:rPr>
        <w:t>(</w:t>
      </w:r>
      <w:r w:rsidRPr="00031E70">
        <w:rPr>
          <w:rFonts w:ascii="Times New Roman" w:hAnsi="Times New Roman" w:cs="Times New Roman"/>
          <w:sz w:val="24"/>
        </w:rPr>
        <w:t>2013</w:t>
      </w:r>
      <w:r w:rsidR="00B3495A" w:rsidRPr="00031E70">
        <w:rPr>
          <w:rFonts w:ascii="Times New Roman" w:hAnsi="Times New Roman" w:cs="Times New Roman"/>
          <w:sz w:val="24"/>
        </w:rPr>
        <w:t>)</w:t>
      </w:r>
      <w:r w:rsidRPr="00031E70">
        <w:rPr>
          <w:rFonts w:ascii="Times New Roman" w:hAnsi="Times New Roman" w:cs="Times New Roman"/>
          <w:sz w:val="24"/>
        </w:rPr>
        <w:t xml:space="preserve">. Material efficiency: rare and critical metals. </w:t>
      </w:r>
      <w:r w:rsidRPr="00031E70">
        <w:rPr>
          <w:rFonts w:ascii="Times New Roman" w:hAnsi="Times New Roman" w:cs="Times New Roman"/>
          <w:i/>
          <w:sz w:val="24"/>
        </w:rPr>
        <w:t>Philosophical Transactions of the Royal Society</w:t>
      </w:r>
      <w:r w:rsidR="00B3495A" w:rsidRPr="00031E70">
        <w:rPr>
          <w:rFonts w:ascii="Times New Roman" w:hAnsi="Times New Roman" w:cs="Times New Roman"/>
          <w:sz w:val="24"/>
        </w:rPr>
        <w:t>,</w:t>
      </w:r>
      <w:r w:rsidRPr="00031E70">
        <w:rPr>
          <w:rFonts w:ascii="Times New Roman" w:hAnsi="Times New Roman" w:cs="Times New Roman"/>
          <w:sz w:val="24"/>
        </w:rPr>
        <w:t xml:space="preserve"> </w:t>
      </w:r>
      <w:r w:rsidRPr="00031E70">
        <w:rPr>
          <w:rFonts w:ascii="Times New Roman" w:hAnsi="Times New Roman" w:cs="Times New Roman"/>
          <w:i/>
          <w:sz w:val="24"/>
        </w:rPr>
        <w:t>A 371</w:t>
      </w:r>
      <w:r w:rsidR="00B3495A">
        <w:rPr>
          <w:rFonts w:ascii="Times New Roman" w:hAnsi="Times New Roman" w:cs="Times New Roman"/>
          <w:sz w:val="24"/>
        </w:rPr>
        <w:t>,</w:t>
      </w:r>
      <w:r w:rsidR="00B3495A" w:rsidRPr="00FF6D9D">
        <w:rPr>
          <w:rFonts w:ascii="Times New Roman" w:hAnsi="Times New Roman" w:cs="Times New Roman"/>
          <w:sz w:val="24"/>
        </w:rPr>
        <w:t xml:space="preserve"> </w:t>
      </w:r>
      <w:r w:rsidRPr="00FF6D9D">
        <w:rPr>
          <w:rFonts w:ascii="Times New Roman" w:hAnsi="Times New Roman" w:cs="Times New Roman"/>
          <w:sz w:val="24"/>
        </w:rPr>
        <w:t>20110563.</w:t>
      </w:r>
    </w:p>
    <w:p w14:paraId="319F9120" w14:textId="54DE097F" w:rsid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BCURA (The British Coal Utilisation Research Association) </w:t>
      </w:r>
      <w:r w:rsidR="00B3495A">
        <w:rPr>
          <w:rFonts w:ascii="Times New Roman" w:hAnsi="Times New Roman" w:cs="Times New Roman"/>
          <w:sz w:val="24"/>
        </w:rPr>
        <w:t>(</w:t>
      </w:r>
      <w:r w:rsidRPr="00FF6D9D">
        <w:rPr>
          <w:rFonts w:ascii="Times New Roman" w:hAnsi="Times New Roman" w:cs="Times New Roman"/>
          <w:sz w:val="24"/>
        </w:rPr>
        <w:t>2002</w:t>
      </w:r>
      <w:r w:rsidR="00B3495A">
        <w:rPr>
          <w:rFonts w:ascii="Times New Roman" w:hAnsi="Times New Roman" w:cs="Times New Roman"/>
          <w:sz w:val="24"/>
        </w:rPr>
        <w:t>)</w:t>
      </w:r>
      <w:r w:rsidRPr="00FF6D9D">
        <w:rPr>
          <w:rFonts w:ascii="Times New Roman" w:hAnsi="Times New Roman" w:cs="Times New Roman"/>
          <w:sz w:val="24"/>
        </w:rPr>
        <w:t xml:space="preserve">. The BCURA Coal Sample Bank: A Users Handbook. </w:t>
      </w:r>
    </w:p>
    <w:p w14:paraId="518F4474" w14:textId="038F64D7"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Besly, B.M., Burley, S.D., </w:t>
      </w:r>
      <w:r w:rsidR="00B3495A" w:rsidRPr="005264DE">
        <w:rPr>
          <w:rFonts w:ascii="Times New Roman" w:hAnsi="Times New Roman" w:cs="Times New Roman"/>
          <w:sz w:val="24"/>
        </w:rPr>
        <w:t xml:space="preserve">&amp; </w:t>
      </w:r>
      <w:r w:rsidRPr="005264DE">
        <w:rPr>
          <w:rFonts w:ascii="Times New Roman" w:hAnsi="Times New Roman" w:cs="Times New Roman"/>
          <w:sz w:val="24"/>
        </w:rPr>
        <w:t xml:space="preserve">Turner, P. </w:t>
      </w:r>
      <w:r w:rsidR="00B3495A" w:rsidRPr="005264DE">
        <w:rPr>
          <w:rFonts w:ascii="Times New Roman" w:hAnsi="Times New Roman" w:cs="Times New Roman"/>
          <w:sz w:val="24"/>
        </w:rPr>
        <w:t>(</w:t>
      </w:r>
      <w:r w:rsidRPr="005264DE">
        <w:rPr>
          <w:rFonts w:ascii="Times New Roman" w:hAnsi="Times New Roman" w:cs="Times New Roman"/>
          <w:sz w:val="24"/>
        </w:rPr>
        <w:t>1993</w:t>
      </w:r>
      <w:r w:rsidR="00B3495A" w:rsidRPr="005264DE">
        <w:rPr>
          <w:rFonts w:ascii="Times New Roman" w:hAnsi="Times New Roman" w:cs="Times New Roman"/>
          <w:sz w:val="24"/>
        </w:rPr>
        <w:t>)</w:t>
      </w:r>
      <w:r w:rsidRPr="005264DE">
        <w:rPr>
          <w:rFonts w:ascii="Times New Roman" w:hAnsi="Times New Roman" w:cs="Times New Roman"/>
          <w:sz w:val="24"/>
        </w:rPr>
        <w:t>. The late Carboniferous “Barren Red Bed” play of the Silver Pit area, southern North Sea. In: Parker, J.R. (</w:t>
      </w:r>
      <w:r w:rsidR="00B3495A" w:rsidRPr="005264DE">
        <w:rPr>
          <w:rFonts w:ascii="Times New Roman" w:hAnsi="Times New Roman" w:cs="Times New Roman"/>
          <w:sz w:val="24"/>
        </w:rPr>
        <w:t>Ed.</w:t>
      </w:r>
      <w:r w:rsidRPr="005264DE">
        <w:rPr>
          <w:rFonts w:ascii="Times New Roman" w:hAnsi="Times New Roman" w:cs="Times New Roman"/>
          <w:sz w:val="24"/>
        </w:rPr>
        <w:t xml:space="preserve">) Petroleum geology of northwest Europe: </w:t>
      </w:r>
      <w:r w:rsidR="00B3495A" w:rsidRPr="005264DE">
        <w:rPr>
          <w:rFonts w:ascii="Times New Roman" w:hAnsi="Times New Roman" w:cs="Times New Roman"/>
          <w:sz w:val="24"/>
        </w:rPr>
        <w:t xml:space="preserve">Proceedings </w:t>
      </w:r>
      <w:r w:rsidRPr="005264DE">
        <w:rPr>
          <w:rFonts w:ascii="Times New Roman" w:hAnsi="Times New Roman" w:cs="Times New Roman"/>
          <w:sz w:val="24"/>
        </w:rPr>
        <w:t>of the 4th conference, 727-40. Ge</w:t>
      </w:r>
      <w:r w:rsidRPr="00FF6D9D">
        <w:rPr>
          <w:rFonts w:ascii="Times New Roman" w:hAnsi="Times New Roman" w:cs="Times New Roman"/>
          <w:sz w:val="24"/>
        </w:rPr>
        <w:t>ological Society of London.</w:t>
      </w:r>
    </w:p>
    <w:p w14:paraId="0041E917" w14:textId="4EAD407F" w:rsidR="00FF6D9D" w:rsidRPr="005264DE"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Bragg, L.J., Oman, J.K., Tewalt, S.J., Oman, C.L., Rega, N.H., Washington, P.M</w:t>
      </w:r>
      <w:r w:rsidRPr="005264DE">
        <w:rPr>
          <w:rFonts w:ascii="Times New Roman" w:hAnsi="Times New Roman" w:cs="Times New Roman"/>
          <w:sz w:val="24"/>
        </w:rPr>
        <w:t xml:space="preserve">., </w:t>
      </w:r>
      <w:r w:rsidR="00B3495A" w:rsidRPr="005264DE">
        <w:rPr>
          <w:rFonts w:ascii="Times New Roman" w:hAnsi="Times New Roman" w:cs="Times New Roman"/>
          <w:sz w:val="24"/>
        </w:rPr>
        <w:t xml:space="preserve">&amp; </w:t>
      </w:r>
      <w:r w:rsidRPr="005264DE">
        <w:rPr>
          <w:rFonts w:ascii="Times New Roman" w:hAnsi="Times New Roman" w:cs="Times New Roman"/>
          <w:sz w:val="24"/>
        </w:rPr>
        <w:t>Finkelman, R.B</w:t>
      </w:r>
      <w:r w:rsidR="00B3495A" w:rsidRPr="005264DE">
        <w:rPr>
          <w:rFonts w:ascii="Times New Roman" w:hAnsi="Times New Roman" w:cs="Times New Roman"/>
          <w:sz w:val="24"/>
        </w:rPr>
        <w:t>.</w:t>
      </w:r>
      <w:r w:rsidRPr="005264DE">
        <w:rPr>
          <w:rFonts w:ascii="Times New Roman" w:hAnsi="Times New Roman" w:cs="Times New Roman"/>
          <w:sz w:val="24"/>
        </w:rPr>
        <w:t xml:space="preserve"> </w:t>
      </w:r>
      <w:r w:rsidR="00B3495A" w:rsidRPr="005264DE">
        <w:rPr>
          <w:rFonts w:ascii="Times New Roman" w:hAnsi="Times New Roman" w:cs="Times New Roman"/>
          <w:sz w:val="24"/>
        </w:rPr>
        <w:t>(</w:t>
      </w:r>
      <w:r w:rsidRPr="005264DE">
        <w:rPr>
          <w:rFonts w:ascii="Times New Roman" w:hAnsi="Times New Roman" w:cs="Times New Roman"/>
          <w:sz w:val="24"/>
        </w:rPr>
        <w:t>1998</w:t>
      </w:r>
      <w:r w:rsidR="00B3495A" w:rsidRPr="005264DE">
        <w:rPr>
          <w:rFonts w:ascii="Times New Roman" w:hAnsi="Times New Roman" w:cs="Times New Roman"/>
          <w:sz w:val="24"/>
        </w:rPr>
        <w:t>)</w:t>
      </w:r>
      <w:r w:rsidRPr="005264DE">
        <w:rPr>
          <w:rFonts w:ascii="Times New Roman" w:hAnsi="Times New Roman" w:cs="Times New Roman"/>
          <w:sz w:val="24"/>
        </w:rPr>
        <w:t>. U.S. Geological Survey Coal Quality (COALQUAL) Database: Version 2.0, U.S. Geological Survey Open File Report 97-134, CD-ROM, 1998.</w:t>
      </w:r>
    </w:p>
    <w:p w14:paraId="46871EA2" w14:textId="05C0BE08" w:rsidR="005264DE" w:rsidRDefault="005264DE" w:rsidP="005264DE">
      <w:pPr>
        <w:spacing w:line="360" w:lineRule="auto"/>
        <w:ind w:left="709" w:hanging="720"/>
        <w:jc w:val="both"/>
        <w:rPr>
          <w:rFonts w:ascii="Times New Roman" w:hAnsi="Times New Roman" w:cs="Times New Roman"/>
          <w:sz w:val="24"/>
        </w:rPr>
      </w:pPr>
      <w:r>
        <w:rPr>
          <w:rFonts w:ascii="Times New Roman" w:hAnsi="Times New Roman" w:cs="Times New Roman"/>
          <w:sz w:val="24"/>
        </w:rPr>
        <w:t xml:space="preserve">Bullock, L.A., Parnell, J., Perez, M., Boyce, A., Feldmann, J., &amp; Armstrong, J.A. (2018). </w:t>
      </w:r>
      <w:r w:rsidRPr="005264DE">
        <w:rPr>
          <w:rFonts w:ascii="Times New Roman" w:hAnsi="Times New Roman" w:cs="Times New Roman"/>
          <w:sz w:val="24"/>
        </w:rPr>
        <w:t>Multi-stage pyrite genesis and epigenetic selenium enrichment of</w:t>
      </w:r>
      <w:r>
        <w:rPr>
          <w:rFonts w:ascii="Times New Roman" w:hAnsi="Times New Roman" w:cs="Times New Roman"/>
          <w:sz w:val="24"/>
        </w:rPr>
        <w:t xml:space="preserve"> </w:t>
      </w:r>
      <w:r w:rsidRPr="005264DE">
        <w:rPr>
          <w:rFonts w:ascii="Times New Roman" w:hAnsi="Times New Roman" w:cs="Times New Roman"/>
          <w:sz w:val="24"/>
        </w:rPr>
        <w:t>Greenburn coals (East Ayrshire)</w:t>
      </w:r>
      <w:r>
        <w:rPr>
          <w:rFonts w:ascii="Times New Roman" w:hAnsi="Times New Roman" w:cs="Times New Roman"/>
          <w:sz w:val="24"/>
        </w:rPr>
        <w:t xml:space="preserve">. </w:t>
      </w:r>
      <w:r>
        <w:rPr>
          <w:rFonts w:ascii="Times New Roman" w:hAnsi="Times New Roman" w:cs="Times New Roman"/>
          <w:i/>
          <w:sz w:val="24"/>
        </w:rPr>
        <w:t xml:space="preserve">Scottish Journal of Geology. </w:t>
      </w:r>
      <w:r w:rsidRPr="005264DE">
        <w:rPr>
          <w:rFonts w:ascii="Times New Roman" w:hAnsi="Times New Roman" w:cs="Times New Roman"/>
          <w:sz w:val="24"/>
        </w:rPr>
        <w:t>DOI: 10.1144/sjg2017-010</w:t>
      </w:r>
      <w:r>
        <w:rPr>
          <w:rFonts w:ascii="Times New Roman" w:hAnsi="Times New Roman" w:cs="Times New Roman"/>
          <w:sz w:val="24"/>
        </w:rPr>
        <w:t>.</w:t>
      </w:r>
    </w:p>
    <w:p w14:paraId="4C497359" w14:textId="2B0C75C7" w:rsidR="005264DE" w:rsidRPr="004B6698" w:rsidRDefault="005264DE" w:rsidP="004B6698">
      <w:pPr>
        <w:spacing w:line="360" w:lineRule="auto"/>
        <w:ind w:left="709" w:hanging="720"/>
        <w:jc w:val="both"/>
        <w:rPr>
          <w:rFonts w:ascii="Times New Roman" w:hAnsi="Times New Roman" w:cs="Times New Roman"/>
          <w:sz w:val="24"/>
        </w:rPr>
      </w:pPr>
      <w:r>
        <w:rPr>
          <w:rFonts w:ascii="Times New Roman" w:hAnsi="Times New Roman" w:cs="Times New Roman"/>
          <w:sz w:val="24"/>
        </w:rPr>
        <w:t xml:space="preserve">Bullock, L.A., Parnell, J., Perez, M., </w:t>
      </w:r>
      <w:r w:rsidR="004B6698">
        <w:rPr>
          <w:rFonts w:ascii="Times New Roman" w:hAnsi="Times New Roman" w:cs="Times New Roman"/>
          <w:sz w:val="24"/>
        </w:rPr>
        <w:t xml:space="preserve">&amp; Feldmann, J. (2017). </w:t>
      </w:r>
      <w:r w:rsidR="004B6698" w:rsidRPr="004B6698">
        <w:rPr>
          <w:rFonts w:ascii="Times New Roman" w:hAnsi="Times New Roman" w:cs="Times New Roman"/>
          <w:sz w:val="24"/>
        </w:rPr>
        <w:t>Tellurium Enrichment in Jurassic Coal,</w:t>
      </w:r>
      <w:r w:rsidR="004B6698">
        <w:rPr>
          <w:rFonts w:ascii="Times New Roman" w:hAnsi="Times New Roman" w:cs="Times New Roman"/>
          <w:sz w:val="24"/>
        </w:rPr>
        <w:t xml:space="preserve"> </w:t>
      </w:r>
      <w:r w:rsidR="004B6698" w:rsidRPr="004B6698">
        <w:rPr>
          <w:rFonts w:ascii="Times New Roman" w:hAnsi="Times New Roman" w:cs="Times New Roman"/>
          <w:sz w:val="24"/>
        </w:rPr>
        <w:t>Brora, Scotland</w:t>
      </w:r>
      <w:r w:rsidR="004B6698">
        <w:rPr>
          <w:rFonts w:ascii="Times New Roman" w:hAnsi="Times New Roman" w:cs="Times New Roman"/>
          <w:sz w:val="24"/>
        </w:rPr>
        <w:t xml:space="preserve">. </w:t>
      </w:r>
      <w:r w:rsidR="004B6698">
        <w:rPr>
          <w:rFonts w:ascii="Times New Roman" w:hAnsi="Times New Roman" w:cs="Times New Roman"/>
          <w:i/>
          <w:sz w:val="24"/>
        </w:rPr>
        <w:t>Minerals</w:t>
      </w:r>
      <w:r w:rsidR="004B6698">
        <w:rPr>
          <w:rFonts w:ascii="Times New Roman" w:hAnsi="Times New Roman" w:cs="Times New Roman"/>
          <w:sz w:val="24"/>
        </w:rPr>
        <w:t xml:space="preserve">, </w:t>
      </w:r>
      <w:r w:rsidR="004B6698" w:rsidRPr="004B6698">
        <w:rPr>
          <w:rFonts w:ascii="Times New Roman" w:hAnsi="Times New Roman" w:cs="Times New Roman"/>
          <w:i/>
          <w:sz w:val="24"/>
        </w:rPr>
        <w:t>7</w:t>
      </w:r>
      <w:r w:rsidR="004B6698">
        <w:rPr>
          <w:rFonts w:ascii="Times New Roman" w:hAnsi="Times New Roman" w:cs="Times New Roman"/>
          <w:i/>
          <w:sz w:val="24"/>
        </w:rPr>
        <w:t xml:space="preserve"> (12)</w:t>
      </w:r>
      <w:r w:rsidR="004B6698">
        <w:rPr>
          <w:rFonts w:ascii="Times New Roman" w:hAnsi="Times New Roman" w:cs="Times New Roman"/>
          <w:sz w:val="24"/>
        </w:rPr>
        <w:t xml:space="preserve">, 231. DOI: </w:t>
      </w:r>
      <w:r w:rsidR="004B6698" w:rsidRPr="004B6698">
        <w:rPr>
          <w:rFonts w:ascii="Times New Roman" w:hAnsi="Times New Roman" w:cs="Times New Roman"/>
          <w:sz w:val="24"/>
        </w:rPr>
        <w:t>10.3390/min7120231</w:t>
      </w:r>
      <w:r w:rsidR="004B6698">
        <w:rPr>
          <w:rFonts w:ascii="Times New Roman" w:hAnsi="Times New Roman" w:cs="Times New Roman"/>
          <w:sz w:val="24"/>
        </w:rPr>
        <w:t>.</w:t>
      </w:r>
    </w:p>
    <w:p w14:paraId="40B83431" w14:textId="3B20C44A" w:rsidR="00031E70" w:rsidRDefault="00031E70" w:rsidP="00C63800">
      <w:pPr>
        <w:spacing w:line="360" w:lineRule="auto"/>
        <w:ind w:left="709" w:hanging="720"/>
        <w:jc w:val="both"/>
        <w:rPr>
          <w:rFonts w:ascii="Times New Roman" w:hAnsi="Times New Roman" w:cs="Times New Roman"/>
          <w:sz w:val="24"/>
        </w:rPr>
      </w:pPr>
      <w:r>
        <w:rPr>
          <w:rFonts w:ascii="Times New Roman" w:hAnsi="Times New Roman" w:cs="Times New Roman"/>
          <w:sz w:val="24"/>
        </w:rPr>
        <w:t>Burnett, R.D.</w:t>
      </w:r>
      <w:r w:rsidRPr="00031E70">
        <w:rPr>
          <w:rFonts w:ascii="Times New Roman" w:hAnsi="Times New Roman" w:cs="Times New Roman"/>
          <w:sz w:val="24"/>
        </w:rPr>
        <w:t xml:space="preserve"> </w:t>
      </w:r>
      <w:r>
        <w:rPr>
          <w:rFonts w:ascii="Times New Roman" w:hAnsi="Times New Roman" w:cs="Times New Roman"/>
          <w:sz w:val="24"/>
        </w:rPr>
        <w:t>(</w:t>
      </w:r>
      <w:r w:rsidRPr="00031E70">
        <w:rPr>
          <w:rFonts w:ascii="Times New Roman" w:hAnsi="Times New Roman" w:cs="Times New Roman"/>
          <w:sz w:val="24"/>
        </w:rPr>
        <w:t>1987</w:t>
      </w:r>
      <w:r>
        <w:rPr>
          <w:rFonts w:ascii="Times New Roman" w:hAnsi="Times New Roman" w:cs="Times New Roman"/>
          <w:sz w:val="24"/>
        </w:rPr>
        <w:t>)</w:t>
      </w:r>
      <w:r w:rsidRPr="00031E70">
        <w:rPr>
          <w:rFonts w:ascii="Times New Roman" w:hAnsi="Times New Roman" w:cs="Times New Roman"/>
          <w:sz w:val="24"/>
        </w:rPr>
        <w:t xml:space="preserve">. Regional Maturation Patterns for Late Visean (Carboniferous, Dinantian) Rocks of Northern England Based on Mapping of Conodont Colour. </w:t>
      </w:r>
      <w:r w:rsidRPr="00031E70">
        <w:rPr>
          <w:rFonts w:ascii="Times New Roman" w:hAnsi="Times New Roman" w:cs="Times New Roman"/>
          <w:i/>
          <w:sz w:val="24"/>
        </w:rPr>
        <w:t>Irish Journal of Earth Sciences, 8</w:t>
      </w:r>
      <w:r w:rsidRPr="00031E70">
        <w:rPr>
          <w:rFonts w:ascii="Times New Roman" w:hAnsi="Times New Roman" w:cs="Times New Roman"/>
          <w:sz w:val="24"/>
        </w:rPr>
        <w:t>, 2, 165-185.</w:t>
      </w:r>
    </w:p>
    <w:p w14:paraId="09BD3A03" w14:textId="3D16C36A" w:rsidR="00FF6D9D" w:rsidRPr="005264DE" w:rsidRDefault="00FF6D9D" w:rsidP="00C63800">
      <w:pPr>
        <w:spacing w:line="360" w:lineRule="auto"/>
        <w:ind w:left="709" w:hanging="720"/>
        <w:jc w:val="both"/>
        <w:rPr>
          <w:rFonts w:ascii="Times New Roman" w:hAnsi="Times New Roman" w:cs="Times New Roman"/>
          <w:sz w:val="24"/>
        </w:rPr>
      </w:pPr>
      <w:r w:rsidRPr="005264DE">
        <w:rPr>
          <w:rFonts w:ascii="Times New Roman" w:hAnsi="Times New Roman" w:cs="Times New Roman"/>
          <w:sz w:val="24"/>
        </w:rPr>
        <w:t xml:space="preserve">Cavender, P.F., </w:t>
      </w:r>
      <w:r w:rsidR="00B3495A" w:rsidRPr="005264DE">
        <w:rPr>
          <w:rFonts w:ascii="Times New Roman" w:hAnsi="Times New Roman" w:cs="Times New Roman"/>
          <w:sz w:val="24"/>
        </w:rPr>
        <w:t xml:space="preserve">&amp; </w:t>
      </w:r>
      <w:r w:rsidRPr="005264DE">
        <w:rPr>
          <w:rFonts w:ascii="Times New Roman" w:hAnsi="Times New Roman" w:cs="Times New Roman"/>
          <w:sz w:val="24"/>
        </w:rPr>
        <w:t xml:space="preserve">Spears, D.A. </w:t>
      </w:r>
      <w:r w:rsidR="00B3495A" w:rsidRPr="005264DE">
        <w:rPr>
          <w:rFonts w:ascii="Times New Roman" w:hAnsi="Times New Roman" w:cs="Times New Roman"/>
          <w:sz w:val="24"/>
        </w:rPr>
        <w:t>(</w:t>
      </w:r>
      <w:r w:rsidRPr="005264DE">
        <w:rPr>
          <w:rFonts w:ascii="Times New Roman" w:hAnsi="Times New Roman" w:cs="Times New Roman"/>
          <w:sz w:val="24"/>
        </w:rPr>
        <w:t>1995</w:t>
      </w:r>
      <w:r w:rsidR="00B3495A" w:rsidRPr="005264DE">
        <w:rPr>
          <w:rFonts w:ascii="Times New Roman" w:hAnsi="Times New Roman" w:cs="Times New Roman"/>
          <w:sz w:val="24"/>
        </w:rPr>
        <w:t>)</w:t>
      </w:r>
      <w:r w:rsidRPr="005264DE">
        <w:rPr>
          <w:rFonts w:ascii="Times New Roman" w:hAnsi="Times New Roman" w:cs="Times New Roman"/>
          <w:sz w:val="24"/>
        </w:rPr>
        <w:t>. Assessing the geological controls on the sulphur in coal seams: progress towards predictive mapping. In: Desulphurisation, Institute of Chemical Engineers Symposium</w:t>
      </w:r>
      <w:r w:rsidR="00B3495A" w:rsidRPr="005264DE">
        <w:rPr>
          <w:rFonts w:ascii="Times New Roman" w:hAnsi="Times New Roman" w:cs="Times New Roman"/>
          <w:sz w:val="24"/>
        </w:rPr>
        <w:t>,</w:t>
      </w:r>
      <w:r w:rsidRPr="005264DE">
        <w:rPr>
          <w:rFonts w:ascii="Times New Roman" w:hAnsi="Times New Roman" w:cs="Times New Roman"/>
          <w:sz w:val="24"/>
        </w:rPr>
        <w:t xml:space="preserve"> Series 138, 197-205. </w:t>
      </w:r>
    </w:p>
    <w:p w14:paraId="3B673F4F" w14:textId="39752CCD" w:rsidR="00FF6D9D" w:rsidRPr="00FF6D9D" w:rsidRDefault="00FF6D9D" w:rsidP="00C63800">
      <w:pPr>
        <w:spacing w:line="360" w:lineRule="auto"/>
        <w:ind w:left="709" w:hanging="720"/>
        <w:jc w:val="both"/>
        <w:rPr>
          <w:rFonts w:ascii="Times New Roman" w:hAnsi="Times New Roman" w:cs="Times New Roman"/>
          <w:sz w:val="24"/>
        </w:rPr>
      </w:pPr>
      <w:r w:rsidRPr="005264DE">
        <w:rPr>
          <w:rFonts w:ascii="Times New Roman" w:hAnsi="Times New Roman" w:cs="Times New Roman"/>
          <w:sz w:val="24"/>
        </w:rPr>
        <w:t>Cavender, P.F</w:t>
      </w:r>
      <w:r w:rsidR="00B3495A" w:rsidRPr="005264DE">
        <w:rPr>
          <w:rFonts w:ascii="Times New Roman" w:hAnsi="Times New Roman" w:cs="Times New Roman"/>
          <w:sz w:val="24"/>
        </w:rPr>
        <w:t xml:space="preserve">., &amp; </w:t>
      </w:r>
      <w:r w:rsidRPr="005264DE">
        <w:rPr>
          <w:rFonts w:ascii="Times New Roman" w:hAnsi="Times New Roman" w:cs="Times New Roman"/>
          <w:sz w:val="24"/>
        </w:rPr>
        <w:t xml:space="preserve">Spears, D.A. </w:t>
      </w:r>
      <w:r w:rsidR="00B3495A" w:rsidRPr="005264DE">
        <w:rPr>
          <w:rFonts w:ascii="Times New Roman" w:hAnsi="Times New Roman" w:cs="Times New Roman"/>
          <w:sz w:val="24"/>
        </w:rPr>
        <w:t>(</w:t>
      </w:r>
      <w:r w:rsidRPr="005264DE">
        <w:rPr>
          <w:rFonts w:ascii="Times New Roman" w:hAnsi="Times New Roman" w:cs="Times New Roman"/>
          <w:sz w:val="24"/>
        </w:rPr>
        <w:t>1997</w:t>
      </w:r>
      <w:r w:rsidR="00B3495A" w:rsidRPr="005264DE">
        <w:rPr>
          <w:rFonts w:ascii="Times New Roman" w:hAnsi="Times New Roman" w:cs="Times New Roman"/>
          <w:sz w:val="24"/>
        </w:rPr>
        <w:t>)</w:t>
      </w:r>
      <w:r w:rsidRPr="005264DE">
        <w:rPr>
          <w:rFonts w:ascii="Times New Roman" w:hAnsi="Times New Roman" w:cs="Times New Roman"/>
          <w:sz w:val="24"/>
        </w:rPr>
        <w:t>. Sulphur distribution in a</w:t>
      </w:r>
      <w:r w:rsidRPr="00FF6D9D">
        <w:rPr>
          <w:rFonts w:ascii="Times New Roman" w:hAnsi="Times New Roman" w:cs="Times New Roman"/>
          <w:sz w:val="24"/>
        </w:rPr>
        <w:t xml:space="preserve"> multi-bed seam. In: Gayer, R.A., Peŝek, J. (</w:t>
      </w:r>
      <w:r w:rsidR="00B3495A" w:rsidRPr="004B6698">
        <w:rPr>
          <w:rFonts w:ascii="Times New Roman" w:hAnsi="Times New Roman" w:cs="Times New Roman"/>
          <w:sz w:val="24"/>
        </w:rPr>
        <w:t>Eds.</w:t>
      </w:r>
      <w:r w:rsidRPr="004B6698">
        <w:rPr>
          <w:rFonts w:ascii="Times New Roman" w:hAnsi="Times New Roman" w:cs="Times New Roman"/>
          <w:sz w:val="24"/>
        </w:rPr>
        <w:t xml:space="preserve">) European Coal Geology and Technology, </w:t>
      </w:r>
      <w:r w:rsidRPr="007D1762">
        <w:rPr>
          <w:rFonts w:ascii="Times New Roman" w:hAnsi="Times New Roman" w:cs="Times New Roman"/>
          <w:i/>
          <w:sz w:val="24"/>
        </w:rPr>
        <w:t>Geological Society Special Publication</w:t>
      </w:r>
      <w:r w:rsidR="00B3495A" w:rsidRPr="007D1762">
        <w:rPr>
          <w:rFonts w:ascii="Times New Roman" w:hAnsi="Times New Roman" w:cs="Times New Roman"/>
          <w:i/>
          <w:sz w:val="24"/>
        </w:rPr>
        <w:t>,</w:t>
      </w:r>
      <w:r w:rsidRPr="004B6698">
        <w:rPr>
          <w:rFonts w:ascii="Times New Roman" w:hAnsi="Times New Roman" w:cs="Times New Roman"/>
          <w:sz w:val="24"/>
        </w:rPr>
        <w:t xml:space="preserve"> </w:t>
      </w:r>
      <w:r w:rsidRPr="004B6698">
        <w:rPr>
          <w:rFonts w:ascii="Times New Roman" w:hAnsi="Times New Roman" w:cs="Times New Roman"/>
          <w:i/>
          <w:sz w:val="24"/>
        </w:rPr>
        <w:t>125,</w:t>
      </w:r>
      <w:r w:rsidRPr="004B6698">
        <w:rPr>
          <w:rFonts w:ascii="Times New Roman" w:hAnsi="Times New Roman" w:cs="Times New Roman"/>
          <w:sz w:val="24"/>
        </w:rPr>
        <w:t xml:space="preserve"> 245</w:t>
      </w:r>
      <w:r w:rsidRPr="00FF6D9D">
        <w:rPr>
          <w:rFonts w:ascii="Times New Roman" w:hAnsi="Times New Roman" w:cs="Times New Roman"/>
          <w:sz w:val="24"/>
        </w:rPr>
        <w:t>-260.</w:t>
      </w:r>
    </w:p>
    <w:p w14:paraId="2B675C07" w14:textId="62A99D31" w:rsidR="002937F2" w:rsidRDefault="002937F2" w:rsidP="00C63800">
      <w:pPr>
        <w:spacing w:line="360" w:lineRule="auto"/>
        <w:ind w:left="709" w:hanging="720"/>
        <w:jc w:val="both"/>
        <w:rPr>
          <w:rFonts w:ascii="Times New Roman" w:hAnsi="Times New Roman" w:cs="Times New Roman"/>
          <w:sz w:val="24"/>
        </w:rPr>
      </w:pPr>
      <w:r w:rsidRPr="002937F2">
        <w:rPr>
          <w:rFonts w:ascii="Times New Roman" w:hAnsi="Times New Roman" w:cs="Times New Roman"/>
          <w:sz w:val="24"/>
        </w:rPr>
        <w:t>Coleman, L., Bragg, L.J.</w:t>
      </w:r>
      <w:r w:rsidR="00AB0534">
        <w:rPr>
          <w:rFonts w:ascii="Times New Roman" w:hAnsi="Times New Roman" w:cs="Times New Roman"/>
          <w:sz w:val="24"/>
        </w:rPr>
        <w:t>,</w:t>
      </w:r>
      <w:r w:rsidRPr="002937F2">
        <w:rPr>
          <w:rFonts w:ascii="Times New Roman" w:hAnsi="Times New Roman" w:cs="Times New Roman"/>
          <w:sz w:val="24"/>
        </w:rPr>
        <w:t xml:space="preserve"> &amp; Finkelman, R.B. </w:t>
      </w:r>
      <w:r w:rsidR="00AB0534">
        <w:rPr>
          <w:rFonts w:ascii="Times New Roman" w:hAnsi="Times New Roman" w:cs="Times New Roman"/>
          <w:sz w:val="24"/>
        </w:rPr>
        <w:t>(</w:t>
      </w:r>
      <w:r w:rsidRPr="002937F2">
        <w:rPr>
          <w:rFonts w:ascii="Times New Roman" w:hAnsi="Times New Roman" w:cs="Times New Roman"/>
          <w:sz w:val="24"/>
        </w:rPr>
        <w:t>1993</w:t>
      </w:r>
      <w:r w:rsidR="00AB0534">
        <w:rPr>
          <w:rFonts w:ascii="Times New Roman" w:hAnsi="Times New Roman" w:cs="Times New Roman"/>
          <w:sz w:val="24"/>
        </w:rPr>
        <w:t>)</w:t>
      </w:r>
      <w:r w:rsidRPr="002937F2">
        <w:rPr>
          <w:rFonts w:ascii="Times New Roman" w:hAnsi="Times New Roman" w:cs="Times New Roman"/>
          <w:sz w:val="24"/>
        </w:rPr>
        <w:t xml:space="preserve">. Distribution and mode of occurrence of selenium in US coals. </w:t>
      </w:r>
      <w:r w:rsidRPr="00AB0534">
        <w:rPr>
          <w:rFonts w:ascii="Times New Roman" w:hAnsi="Times New Roman" w:cs="Times New Roman"/>
          <w:i/>
          <w:sz w:val="24"/>
        </w:rPr>
        <w:t>Environmental Geochemistry and Health, 15</w:t>
      </w:r>
      <w:r w:rsidRPr="002937F2">
        <w:rPr>
          <w:rFonts w:ascii="Times New Roman" w:hAnsi="Times New Roman" w:cs="Times New Roman"/>
          <w:sz w:val="24"/>
        </w:rPr>
        <w:t>, 215-227.</w:t>
      </w:r>
    </w:p>
    <w:p w14:paraId="02F498B6" w14:textId="020215A2"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Cravotta III, C.A. </w:t>
      </w:r>
      <w:r w:rsidR="00B3495A">
        <w:rPr>
          <w:rFonts w:ascii="Times New Roman" w:hAnsi="Times New Roman" w:cs="Times New Roman"/>
          <w:sz w:val="24"/>
        </w:rPr>
        <w:t>(</w:t>
      </w:r>
      <w:r w:rsidRPr="00FF6D9D">
        <w:rPr>
          <w:rFonts w:ascii="Times New Roman" w:hAnsi="Times New Roman" w:cs="Times New Roman"/>
          <w:sz w:val="24"/>
        </w:rPr>
        <w:t>2008a</w:t>
      </w:r>
      <w:r w:rsidR="00B3495A">
        <w:rPr>
          <w:rFonts w:ascii="Times New Roman" w:hAnsi="Times New Roman" w:cs="Times New Roman"/>
          <w:sz w:val="24"/>
        </w:rPr>
        <w:t>)</w:t>
      </w:r>
      <w:r w:rsidRPr="00FF6D9D">
        <w:rPr>
          <w:rFonts w:ascii="Times New Roman" w:hAnsi="Times New Roman" w:cs="Times New Roman"/>
          <w:sz w:val="24"/>
        </w:rPr>
        <w:t xml:space="preserve">. Dissolved metals and associated constituents in abandoned coal-mine discharges, Pennsylvania, USA. Part 1: constituent quantities and correlations. </w:t>
      </w:r>
      <w:r w:rsidRPr="004B6698">
        <w:rPr>
          <w:rFonts w:ascii="Times New Roman" w:hAnsi="Times New Roman" w:cs="Times New Roman"/>
          <w:i/>
          <w:sz w:val="24"/>
        </w:rPr>
        <w:t>Applied Geochemistry</w:t>
      </w:r>
      <w:r w:rsidR="00B3495A" w:rsidRPr="004B6698">
        <w:rPr>
          <w:rFonts w:ascii="Times New Roman" w:hAnsi="Times New Roman" w:cs="Times New Roman"/>
          <w:i/>
          <w:sz w:val="24"/>
        </w:rPr>
        <w:t>,</w:t>
      </w:r>
      <w:r w:rsidRPr="004B6698">
        <w:rPr>
          <w:rFonts w:ascii="Times New Roman" w:hAnsi="Times New Roman" w:cs="Times New Roman"/>
          <w:i/>
          <w:sz w:val="24"/>
        </w:rPr>
        <w:t xml:space="preserve"> 23,</w:t>
      </w:r>
      <w:r w:rsidRPr="00FF6D9D">
        <w:rPr>
          <w:rFonts w:ascii="Times New Roman" w:hAnsi="Times New Roman" w:cs="Times New Roman"/>
          <w:sz w:val="24"/>
        </w:rPr>
        <w:t xml:space="preserve"> 166-202.</w:t>
      </w:r>
    </w:p>
    <w:p w14:paraId="7C933DE1" w14:textId="52BA71AC"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Cravotta III, C.A</w:t>
      </w:r>
      <w:r w:rsidRPr="004B6698">
        <w:rPr>
          <w:rFonts w:ascii="Times New Roman" w:hAnsi="Times New Roman" w:cs="Times New Roman"/>
          <w:sz w:val="24"/>
        </w:rPr>
        <w:t xml:space="preserve">. </w:t>
      </w:r>
      <w:r w:rsidR="00B3495A" w:rsidRPr="004B6698">
        <w:rPr>
          <w:rFonts w:ascii="Times New Roman" w:hAnsi="Times New Roman" w:cs="Times New Roman"/>
          <w:sz w:val="24"/>
        </w:rPr>
        <w:t>(</w:t>
      </w:r>
      <w:r w:rsidRPr="004B6698">
        <w:rPr>
          <w:rFonts w:ascii="Times New Roman" w:hAnsi="Times New Roman" w:cs="Times New Roman"/>
          <w:sz w:val="24"/>
        </w:rPr>
        <w:t>2008b</w:t>
      </w:r>
      <w:r w:rsidR="00B3495A" w:rsidRPr="004B6698">
        <w:rPr>
          <w:rFonts w:ascii="Times New Roman" w:hAnsi="Times New Roman" w:cs="Times New Roman"/>
          <w:sz w:val="24"/>
        </w:rPr>
        <w:t>)</w:t>
      </w:r>
      <w:r w:rsidR="004B6698">
        <w:rPr>
          <w:rFonts w:ascii="Times New Roman" w:hAnsi="Times New Roman" w:cs="Times New Roman"/>
          <w:sz w:val="24"/>
        </w:rPr>
        <w:t>.</w:t>
      </w:r>
      <w:r w:rsidRPr="004B6698">
        <w:rPr>
          <w:rFonts w:ascii="Times New Roman" w:hAnsi="Times New Roman" w:cs="Times New Roman"/>
          <w:sz w:val="24"/>
        </w:rPr>
        <w:t xml:space="preserve"> Dissolved metals and associated constituents in abandoned coal-mine discharges, Pennsylvania, USA. Part 2: geochemical controls on constituent concentrations. </w:t>
      </w:r>
      <w:r w:rsidRPr="004B6698">
        <w:rPr>
          <w:rFonts w:ascii="Times New Roman" w:hAnsi="Times New Roman" w:cs="Times New Roman"/>
          <w:i/>
          <w:sz w:val="24"/>
        </w:rPr>
        <w:t>Applied Geochemistry</w:t>
      </w:r>
      <w:r w:rsidR="00B3495A" w:rsidRPr="004B6698">
        <w:rPr>
          <w:rFonts w:ascii="Times New Roman" w:hAnsi="Times New Roman" w:cs="Times New Roman"/>
          <w:i/>
          <w:sz w:val="24"/>
        </w:rPr>
        <w:t>,</w:t>
      </w:r>
      <w:r w:rsidRPr="004B6698">
        <w:rPr>
          <w:rFonts w:ascii="Times New Roman" w:hAnsi="Times New Roman" w:cs="Times New Roman"/>
          <w:i/>
          <w:sz w:val="24"/>
        </w:rPr>
        <w:t xml:space="preserve"> 23,</w:t>
      </w:r>
      <w:r w:rsidRPr="00FF6D9D">
        <w:rPr>
          <w:rFonts w:ascii="Times New Roman" w:hAnsi="Times New Roman" w:cs="Times New Roman"/>
          <w:sz w:val="24"/>
        </w:rPr>
        <w:t xml:space="preserve"> 203-226.</w:t>
      </w:r>
    </w:p>
    <w:p w14:paraId="066DC21F" w14:textId="34FE4981" w:rsidR="00293815" w:rsidRDefault="00293815" w:rsidP="00C63800">
      <w:pPr>
        <w:spacing w:line="360" w:lineRule="auto"/>
        <w:ind w:left="709" w:hanging="720"/>
        <w:jc w:val="both"/>
        <w:rPr>
          <w:rFonts w:ascii="Times New Roman" w:hAnsi="Times New Roman" w:cs="Times New Roman"/>
          <w:sz w:val="24"/>
        </w:rPr>
      </w:pPr>
      <w:r w:rsidRPr="00293815">
        <w:rPr>
          <w:rFonts w:ascii="Times New Roman" w:hAnsi="Times New Roman" w:cs="Times New Roman"/>
          <w:sz w:val="24"/>
        </w:rPr>
        <w:t xml:space="preserve">Dai, S., &amp; Finkelman, R.B. (2018). Coal as a promising source of critical elements: Progress and future prospects. </w:t>
      </w:r>
      <w:r w:rsidRPr="0070281F">
        <w:rPr>
          <w:rFonts w:ascii="Times New Roman" w:hAnsi="Times New Roman" w:cs="Times New Roman"/>
          <w:i/>
          <w:sz w:val="24"/>
        </w:rPr>
        <w:t>International Journal of Coal Geology, 186,</w:t>
      </w:r>
      <w:r w:rsidRPr="00293815">
        <w:rPr>
          <w:rFonts w:ascii="Times New Roman" w:hAnsi="Times New Roman" w:cs="Times New Roman"/>
          <w:sz w:val="24"/>
        </w:rPr>
        <w:t xml:space="preserve"> 155-164.</w:t>
      </w:r>
    </w:p>
    <w:p w14:paraId="37B9D0AF" w14:textId="62A0A5D7"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Dale, M</w:t>
      </w:r>
      <w:r w:rsidRPr="004B6698">
        <w:rPr>
          <w:rFonts w:ascii="Times New Roman" w:hAnsi="Times New Roman" w:cs="Times New Roman"/>
          <w:sz w:val="24"/>
        </w:rPr>
        <w:t xml:space="preserve">. </w:t>
      </w:r>
      <w:r w:rsidR="00B3495A" w:rsidRPr="004B6698">
        <w:rPr>
          <w:rFonts w:ascii="Times New Roman" w:hAnsi="Times New Roman" w:cs="Times New Roman"/>
          <w:sz w:val="24"/>
        </w:rPr>
        <w:t>(</w:t>
      </w:r>
      <w:r w:rsidRPr="004B6698">
        <w:rPr>
          <w:rFonts w:ascii="Times New Roman" w:hAnsi="Times New Roman" w:cs="Times New Roman"/>
          <w:sz w:val="24"/>
        </w:rPr>
        <w:t>2006</w:t>
      </w:r>
      <w:r w:rsidR="00B3495A" w:rsidRPr="004B6698">
        <w:rPr>
          <w:rFonts w:ascii="Times New Roman" w:hAnsi="Times New Roman" w:cs="Times New Roman"/>
          <w:sz w:val="24"/>
        </w:rPr>
        <w:t>)</w:t>
      </w:r>
      <w:r w:rsidRPr="004B6698">
        <w:rPr>
          <w:rFonts w:ascii="Times New Roman" w:hAnsi="Times New Roman" w:cs="Times New Roman"/>
          <w:sz w:val="24"/>
        </w:rPr>
        <w:t>. Trace Elements in Coal. ACARP No. 02/CSIRO Energy Technology Report E-Newsletter.</w:t>
      </w:r>
    </w:p>
    <w:p w14:paraId="6E87A25D" w14:textId="33A990E2" w:rsidR="00FF6D9D" w:rsidRPr="004B6698"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Davidson, D.</w:t>
      </w:r>
      <w:r w:rsidRPr="004B6698">
        <w:rPr>
          <w:rFonts w:ascii="Times New Roman" w:hAnsi="Times New Roman" w:cs="Times New Roman"/>
          <w:sz w:val="24"/>
        </w:rPr>
        <w:t>F.</w:t>
      </w:r>
      <w:r w:rsidR="00B3495A" w:rsidRPr="004B6698">
        <w:rPr>
          <w:rFonts w:ascii="Times New Roman" w:hAnsi="Times New Roman" w:cs="Times New Roman"/>
          <w:sz w:val="24"/>
        </w:rPr>
        <w:t>,</w:t>
      </w:r>
      <w:r w:rsidRPr="004B6698">
        <w:rPr>
          <w:rFonts w:ascii="Times New Roman" w:hAnsi="Times New Roman" w:cs="Times New Roman"/>
          <w:sz w:val="24"/>
        </w:rPr>
        <w:t xml:space="preserve"> </w:t>
      </w:r>
      <w:r w:rsidR="00B3495A" w:rsidRPr="004B6698">
        <w:rPr>
          <w:rFonts w:ascii="Times New Roman" w:hAnsi="Times New Roman" w:cs="Times New Roman"/>
          <w:sz w:val="24"/>
        </w:rPr>
        <w:t xml:space="preserve">&amp; </w:t>
      </w:r>
      <w:r w:rsidRPr="004B6698">
        <w:rPr>
          <w:rFonts w:ascii="Times New Roman" w:hAnsi="Times New Roman" w:cs="Times New Roman"/>
          <w:sz w:val="24"/>
        </w:rPr>
        <w:t xml:space="preserve">Lakin, H.W. </w:t>
      </w:r>
      <w:r w:rsidR="00B3495A" w:rsidRPr="004B6698">
        <w:rPr>
          <w:rFonts w:ascii="Times New Roman" w:hAnsi="Times New Roman" w:cs="Times New Roman"/>
          <w:sz w:val="24"/>
        </w:rPr>
        <w:t>(</w:t>
      </w:r>
      <w:r w:rsidRPr="004B6698">
        <w:rPr>
          <w:rFonts w:ascii="Times New Roman" w:hAnsi="Times New Roman" w:cs="Times New Roman"/>
          <w:sz w:val="24"/>
        </w:rPr>
        <w:t>1973</w:t>
      </w:r>
      <w:r w:rsidR="00B3495A" w:rsidRPr="004B6698">
        <w:rPr>
          <w:rFonts w:ascii="Times New Roman" w:hAnsi="Times New Roman" w:cs="Times New Roman"/>
          <w:sz w:val="24"/>
        </w:rPr>
        <w:t>)</w:t>
      </w:r>
      <w:r w:rsidRPr="004B6698">
        <w:rPr>
          <w:rFonts w:ascii="Times New Roman" w:hAnsi="Times New Roman" w:cs="Times New Roman"/>
          <w:sz w:val="24"/>
        </w:rPr>
        <w:t>. Tellurium. In: Brobst, D.A., Pratt, W.P. (</w:t>
      </w:r>
      <w:r w:rsidR="00B3495A" w:rsidRPr="004B6698">
        <w:rPr>
          <w:rFonts w:ascii="Times New Roman" w:hAnsi="Times New Roman" w:cs="Times New Roman"/>
          <w:sz w:val="24"/>
        </w:rPr>
        <w:t>Eds.</w:t>
      </w:r>
      <w:r w:rsidRPr="004B6698">
        <w:rPr>
          <w:rFonts w:ascii="Times New Roman" w:hAnsi="Times New Roman" w:cs="Times New Roman"/>
          <w:sz w:val="24"/>
        </w:rPr>
        <w:t>) United States mineral resources</w:t>
      </w:r>
      <w:r w:rsidRPr="004B6698">
        <w:rPr>
          <w:rFonts w:ascii="Times New Roman" w:hAnsi="Times New Roman" w:cs="Times New Roman"/>
          <w:i/>
          <w:sz w:val="24"/>
        </w:rPr>
        <w:t>. U.S. Geological Survey Professional Paper</w:t>
      </w:r>
      <w:r w:rsidR="00B3495A" w:rsidRPr="004B6698">
        <w:rPr>
          <w:rFonts w:ascii="Times New Roman" w:hAnsi="Times New Roman" w:cs="Times New Roman"/>
          <w:i/>
          <w:sz w:val="24"/>
        </w:rPr>
        <w:t>,</w:t>
      </w:r>
      <w:r w:rsidRPr="004B6698">
        <w:rPr>
          <w:rFonts w:ascii="Times New Roman" w:hAnsi="Times New Roman" w:cs="Times New Roman"/>
          <w:i/>
          <w:sz w:val="24"/>
        </w:rPr>
        <w:t xml:space="preserve"> 820,</w:t>
      </w:r>
      <w:r w:rsidRPr="004B6698">
        <w:rPr>
          <w:rFonts w:ascii="Times New Roman" w:hAnsi="Times New Roman" w:cs="Times New Roman"/>
          <w:sz w:val="24"/>
        </w:rPr>
        <w:t xml:space="preserve"> 627-630.</w:t>
      </w:r>
    </w:p>
    <w:p w14:paraId="646CACFD" w14:textId="2B1E5D49" w:rsidR="00FF6D9D" w:rsidRPr="004B6698" w:rsidRDefault="00FF6D9D" w:rsidP="00C63800">
      <w:pPr>
        <w:spacing w:line="360" w:lineRule="auto"/>
        <w:ind w:left="709" w:hanging="720"/>
        <w:jc w:val="both"/>
        <w:rPr>
          <w:rFonts w:ascii="Times New Roman" w:hAnsi="Times New Roman" w:cs="Times New Roman"/>
          <w:sz w:val="24"/>
        </w:rPr>
      </w:pPr>
      <w:r w:rsidRPr="004B6698">
        <w:rPr>
          <w:rFonts w:ascii="Times New Roman" w:hAnsi="Times New Roman" w:cs="Times New Roman"/>
          <w:sz w:val="24"/>
        </w:rPr>
        <w:t xml:space="preserve">Davidson, R.M. </w:t>
      </w:r>
      <w:r w:rsidR="00B3495A" w:rsidRPr="004B6698">
        <w:rPr>
          <w:rFonts w:ascii="Times New Roman" w:hAnsi="Times New Roman" w:cs="Times New Roman"/>
          <w:sz w:val="24"/>
        </w:rPr>
        <w:t>(</w:t>
      </w:r>
      <w:r w:rsidRPr="004B6698">
        <w:rPr>
          <w:rFonts w:ascii="Times New Roman" w:hAnsi="Times New Roman" w:cs="Times New Roman"/>
          <w:sz w:val="24"/>
        </w:rPr>
        <w:t>1996</w:t>
      </w:r>
      <w:r w:rsidR="00B3495A" w:rsidRPr="004B6698">
        <w:rPr>
          <w:rFonts w:ascii="Times New Roman" w:hAnsi="Times New Roman" w:cs="Times New Roman"/>
          <w:sz w:val="24"/>
        </w:rPr>
        <w:t>)</w:t>
      </w:r>
      <w:r w:rsidRPr="004B6698">
        <w:rPr>
          <w:rFonts w:ascii="Times New Roman" w:hAnsi="Times New Roman" w:cs="Times New Roman"/>
          <w:sz w:val="24"/>
        </w:rPr>
        <w:t xml:space="preserve">. Trace elements in coal. Energeia, CAER University of Kentucky, Center for Applied Energy Research Vol. 7, Nos. 2-3. </w:t>
      </w:r>
    </w:p>
    <w:p w14:paraId="383552A2" w14:textId="5587CED3" w:rsidR="00FF6D9D" w:rsidRPr="004B6698" w:rsidRDefault="00FF6D9D" w:rsidP="00C63800">
      <w:pPr>
        <w:spacing w:line="360" w:lineRule="auto"/>
        <w:ind w:left="709" w:hanging="720"/>
        <w:jc w:val="both"/>
        <w:rPr>
          <w:rFonts w:ascii="Times New Roman" w:hAnsi="Times New Roman" w:cs="Times New Roman"/>
          <w:sz w:val="24"/>
        </w:rPr>
      </w:pPr>
      <w:r w:rsidRPr="004B6698">
        <w:rPr>
          <w:rFonts w:ascii="Times New Roman" w:hAnsi="Times New Roman" w:cs="Times New Roman"/>
          <w:sz w:val="24"/>
        </w:rPr>
        <w:t xml:space="preserve">DECC (Department of Energy and Climate Change) </w:t>
      </w:r>
      <w:r w:rsidR="00B3495A" w:rsidRPr="004B6698">
        <w:rPr>
          <w:rFonts w:ascii="Times New Roman" w:hAnsi="Times New Roman" w:cs="Times New Roman"/>
          <w:sz w:val="24"/>
        </w:rPr>
        <w:t>(</w:t>
      </w:r>
      <w:r w:rsidRPr="004B6698">
        <w:rPr>
          <w:rFonts w:ascii="Times New Roman" w:hAnsi="Times New Roman" w:cs="Times New Roman"/>
          <w:sz w:val="24"/>
        </w:rPr>
        <w:t>2013</w:t>
      </w:r>
      <w:r w:rsidR="00B3495A" w:rsidRPr="004B6698">
        <w:rPr>
          <w:rFonts w:ascii="Times New Roman" w:hAnsi="Times New Roman" w:cs="Times New Roman"/>
          <w:sz w:val="24"/>
        </w:rPr>
        <w:t>)</w:t>
      </w:r>
      <w:r w:rsidRPr="004B6698">
        <w:rPr>
          <w:rFonts w:ascii="Times New Roman" w:hAnsi="Times New Roman" w:cs="Times New Roman"/>
          <w:sz w:val="24"/>
        </w:rPr>
        <w:t>. The unconventional hydrocarbon resources of Britain’s ons</w:t>
      </w:r>
      <w:r w:rsidR="00AD791A">
        <w:rPr>
          <w:rFonts w:ascii="Times New Roman" w:hAnsi="Times New Roman" w:cs="Times New Roman"/>
          <w:sz w:val="24"/>
        </w:rPr>
        <w:t>ho</w:t>
      </w:r>
      <w:r w:rsidRPr="004B6698">
        <w:rPr>
          <w:rFonts w:ascii="Times New Roman" w:hAnsi="Times New Roman" w:cs="Times New Roman"/>
          <w:sz w:val="24"/>
        </w:rPr>
        <w:t>re basins - Coalbed Methane (CBM). Promote UK Report 2013.</w:t>
      </w:r>
    </w:p>
    <w:p w14:paraId="70AFD9D4" w14:textId="4DB40BAD" w:rsidR="00FF6D9D" w:rsidRPr="004B6698" w:rsidRDefault="00FF6D9D" w:rsidP="00C63800">
      <w:pPr>
        <w:spacing w:line="360" w:lineRule="auto"/>
        <w:ind w:left="709" w:hanging="720"/>
        <w:jc w:val="both"/>
        <w:rPr>
          <w:rFonts w:ascii="Times New Roman" w:hAnsi="Times New Roman" w:cs="Times New Roman"/>
          <w:sz w:val="24"/>
        </w:rPr>
      </w:pPr>
      <w:r w:rsidRPr="004B6698">
        <w:rPr>
          <w:rFonts w:ascii="Times New Roman" w:hAnsi="Times New Roman" w:cs="Times New Roman"/>
          <w:sz w:val="24"/>
        </w:rPr>
        <w:t xml:space="preserve">Diehl, S.F., Goldhaber, M.B., </w:t>
      </w:r>
      <w:r w:rsidR="00B3495A" w:rsidRPr="004B6698">
        <w:rPr>
          <w:rFonts w:ascii="Times New Roman" w:hAnsi="Times New Roman" w:cs="Times New Roman"/>
          <w:sz w:val="24"/>
        </w:rPr>
        <w:t xml:space="preserve">&amp; </w:t>
      </w:r>
      <w:r w:rsidRPr="004B6698">
        <w:rPr>
          <w:rFonts w:ascii="Times New Roman" w:hAnsi="Times New Roman" w:cs="Times New Roman"/>
          <w:sz w:val="24"/>
        </w:rPr>
        <w:t xml:space="preserve">Hatch, J.R. </w:t>
      </w:r>
      <w:r w:rsidR="00B3495A" w:rsidRPr="004B6698">
        <w:rPr>
          <w:rFonts w:ascii="Times New Roman" w:hAnsi="Times New Roman" w:cs="Times New Roman"/>
          <w:sz w:val="24"/>
        </w:rPr>
        <w:t>(</w:t>
      </w:r>
      <w:r w:rsidRPr="004B6698">
        <w:rPr>
          <w:rFonts w:ascii="Times New Roman" w:hAnsi="Times New Roman" w:cs="Times New Roman"/>
          <w:sz w:val="24"/>
        </w:rPr>
        <w:t>2004</w:t>
      </w:r>
      <w:r w:rsidR="00B3495A" w:rsidRPr="004B6698">
        <w:rPr>
          <w:rFonts w:ascii="Times New Roman" w:hAnsi="Times New Roman" w:cs="Times New Roman"/>
          <w:sz w:val="24"/>
        </w:rPr>
        <w:t>)</w:t>
      </w:r>
      <w:r w:rsidRPr="004B6698">
        <w:rPr>
          <w:rFonts w:ascii="Times New Roman" w:hAnsi="Times New Roman" w:cs="Times New Roman"/>
          <w:sz w:val="24"/>
        </w:rPr>
        <w:t xml:space="preserve">. Modes of occurrence of mercury and other trace elements in coals from the warrior field, Black Warrior Basin, Northwestern Alabama. </w:t>
      </w:r>
      <w:r w:rsidRPr="004B6698">
        <w:rPr>
          <w:rFonts w:ascii="Times New Roman" w:hAnsi="Times New Roman" w:cs="Times New Roman"/>
          <w:i/>
          <w:sz w:val="24"/>
        </w:rPr>
        <w:t>International Journal of Coal Geology</w:t>
      </w:r>
      <w:r w:rsidR="00B3495A" w:rsidRPr="004B6698">
        <w:rPr>
          <w:rFonts w:ascii="Times New Roman" w:hAnsi="Times New Roman" w:cs="Times New Roman"/>
          <w:i/>
          <w:sz w:val="24"/>
        </w:rPr>
        <w:t>,</w:t>
      </w:r>
      <w:r w:rsidRPr="004B6698">
        <w:rPr>
          <w:rFonts w:ascii="Times New Roman" w:hAnsi="Times New Roman" w:cs="Times New Roman"/>
          <w:i/>
          <w:sz w:val="24"/>
        </w:rPr>
        <w:t xml:space="preserve"> 59,</w:t>
      </w:r>
      <w:r w:rsidRPr="004B6698">
        <w:rPr>
          <w:rFonts w:ascii="Times New Roman" w:hAnsi="Times New Roman" w:cs="Times New Roman"/>
          <w:sz w:val="24"/>
        </w:rPr>
        <w:t xml:space="preserve"> 193-208. </w:t>
      </w:r>
    </w:p>
    <w:p w14:paraId="6818B8CE" w14:textId="071DB509" w:rsidR="00031E70" w:rsidRDefault="00AD791A" w:rsidP="00C63800">
      <w:pPr>
        <w:spacing w:line="360" w:lineRule="auto"/>
        <w:ind w:left="709" w:hanging="720"/>
        <w:jc w:val="both"/>
        <w:rPr>
          <w:rFonts w:ascii="Times New Roman" w:hAnsi="Times New Roman" w:cs="Times New Roman"/>
          <w:sz w:val="24"/>
        </w:rPr>
      </w:pPr>
      <w:r w:rsidRPr="00AD791A">
        <w:rPr>
          <w:rFonts w:ascii="Times New Roman" w:hAnsi="Times New Roman" w:cs="Times New Roman"/>
          <w:sz w:val="24"/>
        </w:rPr>
        <w:t xml:space="preserve">Durucan, S., Ahsan, M., </w:t>
      </w:r>
      <w:r>
        <w:rPr>
          <w:rFonts w:ascii="Times New Roman" w:hAnsi="Times New Roman" w:cs="Times New Roman"/>
          <w:sz w:val="24"/>
        </w:rPr>
        <w:t>&amp; Shi, J-Q. (</w:t>
      </w:r>
      <w:r w:rsidRPr="00AD791A">
        <w:rPr>
          <w:rFonts w:ascii="Times New Roman" w:hAnsi="Times New Roman" w:cs="Times New Roman"/>
          <w:sz w:val="24"/>
        </w:rPr>
        <w:t>2009</w:t>
      </w:r>
      <w:r>
        <w:rPr>
          <w:rFonts w:ascii="Times New Roman" w:hAnsi="Times New Roman" w:cs="Times New Roman"/>
          <w:sz w:val="24"/>
        </w:rPr>
        <w:t>)</w:t>
      </w:r>
      <w:r w:rsidRPr="00AD791A">
        <w:rPr>
          <w:rFonts w:ascii="Times New Roman" w:hAnsi="Times New Roman" w:cs="Times New Roman"/>
          <w:sz w:val="24"/>
        </w:rPr>
        <w:t xml:space="preserve">. Matrix shrinkage and swelling characteristics of European coals. </w:t>
      </w:r>
      <w:r w:rsidRPr="00AD791A">
        <w:rPr>
          <w:rFonts w:ascii="Times New Roman" w:hAnsi="Times New Roman" w:cs="Times New Roman"/>
          <w:i/>
          <w:sz w:val="24"/>
        </w:rPr>
        <w:t>Energy Procedia</w:t>
      </w:r>
      <w:r w:rsidRPr="00AD791A">
        <w:rPr>
          <w:rFonts w:ascii="Times New Roman" w:hAnsi="Times New Roman" w:cs="Times New Roman"/>
          <w:sz w:val="24"/>
        </w:rPr>
        <w:t>, 1, 3055-3062.</w:t>
      </w:r>
    </w:p>
    <w:p w14:paraId="25449713" w14:textId="06EB3315" w:rsidR="00FF6D9D" w:rsidRPr="004B6698" w:rsidRDefault="00FF6D9D" w:rsidP="00C63800">
      <w:pPr>
        <w:spacing w:line="360" w:lineRule="auto"/>
        <w:ind w:left="709" w:hanging="720"/>
        <w:jc w:val="both"/>
        <w:rPr>
          <w:rFonts w:ascii="Times New Roman" w:hAnsi="Times New Roman" w:cs="Times New Roman"/>
          <w:sz w:val="24"/>
        </w:rPr>
      </w:pPr>
      <w:r w:rsidRPr="004B6698">
        <w:rPr>
          <w:rFonts w:ascii="Times New Roman" w:hAnsi="Times New Roman" w:cs="Times New Roman"/>
          <w:sz w:val="24"/>
        </w:rPr>
        <w:t xml:space="preserve">Fielding, C.R. </w:t>
      </w:r>
      <w:r w:rsidR="00B3495A" w:rsidRPr="004B6698">
        <w:rPr>
          <w:rFonts w:ascii="Times New Roman" w:hAnsi="Times New Roman" w:cs="Times New Roman"/>
          <w:sz w:val="24"/>
        </w:rPr>
        <w:t>(</w:t>
      </w:r>
      <w:r w:rsidRPr="004B6698">
        <w:rPr>
          <w:rFonts w:ascii="Times New Roman" w:hAnsi="Times New Roman" w:cs="Times New Roman"/>
          <w:sz w:val="24"/>
        </w:rPr>
        <w:t>1982</w:t>
      </w:r>
      <w:r w:rsidR="00B3495A" w:rsidRPr="004B6698">
        <w:rPr>
          <w:rFonts w:ascii="Times New Roman" w:hAnsi="Times New Roman" w:cs="Times New Roman"/>
          <w:sz w:val="24"/>
        </w:rPr>
        <w:t>)</w:t>
      </w:r>
      <w:r w:rsidRPr="004B6698">
        <w:rPr>
          <w:rFonts w:ascii="Times New Roman" w:hAnsi="Times New Roman" w:cs="Times New Roman"/>
          <w:sz w:val="24"/>
        </w:rPr>
        <w:t xml:space="preserve">. </w:t>
      </w:r>
      <w:r w:rsidRPr="007D1762">
        <w:rPr>
          <w:rFonts w:ascii="Times New Roman" w:hAnsi="Times New Roman" w:cs="Times New Roman"/>
          <w:sz w:val="24"/>
        </w:rPr>
        <w:t>Sedimentology and stratigraphy of the Durham Coal Measures and comparison with other British Coalfields</w:t>
      </w:r>
      <w:r w:rsidRPr="004B6698">
        <w:rPr>
          <w:rFonts w:ascii="Times New Roman" w:hAnsi="Times New Roman" w:cs="Times New Roman"/>
          <w:sz w:val="24"/>
        </w:rPr>
        <w:t>. Ph.D. thesis, University of Durham.</w:t>
      </w:r>
    </w:p>
    <w:p w14:paraId="53646D85" w14:textId="68794C39" w:rsidR="00FF6D9D" w:rsidRPr="00426C2D" w:rsidRDefault="00FF6D9D" w:rsidP="00C63800">
      <w:pPr>
        <w:spacing w:line="360" w:lineRule="auto"/>
        <w:ind w:left="709" w:hanging="720"/>
        <w:jc w:val="both"/>
        <w:rPr>
          <w:rFonts w:ascii="Times New Roman" w:hAnsi="Times New Roman" w:cs="Times New Roman"/>
          <w:sz w:val="24"/>
        </w:rPr>
      </w:pPr>
      <w:r w:rsidRPr="004B6698">
        <w:rPr>
          <w:rFonts w:ascii="Times New Roman" w:hAnsi="Times New Roman" w:cs="Times New Roman"/>
          <w:sz w:val="24"/>
        </w:rPr>
        <w:t xml:space="preserve">Finkelman, R.B., Stanton, R.W., Cecil, C.B., </w:t>
      </w:r>
      <w:r w:rsidR="00B3495A" w:rsidRPr="004B6698">
        <w:rPr>
          <w:rFonts w:ascii="Times New Roman" w:hAnsi="Times New Roman" w:cs="Times New Roman"/>
          <w:sz w:val="24"/>
        </w:rPr>
        <w:t xml:space="preserve">&amp; </w:t>
      </w:r>
      <w:r w:rsidRPr="004B6698">
        <w:rPr>
          <w:rFonts w:ascii="Times New Roman" w:hAnsi="Times New Roman" w:cs="Times New Roman"/>
          <w:sz w:val="24"/>
        </w:rPr>
        <w:t xml:space="preserve">Minkin, J.A. </w:t>
      </w:r>
      <w:r w:rsidR="00B3495A" w:rsidRPr="004B6698">
        <w:rPr>
          <w:rFonts w:ascii="Times New Roman" w:hAnsi="Times New Roman" w:cs="Times New Roman"/>
          <w:sz w:val="24"/>
        </w:rPr>
        <w:t>(</w:t>
      </w:r>
      <w:r w:rsidRPr="004B6698">
        <w:rPr>
          <w:rFonts w:ascii="Times New Roman" w:hAnsi="Times New Roman" w:cs="Times New Roman"/>
          <w:sz w:val="24"/>
        </w:rPr>
        <w:t>1981</w:t>
      </w:r>
      <w:r w:rsidR="00B3495A" w:rsidRPr="004B6698">
        <w:rPr>
          <w:rFonts w:ascii="Times New Roman" w:hAnsi="Times New Roman" w:cs="Times New Roman"/>
          <w:sz w:val="24"/>
        </w:rPr>
        <w:t>)</w:t>
      </w:r>
      <w:r w:rsidRPr="004B6698">
        <w:rPr>
          <w:rFonts w:ascii="Times New Roman" w:hAnsi="Times New Roman" w:cs="Times New Roman"/>
          <w:sz w:val="24"/>
        </w:rPr>
        <w:t>. Modes</w:t>
      </w:r>
      <w:r w:rsidRPr="00FF6D9D">
        <w:rPr>
          <w:rFonts w:ascii="Times New Roman" w:hAnsi="Times New Roman" w:cs="Times New Roman"/>
          <w:sz w:val="24"/>
        </w:rPr>
        <w:t xml:space="preserve"> of Occurrence of </w:t>
      </w:r>
      <w:r w:rsidRPr="00426C2D">
        <w:rPr>
          <w:rFonts w:ascii="Times New Roman" w:hAnsi="Times New Roman" w:cs="Times New Roman"/>
          <w:sz w:val="24"/>
        </w:rPr>
        <w:t>Selected Trace Elements in Several Appalachian Coals. U.S. Geological Survey Report, National Center, Reston, VA 22092.</w:t>
      </w:r>
    </w:p>
    <w:p w14:paraId="6EBCBC2C" w14:textId="67EA3904" w:rsidR="00E80F7D" w:rsidRPr="00426C2D" w:rsidRDefault="00E80F7D"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Flores</w:t>
      </w:r>
      <w:r w:rsidR="003554F3" w:rsidRPr="00426C2D">
        <w:rPr>
          <w:rFonts w:ascii="Times New Roman" w:hAnsi="Times New Roman" w:cs="Times New Roman"/>
          <w:sz w:val="24"/>
        </w:rPr>
        <w:t>, É.M.M, Mesko, M.F., Moraes, D.P., Pereira, J.S.F., Mello, P.A., Barin, J.S., &amp; Knapp, G. (2008)</w:t>
      </w:r>
      <w:r w:rsidRPr="00426C2D">
        <w:rPr>
          <w:rFonts w:ascii="Times New Roman" w:hAnsi="Times New Roman" w:cs="Times New Roman"/>
          <w:sz w:val="24"/>
        </w:rPr>
        <w:t xml:space="preserve"> Determination of Halogens in Coal after Digestion Using the Microwave-Induced Combustion Technique</w:t>
      </w:r>
      <w:r w:rsidR="003554F3" w:rsidRPr="00426C2D">
        <w:rPr>
          <w:rFonts w:ascii="Times New Roman" w:hAnsi="Times New Roman" w:cs="Times New Roman"/>
          <w:sz w:val="24"/>
        </w:rPr>
        <w:t>.</w:t>
      </w:r>
      <w:r w:rsidRPr="00426C2D">
        <w:rPr>
          <w:rFonts w:ascii="Times New Roman" w:hAnsi="Times New Roman" w:cs="Times New Roman"/>
          <w:sz w:val="24"/>
        </w:rPr>
        <w:t xml:space="preserve"> </w:t>
      </w:r>
      <w:r w:rsidRPr="00426C2D">
        <w:rPr>
          <w:rFonts w:ascii="Times New Roman" w:hAnsi="Times New Roman" w:cs="Times New Roman"/>
          <w:i/>
          <w:sz w:val="24"/>
        </w:rPr>
        <w:t>Anal</w:t>
      </w:r>
      <w:r w:rsidR="003554F3" w:rsidRPr="00426C2D">
        <w:rPr>
          <w:rFonts w:ascii="Times New Roman" w:hAnsi="Times New Roman" w:cs="Times New Roman"/>
          <w:i/>
          <w:sz w:val="24"/>
        </w:rPr>
        <w:t>ytical</w:t>
      </w:r>
      <w:r w:rsidRPr="00426C2D">
        <w:rPr>
          <w:rFonts w:ascii="Times New Roman" w:hAnsi="Times New Roman" w:cs="Times New Roman"/>
          <w:i/>
          <w:sz w:val="24"/>
        </w:rPr>
        <w:t xml:space="preserve"> Chem</w:t>
      </w:r>
      <w:r w:rsidR="003554F3" w:rsidRPr="00426C2D">
        <w:rPr>
          <w:rFonts w:ascii="Times New Roman" w:hAnsi="Times New Roman" w:cs="Times New Roman"/>
          <w:i/>
          <w:sz w:val="24"/>
        </w:rPr>
        <w:t>istry</w:t>
      </w:r>
      <w:r w:rsidRPr="00426C2D">
        <w:rPr>
          <w:rFonts w:ascii="Times New Roman" w:hAnsi="Times New Roman" w:cs="Times New Roman"/>
          <w:i/>
          <w:sz w:val="24"/>
        </w:rPr>
        <w:t>, 80</w:t>
      </w:r>
      <w:r w:rsidR="003554F3" w:rsidRPr="00426C2D">
        <w:rPr>
          <w:rFonts w:ascii="Times New Roman" w:hAnsi="Times New Roman" w:cs="Times New Roman"/>
          <w:i/>
          <w:sz w:val="24"/>
        </w:rPr>
        <w:t>,</w:t>
      </w:r>
      <w:r w:rsidR="003554F3" w:rsidRPr="00426C2D">
        <w:rPr>
          <w:rFonts w:ascii="Times New Roman" w:hAnsi="Times New Roman" w:cs="Times New Roman"/>
          <w:sz w:val="24"/>
        </w:rPr>
        <w:t xml:space="preserve"> </w:t>
      </w:r>
      <w:r w:rsidRPr="00426C2D">
        <w:rPr>
          <w:rFonts w:ascii="Times New Roman" w:hAnsi="Times New Roman" w:cs="Times New Roman"/>
          <w:sz w:val="24"/>
        </w:rPr>
        <w:t>6, 1865–1870.</w:t>
      </w:r>
    </w:p>
    <w:p w14:paraId="48E94011" w14:textId="178253B1" w:rsidR="00FF6D9D" w:rsidRPr="00FF6D9D" w:rsidRDefault="00FF6D9D"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Frodsham, K., Gayer, R.A., James, J.E.,</w:t>
      </w:r>
      <w:r w:rsidR="004B6698" w:rsidRPr="00426C2D">
        <w:rPr>
          <w:rFonts w:ascii="Times New Roman" w:hAnsi="Times New Roman" w:cs="Times New Roman"/>
          <w:sz w:val="24"/>
        </w:rPr>
        <w:t xml:space="preserve"> &amp;</w:t>
      </w:r>
      <w:r w:rsidRPr="00426C2D">
        <w:rPr>
          <w:rFonts w:ascii="Times New Roman" w:hAnsi="Times New Roman" w:cs="Times New Roman"/>
          <w:sz w:val="24"/>
        </w:rPr>
        <w:t xml:space="preserve"> Pryce, R.</w:t>
      </w:r>
      <w:r w:rsidR="00FA4905" w:rsidRPr="00426C2D">
        <w:rPr>
          <w:rFonts w:ascii="Times New Roman" w:hAnsi="Times New Roman" w:cs="Times New Roman"/>
          <w:sz w:val="24"/>
        </w:rPr>
        <w:t xml:space="preserve"> (</w:t>
      </w:r>
      <w:r w:rsidRPr="00426C2D">
        <w:rPr>
          <w:rFonts w:ascii="Times New Roman" w:hAnsi="Times New Roman" w:cs="Times New Roman"/>
          <w:sz w:val="24"/>
        </w:rPr>
        <w:t>1993</w:t>
      </w:r>
      <w:r w:rsidR="00FA4905" w:rsidRPr="00426C2D">
        <w:rPr>
          <w:rFonts w:ascii="Times New Roman" w:hAnsi="Times New Roman" w:cs="Times New Roman"/>
          <w:sz w:val="24"/>
        </w:rPr>
        <w:t>)</w:t>
      </w:r>
      <w:r w:rsidRPr="00426C2D">
        <w:rPr>
          <w:rFonts w:ascii="Times New Roman" w:hAnsi="Times New Roman" w:cs="Times New Roman"/>
          <w:sz w:val="24"/>
        </w:rPr>
        <w:t>. Variscan thrust deformation in the South Wales Coalfield: a case study from Ffos Las opencast coal site. In: Gayer, R.A., Greiling, R.O. (</w:t>
      </w:r>
      <w:r w:rsidR="00CA2455" w:rsidRPr="00426C2D">
        <w:rPr>
          <w:rFonts w:ascii="Times New Roman" w:hAnsi="Times New Roman" w:cs="Times New Roman"/>
          <w:sz w:val="24"/>
        </w:rPr>
        <w:t>E</w:t>
      </w:r>
      <w:r w:rsidRPr="00426C2D">
        <w:rPr>
          <w:rFonts w:ascii="Times New Roman" w:hAnsi="Times New Roman" w:cs="Times New Roman"/>
          <w:sz w:val="24"/>
        </w:rPr>
        <w:t>ds</w:t>
      </w:r>
      <w:r w:rsidR="00CA2455" w:rsidRPr="00426C2D">
        <w:rPr>
          <w:rFonts w:ascii="Times New Roman" w:hAnsi="Times New Roman" w:cs="Times New Roman"/>
          <w:sz w:val="24"/>
        </w:rPr>
        <w:t>.</w:t>
      </w:r>
      <w:r w:rsidRPr="00426C2D">
        <w:rPr>
          <w:rFonts w:ascii="Times New Roman" w:hAnsi="Times New Roman" w:cs="Times New Roman"/>
          <w:sz w:val="24"/>
        </w:rPr>
        <w:t xml:space="preserve">) The Rhenohercynian </w:t>
      </w:r>
      <w:r w:rsidRPr="00FF6D9D">
        <w:rPr>
          <w:rFonts w:ascii="Times New Roman" w:hAnsi="Times New Roman" w:cs="Times New Roman"/>
          <w:sz w:val="24"/>
        </w:rPr>
        <w:t xml:space="preserve">and Sub-Variscan Fold Belts. Earth Evolution Science Series, Vieweg, Braunschweig. </w:t>
      </w:r>
    </w:p>
    <w:p w14:paraId="374BB91F" w14:textId="44EB8BF9"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Gayer, R.A.</w:t>
      </w:r>
      <w:r w:rsidR="00CA2455">
        <w:rPr>
          <w:rFonts w:ascii="Times New Roman" w:hAnsi="Times New Roman" w:cs="Times New Roman"/>
          <w:sz w:val="24"/>
        </w:rPr>
        <w:t xml:space="preserve"> &amp;</w:t>
      </w:r>
      <w:r w:rsidRPr="00FF6D9D">
        <w:rPr>
          <w:rFonts w:ascii="Times New Roman" w:hAnsi="Times New Roman" w:cs="Times New Roman"/>
          <w:sz w:val="24"/>
        </w:rPr>
        <w:t xml:space="preserve"> Nemcok, M. </w:t>
      </w:r>
      <w:r w:rsidR="007D1762">
        <w:rPr>
          <w:rFonts w:ascii="Times New Roman" w:hAnsi="Times New Roman" w:cs="Times New Roman"/>
          <w:sz w:val="24"/>
        </w:rPr>
        <w:t>(</w:t>
      </w:r>
      <w:r w:rsidRPr="00FF6D9D">
        <w:rPr>
          <w:rFonts w:ascii="Times New Roman" w:hAnsi="Times New Roman" w:cs="Times New Roman"/>
          <w:sz w:val="24"/>
        </w:rPr>
        <w:t>1994</w:t>
      </w:r>
      <w:r w:rsidR="007D1762">
        <w:rPr>
          <w:rFonts w:ascii="Times New Roman" w:hAnsi="Times New Roman" w:cs="Times New Roman"/>
          <w:sz w:val="24"/>
        </w:rPr>
        <w:t>)</w:t>
      </w:r>
      <w:r w:rsidRPr="00FF6D9D">
        <w:rPr>
          <w:rFonts w:ascii="Times New Roman" w:hAnsi="Times New Roman" w:cs="Times New Roman"/>
          <w:sz w:val="24"/>
        </w:rPr>
        <w:t xml:space="preserve">. Divergent tectonic transport in external orogenic zones: The result of transpressionally driven rotation. </w:t>
      </w:r>
      <w:r w:rsidRPr="00CA2455">
        <w:rPr>
          <w:rFonts w:ascii="Times New Roman" w:hAnsi="Times New Roman" w:cs="Times New Roman"/>
          <w:i/>
          <w:sz w:val="24"/>
        </w:rPr>
        <w:t>Proceedings of the Ussher Society</w:t>
      </w:r>
      <w:r w:rsidR="00CA2455">
        <w:rPr>
          <w:rFonts w:ascii="Times New Roman" w:hAnsi="Times New Roman" w:cs="Times New Roman"/>
          <w:i/>
          <w:sz w:val="24"/>
        </w:rPr>
        <w:t>,</w:t>
      </w:r>
      <w:r w:rsidRPr="00FF6D9D">
        <w:rPr>
          <w:rFonts w:ascii="Times New Roman" w:hAnsi="Times New Roman" w:cs="Times New Roman"/>
          <w:sz w:val="24"/>
        </w:rPr>
        <w:t xml:space="preserve"> </w:t>
      </w:r>
      <w:r w:rsidRPr="00CA2455">
        <w:rPr>
          <w:rFonts w:ascii="Times New Roman" w:hAnsi="Times New Roman" w:cs="Times New Roman"/>
          <w:i/>
          <w:sz w:val="24"/>
        </w:rPr>
        <w:t>8</w:t>
      </w:r>
      <w:r w:rsidRPr="00FF6D9D">
        <w:rPr>
          <w:rFonts w:ascii="Times New Roman" w:hAnsi="Times New Roman" w:cs="Times New Roman"/>
          <w:sz w:val="24"/>
        </w:rPr>
        <w:t xml:space="preserve">, 317-320. </w:t>
      </w:r>
    </w:p>
    <w:p w14:paraId="6F09B825" w14:textId="7044581C" w:rsid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Gayer, R.A., Peŝek, J., Sykorova, I.,</w:t>
      </w:r>
      <w:r w:rsidR="00CA2455">
        <w:rPr>
          <w:rFonts w:ascii="Times New Roman" w:hAnsi="Times New Roman" w:cs="Times New Roman"/>
          <w:sz w:val="24"/>
        </w:rPr>
        <w:t xml:space="preserve"> &amp;</w:t>
      </w:r>
      <w:r w:rsidRPr="00FF6D9D">
        <w:rPr>
          <w:rFonts w:ascii="Times New Roman" w:hAnsi="Times New Roman" w:cs="Times New Roman"/>
          <w:sz w:val="24"/>
        </w:rPr>
        <w:t xml:space="preserve"> Valterova, P. </w:t>
      </w:r>
      <w:r w:rsidR="00CA2455">
        <w:rPr>
          <w:rFonts w:ascii="Times New Roman" w:hAnsi="Times New Roman" w:cs="Times New Roman"/>
          <w:sz w:val="24"/>
        </w:rPr>
        <w:t>(</w:t>
      </w:r>
      <w:r w:rsidRPr="00FF6D9D">
        <w:rPr>
          <w:rFonts w:ascii="Times New Roman" w:hAnsi="Times New Roman" w:cs="Times New Roman"/>
          <w:sz w:val="24"/>
        </w:rPr>
        <w:t>1996</w:t>
      </w:r>
      <w:r w:rsidR="00CA2455">
        <w:rPr>
          <w:rFonts w:ascii="Times New Roman" w:hAnsi="Times New Roman" w:cs="Times New Roman"/>
          <w:sz w:val="24"/>
        </w:rPr>
        <w:t>)</w:t>
      </w:r>
      <w:r w:rsidRPr="00FF6D9D">
        <w:rPr>
          <w:rFonts w:ascii="Times New Roman" w:hAnsi="Times New Roman" w:cs="Times New Roman"/>
          <w:sz w:val="24"/>
        </w:rPr>
        <w:t xml:space="preserve">. Coal clasts in the upper Westphalian sequence of the South Wales Coalfield: Implications for the timing of maturation and fracture permeability. In: Gayer, R.A., Harris, I. (eds) Coalbed Methane and Coal Geology. </w:t>
      </w:r>
      <w:r w:rsidRPr="00CA2455">
        <w:rPr>
          <w:rFonts w:ascii="Times New Roman" w:hAnsi="Times New Roman" w:cs="Times New Roman"/>
          <w:i/>
          <w:sz w:val="24"/>
        </w:rPr>
        <w:t>Geological Society Special Publication</w:t>
      </w:r>
      <w:r w:rsidR="00CA2455">
        <w:rPr>
          <w:rFonts w:ascii="Times New Roman" w:hAnsi="Times New Roman" w:cs="Times New Roman"/>
          <w:i/>
          <w:sz w:val="24"/>
        </w:rPr>
        <w:t>,</w:t>
      </w:r>
      <w:r w:rsidRPr="00CA2455">
        <w:rPr>
          <w:rFonts w:ascii="Times New Roman" w:hAnsi="Times New Roman" w:cs="Times New Roman"/>
          <w:i/>
          <w:sz w:val="24"/>
        </w:rPr>
        <w:t xml:space="preserve"> 97</w:t>
      </w:r>
      <w:r w:rsidRPr="00FF6D9D">
        <w:rPr>
          <w:rFonts w:ascii="Times New Roman" w:hAnsi="Times New Roman" w:cs="Times New Roman"/>
          <w:sz w:val="24"/>
        </w:rPr>
        <w:t>, 103-120.</w:t>
      </w:r>
    </w:p>
    <w:p w14:paraId="2894295E" w14:textId="162BED8A"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Hashimoto, Y., Watanabe, K., Yumoto, K., Sekine, Y., Kim, H.K.</w:t>
      </w:r>
      <w:r>
        <w:rPr>
          <w:rFonts w:ascii="Times New Roman" w:hAnsi="Times New Roman" w:cs="Times New Roman"/>
          <w:sz w:val="24"/>
        </w:rPr>
        <w:t>,</w:t>
      </w:r>
      <w:r w:rsidRPr="00AB0534">
        <w:rPr>
          <w:rFonts w:ascii="Times New Roman" w:hAnsi="Times New Roman" w:cs="Times New Roman"/>
          <w:sz w:val="24"/>
        </w:rPr>
        <w:t xml:space="preserve"> &amp; Otoshi, T. </w:t>
      </w:r>
      <w:r>
        <w:rPr>
          <w:rFonts w:ascii="Times New Roman" w:hAnsi="Times New Roman" w:cs="Times New Roman"/>
          <w:sz w:val="24"/>
        </w:rPr>
        <w:t>(</w:t>
      </w:r>
      <w:r w:rsidRPr="00AB0534">
        <w:rPr>
          <w:rFonts w:ascii="Times New Roman" w:hAnsi="Times New Roman" w:cs="Times New Roman"/>
          <w:sz w:val="24"/>
        </w:rPr>
        <w:t>1989</w:t>
      </w:r>
      <w:r>
        <w:rPr>
          <w:rFonts w:ascii="Times New Roman" w:hAnsi="Times New Roman" w:cs="Times New Roman"/>
          <w:sz w:val="24"/>
        </w:rPr>
        <w:t>)</w:t>
      </w:r>
      <w:r w:rsidRPr="00AB0534">
        <w:rPr>
          <w:rFonts w:ascii="Times New Roman" w:hAnsi="Times New Roman" w:cs="Times New Roman"/>
          <w:sz w:val="24"/>
        </w:rPr>
        <w:t xml:space="preserve">. Tellurium as a possible tracer of coal combustion effluent. </w:t>
      </w:r>
      <w:r w:rsidRPr="00AB0534">
        <w:rPr>
          <w:rFonts w:ascii="Times New Roman" w:hAnsi="Times New Roman" w:cs="Times New Roman"/>
          <w:i/>
          <w:sz w:val="24"/>
        </w:rPr>
        <w:t>Journal of Japan Society of Air Pollution, 24,</w:t>
      </w:r>
      <w:r w:rsidRPr="00AB0534">
        <w:rPr>
          <w:rFonts w:ascii="Times New Roman" w:hAnsi="Times New Roman" w:cs="Times New Roman"/>
          <w:sz w:val="24"/>
        </w:rPr>
        <w:t xml:space="preserve"> 45-51.</w:t>
      </w:r>
    </w:p>
    <w:p w14:paraId="5525953B" w14:textId="54A251DA" w:rsidR="00CA2455" w:rsidRDefault="00CA2455" w:rsidP="00C63800">
      <w:pPr>
        <w:spacing w:line="360" w:lineRule="auto"/>
        <w:ind w:left="709" w:hanging="720"/>
        <w:jc w:val="both"/>
        <w:rPr>
          <w:rFonts w:ascii="Times New Roman" w:hAnsi="Times New Roman" w:cs="Times New Roman"/>
          <w:sz w:val="24"/>
        </w:rPr>
      </w:pPr>
      <w:r w:rsidRPr="00CA2455">
        <w:rPr>
          <w:rFonts w:ascii="Times New Roman" w:hAnsi="Times New Roman" w:cs="Times New Roman"/>
          <w:sz w:val="24"/>
        </w:rPr>
        <w:t>Hatch, J.R., Gluskoter, H.J.,</w:t>
      </w:r>
      <w:r>
        <w:rPr>
          <w:rFonts w:ascii="Times New Roman" w:hAnsi="Times New Roman" w:cs="Times New Roman"/>
          <w:sz w:val="24"/>
        </w:rPr>
        <w:t xml:space="preserve"> &amp;</w:t>
      </w:r>
      <w:r w:rsidRPr="00CA2455">
        <w:rPr>
          <w:rFonts w:ascii="Times New Roman" w:hAnsi="Times New Roman" w:cs="Times New Roman"/>
          <w:sz w:val="24"/>
        </w:rPr>
        <w:t xml:space="preserve"> Lindahl, P.C.</w:t>
      </w:r>
      <w:r>
        <w:rPr>
          <w:rFonts w:ascii="Times New Roman" w:hAnsi="Times New Roman" w:cs="Times New Roman"/>
          <w:sz w:val="24"/>
        </w:rPr>
        <w:t xml:space="preserve"> (</w:t>
      </w:r>
      <w:r w:rsidRPr="00CA2455">
        <w:rPr>
          <w:rFonts w:ascii="Times New Roman" w:hAnsi="Times New Roman" w:cs="Times New Roman"/>
          <w:sz w:val="24"/>
        </w:rPr>
        <w:t>1976</w:t>
      </w:r>
      <w:r>
        <w:rPr>
          <w:rFonts w:ascii="Times New Roman" w:hAnsi="Times New Roman" w:cs="Times New Roman"/>
          <w:sz w:val="24"/>
        </w:rPr>
        <w:t>)</w:t>
      </w:r>
      <w:r w:rsidRPr="00CA2455">
        <w:rPr>
          <w:rFonts w:ascii="Times New Roman" w:hAnsi="Times New Roman" w:cs="Times New Roman"/>
          <w:sz w:val="24"/>
        </w:rPr>
        <w:t xml:space="preserve">. Sphalerite in coals from the Illinois Basin. </w:t>
      </w:r>
      <w:r w:rsidRPr="00CA2455">
        <w:rPr>
          <w:rFonts w:ascii="Times New Roman" w:hAnsi="Times New Roman" w:cs="Times New Roman"/>
          <w:i/>
          <w:sz w:val="24"/>
        </w:rPr>
        <w:t>Economic Geology, 71,</w:t>
      </w:r>
      <w:r w:rsidRPr="00CA2455">
        <w:rPr>
          <w:rFonts w:ascii="Times New Roman" w:hAnsi="Times New Roman" w:cs="Times New Roman"/>
          <w:sz w:val="24"/>
        </w:rPr>
        <w:t xml:space="preserve"> 613–624.</w:t>
      </w:r>
    </w:p>
    <w:p w14:paraId="250E6A66" w14:textId="71242B82" w:rsidR="00CA2455" w:rsidRPr="00CA2455" w:rsidRDefault="00CA2455" w:rsidP="00CA2455">
      <w:pPr>
        <w:spacing w:line="360" w:lineRule="auto"/>
        <w:ind w:left="709" w:hanging="720"/>
        <w:jc w:val="both"/>
        <w:rPr>
          <w:rFonts w:ascii="Times New Roman" w:hAnsi="Times New Roman" w:cs="Times New Roman"/>
          <w:sz w:val="24"/>
        </w:rPr>
      </w:pPr>
      <w:r w:rsidRPr="00CA2455">
        <w:rPr>
          <w:rFonts w:ascii="Times New Roman" w:hAnsi="Times New Roman" w:cs="Times New Roman"/>
          <w:sz w:val="24"/>
        </w:rPr>
        <w:t xml:space="preserve">Henn, </w:t>
      </w:r>
      <w:r>
        <w:rPr>
          <w:rFonts w:ascii="Times New Roman" w:hAnsi="Times New Roman" w:cs="Times New Roman"/>
          <w:sz w:val="24"/>
        </w:rPr>
        <w:t xml:space="preserve">A.S., </w:t>
      </w:r>
      <w:r w:rsidRPr="00CA2455">
        <w:rPr>
          <w:rFonts w:ascii="Times New Roman" w:hAnsi="Times New Roman" w:cs="Times New Roman"/>
          <w:sz w:val="24"/>
        </w:rPr>
        <w:t xml:space="preserve">Rondan, </w:t>
      </w:r>
      <w:r>
        <w:rPr>
          <w:rFonts w:ascii="Times New Roman" w:hAnsi="Times New Roman" w:cs="Times New Roman"/>
          <w:sz w:val="24"/>
        </w:rPr>
        <w:t xml:space="preserve">F.S., </w:t>
      </w:r>
      <w:r w:rsidRPr="00CA2455">
        <w:rPr>
          <w:rFonts w:ascii="Times New Roman" w:hAnsi="Times New Roman" w:cs="Times New Roman"/>
          <w:sz w:val="24"/>
        </w:rPr>
        <w:t>Mesko,</w:t>
      </w:r>
      <w:r>
        <w:rPr>
          <w:rFonts w:ascii="Times New Roman" w:hAnsi="Times New Roman" w:cs="Times New Roman"/>
          <w:sz w:val="24"/>
        </w:rPr>
        <w:t xml:space="preserve"> M.F., </w:t>
      </w:r>
      <w:r w:rsidRPr="00CA2455">
        <w:rPr>
          <w:rFonts w:ascii="Times New Roman" w:hAnsi="Times New Roman" w:cs="Times New Roman"/>
          <w:sz w:val="24"/>
        </w:rPr>
        <w:t>Mello,</w:t>
      </w:r>
      <w:r>
        <w:rPr>
          <w:rFonts w:ascii="Times New Roman" w:hAnsi="Times New Roman" w:cs="Times New Roman"/>
          <w:sz w:val="24"/>
        </w:rPr>
        <w:t xml:space="preserve"> P.A.,</w:t>
      </w:r>
      <w:r w:rsidRPr="00CA2455">
        <w:rPr>
          <w:rFonts w:ascii="Times New Roman" w:hAnsi="Times New Roman" w:cs="Times New Roman"/>
          <w:sz w:val="24"/>
        </w:rPr>
        <w:t xml:space="preserve"> Perez,</w:t>
      </w:r>
      <w:r>
        <w:rPr>
          <w:rFonts w:ascii="Times New Roman" w:hAnsi="Times New Roman" w:cs="Times New Roman"/>
          <w:sz w:val="24"/>
        </w:rPr>
        <w:t xml:space="preserve"> M.,</w:t>
      </w:r>
      <w:r w:rsidRPr="00CA2455">
        <w:rPr>
          <w:rFonts w:ascii="Times New Roman" w:hAnsi="Times New Roman" w:cs="Times New Roman"/>
          <w:sz w:val="24"/>
        </w:rPr>
        <w:t xml:space="preserve"> Armstrong,</w:t>
      </w:r>
      <w:r>
        <w:rPr>
          <w:rFonts w:ascii="Times New Roman" w:hAnsi="Times New Roman" w:cs="Times New Roman"/>
          <w:sz w:val="24"/>
        </w:rPr>
        <w:t xml:space="preserve"> J.A.,</w:t>
      </w:r>
      <w:r w:rsidRPr="00CA2455">
        <w:rPr>
          <w:rFonts w:ascii="Times New Roman" w:hAnsi="Times New Roman" w:cs="Times New Roman"/>
          <w:sz w:val="24"/>
        </w:rPr>
        <w:t xml:space="preserve"> Bullock, </w:t>
      </w:r>
      <w:r>
        <w:rPr>
          <w:rFonts w:ascii="Times New Roman" w:hAnsi="Times New Roman" w:cs="Times New Roman"/>
          <w:sz w:val="24"/>
        </w:rPr>
        <w:t xml:space="preserve">L.A., </w:t>
      </w:r>
      <w:r w:rsidRPr="00CA2455">
        <w:rPr>
          <w:rFonts w:ascii="Times New Roman" w:hAnsi="Times New Roman" w:cs="Times New Roman"/>
          <w:sz w:val="24"/>
        </w:rPr>
        <w:t>Parnell, J</w:t>
      </w:r>
      <w:r>
        <w:rPr>
          <w:rFonts w:ascii="Times New Roman" w:hAnsi="Times New Roman" w:cs="Times New Roman"/>
          <w:sz w:val="24"/>
        </w:rPr>
        <w:t xml:space="preserve">., </w:t>
      </w:r>
      <w:r w:rsidRPr="00CA2455">
        <w:rPr>
          <w:rFonts w:ascii="Times New Roman" w:hAnsi="Times New Roman" w:cs="Times New Roman"/>
          <w:sz w:val="24"/>
        </w:rPr>
        <w:t>Feldmann,</w:t>
      </w:r>
      <w:r>
        <w:rPr>
          <w:rFonts w:ascii="Times New Roman" w:hAnsi="Times New Roman" w:cs="Times New Roman"/>
          <w:sz w:val="24"/>
        </w:rPr>
        <w:t xml:space="preserve"> J.,</w:t>
      </w:r>
      <w:r w:rsidRPr="00CA2455">
        <w:rPr>
          <w:rFonts w:ascii="Times New Roman" w:hAnsi="Times New Roman" w:cs="Times New Roman"/>
          <w:sz w:val="24"/>
        </w:rPr>
        <w:t xml:space="preserve"> </w:t>
      </w:r>
      <w:r>
        <w:rPr>
          <w:rFonts w:ascii="Times New Roman" w:hAnsi="Times New Roman" w:cs="Times New Roman"/>
          <w:sz w:val="24"/>
        </w:rPr>
        <w:t xml:space="preserve">&amp; </w:t>
      </w:r>
      <w:r w:rsidRPr="00CA2455">
        <w:rPr>
          <w:rFonts w:ascii="Times New Roman" w:hAnsi="Times New Roman" w:cs="Times New Roman"/>
          <w:sz w:val="24"/>
        </w:rPr>
        <w:t>Flores,</w:t>
      </w:r>
      <w:r>
        <w:rPr>
          <w:rFonts w:ascii="Times New Roman" w:hAnsi="Times New Roman" w:cs="Times New Roman"/>
          <w:sz w:val="24"/>
        </w:rPr>
        <w:t xml:space="preserve"> </w:t>
      </w:r>
      <w:r w:rsidR="003554F3" w:rsidRPr="003554F3">
        <w:rPr>
          <w:rFonts w:ascii="Times New Roman" w:hAnsi="Times New Roman" w:cs="Times New Roman"/>
          <w:sz w:val="24"/>
        </w:rPr>
        <w:t>É</w:t>
      </w:r>
      <w:r>
        <w:rPr>
          <w:rFonts w:ascii="Times New Roman" w:hAnsi="Times New Roman" w:cs="Times New Roman"/>
          <w:sz w:val="24"/>
        </w:rPr>
        <w:t>.M.M. (2018).</w:t>
      </w:r>
      <w:r w:rsidRPr="00CA2455">
        <w:rPr>
          <w:rFonts w:ascii="Times New Roman" w:hAnsi="Times New Roman" w:cs="Times New Roman"/>
          <w:sz w:val="24"/>
        </w:rPr>
        <w:t xml:space="preserve"> Determination of Se at low concentration in coal by</w:t>
      </w:r>
      <w:r>
        <w:rPr>
          <w:rFonts w:ascii="Times New Roman" w:hAnsi="Times New Roman" w:cs="Times New Roman"/>
          <w:sz w:val="24"/>
        </w:rPr>
        <w:t xml:space="preserve"> </w:t>
      </w:r>
      <w:r w:rsidRPr="00CA2455">
        <w:rPr>
          <w:rFonts w:ascii="Times New Roman" w:hAnsi="Times New Roman" w:cs="Times New Roman"/>
          <w:sz w:val="24"/>
        </w:rPr>
        <w:t xml:space="preserve">collision/reaction cell technology inductively coupled plasma mass spectrometry. </w:t>
      </w:r>
      <w:r w:rsidRPr="007D1762">
        <w:rPr>
          <w:rFonts w:ascii="Times New Roman" w:hAnsi="Times New Roman" w:cs="Times New Roman"/>
          <w:i/>
          <w:sz w:val="24"/>
        </w:rPr>
        <w:t>Spectrochimica Acta Part B: Atomic Spectroscopy, 143</w:t>
      </w:r>
      <w:r>
        <w:rPr>
          <w:rFonts w:ascii="Times New Roman" w:hAnsi="Times New Roman" w:cs="Times New Roman"/>
          <w:sz w:val="24"/>
        </w:rPr>
        <w:t>, 48-54.</w:t>
      </w:r>
    </w:p>
    <w:p w14:paraId="62EA5422" w14:textId="210C5D43"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Hockin, S.L.,</w:t>
      </w:r>
      <w:r w:rsidR="007D1762">
        <w:rPr>
          <w:rFonts w:ascii="Times New Roman" w:hAnsi="Times New Roman" w:cs="Times New Roman"/>
          <w:sz w:val="24"/>
        </w:rPr>
        <w:t xml:space="preserve"> &amp;</w:t>
      </w:r>
      <w:r w:rsidRPr="00FF6D9D">
        <w:rPr>
          <w:rFonts w:ascii="Times New Roman" w:hAnsi="Times New Roman" w:cs="Times New Roman"/>
          <w:sz w:val="24"/>
        </w:rPr>
        <w:t xml:space="preserve"> Gadd, G.M.</w:t>
      </w:r>
      <w:r w:rsidR="007D1762">
        <w:rPr>
          <w:rFonts w:ascii="Times New Roman" w:hAnsi="Times New Roman" w:cs="Times New Roman"/>
          <w:sz w:val="24"/>
        </w:rPr>
        <w:t xml:space="preserve"> (</w:t>
      </w:r>
      <w:r w:rsidRPr="00FF6D9D">
        <w:rPr>
          <w:rFonts w:ascii="Times New Roman" w:hAnsi="Times New Roman" w:cs="Times New Roman"/>
          <w:sz w:val="24"/>
        </w:rPr>
        <w:t>2003</w:t>
      </w:r>
      <w:r w:rsidR="007D1762">
        <w:rPr>
          <w:rFonts w:ascii="Times New Roman" w:hAnsi="Times New Roman" w:cs="Times New Roman"/>
          <w:sz w:val="24"/>
        </w:rPr>
        <w:t>)</w:t>
      </w:r>
      <w:r w:rsidRPr="00FF6D9D">
        <w:rPr>
          <w:rFonts w:ascii="Times New Roman" w:hAnsi="Times New Roman" w:cs="Times New Roman"/>
          <w:sz w:val="24"/>
        </w:rPr>
        <w:t xml:space="preserve">. Linked redox precipitation of sulfur and selenium under anaerobic conditions by sulfate-reducing bacterial biofilms. </w:t>
      </w:r>
      <w:r w:rsidRPr="007D1762">
        <w:rPr>
          <w:rFonts w:ascii="Times New Roman" w:hAnsi="Times New Roman" w:cs="Times New Roman"/>
          <w:i/>
          <w:sz w:val="24"/>
        </w:rPr>
        <w:t>Applied and Environmental Microbiology</w:t>
      </w:r>
      <w:r w:rsidR="007D1762" w:rsidRPr="007D1762">
        <w:rPr>
          <w:rFonts w:ascii="Times New Roman" w:hAnsi="Times New Roman" w:cs="Times New Roman"/>
          <w:i/>
          <w:sz w:val="24"/>
        </w:rPr>
        <w:t>,</w:t>
      </w:r>
      <w:r w:rsidRPr="007D1762">
        <w:rPr>
          <w:rFonts w:ascii="Times New Roman" w:hAnsi="Times New Roman" w:cs="Times New Roman"/>
          <w:i/>
          <w:sz w:val="24"/>
        </w:rPr>
        <w:t xml:space="preserve"> 69, </w:t>
      </w:r>
      <w:r w:rsidRPr="007D1762">
        <w:rPr>
          <w:rFonts w:ascii="Times New Roman" w:hAnsi="Times New Roman" w:cs="Times New Roman"/>
          <w:sz w:val="24"/>
        </w:rPr>
        <w:t>12,</w:t>
      </w:r>
      <w:r w:rsidRPr="00FF6D9D">
        <w:rPr>
          <w:rFonts w:ascii="Times New Roman" w:hAnsi="Times New Roman" w:cs="Times New Roman"/>
          <w:sz w:val="24"/>
        </w:rPr>
        <w:t xml:space="preserve"> 7063-7072.</w:t>
      </w:r>
    </w:p>
    <w:p w14:paraId="4D03CD7C" w14:textId="095BC523"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Kennedy, C., Day, S., Mackie, D.</w:t>
      </w:r>
      <w:r>
        <w:rPr>
          <w:rFonts w:ascii="Times New Roman" w:hAnsi="Times New Roman" w:cs="Times New Roman"/>
          <w:sz w:val="24"/>
        </w:rPr>
        <w:t>,</w:t>
      </w:r>
      <w:r w:rsidRPr="00AB0534">
        <w:rPr>
          <w:rFonts w:ascii="Times New Roman" w:hAnsi="Times New Roman" w:cs="Times New Roman"/>
          <w:sz w:val="24"/>
        </w:rPr>
        <w:t xml:space="preserve"> &amp; Pesonen, N. </w:t>
      </w:r>
      <w:r>
        <w:rPr>
          <w:rFonts w:ascii="Times New Roman" w:hAnsi="Times New Roman" w:cs="Times New Roman"/>
          <w:sz w:val="24"/>
        </w:rPr>
        <w:t>(</w:t>
      </w:r>
      <w:r w:rsidRPr="00AB0534">
        <w:rPr>
          <w:rFonts w:ascii="Times New Roman" w:hAnsi="Times New Roman" w:cs="Times New Roman"/>
          <w:sz w:val="24"/>
        </w:rPr>
        <w:t>2015</w:t>
      </w:r>
      <w:r>
        <w:rPr>
          <w:rFonts w:ascii="Times New Roman" w:hAnsi="Times New Roman" w:cs="Times New Roman"/>
          <w:sz w:val="24"/>
        </w:rPr>
        <w:t>)</w:t>
      </w:r>
      <w:r w:rsidRPr="00AB0534">
        <w:rPr>
          <w:rFonts w:ascii="Times New Roman" w:hAnsi="Times New Roman" w:cs="Times New Roman"/>
          <w:sz w:val="24"/>
        </w:rPr>
        <w:t xml:space="preserve">. Biogeochemical selenium sequestration in unsaturated coal reject piles. Proceedings, 10th International Conference on Acid Rock Drainage. </w:t>
      </w:r>
      <w:hyperlink r:id="rId10" w:history="1">
        <w:r w:rsidRPr="0000725C">
          <w:rPr>
            <w:rStyle w:val="Hyperlink"/>
            <w:rFonts w:ascii="Times New Roman" w:hAnsi="Times New Roman" w:cs="Times New Roman"/>
            <w:sz w:val="24"/>
          </w:rPr>
          <w:t>www.Icard2015.com</w:t>
        </w:r>
      </w:hyperlink>
      <w:r>
        <w:rPr>
          <w:rFonts w:ascii="Times New Roman" w:hAnsi="Times New Roman" w:cs="Times New Roman"/>
          <w:sz w:val="24"/>
        </w:rPr>
        <w:t xml:space="preserve"> </w:t>
      </w:r>
    </w:p>
    <w:p w14:paraId="52AA7D62" w14:textId="4A36747F"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Kombrink, H. </w:t>
      </w:r>
      <w:r w:rsidR="007D1762">
        <w:rPr>
          <w:rFonts w:ascii="Times New Roman" w:hAnsi="Times New Roman" w:cs="Times New Roman"/>
          <w:sz w:val="24"/>
        </w:rPr>
        <w:t>(</w:t>
      </w:r>
      <w:r w:rsidRPr="00FF6D9D">
        <w:rPr>
          <w:rFonts w:ascii="Times New Roman" w:hAnsi="Times New Roman" w:cs="Times New Roman"/>
          <w:sz w:val="24"/>
        </w:rPr>
        <w:t>2008</w:t>
      </w:r>
      <w:r w:rsidR="007D1762">
        <w:rPr>
          <w:rFonts w:ascii="Times New Roman" w:hAnsi="Times New Roman" w:cs="Times New Roman"/>
          <w:sz w:val="24"/>
        </w:rPr>
        <w:t>)</w:t>
      </w:r>
      <w:r w:rsidRPr="00FF6D9D">
        <w:rPr>
          <w:rFonts w:ascii="Times New Roman" w:hAnsi="Times New Roman" w:cs="Times New Roman"/>
          <w:sz w:val="24"/>
        </w:rPr>
        <w:t xml:space="preserve">. The Carboniferous of the Netherlands and surrounding areas; a basin analysis. Geologica Ultraiectina 294, Ph.D. thesis, University of Utrecht. </w:t>
      </w:r>
    </w:p>
    <w:p w14:paraId="7198FB0E" w14:textId="64CFEA91"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Large, R.R., Halpin, J.A., Danyushevsky, LV., Maslennikov, V.V., Bull, S.W., Long, J.A., Gregory, D.D., Lounejeva, E., Lyons, T.W., Sack, P.W., McGoldrick, P.J., </w:t>
      </w:r>
      <w:r w:rsidR="007D1762">
        <w:rPr>
          <w:rFonts w:ascii="Times New Roman" w:hAnsi="Times New Roman" w:cs="Times New Roman"/>
          <w:sz w:val="24"/>
        </w:rPr>
        <w:t xml:space="preserve">&amp; </w:t>
      </w:r>
      <w:r w:rsidRPr="00FF6D9D">
        <w:rPr>
          <w:rFonts w:ascii="Times New Roman" w:hAnsi="Times New Roman" w:cs="Times New Roman"/>
          <w:sz w:val="24"/>
        </w:rPr>
        <w:t xml:space="preserve">Calver, C.R. </w:t>
      </w:r>
      <w:r w:rsidR="007D1762">
        <w:rPr>
          <w:rFonts w:ascii="Times New Roman" w:hAnsi="Times New Roman" w:cs="Times New Roman"/>
          <w:sz w:val="24"/>
        </w:rPr>
        <w:t>(</w:t>
      </w:r>
      <w:r w:rsidRPr="00FF6D9D">
        <w:rPr>
          <w:rFonts w:ascii="Times New Roman" w:hAnsi="Times New Roman" w:cs="Times New Roman"/>
          <w:sz w:val="24"/>
        </w:rPr>
        <w:t>2014</w:t>
      </w:r>
      <w:r w:rsidR="007D1762">
        <w:rPr>
          <w:rFonts w:ascii="Times New Roman" w:hAnsi="Times New Roman" w:cs="Times New Roman"/>
          <w:sz w:val="24"/>
        </w:rPr>
        <w:t>)</w:t>
      </w:r>
      <w:r w:rsidRPr="00FF6D9D">
        <w:rPr>
          <w:rFonts w:ascii="Times New Roman" w:hAnsi="Times New Roman" w:cs="Times New Roman"/>
          <w:sz w:val="24"/>
        </w:rPr>
        <w:t xml:space="preserve">. Trace element content of sedimentary pyrite as a new proxy for deep-time ocean-atmosphere evolution. </w:t>
      </w:r>
      <w:r w:rsidRPr="007D1762">
        <w:rPr>
          <w:rFonts w:ascii="Times New Roman" w:hAnsi="Times New Roman" w:cs="Times New Roman"/>
          <w:i/>
          <w:sz w:val="24"/>
        </w:rPr>
        <w:t>Earth and Planetary Science Letters</w:t>
      </w:r>
      <w:r w:rsidR="007D1762" w:rsidRPr="007D1762">
        <w:rPr>
          <w:rFonts w:ascii="Times New Roman" w:hAnsi="Times New Roman" w:cs="Times New Roman"/>
          <w:i/>
          <w:sz w:val="24"/>
        </w:rPr>
        <w:t>,</w:t>
      </w:r>
      <w:r w:rsidRPr="007D1762">
        <w:rPr>
          <w:rFonts w:ascii="Times New Roman" w:hAnsi="Times New Roman" w:cs="Times New Roman"/>
          <w:i/>
          <w:sz w:val="24"/>
        </w:rPr>
        <w:t xml:space="preserve"> 389</w:t>
      </w:r>
      <w:r w:rsidRPr="00FF6D9D">
        <w:rPr>
          <w:rFonts w:ascii="Times New Roman" w:hAnsi="Times New Roman" w:cs="Times New Roman"/>
          <w:sz w:val="24"/>
        </w:rPr>
        <w:t>, 209-220.</w:t>
      </w:r>
    </w:p>
    <w:p w14:paraId="57CBFC9A" w14:textId="75072E51"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Lindberg, T.T., Bernhardt, E.S., Bier, R., Helton, A.M., Merola, R.B., Vengosh, A.</w:t>
      </w:r>
      <w:r>
        <w:rPr>
          <w:rFonts w:ascii="Times New Roman" w:hAnsi="Times New Roman" w:cs="Times New Roman"/>
          <w:sz w:val="24"/>
        </w:rPr>
        <w:t>,</w:t>
      </w:r>
      <w:r w:rsidRPr="00AB0534">
        <w:rPr>
          <w:rFonts w:ascii="Times New Roman" w:hAnsi="Times New Roman" w:cs="Times New Roman"/>
          <w:sz w:val="24"/>
        </w:rPr>
        <w:t xml:space="preserve"> &amp; Di Giulio, R.T. </w:t>
      </w:r>
      <w:r>
        <w:rPr>
          <w:rFonts w:ascii="Times New Roman" w:hAnsi="Times New Roman" w:cs="Times New Roman"/>
          <w:sz w:val="24"/>
        </w:rPr>
        <w:t>(</w:t>
      </w:r>
      <w:r w:rsidRPr="00AB0534">
        <w:rPr>
          <w:rFonts w:ascii="Times New Roman" w:hAnsi="Times New Roman" w:cs="Times New Roman"/>
          <w:sz w:val="24"/>
        </w:rPr>
        <w:t>2011</w:t>
      </w:r>
      <w:r>
        <w:rPr>
          <w:rFonts w:ascii="Times New Roman" w:hAnsi="Times New Roman" w:cs="Times New Roman"/>
          <w:sz w:val="24"/>
        </w:rPr>
        <w:t>)</w:t>
      </w:r>
      <w:r w:rsidRPr="00AB0534">
        <w:rPr>
          <w:rFonts w:ascii="Times New Roman" w:hAnsi="Times New Roman" w:cs="Times New Roman"/>
          <w:sz w:val="24"/>
        </w:rPr>
        <w:t xml:space="preserve">. Cumulative impacts of mountaintop mining on an Appalachian watershed. </w:t>
      </w:r>
      <w:r w:rsidRPr="00AB0534">
        <w:rPr>
          <w:rFonts w:ascii="Times New Roman" w:hAnsi="Times New Roman" w:cs="Times New Roman"/>
          <w:i/>
          <w:sz w:val="24"/>
        </w:rPr>
        <w:t>Proceedings of the National Academy of Science, 108</w:t>
      </w:r>
      <w:r w:rsidRPr="00AB0534">
        <w:rPr>
          <w:rFonts w:ascii="Times New Roman" w:hAnsi="Times New Roman" w:cs="Times New Roman"/>
          <w:sz w:val="24"/>
        </w:rPr>
        <w:t>, 20929-20934.</w:t>
      </w:r>
    </w:p>
    <w:p w14:paraId="2BF432DD" w14:textId="0A2BD9DB" w:rsidR="00FA3318" w:rsidRDefault="00FA3318" w:rsidP="00C63800">
      <w:pPr>
        <w:spacing w:line="360" w:lineRule="auto"/>
        <w:ind w:left="709" w:hanging="720"/>
        <w:jc w:val="both"/>
        <w:rPr>
          <w:rFonts w:ascii="Times New Roman" w:hAnsi="Times New Roman" w:cs="Times New Roman"/>
          <w:sz w:val="24"/>
        </w:rPr>
      </w:pPr>
      <w:r>
        <w:rPr>
          <w:rFonts w:ascii="Times New Roman" w:hAnsi="Times New Roman" w:cs="Times New Roman"/>
          <w:sz w:val="24"/>
        </w:rPr>
        <w:t>Liu, S.,</w:t>
      </w:r>
      <w:r w:rsidRPr="00FA3318">
        <w:rPr>
          <w:rFonts w:ascii="Times New Roman" w:hAnsi="Times New Roman" w:cs="Times New Roman"/>
          <w:sz w:val="24"/>
        </w:rPr>
        <w:t xml:space="preserve"> Wang, Y.</w:t>
      </w:r>
      <w:r>
        <w:rPr>
          <w:rFonts w:ascii="Times New Roman" w:hAnsi="Times New Roman" w:cs="Times New Roman"/>
          <w:sz w:val="24"/>
        </w:rPr>
        <w:t>, &amp;</w:t>
      </w:r>
      <w:r w:rsidRPr="00FA3318">
        <w:rPr>
          <w:rFonts w:ascii="Times New Roman" w:hAnsi="Times New Roman" w:cs="Times New Roman"/>
          <w:sz w:val="24"/>
        </w:rPr>
        <w:t xml:space="preserve"> Oakey, J. </w:t>
      </w:r>
      <w:r>
        <w:rPr>
          <w:rFonts w:ascii="Times New Roman" w:hAnsi="Times New Roman" w:cs="Times New Roman"/>
          <w:sz w:val="24"/>
        </w:rPr>
        <w:t xml:space="preserve">(2006a). </w:t>
      </w:r>
      <w:r w:rsidRPr="00FA3318">
        <w:rPr>
          <w:rFonts w:ascii="Times New Roman" w:hAnsi="Times New Roman" w:cs="Times New Roman"/>
          <w:sz w:val="24"/>
        </w:rPr>
        <w:t xml:space="preserve">Volatilization of mercury, arsenic and selenium during underground coal gasification. </w:t>
      </w:r>
      <w:r w:rsidRPr="00FA3318">
        <w:rPr>
          <w:rFonts w:ascii="Times New Roman" w:hAnsi="Times New Roman" w:cs="Times New Roman"/>
          <w:i/>
          <w:sz w:val="24"/>
        </w:rPr>
        <w:t>Fuel, 85,</w:t>
      </w:r>
      <w:r w:rsidRPr="00FA3318">
        <w:rPr>
          <w:rFonts w:ascii="Times New Roman" w:hAnsi="Times New Roman" w:cs="Times New Roman"/>
          <w:sz w:val="24"/>
        </w:rPr>
        <w:t xml:space="preserve"> 1550-1558.</w:t>
      </w:r>
    </w:p>
    <w:p w14:paraId="14E43BDA" w14:textId="31F7998E"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Liu, G., Zheng, L., Zhang, Y., Qi, C., Chen, Y., </w:t>
      </w:r>
      <w:r w:rsidR="007D1762">
        <w:rPr>
          <w:rFonts w:ascii="Times New Roman" w:hAnsi="Times New Roman" w:cs="Times New Roman"/>
          <w:sz w:val="24"/>
        </w:rPr>
        <w:t xml:space="preserve">&amp; </w:t>
      </w:r>
      <w:r w:rsidRPr="00FF6D9D">
        <w:rPr>
          <w:rFonts w:ascii="Times New Roman" w:hAnsi="Times New Roman" w:cs="Times New Roman"/>
          <w:sz w:val="24"/>
        </w:rPr>
        <w:t xml:space="preserve">Peng, Z., </w:t>
      </w:r>
      <w:r w:rsidR="00FA3318">
        <w:rPr>
          <w:rFonts w:ascii="Times New Roman" w:hAnsi="Times New Roman" w:cs="Times New Roman"/>
          <w:sz w:val="24"/>
        </w:rPr>
        <w:t>(</w:t>
      </w:r>
      <w:r w:rsidRPr="00FF6D9D">
        <w:rPr>
          <w:rFonts w:ascii="Times New Roman" w:hAnsi="Times New Roman" w:cs="Times New Roman"/>
          <w:sz w:val="24"/>
        </w:rPr>
        <w:t>2006</w:t>
      </w:r>
      <w:r w:rsidR="00FA3318">
        <w:rPr>
          <w:rFonts w:ascii="Times New Roman" w:hAnsi="Times New Roman" w:cs="Times New Roman"/>
          <w:sz w:val="24"/>
        </w:rPr>
        <w:t>b)</w:t>
      </w:r>
      <w:r w:rsidRPr="00FF6D9D">
        <w:rPr>
          <w:rFonts w:ascii="Times New Roman" w:hAnsi="Times New Roman" w:cs="Times New Roman"/>
          <w:sz w:val="24"/>
        </w:rPr>
        <w:t xml:space="preserve">. Distribution and mode of occurrence of As, Hg and Se and Sulfur in coal Seam 3 of the Shanxi Formation, Yanzhou Coalfield, China. </w:t>
      </w:r>
      <w:r w:rsidRPr="007D1762">
        <w:rPr>
          <w:rFonts w:ascii="Times New Roman" w:hAnsi="Times New Roman" w:cs="Times New Roman"/>
          <w:i/>
          <w:sz w:val="24"/>
        </w:rPr>
        <w:t>International Journal of Coal Geology 71</w:t>
      </w:r>
      <w:r w:rsidRPr="00FF6D9D">
        <w:rPr>
          <w:rFonts w:ascii="Times New Roman" w:hAnsi="Times New Roman" w:cs="Times New Roman"/>
          <w:sz w:val="24"/>
        </w:rPr>
        <w:t xml:space="preserve">, 371-385. </w:t>
      </w:r>
    </w:p>
    <w:p w14:paraId="12D8E61A" w14:textId="372E9BE7"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Lusty, P.A.J.,</w:t>
      </w:r>
      <w:r w:rsidR="007D1762">
        <w:rPr>
          <w:rFonts w:ascii="Times New Roman" w:hAnsi="Times New Roman" w:cs="Times New Roman"/>
          <w:sz w:val="24"/>
        </w:rPr>
        <w:t xml:space="preserve"> &amp;</w:t>
      </w:r>
      <w:r w:rsidRPr="00FF6D9D">
        <w:rPr>
          <w:rFonts w:ascii="Times New Roman" w:hAnsi="Times New Roman" w:cs="Times New Roman"/>
          <w:sz w:val="24"/>
        </w:rPr>
        <w:t xml:space="preserve"> Gunn, A.G. </w:t>
      </w:r>
      <w:r w:rsidR="007D1762">
        <w:rPr>
          <w:rFonts w:ascii="Times New Roman" w:hAnsi="Times New Roman" w:cs="Times New Roman"/>
          <w:sz w:val="24"/>
        </w:rPr>
        <w:t>(</w:t>
      </w:r>
      <w:r w:rsidRPr="00FF6D9D">
        <w:rPr>
          <w:rFonts w:ascii="Times New Roman" w:hAnsi="Times New Roman" w:cs="Times New Roman"/>
          <w:sz w:val="24"/>
        </w:rPr>
        <w:t>2014</w:t>
      </w:r>
      <w:r w:rsidR="007D1762">
        <w:rPr>
          <w:rFonts w:ascii="Times New Roman" w:hAnsi="Times New Roman" w:cs="Times New Roman"/>
          <w:sz w:val="24"/>
        </w:rPr>
        <w:t>)</w:t>
      </w:r>
      <w:r w:rsidRPr="00FF6D9D">
        <w:rPr>
          <w:rFonts w:ascii="Times New Roman" w:hAnsi="Times New Roman" w:cs="Times New Roman"/>
          <w:sz w:val="24"/>
        </w:rPr>
        <w:t>. Challenges to global mineral resource security and options for future supply. In: Jenkin, G.R.T., Lusty, P.A.J., McDonald, I., Smith, M. P., Boyce, A.J., Wilkinson, J.J. (</w:t>
      </w:r>
      <w:r w:rsidR="007D1762">
        <w:rPr>
          <w:rFonts w:ascii="Times New Roman" w:hAnsi="Times New Roman" w:cs="Times New Roman"/>
          <w:sz w:val="24"/>
        </w:rPr>
        <w:t>E</w:t>
      </w:r>
      <w:r w:rsidRPr="00FF6D9D">
        <w:rPr>
          <w:rFonts w:ascii="Times New Roman" w:hAnsi="Times New Roman" w:cs="Times New Roman"/>
          <w:sz w:val="24"/>
        </w:rPr>
        <w:t>ds</w:t>
      </w:r>
      <w:r w:rsidR="007D1762">
        <w:rPr>
          <w:rFonts w:ascii="Times New Roman" w:hAnsi="Times New Roman" w:cs="Times New Roman"/>
          <w:sz w:val="24"/>
        </w:rPr>
        <w:t>.</w:t>
      </w:r>
      <w:r w:rsidRPr="00FF6D9D">
        <w:rPr>
          <w:rFonts w:ascii="Times New Roman" w:hAnsi="Times New Roman" w:cs="Times New Roman"/>
          <w:sz w:val="24"/>
        </w:rPr>
        <w:t xml:space="preserve">) Ore Deposits in an Evolving Earth. </w:t>
      </w:r>
      <w:r w:rsidRPr="007D1762">
        <w:rPr>
          <w:rFonts w:ascii="Times New Roman" w:hAnsi="Times New Roman" w:cs="Times New Roman"/>
          <w:i/>
          <w:sz w:val="24"/>
        </w:rPr>
        <w:t>Geological Society Special Publication</w:t>
      </w:r>
      <w:r w:rsidR="007D1762">
        <w:rPr>
          <w:rFonts w:ascii="Times New Roman" w:hAnsi="Times New Roman" w:cs="Times New Roman"/>
          <w:i/>
          <w:sz w:val="24"/>
        </w:rPr>
        <w:t>,</w:t>
      </w:r>
      <w:r w:rsidRPr="007D1762">
        <w:rPr>
          <w:rFonts w:ascii="Times New Roman" w:hAnsi="Times New Roman" w:cs="Times New Roman"/>
          <w:i/>
          <w:sz w:val="24"/>
        </w:rPr>
        <w:t xml:space="preserve"> 393</w:t>
      </w:r>
      <w:r w:rsidRPr="00FF6D9D">
        <w:rPr>
          <w:rFonts w:ascii="Times New Roman" w:hAnsi="Times New Roman" w:cs="Times New Roman"/>
          <w:sz w:val="24"/>
        </w:rPr>
        <w:t>, 265-276.</w:t>
      </w:r>
    </w:p>
    <w:p w14:paraId="6EE4DD46" w14:textId="52F966D9"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Nalbandian, H. </w:t>
      </w:r>
      <w:r w:rsidR="007D1762">
        <w:rPr>
          <w:rFonts w:ascii="Times New Roman" w:hAnsi="Times New Roman" w:cs="Times New Roman"/>
          <w:sz w:val="24"/>
        </w:rPr>
        <w:t>(</w:t>
      </w:r>
      <w:r w:rsidRPr="00FF6D9D">
        <w:rPr>
          <w:rFonts w:ascii="Times New Roman" w:hAnsi="Times New Roman" w:cs="Times New Roman"/>
          <w:sz w:val="24"/>
        </w:rPr>
        <w:t>2012</w:t>
      </w:r>
      <w:r w:rsidR="007D1762">
        <w:rPr>
          <w:rFonts w:ascii="Times New Roman" w:hAnsi="Times New Roman" w:cs="Times New Roman"/>
          <w:sz w:val="24"/>
        </w:rPr>
        <w:t>)</w:t>
      </w:r>
      <w:r w:rsidRPr="00FF6D9D">
        <w:rPr>
          <w:rFonts w:ascii="Times New Roman" w:hAnsi="Times New Roman" w:cs="Times New Roman"/>
          <w:sz w:val="24"/>
        </w:rPr>
        <w:t>. Trace element emissions from coal. IEA Clean Coal Centre.</w:t>
      </w:r>
      <w:r w:rsidRPr="00FF6D9D">
        <w:rPr>
          <w:rFonts w:ascii="Times New Roman" w:hAnsi="Times New Roman" w:cs="Times New Roman"/>
          <w:sz w:val="24"/>
        </w:rPr>
        <w:tab/>
      </w:r>
    </w:p>
    <w:p w14:paraId="5D09C20F" w14:textId="4B2D3F8B"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Owen, T.R. </w:t>
      </w:r>
      <w:r w:rsidR="007D1762">
        <w:rPr>
          <w:rFonts w:ascii="Times New Roman" w:hAnsi="Times New Roman" w:cs="Times New Roman"/>
          <w:sz w:val="24"/>
        </w:rPr>
        <w:t>(</w:t>
      </w:r>
      <w:r w:rsidRPr="00FF6D9D">
        <w:rPr>
          <w:rFonts w:ascii="Times New Roman" w:hAnsi="Times New Roman" w:cs="Times New Roman"/>
          <w:sz w:val="24"/>
        </w:rPr>
        <w:t>1974</w:t>
      </w:r>
      <w:r w:rsidR="007D1762">
        <w:rPr>
          <w:rFonts w:ascii="Times New Roman" w:hAnsi="Times New Roman" w:cs="Times New Roman"/>
          <w:sz w:val="24"/>
        </w:rPr>
        <w:t>)</w:t>
      </w:r>
      <w:r w:rsidRPr="00FF6D9D">
        <w:rPr>
          <w:rFonts w:ascii="Times New Roman" w:hAnsi="Times New Roman" w:cs="Times New Roman"/>
          <w:sz w:val="24"/>
        </w:rPr>
        <w:t>. The Variscan Orogeny in Wales. In: Owen, T.R. (</w:t>
      </w:r>
      <w:r w:rsidR="007D1762">
        <w:rPr>
          <w:rFonts w:ascii="Times New Roman" w:hAnsi="Times New Roman" w:cs="Times New Roman"/>
          <w:sz w:val="24"/>
        </w:rPr>
        <w:t>Ed.</w:t>
      </w:r>
      <w:r w:rsidRPr="00FF6D9D">
        <w:rPr>
          <w:rFonts w:ascii="Times New Roman" w:hAnsi="Times New Roman" w:cs="Times New Roman"/>
          <w:sz w:val="24"/>
        </w:rPr>
        <w:t xml:space="preserve">) The Upper Palaeozoic and Post-Palaeozoic rocks of Wales. University of Wales Press, Cardiff, 285-294. </w:t>
      </w:r>
    </w:p>
    <w:p w14:paraId="5A66AE90" w14:textId="54249C92"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Parnell, J. </w:t>
      </w:r>
      <w:r w:rsidR="00815B55">
        <w:rPr>
          <w:rFonts w:ascii="Times New Roman" w:hAnsi="Times New Roman" w:cs="Times New Roman"/>
          <w:sz w:val="24"/>
        </w:rPr>
        <w:t>(</w:t>
      </w:r>
      <w:r w:rsidRPr="00FF6D9D">
        <w:rPr>
          <w:rFonts w:ascii="Times New Roman" w:hAnsi="Times New Roman" w:cs="Times New Roman"/>
          <w:sz w:val="24"/>
        </w:rPr>
        <w:t>1992</w:t>
      </w:r>
      <w:r w:rsidR="00815B55">
        <w:rPr>
          <w:rFonts w:ascii="Times New Roman" w:hAnsi="Times New Roman" w:cs="Times New Roman"/>
          <w:sz w:val="24"/>
        </w:rPr>
        <w:t>)</w:t>
      </w:r>
      <w:r w:rsidRPr="00FF6D9D">
        <w:rPr>
          <w:rFonts w:ascii="Times New Roman" w:hAnsi="Times New Roman" w:cs="Times New Roman"/>
          <w:sz w:val="24"/>
        </w:rPr>
        <w:t>. Burial histories and hydrocarbon source rocks on the North West Seaboard. In: Parnell, J. (</w:t>
      </w:r>
      <w:r w:rsidR="007D1762">
        <w:rPr>
          <w:rFonts w:ascii="Times New Roman" w:hAnsi="Times New Roman" w:cs="Times New Roman"/>
          <w:sz w:val="24"/>
        </w:rPr>
        <w:t>Ed.</w:t>
      </w:r>
      <w:r w:rsidRPr="00FF6D9D">
        <w:rPr>
          <w:rFonts w:ascii="Times New Roman" w:hAnsi="Times New Roman" w:cs="Times New Roman"/>
          <w:sz w:val="24"/>
        </w:rPr>
        <w:t xml:space="preserve">) Basins of the Atlantic Seaboard: Petroleum Geology, Sedimentology and Basin Evolution. </w:t>
      </w:r>
      <w:r w:rsidRPr="00815B55">
        <w:rPr>
          <w:rFonts w:ascii="Times New Roman" w:hAnsi="Times New Roman" w:cs="Times New Roman"/>
          <w:i/>
          <w:sz w:val="24"/>
        </w:rPr>
        <w:t>Geological Society Special Publications</w:t>
      </w:r>
      <w:r w:rsidR="00815B55" w:rsidRPr="00815B55">
        <w:rPr>
          <w:rFonts w:ascii="Times New Roman" w:hAnsi="Times New Roman" w:cs="Times New Roman"/>
          <w:i/>
          <w:sz w:val="24"/>
        </w:rPr>
        <w:t>,</w:t>
      </w:r>
      <w:r w:rsidRPr="00815B55">
        <w:rPr>
          <w:rFonts w:ascii="Times New Roman" w:hAnsi="Times New Roman" w:cs="Times New Roman"/>
          <w:i/>
          <w:sz w:val="24"/>
        </w:rPr>
        <w:t xml:space="preserve"> 62,</w:t>
      </w:r>
      <w:r w:rsidRPr="00FF6D9D">
        <w:rPr>
          <w:rFonts w:ascii="Times New Roman" w:hAnsi="Times New Roman" w:cs="Times New Roman"/>
          <w:sz w:val="24"/>
        </w:rPr>
        <w:t xml:space="preserve"> 3-16.</w:t>
      </w:r>
    </w:p>
    <w:p w14:paraId="3043A07B" w14:textId="5F62655E"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Parnell, J., Bellis, D., Feldmann, J.,</w:t>
      </w:r>
      <w:r w:rsidR="00815B55">
        <w:rPr>
          <w:rFonts w:ascii="Times New Roman" w:hAnsi="Times New Roman" w:cs="Times New Roman"/>
          <w:sz w:val="24"/>
        </w:rPr>
        <w:t xml:space="preserve"> &amp;</w:t>
      </w:r>
      <w:r w:rsidRPr="00FF6D9D">
        <w:rPr>
          <w:rFonts w:ascii="Times New Roman" w:hAnsi="Times New Roman" w:cs="Times New Roman"/>
          <w:sz w:val="24"/>
        </w:rPr>
        <w:t xml:space="preserve"> Bata, T. </w:t>
      </w:r>
      <w:r w:rsidR="00815B55">
        <w:rPr>
          <w:rFonts w:ascii="Times New Roman" w:hAnsi="Times New Roman" w:cs="Times New Roman"/>
          <w:sz w:val="24"/>
        </w:rPr>
        <w:t>(</w:t>
      </w:r>
      <w:r w:rsidRPr="00FF6D9D">
        <w:rPr>
          <w:rFonts w:ascii="Times New Roman" w:hAnsi="Times New Roman" w:cs="Times New Roman"/>
          <w:sz w:val="24"/>
        </w:rPr>
        <w:t>2015</w:t>
      </w:r>
      <w:r w:rsidR="00815B55">
        <w:rPr>
          <w:rFonts w:ascii="Times New Roman" w:hAnsi="Times New Roman" w:cs="Times New Roman"/>
          <w:sz w:val="24"/>
        </w:rPr>
        <w:t>)</w:t>
      </w:r>
      <w:r w:rsidRPr="00FF6D9D">
        <w:rPr>
          <w:rFonts w:ascii="Times New Roman" w:hAnsi="Times New Roman" w:cs="Times New Roman"/>
          <w:sz w:val="24"/>
        </w:rPr>
        <w:t xml:space="preserve">. Selenium and tellurium enrichment in palaeo-oil reservoirs. </w:t>
      </w:r>
      <w:r w:rsidRPr="00815B55">
        <w:rPr>
          <w:rFonts w:ascii="Times New Roman" w:hAnsi="Times New Roman" w:cs="Times New Roman"/>
          <w:i/>
          <w:sz w:val="24"/>
        </w:rPr>
        <w:t>Journal of Geochemical Exploration</w:t>
      </w:r>
      <w:r w:rsidR="00815B55" w:rsidRPr="00815B55">
        <w:rPr>
          <w:rFonts w:ascii="Times New Roman" w:hAnsi="Times New Roman" w:cs="Times New Roman"/>
          <w:i/>
          <w:sz w:val="24"/>
        </w:rPr>
        <w:t>,</w:t>
      </w:r>
      <w:r w:rsidRPr="00815B55">
        <w:rPr>
          <w:rFonts w:ascii="Times New Roman" w:hAnsi="Times New Roman" w:cs="Times New Roman"/>
          <w:i/>
          <w:sz w:val="24"/>
        </w:rPr>
        <w:t xml:space="preserve"> 148</w:t>
      </w:r>
      <w:r w:rsidRPr="00FF6D9D">
        <w:rPr>
          <w:rFonts w:ascii="Times New Roman" w:hAnsi="Times New Roman" w:cs="Times New Roman"/>
          <w:sz w:val="24"/>
        </w:rPr>
        <w:t>, 169-173.</w:t>
      </w:r>
    </w:p>
    <w:p w14:paraId="49288252" w14:textId="4482FE98" w:rsidR="00FA3318" w:rsidRPr="00FA3318" w:rsidRDefault="00FA3318" w:rsidP="00FA3318">
      <w:pPr>
        <w:spacing w:line="360" w:lineRule="auto"/>
        <w:ind w:left="709" w:hanging="720"/>
        <w:jc w:val="both"/>
        <w:rPr>
          <w:rFonts w:ascii="Times New Roman" w:hAnsi="Times New Roman" w:cs="Times New Roman"/>
          <w:sz w:val="24"/>
        </w:rPr>
      </w:pPr>
      <w:r>
        <w:rPr>
          <w:rFonts w:ascii="Times New Roman" w:hAnsi="Times New Roman" w:cs="Times New Roman"/>
          <w:sz w:val="24"/>
        </w:rPr>
        <w:t xml:space="preserve">Parnell, J., Brolly, C., Spinks, S., &amp; Bowden, S. (2016). </w:t>
      </w:r>
      <w:r w:rsidRPr="00FA3318">
        <w:rPr>
          <w:rFonts w:ascii="Times New Roman" w:hAnsi="Times New Roman" w:cs="Times New Roman"/>
          <w:sz w:val="24"/>
        </w:rPr>
        <w:t>Selenium enrichment in Carboniferous Shales, Britain and Ireland:</w:t>
      </w:r>
      <w:r>
        <w:rPr>
          <w:rFonts w:ascii="Times New Roman" w:hAnsi="Times New Roman" w:cs="Times New Roman"/>
          <w:sz w:val="24"/>
        </w:rPr>
        <w:t xml:space="preserve"> </w:t>
      </w:r>
      <w:r w:rsidRPr="00FA3318">
        <w:rPr>
          <w:rFonts w:ascii="Times New Roman" w:hAnsi="Times New Roman" w:cs="Times New Roman"/>
          <w:sz w:val="24"/>
        </w:rPr>
        <w:t>Problem or opportunity for shale gas extraction?</w:t>
      </w:r>
      <w:r>
        <w:rPr>
          <w:rFonts w:ascii="Times New Roman" w:hAnsi="Times New Roman" w:cs="Times New Roman"/>
          <w:sz w:val="24"/>
        </w:rPr>
        <w:t xml:space="preserve"> </w:t>
      </w:r>
      <w:r>
        <w:rPr>
          <w:rFonts w:ascii="Times New Roman" w:hAnsi="Times New Roman" w:cs="Times New Roman"/>
          <w:i/>
          <w:sz w:val="24"/>
        </w:rPr>
        <w:t>Applied Geochemistry, 66</w:t>
      </w:r>
      <w:r>
        <w:rPr>
          <w:rFonts w:ascii="Times New Roman" w:hAnsi="Times New Roman" w:cs="Times New Roman"/>
          <w:sz w:val="24"/>
        </w:rPr>
        <w:t>, 82-87.</w:t>
      </w:r>
    </w:p>
    <w:p w14:paraId="2D70642E" w14:textId="40CE2452"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Pazand, K. </w:t>
      </w:r>
      <w:r w:rsidR="00815B55">
        <w:rPr>
          <w:rFonts w:ascii="Times New Roman" w:hAnsi="Times New Roman" w:cs="Times New Roman"/>
          <w:sz w:val="24"/>
        </w:rPr>
        <w:t>(</w:t>
      </w:r>
      <w:r w:rsidRPr="00FF6D9D">
        <w:rPr>
          <w:rFonts w:ascii="Times New Roman" w:hAnsi="Times New Roman" w:cs="Times New Roman"/>
          <w:sz w:val="24"/>
        </w:rPr>
        <w:t>2015</w:t>
      </w:r>
      <w:r w:rsidR="00815B55">
        <w:rPr>
          <w:rFonts w:ascii="Times New Roman" w:hAnsi="Times New Roman" w:cs="Times New Roman"/>
          <w:sz w:val="24"/>
        </w:rPr>
        <w:t>)</w:t>
      </w:r>
      <w:r w:rsidRPr="00FF6D9D">
        <w:rPr>
          <w:rFonts w:ascii="Times New Roman" w:hAnsi="Times New Roman" w:cs="Times New Roman"/>
          <w:sz w:val="24"/>
        </w:rPr>
        <w:t xml:space="preserve">. Concentration and distribution of selenium in Iranian coals. </w:t>
      </w:r>
      <w:r w:rsidRPr="00815B55">
        <w:rPr>
          <w:rFonts w:ascii="Times New Roman" w:hAnsi="Times New Roman" w:cs="Times New Roman"/>
          <w:i/>
          <w:sz w:val="24"/>
        </w:rPr>
        <w:t xml:space="preserve">Environmental Nanotechnology, Monitoring </w:t>
      </w:r>
      <w:r w:rsidR="00C63800" w:rsidRPr="00815B55">
        <w:rPr>
          <w:rFonts w:ascii="Times New Roman" w:hAnsi="Times New Roman" w:cs="Times New Roman"/>
          <w:i/>
          <w:sz w:val="24"/>
        </w:rPr>
        <w:t>and</w:t>
      </w:r>
      <w:r w:rsidRPr="00815B55">
        <w:rPr>
          <w:rFonts w:ascii="Times New Roman" w:hAnsi="Times New Roman" w:cs="Times New Roman"/>
          <w:i/>
          <w:sz w:val="24"/>
        </w:rPr>
        <w:t xml:space="preserve"> Management</w:t>
      </w:r>
      <w:r w:rsidR="00815B55" w:rsidRPr="00815B55">
        <w:rPr>
          <w:rFonts w:ascii="Times New Roman" w:hAnsi="Times New Roman" w:cs="Times New Roman"/>
          <w:i/>
          <w:sz w:val="24"/>
        </w:rPr>
        <w:t>,</w:t>
      </w:r>
      <w:r w:rsidRPr="00815B55">
        <w:rPr>
          <w:rFonts w:ascii="Times New Roman" w:hAnsi="Times New Roman" w:cs="Times New Roman"/>
          <w:i/>
          <w:sz w:val="24"/>
        </w:rPr>
        <w:t xml:space="preserve"> 3</w:t>
      </w:r>
      <w:r w:rsidRPr="00FF6D9D">
        <w:rPr>
          <w:rFonts w:ascii="Times New Roman" w:hAnsi="Times New Roman" w:cs="Times New Roman"/>
          <w:sz w:val="24"/>
        </w:rPr>
        <w:t>, 55-60.</w:t>
      </w:r>
    </w:p>
    <w:p w14:paraId="4BBFF5DA" w14:textId="1469D415"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PECH (Panel on the trace element geochemistry of coal resource development related to health) </w:t>
      </w:r>
      <w:r w:rsidR="00815B55">
        <w:rPr>
          <w:rFonts w:ascii="Times New Roman" w:hAnsi="Times New Roman" w:cs="Times New Roman"/>
          <w:sz w:val="24"/>
        </w:rPr>
        <w:t>(</w:t>
      </w:r>
      <w:r w:rsidRPr="00FF6D9D">
        <w:rPr>
          <w:rFonts w:ascii="Times New Roman" w:hAnsi="Times New Roman" w:cs="Times New Roman"/>
          <w:sz w:val="24"/>
        </w:rPr>
        <w:t>1980</w:t>
      </w:r>
      <w:r w:rsidR="00815B55">
        <w:rPr>
          <w:rFonts w:ascii="Times New Roman" w:hAnsi="Times New Roman" w:cs="Times New Roman"/>
          <w:sz w:val="24"/>
        </w:rPr>
        <w:t>)</w:t>
      </w:r>
      <w:r w:rsidRPr="00FF6D9D">
        <w:rPr>
          <w:rFonts w:ascii="Times New Roman" w:hAnsi="Times New Roman" w:cs="Times New Roman"/>
          <w:sz w:val="24"/>
        </w:rPr>
        <w:t>. Trace-Element Geochemistry of Coal Resource Development Related to Environmental Quality and Health, Washington, D.C.: National Academy Press, 153 pp.</w:t>
      </w:r>
    </w:p>
    <w:p w14:paraId="75216382" w14:textId="67EE0F3F" w:rsidR="00FA3318" w:rsidRDefault="00FA3318" w:rsidP="00C63800">
      <w:pPr>
        <w:spacing w:line="360" w:lineRule="auto"/>
        <w:ind w:left="709" w:hanging="720"/>
        <w:jc w:val="both"/>
        <w:rPr>
          <w:rFonts w:ascii="Times New Roman" w:hAnsi="Times New Roman" w:cs="Times New Roman"/>
          <w:sz w:val="24"/>
        </w:rPr>
      </w:pPr>
      <w:r w:rsidRPr="00FA3318">
        <w:rPr>
          <w:rFonts w:ascii="Times New Roman" w:hAnsi="Times New Roman" w:cs="Times New Roman"/>
          <w:sz w:val="24"/>
        </w:rPr>
        <w:t>Raask, E.</w:t>
      </w:r>
      <w:r>
        <w:rPr>
          <w:rFonts w:ascii="Times New Roman" w:hAnsi="Times New Roman" w:cs="Times New Roman"/>
          <w:sz w:val="24"/>
        </w:rPr>
        <w:t xml:space="preserve"> (1985).</w:t>
      </w:r>
      <w:r w:rsidRPr="00FA3318">
        <w:rPr>
          <w:rFonts w:ascii="Times New Roman" w:hAnsi="Times New Roman" w:cs="Times New Roman"/>
          <w:sz w:val="24"/>
        </w:rPr>
        <w:t xml:space="preserve"> The mode of occurrence and concentration of trace elements in coal. </w:t>
      </w:r>
      <w:r w:rsidRPr="00FA3318">
        <w:rPr>
          <w:rFonts w:ascii="Times New Roman" w:hAnsi="Times New Roman" w:cs="Times New Roman"/>
          <w:i/>
          <w:sz w:val="24"/>
        </w:rPr>
        <w:t>Progress in Energy and Combustion Science, 11</w:t>
      </w:r>
      <w:r w:rsidRPr="00FA3318">
        <w:rPr>
          <w:rFonts w:ascii="Times New Roman" w:hAnsi="Times New Roman" w:cs="Times New Roman"/>
          <w:sz w:val="24"/>
        </w:rPr>
        <w:t>, 97-118</w:t>
      </w:r>
    </w:p>
    <w:p w14:paraId="55BCAB30" w14:textId="666C72FA"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Riley, K.W., French, D.H., Lambropoulos, N.A., Farrell, O.P., Wood, R.A.</w:t>
      </w:r>
      <w:r>
        <w:rPr>
          <w:rFonts w:ascii="Times New Roman" w:hAnsi="Times New Roman" w:cs="Times New Roman"/>
          <w:sz w:val="24"/>
        </w:rPr>
        <w:t>,</w:t>
      </w:r>
      <w:r w:rsidRPr="00AB0534">
        <w:rPr>
          <w:rFonts w:ascii="Times New Roman" w:hAnsi="Times New Roman" w:cs="Times New Roman"/>
          <w:sz w:val="24"/>
        </w:rPr>
        <w:t xml:space="preserve"> &amp; Huggins, F.E. </w:t>
      </w:r>
      <w:r>
        <w:rPr>
          <w:rFonts w:ascii="Times New Roman" w:hAnsi="Times New Roman" w:cs="Times New Roman"/>
          <w:sz w:val="24"/>
        </w:rPr>
        <w:t>(</w:t>
      </w:r>
      <w:r w:rsidRPr="00AB0534">
        <w:rPr>
          <w:rFonts w:ascii="Times New Roman" w:hAnsi="Times New Roman" w:cs="Times New Roman"/>
          <w:sz w:val="24"/>
        </w:rPr>
        <w:t>2007</w:t>
      </w:r>
      <w:r>
        <w:rPr>
          <w:rFonts w:ascii="Times New Roman" w:hAnsi="Times New Roman" w:cs="Times New Roman"/>
          <w:sz w:val="24"/>
        </w:rPr>
        <w:t>)</w:t>
      </w:r>
      <w:r w:rsidRPr="00AB0534">
        <w:rPr>
          <w:rFonts w:ascii="Times New Roman" w:hAnsi="Times New Roman" w:cs="Times New Roman"/>
          <w:sz w:val="24"/>
        </w:rPr>
        <w:t xml:space="preserve">. Origin and occurrence of selenium in some Australian coals. </w:t>
      </w:r>
      <w:r w:rsidRPr="00AB0534">
        <w:rPr>
          <w:rFonts w:ascii="Times New Roman" w:hAnsi="Times New Roman" w:cs="Times New Roman"/>
          <w:i/>
          <w:sz w:val="24"/>
        </w:rPr>
        <w:t xml:space="preserve">International Journal of Coal Geology, 72, </w:t>
      </w:r>
      <w:r w:rsidRPr="00AB0534">
        <w:rPr>
          <w:rFonts w:ascii="Times New Roman" w:hAnsi="Times New Roman" w:cs="Times New Roman"/>
          <w:sz w:val="24"/>
        </w:rPr>
        <w:t>72-80.</w:t>
      </w:r>
    </w:p>
    <w:p w14:paraId="1E478E6E" w14:textId="66182AFC"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Rudnick, R.L.,</w:t>
      </w:r>
      <w:r w:rsidR="00815B55">
        <w:rPr>
          <w:rFonts w:ascii="Times New Roman" w:hAnsi="Times New Roman" w:cs="Times New Roman"/>
          <w:sz w:val="24"/>
        </w:rPr>
        <w:t xml:space="preserve"> &amp;</w:t>
      </w:r>
      <w:r w:rsidRPr="00FF6D9D">
        <w:rPr>
          <w:rFonts w:ascii="Times New Roman" w:hAnsi="Times New Roman" w:cs="Times New Roman"/>
          <w:sz w:val="24"/>
        </w:rPr>
        <w:t xml:space="preserve"> Gao, S. </w:t>
      </w:r>
      <w:r w:rsidR="00815B55">
        <w:rPr>
          <w:rFonts w:ascii="Times New Roman" w:hAnsi="Times New Roman" w:cs="Times New Roman"/>
          <w:sz w:val="24"/>
        </w:rPr>
        <w:t>(</w:t>
      </w:r>
      <w:r w:rsidRPr="00FF6D9D">
        <w:rPr>
          <w:rFonts w:ascii="Times New Roman" w:hAnsi="Times New Roman" w:cs="Times New Roman"/>
          <w:sz w:val="24"/>
        </w:rPr>
        <w:t>2003</w:t>
      </w:r>
      <w:r w:rsidR="00815B55">
        <w:rPr>
          <w:rFonts w:ascii="Times New Roman" w:hAnsi="Times New Roman" w:cs="Times New Roman"/>
          <w:sz w:val="24"/>
        </w:rPr>
        <w:t>)</w:t>
      </w:r>
      <w:r w:rsidRPr="00FF6D9D">
        <w:rPr>
          <w:rFonts w:ascii="Times New Roman" w:hAnsi="Times New Roman" w:cs="Times New Roman"/>
          <w:sz w:val="24"/>
        </w:rPr>
        <w:t>. Composition of the continental crust. In: Rudnick, R.L. (</w:t>
      </w:r>
      <w:r w:rsidR="00815B55">
        <w:rPr>
          <w:rFonts w:ascii="Times New Roman" w:hAnsi="Times New Roman" w:cs="Times New Roman"/>
          <w:sz w:val="24"/>
        </w:rPr>
        <w:t>Ed.</w:t>
      </w:r>
      <w:r w:rsidRPr="00FF6D9D">
        <w:rPr>
          <w:rFonts w:ascii="Times New Roman" w:hAnsi="Times New Roman" w:cs="Times New Roman"/>
          <w:sz w:val="24"/>
        </w:rPr>
        <w:t>) The Crust</w:t>
      </w:r>
      <w:r w:rsidR="00815B55">
        <w:rPr>
          <w:rFonts w:ascii="Times New Roman" w:hAnsi="Times New Roman" w:cs="Times New Roman"/>
          <w:sz w:val="24"/>
        </w:rPr>
        <w:t>,</w:t>
      </w:r>
      <w:r w:rsidRPr="00FF6D9D">
        <w:rPr>
          <w:rFonts w:ascii="Times New Roman" w:hAnsi="Times New Roman" w:cs="Times New Roman"/>
          <w:sz w:val="24"/>
        </w:rPr>
        <w:t xml:space="preserve"> 3, Elsevier, 1-64.</w:t>
      </w:r>
    </w:p>
    <w:p w14:paraId="3A2FCA75" w14:textId="10B29164"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Salminen, R. (</w:t>
      </w:r>
      <w:r w:rsidR="00815B55">
        <w:rPr>
          <w:rFonts w:ascii="Times New Roman" w:hAnsi="Times New Roman" w:cs="Times New Roman"/>
          <w:sz w:val="24"/>
        </w:rPr>
        <w:t>Ed.</w:t>
      </w:r>
      <w:r w:rsidRPr="00FF6D9D">
        <w:rPr>
          <w:rFonts w:ascii="Times New Roman" w:hAnsi="Times New Roman" w:cs="Times New Roman"/>
          <w:sz w:val="24"/>
        </w:rPr>
        <w:t xml:space="preserve">), Batista, M.J., Bidovec, M., Demetriades, A., De Vivo, B., De Vos, W., Duris, M., Gilucis, A., Gregorauskiene, V., Halamic, J., Heitzmann, P., Lima, A., Jordan, G., Klaver, G., Klein, P., Lis, J., Locutura, J., Marsina, K., Mazreku, A., O'Connor, P. J., Olsson, S.Å., Ottesen, R.T., Petersell, V., Plant, J.A., Reeder, S., Salpeteur, I., Sandström, H., Siewers, U., Steenfelt, A., </w:t>
      </w:r>
      <w:r w:rsidR="00815B55">
        <w:rPr>
          <w:rFonts w:ascii="Times New Roman" w:hAnsi="Times New Roman" w:cs="Times New Roman"/>
          <w:sz w:val="24"/>
        </w:rPr>
        <w:t xml:space="preserve">&amp; </w:t>
      </w:r>
      <w:r w:rsidRPr="00FF6D9D">
        <w:rPr>
          <w:rFonts w:ascii="Times New Roman" w:hAnsi="Times New Roman" w:cs="Times New Roman"/>
          <w:sz w:val="24"/>
        </w:rPr>
        <w:t xml:space="preserve">Tarvainen, T. </w:t>
      </w:r>
      <w:r w:rsidR="00815B55">
        <w:rPr>
          <w:rFonts w:ascii="Times New Roman" w:hAnsi="Times New Roman" w:cs="Times New Roman"/>
          <w:sz w:val="24"/>
        </w:rPr>
        <w:t>(</w:t>
      </w:r>
      <w:r w:rsidRPr="00FF6D9D">
        <w:rPr>
          <w:rFonts w:ascii="Times New Roman" w:hAnsi="Times New Roman" w:cs="Times New Roman"/>
          <w:sz w:val="24"/>
        </w:rPr>
        <w:t>2005</w:t>
      </w:r>
      <w:r w:rsidR="00815B55">
        <w:rPr>
          <w:rFonts w:ascii="Times New Roman" w:hAnsi="Times New Roman" w:cs="Times New Roman"/>
          <w:sz w:val="24"/>
        </w:rPr>
        <w:t>)</w:t>
      </w:r>
      <w:r w:rsidRPr="00FF6D9D">
        <w:rPr>
          <w:rFonts w:ascii="Times New Roman" w:hAnsi="Times New Roman" w:cs="Times New Roman"/>
          <w:sz w:val="24"/>
        </w:rPr>
        <w:t>. Geochemical atlas of Europe. Part 1: Background information, methodology and maps. Geological Survey of Finland. Espoo, 525 pp.</w:t>
      </w:r>
    </w:p>
    <w:p w14:paraId="5676C2B2" w14:textId="4B572B0A"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Spears, D.A. </w:t>
      </w:r>
      <w:r w:rsidR="00815B55">
        <w:rPr>
          <w:rFonts w:ascii="Times New Roman" w:hAnsi="Times New Roman" w:cs="Times New Roman"/>
          <w:sz w:val="24"/>
        </w:rPr>
        <w:t>(</w:t>
      </w:r>
      <w:r w:rsidRPr="00FF6D9D">
        <w:rPr>
          <w:rFonts w:ascii="Times New Roman" w:hAnsi="Times New Roman" w:cs="Times New Roman"/>
          <w:sz w:val="24"/>
        </w:rPr>
        <w:t>2015</w:t>
      </w:r>
      <w:r w:rsidR="00815B55">
        <w:rPr>
          <w:rFonts w:ascii="Times New Roman" w:hAnsi="Times New Roman" w:cs="Times New Roman"/>
          <w:sz w:val="24"/>
        </w:rPr>
        <w:t>)</w:t>
      </w:r>
      <w:r w:rsidRPr="00FF6D9D">
        <w:rPr>
          <w:rFonts w:ascii="Times New Roman" w:hAnsi="Times New Roman" w:cs="Times New Roman"/>
          <w:sz w:val="24"/>
        </w:rPr>
        <w:t xml:space="preserve">. The geochemistry and mineralogy of high-S coals, with examples mainly from the Yorkshire-Nottinghamshire coalfields, UK: an overview. </w:t>
      </w:r>
      <w:r w:rsidRPr="00815B55">
        <w:rPr>
          <w:rFonts w:ascii="Times New Roman" w:hAnsi="Times New Roman" w:cs="Times New Roman"/>
          <w:i/>
          <w:sz w:val="24"/>
        </w:rPr>
        <w:t>Proceedings of the Yorkshire Geological Society</w:t>
      </w:r>
      <w:r w:rsidR="00815B55" w:rsidRPr="00815B55">
        <w:rPr>
          <w:rFonts w:ascii="Times New Roman" w:hAnsi="Times New Roman" w:cs="Times New Roman"/>
          <w:i/>
          <w:sz w:val="24"/>
        </w:rPr>
        <w:t>,</w:t>
      </w:r>
      <w:r w:rsidRPr="00815B55">
        <w:rPr>
          <w:rFonts w:ascii="Times New Roman" w:hAnsi="Times New Roman" w:cs="Times New Roman"/>
          <w:i/>
          <w:sz w:val="24"/>
        </w:rPr>
        <w:t xml:space="preserve"> 60</w:t>
      </w:r>
      <w:r w:rsidRPr="00FF6D9D">
        <w:rPr>
          <w:rFonts w:ascii="Times New Roman" w:hAnsi="Times New Roman" w:cs="Times New Roman"/>
          <w:sz w:val="24"/>
        </w:rPr>
        <w:t>, 204-226.</w:t>
      </w:r>
    </w:p>
    <w:p w14:paraId="2C25ADC2" w14:textId="5B4AD6D6" w:rsidR="00FA3318" w:rsidRDefault="00FA3318" w:rsidP="00C63800">
      <w:pPr>
        <w:spacing w:line="360" w:lineRule="auto"/>
        <w:ind w:left="709" w:hanging="720"/>
        <w:jc w:val="both"/>
        <w:rPr>
          <w:rFonts w:ascii="Times New Roman" w:hAnsi="Times New Roman" w:cs="Times New Roman"/>
          <w:sz w:val="24"/>
        </w:rPr>
      </w:pPr>
      <w:r>
        <w:rPr>
          <w:rFonts w:ascii="Times New Roman" w:hAnsi="Times New Roman" w:cs="Times New Roman"/>
          <w:sz w:val="24"/>
        </w:rPr>
        <w:t>Spears, D.A., Borrego, A.G.,</w:t>
      </w:r>
      <w:r w:rsidRPr="00FA3318">
        <w:rPr>
          <w:rFonts w:ascii="Times New Roman" w:hAnsi="Times New Roman" w:cs="Times New Roman"/>
          <w:sz w:val="24"/>
        </w:rPr>
        <w:t xml:space="preserve"> Cox, A.</w:t>
      </w:r>
      <w:r>
        <w:rPr>
          <w:rFonts w:ascii="Times New Roman" w:hAnsi="Times New Roman" w:cs="Times New Roman"/>
          <w:sz w:val="24"/>
        </w:rPr>
        <w:t xml:space="preserve">, &amp; </w:t>
      </w:r>
      <w:r w:rsidRPr="00FA3318">
        <w:rPr>
          <w:rFonts w:ascii="Times New Roman" w:hAnsi="Times New Roman" w:cs="Times New Roman"/>
          <w:sz w:val="24"/>
        </w:rPr>
        <w:t>Martinez-Tarazona, R.M.</w:t>
      </w:r>
      <w:r>
        <w:rPr>
          <w:rFonts w:ascii="Times New Roman" w:hAnsi="Times New Roman" w:cs="Times New Roman"/>
          <w:sz w:val="24"/>
        </w:rPr>
        <w:t xml:space="preserve"> (2007).</w:t>
      </w:r>
      <w:r w:rsidRPr="00FA3318">
        <w:rPr>
          <w:rFonts w:ascii="Times New Roman" w:hAnsi="Times New Roman" w:cs="Times New Roman"/>
          <w:sz w:val="24"/>
        </w:rPr>
        <w:t xml:space="preserve"> Use of laser ablation ICP-MS to determine trace element distributions in coals, with special reference to V, Ge and Al</w:t>
      </w:r>
      <w:r w:rsidRPr="00815B55">
        <w:rPr>
          <w:rFonts w:ascii="Times New Roman" w:hAnsi="Times New Roman" w:cs="Times New Roman"/>
          <w:sz w:val="24"/>
        </w:rPr>
        <w:t xml:space="preserve">. </w:t>
      </w:r>
      <w:r w:rsidRPr="00815B55">
        <w:rPr>
          <w:rFonts w:ascii="Times New Roman" w:hAnsi="Times New Roman" w:cs="Times New Roman"/>
          <w:i/>
          <w:sz w:val="24"/>
        </w:rPr>
        <w:t>International Journal of Coal Geology,</w:t>
      </w:r>
      <w:r>
        <w:rPr>
          <w:rFonts w:ascii="Times New Roman" w:hAnsi="Times New Roman" w:cs="Times New Roman"/>
          <w:i/>
          <w:sz w:val="24"/>
        </w:rPr>
        <w:t xml:space="preserve"> </w:t>
      </w:r>
      <w:r w:rsidRPr="00FA3318">
        <w:rPr>
          <w:rFonts w:ascii="Times New Roman" w:hAnsi="Times New Roman" w:cs="Times New Roman"/>
          <w:i/>
          <w:sz w:val="24"/>
        </w:rPr>
        <w:t>72</w:t>
      </w:r>
      <w:r w:rsidRPr="00FA3318">
        <w:rPr>
          <w:rFonts w:ascii="Times New Roman" w:hAnsi="Times New Roman" w:cs="Times New Roman"/>
          <w:sz w:val="24"/>
        </w:rPr>
        <w:t>, 165-176</w:t>
      </w:r>
      <w:r>
        <w:rPr>
          <w:rFonts w:ascii="Times New Roman" w:hAnsi="Times New Roman" w:cs="Times New Roman"/>
          <w:sz w:val="24"/>
        </w:rPr>
        <w:t>.</w:t>
      </w:r>
    </w:p>
    <w:p w14:paraId="2517F87D" w14:textId="47DBA73A"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Spears, D.A.,</w:t>
      </w:r>
      <w:r w:rsidR="00815B55">
        <w:rPr>
          <w:rFonts w:ascii="Times New Roman" w:hAnsi="Times New Roman" w:cs="Times New Roman"/>
          <w:sz w:val="24"/>
        </w:rPr>
        <w:t xml:space="preserve"> &amp; </w:t>
      </w:r>
      <w:r w:rsidRPr="00FF6D9D">
        <w:rPr>
          <w:rFonts w:ascii="Times New Roman" w:hAnsi="Times New Roman" w:cs="Times New Roman"/>
          <w:sz w:val="24"/>
        </w:rPr>
        <w:t xml:space="preserve">Caswell, S.A. </w:t>
      </w:r>
      <w:r w:rsidR="00815B55">
        <w:rPr>
          <w:rFonts w:ascii="Times New Roman" w:hAnsi="Times New Roman" w:cs="Times New Roman"/>
          <w:sz w:val="24"/>
        </w:rPr>
        <w:t>(</w:t>
      </w:r>
      <w:r w:rsidRPr="00FF6D9D">
        <w:rPr>
          <w:rFonts w:ascii="Times New Roman" w:hAnsi="Times New Roman" w:cs="Times New Roman"/>
          <w:sz w:val="24"/>
        </w:rPr>
        <w:t>1986</w:t>
      </w:r>
      <w:r w:rsidR="00815B55">
        <w:rPr>
          <w:rFonts w:ascii="Times New Roman" w:hAnsi="Times New Roman" w:cs="Times New Roman"/>
          <w:sz w:val="24"/>
        </w:rPr>
        <w:t>)</w:t>
      </w:r>
      <w:r w:rsidRPr="00FF6D9D">
        <w:rPr>
          <w:rFonts w:ascii="Times New Roman" w:hAnsi="Times New Roman" w:cs="Times New Roman"/>
          <w:sz w:val="24"/>
        </w:rPr>
        <w:t xml:space="preserve">. Mineral matter in coals: Cleat minerals and their origin in some coals from the English Midlands. </w:t>
      </w:r>
      <w:r w:rsidRPr="00815B55">
        <w:rPr>
          <w:rFonts w:ascii="Times New Roman" w:hAnsi="Times New Roman" w:cs="Times New Roman"/>
          <w:i/>
          <w:sz w:val="24"/>
        </w:rPr>
        <w:t>International Journal of Coal Geology</w:t>
      </w:r>
      <w:r w:rsidR="00815B55" w:rsidRPr="00815B55">
        <w:rPr>
          <w:rFonts w:ascii="Times New Roman" w:hAnsi="Times New Roman" w:cs="Times New Roman"/>
          <w:i/>
          <w:sz w:val="24"/>
        </w:rPr>
        <w:t>,</w:t>
      </w:r>
      <w:r w:rsidRPr="00815B55">
        <w:rPr>
          <w:rFonts w:ascii="Times New Roman" w:hAnsi="Times New Roman" w:cs="Times New Roman"/>
          <w:i/>
          <w:sz w:val="24"/>
        </w:rPr>
        <w:t xml:space="preserve"> 6</w:t>
      </w:r>
      <w:r w:rsidRPr="00FF6D9D">
        <w:rPr>
          <w:rFonts w:ascii="Times New Roman" w:hAnsi="Times New Roman" w:cs="Times New Roman"/>
          <w:sz w:val="24"/>
        </w:rPr>
        <w:t xml:space="preserve">, 107-125. </w:t>
      </w:r>
    </w:p>
    <w:p w14:paraId="23A49460" w14:textId="6869944C"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Spears, D.A., </w:t>
      </w:r>
      <w:r w:rsidR="00815B55">
        <w:rPr>
          <w:rFonts w:ascii="Times New Roman" w:hAnsi="Times New Roman" w:cs="Times New Roman"/>
          <w:sz w:val="24"/>
        </w:rPr>
        <w:t xml:space="preserve">&amp; </w:t>
      </w:r>
      <w:r w:rsidRPr="00FF6D9D">
        <w:rPr>
          <w:rFonts w:ascii="Times New Roman" w:hAnsi="Times New Roman" w:cs="Times New Roman"/>
          <w:sz w:val="24"/>
        </w:rPr>
        <w:t xml:space="preserve">Tewalt, S.J. </w:t>
      </w:r>
      <w:r w:rsidR="00815B55">
        <w:rPr>
          <w:rFonts w:ascii="Times New Roman" w:hAnsi="Times New Roman" w:cs="Times New Roman"/>
          <w:sz w:val="24"/>
        </w:rPr>
        <w:t>(</w:t>
      </w:r>
      <w:r w:rsidRPr="00FF6D9D">
        <w:rPr>
          <w:rFonts w:ascii="Times New Roman" w:hAnsi="Times New Roman" w:cs="Times New Roman"/>
          <w:sz w:val="24"/>
        </w:rPr>
        <w:t>2009</w:t>
      </w:r>
      <w:r w:rsidR="00815B55">
        <w:rPr>
          <w:rFonts w:ascii="Times New Roman" w:hAnsi="Times New Roman" w:cs="Times New Roman"/>
          <w:sz w:val="24"/>
        </w:rPr>
        <w:t>)</w:t>
      </w:r>
      <w:r w:rsidRPr="00FF6D9D">
        <w:rPr>
          <w:rFonts w:ascii="Times New Roman" w:hAnsi="Times New Roman" w:cs="Times New Roman"/>
          <w:sz w:val="24"/>
        </w:rPr>
        <w:t xml:space="preserve">. The geochemistry of environmentally important trace elements in UK coals, with special reference to the Parkgate Coal in the Yorkshire - Nottinghamshire Coalfield, UK. </w:t>
      </w:r>
      <w:r w:rsidRPr="00815B55">
        <w:rPr>
          <w:rFonts w:ascii="Times New Roman" w:hAnsi="Times New Roman" w:cs="Times New Roman"/>
          <w:i/>
          <w:sz w:val="24"/>
        </w:rPr>
        <w:t>International Journal of Coal Geology</w:t>
      </w:r>
      <w:r w:rsidR="00815B55" w:rsidRPr="00815B55">
        <w:rPr>
          <w:rFonts w:ascii="Times New Roman" w:hAnsi="Times New Roman" w:cs="Times New Roman"/>
          <w:i/>
          <w:sz w:val="24"/>
        </w:rPr>
        <w:t>,</w:t>
      </w:r>
      <w:r w:rsidRPr="00815B55">
        <w:rPr>
          <w:rFonts w:ascii="Times New Roman" w:hAnsi="Times New Roman" w:cs="Times New Roman"/>
          <w:i/>
          <w:sz w:val="24"/>
        </w:rPr>
        <w:t xml:space="preserve"> 80,</w:t>
      </w:r>
      <w:r w:rsidRPr="00FF6D9D">
        <w:rPr>
          <w:rFonts w:ascii="Times New Roman" w:hAnsi="Times New Roman" w:cs="Times New Roman"/>
          <w:sz w:val="24"/>
        </w:rPr>
        <w:t xml:space="preserve"> 157-166. </w:t>
      </w:r>
    </w:p>
    <w:p w14:paraId="7BDCECDB" w14:textId="3811545C"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Spears, D.A.,</w:t>
      </w:r>
      <w:r w:rsidR="00815B55">
        <w:rPr>
          <w:rFonts w:ascii="Times New Roman" w:hAnsi="Times New Roman" w:cs="Times New Roman"/>
          <w:sz w:val="24"/>
        </w:rPr>
        <w:t xml:space="preserve"> &amp;</w:t>
      </w:r>
      <w:r w:rsidRPr="00FF6D9D">
        <w:rPr>
          <w:rFonts w:ascii="Times New Roman" w:hAnsi="Times New Roman" w:cs="Times New Roman"/>
          <w:sz w:val="24"/>
        </w:rPr>
        <w:t xml:space="preserve"> Zheng, Y. </w:t>
      </w:r>
      <w:r w:rsidR="00815B55">
        <w:rPr>
          <w:rFonts w:ascii="Times New Roman" w:hAnsi="Times New Roman" w:cs="Times New Roman"/>
          <w:sz w:val="24"/>
        </w:rPr>
        <w:t>(</w:t>
      </w:r>
      <w:r w:rsidRPr="00FF6D9D">
        <w:rPr>
          <w:rFonts w:ascii="Times New Roman" w:hAnsi="Times New Roman" w:cs="Times New Roman"/>
          <w:sz w:val="24"/>
        </w:rPr>
        <w:t>1999</w:t>
      </w:r>
      <w:r w:rsidR="00815B55">
        <w:rPr>
          <w:rFonts w:ascii="Times New Roman" w:hAnsi="Times New Roman" w:cs="Times New Roman"/>
          <w:sz w:val="24"/>
        </w:rPr>
        <w:t>)</w:t>
      </w:r>
      <w:r w:rsidRPr="00FF6D9D">
        <w:rPr>
          <w:rFonts w:ascii="Times New Roman" w:hAnsi="Times New Roman" w:cs="Times New Roman"/>
          <w:sz w:val="24"/>
        </w:rPr>
        <w:t xml:space="preserve">. Geochemistry and origin of elements in some UK coals. </w:t>
      </w:r>
      <w:r w:rsidRPr="00EE0E7A">
        <w:rPr>
          <w:rFonts w:ascii="Times New Roman" w:hAnsi="Times New Roman" w:cs="Times New Roman"/>
          <w:i/>
          <w:sz w:val="24"/>
        </w:rPr>
        <w:t>International Journal of Coal Geology</w:t>
      </w:r>
      <w:r w:rsidR="00815B55" w:rsidRPr="00EE0E7A">
        <w:rPr>
          <w:rFonts w:ascii="Times New Roman" w:hAnsi="Times New Roman" w:cs="Times New Roman"/>
          <w:i/>
          <w:sz w:val="24"/>
        </w:rPr>
        <w:t>,</w:t>
      </w:r>
      <w:r w:rsidRPr="00EE0E7A">
        <w:rPr>
          <w:rFonts w:ascii="Times New Roman" w:hAnsi="Times New Roman" w:cs="Times New Roman"/>
          <w:i/>
          <w:sz w:val="24"/>
        </w:rPr>
        <w:t xml:space="preserve"> 38,</w:t>
      </w:r>
      <w:r w:rsidRPr="00FF6D9D">
        <w:rPr>
          <w:rFonts w:ascii="Times New Roman" w:hAnsi="Times New Roman" w:cs="Times New Roman"/>
          <w:sz w:val="24"/>
        </w:rPr>
        <w:t xml:space="preserve"> 161-179. </w:t>
      </w:r>
    </w:p>
    <w:p w14:paraId="5F076B6B" w14:textId="19202BB3" w:rsidR="003554F3" w:rsidRPr="00426C2D" w:rsidRDefault="003554F3"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Speirs, J., Houari, Y., Contestabile, M., Gross, R., &amp; Gross, B. (2013). Materials Availability: Potential constraints to the future low-carbon economy - Working Paper II: Batteries, Magnets and Materials. UK Energy Research Centre.</w:t>
      </w:r>
    </w:p>
    <w:p w14:paraId="6577806C" w14:textId="4C9BAE03" w:rsidR="00FF6D9D" w:rsidRPr="00426C2D" w:rsidRDefault="00FF6D9D"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 xml:space="preserve">STDA (Selenium Tellurium Development Association) </w:t>
      </w:r>
      <w:r w:rsidR="00EE0E7A" w:rsidRPr="00426C2D">
        <w:rPr>
          <w:rFonts w:ascii="Times New Roman" w:hAnsi="Times New Roman" w:cs="Times New Roman"/>
          <w:sz w:val="24"/>
        </w:rPr>
        <w:t>(</w:t>
      </w:r>
      <w:r w:rsidRPr="00426C2D">
        <w:rPr>
          <w:rFonts w:ascii="Times New Roman" w:hAnsi="Times New Roman" w:cs="Times New Roman"/>
          <w:sz w:val="24"/>
        </w:rPr>
        <w:t>2010</w:t>
      </w:r>
      <w:r w:rsidR="00EE0E7A" w:rsidRPr="00426C2D">
        <w:rPr>
          <w:rFonts w:ascii="Times New Roman" w:hAnsi="Times New Roman" w:cs="Times New Roman"/>
          <w:sz w:val="24"/>
        </w:rPr>
        <w:t>).</w:t>
      </w:r>
      <w:r w:rsidRPr="00426C2D">
        <w:rPr>
          <w:rFonts w:ascii="Times New Roman" w:hAnsi="Times New Roman" w:cs="Times New Roman"/>
          <w:sz w:val="24"/>
        </w:rPr>
        <w:t xml:space="preserve"> Se </w:t>
      </w:r>
      <w:r w:rsidR="00C63800" w:rsidRPr="00426C2D">
        <w:rPr>
          <w:rFonts w:ascii="Times New Roman" w:hAnsi="Times New Roman" w:cs="Times New Roman"/>
          <w:sz w:val="24"/>
        </w:rPr>
        <w:t>and</w:t>
      </w:r>
      <w:r w:rsidRPr="00426C2D">
        <w:rPr>
          <w:rFonts w:ascii="Times New Roman" w:hAnsi="Times New Roman" w:cs="Times New Roman"/>
          <w:sz w:val="24"/>
        </w:rPr>
        <w:t xml:space="preserve"> Te: Cavite, Philippines, Selenium Tellurium Development Association</w:t>
      </w:r>
      <w:r w:rsidR="003554F3" w:rsidRPr="00426C2D">
        <w:rPr>
          <w:rFonts w:ascii="Times New Roman" w:hAnsi="Times New Roman" w:cs="Times New Roman"/>
          <w:sz w:val="24"/>
        </w:rPr>
        <w:t>.</w:t>
      </w:r>
    </w:p>
    <w:p w14:paraId="2AE61150" w14:textId="523A7B0A" w:rsidR="00FF6D9D" w:rsidRPr="00426C2D" w:rsidRDefault="00FF6D9D"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 xml:space="preserve">Talens Peiró, L., Méndez, G.V., </w:t>
      </w:r>
      <w:r w:rsidR="00EE0E7A" w:rsidRPr="00426C2D">
        <w:rPr>
          <w:rFonts w:ascii="Times New Roman" w:hAnsi="Times New Roman" w:cs="Times New Roman"/>
          <w:sz w:val="24"/>
        </w:rPr>
        <w:t xml:space="preserve">&amp; </w:t>
      </w:r>
      <w:r w:rsidRPr="00426C2D">
        <w:rPr>
          <w:rFonts w:ascii="Times New Roman" w:hAnsi="Times New Roman" w:cs="Times New Roman"/>
          <w:sz w:val="24"/>
        </w:rPr>
        <w:t xml:space="preserve">Ayres, R.U. </w:t>
      </w:r>
      <w:r w:rsidR="00EE0E7A" w:rsidRPr="00426C2D">
        <w:rPr>
          <w:rFonts w:ascii="Times New Roman" w:hAnsi="Times New Roman" w:cs="Times New Roman"/>
          <w:sz w:val="24"/>
        </w:rPr>
        <w:t>(</w:t>
      </w:r>
      <w:r w:rsidRPr="00426C2D">
        <w:rPr>
          <w:rFonts w:ascii="Times New Roman" w:hAnsi="Times New Roman" w:cs="Times New Roman"/>
          <w:sz w:val="24"/>
        </w:rPr>
        <w:t>2011</w:t>
      </w:r>
      <w:r w:rsidR="00EE0E7A" w:rsidRPr="00426C2D">
        <w:rPr>
          <w:rFonts w:ascii="Times New Roman" w:hAnsi="Times New Roman" w:cs="Times New Roman"/>
          <w:sz w:val="24"/>
        </w:rPr>
        <w:t>)</w:t>
      </w:r>
      <w:r w:rsidRPr="00426C2D">
        <w:rPr>
          <w:rFonts w:ascii="Times New Roman" w:hAnsi="Times New Roman" w:cs="Times New Roman"/>
          <w:sz w:val="24"/>
        </w:rPr>
        <w:t>. Rare and critical metals as by-products and the implications for future supply. INSTEAD Facility and Research Working Paper 2011/129/EPS/TOM/ISIC.</w:t>
      </w:r>
    </w:p>
    <w:p w14:paraId="5732FE35" w14:textId="7BA3CA01" w:rsidR="00FF6D9D" w:rsidRPr="00FF6D9D" w:rsidRDefault="00FF6D9D" w:rsidP="00C63800">
      <w:pPr>
        <w:spacing w:line="360" w:lineRule="auto"/>
        <w:ind w:left="709" w:hanging="720"/>
        <w:jc w:val="both"/>
        <w:rPr>
          <w:rFonts w:ascii="Times New Roman" w:hAnsi="Times New Roman" w:cs="Times New Roman"/>
          <w:sz w:val="24"/>
        </w:rPr>
      </w:pPr>
      <w:r w:rsidRPr="00426C2D">
        <w:rPr>
          <w:rFonts w:ascii="Times New Roman" w:hAnsi="Times New Roman" w:cs="Times New Roman"/>
          <w:sz w:val="24"/>
        </w:rPr>
        <w:t>Turner, B.R.,</w:t>
      </w:r>
      <w:r w:rsidR="00EE0E7A" w:rsidRPr="00426C2D">
        <w:rPr>
          <w:rFonts w:ascii="Times New Roman" w:hAnsi="Times New Roman" w:cs="Times New Roman"/>
          <w:sz w:val="24"/>
        </w:rPr>
        <w:t xml:space="preserve"> &amp;</w:t>
      </w:r>
      <w:r w:rsidRPr="00426C2D">
        <w:rPr>
          <w:rFonts w:ascii="Times New Roman" w:hAnsi="Times New Roman" w:cs="Times New Roman"/>
          <w:sz w:val="24"/>
        </w:rPr>
        <w:t xml:space="preserve"> Richardson, D. </w:t>
      </w:r>
      <w:r w:rsidR="00EE0E7A" w:rsidRPr="00426C2D">
        <w:rPr>
          <w:rFonts w:ascii="Times New Roman" w:hAnsi="Times New Roman" w:cs="Times New Roman"/>
          <w:sz w:val="24"/>
        </w:rPr>
        <w:t>(</w:t>
      </w:r>
      <w:r w:rsidRPr="00426C2D">
        <w:rPr>
          <w:rFonts w:ascii="Times New Roman" w:hAnsi="Times New Roman" w:cs="Times New Roman"/>
          <w:sz w:val="24"/>
        </w:rPr>
        <w:t>2004</w:t>
      </w:r>
      <w:r w:rsidR="00EE0E7A" w:rsidRPr="00426C2D">
        <w:rPr>
          <w:rFonts w:ascii="Times New Roman" w:hAnsi="Times New Roman" w:cs="Times New Roman"/>
          <w:sz w:val="24"/>
        </w:rPr>
        <w:t>)</w:t>
      </w:r>
      <w:r w:rsidRPr="00426C2D">
        <w:rPr>
          <w:rFonts w:ascii="Times New Roman" w:hAnsi="Times New Roman" w:cs="Times New Roman"/>
          <w:sz w:val="24"/>
        </w:rPr>
        <w:t xml:space="preserve">. Geological </w:t>
      </w:r>
      <w:r w:rsidRPr="00FF6D9D">
        <w:rPr>
          <w:rFonts w:ascii="Times New Roman" w:hAnsi="Times New Roman" w:cs="Times New Roman"/>
          <w:sz w:val="24"/>
        </w:rPr>
        <w:t xml:space="preserve">controls on the sulphur content of coal seams in the Northumberland Coalfield, Northeast England. </w:t>
      </w:r>
      <w:r w:rsidRPr="00EE0E7A">
        <w:rPr>
          <w:rFonts w:ascii="Times New Roman" w:hAnsi="Times New Roman" w:cs="Times New Roman"/>
          <w:i/>
          <w:sz w:val="24"/>
        </w:rPr>
        <w:t>International Journal of Coal Geology</w:t>
      </w:r>
      <w:r w:rsidR="00EE0E7A" w:rsidRPr="00EE0E7A">
        <w:rPr>
          <w:rFonts w:ascii="Times New Roman" w:hAnsi="Times New Roman" w:cs="Times New Roman"/>
          <w:i/>
          <w:sz w:val="24"/>
        </w:rPr>
        <w:t>,</w:t>
      </w:r>
      <w:r w:rsidRPr="00EE0E7A">
        <w:rPr>
          <w:rFonts w:ascii="Times New Roman" w:hAnsi="Times New Roman" w:cs="Times New Roman"/>
          <w:i/>
          <w:sz w:val="24"/>
        </w:rPr>
        <w:t xml:space="preserve"> 60</w:t>
      </w:r>
      <w:r w:rsidRPr="00FF6D9D">
        <w:rPr>
          <w:rFonts w:ascii="Times New Roman" w:hAnsi="Times New Roman" w:cs="Times New Roman"/>
          <w:sz w:val="24"/>
        </w:rPr>
        <w:t>, 169-196.</w:t>
      </w:r>
    </w:p>
    <w:p w14:paraId="5A4F106B" w14:textId="4A090C45"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UKERC (Energy Research Centre) </w:t>
      </w:r>
      <w:r w:rsidR="00EE0E7A">
        <w:rPr>
          <w:rFonts w:ascii="Times New Roman" w:hAnsi="Times New Roman" w:cs="Times New Roman"/>
          <w:sz w:val="24"/>
        </w:rPr>
        <w:t>(</w:t>
      </w:r>
      <w:r w:rsidRPr="00FF6D9D">
        <w:rPr>
          <w:rFonts w:ascii="Times New Roman" w:hAnsi="Times New Roman" w:cs="Times New Roman"/>
          <w:sz w:val="24"/>
        </w:rPr>
        <w:t>2012</w:t>
      </w:r>
      <w:r w:rsidR="00EE0E7A">
        <w:rPr>
          <w:rFonts w:ascii="Times New Roman" w:hAnsi="Times New Roman" w:cs="Times New Roman"/>
          <w:sz w:val="24"/>
        </w:rPr>
        <w:t>)</w:t>
      </w:r>
      <w:r w:rsidRPr="00FF6D9D">
        <w:rPr>
          <w:rFonts w:ascii="Times New Roman" w:hAnsi="Times New Roman" w:cs="Times New Roman"/>
          <w:sz w:val="24"/>
        </w:rPr>
        <w:t>. Energy Materials Availability Handbook. UK Energy Research Centre, London, UK.</w:t>
      </w:r>
    </w:p>
    <w:p w14:paraId="2635B88E" w14:textId="56B79EE3"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Valkovic, V. </w:t>
      </w:r>
      <w:r w:rsidR="00EE0E7A">
        <w:rPr>
          <w:rFonts w:ascii="Times New Roman" w:hAnsi="Times New Roman" w:cs="Times New Roman"/>
          <w:sz w:val="24"/>
        </w:rPr>
        <w:t>(</w:t>
      </w:r>
      <w:r w:rsidRPr="00FF6D9D">
        <w:rPr>
          <w:rFonts w:ascii="Times New Roman" w:hAnsi="Times New Roman" w:cs="Times New Roman"/>
          <w:sz w:val="24"/>
        </w:rPr>
        <w:t>1983</w:t>
      </w:r>
      <w:r w:rsidR="00EE0E7A">
        <w:rPr>
          <w:rFonts w:ascii="Times New Roman" w:hAnsi="Times New Roman" w:cs="Times New Roman"/>
          <w:sz w:val="24"/>
        </w:rPr>
        <w:t>)</w:t>
      </w:r>
      <w:r w:rsidRPr="00FF6D9D">
        <w:rPr>
          <w:rFonts w:ascii="Times New Roman" w:hAnsi="Times New Roman" w:cs="Times New Roman"/>
          <w:sz w:val="24"/>
        </w:rPr>
        <w:t>. Trace Elements in Coal, Vol.I, CRC Press, Boca Raton, FL. 210 pp.</w:t>
      </w:r>
    </w:p>
    <w:p w14:paraId="58FE809D" w14:textId="1203F145"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Vesper, D.J., Roy, M.</w:t>
      </w:r>
      <w:r>
        <w:rPr>
          <w:rFonts w:ascii="Times New Roman" w:hAnsi="Times New Roman" w:cs="Times New Roman"/>
          <w:sz w:val="24"/>
        </w:rPr>
        <w:t>,</w:t>
      </w:r>
      <w:r w:rsidRPr="00AB0534">
        <w:rPr>
          <w:rFonts w:ascii="Times New Roman" w:hAnsi="Times New Roman" w:cs="Times New Roman"/>
          <w:sz w:val="24"/>
        </w:rPr>
        <w:t xml:space="preserve"> &amp; Rhoads, C.J. </w:t>
      </w:r>
      <w:r>
        <w:rPr>
          <w:rFonts w:ascii="Times New Roman" w:hAnsi="Times New Roman" w:cs="Times New Roman"/>
          <w:sz w:val="24"/>
        </w:rPr>
        <w:t>(</w:t>
      </w:r>
      <w:r w:rsidRPr="00AB0534">
        <w:rPr>
          <w:rFonts w:ascii="Times New Roman" w:hAnsi="Times New Roman" w:cs="Times New Roman"/>
          <w:sz w:val="24"/>
        </w:rPr>
        <w:t>2008</w:t>
      </w:r>
      <w:r>
        <w:rPr>
          <w:rFonts w:ascii="Times New Roman" w:hAnsi="Times New Roman" w:cs="Times New Roman"/>
          <w:sz w:val="24"/>
        </w:rPr>
        <w:t>)</w:t>
      </w:r>
      <w:r w:rsidRPr="00AB0534">
        <w:rPr>
          <w:rFonts w:ascii="Times New Roman" w:hAnsi="Times New Roman" w:cs="Times New Roman"/>
          <w:sz w:val="24"/>
        </w:rPr>
        <w:t xml:space="preserve">. Selenium distribution and mode of occurrence in the Kanawha Formation, southern West Virginia, U.S.A. </w:t>
      </w:r>
      <w:r w:rsidRPr="00AB0534">
        <w:rPr>
          <w:rFonts w:ascii="Times New Roman" w:hAnsi="Times New Roman" w:cs="Times New Roman"/>
          <w:i/>
          <w:sz w:val="24"/>
        </w:rPr>
        <w:t>International Journal of Coal Geology, 73</w:t>
      </w:r>
      <w:r w:rsidRPr="00AB0534">
        <w:rPr>
          <w:rFonts w:ascii="Times New Roman" w:hAnsi="Times New Roman" w:cs="Times New Roman"/>
          <w:sz w:val="24"/>
        </w:rPr>
        <w:t>, 237-249.</w:t>
      </w:r>
    </w:p>
    <w:p w14:paraId="4C25E662" w14:textId="01246C6F" w:rsidR="00353461" w:rsidRDefault="00AD791A" w:rsidP="00C63800">
      <w:pPr>
        <w:spacing w:line="360" w:lineRule="auto"/>
        <w:ind w:left="709" w:hanging="720"/>
        <w:jc w:val="both"/>
        <w:rPr>
          <w:rFonts w:ascii="Times New Roman" w:hAnsi="Times New Roman" w:cs="Times New Roman"/>
          <w:sz w:val="24"/>
        </w:rPr>
      </w:pPr>
      <w:r w:rsidRPr="00AD791A">
        <w:rPr>
          <w:rFonts w:ascii="Times New Roman" w:hAnsi="Times New Roman" w:cs="Times New Roman"/>
          <w:sz w:val="24"/>
        </w:rPr>
        <w:t xml:space="preserve">Vincent, C.J., </w:t>
      </w:r>
      <w:r>
        <w:rPr>
          <w:rFonts w:ascii="Times New Roman" w:hAnsi="Times New Roman" w:cs="Times New Roman"/>
          <w:sz w:val="24"/>
        </w:rPr>
        <w:t xml:space="preserve">&amp; </w:t>
      </w:r>
      <w:r w:rsidRPr="00AD791A">
        <w:rPr>
          <w:rFonts w:ascii="Times New Roman" w:hAnsi="Times New Roman" w:cs="Times New Roman"/>
          <w:sz w:val="24"/>
        </w:rPr>
        <w:t xml:space="preserve">Rowley, W.J. </w:t>
      </w:r>
      <w:r>
        <w:rPr>
          <w:rFonts w:ascii="Times New Roman" w:hAnsi="Times New Roman" w:cs="Times New Roman"/>
          <w:sz w:val="24"/>
        </w:rPr>
        <w:t>(</w:t>
      </w:r>
      <w:r w:rsidRPr="00AD791A">
        <w:rPr>
          <w:rFonts w:ascii="Times New Roman" w:hAnsi="Times New Roman" w:cs="Times New Roman"/>
          <w:sz w:val="24"/>
        </w:rPr>
        <w:t>2004</w:t>
      </w:r>
      <w:r>
        <w:rPr>
          <w:rFonts w:ascii="Times New Roman" w:hAnsi="Times New Roman" w:cs="Times New Roman"/>
          <w:sz w:val="24"/>
        </w:rPr>
        <w:t>)</w:t>
      </w:r>
      <w:r w:rsidRPr="00AD791A">
        <w:rPr>
          <w:rFonts w:ascii="Times New Roman" w:hAnsi="Times New Roman" w:cs="Times New Roman"/>
          <w:sz w:val="24"/>
        </w:rPr>
        <w:t>. Thermal Modelling in the Midland Valley of Scotland using BasinMod™ and HotPot. British Geological Survey Internal Report, IR/04/144. 48pp.</w:t>
      </w:r>
    </w:p>
    <w:p w14:paraId="75F5F7B3" w14:textId="789409EB"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Waters, C.N., Browne, M.A.E., Dean, M.T.,</w:t>
      </w:r>
      <w:r w:rsidR="0081317D">
        <w:rPr>
          <w:rFonts w:ascii="Times New Roman" w:hAnsi="Times New Roman" w:cs="Times New Roman"/>
          <w:sz w:val="24"/>
        </w:rPr>
        <w:t xml:space="preserve"> &amp;</w:t>
      </w:r>
      <w:r w:rsidRPr="00FF6D9D">
        <w:rPr>
          <w:rFonts w:ascii="Times New Roman" w:hAnsi="Times New Roman" w:cs="Times New Roman"/>
          <w:sz w:val="24"/>
        </w:rPr>
        <w:t xml:space="preserve"> Powell, J.H. </w:t>
      </w:r>
      <w:r w:rsidR="0081317D">
        <w:rPr>
          <w:rFonts w:ascii="Times New Roman" w:hAnsi="Times New Roman" w:cs="Times New Roman"/>
          <w:sz w:val="24"/>
        </w:rPr>
        <w:t>(</w:t>
      </w:r>
      <w:r w:rsidRPr="00FF6D9D">
        <w:rPr>
          <w:rFonts w:ascii="Times New Roman" w:hAnsi="Times New Roman" w:cs="Times New Roman"/>
          <w:sz w:val="24"/>
        </w:rPr>
        <w:t>2007</w:t>
      </w:r>
      <w:r w:rsidR="0081317D">
        <w:rPr>
          <w:rFonts w:ascii="Times New Roman" w:hAnsi="Times New Roman" w:cs="Times New Roman"/>
          <w:sz w:val="24"/>
        </w:rPr>
        <w:t>)</w:t>
      </w:r>
      <w:r w:rsidRPr="00FF6D9D">
        <w:rPr>
          <w:rFonts w:ascii="Times New Roman" w:hAnsi="Times New Roman" w:cs="Times New Roman"/>
          <w:sz w:val="24"/>
        </w:rPr>
        <w:t>. Lithostratigraphical framework for Carboniferous successions of Great Britain (Onshore). British Geological Survey Research Report</w:t>
      </w:r>
      <w:r w:rsidR="0081317D">
        <w:rPr>
          <w:rFonts w:ascii="Times New Roman" w:hAnsi="Times New Roman" w:cs="Times New Roman"/>
          <w:sz w:val="24"/>
        </w:rPr>
        <w:t>,</w:t>
      </w:r>
      <w:r w:rsidRPr="00FF6D9D">
        <w:rPr>
          <w:rFonts w:ascii="Times New Roman" w:hAnsi="Times New Roman" w:cs="Times New Roman"/>
          <w:sz w:val="24"/>
        </w:rPr>
        <w:t xml:space="preserve"> RR/07/01.</w:t>
      </w:r>
    </w:p>
    <w:p w14:paraId="14B3D787" w14:textId="21E3D395"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Wellen, C.C., Shatilla, N.J.</w:t>
      </w:r>
      <w:r>
        <w:rPr>
          <w:rFonts w:ascii="Times New Roman" w:hAnsi="Times New Roman" w:cs="Times New Roman"/>
          <w:sz w:val="24"/>
        </w:rPr>
        <w:t>,</w:t>
      </w:r>
      <w:r w:rsidRPr="00AB0534">
        <w:rPr>
          <w:rFonts w:ascii="Times New Roman" w:hAnsi="Times New Roman" w:cs="Times New Roman"/>
          <w:sz w:val="24"/>
        </w:rPr>
        <w:t xml:space="preserve"> &amp; Carey, S.K. </w:t>
      </w:r>
      <w:r>
        <w:rPr>
          <w:rFonts w:ascii="Times New Roman" w:hAnsi="Times New Roman" w:cs="Times New Roman"/>
          <w:sz w:val="24"/>
        </w:rPr>
        <w:t>(</w:t>
      </w:r>
      <w:r w:rsidRPr="00AB0534">
        <w:rPr>
          <w:rFonts w:ascii="Times New Roman" w:hAnsi="Times New Roman" w:cs="Times New Roman"/>
          <w:sz w:val="24"/>
        </w:rPr>
        <w:t>2015</w:t>
      </w:r>
      <w:r>
        <w:rPr>
          <w:rFonts w:ascii="Times New Roman" w:hAnsi="Times New Roman" w:cs="Times New Roman"/>
          <w:sz w:val="24"/>
        </w:rPr>
        <w:t>)</w:t>
      </w:r>
      <w:r w:rsidRPr="00AB0534">
        <w:rPr>
          <w:rFonts w:ascii="Times New Roman" w:hAnsi="Times New Roman" w:cs="Times New Roman"/>
          <w:sz w:val="24"/>
        </w:rPr>
        <w:t xml:space="preserve">. Regional scale selenium loading associated with surface coal mining, Elk Valley, British Columbia, Canada. </w:t>
      </w:r>
      <w:r w:rsidRPr="00AB0534">
        <w:rPr>
          <w:rFonts w:ascii="Times New Roman" w:hAnsi="Times New Roman" w:cs="Times New Roman"/>
          <w:i/>
          <w:sz w:val="24"/>
        </w:rPr>
        <w:t>Science of the Total Environment, 532,</w:t>
      </w:r>
      <w:r w:rsidRPr="00AB0534">
        <w:rPr>
          <w:rFonts w:ascii="Times New Roman" w:hAnsi="Times New Roman" w:cs="Times New Roman"/>
          <w:sz w:val="24"/>
        </w:rPr>
        <w:t xml:space="preserve"> 791-802.</w:t>
      </w:r>
    </w:p>
    <w:p w14:paraId="1D59E602" w14:textId="4B3EB146" w:rsidR="00AB0534" w:rsidRDefault="00AB0534" w:rsidP="00C63800">
      <w:pPr>
        <w:spacing w:line="360" w:lineRule="auto"/>
        <w:ind w:left="709" w:hanging="720"/>
        <w:jc w:val="both"/>
        <w:rPr>
          <w:rFonts w:ascii="Times New Roman" w:hAnsi="Times New Roman" w:cs="Times New Roman"/>
          <w:sz w:val="24"/>
        </w:rPr>
      </w:pPr>
      <w:r w:rsidRPr="00AB0534">
        <w:rPr>
          <w:rFonts w:ascii="Times New Roman" w:hAnsi="Times New Roman" w:cs="Times New Roman"/>
          <w:sz w:val="24"/>
        </w:rPr>
        <w:t>Woo, I.H., Watanabe, K., Hashimoto, Y.</w:t>
      </w:r>
      <w:r>
        <w:rPr>
          <w:rFonts w:ascii="Times New Roman" w:hAnsi="Times New Roman" w:cs="Times New Roman"/>
          <w:sz w:val="24"/>
        </w:rPr>
        <w:t>,</w:t>
      </w:r>
      <w:r w:rsidRPr="00AB0534">
        <w:rPr>
          <w:rFonts w:ascii="Times New Roman" w:hAnsi="Times New Roman" w:cs="Times New Roman"/>
          <w:sz w:val="24"/>
        </w:rPr>
        <w:t xml:space="preserve"> &amp; Lee, Y.K. </w:t>
      </w:r>
      <w:r>
        <w:rPr>
          <w:rFonts w:ascii="Times New Roman" w:hAnsi="Times New Roman" w:cs="Times New Roman"/>
          <w:sz w:val="24"/>
        </w:rPr>
        <w:t>(</w:t>
      </w:r>
      <w:r w:rsidRPr="00AB0534">
        <w:rPr>
          <w:rFonts w:ascii="Times New Roman" w:hAnsi="Times New Roman" w:cs="Times New Roman"/>
          <w:sz w:val="24"/>
        </w:rPr>
        <w:t>1987</w:t>
      </w:r>
      <w:r>
        <w:rPr>
          <w:rFonts w:ascii="Times New Roman" w:hAnsi="Times New Roman" w:cs="Times New Roman"/>
          <w:sz w:val="24"/>
        </w:rPr>
        <w:t>)</w:t>
      </w:r>
      <w:r w:rsidRPr="00AB0534">
        <w:rPr>
          <w:rFonts w:ascii="Times New Roman" w:hAnsi="Times New Roman" w:cs="Times New Roman"/>
          <w:sz w:val="24"/>
        </w:rPr>
        <w:t xml:space="preserve">. Determination of selenium and tellurium in coal by graphite furnace atomic absorption spectrometry after coprecipitation with arsenic. </w:t>
      </w:r>
      <w:r w:rsidRPr="00AB0534">
        <w:rPr>
          <w:rFonts w:ascii="Times New Roman" w:hAnsi="Times New Roman" w:cs="Times New Roman"/>
          <w:i/>
          <w:sz w:val="24"/>
        </w:rPr>
        <w:t>Analytical Sciences, 3,</w:t>
      </w:r>
      <w:r w:rsidRPr="00AB0534">
        <w:rPr>
          <w:rFonts w:ascii="Times New Roman" w:hAnsi="Times New Roman" w:cs="Times New Roman"/>
          <w:sz w:val="24"/>
        </w:rPr>
        <w:t xml:space="preserve"> 49-52.</w:t>
      </w:r>
    </w:p>
    <w:p w14:paraId="782C7F3E" w14:textId="749702BA"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Woodhouse, M., Goodrich, A., Margolis, R., James, T.L., Lokanc, M.,</w:t>
      </w:r>
      <w:r w:rsidR="0081317D">
        <w:rPr>
          <w:rFonts w:ascii="Times New Roman" w:hAnsi="Times New Roman" w:cs="Times New Roman"/>
          <w:sz w:val="24"/>
        </w:rPr>
        <w:t xml:space="preserve"> &amp;</w:t>
      </w:r>
      <w:r w:rsidRPr="00FF6D9D">
        <w:rPr>
          <w:rFonts w:ascii="Times New Roman" w:hAnsi="Times New Roman" w:cs="Times New Roman"/>
          <w:sz w:val="24"/>
        </w:rPr>
        <w:t xml:space="preserve"> Eggert, R. </w:t>
      </w:r>
      <w:r w:rsidR="0081317D">
        <w:rPr>
          <w:rFonts w:ascii="Times New Roman" w:hAnsi="Times New Roman" w:cs="Times New Roman"/>
          <w:sz w:val="24"/>
        </w:rPr>
        <w:t>(</w:t>
      </w:r>
      <w:r w:rsidRPr="00FF6D9D">
        <w:rPr>
          <w:rFonts w:ascii="Times New Roman" w:hAnsi="Times New Roman" w:cs="Times New Roman"/>
          <w:sz w:val="24"/>
        </w:rPr>
        <w:t>2013</w:t>
      </w:r>
      <w:r w:rsidR="0081317D">
        <w:rPr>
          <w:rFonts w:ascii="Times New Roman" w:hAnsi="Times New Roman" w:cs="Times New Roman"/>
          <w:sz w:val="24"/>
        </w:rPr>
        <w:t>)</w:t>
      </w:r>
      <w:r w:rsidRPr="00FF6D9D">
        <w:rPr>
          <w:rFonts w:ascii="Times New Roman" w:hAnsi="Times New Roman" w:cs="Times New Roman"/>
          <w:sz w:val="24"/>
        </w:rPr>
        <w:t xml:space="preserve">. Supply-Chain Dynamics of Tellurium, Indium, and Gallium within the Context of PV Manufacturing Costs. </w:t>
      </w:r>
      <w:r w:rsidRPr="0081317D">
        <w:rPr>
          <w:rFonts w:ascii="Times New Roman" w:hAnsi="Times New Roman" w:cs="Times New Roman"/>
          <w:i/>
          <w:sz w:val="24"/>
        </w:rPr>
        <w:t>IEEE Journal of Photovoltaics</w:t>
      </w:r>
      <w:r w:rsidR="0081317D" w:rsidRPr="0081317D">
        <w:rPr>
          <w:rFonts w:ascii="Times New Roman" w:hAnsi="Times New Roman" w:cs="Times New Roman"/>
          <w:i/>
          <w:sz w:val="24"/>
        </w:rPr>
        <w:t>,</w:t>
      </w:r>
      <w:r w:rsidRPr="0081317D">
        <w:rPr>
          <w:rFonts w:ascii="Times New Roman" w:hAnsi="Times New Roman" w:cs="Times New Roman"/>
          <w:i/>
          <w:sz w:val="24"/>
        </w:rPr>
        <w:t xml:space="preserve"> 3</w:t>
      </w:r>
      <w:r w:rsidRPr="00FF6D9D">
        <w:rPr>
          <w:rFonts w:ascii="Times New Roman" w:hAnsi="Times New Roman" w:cs="Times New Roman"/>
          <w:sz w:val="24"/>
        </w:rPr>
        <w:t>, 2, 833-837.</w:t>
      </w:r>
    </w:p>
    <w:p w14:paraId="5E1A590B" w14:textId="5C47CF7F"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Woodland, A.W., </w:t>
      </w:r>
      <w:r w:rsidR="0081317D">
        <w:rPr>
          <w:rFonts w:ascii="Times New Roman" w:hAnsi="Times New Roman" w:cs="Times New Roman"/>
          <w:sz w:val="24"/>
        </w:rPr>
        <w:t xml:space="preserve">&amp; </w:t>
      </w:r>
      <w:r w:rsidRPr="00FF6D9D">
        <w:rPr>
          <w:rFonts w:ascii="Times New Roman" w:hAnsi="Times New Roman" w:cs="Times New Roman"/>
          <w:sz w:val="24"/>
        </w:rPr>
        <w:t xml:space="preserve">Evans, W.B. </w:t>
      </w:r>
      <w:r w:rsidR="0081317D">
        <w:rPr>
          <w:rFonts w:ascii="Times New Roman" w:hAnsi="Times New Roman" w:cs="Times New Roman"/>
          <w:sz w:val="24"/>
        </w:rPr>
        <w:t>(</w:t>
      </w:r>
      <w:r w:rsidRPr="00FF6D9D">
        <w:rPr>
          <w:rFonts w:ascii="Times New Roman" w:hAnsi="Times New Roman" w:cs="Times New Roman"/>
          <w:sz w:val="24"/>
        </w:rPr>
        <w:t>1964</w:t>
      </w:r>
      <w:r w:rsidR="0081317D">
        <w:rPr>
          <w:rFonts w:ascii="Times New Roman" w:hAnsi="Times New Roman" w:cs="Times New Roman"/>
          <w:sz w:val="24"/>
        </w:rPr>
        <w:t>)</w:t>
      </w:r>
      <w:r w:rsidRPr="00FF6D9D">
        <w:rPr>
          <w:rFonts w:ascii="Times New Roman" w:hAnsi="Times New Roman" w:cs="Times New Roman"/>
          <w:sz w:val="24"/>
        </w:rPr>
        <w:t>. The Geology of the South Wales Coalfield, part IV the Country around Pontypridd and Maesteg. Memoirs of the Geological Survey of Great Britain, One-Inch Geological Sheet</w:t>
      </w:r>
      <w:r w:rsidR="0081317D">
        <w:rPr>
          <w:rFonts w:ascii="Times New Roman" w:hAnsi="Times New Roman" w:cs="Times New Roman"/>
          <w:sz w:val="24"/>
        </w:rPr>
        <w:t>,</w:t>
      </w:r>
      <w:r w:rsidRPr="00FF6D9D">
        <w:rPr>
          <w:rFonts w:ascii="Times New Roman" w:hAnsi="Times New Roman" w:cs="Times New Roman"/>
          <w:sz w:val="24"/>
        </w:rPr>
        <w:t xml:space="preserve"> 248 (England and Wales).</w:t>
      </w:r>
    </w:p>
    <w:p w14:paraId="33D6EE03" w14:textId="39D34051" w:rsidR="00FF6D9D" w:rsidRPr="00FF6D9D" w:rsidRDefault="00FF6D9D" w:rsidP="00C63800">
      <w:pPr>
        <w:spacing w:line="360" w:lineRule="auto"/>
        <w:ind w:left="709" w:hanging="720"/>
        <w:jc w:val="both"/>
        <w:rPr>
          <w:rFonts w:ascii="Times New Roman" w:hAnsi="Times New Roman" w:cs="Times New Roman"/>
          <w:sz w:val="24"/>
        </w:rPr>
      </w:pPr>
      <w:r w:rsidRPr="00FF6D9D">
        <w:rPr>
          <w:rFonts w:ascii="Times New Roman" w:hAnsi="Times New Roman" w:cs="Times New Roman"/>
          <w:sz w:val="24"/>
        </w:rPr>
        <w:t xml:space="preserve">Yudovich, Y.E., </w:t>
      </w:r>
      <w:r w:rsidR="0081317D">
        <w:rPr>
          <w:rFonts w:ascii="Times New Roman" w:hAnsi="Times New Roman" w:cs="Times New Roman"/>
          <w:sz w:val="24"/>
        </w:rPr>
        <w:t xml:space="preserve">&amp; </w:t>
      </w:r>
      <w:r w:rsidRPr="00FF6D9D">
        <w:rPr>
          <w:rFonts w:ascii="Times New Roman" w:hAnsi="Times New Roman" w:cs="Times New Roman"/>
          <w:sz w:val="24"/>
        </w:rPr>
        <w:t xml:space="preserve">Ketris, M.P. </w:t>
      </w:r>
      <w:r w:rsidR="0081317D">
        <w:rPr>
          <w:rFonts w:ascii="Times New Roman" w:hAnsi="Times New Roman" w:cs="Times New Roman"/>
          <w:sz w:val="24"/>
        </w:rPr>
        <w:t>(</w:t>
      </w:r>
      <w:r w:rsidRPr="00FF6D9D">
        <w:rPr>
          <w:rFonts w:ascii="Times New Roman" w:hAnsi="Times New Roman" w:cs="Times New Roman"/>
          <w:sz w:val="24"/>
        </w:rPr>
        <w:t>2006</w:t>
      </w:r>
      <w:r w:rsidR="0081317D">
        <w:rPr>
          <w:rFonts w:ascii="Times New Roman" w:hAnsi="Times New Roman" w:cs="Times New Roman"/>
          <w:sz w:val="24"/>
        </w:rPr>
        <w:t>)</w:t>
      </w:r>
      <w:r w:rsidRPr="00FF6D9D">
        <w:rPr>
          <w:rFonts w:ascii="Times New Roman" w:hAnsi="Times New Roman" w:cs="Times New Roman"/>
          <w:sz w:val="24"/>
        </w:rPr>
        <w:t xml:space="preserve">. Selenium in coal: a review. </w:t>
      </w:r>
      <w:r w:rsidRPr="0081317D">
        <w:rPr>
          <w:rFonts w:ascii="Times New Roman" w:hAnsi="Times New Roman" w:cs="Times New Roman"/>
          <w:i/>
          <w:sz w:val="24"/>
        </w:rPr>
        <w:t>International Journal of Coal Geology</w:t>
      </w:r>
      <w:r w:rsidR="0081317D" w:rsidRPr="0081317D">
        <w:rPr>
          <w:rFonts w:ascii="Times New Roman" w:hAnsi="Times New Roman" w:cs="Times New Roman"/>
          <w:i/>
          <w:sz w:val="24"/>
        </w:rPr>
        <w:t>,</w:t>
      </w:r>
      <w:r w:rsidRPr="0081317D">
        <w:rPr>
          <w:rFonts w:ascii="Times New Roman" w:hAnsi="Times New Roman" w:cs="Times New Roman"/>
          <w:i/>
          <w:sz w:val="24"/>
        </w:rPr>
        <w:t xml:space="preserve"> 67</w:t>
      </w:r>
      <w:r w:rsidRPr="00FF6D9D">
        <w:rPr>
          <w:rFonts w:ascii="Times New Roman" w:hAnsi="Times New Roman" w:cs="Times New Roman"/>
          <w:sz w:val="24"/>
        </w:rPr>
        <w:t xml:space="preserve">, 112-126.  </w:t>
      </w:r>
    </w:p>
    <w:p w14:paraId="7CE240DA" w14:textId="77777777" w:rsidR="00AB0534" w:rsidRDefault="00AB0534" w:rsidP="00C63800">
      <w:pPr>
        <w:spacing w:line="360" w:lineRule="auto"/>
        <w:ind w:left="709" w:hanging="720"/>
        <w:jc w:val="both"/>
        <w:rPr>
          <w:rFonts w:ascii="Times New Roman" w:hAnsi="Times New Roman" w:cs="Times New Roman"/>
          <w:sz w:val="24"/>
        </w:rPr>
      </w:pPr>
    </w:p>
    <w:p w14:paraId="53FF3B61" w14:textId="77777777" w:rsidR="00C63800" w:rsidRDefault="00E64979" w:rsidP="004B1A8C">
      <w:pPr>
        <w:spacing w:line="360" w:lineRule="auto"/>
        <w:ind w:left="709" w:hanging="720"/>
        <w:jc w:val="both"/>
        <w:outlineLvl w:val="0"/>
        <w:rPr>
          <w:rFonts w:ascii="Times New Roman" w:hAnsi="Times New Roman" w:cs="Times New Roman"/>
          <w:sz w:val="24"/>
        </w:rPr>
      </w:pPr>
      <w:r>
        <w:rPr>
          <w:rFonts w:ascii="Times New Roman" w:hAnsi="Times New Roman" w:cs="Times New Roman"/>
          <w:sz w:val="24"/>
        </w:rPr>
        <w:t>FIGURES</w:t>
      </w:r>
    </w:p>
    <w:p w14:paraId="0195CE7C" w14:textId="3657AA3A" w:rsidR="00E64979" w:rsidRDefault="00E64979" w:rsidP="00AD791A">
      <w:pPr>
        <w:spacing w:line="360" w:lineRule="auto"/>
        <w:jc w:val="both"/>
        <w:rPr>
          <w:rFonts w:ascii="Times New Roman" w:hAnsi="Times New Roman" w:cs="Times New Roman"/>
          <w:sz w:val="24"/>
        </w:rPr>
      </w:pPr>
      <w:r>
        <w:rPr>
          <w:rFonts w:ascii="Times New Roman" w:hAnsi="Times New Roman" w:cs="Times New Roman"/>
          <w:sz w:val="24"/>
        </w:rPr>
        <w:t>FIGURE 1</w:t>
      </w:r>
      <w:r>
        <w:rPr>
          <w:rFonts w:ascii="Times New Roman" w:hAnsi="Times New Roman" w:cs="Times New Roman"/>
          <w:sz w:val="24"/>
        </w:rPr>
        <w:tab/>
      </w:r>
      <w:r w:rsidRPr="00285BAB">
        <w:rPr>
          <w:rFonts w:ascii="Times New Roman" w:hAnsi="Times New Roman" w:cs="Times New Roman"/>
          <w:sz w:val="24"/>
        </w:rPr>
        <w:t xml:space="preserve">Map of </w:t>
      </w:r>
      <w:r>
        <w:rPr>
          <w:rFonts w:ascii="Times New Roman" w:hAnsi="Times New Roman" w:cs="Times New Roman"/>
          <w:sz w:val="24"/>
        </w:rPr>
        <w:t>Great Britain</w:t>
      </w:r>
      <w:r w:rsidRPr="00285BAB">
        <w:rPr>
          <w:rFonts w:ascii="Times New Roman" w:hAnsi="Times New Roman" w:cs="Times New Roman"/>
          <w:sz w:val="24"/>
        </w:rPr>
        <w:t xml:space="preserve">, with Carboniferous </w:t>
      </w:r>
      <w:r>
        <w:rPr>
          <w:rFonts w:ascii="Times New Roman" w:hAnsi="Times New Roman" w:cs="Times New Roman"/>
          <w:sz w:val="24"/>
        </w:rPr>
        <w:t>exposed coalfields</w:t>
      </w:r>
      <w:r w:rsidRPr="00285BAB">
        <w:rPr>
          <w:rFonts w:ascii="Times New Roman" w:hAnsi="Times New Roman" w:cs="Times New Roman"/>
          <w:sz w:val="24"/>
        </w:rPr>
        <w:t xml:space="preserve"> shown and sample localities (see Table</w:t>
      </w:r>
      <w:r>
        <w:rPr>
          <w:rFonts w:ascii="Times New Roman" w:hAnsi="Times New Roman" w:cs="Times New Roman"/>
          <w:sz w:val="24"/>
        </w:rPr>
        <w:t xml:space="preserve"> 1</w:t>
      </w:r>
      <w:r w:rsidRPr="00285BAB">
        <w:rPr>
          <w:rFonts w:ascii="Times New Roman" w:hAnsi="Times New Roman" w:cs="Times New Roman"/>
          <w:sz w:val="24"/>
        </w:rPr>
        <w:t xml:space="preserve">). </w:t>
      </w:r>
    </w:p>
    <w:p w14:paraId="7F21F2AB" w14:textId="6A80F989" w:rsidR="00FD1825" w:rsidRDefault="00FD1825" w:rsidP="00AD791A">
      <w:pPr>
        <w:spacing w:line="360" w:lineRule="auto"/>
        <w:jc w:val="both"/>
        <w:rPr>
          <w:rFonts w:ascii="Times New Roman" w:hAnsi="Times New Roman" w:cs="Times New Roman"/>
          <w:sz w:val="24"/>
        </w:rPr>
      </w:pPr>
      <w:r>
        <w:rPr>
          <w:rFonts w:ascii="Times New Roman" w:hAnsi="Times New Roman" w:cs="Times New Roman"/>
          <w:sz w:val="24"/>
        </w:rPr>
        <w:t>FIGURE 2</w:t>
      </w:r>
      <w:r>
        <w:rPr>
          <w:rFonts w:ascii="Times New Roman" w:hAnsi="Times New Roman" w:cs="Times New Roman"/>
          <w:sz w:val="24"/>
        </w:rPr>
        <w:tab/>
        <w:t xml:space="preserve">Simplified Carboniferous stratigraphy for sampled British coal-bearing strata (Adapted from Waters et al., 2007). </w:t>
      </w:r>
    </w:p>
    <w:p w14:paraId="6B1F2125" w14:textId="25D60202" w:rsidR="00E64979" w:rsidRDefault="00E64979" w:rsidP="00AD791A">
      <w:pPr>
        <w:spacing w:line="360" w:lineRule="auto"/>
        <w:jc w:val="both"/>
        <w:rPr>
          <w:rFonts w:ascii="Times New Roman" w:hAnsi="Times New Roman" w:cs="Times New Roman"/>
          <w:sz w:val="24"/>
        </w:rPr>
      </w:pPr>
      <w:r>
        <w:rPr>
          <w:rFonts w:ascii="Times New Roman" w:hAnsi="Times New Roman" w:cs="Times New Roman"/>
          <w:sz w:val="24"/>
        </w:rPr>
        <w:t xml:space="preserve">FIGURE </w:t>
      </w:r>
      <w:r w:rsidR="00FD1825">
        <w:rPr>
          <w:rFonts w:ascii="Times New Roman" w:hAnsi="Times New Roman" w:cs="Times New Roman"/>
          <w:sz w:val="24"/>
        </w:rPr>
        <w:t>3</w:t>
      </w:r>
      <w:r>
        <w:rPr>
          <w:rFonts w:ascii="Times New Roman" w:hAnsi="Times New Roman" w:cs="Times New Roman"/>
          <w:sz w:val="24"/>
        </w:rPr>
        <w:tab/>
      </w:r>
      <w:r w:rsidRPr="002362DF">
        <w:rPr>
          <w:rFonts w:ascii="Times New Roman" w:hAnsi="Times New Roman" w:cs="Times New Roman"/>
          <w:sz w:val="24"/>
        </w:rPr>
        <w:t>Plot of Se vs. Te (</w:t>
      </w:r>
      <w:r w:rsidR="00CE47CA">
        <w:rPr>
          <w:rFonts w:ascii="Times New Roman" w:hAnsi="Times New Roman" w:cs="Times New Roman"/>
          <w:sz w:val="24"/>
        </w:rPr>
        <w:t>mg/kg</w:t>
      </w:r>
      <w:r w:rsidRPr="002362DF">
        <w:rPr>
          <w:rFonts w:ascii="Times New Roman" w:hAnsi="Times New Roman" w:cs="Times New Roman"/>
          <w:sz w:val="24"/>
        </w:rPr>
        <w:t>)</w:t>
      </w:r>
      <w:r>
        <w:rPr>
          <w:rFonts w:ascii="Times New Roman" w:hAnsi="Times New Roman" w:cs="Times New Roman"/>
          <w:sz w:val="24"/>
        </w:rPr>
        <w:t xml:space="preserve"> for sampled British coals. </w:t>
      </w:r>
      <w:r w:rsidR="003D298F">
        <w:rPr>
          <w:rFonts w:ascii="Times New Roman" w:hAnsi="Times New Roman" w:cs="Times New Roman"/>
          <w:sz w:val="24"/>
        </w:rPr>
        <w:t>CRC ICP-MS = collision/reaction cell ICP-MS method; STM ICP-MS = standard mode ICP-MS method.</w:t>
      </w:r>
    </w:p>
    <w:p w14:paraId="244767D4" w14:textId="5D6F4204" w:rsidR="00E64979" w:rsidRDefault="00E64979" w:rsidP="00AD791A">
      <w:pPr>
        <w:spacing w:line="360" w:lineRule="auto"/>
        <w:jc w:val="both"/>
        <w:rPr>
          <w:rFonts w:ascii="Times New Roman" w:hAnsi="Times New Roman" w:cs="Times New Roman"/>
          <w:sz w:val="24"/>
        </w:rPr>
      </w:pPr>
      <w:r>
        <w:rPr>
          <w:rFonts w:ascii="Times New Roman" w:hAnsi="Times New Roman" w:cs="Times New Roman"/>
          <w:sz w:val="24"/>
        </w:rPr>
        <w:t xml:space="preserve">FIGURE </w:t>
      </w:r>
      <w:r w:rsidR="00FD1825">
        <w:rPr>
          <w:rFonts w:ascii="Times New Roman" w:hAnsi="Times New Roman" w:cs="Times New Roman"/>
          <w:sz w:val="24"/>
        </w:rPr>
        <w:t>4</w:t>
      </w:r>
      <w:r>
        <w:rPr>
          <w:rFonts w:ascii="Times New Roman" w:hAnsi="Times New Roman" w:cs="Times New Roman"/>
          <w:sz w:val="24"/>
        </w:rPr>
        <w:tab/>
      </w:r>
      <w:r w:rsidR="000A0D72">
        <w:rPr>
          <w:rFonts w:ascii="Times New Roman" w:hAnsi="Times New Roman" w:cs="Times New Roman"/>
          <w:sz w:val="24"/>
        </w:rPr>
        <w:t>Mean</w:t>
      </w:r>
      <w:r w:rsidRPr="00037481">
        <w:rPr>
          <w:rFonts w:ascii="Times New Roman" w:hAnsi="Times New Roman" w:cs="Times New Roman"/>
          <w:sz w:val="24"/>
        </w:rPr>
        <w:t xml:space="preserve"> (a) Se and (b) Te content of sampled British Coalfield</w:t>
      </w:r>
      <w:r>
        <w:rPr>
          <w:rFonts w:ascii="Times New Roman" w:hAnsi="Times New Roman" w:cs="Times New Roman"/>
          <w:sz w:val="24"/>
        </w:rPr>
        <w:t xml:space="preserve"> regions</w:t>
      </w:r>
      <w:r w:rsidRPr="00037481">
        <w:rPr>
          <w:rFonts w:ascii="Times New Roman" w:hAnsi="Times New Roman" w:cs="Times New Roman"/>
          <w:sz w:val="24"/>
        </w:rPr>
        <w:t>.</w:t>
      </w:r>
    </w:p>
    <w:p w14:paraId="67623A97" w14:textId="77777777" w:rsidR="00572E3F" w:rsidRDefault="00572E3F" w:rsidP="00572E3F">
      <w:pPr>
        <w:spacing w:line="360" w:lineRule="auto"/>
        <w:jc w:val="both"/>
        <w:rPr>
          <w:rFonts w:ascii="Times New Roman" w:hAnsi="Times New Roman" w:cs="Times New Roman"/>
          <w:sz w:val="24"/>
        </w:rPr>
      </w:pPr>
      <w:r>
        <w:rPr>
          <w:rFonts w:ascii="Times New Roman" w:hAnsi="Times New Roman" w:cs="Times New Roman"/>
          <w:sz w:val="24"/>
        </w:rPr>
        <w:t>FIGURE 5</w:t>
      </w:r>
      <w:r>
        <w:rPr>
          <w:rFonts w:ascii="Times New Roman" w:hAnsi="Times New Roman" w:cs="Times New Roman"/>
          <w:sz w:val="24"/>
        </w:rPr>
        <w:tab/>
        <w:t xml:space="preserve">Se </w:t>
      </w:r>
      <w:r w:rsidRPr="002362DF">
        <w:rPr>
          <w:rFonts w:ascii="Times New Roman" w:hAnsi="Times New Roman" w:cs="Times New Roman"/>
          <w:sz w:val="24"/>
        </w:rPr>
        <w:t>concentrations</w:t>
      </w:r>
      <w:r>
        <w:rPr>
          <w:rFonts w:ascii="Times New Roman" w:hAnsi="Times New Roman" w:cs="Times New Roman"/>
          <w:sz w:val="24"/>
        </w:rPr>
        <w:t xml:space="preserve"> delimited by spot size</w:t>
      </w:r>
      <w:r w:rsidRPr="002362DF">
        <w:rPr>
          <w:rFonts w:ascii="Times New Roman" w:hAnsi="Times New Roman" w:cs="Times New Roman"/>
          <w:sz w:val="24"/>
        </w:rPr>
        <w:t xml:space="preserve"> (in </w:t>
      </w:r>
      <w:r>
        <w:rPr>
          <w:rFonts w:ascii="Times New Roman" w:hAnsi="Times New Roman" w:cs="Times New Roman"/>
          <w:sz w:val="24"/>
        </w:rPr>
        <w:t>mg/kg</w:t>
      </w:r>
      <w:r w:rsidRPr="002362DF">
        <w:rPr>
          <w:rFonts w:ascii="Times New Roman" w:hAnsi="Times New Roman" w:cs="Times New Roman"/>
          <w:sz w:val="24"/>
        </w:rPr>
        <w:t xml:space="preserve">) of </w:t>
      </w:r>
      <w:r>
        <w:rPr>
          <w:rFonts w:ascii="Times New Roman" w:hAnsi="Times New Roman" w:cs="Times New Roman"/>
          <w:sz w:val="24"/>
        </w:rPr>
        <w:t>sampled</w:t>
      </w:r>
      <w:r w:rsidRPr="002362DF">
        <w:rPr>
          <w:rFonts w:ascii="Times New Roman" w:hAnsi="Times New Roman" w:cs="Times New Roman"/>
          <w:sz w:val="24"/>
        </w:rPr>
        <w:t xml:space="preserve"> </w:t>
      </w:r>
      <w:r>
        <w:rPr>
          <w:rFonts w:ascii="Times New Roman" w:hAnsi="Times New Roman" w:cs="Times New Roman"/>
          <w:sz w:val="24"/>
        </w:rPr>
        <w:t>British coals</w:t>
      </w:r>
      <w:r w:rsidRPr="002362DF">
        <w:rPr>
          <w:rFonts w:ascii="Times New Roman" w:hAnsi="Times New Roman" w:cs="Times New Roman"/>
          <w:sz w:val="24"/>
        </w:rPr>
        <w:t>.</w:t>
      </w:r>
    </w:p>
    <w:p w14:paraId="3E6E9383" w14:textId="77777777" w:rsidR="00572E3F" w:rsidRDefault="00572E3F" w:rsidP="00572E3F">
      <w:pPr>
        <w:spacing w:line="360" w:lineRule="auto"/>
        <w:jc w:val="both"/>
        <w:rPr>
          <w:rFonts w:ascii="Times New Roman" w:hAnsi="Times New Roman" w:cs="Times New Roman"/>
          <w:sz w:val="24"/>
        </w:rPr>
      </w:pPr>
      <w:r>
        <w:rPr>
          <w:rFonts w:ascii="Times New Roman" w:hAnsi="Times New Roman" w:cs="Times New Roman"/>
          <w:sz w:val="24"/>
        </w:rPr>
        <w:t>FIGURE</w:t>
      </w:r>
      <w:r w:rsidRPr="002362DF">
        <w:rPr>
          <w:rFonts w:ascii="Times New Roman" w:hAnsi="Times New Roman" w:cs="Times New Roman"/>
          <w:sz w:val="24"/>
        </w:rPr>
        <w:t xml:space="preserve"> </w:t>
      </w:r>
      <w:r>
        <w:rPr>
          <w:rFonts w:ascii="Times New Roman" w:hAnsi="Times New Roman" w:cs="Times New Roman"/>
          <w:sz w:val="24"/>
        </w:rPr>
        <w:t>6</w:t>
      </w:r>
      <w:r>
        <w:rPr>
          <w:rFonts w:ascii="Times New Roman" w:hAnsi="Times New Roman" w:cs="Times New Roman"/>
          <w:sz w:val="24"/>
        </w:rPr>
        <w:tab/>
        <w:t>Te</w:t>
      </w:r>
      <w:r w:rsidRPr="002362DF">
        <w:rPr>
          <w:rFonts w:ascii="Times New Roman" w:hAnsi="Times New Roman" w:cs="Times New Roman"/>
          <w:sz w:val="24"/>
        </w:rPr>
        <w:t xml:space="preserve"> concentrations</w:t>
      </w:r>
      <w:r>
        <w:rPr>
          <w:rFonts w:ascii="Times New Roman" w:hAnsi="Times New Roman" w:cs="Times New Roman"/>
          <w:sz w:val="24"/>
        </w:rPr>
        <w:t xml:space="preserve"> delimited by spot size</w:t>
      </w:r>
      <w:r w:rsidRPr="002362DF">
        <w:rPr>
          <w:rFonts w:ascii="Times New Roman" w:hAnsi="Times New Roman" w:cs="Times New Roman"/>
          <w:sz w:val="24"/>
        </w:rPr>
        <w:t xml:space="preserve"> (in </w:t>
      </w:r>
      <w:r>
        <w:rPr>
          <w:rFonts w:ascii="Times New Roman" w:hAnsi="Times New Roman" w:cs="Times New Roman"/>
          <w:sz w:val="24"/>
        </w:rPr>
        <w:t>mg/kg</w:t>
      </w:r>
      <w:r w:rsidRPr="002362DF">
        <w:rPr>
          <w:rFonts w:ascii="Times New Roman" w:hAnsi="Times New Roman" w:cs="Times New Roman"/>
          <w:sz w:val="24"/>
        </w:rPr>
        <w:t xml:space="preserve">) of </w:t>
      </w:r>
      <w:r>
        <w:rPr>
          <w:rFonts w:ascii="Times New Roman" w:hAnsi="Times New Roman" w:cs="Times New Roman"/>
          <w:sz w:val="24"/>
        </w:rPr>
        <w:t>sampled</w:t>
      </w:r>
      <w:r w:rsidRPr="002362DF">
        <w:rPr>
          <w:rFonts w:ascii="Times New Roman" w:hAnsi="Times New Roman" w:cs="Times New Roman"/>
          <w:sz w:val="24"/>
        </w:rPr>
        <w:t xml:space="preserve"> </w:t>
      </w:r>
      <w:r>
        <w:rPr>
          <w:rFonts w:ascii="Times New Roman" w:hAnsi="Times New Roman" w:cs="Times New Roman"/>
          <w:sz w:val="24"/>
        </w:rPr>
        <w:t>British coals</w:t>
      </w:r>
      <w:r w:rsidRPr="002362DF">
        <w:rPr>
          <w:rFonts w:ascii="Times New Roman" w:hAnsi="Times New Roman" w:cs="Times New Roman"/>
          <w:sz w:val="24"/>
        </w:rPr>
        <w:t>.</w:t>
      </w:r>
    </w:p>
    <w:p w14:paraId="61966521" w14:textId="64974AC8" w:rsidR="003D298F" w:rsidRDefault="00E64979" w:rsidP="00AD791A">
      <w:pPr>
        <w:spacing w:line="360" w:lineRule="auto"/>
        <w:jc w:val="both"/>
        <w:rPr>
          <w:rFonts w:ascii="Times New Roman" w:hAnsi="Times New Roman" w:cs="Times New Roman"/>
          <w:sz w:val="24"/>
        </w:rPr>
      </w:pPr>
      <w:r>
        <w:rPr>
          <w:rFonts w:ascii="Times New Roman" w:hAnsi="Times New Roman" w:cs="Times New Roman"/>
          <w:sz w:val="24"/>
        </w:rPr>
        <w:t>FIGURE</w:t>
      </w:r>
      <w:r w:rsidRPr="002362DF">
        <w:rPr>
          <w:rFonts w:ascii="Times New Roman" w:hAnsi="Times New Roman" w:cs="Times New Roman"/>
          <w:sz w:val="24"/>
        </w:rPr>
        <w:t xml:space="preserve"> </w:t>
      </w:r>
      <w:r w:rsidR="00572E3F">
        <w:rPr>
          <w:rFonts w:ascii="Times New Roman" w:hAnsi="Times New Roman" w:cs="Times New Roman"/>
          <w:sz w:val="24"/>
        </w:rPr>
        <w:t>7</w:t>
      </w:r>
      <w:r w:rsidR="003D298F">
        <w:rPr>
          <w:rFonts w:ascii="Times New Roman" w:hAnsi="Times New Roman" w:cs="Times New Roman"/>
          <w:sz w:val="24"/>
        </w:rPr>
        <w:tab/>
      </w:r>
      <w:r w:rsidR="000A0D72">
        <w:rPr>
          <w:rFonts w:ascii="Times New Roman" w:hAnsi="Times New Roman" w:cs="Times New Roman"/>
          <w:sz w:val="24"/>
        </w:rPr>
        <w:t>Mean</w:t>
      </w:r>
      <w:r w:rsidR="003D298F" w:rsidRPr="003D298F">
        <w:rPr>
          <w:rFonts w:ascii="Times New Roman" w:hAnsi="Times New Roman" w:cs="Times New Roman"/>
          <w:sz w:val="24"/>
        </w:rPr>
        <w:t xml:space="preserve"> (a) Se and (b) Te content of sampled</w:t>
      </w:r>
      <w:r w:rsidR="003D298F">
        <w:rPr>
          <w:rFonts w:ascii="Times New Roman" w:hAnsi="Times New Roman" w:cs="Times New Roman"/>
          <w:sz w:val="24"/>
        </w:rPr>
        <w:t xml:space="preserve"> coal-bearing strata.</w:t>
      </w:r>
      <w:r>
        <w:rPr>
          <w:rFonts w:ascii="Times New Roman" w:hAnsi="Times New Roman" w:cs="Times New Roman"/>
          <w:sz w:val="24"/>
        </w:rPr>
        <w:tab/>
      </w:r>
    </w:p>
    <w:p w14:paraId="0DD95438" w14:textId="2AB7E20E" w:rsidR="00E64979" w:rsidRDefault="00E64979" w:rsidP="00AD791A">
      <w:pPr>
        <w:spacing w:line="360" w:lineRule="auto"/>
        <w:jc w:val="both"/>
        <w:rPr>
          <w:rFonts w:ascii="Times New Roman" w:hAnsi="Times New Roman" w:cs="Times New Roman"/>
          <w:sz w:val="24"/>
        </w:rPr>
      </w:pPr>
      <w:r>
        <w:rPr>
          <w:rFonts w:ascii="Times New Roman" w:hAnsi="Times New Roman" w:cs="Times New Roman"/>
          <w:sz w:val="24"/>
        </w:rPr>
        <w:t xml:space="preserve">FIGURE </w:t>
      </w:r>
      <w:r w:rsidR="00572E3F">
        <w:rPr>
          <w:rFonts w:ascii="Times New Roman" w:hAnsi="Times New Roman" w:cs="Times New Roman"/>
          <w:sz w:val="24"/>
        </w:rPr>
        <w:t>8</w:t>
      </w:r>
      <w:r>
        <w:rPr>
          <w:rFonts w:ascii="Times New Roman" w:hAnsi="Times New Roman" w:cs="Times New Roman"/>
          <w:sz w:val="24"/>
        </w:rPr>
        <w:tab/>
        <w:t xml:space="preserve">Cross-plots showing (a) Se vs. S, (b) Se vs. TOC, (c) Te vs. S and (d) Te vs. TOC. </w:t>
      </w:r>
    </w:p>
    <w:p w14:paraId="516F1D7D" w14:textId="77777777" w:rsidR="00572E3F" w:rsidRDefault="00572E3F" w:rsidP="00572E3F">
      <w:pPr>
        <w:spacing w:line="360" w:lineRule="auto"/>
        <w:jc w:val="both"/>
        <w:rPr>
          <w:rFonts w:ascii="Times New Roman" w:hAnsi="Times New Roman" w:cs="Times New Roman"/>
          <w:sz w:val="24"/>
        </w:rPr>
      </w:pPr>
      <w:r>
        <w:rPr>
          <w:rFonts w:ascii="Times New Roman" w:hAnsi="Times New Roman" w:cs="Times New Roman"/>
          <w:sz w:val="24"/>
        </w:rPr>
        <w:t>FIGURE 9</w:t>
      </w:r>
      <w:r>
        <w:rPr>
          <w:rFonts w:ascii="Times New Roman" w:hAnsi="Times New Roman" w:cs="Times New Roman"/>
          <w:sz w:val="24"/>
        </w:rPr>
        <w:tab/>
        <w:t>Vitrinite reflectance (mean R</w:t>
      </w:r>
      <w:r w:rsidRPr="00E64131">
        <w:rPr>
          <w:rFonts w:ascii="Times New Roman" w:hAnsi="Times New Roman" w:cs="Times New Roman"/>
          <w:sz w:val="24"/>
          <w:vertAlign w:val="subscript"/>
        </w:rPr>
        <w:t>o</w:t>
      </w:r>
      <w:r>
        <w:rPr>
          <w:rFonts w:ascii="Times New Roman" w:hAnsi="Times New Roman" w:cs="Times New Roman"/>
          <w:sz w:val="24"/>
        </w:rPr>
        <w:t>) of British coals (see text for refs.), with corresponding areas of high Se and Te content.</w:t>
      </w:r>
    </w:p>
    <w:p w14:paraId="64572A6C" w14:textId="77777777" w:rsidR="00BA44A2" w:rsidRDefault="00BA44A2" w:rsidP="00AD791A">
      <w:pPr>
        <w:spacing w:line="360" w:lineRule="auto"/>
        <w:rPr>
          <w:rFonts w:ascii="Times New Roman" w:hAnsi="Times New Roman" w:cs="Times New Roman"/>
          <w:sz w:val="24"/>
        </w:rPr>
      </w:pPr>
    </w:p>
    <w:p w14:paraId="23FF360F" w14:textId="77777777" w:rsidR="0099492E" w:rsidRDefault="0099492E" w:rsidP="00AD791A">
      <w:pPr>
        <w:spacing w:line="360" w:lineRule="auto"/>
        <w:rPr>
          <w:rFonts w:ascii="Times New Roman" w:hAnsi="Times New Roman" w:cs="Times New Roman"/>
          <w:sz w:val="24"/>
        </w:rPr>
      </w:pPr>
    </w:p>
    <w:p w14:paraId="51C90A7D" w14:textId="77777777" w:rsidR="0099492E" w:rsidRDefault="0099492E" w:rsidP="00AD791A">
      <w:pPr>
        <w:spacing w:line="360" w:lineRule="auto"/>
        <w:rPr>
          <w:rFonts w:ascii="Times New Roman" w:hAnsi="Times New Roman" w:cs="Times New Roman"/>
          <w:sz w:val="24"/>
        </w:rPr>
      </w:pPr>
    </w:p>
    <w:p w14:paraId="6A67AF7F" w14:textId="03908799" w:rsidR="00C63800" w:rsidRPr="00295D32" w:rsidRDefault="00C63800" w:rsidP="00AD791A">
      <w:pPr>
        <w:spacing w:line="360" w:lineRule="auto"/>
        <w:jc w:val="both"/>
        <w:rPr>
          <w:rFonts w:ascii="Times New Roman" w:hAnsi="Times New Roman" w:cs="Times New Roman"/>
        </w:rPr>
      </w:pPr>
      <w:r w:rsidRPr="00295D32">
        <w:rPr>
          <w:rFonts w:ascii="Times New Roman" w:hAnsi="Times New Roman" w:cs="Times New Roman"/>
        </w:rPr>
        <w:t>T</w:t>
      </w:r>
      <w:r>
        <w:rPr>
          <w:rFonts w:ascii="Times New Roman" w:hAnsi="Times New Roman" w:cs="Times New Roman"/>
        </w:rPr>
        <w:t>ABLE</w:t>
      </w:r>
      <w:r w:rsidRPr="00295D32">
        <w:rPr>
          <w:rFonts w:ascii="Times New Roman" w:hAnsi="Times New Roman" w:cs="Times New Roman"/>
        </w:rPr>
        <w:t xml:space="preserve"> 1</w:t>
      </w:r>
      <w:r>
        <w:rPr>
          <w:rFonts w:ascii="Times New Roman" w:hAnsi="Times New Roman" w:cs="Times New Roman"/>
        </w:rPr>
        <w:tab/>
      </w:r>
      <w:r w:rsidRPr="00295D32">
        <w:rPr>
          <w:rFonts w:ascii="Times New Roman" w:hAnsi="Times New Roman" w:cs="Times New Roman"/>
        </w:rPr>
        <w:t>Se and Te (</w:t>
      </w:r>
      <w:r w:rsidR="00CE47CA">
        <w:rPr>
          <w:rFonts w:ascii="Times New Roman" w:hAnsi="Times New Roman" w:cs="Times New Roman"/>
        </w:rPr>
        <w:t>mg/kg</w:t>
      </w:r>
      <w:r w:rsidRPr="00295D32">
        <w:rPr>
          <w:rFonts w:ascii="Times New Roman" w:hAnsi="Times New Roman" w:cs="Times New Roman"/>
        </w:rPr>
        <w:t>) concentrations,</w:t>
      </w:r>
      <w:r>
        <w:rPr>
          <w:rFonts w:ascii="Times New Roman" w:hAnsi="Times New Roman" w:cs="Times New Roman"/>
        </w:rPr>
        <w:t xml:space="preserve"> vitrinite reflectance (</w:t>
      </w:r>
      <w:r w:rsidR="003D298F">
        <w:rPr>
          <w:rFonts w:ascii="Times New Roman" w:hAnsi="Times New Roman" w:cs="Times New Roman"/>
        </w:rPr>
        <w:t>R</w:t>
      </w:r>
      <w:r w:rsidR="003D298F" w:rsidRPr="003D298F">
        <w:rPr>
          <w:rFonts w:ascii="Times New Roman" w:hAnsi="Times New Roman" w:cs="Times New Roman"/>
          <w:vertAlign w:val="subscript"/>
        </w:rPr>
        <w:t>o</w:t>
      </w:r>
      <w:r>
        <w:rPr>
          <w:rFonts w:ascii="Times New Roman" w:hAnsi="Times New Roman" w:cs="Times New Roman"/>
        </w:rPr>
        <w:t>), total organic content (TOC) and sulphur (S)</w:t>
      </w:r>
      <w:r w:rsidRPr="00295D32">
        <w:rPr>
          <w:rFonts w:ascii="Times New Roman" w:hAnsi="Times New Roman" w:cs="Times New Roman"/>
        </w:rPr>
        <w:t xml:space="preserve"> composition of sampled</w:t>
      </w:r>
      <w:r>
        <w:rPr>
          <w:rFonts w:ascii="Times New Roman" w:hAnsi="Times New Roman" w:cs="Times New Roman"/>
        </w:rPr>
        <w:t xml:space="preserve"> British Coal Measures. </w:t>
      </w:r>
    </w:p>
    <w:tbl>
      <w:tblPr>
        <w:tblW w:w="5000" w:type="pct"/>
        <w:tblLook w:val="04A0" w:firstRow="1" w:lastRow="0" w:firstColumn="1" w:lastColumn="0" w:noHBand="0" w:noVBand="1"/>
      </w:tblPr>
      <w:tblGrid>
        <w:gridCol w:w="1448"/>
        <w:gridCol w:w="1533"/>
        <w:gridCol w:w="1060"/>
        <w:gridCol w:w="751"/>
        <w:gridCol w:w="751"/>
        <w:gridCol w:w="751"/>
        <w:gridCol w:w="751"/>
        <w:gridCol w:w="1011"/>
        <w:gridCol w:w="630"/>
        <w:gridCol w:w="556"/>
      </w:tblGrid>
      <w:tr w:rsidR="006B0362" w:rsidRPr="00201CA3" w14:paraId="652F42D3" w14:textId="77777777" w:rsidTr="006B0362">
        <w:trPr>
          <w:trHeight w:val="345"/>
        </w:trPr>
        <w:tc>
          <w:tcPr>
            <w:tcW w:w="783" w:type="pct"/>
            <w:tcBorders>
              <w:top w:val="single" w:sz="12" w:space="0" w:color="000000"/>
              <w:bottom w:val="single" w:sz="8" w:space="0" w:color="000000"/>
            </w:tcBorders>
            <w:shd w:val="clear" w:color="auto" w:fill="auto"/>
            <w:noWrap/>
            <w:vAlign w:val="bottom"/>
            <w:hideMark/>
          </w:tcPr>
          <w:p w14:paraId="26C47FB1" w14:textId="77777777" w:rsidR="006B0362" w:rsidRPr="00201CA3" w:rsidRDefault="006B0362" w:rsidP="00E64979">
            <w:pPr>
              <w:spacing w:after="0" w:line="360" w:lineRule="auto"/>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British</w:t>
            </w:r>
          </w:p>
          <w:p w14:paraId="5B6379FF" w14:textId="77777777" w:rsidR="006B0362" w:rsidRPr="00201CA3" w:rsidRDefault="006B0362" w:rsidP="00E64979">
            <w:pPr>
              <w:spacing w:after="0" w:line="360" w:lineRule="auto"/>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Coalfield</w:t>
            </w:r>
          </w:p>
        </w:tc>
        <w:tc>
          <w:tcPr>
            <w:tcW w:w="829" w:type="pct"/>
            <w:tcBorders>
              <w:top w:val="single" w:sz="12" w:space="0" w:color="000000"/>
              <w:bottom w:val="single" w:sz="8" w:space="0" w:color="000000"/>
            </w:tcBorders>
          </w:tcPr>
          <w:p w14:paraId="124C1D88" w14:textId="77777777" w:rsidR="006B0362" w:rsidRPr="00201CA3"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Location</w:t>
            </w:r>
          </w:p>
        </w:tc>
        <w:tc>
          <w:tcPr>
            <w:tcW w:w="573" w:type="pct"/>
            <w:tcBorders>
              <w:top w:val="single" w:sz="12" w:space="0" w:color="000000"/>
              <w:bottom w:val="single" w:sz="8" w:space="0" w:color="000000"/>
            </w:tcBorders>
          </w:tcPr>
          <w:p w14:paraId="4B321F72" w14:textId="6630BC33" w:rsidR="006B0362" w:rsidRPr="00426C2D" w:rsidRDefault="006B0362" w:rsidP="0031668D">
            <w:pPr>
              <w:spacing w:after="0" w:line="360" w:lineRule="auto"/>
              <w:jc w:val="center"/>
              <w:rPr>
                <w:rFonts w:ascii="Times New Roman" w:eastAsia="Times New Roman" w:hAnsi="Times New Roman" w:cs="Times New Roman"/>
                <w:b/>
                <w:bCs/>
                <w:sz w:val="16"/>
                <w:lang w:eastAsia="en-GB"/>
              </w:rPr>
            </w:pPr>
            <w:r w:rsidRPr="00426C2D">
              <w:rPr>
                <w:rFonts w:ascii="Times New Roman" w:eastAsia="Times New Roman" w:hAnsi="Times New Roman" w:cs="Times New Roman"/>
                <w:b/>
                <w:bCs/>
                <w:sz w:val="16"/>
                <w:lang w:eastAsia="en-GB"/>
              </w:rPr>
              <w:t>Formation</w:t>
            </w:r>
          </w:p>
        </w:tc>
        <w:tc>
          <w:tcPr>
            <w:tcW w:w="406" w:type="pct"/>
            <w:tcBorders>
              <w:top w:val="single" w:sz="12" w:space="0" w:color="000000"/>
              <w:bottom w:val="single" w:sz="8" w:space="0" w:color="000000"/>
            </w:tcBorders>
            <w:shd w:val="clear" w:color="auto" w:fill="auto"/>
            <w:noWrap/>
            <w:vAlign w:val="bottom"/>
            <w:hideMark/>
          </w:tcPr>
          <w:p w14:paraId="7ACC9665" w14:textId="54974B57" w:rsidR="006B0362"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Se </w:t>
            </w:r>
          </w:p>
          <w:p w14:paraId="11E0B292" w14:textId="15B2A445" w:rsidR="006B0362" w:rsidRPr="00201CA3"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r>
              <w:rPr>
                <w:rFonts w:ascii="Times New Roman" w:eastAsia="Times New Roman" w:hAnsi="Times New Roman" w:cs="Times New Roman"/>
                <w:b/>
                <w:bCs/>
                <w:color w:val="000000"/>
                <w:sz w:val="16"/>
                <w:lang w:eastAsia="en-GB"/>
              </w:rPr>
              <w:t>CRC</w:t>
            </w:r>
            <w:r w:rsidRPr="00201CA3">
              <w:rPr>
                <w:rFonts w:ascii="Times New Roman" w:eastAsia="Times New Roman" w:hAnsi="Times New Roman" w:cs="Times New Roman"/>
                <w:b/>
                <w:bCs/>
                <w:color w:val="000000"/>
                <w:sz w:val="16"/>
                <w:lang w:eastAsia="en-GB"/>
              </w:rPr>
              <w:t>)</w:t>
            </w:r>
          </w:p>
        </w:tc>
        <w:tc>
          <w:tcPr>
            <w:tcW w:w="406" w:type="pct"/>
            <w:tcBorders>
              <w:top w:val="single" w:sz="12" w:space="0" w:color="000000"/>
              <w:bottom w:val="single" w:sz="8" w:space="0" w:color="000000"/>
            </w:tcBorders>
            <w:shd w:val="clear" w:color="auto" w:fill="auto"/>
            <w:noWrap/>
            <w:vAlign w:val="bottom"/>
            <w:hideMark/>
          </w:tcPr>
          <w:p w14:paraId="159E52EA" w14:textId="77777777" w:rsidR="006B0362"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Te </w:t>
            </w:r>
          </w:p>
          <w:p w14:paraId="742F3811" w14:textId="75DF8C62" w:rsidR="006B0362" w:rsidRPr="00201CA3"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r>
              <w:rPr>
                <w:rFonts w:ascii="Times New Roman" w:eastAsia="Times New Roman" w:hAnsi="Times New Roman" w:cs="Times New Roman"/>
                <w:b/>
                <w:bCs/>
                <w:color w:val="000000"/>
                <w:sz w:val="16"/>
                <w:lang w:eastAsia="en-GB"/>
              </w:rPr>
              <w:t>CRC</w:t>
            </w:r>
            <w:r w:rsidRPr="00201CA3">
              <w:rPr>
                <w:rFonts w:ascii="Times New Roman" w:eastAsia="Times New Roman" w:hAnsi="Times New Roman" w:cs="Times New Roman"/>
                <w:b/>
                <w:bCs/>
                <w:color w:val="000000"/>
                <w:sz w:val="16"/>
                <w:lang w:eastAsia="en-GB"/>
              </w:rPr>
              <w:t>)</w:t>
            </w:r>
          </w:p>
        </w:tc>
        <w:tc>
          <w:tcPr>
            <w:tcW w:w="406" w:type="pct"/>
            <w:tcBorders>
              <w:top w:val="single" w:sz="12" w:space="0" w:color="000000"/>
              <w:bottom w:val="single" w:sz="8" w:space="0" w:color="000000"/>
            </w:tcBorders>
            <w:shd w:val="clear" w:color="auto" w:fill="auto"/>
            <w:noWrap/>
            <w:vAlign w:val="bottom"/>
            <w:hideMark/>
          </w:tcPr>
          <w:p w14:paraId="748CD7DD" w14:textId="77777777" w:rsidR="006B0362"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Se </w:t>
            </w:r>
          </w:p>
          <w:p w14:paraId="5286EABF" w14:textId="5A42312B" w:rsidR="006B0362" w:rsidRPr="00201CA3"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r>
              <w:rPr>
                <w:rFonts w:ascii="Times New Roman" w:eastAsia="Times New Roman" w:hAnsi="Times New Roman" w:cs="Times New Roman"/>
                <w:b/>
                <w:bCs/>
                <w:color w:val="000000"/>
                <w:sz w:val="16"/>
                <w:lang w:eastAsia="en-GB"/>
              </w:rPr>
              <w:t>STM</w:t>
            </w:r>
            <w:r w:rsidRPr="00201CA3">
              <w:rPr>
                <w:rFonts w:ascii="Times New Roman" w:eastAsia="Times New Roman" w:hAnsi="Times New Roman" w:cs="Times New Roman"/>
                <w:b/>
                <w:bCs/>
                <w:color w:val="000000"/>
                <w:sz w:val="16"/>
                <w:lang w:eastAsia="en-GB"/>
              </w:rPr>
              <w:t>)</w:t>
            </w:r>
          </w:p>
        </w:tc>
        <w:tc>
          <w:tcPr>
            <w:tcW w:w="406" w:type="pct"/>
            <w:tcBorders>
              <w:top w:val="single" w:sz="12" w:space="0" w:color="000000"/>
              <w:bottom w:val="single" w:sz="8" w:space="0" w:color="000000"/>
            </w:tcBorders>
            <w:shd w:val="clear" w:color="auto" w:fill="auto"/>
            <w:noWrap/>
            <w:vAlign w:val="bottom"/>
            <w:hideMark/>
          </w:tcPr>
          <w:p w14:paraId="7A81F71C" w14:textId="77777777" w:rsidR="006B0362"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Te </w:t>
            </w:r>
          </w:p>
          <w:p w14:paraId="1CE883EB" w14:textId="66F1E44E" w:rsidR="006B0362" w:rsidRPr="00201CA3" w:rsidRDefault="006B0362" w:rsidP="0031668D">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r>
              <w:rPr>
                <w:rFonts w:ascii="Times New Roman" w:eastAsia="Times New Roman" w:hAnsi="Times New Roman" w:cs="Times New Roman"/>
                <w:b/>
                <w:bCs/>
                <w:color w:val="000000"/>
                <w:sz w:val="16"/>
                <w:lang w:eastAsia="en-GB"/>
              </w:rPr>
              <w:t>STM</w:t>
            </w:r>
            <w:r w:rsidRPr="00201CA3">
              <w:rPr>
                <w:rFonts w:ascii="Times New Roman" w:eastAsia="Times New Roman" w:hAnsi="Times New Roman" w:cs="Times New Roman"/>
                <w:b/>
                <w:bCs/>
                <w:color w:val="000000"/>
                <w:sz w:val="16"/>
                <w:lang w:eastAsia="en-GB"/>
              </w:rPr>
              <w:t>)</w:t>
            </w:r>
          </w:p>
        </w:tc>
        <w:tc>
          <w:tcPr>
            <w:tcW w:w="547" w:type="pct"/>
            <w:tcBorders>
              <w:top w:val="single" w:sz="12" w:space="0" w:color="000000"/>
              <w:bottom w:val="single" w:sz="8" w:space="0" w:color="000000"/>
            </w:tcBorders>
            <w:shd w:val="clear" w:color="auto" w:fill="auto"/>
            <w:noWrap/>
            <w:vAlign w:val="bottom"/>
            <w:hideMark/>
          </w:tcPr>
          <w:p w14:paraId="1F19A2BE" w14:textId="77777777" w:rsidR="006B0362"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Vit Refl </w:t>
            </w:r>
          </w:p>
          <w:p w14:paraId="35851ABB" w14:textId="77777777" w:rsidR="006B0362" w:rsidRPr="00201CA3"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(mean R</w:t>
            </w:r>
            <w:r w:rsidRPr="00201CA3">
              <w:rPr>
                <w:rFonts w:ascii="Times New Roman" w:eastAsia="Times New Roman" w:hAnsi="Times New Roman" w:cs="Times New Roman"/>
                <w:b/>
                <w:bCs/>
                <w:color w:val="000000"/>
                <w:sz w:val="16"/>
                <w:vertAlign w:val="subscript"/>
                <w:lang w:eastAsia="en-GB"/>
              </w:rPr>
              <w:t>o</w:t>
            </w:r>
            <w:r w:rsidRPr="00201CA3">
              <w:rPr>
                <w:rFonts w:ascii="Times New Roman" w:eastAsia="Times New Roman" w:hAnsi="Times New Roman" w:cs="Times New Roman"/>
                <w:b/>
                <w:bCs/>
                <w:color w:val="000000"/>
                <w:sz w:val="16"/>
                <w:lang w:eastAsia="en-GB"/>
              </w:rPr>
              <w:t>)</w:t>
            </w:r>
          </w:p>
        </w:tc>
        <w:tc>
          <w:tcPr>
            <w:tcW w:w="341" w:type="pct"/>
            <w:tcBorders>
              <w:top w:val="single" w:sz="12" w:space="0" w:color="000000"/>
              <w:bottom w:val="single" w:sz="8" w:space="0" w:color="000000"/>
            </w:tcBorders>
            <w:shd w:val="clear" w:color="auto" w:fill="auto"/>
            <w:noWrap/>
            <w:vAlign w:val="bottom"/>
            <w:hideMark/>
          </w:tcPr>
          <w:p w14:paraId="61D345F0" w14:textId="77777777" w:rsidR="006B0362"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TOC </w:t>
            </w:r>
          </w:p>
          <w:p w14:paraId="4E5F4B41" w14:textId="012EE9C0" w:rsidR="006B0362" w:rsidRPr="00201CA3"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p>
        </w:tc>
        <w:tc>
          <w:tcPr>
            <w:tcW w:w="301" w:type="pct"/>
            <w:tcBorders>
              <w:top w:val="single" w:sz="12" w:space="0" w:color="000000"/>
              <w:bottom w:val="single" w:sz="8" w:space="0" w:color="000000"/>
            </w:tcBorders>
            <w:shd w:val="clear" w:color="auto" w:fill="auto"/>
            <w:noWrap/>
            <w:vAlign w:val="bottom"/>
            <w:hideMark/>
          </w:tcPr>
          <w:p w14:paraId="38D6D5DB" w14:textId="77777777" w:rsidR="006B0362" w:rsidRPr="00201CA3"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 xml:space="preserve">S </w:t>
            </w:r>
          </w:p>
          <w:p w14:paraId="24D6F2D9" w14:textId="77777777" w:rsidR="006B0362" w:rsidRPr="00201CA3" w:rsidRDefault="006B0362" w:rsidP="00E64979">
            <w:pPr>
              <w:spacing w:after="0" w:line="360" w:lineRule="auto"/>
              <w:jc w:val="center"/>
              <w:rPr>
                <w:rFonts w:ascii="Times New Roman" w:eastAsia="Times New Roman" w:hAnsi="Times New Roman" w:cs="Times New Roman"/>
                <w:b/>
                <w:bCs/>
                <w:color w:val="000000"/>
                <w:sz w:val="16"/>
                <w:lang w:eastAsia="en-GB"/>
              </w:rPr>
            </w:pPr>
            <w:r w:rsidRPr="00201CA3">
              <w:rPr>
                <w:rFonts w:ascii="Times New Roman" w:eastAsia="Times New Roman" w:hAnsi="Times New Roman" w:cs="Times New Roman"/>
                <w:b/>
                <w:bCs/>
                <w:color w:val="000000"/>
                <w:sz w:val="16"/>
                <w:lang w:eastAsia="en-GB"/>
              </w:rPr>
              <w:t>(%)</w:t>
            </w:r>
          </w:p>
        </w:tc>
      </w:tr>
      <w:tr w:rsidR="006B0362" w:rsidRPr="00201CA3" w14:paraId="71401176" w14:textId="77777777" w:rsidTr="006B0362">
        <w:trPr>
          <w:trHeight w:val="70"/>
        </w:trPr>
        <w:tc>
          <w:tcPr>
            <w:tcW w:w="783" w:type="pct"/>
            <w:tcBorders>
              <w:top w:val="single" w:sz="8" w:space="0" w:color="000000"/>
            </w:tcBorders>
            <w:shd w:val="clear" w:color="auto" w:fill="auto"/>
            <w:noWrap/>
            <w:vAlign w:val="bottom"/>
            <w:hideMark/>
          </w:tcPr>
          <w:p w14:paraId="61238A3E"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Fife-Stirling</w:t>
            </w:r>
          </w:p>
        </w:tc>
        <w:tc>
          <w:tcPr>
            <w:tcW w:w="829" w:type="pct"/>
            <w:tcBorders>
              <w:top w:val="single" w:sz="8" w:space="0" w:color="000000"/>
            </w:tcBorders>
          </w:tcPr>
          <w:p w14:paraId="2B7B547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Wemyss</w:t>
            </w:r>
          </w:p>
        </w:tc>
        <w:tc>
          <w:tcPr>
            <w:tcW w:w="573" w:type="pct"/>
            <w:tcBorders>
              <w:top w:val="single" w:sz="8" w:space="0" w:color="000000"/>
            </w:tcBorders>
            <w:vAlign w:val="bottom"/>
          </w:tcPr>
          <w:p w14:paraId="15AD36C2" w14:textId="23412525"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CG</w:t>
            </w:r>
          </w:p>
        </w:tc>
        <w:tc>
          <w:tcPr>
            <w:tcW w:w="406" w:type="pct"/>
            <w:tcBorders>
              <w:top w:val="single" w:sz="8" w:space="0" w:color="000000"/>
            </w:tcBorders>
            <w:shd w:val="clear" w:color="auto" w:fill="auto"/>
            <w:noWrap/>
            <w:vAlign w:val="bottom"/>
            <w:hideMark/>
          </w:tcPr>
          <w:p w14:paraId="48AA3856" w14:textId="5CED4642"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6.0</w:t>
            </w:r>
          </w:p>
        </w:tc>
        <w:tc>
          <w:tcPr>
            <w:tcW w:w="406" w:type="pct"/>
            <w:tcBorders>
              <w:top w:val="single" w:sz="8" w:space="0" w:color="000000"/>
            </w:tcBorders>
            <w:shd w:val="clear" w:color="auto" w:fill="auto"/>
            <w:noWrap/>
            <w:vAlign w:val="bottom"/>
            <w:hideMark/>
          </w:tcPr>
          <w:p w14:paraId="4540298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0.110</w:t>
            </w:r>
          </w:p>
        </w:tc>
        <w:tc>
          <w:tcPr>
            <w:tcW w:w="406" w:type="pct"/>
            <w:tcBorders>
              <w:top w:val="single" w:sz="8" w:space="0" w:color="000000"/>
            </w:tcBorders>
            <w:shd w:val="clear" w:color="auto" w:fill="auto"/>
            <w:noWrap/>
            <w:vAlign w:val="bottom"/>
            <w:hideMark/>
          </w:tcPr>
          <w:p w14:paraId="498654F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tcBorders>
              <w:top w:val="single" w:sz="8" w:space="0" w:color="000000"/>
            </w:tcBorders>
            <w:shd w:val="clear" w:color="auto" w:fill="auto"/>
            <w:noWrap/>
            <w:vAlign w:val="bottom"/>
            <w:hideMark/>
          </w:tcPr>
          <w:p w14:paraId="4177878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tcBorders>
              <w:top w:val="single" w:sz="8" w:space="0" w:color="000000"/>
            </w:tcBorders>
            <w:shd w:val="clear" w:color="auto" w:fill="auto"/>
            <w:noWrap/>
            <w:vAlign w:val="bottom"/>
            <w:hideMark/>
          </w:tcPr>
          <w:p w14:paraId="2196945E" w14:textId="2DA29F1F"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2.9</w:t>
            </w:r>
          </w:p>
        </w:tc>
        <w:tc>
          <w:tcPr>
            <w:tcW w:w="341" w:type="pct"/>
            <w:tcBorders>
              <w:top w:val="single" w:sz="8" w:space="0" w:color="000000"/>
            </w:tcBorders>
            <w:shd w:val="clear" w:color="auto" w:fill="auto"/>
            <w:noWrap/>
            <w:vAlign w:val="bottom"/>
            <w:hideMark/>
          </w:tcPr>
          <w:p w14:paraId="28C6A39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52.7</w:t>
            </w:r>
          </w:p>
        </w:tc>
        <w:tc>
          <w:tcPr>
            <w:tcW w:w="301" w:type="pct"/>
            <w:shd w:val="clear" w:color="auto" w:fill="auto"/>
            <w:noWrap/>
            <w:vAlign w:val="bottom"/>
            <w:hideMark/>
          </w:tcPr>
          <w:p w14:paraId="677E3EE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5.1</w:t>
            </w:r>
          </w:p>
        </w:tc>
      </w:tr>
      <w:tr w:rsidR="006B0362" w:rsidRPr="00201CA3" w14:paraId="6613DD4E" w14:textId="77777777" w:rsidTr="006B0362">
        <w:trPr>
          <w:trHeight w:val="165"/>
        </w:trPr>
        <w:tc>
          <w:tcPr>
            <w:tcW w:w="783" w:type="pct"/>
            <w:shd w:val="clear" w:color="auto" w:fill="auto"/>
            <w:noWrap/>
            <w:vAlign w:val="bottom"/>
            <w:hideMark/>
          </w:tcPr>
          <w:p w14:paraId="41EACB23"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Fife-Stirling</w:t>
            </w:r>
          </w:p>
        </w:tc>
        <w:tc>
          <w:tcPr>
            <w:tcW w:w="829" w:type="pct"/>
          </w:tcPr>
          <w:p w14:paraId="677FCD8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Longannet</w:t>
            </w:r>
          </w:p>
        </w:tc>
        <w:tc>
          <w:tcPr>
            <w:tcW w:w="573" w:type="pct"/>
            <w:vAlign w:val="bottom"/>
          </w:tcPr>
          <w:p w14:paraId="5E3CA502" w14:textId="0CF09D32"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CG</w:t>
            </w:r>
          </w:p>
        </w:tc>
        <w:tc>
          <w:tcPr>
            <w:tcW w:w="406" w:type="pct"/>
            <w:shd w:val="clear" w:color="auto" w:fill="auto"/>
            <w:noWrap/>
            <w:vAlign w:val="bottom"/>
            <w:hideMark/>
          </w:tcPr>
          <w:p w14:paraId="5B6F3404" w14:textId="311A6FB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1.6</w:t>
            </w:r>
          </w:p>
        </w:tc>
        <w:tc>
          <w:tcPr>
            <w:tcW w:w="406" w:type="pct"/>
            <w:shd w:val="clear" w:color="auto" w:fill="auto"/>
            <w:noWrap/>
            <w:vAlign w:val="bottom"/>
            <w:hideMark/>
          </w:tcPr>
          <w:p w14:paraId="542B663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0.013</w:t>
            </w:r>
          </w:p>
        </w:tc>
        <w:tc>
          <w:tcPr>
            <w:tcW w:w="406" w:type="pct"/>
            <w:shd w:val="clear" w:color="auto" w:fill="auto"/>
            <w:noWrap/>
            <w:vAlign w:val="bottom"/>
            <w:hideMark/>
          </w:tcPr>
          <w:p w14:paraId="1FFCB02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3BFFC60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5E5BE06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05BD2A5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50.2</w:t>
            </w:r>
          </w:p>
        </w:tc>
        <w:tc>
          <w:tcPr>
            <w:tcW w:w="301" w:type="pct"/>
            <w:shd w:val="clear" w:color="auto" w:fill="auto"/>
            <w:noWrap/>
            <w:vAlign w:val="bottom"/>
            <w:hideMark/>
          </w:tcPr>
          <w:p w14:paraId="450EDBD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0.3</w:t>
            </w:r>
          </w:p>
        </w:tc>
      </w:tr>
      <w:tr w:rsidR="006B0362" w:rsidRPr="00201CA3" w14:paraId="79D2E736" w14:textId="77777777" w:rsidTr="006B0362">
        <w:trPr>
          <w:trHeight w:val="70"/>
        </w:trPr>
        <w:tc>
          <w:tcPr>
            <w:tcW w:w="783" w:type="pct"/>
            <w:shd w:val="clear" w:color="auto" w:fill="auto"/>
            <w:noWrap/>
            <w:vAlign w:val="bottom"/>
            <w:hideMark/>
          </w:tcPr>
          <w:p w14:paraId="231DE742"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Ayrshire</w:t>
            </w:r>
          </w:p>
        </w:tc>
        <w:tc>
          <w:tcPr>
            <w:tcW w:w="829" w:type="pct"/>
          </w:tcPr>
          <w:p w14:paraId="4D3D945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Greenburn</w:t>
            </w:r>
          </w:p>
        </w:tc>
        <w:tc>
          <w:tcPr>
            <w:tcW w:w="573" w:type="pct"/>
            <w:vAlign w:val="bottom"/>
          </w:tcPr>
          <w:p w14:paraId="41B0FF33" w14:textId="763A9299"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SCM</w:t>
            </w:r>
          </w:p>
        </w:tc>
        <w:tc>
          <w:tcPr>
            <w:tcW w:w="406" w:type="pct"/>
            <w:shd w:val="clear" w:color="auto" w:fill="auto"/>
            <w:noWrap/>
            <w:vAlign w:val="bottom"/>
            <w:hideMark/>
          </w:tcPr>
          <w:p w14:paraId="70B879D1" w14:textId="57931C4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1.5</w:t>
            </w:r>
          </w:p>
        </w:tc>
        <w:tc>
          <w:tcPr>
            <w:tcW w:w="406" w:type="pct"/>
            <w:shd w:val="clear" w:color="auto" w:fill="auto"/>
            <w:noWrap/>
            <w:vAlign w:val="bottom"/>
            <w:hideMark/>
          </w:tcPr>
          <w:p w14:paraId="7026485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0.004</w:t>
            </w:r>
          </w:p>
        </w:tc>
        <w:tc>
          <w:tcPr>
            <w:tcW w:w="406" w:type="pct"/>
            <w:shd w:val="clear" w:color="auto" w:fill="auto"/>
            <w:noWrap/>
            <w:vAlign w:val="bottom"/>
            <w:hideMark/>
          </w:tcPr>
          <w:p w14:paraId="07B18CA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16E40F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3DBFB44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7E72D7A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71.8</w:t>
            </w:r>
          </w:p>
        </w:tc>
        <w:tc>
          <w:tcPr>
            <w:tcW w:w="301" w:type="pct"/>
            <w:shd w:val="clear" w:color="auto" w:fill="auto"/>
            <w:noWrap/>
            <w:vAlign w:val="bottom"/>
            <w:hideMark/>
          </w:tcPr>
          <w:p w14:paraId="16C760A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1.7</w:t>
            </w:r>
          </w:p>
        </w:tc>
      </w:tr>
      <w:tr w:rsidR="006B0362" w:rsidRPr="00201CA3" w14:paraId="0D19396C" w14:textId="77777777" w:rsidTr="006B0362">
        <w:trPr>
          <w:trHeight w:val="117"/>
        </w:trPr>
        <w:tc>
          <w:tcPr>
            <w:tcW w:w="783" w:type="pct"/>
            <w:shd w:val="clear" w:color="auto" w:fill="auto"/>
            <w:noWrap/>
            <w:vAlign w:val="bottom"/>
            <w:hideMark/>
          </w:tcPr>
          <w:p w14:paraId="2AFD03F2"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Ayrshire</w:t>
            </w:r>
          </w:p>
        </w:tc>
        <w:tc>
          <w:tcPr>
            <w:tcW w:w="829" w:type="pct"/>
          </w:tcPr>
          <w:p w14:paraId="478D222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Netherton</w:t>
            </w:r>
          </w:p>
        </w:tc>
        <w:tc>
          <w:tcPr>
            <w:tcW w:w="573" w:type="pct"/>
            <w:vAlign w:val="bottom"/>
          </w:tcPr>
          <w:p w14:paraId="7EC0B634" w14:textId="6B67F144"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SCM</w:t>
            </w:r>
          </w:p>
        </w:tc>
        <w:tc>
          <w:tcPr>
            <w:tcW w:w="406" w:type="pct"/>
            <w:shd w:val="clear" w:color="auto" w:fill="auto"/>
            <w:noWrap/>
            <w:vAlign w:val="bottom"/>
            <w:hideMark/>
          </w:tcPr>
          <w:p w14:paraId="106DE087" w14:textId="3E3B29D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406" w:type="pct"/>
            <w:shd w:val="clear" w:color="auto" w:fill="auto"/>
            <w:noWrap/>
            <w:vAlign w:val="bottom"/>
            <w:hideMark/>
          </w:tcPr>
          <w:p w14:paraId="624B591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0.020</w:t>
            </w:r>
          </w:p>
        </w:tc>
        <w:tc>
          <w:tcPr>
            <w:tcW w:w="406" w:type="pct"/>
            <w:shd w:val="clear" w:color="auto" w:fill="auto"/>
            <w:noWrap/>
            <w:vAlign w:val="bottom"/>
            <w:hideMark/>
          </w:tcPr>
          <w:p w14:paraId="7FA563C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6F0B6E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5BA4D8F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5E234B0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71.6</w:t>
            </w:r>
          </w:p>
        </w:tc>
        <w:tc>
          <w:tcPr>
            <w:tcW w:w="301" w:type="pct"/>
            <w:shd w:val="clear" w:color="auto" w:fill="auto"/>
            <w:noWrap/>
            <w:vAlign w:val="bottom"/>
            <w:hideMark/>
          </w:tcPr>
          <w:p w14:paraId="0B02FFB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1.1</w:t>
            </w:r>
          </w:p>
        </w:tc>
      </w:tr>
      <w:tr w:rsidR="006B0362" w:rsidRPr="00201CA3" w14:paraId="5F0F323B" w14:textId="77777777" w:rsidTr="006B0362">
        <w:trPr>
          <w:trHeight w:val="93"/>
        </w:trPr>
        <w:tc>
          <w:tcPr>
            <w:tcW w:w="783" w:type="pct"/>
            <w:shd w:val="clear" w:color="auto" w:fill="auto"/>
            <w:noWrap/>
            <w:vAlign w:val="bottom"/>
            <w:hideMark/>
          </w:tcPr>
          <w:p w14:paraId="1BBC9637"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Cumberland</w:t>
            </w:r>
          </w:p>
        </w:tc>
        <w:tc>
          <w:tcPr>
            <w:tcW w:w="829" w:type="pct"/>
          </w:tcPr>
          <w:p w14:paraId="2CDB756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Bing</w:t>
            </w:r>
          </w:p>
        </w:tc>
        <w:tc>
          <w:tcPr>
            <w:tcW w:w="573" w:type="pct"/>
            <w:vAlign w:val="bottom"/>
          </w:tcPr>
          <w:p w14:paraId="1C8FB980" w14:textId="02CC80FF"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w:t>
            </w:r>
            <w:r w:rsidR="006B0362" w:rsidRPr="00426C2D">
              <w:rPr>
                <w:sz w:val="16"/>
                <w:szCs w:val="16"/>
              </w:rPr>
              <w:t>CM</w:t>
            </w:r>
          </w:p>
        </w:tc>
        <w:tc>
          <w:tcPr>
            <w:tcW w:w="406" w:type="pct"/>
            <w:shd w:val="clear" w:color="auto" w:fill="auto"/>
            <w:noWrap/>
            <w:vAlign w:val="bottom"/>
            <w:hideMark/>
          </w:tcPr>
          <w:p w14:paraId="086E1E1A" w14:textId="421AE35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1.0</w:t>
            </w:r>
          </w:p>
        </w:tc>
        <w:tc>
          <w:tcPr>
            <w:tcW w:w="406" w:type="pct"/>
            <w:shd w:val="clear" w:color="auto" w:fill="auto"/>
            <w:noWrap/>
            <w:vAlign w:val="bottom"/>
            <w:hideMark/>
          </w:tcPr>
          <w:p w14:paraId="038590E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0.014</w:t>
            </w:r>
          </w:p>
        </w:tc>
        <w:tc>
          <w:tcPr>
            <w:tcW w:w="406" w:type="pct"/>
            <w:shd w:val="clear" w:color="auto" w:fill="auto"/>
            <w:noWrap/>
            <w:vAlign w:val="bottom"/>
            <w:hideMark/>
          </w:tcPr>
          <w:p w14:paraId="3614D65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1.4</w:t>
            </w:r>
          </w:p>
        </w:tc>
        <w:tc>
          <w:tcPr>
            <w:tcW w:w="406" w:type="pct"/>
            <w:shd w:val="clear" w:color="auto" w:fill="auto"/>
            <w:noWrap/>
            <w:vAlign w:val="bottom"/>
            <w:hideMark/>
          </w:tcPr>
          <w:p w14:paraId="5870B5E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770046DF" w14:textId="4414A0B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hideMark/>
          </w:tcPr>
          <w:p w14:paraId="60ABC9E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54.0</w:t>
            </w:r>
          </w:p>
        </w:tc>
        <w:tc>
          <w:tcPr>
            <w:tcW w:w="301" w:type="pct"/>
            <w:shd w:val="clear" w:color="auto" w:fill="auto"/>
            <w:noWrap/>
            <w:vAlign w:val="bottom"/>
            <w:hideMark/>
          </w:tcPr>
          <w:p w14:paraId="396E7F1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r>
      <w:tr w:rsidR="006B0362" w:rsidRPr="00201CA3" w14:paraId="5BB090BC" w14:textId="77777777" w:rsidTr="006B0362">
        <w:trPr>
          <w:trHeight w:val="70"/>
        </w:trPr>
        <w:tc>
          <w:tcPr>
            <w:tcW w:w="783" w:type="pct"/>
            <w:shd w:val="clear" w:color="auto" w:fill="auto"/>
            <w:noWrap/>
            <w:vAlign w:val="bottom"/>
            <w:hideMark/>
          </w:tcPr>
          <w:p w14:paraId="6506F233"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Cumberland</w:t>
            </w:r>
          </w:p>
        </w:tc>
        <w:tc>
          <w:tcPr>
            <w:tcW w:w="829" w:type="pct"/>
          </w:tcPr>
          <w:p w14:paraId="5686768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Flimby</w:t>
            </w:r>
          </w:p>
        </w:tc>
        <w:tc>
          <w:tcPr>
            <w:tcW w:w="573" w:type="pct"/>
            <w:vAlign w:val="bottom"/>
          </w:tcPr>
          <w:p w14:paraId="442F3D3D" w14:textId="3F48F873"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w:t>
            </w:r>
            <w:r w:rsidR="006B0362" w:rsidRPr="00426C2D">
              <w:rPr>
                <w:sz w:val="16"/>
                <w:szCs w:val="16"/>
              </w:rPr>
              <w:t>CM</w:t>
            </w:r>
          </w:p>
        </w:tc>
        <w:tc>
          <w:tcPr>
            <w:tcW w:w="406" w:type="pct"/>
            <w:shd w:val="clear" w:color="auto" w:fill="auto"/>
            <w:noWrap/>
            <w:vAlign w:val="bottom"/>
            <w:hideMark/>
          </w:tcPr>
          <w:p w14:paraId="1E881204" w14:textId="50CC2EE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0.4</w:t>
            </w:r>
          </w:p>
        </w:tc>
        <w:tc>
          <w:tcPr>
            <w:tcW w:w="406" w:type="pct"/>
            <w:shd w:val="clear" w:color="auto" w:fill="auto"/>
            <w:noWrap/>
            <w:vAlign w:val="bottom"/>
            <w:hideMark/>
          </w:tcPr>
          <w:p w14:paraId="6527EBE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0.004</w:t>
            </w:r>
          </w:p>
        </w:tc>
        <w:tc>
          <w:tcPr>
            <w:tcW w:w="406" w:type="pct"/>
            <w:shd w:val="clear" w:color="auto" w:fill="auto"/>
            <w:noWrap/>
            <w:vAlign w:val="bottom"/>
            <w:hideMark/>
          </w:tcPr>
          <w:p w14:paraId="479215E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A5FD52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59801706" w14:textId="5336916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0.8</w:t>
            </w:r>
          </w:p>
        </w:tc>
        <w:tc>
          <w:tcPr>
            <w:tcW w:w="341" w:type="pct"/>
            <w:shd w:val="clear" w:color="auto" w:fill="auto"/>
            <w:noWrap/>
            <w:vAlign w:val="bottom"/>
            <w:hideMark/>
          </w:tcPr>
          <w:p w14:paraId="2200185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79.7</w:t>
            </w:r>
          </w:p>
        </w:tc>
        <w:tc>
          <w:tcPr>
            <w:tcW w:w="301" w:type="pct"/>
            <w:shd w:val="clear" w:color="auto" w:fill="auto"/>
            <w:noWrap/>
            <w:vAlign w:val="bottom"/>
            <w:hideMark/>
          </w:tcPr>
          <w:p w14:paraId="78B1E52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r>
      <w:tr w:rsidR="006B0362" w:rsidRPr="00201CA3" w14:paraId="4EFABB49" w14:textId="77777777" w:rsidTr="006B0362">
        <w:trPr>
          <w:trHeight w:val="70"/>
        </w:trPr>
        <w:tc>
          <w:tcPr>
            <w:tcW w:w="783" w:type="pct"/>
            <w:shd w:val="clear" w:color="auto" w:fill="auto"/>
            <w:noWrap/>
            <w:vAlign w:val="bottom"/>
            <w:hideMark/>
          </w:tcPr>
          <w:p w14:paraId="1FAD637A"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Yorkshire</w:t>
            </w:r>
          </w:p>
        </w:tc>
        <w:tc>
          <w:tcPr>
            <w:tcW w:w="829" w:type="pct"/>
          </w:tcPr>
          <w:p w14:paraId="59CDF75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Kellingley</w:t>
            </w:r>
          </w:p>
        </w:tc>
        <w:tc>
          <w:tcPr>
            <w:tcW w:w="573" w:type="pct"/>
            <w:vAlign w:val="bottom"/>
          </w:tcPr>
          <w:p w14:paraId="2042EF2B" w14:textId="3AACD192"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U</w:t>
            </w:r>
            <w:r w:rsidR="006B0362" w:rsidRPr="00426C2D">
              <w:rPr>
                <w:sz w:val="16"/>
                <w:szCs w:val="16"/>
              </w:rPr>
              <w:t>CM</w:t>
            </w:r>
          </w:p>
        </w:tc>
        <w:tc>
          <w:tcPr>
            <w:tcW w:w="406" w:type="pct"/>
            <w:shd w:val="clear" w:color="auto" w:fill="auto"/>
            <w:noWrap/>
            <w:vAlign w:val="bottom"/>
            <w:hideMark/>
          </w:tcPr>
          <w:p w14:paraId="4DC40660" w14:textId="634D1C4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1.0</w:t>
            </w:r>
          </w:p>
        </w:tc>
        <w:tc>
          <w:tcPr>
            <w:tcW w:w="406" w:type="pct"/>
            <w:shd w:val="clear" w:color="auto" w:fill="auto"/>
            <w:noWrap/>
            <w:vAlign w:val="bottom"/>
            <w:hideMark/>
          </w:tcPr>
          <w:p w14:paraId="743575F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0.014</w:t>
            </w:r>
          </w:p>
        </w:tc>
        <w:tc>
          <w:tcPr>
            <w:tcW w:w="406" w:type="pct"/>
            <w:shd w:val="clear" w:color="auto" w:fill="auto"/>
            <w:noWrap/>
            <w:vAlign w:val="bottom"/>
            <w:hideMark/>
          </w:tcPr>
          <w:p w14:paraId="41FAECC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1.8</w:t>
            </w:r>
          </w:p>
        </w:tc>
        <w:tc>
          <w:tcPr>
            <w:tcW w:w="406" w:type="pct"/>
            <w:shd w:val="clear" w:color="auto" w:fill="auto"/>
            <w:noWrap/>
            <w:vAlign w:val="bottom"/>
            <w:hideMark/>
          </w:tcPr>
          <w:p w14:paraId="52597D2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0.02</w:t>
            </w:r>
          </w:p>
        </w:tc>
        <w:tc>
          <w:tcPr>
            <w:tcW w:w="547" w:type="pct"/>
            <w:shd w:val="clear" w:color="auto" w:fill="auto"/>
            <w:noWrap/>
            <w:vAlign w:val="bottom"/>
            <w:hideMark/>
          </w:tcPr>
          <w:p w14:paraId="4E23479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341" w:type="pct"/>
            <w:shd w:val="clear" w:color="auto" w:fill="auto"/>
            <w:noWrap/>
            <w:vAlign w:val="bottom"/>
            <w:hideMark/>
          </w:tcPr>
          <w:p w14:paraId="3A7E407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60.5</w:t>
            </w:r>
          </w:p>
        </w:tc>
        <w:tc>
          <w:tcPr>
            <w:tcW w:w="301" w:type="pct"/>
            <w:shd w:val="clear" w:color="auto" w:fill="auto"/>
            <w:noWrap/>
            <w:vAlign w:val="bottom"/>
            <w:hideMark/>
          </w:tcPr>
          <w:p w14:paraId="187B586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2.2</w:t>
            </w:r>
          </w:p>
        </w:tc>
      </w:tr>
      <w:tr w:rsidR="006B0362" w:rsidRPr="00201CA3" w14:paraId="7290EBFB" w14:textId="77777777" w:rsidTr="006B0362">
        <w:trPr>
          <w:trHeight w:val="149"/>
        </w:trPr>
        <w:tc>
          <w:tcPr>
            <w:tcW w:w="783" w:type="pct"/>
            <w:shd w:val="clear" w:color="auto" w:fill="auto"/>
            <w:noWrap/>
            <w:vAlign w:val="bottom"/>
            <w:hideMark/>
          </w:tcPr>
          <w:p w14:paraId="03EFB9E3"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Derbyshire</w:t>
            </w:r>
          </w:p>
        </w:tc>
        <w:tc>
          <w:tcPr>
            <w:tcW w:w="829" w:type="pct"/>
          </w:tcPr>
          <w:p w14:paraId="1EBAEF3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Creswell</w:t>
            </w:r>
          </w:p>
        </w:tc>
        <w:tc>
          <w:tcPr>
            <w:tcW w:w="573" w:type="pct"/>
            <w:vAlign w:val="bottom"/>
          </w:tcPr>
          <w:p w14:paraId="5A86319A" w14:textId="324BD81B"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w:t>
            </w:r>
            <w:r w:rsidR="006B0362" w:rsidRPr="00426C2D">
              <w:rPr>
                <w:sz w:val="16"/>
                <w:szCs w:val="16"/>
              </w:rPr>
              <w:t>CM</w:t>
            </w:r>
          </w:p>
        </w:tc>
        <w:tc>
          <w:tcPr>
            <w:tcW w:w="406" w:type="pct"/>
            <w:shd w:val="clear" w:color="auto" w:fill="auto"/>
            <w:noWrap/>
            <w:vAlign w:val="bottom"/>
            <w:hideMark/>
          </w:tcPr>
          <w:p w14:paraId="6095EBD1" w14:textId="42DE0582"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0.3</w:t>
            </w:r>
          </w:p>
        </w:tc>
        <w:tc>
          <w:tcPr>
            <w:tcW w:w="406" w:type="pct"/>
            <w:shd w:val="clear" w:color="auto" w:fill="auto"/>
            <w:noWrap/>
            <w:vAlign w:val="bottom"/>
            <w:hideMark/>
          </w:tcPr>
          <w:p w14:paraId="72848A6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0.012</w:t>
            </w:r>
          </w:p>
        </w:tc>
        <w:tc>
          <w:tcPr>
            <w:tcW w:w="406" w:type="pct"/>
            <w:shd w:val="clear" w:color="auto" w:fill="auto"/>
            <w:noWrap/>
            <w:vAlign w:val="bottom"/>
            <w:hideMark/>
          </w:tcPr>
          <w:p w14:paraId="61BDF38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F34236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1E3E604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0.9</w:t>
            </w:r>
          </w:p>
        </w:tc>
        <w:tc>
          <w:tcPr>
            <w:tcW w:w="341" w:type="pct"/>
            <w:shd w:val="clear" w:color="auto" w:fill="auto"/>
            <w:noWrap/>
            <w:vAlign w:val="bottom"/>
            <w:hideMark/>
          </w:tcPr>
          <w:p w14:paraId="5A00A9C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60.2</w:t>
            </w:r>
          </w:p>
        </w:tc>
        <w:tc>
          <w:tcPr>
            <w:tcW w:w="301" w:type="pct"/>
            <w:shd w:val="clear" w:color="auto" w:fill="auto"/>
            <w:noWrap/>
            <w:vAlign w:val="bottom"/>
            <w:hideMark/>
          </w:tcPr>
          <w:p w14:paraId="667D5E2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1.1</w:t>
            </w:r>
          </w:p>
        </w:tc>
      </w:tr>
      <w:tr w:rsidR="006B0362" w:rsidRPr="00201CA3" w14:paraId="07AD2A7F" w14:textId="77777777" w:rsidTr="006B0362">
        <w:trPr>
          <w:trHeight w:val="125"/>
        </w:trPr>
        <w:tc>
          <w:tcPr>
            <w:tcW w:w="783" w:type="pct"/>
            <w:shd w:val="clear" w:color="auto" w:fill="auto"/>
            <w:noWrap/>
            <w:vAlign w:val="bottom"/>
            <w:hideMark/>
          </w:tcPr>
          <w:p w14:paraId="3CB9EDC7"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North Wales</w:t>
            </w:r>
          </w:p>
        </w:tc>
        <w:tc>
          <w:tcPr>
            <w:tcW w:w="829" w:type="pct"/>
          </w:tcPr>
          <w:p w14:paraId="43E3ACD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Point of Ayr</w:t>
            </w:r>
          </w:p>
        </w:tc>
        <w:tc>
          <w:tcPr>
            <w:tcW w:w="573" w:type="pct"/>
            <w:vAlign w:val="bottom"/>
          </w:tcPr>
          <w:p w14:paraId="054DB063" w14:textId="08F672FE"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797469FE" w14:textId="6929D7EE"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1.7</w:t>
            </w:r>
          </w:p>
        </w:tc>
        <w:tc>
          <w:tcPr>
            <w:tcW w:w="406" w:type="pct"/>
            <w:shd w:val="clear" w:color="auto" w:fill="auto"/>
            <w:noWrap/>
            <w:vAlign w:val="bottom"/>
            <w:hideMark/>
          </w:tcPr>
          <w:p w14:paraId="0213239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0.020</w:t>
            </w:r>
          </w:p>
        </w:tc>
        <w:tc>
          <w:tcPr>
            <w:tcW w:w="406" w:type="pct"/>
            <w:shd w:val="clear" w:color="auto" w:fill="auto"/>
            <w:noWrap/>
            <w:vAlign w:val="bottom"/>
            <w:hideMark/>
          </w:tcPr>
          <w:p w14:paraId="334859E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79ADBFC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19A3CD8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c>
          <w:tcPr>
            <w:tcW w:w="341" w:type="pct"/>
            <w:shd w:val="clear" w:color="auto" w:fill="auto"/>
            <w:noWrap/>
            <w:vAlign w:val="bottom"/>
            <w:hideMark/>
          </w:tcPr>
          <w:p w14:paraId="3C10746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57.0</w:t>
            </w:r>
          </w:p>
        </w:tc>
        <w:tc>
          <w:tcPr>
            <w:tcW w:w="301" w:type="pct"/>
            <w:shd w:val="clear" w:color="auto" w:fill="auto"/>
            <w:noWrap/>
            <w:vAlign w:val="bottom"/>
            <w:hideMark/>
          </w:tcPr>
          <w:p w14:paraId="5E4E94B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r>
      <w:tr w:rsidR="006B0362" w:rsidRPr="00201CA3" w14:paraId="51DA6C88" w14:textId="77777777" w:rsidTr="006B0362">
        <w:trPr>
          <w:trHeight w:val="102"/>
        </w:trPr>
        <w:tc>
          <w:tcPr>
            <w:tcW w:w="783" w:type="pct"/>
            <w:shd w:val="clear" w:color="auto" w:fill="auto"/>
            <w:noWrap/>
            <w:vAlign w:val="bottom"/>
            <w:hideMark/>
          </w:tcPr>
          <w:p w14:paraId="19440C14"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Nottinghamshire</w:t>
            </w:r>
          </w:p>
        </w:tc>
        <w:tc>
          <w:tcPr>
            <w:tcW w:w="829" w:type="pct"/>
          </w:tcPr>
          <w:p w14:paraId="629008B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Cotham</w:t>
            </w:r>
          </w:p>
        </w:tc>
        <w:tc>
          <w:tcPr>
            <w:tcW w:w="573" w:type="pct"/>
            <w:vAlign w:val="bottom"/>
          </w:tcPr>
          <w:p w14:paraId="608BC867" w14:textId="1613998D"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53934ECD" w14:textId="1074812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5.3</w:t>
            </w:r>
          </w:p>
        </w:tc>
        <w:tc>
          <w:tcPr>
            <w:tcW w:w="406" w:type="pct"/>
            <w:shd w:val="clear" w:color="auto" w:fill="auto"/>
            <w:noWrap/>
            <w:vAlign w:val="bottom"/>
            <w:hideMark/>
          </w:tcPr>
          <w:p w14:paraId="5542E51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0.070</w:t>
            </w:r>
          </w:p>
        </w:tc>
        <w:tc>
          <w:tcPr>
            <w:tcW w:w="406" w:type="pct"/>
            <w:shd w:val="clear" w:color="auto" w:fill="auto"/>
            <w:noWrap/>
            <w:vAlign w:val="bottom"/>
            <w:hideMark/>
          </w:tcPr>
          <w:p w14:paraId="025B7C4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ABC3A6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7218CC7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c>
          <w:tcPr>
            <w:tcW w:w="341" w:type="pct"/>
            <w:shd w:val="clear" w:color="auto" w:fill="auto"/>
            <w:noWrap/>
            <w:vAlign w:val="bottom"/>
            <w:hideMark/>
          </w:tcPr>
          <w:p w14:paraId="3C68122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64.8</w:t>
            </w:r>
          </w:p>
        </w:tc>
        <w:tc>
          <w:tcPr>
            <w:tcW w:w="301" w:type="pct"/>
            <w:shd w:val="clear" w:color="auto" w:fill="auto"/>
            <w:noWrap/>
            <w:vAlign w:val="bottom"/>
            <w:hideMark/>
          </w:tcPr>
          <w:p w14:paraId="7F8CA67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0.9</w:t>
            </w:r>
          </w:p>
        </w:tc>
      </w:tr>
      <w:tr w:rsidR="006B0362" w:rsidRPr="00201CA3" w14:paraId="67592CA5" w14:textId="77777777" w:rsidTr="006B0362">
        <w:trPr>
          <w:trHeight w:val="77"/>
        </w:trPr>
        <w:tc>
          <w:tcPr>
            <w:tcW w:w="783" w:type="pct"/>
            <w:shd w:val="clear" w:color="auto" w:fill="auto"/>
            <w:noWrap/>
            <w:vAlign w:val="bottom"/>
            <w:hideMark/>
          </w:tcPr>
          <w:p w14:paraId="438286D5"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Nottinghamshire</w:t>
            </w:r>
          </w:p>
        </w:tc>
        <w:tc>
          <w:tcPr>
            <w:tcW w:w="829" w:type="pct"/>
          </w:tcPr>
          <w:p w14:paraId="017B62A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Gedling</w:t>
            </w:r>
          </w:p>
        </w:tc>
        <w:tc>
          <w:tcPr>
            <w:tcW w:w="573" w:type="pct"/>
            <w:vAlign w:val="bottom"/>
          </w:tcPr>
          <w:p w14:paraId="5F2B27B1" w14:textId="3F3602BB"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7FD0F201" w14:textId="6D93EE5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0.3</w:t>
            </w:r>
          </w:p>
        </w:tc>
        <w:tc>
          <w:tcPr>
            <w:tcW w:w="406" w:type="pct"/>
            <w:shd w:val="clear" w:color="auto" w:fill="auto"/>
            <w:noWrap/>
            <w:vAlign w:val="bottom"/>
            <w:hideMark/>
          </w:tcPr>
          <w:p w14:paraId="0DE10A6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0.009</w:t>
            </w:r>
          </w:p>
        </w:tc>
        <w:tc>
          <w:tcPr>
            <w:tcW w:w="406" w:type="pct"/>
            <w:shd w:val="clear" w:color="auto" w:fill="auto"/>
            <w:noWrap/>
            <w:vAlign w:val="bottom"/>
            <w:hideMark/>
          </w:tcPr>
          <w:p w14:paraId="0D59A70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369908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43DB8FB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c>
          <w:tcPr>
            <w:tcW w:w="341" w:type="pct"/>
            <w:shd w:val="clear" w:color="auto" w:fill="auto"/>
            <w:noWrap/>
            <w:vAlign w:val="bottom"/>
            <w:hideMark/>
          </w:tcPr>
          <w:p w14:paraId="5924800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67.2</w:t>
            </w:r>
          </w:p>
        </w:tc>
        <w:tc>
          <w:tcPr>
            <w:tcW w:w="301" w:type="pct"/>
            <w:shd w:val="clear" w:color="auto" w:fill="auto"/>
            <w:noWrap/>
            <w:vAlign w:val="bottom"/>
            <w:hideMark/>
          </w:tcPr>
          <w:p w14:paraId="6850304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r>
      <w:tr w:rsidR="006B0362" w:rsidRPr="00201CA3" w14:paraId="54A47596" w14:textId="77777777" w:rsidTr="006B0362">
        <w:trPr>
          <w:trHeight w:val="70"/>
        </w:trPr>
        <w:tc>
          <w:tcPr>
            <w:tcW w:w="783" w:type="pct"/>
            <w:shd w:val="clear" w:color="auto" w:fill="auto"/>
            <w:noWrap/>
            <w:vAlign w:val="bottom"/>
            <w:hideMark/>
          </w:tcPr>
          <w:p w14:paraId="6312A4C2"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Leicestershire</w:t>
            </w:r>
          </w:p>
        </w:tc>
        <w:tc>
          <w:tcPr>
            <w:tcW w:w="829" w:type="pct"/>
          </w:tcPr>
          <w:p w14:paraId="5D47991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Asfordby</w:t>
            </w:r>
          </w:p>
        </w:tc>
        <w:tc>
          <w:tcPr>
            <w:tcW w:w="573" w:type="pct"/>
            <w:vAlign w:val="bottom"/>
          </w:tcPr>
          <w:p w14:paraId="7F5529D9" w14:textId="0F72B929"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432E0348" w14:textId="159E920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3.6</w:t>
            </w:r>
          </w:p>
        </w:tc>
        <w:tc>
          <w:tcPr>
            <w:tcW w:w="406" w:type="pct"/>
            <w:shd w:val="clear" w:color="auto" w:fill="auto"/>
            <w:noWrap/>
            <w:vAlign w:val="bottom"/>
            <w:hideMark/>
          </w:tcPr>
          <w:p w14:paraId="5740B84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0.030</w:t>
            </w:r>
          </w:p>
        </w:tc>
        <w:tc>
          <w:tcPr>
            <w:tcW w:w="406" w:type="pct"/>
            <w:shd w:val="clear" w:color="auto" w:fill="auto"/>
            <w:noWrap/>
            <w:vAlign w:val="bottom"/>
            <w:hideMark/>
          </w:tcPr>
          <w:p w14:paraId="68EB1EF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F0FBE0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39F9D34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c>
          <w:tcPr>
            <w:tcW w:w="341" w:type="pct"/>
            <w:shd w:val="clear" w:color="auto" w:fill="auto"/>
            <w:noWrap/>
            <w:vAlign w:val="bottom"/>
            <w:hideMark/>
          </w:tcPr>
          <w:p w14:paraId="402B489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53.9</w:t>
            </w:r>
          </w:p>
        </w:tc>
        <w:tc>
          <w:tcPr>
            <w:tcW w:w="301" w:type="pct"/>
            <w:shd w:val="clear" w:color="auto" w:fill="auto"/>
            <w:noWrap/>
            <w:vAlign w:val="bottom"/>
            <w:hideMark/>
          </w:tcPr>
          <w:p w14:paraId="578CEE7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r>
      <w:tr w:rsidR="006B0362" w:rsidRPr="00201CA3" w14:paraId="6D7AA30F" w14:textId="77777777" w:rsidTr="006B0362">
        <w:trPr>
          <w:trHeight w:val="171"/>
        </w:trPr>
        <w:tc>
          <w:tcPr>
            <w:tcW w:w="783" w:type="pct"/>
            <w:shd w:val="clear" w:color="auto" w:fill="auto"/>
            <w:noWrap/>
            <w:vAlign w:val="bottom"/>
            <w:hideMark/>
          </w:tcPr>
          <w:p w14:paraId="443FE418"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Leicestershire</w:t>
            </w:r>
          </w:p>
        </w:tc>
        <w:tc>
          <w:tcPr>
            <w:tcW w:w="829" w:type="pct"/>
          </w:tcPr>
          <w:p w14:paraId="621E361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Minorca</w:t>
            </w:r>
          </w:p>
        </w:tc>
        <w:tc>
          <w:tcPr>
            <w:tcW w:w="573" w:type="pct"/>
            <w:vAlign w:val="bottom"/>
          </w:tcPr>
          <w:p w14:paraId="2D12E609" w14:textId="581096B6"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64DF8634" w14:textId="01336E1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1.1</w:t>
            </w:r>
          </w:p>
        </w:tc>
        <w:tc>
          <w:tcPr>
            <w:tcW w:w="406" w:type="pct"/>
            <w:shd w:val="clear" w:color="auto" w:fill="auto"/>
            <w:noWrap/>
            <w:vAlign w:val="bottom"/>
            <w:hideMark/>
          </w:tcPr>
          <w:p w14:paraId="6E2C67C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0.018</w:t>
            </w:r>
          </w:p>
        </w:tc>
        <w:tc>
          <w:tcPr>
            <w:tcW w:w="406" w:type="pct"/>
            <w:shd w:val="clear" w:color="auto" w:fill="auto"/>
            <w:noWrap/>
            <w:vAlign w:val="bottom"/>
            <w:hideMark/>
          </w:tcPr>
          <w:p w14:paraId="38965D4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0.9</w:t>
            </w:r>
          </w:p>
        </w:tc>
        <w:tc>
          <w:tcPr>
            <w:tcW w:w="406" w:type="pct"/>
            <w:shd w:val="clear" w:color="auto" w:fill="auto"/>
            <w:noWrap/>
            <w:vAlign w:val="bottom"/>
            <w:hideMark/>
          </w:tcPr>
          <w:p w14:paraId="7B84CC0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3094DA1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c>
          <w:tcPr>
            <w:tcW w:w="341" w:type="pct"/>
            <w:shd w:val="clear" w:color="auto" w:fill="auto"/>
            <w:noWrap/>
            <w:vAlign w:val="bottom"/>
            <w:hideMark/>
          </w:tcPr>
          <w:p w14:paraId="597FE71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56.1</w:t>
            </w:r>
          </w:p>
        </w:tc>
        <w:tc>
          <w:tcPr>
            <w:tcW w:w="301" w:type="pct"/>
            <w:shd w:val="clear" w:color="auto" w:fill="auto"/>
            <w:noWrap/>
            <w:vAlign w:val="bottom"/>
            <w:hideMark/>
          </w:tcPr>
          <w:p w14:paraId="1AD160C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r>
      <w:tr w:rsidR="006B0362" w:rsidRPr="00201CA3" w14:paraId="79687897" w14:textId="77777777" w:rsidTr="006B0362">
        <w:trPr>
          <w:trHeight w:val="134"/>
        </w:trPr>
        <w:tc>
          <w:tcPr>
            <w:tcW w:w="783" w:type="pct"/>
            <w:shd w:val="clear" w:color="auto" w:fill="auto"/>
            <w:noWrap/>
            <w:vAlign w:val="bottom"/>
            <w:hideMark/>
          </w:tcPr>
          <w:p w14:paraId="14CE5E74" w14:textId="5342F4E1"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Staffordshire</w:t>
            </w:r>
          </w:p>
        </w:tc>
        <w:tc>
          <w:tcPr>
            <w:tcW w:w="829" w:type="pct"/>
          </w:tcPr>
          <w:p w14:paraId="4C0A401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Lea Hall</w:t>
            </w:r>
          </w:p>
        </w:tc>
        <w:tc>
          <w:tcPr>
            <w:tcW w:w="573" w:type="pct"/>
            <w:vAlign w:val="bottom"/>
          </w:tcPr>
          <w:p w14:paraId="78CFB61D" w14:textId="51EEC36D"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w:t>
            </w:r>
            <w:r w:rsidR="006B0362" w:rsidRPr="00426C2D">
              <w:rPr>
                <w:sz w:val="16"/>
                <w:szCs w:val="16"/>
              </w:rPr>
              <w:t>CM</w:t>
            </w:r>
          </w:p>
        </w:tc>
        <w:tc>
          <w:tcPr>
            <w:tcW w:w="406" w:type="pct"/>
            <w:shd w:val="clear" w:color="auto" w:fill="auto"/>
            <w:noWrap/>
            <w:vAlign w:val="bottom"/>
            <w:hideMark/>
          </w:tcPr>
          <w:p w14:paraId="0143D35F" w14:textId="490FA8E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406" w:type="pct"/>
            <w:shd w:val="clear" w:color="auto" w:fill="auto"/>
            <w:noWrap/>
            <w:vAlign w:val="bottom"/>
            <w:hideMark/>
          </w:tcPr>
          <w:p w14:paraId="2210A1D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0.004</w:t>
            </w:r>
          </w:p>
        </w:tc>
        <w:tc>
          <w:tcPr>
            <w:tcW w:w="406" w:type="pct"/>
            <w:shd w:val="clear" w:color="auto" w:fill="auto"/>
            <w:noWrap/>
            <w:vAlign w:val="bottom"/>
            <w:hideMark/>
          </w:tcPr>
          <w:p w14:paraId="731E06D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61F8E82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24EF802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131348E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63.4</w:t>
            </w:r>
          </w:p>
        </w:tc>
        <w:tc>
          <w:tcPr>
            <w:tcW w:w="301" w:type="pct"/>
            <w:shd w:val="clear" w:color="auto" w:fill="auto"/>
            <w:noWrap/>
            <w:vAlign w:val="bottom"/>
            <w:hideMark/>
          </w:tcPr>
          <w:p w14:paraId="65E0BAB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r>
      <w:tr w:rsidR="006B0362" w:rsidRPr="00201CA3" w14:paraId="6B330B50" w14:textId="77777777" w:rsidTr="006B0362">
        <w:trPr>
          <w:trHeight w:val="109"/>
        </w:trPr>
        <w:tc>
          <w:tcPr>
            <w:tcW w:w="783" w:type="pct"/>
            <w:shd w:val="clear" w:color="auto" w:fill="auto"/>
            <w:noWrap/>
            <w:vAlign w:val="bottom"/>
            <w:hideMark/>
          </w:tcPr>
          <w:p w14:paraId="37E71ED5"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Warwickshire</w:t>
            </w:r>
          </w:p>
        </w:tc>
        <w:tc>
          <w:tcPr>
            <w:tcW w:w="829" w:type="pct"/>
          </w:tcPr>
          <w:p w14:paraId="3896B37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Baddesley</w:t>
            </w:r>
          </w:p>
        </w:tc>
        <w:tc>
          <w:tcPr>
            <w:tcW w:w="573" w:type="pct"/>
            <w:vAlign w:val="bottom"/>
          </w:tcPr>
          <w:p w14:paraId="025E9DF6" w14:textId="77743A74"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3992D3D1" w14:textId="538A795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1.5</w:t>
            </w:r>
          </w:p>
        </w:tc>
        <w:tc>
          <w:tcPr>
            <w:tcW w:w="406" w:type="pct"/>
            <w:shd w:val="clear" w:color="auto" w:fill="auto"/>
            <w:noWrap/>
            <w:vAlign w:val="bottom"/>
            <w:hideMark/>
          </w:tcPr>
          <w:p w14:paraId="50D4C9F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0.016</w:t>
            </w:r>
          </w:p>
        </w:tc>
        <w:tc>
          <w:tcPr>
            <w:tcW w:w="406" w:type="pct"/>
            <w:shd w:val="clear" w:color="auto" w:fill="auto"/>
            <w:noWrap/>
            <w:vAlign w:val="bottom"/>
            <w:hideMark/>
          </w:tcPr>
          <w:p w14:paraId="0E562A0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A96578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14A9D1B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c>
          <w:tcPr>
            <w:tcW w:w="341" w:type="pct"/>
            <w:shd w:val="clear" w:color="auto" w:fill="auto"/>
            <w:noWrap/>
            <w:vAlign w:val="bottom"/>
            <w:hideMark/>
          </w:tcPr>
          <w:p w14:paraId="51DECE8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47.1</w:t>
            </w:r>
          </w:p>
        </w:tc>
        <w:tc>
          <w:tcPr>
            <w:tcW w:w="301" w:type="pct"/>
            <w:shd w:val="clear" w:color="auto" w:fill="auto"/>
            <w:noWrap/>
            <w:vAlign w:val="bottom"/>
            <w:hideMark/>
          </w:tcPr>
          <w:p w14:paraId="6BA6706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r>
      <w:tr w:rsidR="006B0362" w:rsidRPr="00201CA3" w14:paraId="431A39D4" w14:textId="77777777" w:rsidTr="006B0362">
        <w:trPr>
          <w:trHeight w:val="85"/>
        </w:trPr>
        <w:tc>
          <w:tcPr>
            <w:tcW w:w="783" w:type="pct"/>
            <w:shd w:val="clear" w:color="auto" w:fill="auto"/>
            <w:noWrap/>
            <w:vAlign w:val="bottom"/>
            <w:hideMark/>
          </w:tcPr>
          <w:p w14:paraId="2045EB7C"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Warwickshire</w:t>
            </w:r>
          </w:p>
        </w:tc>
        <w:tc>
          <w:tcPr>
            <w:tcW w:w="829" w:type="pct"/>
          </w:tcPr>
          <w:p w14:paraId="3567AB6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Daw Mill</w:t>
            </w:r>
          </w:p>
        </w:tc>
        <w:tc>
          <w:tcPr>
            <w:tcW w:w="573" w:type="pct"/>
            <w:vAlign w:val="bottom"/>
          </w:tcPr>
          <w:p w14:paraId="2E68002C" w14:textId="6A732EC9"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WG</w:t>
            </w:r>
          </w:p>
        </w:tc>
        <w:tc>
          <w:tcPr>
            <w:tcW w:w="406" w:type="pct"/>
            <w:shd w:val="clear" w:color="auto" w:fill="auto"/>
            <w:noWrap/>
            <w:vAlign w:val="bottom"/>
            <w:hideMark/>
          </w:tcPr>
          <w:p w14:paraId="4C2C8566" w14:textId="02DE8A3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1.8</w:t>
            </w:r>
          </w:p>
        </w:tc>
        <w:tc>
          <w:tcPr>
            <w:tcW w:w="406" w:type="pct"/>
            <w:shd w:val="clear" w:color="auto" w:fill="auto"/>
            <w:noWrap/>
            <w:vAlign w:val="bottom"/>
            <w:hideMark/>
          </w:tcPr>
          <w:p w14:paraId="63067BC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0.021</w:t>
            </w:r>
          </w:p>
        </w:tc>
        <w:tc>
          <w:tcPr>
            <w:tcW w:w="406" w:type="pct"/>
            <w:shd w:val="clear" w:color="auto" w:fill="auto"/>
            <w:noWrap/>
            <w:vAlign w:val="bottom"/>
            <w:hideMark/>
          </w:tcPr>
          <w:p w14:paraId="0AC6BC4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5320B3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6BE44C5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3052656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49.0</w:t>
            </w:r>
          </w:p>
        </w:tc>
        <w:tc>
          <w:tcPr>
            <w:tcW w:w="301" w:type="pct"/>
            <w:shd w:val="clear" w:color="auto" w:fill="auto"/>
            <w:noWrap/>
            <w:vAlign w:val="bottom"/>
            <w:hideMark/>
          </w:tcPr>
          <w:p w14:paraId="6408DD2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0.9</w:t>
            </w:r>
          </w:p>
        </w:tc>
      </w:tr>
      <w:tr w:rsidR="006B0362" w:rsidRPr="00201CA3" w14:paraId="4D47F5ED" w14:textId="77777777" w:rsidTr="006B0362">
        <w:trPr>
          <w:trHeight w:val="203"/>
        </w:trPr>
        <w:tc>
          <w:tcPr>
            <w:tcW w:w="783" w:type="pct"/>
            <w:shd w:val="clear" w:color="auto" w:fill="auto"/>
            <w:noWrap/>
            <w:vAlign w:val="bottom"/>
            <w:hideMark/>
          </w:tcPr>
          <w:p w14:paraId="6029471D"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South Wales</w:t>
            </w:r>
          </w:p>
        </w:tc>
        <w:tc>
          <w:tcPr>
            <w:tcW w:w="829" w:type="pct"/>
          </w:tcPr>
          <w:p w14:paraId="2A9A203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Nant Helen</w:t>
            </w:r>
          </w:p>
        </w:tc>
        <w:tc>
          <w:tcPr>
            <w:tcW w:w="573" w:type="pct"/>
            <w:vAlign w:val="bottom"/>
          </w:tcPr>
          <w:p w14:paraId="0BE3CCBC" w14:textId="4C6E2F1F"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3152B469" w14:textId="66DB735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2.9</w:t>
            </w:r>
          </w:p>
        </w:tc>
        <w:tc>
          <w:tcPr>
            <w:tcW w:w="406" w:type="pct"/>
            <w:shd w:val="clear" w:color="auto" w:fill="auto"/>
            <w:noWrap/>
            <w:vAlign w:val="bottom"/>
            <w:hideMark/>
          </w:tcPr>
          <w:p w14:paraId="4CDFDCE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0.047</w:t>
            </w:r>
          </w:p>
        </w:tc>
        <w:tc>
          <w:tcPr>
            <w:tcW w:w="406" w:type="pct"/>
            <w:shd w:val="clear" w:color="auto" w:fill="auto"/>
            <w:noWrap/>
            <w:vAlign w:val="bottom"/>
            <w:hideMark/>
          </w:tcPr>
          <w:p w14:paraId="432ABC6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98A622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2CE46ED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2.8</w:t>
            </w:r>
          </w:p>
        </w:tc>
        <w:tc>
          <w:tcPr>
            <w:tcW w:w="341" w:type="pct"/>
            <w:shd w:val="clear" w:color="auto" w:fill="auto"/>
            <w:noWrap/>
            <w:vAlign w:val="bottom"/>
            <w:hideMark/>
          </w:tcPr>
          <w:p w14:paraId="527D5E4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27.6</w:t>
            </w:r>
          </w:p>
        </w:tc>
        <w:tc>
          <w:tcPr>
            <w:tcW w:w="301" w:type="pct"/>
            <w:shd w:val="clear" w:color="auto" w:fill="auto"/>
            <w:noWrap/>
            <w:vAlign w:val="bottom"/>
            <w:hideMark/>
          </w:tcPr>
          <w:p w14:paraId="2E960B9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12.3</w:t>
            </w:r>
          </w:p>
        </w:tc>
      </w:tr>
      <w:tr w:rsidR="006B0362" w:rsidRPr="00201CA3" w14:paraId="6617D140" w14:textId="77777777" w:rsidTr="006B0362">
        <w:trPr>
          <w:trHeight w:val="165"/>
        </w:trPr>
        <w:tc>
          <w:tcPr>
            <w:tcW w:w="783" w:type="pct"/>
            <w:shd w:val="clear" w:color="auto" w:fill="auto"/>
            <w:noWrap/>
            <w:vAlign w:val="bottom"/>
            <w:hideMark/>
          </w:tcPr>
          <w:p w14:paraId="5CB25CEA"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South Wales</w:t>
            </w:r>
          </w:p>
        </w:tc>
        <w:tc>
          <w:tcPr>
            <w:tcW w:w="829" w:type="pct"/>
          </w:tcPr>
          <w:p w14:paraId="41A3525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Cwmbargoed</w:t>
            </w:r>
          </w:p>
        </w:tc>
        <w:tc>
          <w:tcPr>
            <w:tcW w:w="573" w:type="pct"/>
            <w:vAlign w:val="bottom"/>
          </w:tcPr>
          <w:p w14:paraId="436097E9" w14:textId="4E183064"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w:t>
            </w:r>
            <w:r w:rsidR="006B0362" w:rsidRPr="00426C2D">
              <w:rPr>
                <w:sz w:val="16"/>
                <w:szCs w:val="16"/>
              </w:rPr>
              <w:t>CM</w:t>
            </w:r>
          </w:p>
        </w:tc>
        <w:tc>
          <w:tcPr>
            <w:tcW w:w="406" w:type="pct"/>
            <w:shd w:val="clear" w:color="auto" w:fill="auto"/>
            <w:noWrap/>
            <w:vAlign w:val="bottom"/>
            <w:hideMark/>
          </w:tcPr>
          <w:p w14:paraId="269820D1" w14:textId="3D3207C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406" w:type="pct"/>
            <w:shd w:val="clear" w:color="auto" w:fill="auto"/>
            <w:noWrap/>
            <w:vAlign w:val="bottom"/>
            <w:hideMark/>
          </w:tcPr>
          <w:p w14:paraId="352FA9A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0.004</w:t>
            </w:r>
          </w:p>
        </w:tc>
        <w:tc>
          <w:tcPr>
            <w:tcW w:w="406" w:type="pct"/>
            <w:shd w:val="clear" w:color="auto" w:fill="auto"/>
            <w:noWrap/>
            <w:vAlign w:val="bottom"/>
            <w:hideMark/>
          </w:tcPr>
          <w:p w14:paraId="008D0AB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3DE1098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7D36CA2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1.1</w:t>
            </w:r>
          </w:p>
        </w:tc>
        <w:tc>
          <w:tcPr>
            <w:tcW w:w="341" w:type="pct"/>
            <w:shd w:val="clear" w:color="auto" w:fill="auto"/>
            <w:noWrap/>
            <w:vAlign w:val="bottom"/>
            <w:hideMark/>
          </w:tcPr>
          <w:p w14:paraId="39F6C84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67.7</w:t>
            </w:r>
          </w:p>
        </w:tc>
        <w:tc>
          <w:tcPr>
            <w:tcW w:w="301" w:type="pct"/>
            <w:shd w:val="clear" w:color="auto" w:fill="auto"/>
            <w:noWrap/>
            <w:vAlign w:val="bottom"/>
            <w:hideMark/>
          </w:tcPr>
          <w:p w14:paraId="4B6E6B5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1.0</w:t>
            </w:r>
          </w:p>
        </w:tc>
      </w:tr>
      <w:tr w:rsidR="006B0362" w:rsidRPr="00201CA3" w14:paraId="3F9FB077" w14:textId="77777777" w:rsidTr="006B0362">
        <w:trPr>
          <w:trHeight w:val="155"/>
        </w:trPr>
        <w:tc>
          <w:tcPr>
            <w:tcW w:w="783" w:type="pct"/>
            <w:shd w:val="clear" w:color="auto" w:fill="auto"/>
            <w:noWrap/>
            <w:vAlign w:val="bottom"/>
            <w:hideMark/>
          </w:tcPr>
          <w:p w14:paraId="3AC36163"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South Wales</w:t>
            </w:r>
          </w:p>
        </w:tc>
        <w:tc>
          <w:tcPr>
            <w:tcW w:w="829" w:type="pct"/>
          </w:tcPr>
          <w:p w14:paraId="747BE45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Taff Merthyr</w:t>
            </w:r>
          </w:p>
        </w:tc>
        <w:tc>
          <w:tcPr>
            <w:tcW w:w="573" w:type="pct"/>
            <w:vAlign w:val="bottom"/>
          </w:tcPr>
          <w:p w14:paraId="70BDF6E8" w14:textId="1B076CC9" w:rsidR="006B0362" w:rsidRPr="00426C2D" w:rsidRDefault="0099492E" w:rsidP="006B0362">
            <w:pPr>
              <w:spacing w:after="0" w:line="360" w:lineRule="auto"/>
              <w:jc w:val="center"/>
              <w:rPr>
                <w:rFonts w:ascii="Times New Roman" w:eastAsia="Times New Roman" w:hAnsi="Times New Roman" w:cs="Times New Roman"/>
                <w:sz w:val="16"/>
                <w:lang w:eastAsia="en-GB"/>
              </w:rPr>
            </w:pPr>
            <w:r w:rsidRPr="00426C2D">
              <w:rPr>
                <w:sz w:val="16"/>
                <w:szCs w:val="16"/>
              </w:rPr>
              <w:t>SW</w:t>
            </w:r>
            <w:r w:rsidR="00A65A5C" w:rsidRPr="00426C2D">
              <w:rPr>
                <w:sz w:val="16"/>
                <w:szCs w:val="16"/>
              </w:rPr>
              <w:t>U</w:t>
            </w:r>
            <w:r w:rsidR="006B0362" w:rsidRPr="00426C2D">
              <w:rPr>
                <w:sz w:val="16"/>
                <w:szCs w:val="16"/>
              </w:rPr>
              <w:t>CM</w:t>
            </w:r>
          </w:p>
        </w:tc>
        <w:tc>
          <w:tcPr>
            <w:tcW w:w="406" w:type="pct"/>
            <w:shd w:val="clear" w:color="auto" w:fill="auto"/>
            <w:noWrap/>
            <w:vAlign w:val="bottom"/>
            <w:hideMark/>
          </w:tcPr>
          <w:p w14:paraId="4F92D30C" w14:textId="6BB097D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2.2</w:t>
            </w:r>
          </w:p>
        </w:tc>
        <w:tc>
          <w:tcPr>
            <w:tcW w:w="406" w:type="pct"/>
            <w:shd w:val="clear" w:color="auto" w:fill="auto"/>
            <w:noWrap/>
            <w:vAlign w:val="bottom"/>
            <w:hideMark/>
          </w:tcPr>
          <w:p w14:paraId="4EB7449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0.026</w:t>
            </w:r>
          </w:p>
        </w:tc>
        <w:tc>
          <w:tcPr>
            <w:tcW w:w="406" w:type="pct"/>
            <w:shd w:val="clear" w:color="auto" w:fill="auto"/>
            <w:noWrap/>
            <w:vAlign w:val="bottom"/>
            <w:hideMark/>
          </w:tcPr>
          <w:p w14:paraId="67CEDE1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62A3F7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1DD28E4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1.9</w:t>
            </w:r>
          </w:p>
        </w:tc>
        <w:tc>
          <w:tcPr>
            <w:tcW w:w="341" w:type="pct"/>
            <w:shd w:val="clear" w:color="auto" w:fill="auto"/>
            <w:noWrap/>
            <w:vAlign w:val="bottom"/>
            <w:hideMark/>
          </w:tcPr>
          <w:p w14:paraId="31A91AE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64.0</w:t>
            </w:r>
          </w:p>
        </w:tc>
        <w:tc>
          <w:tcPr>
            <w:tcW w:w="301" w:type="pct"/>
            <w:shd w:val="clear" w:color="auto" w:fill="auto"/>
            <w:noWrap/>
            <w:vAlign w:val="bottom"/>
            <w:hideMark/>
          </w:tcPr>
          <w:p w14:paraId="3F79D2F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r>
      <w:tr w:rsidR="006B0362" w:rsidRPr="00201CA3" w14:paraId="0306A84F" w14:textId="77777777" w:rsidTr="006B0362">
        <w:trPr>
          <w:trHeight w:val="117"/>
        </w:trPr>
        <w:tc>
          <w:tcPr>
            <w:tcW w:w="783" w:type="pct"/>
            <w:shd w:val="clear" w:color="auto" w:fill="auto"/>
            <w:noWrap/>
            <w:vAlign w:val="bottom"/>
            <w:hideMark/>
          </w:tcPr>
          <w:p w14:paraId="6C41916E"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South Wales</w:t>
            </w:r>
          </w:p>
        </w:tc>
        <w:tc>
          <w:tcPr>
            <w:tcW w:w="829" w:type="pct"/>
          </w:tcPr>
          <w:p w14:paraId="2A751EC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Cwm</w:t>
            </w:r>
          </w:p>
        </w:tc>
        <w:tc>
          <w:tcPr>
            <w:tcW w:w="573" w:type="pct"/>
            <w:vAlign w:val="bottom"/>
          </w:tcPr>
          <w:p w14:paraId="6005446A" w14:textId="06E52B46" w:rsidR="006B0362" w:rsidRPr="00426C2D" w:rsidRDefault="0099492E" w:rsidP="006B0362">
            <w:pPr>
              <w:spacing w:after="0" w:line="360" w:lineRule="auto"/>
              <w:jc w:val="center"/>
              <w:rPr>
                <w:rFonts w:ascii="Times New Roman" w:eastAsia="Times New Roman" w:hAnsi="Times New Roman" w:cs="Times New Roman"/>
                <w:sz w:val="16"/>
                <w:lang w:eastAsia="en-GB"/>
              </w:rPr>
            </w:pPr>
            <w:r w:rsidRPr="00426C2D">
              <w:rPr>
                <w:sz w:val="16"/>
                <w:szCs w:val="16"/>
              </w:rPr>
              <w:t>SW</w:t>
            </w:r>
            <w:r w:rsidR="00A65A5C" w:rsidRPr="00426C2D">
              <w:rPr>
                <w:sz w:val="16"/>
                <w:szCs w:val="16"/>
              </w:rPr>
              <w:t>U</w:t>
            </w:r>
            <w:r w:rsidR="006B0362" w:rsidRPr="00426C2D">
              <w:rPr>
                <w:sz w:val="16"/>
                <w:szCs w:val="16"/>
              </w:rPr>
              <w:t>CM</w:t>
            </w:r>
          </w:p>
        </w:tc>
        <w:tc>
          <w:tcPr>
            <w:tcW w:w="406" w:type="pct"/>
            <w:shd w:val="clear" w:color="auto" w:fill="auto"/>
            <w:noWrap/>
            <w:vAlign w:val="bottom"/>
            <w:hideMark/>
          </w:tcPr>
          <w:p w14:paraId="5350620C" w14:textId="42B6206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1.2</w:t>
            </w:r>
          </w:p>
        </w:tc>
        <w:tc>
          <w:tcPr>
            <w:tcW w:w="406" w:type="pct"/>
            <w:shd w:val="clear" w:color="auto" w:fill="auto"/>
            <w:noWrap/>
            <w:vAlign w:val="bottom"/>
            <w:hideMark/>
          </w:tcPr>
          <w:p w14:paraId="4DCE4D3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0.012</w:t>
            </w:r>
          </w:p>
        </w:tc>
        <w:tc>
          <w:tcPr>
            <w:tcW w:w="406" w:type="pct"/>
            <w:shd w:val="clear" w:color="auto" w:fill="auto"/>
            <w:noWrap/>
            <w:vAlign w:val="bottom"/>
            <w:hideMark/>
          </w:tcPr>
          <w:p w14:paraId="7E75DFB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B1394E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0943D7F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1.4</w:t>
            </w:r>
          </w:p>
        </w:tc>
        <w:tc>
          <w:tcPr>
            <w:tcW w:w="341" w:type="pct"/>
            <w:shd w:val="clear" w:color="auto" w:fill="auto"/>
            <w:noWrap/>
            <w:vAlign w:val="bottom"/>
            <w:hideMark/>
          </w:tcPr>
          <w:p w14:paraId="0AC07F6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72.5</w:t>
            </w:r>
          </w:p>
        </w:tc>
        <w:tc>
          <w:tcPr>
            <w:tcW w:w="301" w:type="pct"/>
            <w:shd w:val="clear" w:color="auto" w:fill="auto"/>
            <w:noWrap/>
            <w:vAlign w:val="bottom"/>
            <w:hideMark/>
          </w:tcPr>
          <w:p w14:paraId="15E4BBD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0.5</w:t>
            </w:r>
          </w:p>
        </w:tc>
      </w:tr>
      <w:tr w:rsidR="006B0362" w:rsidRPr="00201CA3" w14:paraId="2C49D9EF" w14:textId="77777777" w:rsidTr="006B0362">
        <w:trPr>
          <w:trHeight w:val="94"/>
        </w:trPr>
        <w:tc>
          <w:tcPr>
            <w:tcW w:w="783" w:type="pct"/>
            <w:shd w:val="clear" w:color="auto" w:fill="auto"/>
            <w:noWrap/>
            <w:vAlign w:val="bottom"/>
            <w:hideMark/>
          </w:tcPr>
          <w:p w14:paraId="31738E94"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Kent</w:t>
            </w:r>
          </w:p>
        </w:tc>
        <w:tc>
          <w:tcPr>
            <w:tcW w:w="829" w:type="pct"/>
          </w:tcPr>
          <w:p w14:paraId="3931A03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Tilmanstone</w:t>
            </w:r>
          </w:p>
        </w:tc>
        <w:tc>
          <w:tcPr>
            <w:tcW w:w="573" w:type="pct"/>
            <w:vAlign w:val="bottom"/>
          </w:tcPr>
          <w:p w14:paraId="3CCE6C3C" w14:textId="028800FF"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WG</w:t>
            </w:r>
          </w:p>
        </w:tc>
        <w:tc>
          <w:tcPr>
            <w:tcW w:w="406" w:type="pct"/>
            <w:shd w:val="clear" w:color="auto" w:fill="auto"/>
            <w:noWrap/>
            <w:vAlign w:val="bottom"/>
            <w:hideMark/>
          </w:tcPr>
          <w:p w14:paraId="13DCAD0C" w14:textId="451E772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3.3</w:t>
            </w:r>
          </w:p>
        </w:tc>
        <w:tc>
          <w:tcPr>
            <w:tcW w:w="406" w:type="pct"/>
            <w:shd w:val="clear" w:color="auto" w:fill="auto"/>
            <w:noWrap/>
            <w:vAlign w:val="bottom"/>
            <w:hideMark/>
          </w:tcPr>
          <w:p w14:paraId="13E75B2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0.066</w:t>
            </w:r>
          </w:p>
        </w:tc>
        <w:tc>
          <w:tcPr>
            <w:tcW w:w="406" w:type="pct"/>
            <w:shd w:val="clear" w:color="auto" w:fill="auto"/>
            <w:noWrap/>
            <w:vAlign w:val="bottom"/>
            <w:hideMark/>
          </w:tcPr>
          <w:p w14:paraId="2DA0F76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3401D8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547" w:type="pct"/>
            <w:shd w:val="clear" w:color="auto" w:fill="auto"/>
            <w:noWrap/>
            <w:vAlign w:val="bottom"/>
            <w:hideMark/>
          </w:tcPr>
          <w:p w14:paraId="1DB8DE1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1.5</w:t>
            </w:r>
          </w:p>
        </w:tc>
        <w:tc>
          <w:tcPr>
            <w:tcW w:w="341" w:type="pct"/>
            <w:shd w:val="clear" w:color="auto" w:fill="auto"/>
            <w:noWrap/>
            <w:vAlign w:val="bottom"/>
            <w:hideMark/>
          </w:tcPr>
          <w:p w14:paraId="582C03D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77.9</w:t>
            </w:r>
          </w:p>
        </w:tc>
        <w:tc>
          <w:tcPr>
            <w:tcW w:w="301" w:type="pct"/>
            <w:shd w:val="clear" w:color="auto" w:fill="auto"/>
            <w:noWrap/>
            <w:vAlign w:val="bottom"/>
            <w:hideMark/>
          </w:tcPr>
          <w:p w14:paraId="2B9C753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0.4</w:t>
            </w:r>
          </w:p>
        </w:tc>
      </w:tr>
      <w:tr w:rsidR="006B0362" w:rsidRPr="00201CA3" w14:paraId="6D0AA868" w14:textId="77777777" w:rsidTr="006B0362">
        <w:trPr>
          <w:trHeight w:val="211"/>
        </w:trPr>
        <w:tc>
          <w:tcPr>
            <w:tcW w:w="783" w:type="pct"/>
            <w:shd w:val="clear" w:color="auto" w:fill="auto"/>
            <w:noWrap/>
            <w:vAlign w:val="bottom"/>
            <w:hideMark/>
          </w:tcPr>
          <w:p w14:paraId="283A7194"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Argyllshire</w:t>
            </w:r>
          </w:p>
        </w:tc>
        <w:tc>
          <w:tcPr>
            <w:tcW w:w="829" w:type="pct"/>
          </w:tcPr>
          <w:p w14:paraId="652406B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Inninmore Bay</w:t>
            </w:r>
          </w:p>
        </w:tc>
        <w:tc>
          <w:tcPr>
            <w:tcW w:w="573" w:type="pct"/>
            <w:vAlign w:val="bottom"/>
          </w:tcPr>
          <w:p w14:paraId="690677CA" w14:textId="20FABAD7"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S</w:t>
            </w:r>
            <w:r w:rsidR="006B0362" w:rsidRPr="00426C2D">
              <w:rPr>
                <w:sz w:val="16"/>
                <w:szCs w:val="16"/>
              </w:rPr>
              <w:t>CM</w:t>
            </w:r>
          </w:p>
        </w:tc>
        <w:tc>
          <w:tcPr>
            <w:tcW w:w="406" w:type="pct"/>
            <w:shd w:val="clear" w:color="auto" w:fill="auto"/>
            <w:noWrap/>
            <w:vAlign w:val="bottom"/>
            <w:hideMark/>
          </w:tcPr>
          <w:p w14:paraId="1821A3CE" w14:textId="561B1BCD"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D95C51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5B7DAF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1.8</w:t>
            </w:r>
          </w:p>
        </w:tc>
        <w:tc>
          <w:tcPr>
            <w:tcW w:w="406" w:type="pct"/>
            <w:shd w:val="clear" w:color="auto" w:fill="auto"/>
            <w:noWrap/>
            <w:vAlign w:val="bottom"/>
            <w:hideMark/>
          </w:tcPr>
          <w:p w14:paraId="095882D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0.04</w:t>
            </w:r>
          </w:p>
        </w:tc>
        <w:tc>
          <w:tcPr>
            <w:tcW w:w="547" w:type="pct"/>
            <w:shd w:val="clear" w:color="auto" w:fill="auto"/>
            <w:noWrap/>
            <w:vAlign w:val="bottom"/>
            <w:hideMark/>
          </w:tcPr>
          <w:p w14:paraId="239F1ECF" w14:textId="15978F9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w:t>
            </w:r>
            <w:r>
              <w:rPr>
                <w:rFonts w:ascii="Times New Roman" w:eastAsia="Times New Roman" w:hAnsi="Times New Roman" w:cs="Times New Roman"/>
                <w:color w:val="000000"/>
                <w:sz w:val="16"/>
                <w:lang w:eastAsia="en-GB"/>
              </w:rPr>
              <w:t>4</w:t>
            </w:r>
          </w:p>
        </w:tc>
        <w:tc>
          <w:tcPr>
            <w:tcW w:w="341" w:type="pct"/>
            <w:shd w:val="clear" w:color="auto" w:fill="auto"/>
            <w:noWrap/>
            <w:vAlign w:val="bottom"/>
            <w:hideMark/>
          </w:tcPr>
          <w:p w14:paraId="2A6DBC5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66.4</w:t>
            </w:r>
          </w:p>
        </w:tc>
        <w:tc>
          <w:tcPr>
            <w:tcW w:w="301" w:type="pct"/>
            <w:shd w:val="clear" w:color="auto" w:fill="auto"/>
            <w:noWrap/>
            <w:vAlign w:val="bottom"/>
            <w:hideMark/>
          </w:tcPr>
          <w:p w14:paraId="4EDF714E"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0.6</w:t>
            </w:r>
          </w:p>
        </w:tc>
      </w:tr>
      <w:tr w:rsidR="006B0362" w:rsidRPr="00201CA3" w14:paraId="5C22C2D3" w14:textId="77777777" w:rsidTr="006B0362">
        <w:trPr>
          <w:trHeight w:val="187"/>
        </w:trPr>
        <w:tc>
          <w:tcPr>
            <w:tcW w:w="783" w:type="pct"/>
            <w:shd w:val="clear" w:color="auto" w:fill="auto"/>
            <w:noWrap/>
            <w:vAlign w:val="bottom"/>
            <w:hideMark/>
          </w:tcPr>
          <w:p w14:paraId="4CEB8D46"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Fife-Stirling</w:t>
            </w:r>
          </w:p>
        </w:tc>
        <w:tc>
          <w:tcPr>
            <w:tcW w:w="829" w:type="pct"/>
          </w:tcPr>
          <w:p w14:paraId="03979B1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Manor Powis</w:t>
            </w:r>
          </w:p>
        </w:tc>
        <w:tc>
          <w:tcPr>
            <w:tcW w:w="573" w:type="pct"/>
            <w:vAlign w:val="bottom"/>
          </w:tcPr>
          <w:p w14:paraId="66E31BE2" w14:textId="0A500630"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CG</w:t>
            </w:r>
          </w:p>
        </w:tc>
        <w:tc>
          <w:tcPr>
            <w:tcW w:w="406" w:type="pct"/>
            <w:shd w:val="clear" w:color="auto" w:fill="auto"/>
            <w:noWrap/>
            <w:vAlign w:val="bottom"/>
            <w:hideMark/>
          </w:tcPr>
          <w:p w14:paraId="116E544F" w14:textId="382E64F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0A5122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67B5FF2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1.3</w:t>
            </w:r>
          </w:p>
        </w:tc>
        <w:tc>
          <w:tcPr>
            <w:tcW w:w="406" w:type="pct"/>
            <w:shd w:val="clear" w:color="auto" w:fill="auto"/>
            <w:noWrap/>
            <w:vAlign w:val="bottom"/>
            <w:hideMark/>
          </w:tcPr>
          <w:p w14:paraId="4C0AD369" w14:textId="65FA05A7" w:rsidR="006B0362" w:rsidRPr="00201CA3" w:rsidRDefault="006B0362" w:rsidP="009E0E38">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&lt;</w:t>
            </w:r>
            <w:r w:rsidR="009E0E38">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565D453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533592F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61.0</w:t>
            </w:r>
          </w:p>
        </w:tc>
        <w:tc>
          <w:tcPr>
            <w:tcW w:w="301" w:type="pct"/>
            <w:shd w:val="clear" w:color="auto" w:fill="auto"/>
            <w:noWrap/>
            <w:vAlign w:val="bottom"/>
            <w:hideMark/>
          </w:tcPr>
          <w:p w14:paraId="4954FAB5"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0.5</w:t>
            </w:r>
          </w:p>
        </w:tc>
      </w:tr>
      <w:tr w:rsidR="006B0362" w:rsidRPr="00201CA3" w14:paraId="43DE71FB" w14:textId="77777777" w:rsidTr="006B0362">
        <w:trPr>
          <w:trHeight w:val="149"/>
        </w:trPr>
        <w:tc>
          <w:tcPr>
            <w:tcW w:w="783" w:type="pct"/>
            <w:shd w:val="clear" w:color="auto" w:fill="auto"/>
            <w:noWrap/>
            <w:vAlign w:val="bottom"/>
            <w:hideMark/>
          </w:tcPr>
          <w:p w14:paraId="3C990706"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Fife-Stirling</w:t>
            </w:r>
          </w:p>
        </w:tc>
        <w:tc>
          <w:tcPr>
            <w:tcW w:w="829" w:type="pct"/>
          </w:tcPr>
          <w:p w14:paraId="55AF3A0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Fishcross</w:t>
            </w:r>
          </w:p>
        </w:tc>
        <w:tc>
          <w:tcPr>
            <w:tcW w:w="573" w:type="pct"/>
            <w:vAlign w:val="bottom"/>
          </w:tcPr>
          <w:p w14:paraId="062D53B6" w14:textId="412BB463"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CG</w:t>
            </w:r>
          </w:p>
        </w:tc>
        <w:tc>
          <w:tcPr>
            <w:tcW w:w="406" w:type="pct"/>
            <w:shd w:val="clear" w:color="auto" w:fill="auto"/>
            <w:noWrap/>
            <w:vAlign w:val="bottom"/>
            <w:hideMark/>
          </w:tcPr>
          <w:p w14:paraId="50243F9E" w14:textId="31B19EFE"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9A97CA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620980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1.4</w:t>
            </w:r>
          </w:p>
        </w:tc>
        <w:tc>
          <w:tcPr>
            <w:tcW w:w="406" w:type="pct"/>
            <w:shd w:val="clear" w:color="auto" w:fill="auto"/>
            <w:noWrap/>
            <w:vAlign w:val="bottom"/>
            <w:hideMark/>
          </w:tcPr>
          <w:p w14:paraId="7B74C0DE" w14:textId="25AAEB1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&lt;</w:t>
            </w:r>
            <w:r w:rsidR="009E0E38">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491808A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3A118A6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hideMark/>
          </w:tcPr>
          <w:p w14:paraId="4DF82634"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w:t>
            </w:r>
          </w:p>
        </w:tc>
      </w:tr>
      <w:tr w:rsidR="006B0362" w:rsidRPr="00201CA3" w14:paraId="7F9E5618" w14:textId="77777777" w:rsidTr="006B0362">
        <w:trPr>
          <w:trHeight w:val="139"/>
        </w:trPr>
        <w:tc>
          <w:tcPr>
            <w:tcW w:w="783" w:type="pct"/>
            <w:shd w:val="clear" w:color="auto" w:fill="auto"/>
            <w:noWrap/>
            <w:vAlign w:val="bottom"/>
            <w:hideMark/>
          </w:tcPr>
          <w:p w14:paraId="47C782E6"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Argyllshire</w:t>
            </w:r>
          </w:p>
        </w:tc>
        <w:tc>
          <w:tcPr>
            <w:tcW w:w="829" w:type="pct"/>
          </w:tcPr>
          <w:p w14:paraId="4BF58DC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High Tiefergus</w:t>
            </w:r>
          </w:p>
        </w:tc>
        <w:tc>
          <w:tcPr>
            <w:tcW w:w="573" w:type="pct"/>
            <w:vAlign w:val="bottom"/>
          </w:tcPr>
          <w:p w14:paraId="2764B766" w14:textId="1AA988FE"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CG</w:t>
            </w:r>
          </w:p>
        </w:tc>
        <w:tc>
          <w:tcPr>
            <w:tcW w:w="406" w:type="pct"/>
            <w:shd w:val="clear" w:color="auto" w:fill="auto"/>
            <w:noWrap/>
            <w:vAlign w:val="bottom"/>
            <w:hideMark/>
          </w:tcPr>
          <w:p w14:paraId="03B0CCAE" w14:textId="13F1340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30A8E31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A1BAAF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5.7</w:t>
            </w:r>
          </w:p>
        </w:tc>
        <w:tc>
          <w:tcPr>
            <w:tcW w:w="406" w:type="pct"/>
            <w:shd w:val="clear" w:color="auto" w:fill="auto"/>
            <w:noWrap/>
            <w:vAlign w:val="bottom"/>
            <w:hideMark/>
          </w:tcPr>
          <w:p w14:paraId="727A8A8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6220BA0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1.0</w:t>
            </w:r>
          </w:p>
        </w:tc>
        <w:tc>
          <w:tcPr>
            <w:tcW w:w="341" w:type="pct"/>
            <w:shd w:val="clear" w:color="auto" w:fill="auto"/>
            <w:noWrap/>
            <w:vAlign w:val="bottom"/>
            <w:hideMark/>
          </w:tcPr>
          <w:p w14:paraId="1C8E654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59.8</w:t>
            </w:r>
          </w:p>
        </w:tc>
        <w:tc>
          <w:tcPr>
            <w:tcW w:w="301" w:type="pct"/>
            <w:shd w:val="clear" w:color="auto" w:fill="auto"/>
            <w:noWrap/>
            <w:vAlign w:val="bottom"/>
            <w:hideMark/>
          </w:tcPr>
          <w:p w14:paraId="1DD14059"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0.6</w:t>
            </w:r>
          </w:p>
        </w:tc>
      </w:tr>
      <w:tr w:rsidR="006B0362" w:rsidRPr="00201CA3" w14:paraId="7978D240" w14:textId="77777777" w:rsidTr="006B0362">
        <w:trPr>
          <w:trHeight w:val="101"/>
        </w:trPr>
        <w:tc>
          <w:tcPr>
            <w:tcW w:w="783" w:type="pct"/>
            <w:shd w:val="clear" w:color="auto" w:fill="auto"/>
            <w:noWrap/>
            <w:vAlign w:val="bottom"/>
            <w:hideMark/>
          </w:tcPr>
          <w:p w14:paraId="7859C6A9"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Ayrshire</w:t>
            </w:r>
          </w:p>
        </w:tc>
        <w:tc>
          <w:tcPr>
            <w:tcW w:w="829" w:type="pct"/>
          </w:tcPr>
          <w:p w14:paraId="2727299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Greenburn</w:t>
            </w:r>
          </w:p>
        </w:tc>
        <w:tc>
          <w:tcPr>
            <w:tcW w:w="573" w:type="pct"/>
            <w:vAlign w:val="bottom"/>
          </w:tcPr>
          <w:p w14:paraId="6ED6C315" w14:textId="7F71648B"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SCM</w:t>
            </w:r>
          </w:p>
        </w:tc>
        <w:tc>
          <w:tcPr>
            <w:tcW w:w="406" w:type="pct"/>
            <w:shd w:val="clear" w:color="auto" w:fill="auto"/>
            <w:noWrap/>
            <w:vAlign w:val="bottom"/>
            <w:hideMark/>
          </w:tcPr>
          <w:p w14:paraId="253A85DD" w14:textId="5DDC7DE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512E349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74A485B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5.3</w:t>
            </w:r>
          </w:p>
        </w:tc>
        <w:tc>
          <w:tcPr>
            <w:tcW w:w="406" w:type="pct"/>
            <w:shd w:val="clear" w:color="auto" w:fill="auto"/>
            <w:noWrap/>
            <w:vAlign w:val="bottom"/>
            <w:hideMark/>
          </w:tcPr>
          <w:p w14:paraId="66AB40F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52E7D1B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22663E9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30.2</w:t>
            </w:r>
          </w:p>
        </w:tc>
        <w:tc>
          <w:tcPr>
            <w:tcW w:w="301" w:type="pct"/>
            <w:shd w:val="clear" w:color="auto" w:fill="auto"/>
            <w:noWrap/>
            <w:vAlign w:val="bottom"/>
            <w:hideMark/>
          </w:tcPr>
          <w:p w14:paraId="477BF528"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27.5</w:t>
            </w:r>
          </w:p>
        </w:tc>
      </w:tr>
      <w:tr w:rsidR="006B0362" w:rsidRPr="00201CA3" w14:paraId="1275A44F" w14:textId="77777777" w:rsidTr="006B0362">
        <w:trPr>
          <w:trHeight w:val="70"/>
        </w:trPr>
        <w:tc>
          <w:tcPr>
            <w:tcW w:w="783" w:type="pct"/>
            <w:shd w:val="clear" w:color="auto" w:fill="auto"/>
            <w:noWrap/>
            <w:vAlign w:val="bottom"/>
            <w:hideMark/>
          </w:tcPr>
          <w:p w14:paraId="2B26CF79"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Ayrshire</w:t>
            </w:r>
          </w:p>
        </w:tc>
        <w:tc>
          <w:tcPr>
            <w:tcW w:w="829" w:type="pct"/>
          </w:tcPr>
          <w:p w14:paraId="0AF20FE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Greenburn</w:t>
            </w:r>
          </w:p>
        </w:tc>
        <w:tc>
          <w:tcPr>
            <w:tcW w:w="573" w:type="pct"/>
            <w:vAlign w:val="bottom"/>
          </w:tcPr>
          <w:p w14:paraId="664C72A4" w14:textId="47EE9904"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SCM</w:t>
            </w:r>
          </w:p>
        </w:tc>
        <w:tc>
          <w:tcPr>
            <w:tcW w:w="406" w:type="pct"/>
            <w:shd w:val="clear" w:color="auto" w:fill="auto"/>
            <w:noWrap/>
            <w:vAlign w:val="bottom"/>
            <w:hideMark/>
          </w:tcPr>
          <w:p w14:paraId="27697C18" w14:textId="4006F75D"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4CA720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3585FB3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2.2</w:t>
            </w:r>
          </w:p>
        </w:tc>
        <w:tc>
          <w:tcPr>
            <w:tcW w:w="406" w:type="pct"/>
            <w:shd w:val="clear" w:color="auto" w:fill="auto"/>
            <w:noWrap/>
            <w:vAlign w:val="bottom"/>
            <w:hideMark/>
          </w:tcPr>
          <w:p w14:paraId="70036A6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0.04</w:t>
            </w:r>
          </w:p>
        </w:tc>
        <w:tc>
          <w:tcPr>
            <w:tcW w:w="547" w:type="pct"/>
            <w:shd w:val="clear" w:color="auto" w:fill="auto"/>
            <w:noWrap/>
            <w:vAlign w:val="bottom"/>
            <w:hideMark/>
          </w:tcPr>
          <w:p w14:paraId="4E161A8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341" w:type="pct"/>
            <w:shd w:val="clear" w:color="auto" w:fill="auto"/>
            <w:noWrap/>
            <w:vAlign w:val="bottom"/>
            <w:hideMark/>
          </w:tcPr>
          <w:p w14:paraId="4104ABE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hideMark/>
          </w:tcPr>
          <w:p w14:paraId="6B435DE2"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w:t>
            </w:r>
          </w:p>
        </w:tc>
      </w:tr>
      <w:tr w:rsidR="006B0362" w:rsidRPr="00201CA3" w14:paraId="1ED3F6CB" w14:textId="77777777" w:rsidTr="006B0362">
        <w:trPr>
          <w:trHeight w:val="70"/>
        </w:trPr>
        <w:tc>
          <w:tcPr>
            <w:tcW w:w="783" w:type="pct"/>
            <w:shd w:val="clear" w:color="auto" w:fill="auto"/>
            <w:noWrap/>
            <w:vAlign w:val="bottom"/>
          </w:tcPr>
          <w:p w14:paraId="10214F25" w14:textId="2F8F7FA1"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Cumberland</w:t>
            </w:r>
          </w:p>
        </w:tc>
        <w:tc>
          <w:tcPr>
            <w:tcW w:w="829" w:type="pct"/>
          </w:tcPr>
          <w:p w14:paraId="68E5F2D0" w14:textId="51EADBE8"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Maryport</w:t>
            </w:r>
          </w:p>
        </w:tc>
        <w:tc>
          <w:tcPr>
            <w:tcW w:w="573" w:type="pct"/>
            <w:vAlign w:val="bottom"/>
          </w:tcPr>
          <w:p w14:paraId="572F88BD" w14:textId="14F2DD8C"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tcPr>
          <w:p w14:paraId="58A1147D" w14:textId="1DD6DED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369BF413" w14:textId="01956FE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17EF4FA0" w14:textId="578ED81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3.3</w:t>
            </w:r>
          </w:p>
        </w:tc>
        <w:tc>
          <w:tcPr>
            <w:tcW w:w="406" w:type="pct"/>
            <w:shd w:val="clear" w:color="auto" w:fill="auto"/>
            <w:noWrap/>
            <w:vAlign w:val="bottom"/>
          </w:tcPr>
          <w:p w14:paraId="52CE74FB" w14:textId="1E04304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0.09</w:t>
            </w:r>
          </w:p>
        </w:tc>
        <w:tc>
          <w:tcPr>
            <w:tcW w:w="547" w:type="pct"/>
            <w:shd w:val="clear" w:color="auto" w:fill="auto"/>
            <w:noWrap/>
            <w:vAlign w:val="bottom"/>
          </w:tcPr>
          <w:p w14:paraId="556AA271" w14:textId="21BD432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0.8</w:t>
            </w:r>
          </w:p>
        </w:tc>
        <w:tc>
          <w:tcPr>
            <w:tcW w:w="341" w:type="pct"/>
            <w:shd w:val="clear" w:color="auto" w:fill="auto"/>
            <w:noWrap/>
            <w:vAlign w:val="bottom"/>
          </w:tcPr>
          <w:p w14:paraId="76E69A0C" w14:textId="19EAC01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07B0A5C4" w14:textId="3F508AF9"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1.0</w:t>
            </w:r>
          </w:p>
        </w:tc>
      </w:tr>
      <w:tr w:rsidR="006B0362" w:rsidRPr="00201CA3" w14:paraId="10826A54" w14:textId="77777777" w:rsidTr="006B0362">
        <w:trPr>
          <w:trHeight w:val="70"/>
        </w:trPr>
        <w:tc>
          <w:tcPr>
            <w:tcW w:w="783" w:type="pct"/>
            <w:shd w:val="clear" w:color="auto" w:fill="auto"/>
            <w:noWrap/>
          </w:tcPr>
          <w:p w14:paraId="1F190D4E" w14:textId="2C30EFA6"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0A0584">
              <w:rPr>
                <w:rFonts w:ascii="Times New Roman" w:eastAsia="Times New Roman" w:hAnsi="Times New Roman" w:cs="Times New Roman"/>
                <w:color w:val="000000"/>
                <w:sz w:val="16"/>
                <w:lang w:eastAsia="en-GB"/>
              </w:rPr>
              <w:t>Cumberland</w:t>
            </w:r>
          </w:p>
        </w:tc>
        <w:tc>
          <w:tcPr>
            <w:tcW w:w="829" w:type="pct"/>
          </w:tcPr>
          <w:p w14:paraId="1F2037CA" w14:textId="3FB66B25"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Venture</w:t>
            </w:r>
          </w:p>
        </w:tc>
        <w:tc>
          <w:tcPr>
            <w:tcW w:w="573" w:type="pct"/>
            <w:vAlign w:val="bottom"/>
          </w:tcPr>
          <w:p w14:paraId="1B5F0CC4" w14:textId="4FBC6CB6"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tcPr>
          <w:p w14:paraId="3208FAAE" w14:textId="559DA20F"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1D85A4D4" w14:textId="7A0834D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2B1114A9" w14:textId="74C4FDF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1.5</w:t>
            </w:r>
          </w:p>
        </w:tc>
        <w:tc>
          <w:tcPr>
            <w:tcW w:w="406" w:type="pct"/>
            <w:shd w:val="clear" w:color="auto" w:fill="auto"/>
            <w:noWrap/>
            <w:vAlign w:val="bottom"/>
          </w:tcPr>
          <w:p w14:paraId="49526159" w14:textId="444FB05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0.06</w:t>
            </w:r>
          </w:p>
        </w:tc>
        <w:tc>
          <w:tcPr>
            <w:tcW w:w="547" w:type="pct"/>
            <w:shd w:val="clear" w:color="auto" w:fill="auto"/>
            <w:noWrap/>
            <w:vAlign w:val="bottom"/>
          </w:tcPr>
          <w:p w14:paraId="786D77E2" w14:textId="7747C81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tcPr>
          <w:p w14:paraId="1A9D102A" w14:textId="310E4A0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1681E6DD" w14:textId="0D47B85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1.9</w:t>
            </w:r>
          </w:p>
        </w:tc>
      </w:tr>
      <w:tr w:rsidR="006B0362" w:rsidRPr="00201CA3" w14:paraId="3437A5FA" w14:textId="77777777" w:rsidTr="006B0362">
        <w:trPr>
          <w:trHeight w:val="70"/>
        </w:trPr>
        <w:tc>
          <w:tcPr>
            <w:tcW w:w="783" w:type="pct"/>
            <w:shd w:val="clear" w:color="auto" w:fill="auto"/>
            <w:noWrap/>
          </w:tcPr>
          <w:p w14:paraId="5665CFB2" w14:textId="6C66838D"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0A0584">
              <w:rPr>
                <w:rFonts w:ascii="Times New Roman" w:eastAsia="Times New Roman" w:hAnsi="Times New Roman" w:cs="Times New Roman"/>
                <w:color w:val="000000"/>
                <w:sz w:val="16"/>
                <w:lang w:eastAsia="en-GB"/>
              </w:rPr>
              <w:t>Cumberland</w:t>
            </w:r>
          </w:p>
        </w:tc>
        <w:tc>
          <w:tcPr>
            <w:tcW w:w="829" w:type="pct"/>
          </w:tcPr>
          <w:p w14:paraId="1ADDC3FF" w14:textId="54395331"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Haig</w:t>
            </w:r>
          </w:p>
        </w:tc>
        <w:tc>
          <w:tcPr>
            <w:tcW w:w="573" w:type="pct"/>
            <w:vAlign w:val="bottom"/>
          </w:tcPr>
          <w:p w14:paraId="58B9D6CD" w14:textId="0AA368C6"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UCM</w:t>
            </w:r>
          </w:p>
        </w:tc>
        <w:tc>
          <w:tcPr>
            <w:tcW w:w="406" w:type="pct"/>
            <w:shd w:val="clear" w:color="auto" w:fill="auto"/>
            <w:noWrap/>
            <w:vAlign w:val="bottom"/>
          </w:tcPr>
          <w:p w14:paraId="48B4C96E" w14:textId="2879839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5AA058DA" w14:textId="6473675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547D7F82" w14:textId="5ECE0E5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1.4</w:t>
            </w:r>
          </w:p>
        </w:tc>
        <w:tc>
          <w:tcPr>
            <w:tcW w:w="406" w:type="pct"/>
            <w:shd w:val="clear" w:color="auto" w:fill="auto"/>
            <w:noWrap/>
            <w:vAlign w:val="bottom"/>
          </w:tcPr>
          <w:p w14:paraId="6D916FAC" w14:textId="27C2690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0.05</w:t>
            </w:r>
          </w:p>
        </w:tc>
        <w:tc>
          <w:tcPr>
            <w:tcW w:w="547" w:type="pct"/>
            <w:shd w:val="clear" w:color="auto" w:fill="auto"/>
            <w:noWrap/>
            <w:vAlign w:val="bottom"/>
          </w:tcPr>
          <w:p w14:paraId="7F760454" w14:textId="12A8D10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0.8</w:t>
            </w:r>
          </w:p>
        </w:tc>
        <w:tc>
          <w:tcPr>
            <w:tcW w:w="341" w:type="pct"/>
            <w:shd w:val="clear" w:color="auto" w:fill="auto"/>
            <w:noWrap/>
            <w:vAlign w:val="bottom"/>
          </w:tcPr>
          <w:p w14:paraId="6D910B9D" w14:textId="38004C3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70778509" w14:textId="70177BD9"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1.1</w:t>
            </w:r>
          </w:p>
        </w:tc>
      </w:tr>
      <w:tr w:rsidR="006B0362" w:rsidRPr="00201CA3" w14:paraId="69F85228" w14:textId="77777777" w:rsidTr="006B0362">
        <w:trPr>
          <w:trHeight w:val="70"/>
        </w:trPr>
        <w:tc>
          <w:tcPr>
            <w:tcW w:w="783" w:type="pct"/>
            <w:shd w:val="clear" w:color="auto" w:fill="auto"/>
            <w:noWrap/>
          </w:tcPr>
          <w:p w14:paraId="76BBD91B" w14:textId="33D1A6AB"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0A0584">
              <w:rPr>
                <w:rFonts w:ascii="Times New Roman" w:eastAsia="Times New Roman" w:hAnsi="Times New Roman" w:cs="Times New Roman"/>
                <w:color w:val="000000"/>
                <w:sz w:val="16"/>
                <w:lang w:eastAsia="en-GB"/>
              </w:rPr>
              <w:t>Cumberland</w:t>
            </w:r>
          </w:p>
        </w:tc>
        <w:tc>
          <w:tcPr>
            <w:tcW w:w="829" w:type="pct"/>
          </w:tcPr>
          <w:p w14:paraId="1F84E642" w14:textId="36395618"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Parton Bay</w:t>
            </w:r>
          </w:p>
        </w:tc>
        <w:tc>
          <w:tcPr>
            <w:tcW w:w="573" w:type="pct"/>
            <w:vAlign w:val="bottom"/>
          </w:tcPr>
          <w:p w14:paraId="7899BD91" w14:textId="58CF5C8A"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U</w:t>
            </w:r>
            <w:r w:rsidR="006B0362" w:rsidRPr="00426C2D">
              <w:rPr>
                <w:sz w:val="16"/>
                <w:szCs w:val="16"/>
              </w:rPr>
              <w:t>CM</w:t>
            </w:r>
          </w:p>
        </w:tc>
        <w:tc>
          <w:tcPr>
            <w:tcW w:w="406" w:type="pct"/>
            <w:shd w:val="clear" w:color="auto" w:fill="auto"/>
            <w:noWrap/>
            <w:vAlign w:val="bottom"/>
          </w:tcPr>
          <w:p w14:paraId="488238C9" w14:textId="6C7250F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46C94372" w14:textId="31B3CD1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322D50BF" w14:textId="2208B7B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3.4</w:t>
            </w:r>
          </w:p>
        </w:tc>
        <w:tc>
          <w:tcPr>
            <w:tcW w:w="406" w:type="pct"/>
            <w:shd w:val="clear" w:color="auto" w:fill="auto"/>
            <w:noWrap/>
            <w:vAlign w:val="bottom"/>
          </w:tcPr>
          <w:p w14:paraId="0F7F6B2F" w14:textId="6843042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0.05</w:t>
            </w:r>
          </w:p>
        </w:tc>
        <w:tc>
          <w:tcPr>
            <w:tcW w:w="547" w:type="pct"/>
            <w:shd w:val="clear" w:color="auto" w:fill="auto"/>
            <w:noWrap/>
            <w:vAlign w:val="bottom"/>
          </w:tcPr>
          <w:p w14:paraId="263F9B9B" w14:textId="0918DAA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tcPr>
          <w:p w14:paraId="71413F41" w14:textId="050AF60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6F24986C" w14:textId="55DF79B1"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0.1</w:t>
            </w:r>
          </w:p>
        </w:tc>
      </w:tr>
      <w:tr w:rsidR="006B0362" w:rsidRPr="00201CA3" w14:paraId="7E8D8A72" w14:textId="77777777" w:rsidTr="006B0362">
        <w:trPr>
          <w:trHeight w:val="70"/>
        </w:trPr>
        <w:tc>
          <w:tcPr>
            <w:tcW w:w="783" w:type="pct"/>
            <w:shd w:val="clear" w:color="auto" w:fill="auto"/>
            <w:noWrap/>
          </w:tcPr>
          <w:p w14:paraId="34095692" w14:textId="0CF3BE13"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0A0584">
              <w:rPr>
                <w:rFonts w:ascii="Times New Roman" w:eastAsia="Times New Roman" w:hAnsi="Times New Roman" w:cs="Times New Roman"/>
                <w:color w:val="000000"/>
                <w:sz w:val="16"/>
                <w:lang w:eastAsia="en-GB"/>
              </w:rPr>
              <w:t>Cumberland</w:t>
            </w:r>
          </w:p>
        </w:tc>
        <w:tc>
          <w:tcPr>
            <w:tcW w:w="829" w:type="pct"/>
          </w:tcPr>
          <w:p w14:paraId="654ADD9A" w14:textId="50A8A1A5"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Lowca Point</w:t>
            </w:r>
          </w:p>
        </w:tc>
        <w:tc>
          <w:tcPr>
            <w:tcW w:w="573" w:type="pct"/>
            <w:vAlign w:val="bottom"/>
          </w:tcPr>
          <w:p w14:paraId="52C8FEEF" w14:textId="261E020F"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UCM</w:t>
            </w:r>
          </w:p>
        </w:tc>
        <w:tc>
          <w:tcPr>
            <w:tcW w:w="406" w:type="pct"/>
            <w:shd w:val="clear" w:color="auto" w:fill="auto"/>
            <w:noWrap/>
            <w:vAlign w:val="bottom"/>
          </w:tcPr>
          <w:p w14:paraId="0424507D" w14:textId="3D0A64C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00308256" w14:textId="6F65989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6004D630" w14:textId="437D6D8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2.6</w:t>
            </w:r>
          </w:p>
        </w:tc>
        <w:tc>
          <w:tcPr>
            <w:tcW w:w="406" w:type="pct"/>
            <w:shd w:val="clear" w:color="auto" w:fill="auto"/>
            <w:noWrap/>
            <w:vAlign w:val="bottom"/>
          </w:tcPr>
          <w:p w14:paraId="3499CB14" w14:textId="6E03669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0.07</w:t>
            </w:r>
          </w:p>
        </w:tc>
        <w:tc>
          <w:tcPr>
            <w:tcW w:w="547" w:type="pct"/>
            <w:shd w:val="clear" w:color="auto" w:fill="auto"/>
            <w:noWrap/>
            <w:vAlign w:val="bottom"/>
          </w:tcPr>
          <w:p w14:paraId="0B1085C0" w14:textId="1F98EDC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0.8</w:t>
            </w:r>
          </w:p>
        </w:tc>
        <w:tc>
          <w:tcPr>
            <w:tcW w:w="341" w:type="pct"/>
            <w:shd w:val="clear" w:color="auto" w:fill="auto"/>
            <w:noWrap/>
            <w:vAlign w:val="bottom"/>
          </w:tcPr>
          <w:p w14:paraId="13E7D52B" w14:textId="183A219E"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3FE991DC" w14:textId="03FA4EC2"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5.1</w:t>
            </w:r>
          </w:p>
        </w:tc>
      </w:tr>
      <w:tr w:rsidR="006B0362" w:rsidRPr="00201CA3" w14:paraId="617ADAAE" w14:textId="77777777" w:rsidTr="006B0362">
        <w:trPr>
          <w:trHeight w:val="70"/>
        </w:trPr>
        <w:tc>
          <w:tcPr>
            <w:tcW w:w="783" w:type="pct"/>
            <w:shd w:val="clear" w:color="auto" w:fill="auto"/>
            <w:noWrap/>
          </w:tcPr>
          <w:p w14:paraId="3B8370E8" w14:textId="3FC119A3" w:rsidR="006B0362" w:rsidRPr="000A0584"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Northumberland</w:t>
            </w:r>
          </w:p>
        </w:tc>
        <w:tc>
          <w:tcPr>
            <w:tcW w:w="829" w:type="pct"/>
          </w:tcPr>
          <w:p w14:paraId="3C8F482A" w14:textId="6E01663E"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Lynemouth</w:t>
            </w:r>
          </w:p>
        </w:tc>
        <w:tc>
          <w:tcPr>
            <w:tcW w:w="573" w:type="pct"/>
            <w:vAlign w:val="bottom"/>
          </w:tcPr>
          <w:p w14:paraId="19B62352" w14:textId="5D98D0EF"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MCM</w:t>
            </w:r>
          </w:p>
        </w:tc>
        <w:tc>
          <w:tcPr>
            <w:tcW w:w="406" w:type="pct"/>
            <w:shd w:val="clear" w:color="auto" w:fill="auto"/>
            <w:noWrap/>
            <w:vAlign w:val="bottom"/>
          </w:tcPr>
          <w:p w14:paraId="5FD0472D" w14:textId="03E8EC1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544773F8" w14:textId="2A99564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5438DD24" w14:textId="3DDECF4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1.0</w:t>
            </w:r>
          </w:p>
        </w:tc>
        <w:tc>
          <w:tcPr>
            <w:tcW w:w="406" w:type="pct"/>
            <w:shd w:val="clear" w:color="auto" w:fill="auto"/>
            <w:noWrap/>
            <w:vAlign w:val="bottom"/>
          </w:tcPr>
          <w:p w14:paraId="24888512" w14:textId="1383BCE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0.02</w:t>
            </w:r>
          </w:p>
        </w:tc>
        <w:tc>
          <w:tcPr>
            <w:tcW w:w="547" w:type="pct"/>
            <w:shd w:val="clear" w:color="auto" w:fill="auto"/>
            <w:noWrap/>
            <w:vAlign w:val="bottom"/>
          </w:tcPr>
          <w:p w14:paraId="2465D8F6" w14:textId="48E6F19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tcPr>
          <w:p w14:paraId="72410B8A" w14:textId="7071C05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301" w:type="pct"/>
            <w:shd w:val="clear" w:color="auto" w:fill="auto"/>
            <w:noWrap/>
            <w:vAlign w:val="bottom"/>
          </w:tcPr>
          <w:p w14:paraId="4464937C" w14:textId="495D3573"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1.8</w:t>
            </w:r>
          </w:p>
        </w:tc>
      </w:tr>
      <w:tr w:rsidR="006B0362" w:rsidRPr="00201CA3" w14:paraId="38ED03A1" w14:textId="77777777" w:rsidTr="006B0362">
        <w:trPr>
          <w:trHeight w:val="70"/>
        </w:trPr>
        <w:tc>
          <w:tcPr>
            <w:tcW w:w="783" w:type="pct"/>
            <w:shd w:val="clear" w:color="auto" w:fill="auto"/>
            <w:noWrap/>
            <w:vAlign w:val="bottom"/>
          </w:tcPr>
          <w:p w14:paraId="6371D237" w14:textId="12941478"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Northumberland</w:t>
            </w:r>
          </w:p>
        </w:tc>
        <w:tc>
          <w:tcPr>
            <w:tcW w:w="829" w:type="pct"/>
          </w:tcPr>
          <w:p w14:paraId="209A6CB0" w14:textId="55E1EBA7"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Potland Burn</w:t>
            </w:r>
          </w:p>
        </w:tc>
        <w:tc>
          <w:tcPr>
            <w:tcW w:w="573" w:type="pct"/>
            <w:vAlign w:val="bottom"/>
          </w:tcPr>
          <w:p w14:paraId="70ADA28D" w14:textId="1F50C2DC"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MCM</w:t>
            </w:r>
          </w:p>
        </w:tc>
        <w:tc>
          <w:tcPr>
            <w:tcW w:w="406" w:type="pct"/>
            <w:shd w:val="clear" w:color="auto" w:fill="auto"/>
            <w:noWrap/>
            <w:vAlign w:val="bottom"/>
          </w:tcPr>
          <w:p w14:paraId="74D35EE6" w14:textId="7B75C90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6BECA21A" w14:textId="69A741DD"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7013A5B8" w14:textId="0912034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1.0</w:t>
            </w:r>
          </w:p>
        </w:tc>
        <w:tc>
          <w:tcPr>
            <w:tcW w:w="406" w:type="pct"/>
            <w:shd w:val="clear" w:color="auto" w:fill="auto"/>
            <w:noWrap/>
            <w:vAlign w:val="bottom"/>
          </w:tcPr>
          <w:p w14:paraId="3CC981CC" w14:textId="13137A2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0.01</w:t>
            </w:r>
          </w:p>
        </w:tc>
        <w:tc>
          <w:tcPr>
            <w:tcW w:w="547" w:type="pct"/>
            <w:shd w:val="clear" w:color="auto" w:fill="auto"/>
            <w:noWrap/>
            <w:vAlign w:val="bottom"/>
          </w:tcPr>
          <w:p w14:paraId="198555FD" w14:textId="12722FC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tcPr>
          <w:p w14:paraId="2B408D73" w14:textId="469A6D4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62.1</w:t>
            </w:r>
          </w:p>
        </w:tc>
        <w:tc>
          <w:tcPr>
            <w:tcW w:w="301" w:type="pct"/>
            <w:shd w:val="clear" w:color="auto" w:fill="auto"/>
            <w:noWrap/>
            <w:vAlign w:val="bottom"/>
          </w:tcPr>
          <w:p w14:paraId="667F33A4" w14:textId="4CF0A298"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0.4</w:t>
            </w:r>
          </w:p>
        </w:tc>
      </w:tr>
      <w:tr w:rsidR="006B0362" w:rsidRPr="00201CA3" w14:paraId="707454DD" w14:textId="77777777" w:rsidTr="006B0362">
        <w:trPr>
          <w:trHeight w:val="70"/>
        </w:trPr>
        <w:tc>
          <w:tcPr>
            <w:tcW w:w="783" w:type="pct"/>
            <w:shd w:val="clear" w:color="auto" w:fill="auto"/>
            <w:noWrap/>
            <w:vAlign w:val="bottom"/>
          </w:tcPr>
          <w:p w14:paraId="7326B047" w14:textId="571A3803"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Northumberland</w:t>
            </w:r>
          </w:p>
        </w:tc>
        <w:tc>
          <w:tcPr>
            <w:tcW w:w="829" w:type="pct"/>
          </w:tcPr>
          <w:p w14:paraId="2E458BFB" w14:textId="23E3BCD5"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Whitley Bay</w:t>
            </w:r>
          </w:p>
        </w:tc>
        <w:tc>
          <w:tcPr>
            <w:tcW w:w="573" w:type="pct"/>
            <w:vAlign w:val="bottom"/>
          </w:tcPr>
          <w:p w14:paraId="09F0890B" w14:textId="3DD27CF4"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MCM</w:t>
            </w:r>
          </w:p>
        </w:tc>
        <w:tc>
          <w:tcPr>
            <w:tcW w:w="406" w:type="pct"/>
            <w:shd w:val="clear" w:color="auto" w:fill="auto"/>
            <w:noWrap/>
            <w:vAlign w:val="bottom"/>
          </w:tcPr>
          <w:p w14:paraId="59466CDF" w14:textId="5041DE0D"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7DCB850B" w14:textId="3F1139B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03BBF5A1" w14:textId="6D42041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0.5</w:t>
            </w:r>
          </w:p>
        </w:tc>
        <w:tc>
          <w:tcPr>
            <w:tcW w:w="406" w:type="pct"/>
            <w:shd w:val="clear" w:color="auto" w:fill="auto"/>
            <w:noWrap/>
            <w:vAlign w:val="bottom"/>
          </w:tcPr>
          <w:p w14:paraId="5CCAD410" w14:textId="51639669"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0.01</w:t>
            </w:r>
          </w:p>
        </w:tc>
        <w:tc>
          <w:tcPr>
            <w:tcW w:w="547" w:type="pct"/>
            <w:shd w:val="clear" w:color="auto" w:fill="auto"/>
            <w:noWrap/>
            <w:vAlign w:val="bottom"/>
          </w:tcPr>
          <w:p w14:paraId="6C365AF4" w14:textId="419EB06B"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0.6</w:t>
            </w:r>
          </w:p>
        </w:tc>
        <w:tc>
          <w:tcPr>
            <w:tcW w:w="341" w:type="pct"/>
            <w:shd w:val="clear" w:color="auto" w:fill="auto"/>
            <w:noWrap/>
            <w:vAlign w:val="bottom"/>
          </w:tcPr>
          <w:p w14:paraId="7C4C271E" w14:textId="2A8E22C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62.4</w:t>
            </w:r>
          </w:p>
        </w:tc>
        <w:tc>
          <w:tcPr>
            <w:tcW w:w="301" w:type="pct"/>
            <w:shd w:val="clear" w:color="auto" w:fill="auto"/>
            <w:noWrap/>
            <w:vAlign w:val="bottom"/>
          </w:tcPr>
          <w:p w14:paraId="10859A12" w14:textId="777B36C2"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0.4</w:t>
            </w:r>
          </w:p>
        </w:tc>
      </w:tr>
      <w:tr w:rsidR="006B0362" w:rsidRPr="00201CA3" w14:paraId="787E7B61" w14:textId="77777777" w:rsidTr="006B0362">
        <w:trPr>
          <w:trHeight w:val="70"/>
        </w:trPr>
        <w:tc>
          <w:tcPr>
            <w:tcW w:w="783" w:type="pct"/>
            <w:shd w:val="clear" w:color="auto" w:fill="auto"/>
            <w:noWrap/>
            <w:vAlign w:val="bottom"/>
          </w:tcPr>
          <w:p w14:paraId="623C8DA7" w14:textId="72D006E0"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Northumberland</w:t>
            </w:r>
          </w:p>
        </w:tc>
        <w:tc>
          <w:tcPr>
            <w:tcW w:w="829" w:type="pct"/>
          </w:tcPr>
          <w:p w14:paraId="48131EE7" w14:textId="31A4B4DD" w:rsidR="006B0362"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Shotton</w:t>
            </w:r>
          </w:p>
        </w:tc>
        <w:tc>
          <w:tcPr>
            <w:tcW w:w="573" w:type="pct"/>
            <w:vAlign w:val="bottom"/>
          </w:tcPr>
          <w:p w14:paraId="2C26E723" w14:textId="28769992"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MCM</w:t>
            </w:r>
          </w:p>
        </w:tc>
        <w:tc>
          <w:tcPr>
            <w:tcW w:w="406" w:type="pct"/>
            <w:shd w:val="clear" w:color="auto" w:fill="auto"/>
            <w:noWrap/>
            <w:vAlign w:val="bottom"/>
          </w:tcPr>
          <w:p w14:paraId="1C745613" w14:textId="6BC6292F"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3616D9BD" w14:textId="1C5BCE9C"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tcPr>
          <w:p w14:paraId="25AC0266" w14:textId="748E0FB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5.9</w:t>
            </w:r>
          </w:p>
        </w:tc>
        <w:tc>
          <w:tcPr>
            <w:tcW w:w="406" w:type="pct"/>
            <w:shd w:val="clear" w:color="auto" w:fill="auto"/>
            <w:noWrap/>
            <w:vAlign w:val="bottom"/>
          </w:tcPr>
          <w:p w14:paraId="52E4DB9E" w14:textId="08FDA398"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0.06</w:t>
            </w:r>
          </w:p>
        </w:tc>
        <w:tc>
          <w:tcPr>
            <w:tcW w:w="547" w:type="pct"/>
            <w:shd w:val="clear" w:color="auto" w:fill="auto"/>
            <w:noWrap/>
            <w:vAlign w:val="bottom"/>
          </w:tcPr>
          <w:p w14:paraId="30CA3110" w14:textId="7FE2C046"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0.7</w:t>
            </w:r>
          </w:p>
        </w:tc>
        <w:tc>
          <w:tcPr>
            <w:tcW w:w="341" w:type="pct"/>
            <w:shd w:val="clear" w:color="auto" w:fill="auto"/>
            <w:noWrap/>
            <w:vAlign w:val="bottom"/>
          </w:tcPr>
          <w:p w14:paraId="57C90588" w14:textId="6421C87D"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57.5</w:t>
            </w:r>
          </w:p>
        </w:tc>
        <w:tc>
          <w:tcPr>
            <w:tcW w:w="301" w:type="pct"/>
            <w:shd w:val="clear" w:color="auto" w:fill="auto"/>
            <w:noWrap/>
            <w:vAlign w:val="bottom"/>
          </w:tcPr>
          <w:p w14:paraId="55E620A0" w14:textId="6E275F2D"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Pr>
                <w:rFonts w:ascii="Times New Roman" w:eastAsia="Times New Roman" w:hAnsi="Times New Roman" w:cs="Times New Roman"/>
                <w:sz w:val="16"/>
                <w:szCs w:val="20"/>
                <w:lang w:eastAsia="en-GB"/>
              </w:rPr>
              <w:t>5.3</w:t>
            </w:r>
          </w:p>
        </w:tc>
      </w:tr>
      <w:tr w:rsidR="006B0362" w:rsidRPr="00201CA3" w14:paraId="18428FF1" w14:textId="77777777" w:rsidTr="006B0362">
        <w:trPr>
          <w:trHeight w:val="195"/>
        </w:trPr>
        <w:tc>
          <w:tcPr>
            <w:tcW w:w="783" w:type="pct"/>
            <w:shd w:val="clear" w:color="auto" w:fill="auto"/>
            <w:noWrap/>
            <w:vAlign w:val="bottom"/>
            <w:hideMark/>
          </w:tcPr>
          <w:p w14:paraId="462D3241"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Yorkshire</w:t>
            </w:r>
          </w:p>
        </w:tc>
        <w:tc>
          <w:tcPr>
            <w:tcW w:w="829" w:type="pct"/>
          </w:tcPr>
          <w:p w14:paraId="4EEDD35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Fountain’s Fell</w:t>
            </w:r>
          </w:p>
        </w:tc>
        <w:tc>
          <w:tcPr>
            <w:tcW w:w="573" w:type="pct"/>
            <w:vAlign w:val="bottom"/>
          </w:tcPr>
          <w:p w14:paraId="5A3908D4" w14:textId="5EF0D9DA"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YG</w:t>
            </w:r>
          </w:p>
        </w:tc>
        <w:tc>
          <w:tcPr>
            <w:tcW w:w="406" w:type="pct"/>
            <w:shd w:val="clear" w:color="auto" w:fill="auto"/>
            <w:noWrap/>
            <w:vAlign w:val="bottom"/>
            <w:hideMark/>
          </w:tcPr>
          <w:p w14:paraId="639CF0D2" w14:textId="6B7DF55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6CF835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31EDFB9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406" w:type="pct"/>
            <w:shd w:val="clear" w:color="auto" w:fill="auto"/>
            <w:noWrap/>
            <w:vAlign w:val="bottom"/>
            <w:hideMark/>
          </w:tcPr>
          <w:p w14:paraId="11D9B40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67DC917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341" w:type="pct"/>
            <w:shd w:val="clear" w:color="auto" w:fill="auto"/>
            <w:noWrap/>
            <w:vAlign w:val="bottom"/>
            <w:hideMark/>
          </w:tcPr>
          <w:p w14:paraId="13C6488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71.0</w:t>
            </w:r>
          </w:p>
        </w:tc>
        <w:tc>
          <w:tcPr>
            <w:tcW w:w="301" w:type="pct"/>
            <w:shd w:val="clear" w:color="auto" w:fill="auto"/>
            <w:noWrap/>
            <w:vAlign w:val="bottom"/>
            <w:hideMark/>
          </w:tcPr>
          <w:p w14:paraId="38D9D80F"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0.4</w:t>
            </w:r>
          </w:p>
        </w:tc>
      </w:tr>
      <w:tr w:rsidR="006B0362" w:rsidRPr="00201CA3" w14:paraId="494619BE" w14:textId="77777777" w:rsidTr="006B0362">
        <w:trPr>
          <w:trHeight w:val="149"/>
        </w:trPr>
        <w:tc>
          <w:tcPr>
            <w:tcW w:w="783" w:type="pct"/>
            <w:shd w:val="clear" w:color="auto" w:fill="auto"/>
            <w:noWrap/>
            <w:vAlign w:val="bottom"/>
            <w:hideMark/>
          </w:tcPr>
          <w:p w14:paraId="4C98D7E2"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Yorkshire</w:t>
            </w:r>
          </w:p>
        </w:tc>
        <w:tc>
          <w:tcPr>
            <w:tcW w:w="829" w:type="pct"/>
          </w:tcPr>
          <w:p w14:paraId="1E9ECFF2"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Todmorden Moor</w:t>
            </w:r>
          </w:p>
        </w:tc>
        <w:tc>
          <w:tcPr>
            <w:tcW w:w="573" w:type="pct"/>
            <w:vAlign w:val="bottom"/>
          </w:tcPr>
          <w:p w14:paraId="05D0B6DA" w14:textId="67BE526F"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7E128D77" w14:textId="5914962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28CA1A3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6C5BD5B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406" w:type="pct"/>
            <w:shd w:val="clear" w:color="auto" w:fill="auto"/>
            <w:noWrap/>
            <w:vAlign w:val="bottom"/>
            <w:hideMark/>
          </w:tcPr>
          <w:p w14:paraId="1A21C5D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1CB06BC1"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341" w:type="pct"/>
            <w:shd w:val="clear" w:color="auto" w:fill="auto"/>
            <w:noWrap/>
            <w:vAlign w:val="bottom"/>
            <w:hideMark/>
          </w:tcPr>
          <w:p w14:paraId="372294FE"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50.0</w:t>
            </w:r>
          </w:p>
        </w:tc>
        <w:tc>
          <w:tcPr>
            <w:tcW w:w="301" w:type="pct"/>
            <w:shd w:val="clear" w:color="auto" w:fill="auto"/>
            <w:noWrap/>
            <w:vAlign w:val="bottom"/>
            <w:hideMark/>
          </w:tcPr>
          <w:p w14:paraId="44BAB1DC"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0.3</w:t>
            </w:r>
          </w:p>
        </w:tc>
      </w:tr>
      <w:tr w:rsidR="006B0362" w:rsidRPr="00201CA3" w14:paraId="6DD7D37A" w14:textId="77777777" w:rsidTr="006B0362">
        <w:trPr>
          <w:trHeight w:val="117"/>
        </w:trPr>
        <w:tc>
          <w:tcPr>
            <w:tcW w:w="783" w:type="pct"/>
            <w:shd w:val="clear" w:color="auto" w:fill="auto"/>
            <w:noWrap/>
            <w:vAlign w:val="bottom"/>
            <w:hideMark/>
          </w:tcPr>
          <w:p w14:paraId="2156592E"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North Wales</w:t>
            </w:r>
          </w:p>
        </w:tc>
        <w:tc>
          <w:tcPr>
            <w:tcW w:w="829" w:type="pct"/>
          </w:tcPr>
          <w:p w14:paraId="08A7F44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Wrexham</w:t>
            </w:r>
          </w:p>
        </w:tc>
        <w:tc>
          <w:tcPr>
            <w:tcW w:w="573" w:type="pct"/>
            <w:vAlign w:val="bottom"/>
          </w:tcPr>
          <w:p w14:paraId="283FDF3E" w14:textId="1F0B5A99"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WG</w:t>
            </w:r>
          </w:p>
        </w:tc>
        <w:tc>
          <w:tcPr>
            <w:tcW w:w="406" w:type="pct"/>
            <w:shd w:val="clear" w:color="auto" w:fill="auto"/>
            <w:noWrap/>
            <w:vAlign w:val="bottom"/>
            <w:hideMark/>
          </w:tcPr>
          <w:p w14:paraId="6EBB832C" w14:textId="33037F85"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2AA420C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758B2F0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5.6</w:t>
            </w:r>
          </w:p>
        </w:tc>
        <w:tc>
          <w:tcPr>
            <w:tcW w:w="406" w:type="pct"/>
            <w:shd w:val="clear" w:color="auto" w:fill="auto"/>
            <w:noWrap/>
            <w:vAlign w:val="bottom"/>
            <w:hideMark/>
          </w:tcPr>
          <w:p w14:paraId="77977E6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09D9EAA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0.7</w:t>
            </w:r>
          </w:p>
        </w:tc>
        <w:tc>
          <w:tcPr>
            <w:tcW w:w="341" w:type="pct"/>
            <w:shd w:val="clear" w:color="auto" w:fill="auto"/>
            <w:noWrap/>
            <w:vAlign w:val="bottom"/>
            <w:hideMark/>
          </w:tcPr>
          <w:p w14:paraId="080BAE1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67.6</w:t>
            </w:r>
          </w:p>
        </w:tc>
        <w:tc>
          <w:tcPr>
            <w:tcW w:w="301" w:type="pct"/>
            <w:shd w:val="clear" w:color="auto" w:fill="auto"/>
            <w:noWrap/>
            <w:vAlign w:val="bottom"/>
            <w:hideMark/>
          </w:tcPr>
          <w:p w14:paraId="4321416D"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4.2</w:t>
            </w:r>
          </w:p>
        </w:tc>
      </w:tr>
      <w:tr w:rsidR="006B0362" w:rsidRPr="00201CA3" w14:paraId="3AD0399D" w14:textId="77777777" w:rsidTr="006B0362">
        <w:trPr>
          <w:trHeight w:val="121"/>
        </w:trPr>
        <w:tc>
          <w:tcPr>
            <w:tcW w:w="783" w:type="pct"/>
            <w:shd w:val="clear" w:color="auto" w:fill="auto"/>
            <w:noWrap/>
            <w:vAlign w:val="bottom"/>
            <w:hideMark/>
          </w:tcPr>
          <w:p w14:paraId="0BD8EA35" w14:textId="7777777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Derbyshire</w:t>
            </w:r>
          </w:p>
        </w:tc>
        <w:tc>
          <w:tcPr>
            <w:tcW w:w="829" w:type="pct"/>
          </w:tcPr>
          <w:p w14:paraId="1B9DA28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Buxton</w:t>
            </w:r>
          </w:p>
        </w:tc>
        <w:tc>
          <w:tcPr>
            <w:tcW w:w="573" w:type="pct"/>
            <w:vAlign w:val="bottom"/>
          </w:tcPr>
          <w:p w14:paraId="5DBCF2AA" w14:textId="0B78B208"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LCM</w:t>
            </w:r>
          </w:p>
        </w:tc>
        <w:tc>
          <w:tcPr>
            <w:tcW w:w="406" w:type="pct"/>
            <w:shd w:val="clear" w:color="auto" w:fill="auto"/>
            <w:noWrap/>
            <w:vAlign w:val="bottom"/>
            <w:hideMark/>
          </w:tcPr>
          <w:p w14:paraId="55D25AD2" w14:textId="356423C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01F309E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63CF8DB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1.1</w:t>
            </w:r>
          </w:p>
        </w:tc>
        <w:tc>
          <w:tcPr>
            <w:tcW w:w="406" w:type="pct"/>
            <w:shd w:val="clear" w:color="auto" w:fill="auto"/>
            <w:noWrap/>
            <w:vAlign w:val="bottom"/>
            <w:hideMark/>
          </w:tcPr>
          <w:p w14:paraId="2C7C015E" w14:textId="6EA6C0A0"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&lt;</w:t>
            </w:r>
            <w:r w:rsidR="009E0E38">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2C4D4ED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1.2</w:t>
            </w:r>
          </w:p>
        </w:tc>
        <w:tc>
          <w:tcPr>
            <w:tcW w:w="341" w:type="pct"/>
            <w:shd w:val="clear" w:color="auto" w:fill="auto"/>
            <w:noWrap/>
            <w:vAlign w:val="bottom"/>
            <w:hideMark/>
          </w:tcPr>
          <w:p w14:paraId="2CD7345A"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58.7</w:t>
            </w:r>
          </w:p>
        </w:tc>
        <w:tc>
          <w:tcPr>
            <w:tcW w:w="301" w:type="pct"/>
            <w:shd w:val="clear" w:color="auto" w:fill="auto"/>
            <w:noWrap/>
            <w:vAlign w:val="bottom"/>
            <w:hideMark/>
          </w:tcPr>
          <w:p w14:paraId="57001FC9"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1.0</w:t>
            </w:r>
          </w:p>
        </w:tc>
      </w:tr>
      <w:tr w:rsidR="006B0362" w:rsidRPr="00201CA3" w14:paraId="505CC6C9" w14:textId="77777777" w:rsidTr="006B0362">
        <w:trPr>
          <w:trHeight w:val="191"/>
        </w:trPr>
        <w:tc>
          <w:tcPr>
            <w:tcW w:w="783" w:type="pct"/>
            <w:shd w:val="clear" w:color="auto" w:fill="auto"/>
            <w:noWrap/>
            <w:vAlign w:val="bottom"/>
            <w:hideMark/>
          </w:tcPr>
          <w:p w14:paraId="613EFC79" w14:textId="2B50BBD7"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Staffordshire</w:t>
            </w:r>
          </w:p>
        </w:tc>
        <w:tc>
          <w:tcPr>
            <w:tcW w:w="829" w:type="pct"/>
          </w:tcPr>
          <w:p w14:paraId="48688FE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Hanley</w:t>
            </w:r>
          </w:p>
        </w:tc>
        <w:tc>
          <w:tcPr>
            <w:tcW w:w="573" w:type="pct"/>
            <w:vAlign w:val="bottom"/>
          </w:tcPr>
          <w:p w14:paraId="4F3A9EAF" w14:textId="24C04B33"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UCM</w:t>
            </w:r>
          </w:p>
        </w:tc>
        <w:tc>
          <w:tcPr>
            <w:tcW w:w="406" w:type="pct"/>
            <w:shd w:val="clear" w:color="auto" w:fill="auto"/>
            <w:noWrap/>
            <w:vAlign w:val="bottom"/>
            <w:hideMark/>
          </w:tcPr>
          <w:p w14:paraId="2F11743D" w14:textId="34B64324"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BA5188F"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17ABFBF8"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0.6</w:t>
            </w:r>
          </w:p>
        </w:tc>
        <w:tc>
          <w:tcPr>
            <w:tcW w:w="406" w:type="pct"/>
            <w:shd w:val="clear" w:color="auto" w:fill="auto"/>
            <w:noWrap/>
            <w:vAlign w:val="bottom"/>
            <w:hideMark/>
          </w:tcPr>
          <w:p w14:paraId="3BEE20A7"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39676C0D"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c>
          <w:tcPr>
            <w:tcW w:w="341" w:type="pct"/>
            <w:shd w:val="clear" w:color="auto" w:fill="auto"/>
            <w:noWrap/>
            <w:vAlign w:val="bottom"/>
            <w:hideMark/>
          </w:tcPr>
          <w:p w14:paraId="4FA9103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31.4</w:t>
            </w:r>
          </w:p>
        </w:tc>
        <w:tc>
          <w:tcPr>
            <w:tcW w:w="301" w:type="pct"/>
            <w:shd w:val="clear" w:color="auto" w:fill="auto"/>
            <w:noWrap/>
            <w:vAlign w:val="bottom"/>
            <w:hideMark/>
          </w:tcPr>
          <w:p w14:paraId="23DF80CC"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0.2</w:t>
            </w:r>
          </w:p>
        </w:tc>
      </w:tr>
      <w:tr w:rsidR="006B0362" w:rsidRPr="00201CA3" w14:paraId="25E0718F" w14:textId="77777777" w:rsidTr="006B0362">
        <w:trPr>
          <w:trHeight w:val="124"/>
        </w:trPr>
        <w:tc>
          <w:tcPr>
            <w:tcW w:w="783" w:type="pct"/>
            <w:shd w:val="clear" w:color="auto" w:fill="auto"/>
            <w:noWrap/>
            <w:vAlign w:val="bottom"/>
            <w:hideMark/>
          </w:tcPr>
          <w:p w14:paraId="1242DB19" w14:textId="7394A50A"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Staffordshire</w:t>
            </w:r>
          </w:p>
        </w:tc>
        <w:tc>
          <w:tcPr>
            <w:tcW w:w="829" w:type="pct"/>
          </w:tcPr>
          <w:p w14:paraId="29DC0BE6" w14:textId="0011A671"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Ap</w:t>
            </w:r>
            <w:r w:rsidR="00A65A5C">
              <w:rPr>
                <w:rFonts w:ascii="Times New Roman" w:eastAsia="Times New Roman" w:hAnsi="Times New Roman" w:cs="Times New Roman"/>
                <w:color w:val="000000"/>
                <w:sz w:val="16"/>
                <w:lang w:eastAsia="en-GB"/>
              </w:rPr>
              <w:t>e</w:t>
            </w:r>
            <w:r w:rsidRPr="00201CA3">
              <w:rPr>
                <w:rFonts w:ascii="Times New Roman" w:eastAsia="Times New Roman" w:hAnsi="Times New Roman" w:cs="Times New Roman"/>
                <w:color w:val="000000"/>
                <w:sz w:val="16"/>
                <w:lang w:eastAsia="en-GB"/>
              </w:rPr>
              <w:t>dale</w:t>
            </w:r>
          </w:p>
        </w:tc>
        <w:tc>
          <w:tcPr>
            <w:tcW w:w="573" w:type="pct"/>
            <w:vAlign w:val="bottom"/>
          </w:tcPr>
          <w:p w14:paraId="23062698" w14:textId="4B880F23" w:rsidR="006B0362" w:rsidRPr="00426C2D" w:rsidRDefault="00A65A5C" w:rsidP="006B0362">
            <w:pPr>
              <w:spacing w:after="0" w:line="360" w:lineRule="auto"/>
              <w:jc w:val="center"/>
              <w:rPr>
                <w:rFonts w:ascii="Times New Roman" w:eastAsia="Times New Roman" w:hAnsi="Times New Roman" w:cs="Times New Roman"/>
                <w:sz w:val="16"/>
                <w:lang w:eastAsia="en-GB"/>
              </w:rPr>
            </w:pPr>
            <w:r w:rsidRPr="00426C2D">
              <w:rPr>
                <w:sz w:val="16"/>
                <w:szCs w:val="16"/>
              </w:rPr>
              <w:t>U</w:t>
            </w:r>
            <w:r w:rsidR="006B0362" w:rsidRPr="00426C2D">
              <w:rPr>
                <w:sz w:val="16"/>
                <w:szCs w:val="16"/>
              </w:rPr>
              <w:t>CM</w:t>
            </w:r>
          </w:p>
        </w:tc>
        <w:tc>
          <w:tcPr>
            <w:tcW w:w="406" w:type="pct"/>
            <w:shd w:val="clear" w:color="auto" w:fill="auto"/>
            <w:noWrap/>
            <w:vAlign w:val="bottom"/>
            <w:hideMark/>
          </w:tcPr>
          <w:p w14:paraId="075E6E11" w14:textId="16E67AE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CB13773"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5A9163C"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5.6</w:t>
            </w:r>
          </w:p>
        </w:tc>
        <w:tc>
          <w:tcPr>
            <w:tcW w:w="406" w:type="pct"/>
            <w:shd w:val="clear" w:color="auto" w:fill="auto"/>
            <w:noWrap/>
            <w:vAlign w:val="bottom"/>
            <w:hideMark/>
          </w:tcPr>
          <w:p w14:paraId="02C6E560" w14:textId="2D8E0583"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&lt;</w:t>
            </w:r>
            <w:r w:rsidR="009E0E38">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235A44BB"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0.8</w:t>
            </w:r>
          </w:p>
        </w:tc>
        <w:tc>
          <w:tcPr>
            <w:tcW w:w="341" w:type="pct"/>
            <w:shd w:val="clear" w:color="auto" w:fill="auto"/>
            <w:noWrap/>
            <w:vAlign w:val="bottom"/>
            <w:hideMark/>
          </w:tcPr>
          <w:p w14:paraId="590B7DE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65.9</w:t>
            </w:r>
          </w:p>
        </w:tc>
        <w:tc>
          <w:tcPr>
            <w:tcW w:w="301" w:type="pct"/>
            <w:shd w:val="clear" w:color="auto" w:fill="auto"/>
            <w:noWrap/>
            <w:vAlign w:val="bottom"/>
            <w:hideMark/>
          </w:tcPr>
          <w:p w14:paraId="28E9A15F"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3.0</w:t>
            </w:r>
          </w:p>
        </w:tc>
      </w:tr>
      <w:tr w:rsidR="006B0362" w:rsidRPr="00201CA3" w14:paraId="50EA0B24" w14:textId="77777777" w:rsidTr="006B0362">
        <w:trPr>
          <w:trHeight w:val="199"/>
        </w:trPr>
        <w:tc>
          <w:tcPr>
            <w:tcW w:w="783" w:type="pct"/>
            <w:shd w:val="clear" w:color="auto" w:fill="auto"/>
            <w:noWrap/>
            <w:vAlign w:val="bottom"/>
            <w:hideMark/>
          </w:tcPr>
          <w:p w14:paraId="2E714FB2" w14:textId="4CFB6BAF" w:rsidR="006B0362" w:rsidRPr="00201CA3" w:rsidRDefault="006B0362" w:rsidP="006B0362">
            <w:pPr>
              <w:spacing w:after="0" w:line="360" w:lineRule="auto"/>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South Wales</w:t>
            </w:r>
          </w:p>
        </w:tc>
        <w:tc>
          <w:tcPr>
            <w:tcW w:w="829" w:type="pct"/>
          </w:tcPr>
          <w:p w14:paraId="4C0B23D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Pembroke</w:t>
            </w:r>
          </w:p>
        </w:tc>
        <w:tc>
          <w:tcPr>
            <w:tcW w:w="573" w:type="pct"/>
            <w:vAlign w:val="bottom"/>
          </w:tcPr>
          <w:p w14:paraId="23DCAEBA" w14:textId="10C0879B" w:rsidR="006B0362" w:rsidRPr="00426C2D" w:rsidRDefault="0099492E" w:rsidP="006B0362">
            <w:pPr>
              <w:spacing w:after="0" w:line="360" w:lineRule="auto"/>
              <w:jc w:val="center"/>
              <w:rPr>
                <w:rFonts w:ascii="Times New Roman" w:eastAsia="Times New Roman" w:hAnsi="Times New Roman" w:cs="Times New Roman"/>
                <w:sz w:val="16"/>
                <w:lang w:eastAsia="en-GB"/>
              </w:rPr>
            </w:pPr>
            <w:r w:rsidRPr="00426C2D">
              <w:rPr>
                <w:sz w:val="16"/>
                <w:szCs w:val="16"/>
              </w:rPr>
              <w:t>SW</w:t>
            </w:r>
            <w:r w:rsidR="00A65A5C" w:rsidRPr="00426C2D">
              <w:rPr>
                <w:sz w:val="16"/>
                <w:szCs w:val="16"/>
              </w:rPr>
              <w:t>U</w:t>
            </w:r>
            <w:r w:rsidR="006B0362" w:rsidRPr="00426C2D">
              <w:rPr>
                <w:sz w:val="16"/>
                <w:szCs w:val="16"/>
              </w:rPr>
              <w:t>CM</w:t>
            </w:r>
          </w:p>
        </w:tc>
        <w:tc>
          <w:tcPr>
            <w:tcW w:w="406" w:type="pct"/>
            <w:shd w:val="clear" w:color="auto" w:fill="auto"/>
            <w:noWrap/>
            <w:vAlign w:val="bottom"/>
            <w:hideMark/>
          </w:tcPr>
          <w:p w14:paraId="42DA65C2" w14:textId="3E0368EA"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F7E9885"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w:t>
            </w:r>
          </w:p>
        </w:tc>
        <w:tc>
          <w:tcPr>
            <w:tcW w:w="406" w:type="pct"/>
            <w:shd w:val="clear" w:color="auto" w:fill="auto"/>
            <w:noWrap/>
            <w:vAlign w:val="bottom"/>
            <w:hideMark/>
          </w:tcPr>
          <w:p w14:paraId="46AE0660"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1.0</w:t>
            </w:r>
          </w:p>
        </w:tc>
        <w:tc>
          <w:tcPr>
            <w:tcW w:w="406" w:type="pct"/>
            <w:shd w:val="clear" w:color="auto" w:fill="auto"/>
            <w:noWrap/>
            <w:vAlign w:val="bottom"/>
            <w:hideMark/>
          </w:tcPr>
          <w:p w14:paraId="1D376579"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0.01</w:t>
            </w:r>
          </w:p>
        </w:tc>
        <w:tc>
          <w:tcPr>
            <w:tcW w:w="547" w:type="pct"/>
            <w:shd w:val="clear" w:color="auto" w:fill="auto"/>
            <w:noWrap/>
            <w:vAlign w:val="bottom"/>
            <w:hideMark/>
          </w:tcPr>
          <w:p w14:paraId="713C8934"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2.5</w:t>
            </w:r>
          </w:p>
        </w:tc>
        <w:tc>
          <w:tcPr>
            <w:tcW w:w="341" w:type="pct"/>
            <w:shd w:val="clear" w:color="auto" w:fill="auto"/>
            <w:noWrap/>
            <w:vAlign w:val="bottom"/>
            <w:hideMark/>
          </w:tcPr>
          <w:p w14:paraId="3A687D36" w14:textId="77777777" w:rsidR="006B0362" w:rsidRPr="00201CA3" w:rsidRDefault="006B0362" w:rsidP="006B0362">
            <w:pPr>
              <w:spacing w:after="0" w:line="360" w:lineRule="auto"/>
              <w:jc w:val="center"/>
              <w:rPr>
                <w:rFonts w:ascii="Times New Roman" w:eastAsia="Times New Roman" w:hAnsi="Times New Roman" w:cs="Times New Roman"/>
                <w:color w:val="000000"/>
                <w:sz w:val="16"/>
                <w:lang w:eastAsia="en-GB"/>
              </w:rPr>
            </w:pPr>
            <w:r w:rsidRPr="00201CA3">
              <w:rPr>
                <w:rFonts w:ascii="Times New Roman" w:eastAsia="Times New Roman" w:hAnsi="Times New Roman" w:cs="Times New Roman"/>
                <w:color w:val="000000"/>
                <w:sz w:val="16"/>
                <w:lang w:eastAsia="en-GB"/>
              </w:rPr>
              <w:t>69.2</w:t>
            </w:r>
          </w:p>
        </w:tc>
        <w:tc>
          <w:tcPr>
            <w:tcW w:w="301" w:type="pct"/>
            <w:shd w:val="clear" w:color="auto" w:fill="auto"/>
            <w:noWrap/>
            <w:vAlign w:val="bottom"/>
            <w:hideMark/>
          </w:tcPr>
          <w:p w14:paraId="55985B0E" w14:textId="77777777" w:rsidR="006B0362" w:rsidRPr="00201CA3" w:rsidRDefault="006B0362" w:rsidP="006B0362">
            <w:pPr>
              <w:spacing w:after="0" w:line="360" w:lineRule="auto"/>
              <w:jc w:val="center"/>
              <w:rPr>
                <w:rFonts w:ascii="Times New Roman" w:eastAsia="Times New Roman" w:hAnsi="Times New Roman" w:cs="Times New Roman"/>
                <w:sz w:val="16"/>
                <w:szCs w:val="20"/>
                <w:lang w:eastAsia="en-GB"/>
              </w:rPr>
            </w:pPr>
            <w:r w:rsidRPr="00201CA3">
              <w:rPr>
                <w:rFonts w:ascii="Times New Roman" w:eastAsia="Times New Roman" w:hAnsi="Times New Roman" w:cs="Times New Roman"/>
                <w:sz w:val="16"/>
                <w:szCs w:val="20"/>
                <w:lang w:eastAsia="en-GB"/>
              </w:rPr>
              <w:t>4.2</w:t>
            </w:r>
          </w:p>
        </w:tc>
      </w:tr>
      <w:tr w:rsidR="00426C2D" w:rsidRPr="00426C2D" w14:paraId="38B98A41" w14:textId="77777777" w:rsidTr="006B0362">
        <w:trPr>
          <w:trHeight w:val="199"/>
        </w:trPr>
        <w:tc>
          <w:tcPr>
            <w:tcW w:w="783" w:type="pct"/>
            <w:tcBorders>
              <w:bottom w:val="single" w:sz="12" w:space="0" w:color="000000"/>
            </w:tcBorders>
            <w:shd w:val="clear" w:color="auto" w:fill="auto"/>
            <w:noWrap/>
            <w:vAlign w:val="bottom"/>
          </w:tcPr>
          <w:p w14:paraId="1EBCCD2D" w14:textId="112E3D8B" w:rsidR="006B0362" w:rsidRPr="00426C2D" w:rsidRDefault="006B0362" w:rsidP="006B0362">
            <w:pPr>
              <w:spacing w:after="0" w:line="360" w:lineRule="auto"/>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Somerset</w:t>
            </w:r>
          </w:p>
        </w:tc>
        <w:tc>
          <w:tcPr>
            <w:tcW w:w="829" w:type="pct"/>
            <w:tcBorders>
              <w:bottom w:val="single" w:sz="12" w:space="0" w:color="000000"/>
            </w:tcBorders>
          </w:tcPr>
          <w:p w14:paraId="4C1808CB" w14:textId="762D7422"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Midsomer Norton</w:t>
            </w:r>
          </w:p>
        </w:tc>
        <w:tc>
          <w:tcPr>
            <w:tcW w:w="573" w:type="pct"/>
            <w:tcBorders>
              <w:bottom w:val="single" w:sz="12" w:space="0" w:color="000000"/>
            </w:tcBorders>
            <w:vAlign w:val="bottom"/>
          </w:tcPr>
          <w:p w14:paraId="69ED6E44" w14:textId="142464C8"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sz w:val="16"/>
                <w:szCs w:val="16"/>
              </w:rPr>
              <w:t>MCM</w:t>
            </w:r>
          </w:p>
        </w:tc>
        <w:tc>
          <w:tcPr>
            <w:tcW w:w="406" w:type="pct"/>
            <w:tcBorders>
              <w:bottom w:val="single" w:sz="12" w:space="0" w:color="000000"/>
            </w:tcBorders>
            <w:shd w:val="clear" w:color="auto" w:fill="auto"/>
            <w:noWrap/>
            <w:vAlign w:val="bottom"/>
          </w:tcPr>
          <w:p w14:paraId="51163E98" w14:textId="6427E79D"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w:t>
            </w:r>
          </w:p>
        </w:tc>
        <w:tc>
          <w:tcPr>
            <w:tcW w:w="406" w:type="pct"/>
            <w:tcBorders>
              <w:bottom w:val="single" w:sz="12" w:space="0" w:color="000000"/>
            </w:tcBorders>
            <w:shd w:val="clear" w:color="auto" w:fill="auto"/>
            <w:noWrap/>
            <w:vAlign w:val="bottom"/>
          </w:tcPr>
          <w:p w14:paraId="5D6C27CE" w14:textId="64FB86EB"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w:t>
            </w:r>
          </w:p>
        </w:tc>
        <w:tc>
          <w:tcPr>
            <w:tcW w:w="406" w:type="pct"/>
            <w:tcBorders>
              <w:bottom w:val="single" w:sz="12" w:space="0" w:color="000000"/>
            </w:tcBorders>
            <w:shd w:val="clear" w:color="auto" w:fill="auto"/>
            <w:noWrap/>
            <w:vAlign w:val="bottom"/>
          </w:tcPr>
          <w:p w14:paraId="193FFAD5" w14:textId="77EBCDCA"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0.4</w:t>
            </w:r>
          </w:p>
        </w:tc>
        <w:tc>
          <w:tcPr>
            <w:tcW w:w="406" w:type="pct"/>
            <w:tcBorders>
              <w:bottom w:val="single" w:sz="12" w:space="0" w:color="000000"/>
            </w:tcBorders>
            <w:shd w:val="clear" w:color="auto" w:fill="auto"/>
            <w:noWrap/>
            <w:vAlign w:val="bottom"/>
          </w:tcPr>
          <w:p w14:paraId="46866D8F" w14:textId="76C268F9"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0.02</w:t>
            </w:r>
          </w:p>
        </w:tc>
        <w:tc>
          <w:tcPr>
            <w:tcW w:w="547" w:type="pct"/>
            <w:tcBorders>
              <w:bottom w:val="single" w:sz="12" w:space="0" w:color="000000"/>
            </w:tcBorders>
            <w:shd w:val="clear" w:color="auto" w:fill="auto"/>
            <w:noWrap/>
            <w:vAlign w:val="bottom"/>
          </w:tcPr>
          <w:p w14:paraId="2E25D8EC" w14:textId="394EBC99"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0.9</w:t>
            </w:r>
          </w:p>
        </w:tc>
        <w:tc>
          <w:tcPr>
            <w:tcW w:w="341" w:type="pct"/>
            <w:tcBorders>
              <w:bottom w:val="single" w:sz="12" w:space="0" w:color="000000"/>
            </w:tcBorders>
            <w:shd w:val="clear" w:color="auto" w:fill="auto"/>
            <w:noWrap/>
            <w:vAlign w:val="bottom"/>
          </w:tcPr>
          <w:p w14:paraId="7CFFA4A1" w14:textId="77848DFE" w:rsidR="006B0362" w:rsidRPr="00426C2D" w:rsidRDefault="006B0362" w:rsidP="006B0362">
            <w:pPr>
              <w:spacing w:after="0" w:line="360" w:lineRule="auto"/>
              <w:jc w:val="center"/>
              <w:rPr>
                <w:rFonts w:ascii="Times New Roman" w:eastAsia="Times New Roman" w:hAnsi="Times New Roman" w:cs="Times New Roman"/>
                <w:sz w:val="16"/>
                <w:lang w:eastAsia="en-GB"/>
              </w:rPr>
            </w:pPr>
            <w:r w:rsidRPr="00426C2D">
              <w:rPr>
                <w:rFonts w:ascii="Times New Roman" w:eastAsia="Times New Roman" w:hAnsi="Times New Roman" w:cs="Times New Roman"/>
                <w:sz w:val="16"/>
                <w:lang w:eastAsia="en-GB"/>
              </w:rPr>
              <w:t>-</w:t>
            </w:r>
          </w:p>
        </w:tc>
        <w:tc>
          <w:tcPr>
            <w:tcW w:w="301" w:type="pct"/>
            <w:tcBorders>
              <w:bottom w:val="single" w:sz="12" w:space="0" w:color="000000"/>
            </w:tcBorders>
            <w:shd w:val="clear" w:color="auto" w:fill="auto"/>
            <w:noWrap/>
            <w:vAlign w:val="bottom"/>
          </w:tcPr>
          <w:p w14:paraId="765BBEF4" w14:textId="7A113769" w:rsidR="006B0362" w:rsidRPr="00426C2D" w:rsidRDefault="006B0362" w:rsidP="006B0362">
            <w:pPr>
              <w:spacing w:after="0" w:line="360" w:lineRule="auto"/>
              <w:jc w:val="center"/>
              <w:rPr>
                <w:rFonts w:ascii="Times New Roman" w:eastAsia="Times New Roman" w:hAnsi="Times New Roman" w:cs="Times New Roman"/>
                <w:sz w:val="16"/>
                <w:szCs w:val="20"/>
                <w:lang w:eastAsia="en-GB"/>
              </w:rPr>
            </w:pPr>
            <w:r w:rsidRPr="00426C2D">
              <w:rPr>
                <w:rFonts w:ascii="Times New Roman" w:eastAsia="Times New Roman" w:hAnsi="Times New Roman" w:cs="Times New Roman"/>
                <w:sz w:val="16"/>
                <w:szCs w:val="20"/>
                <w:lang w:eastAsia="en-GB"/>
              </w:rPr>
              <w:t>0.2</w:t>
            </w:r>
          </w:p>
        </w:tc>
      </w:tr>
    </w:tbl>
    <w:p w14:paraId="3DBA42DD" w14:textId="33FE4FDA" w:rsidR="00C63800" w:rsidRPr="00426C2D" w:rsidRDefault="00C63800" w:rsidP="00C63800">
      <w:pPr>
        <w:spacing w:line="360" w:lineRule="auto"/>
        <w:jc w:val="both"/>
        <w:rPr>
          <w:rFonts w:ascii="Times New Roman" w:hAnsi="Times New Roman" w:cs="Times New Roman"/>
        </w:rPr>
      </w:pPr>
      <w:r w:rsidRPr="00426C2D">
        <w:t xml:space="preserve"> </w:t>
      </w:r>
      <w:r w:rsidRPr="00426C2D">
        <w:rPr>
          <w:rFonts w:ascii="Times New Roman" w:hAnsi="Times New Roman" w:cs="Times New Roman"/>
          <w:sz w:val="18"/>
        </w:rPr>
        <w:t xml:space="preserve">Hyphen (-) indicates measurement not taken by method for sample. </w:t>
      </w:r>
      <w:r w:rsidR="006B0362" w:rsidRPr="00426C2D">
        <w:rPr>
          <w:rFonts w:ascii="Times New Roman" w:hAnsi="Times New Roman" w:cs="Times New Roman"/>
          <w:sz w:val="18"/>
        </w:rPr>
        <w:t>Method: CRC = collision/reaction cell ICP-MS method; STM = standard mode ICP-MS method. Formation: CG = Clackmannan Group; SCM = Scottish Coal Measures; LCM = Lower Coal Measures; YG = Yoredale Group; UCM = Upper Coal Measures;</w:t>
      </w:r>
      <w:r w:rsidR="0099492E" w:rsidRPr="00426C2D">
        <w:rPr>
          <w:rFonts w:ascii="Times New Roman" w:hAnsi="Times New Roman" w:cs="Times New Roman"/>
          <w:sz w:val="18"/>
        </w:rPr>
        <w:t xml:space="preserve"> SWUCM = South Wales Upper Coal Measures;</w:t>
      </w:r>
      <w:r w:rsidR="006B0362" w:rsidRPr="00426C2D">
        <w:rPr>
          <w:rFonts w:ascii="Times New Roman" w:hAnsi="Times New Roman" w:cs="Times New Roman"/>
          <w:sz w:val="18"/>
        </w:rPr>
        <w:t xml:space="preserve"> MCM = Middle Coal Measures; WG = Warwickshire Group. </w:t>
      </w:r>
    </w:p>
    <w:sectPr w:rsidR="00C63800" w:rsidRPr="00426C2D" w:rsidSect="00E64979">
      <w:headerReference w:type="default" r:id="rId11"/>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6BDE" w14:textId="77777777" w:rsidR="00C112F3" w:rsidRDefault="00C112F3" w:rsidP="00FF6D9D">
      <w:pPr>
        <w:spacing w:after="0" w:line="240" w:lineRule="auto"/>
      </w:pPr>
      <w:r>
        <w:separator/>
      </w:r>
    </w:p>
  </w:endnote>
  <w:endnote w:type="continuationSeparator" w:id="0">
    <w:p w14:paraId="5BC23C16" w14:textId="77777777" w:rsidR="00C112F3" w:rsidRDefault="00C112F3" w:rsidP="00FF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82750"/>
      <w:docPartObj>
        <w:docPartGallery w:val="Page Numbers (Bottom of Page)"/>
        <w:docPartUnique/>
      </w:docPartObj>
    </w:sdtPr>
    <w:sdtEndPr>
      <w:rPr>
        <w:noProof/>
      </w:rPr>
    </w:sdtEndPr>
    <w:sdtContent>
      <w:p w14:paraId="35B9BE69" w14:textId="77777777" w:rsidR="00293815" w:rsidRDefault="00293815">
        <w:pPr>
          <w:pStyle w:val="Footer"/>
          <w:jc w:val="center"/>
        </w:pPr>
        <w:r>
          <w:fldChar w:fldCharType="begin"/>
        </w:r>
        <w:r>
          <w:instrText xml:space="preserve"> PAGE   \* MERGEFORMAT </w:instrText>
        </w:r>
        <w:r>
          <w:fldChar w:fldCharType="separate"/>
        </w:r>
        <w:r w:rsidR="003D5E38">
          <w:rPr>
            <w:noProof/>
          </w:rPr>
          <w:t>1</w:t>
        </w:r>
        <w:r>
          <w:rPr>
            <w:noProof/>
          </w:rPr>
          <w:fldChar w:fldCharType="end"/>
        </w:r>
      </w:p>
    </w:sdtContent>
  </w:sdt>
  <w:p w14:paraId="31CA976A" w14:textId="77777777" w:rsidR="00293815" w:rsidRDefault="0029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B071" w14:textId="77777777" w:rsidR="00C112F3" w:rsidRDefault="00C112F3" w:rsidP="00FF6D9D">
      <w:pPr>
        <w:spacing w:after="0" w:line="240" w:lineRule="auto"/>
      </w:pPr>
      <w:r>
        <w:separator/>
      </w:r>
    </w:p>
  </w:footnote>
  <w:footnote w:type="continuationSeparator" w:id="0">
    <w:p w14:paraId="4614467A" w14:textId="77777777" w:rsidR="00C112F3" w:rsidRDefault="00C112F3" w:rsidP="00FF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A72C" w14:textId="75F5E9C0" w:rsidR="00293815" w:rsidRPr="00FF6D9D" w:rsidRDefault="00293815" w:rsidP="00FF6D9D">
    <w:pPr>
      <w:spacing w:line="480" w:lineRule="auto"/>
      <w:jc w:val="center"/>
      <w:rPr>
        <w:rFonts w:ascii="Times New Roman" w:hAnsi="Times New Roman" w:cs="Times New Roman"/>
        <w:sz w:val="20"/>
      </w:rPr>
    </w:pPr>
    <w:r w:rsidRPr="00FF6D9D">
      <w:rPr>
        <w:rFonts w:ascii="Times New Roman" w:hAnsi="Times New Roman" w:cs="Times New Roman"/>
        <w:sz w:val="20"/>
      </w:rPr>
      <w:t xml:space="preserve">Se and </w:t>
    </w:r>
    <w:r>
      <w:rPr>
        <w:rFonts w:ascii="Times New Roman" w:hAnsi="Times New Roman" w:cs="Times New Roman"/>
        <w:sz w:val="20"/>
      </w:rPr>
      <w:t>Te</w:t>
    </w:r>
    <w:r w:rsidRPr="00FF6D9D">
      <w:rPr>
        <w:rFonts w:ascii="Times New Roman" w:hAnsi="Times New Roman" w:cs="Times New Roman"/>
        <w:sz w:val="20"/>
      </w:rPr>
      <w:t xml:space="preserve"> concentrations of British </w:t>
    </w:r>
    <w:r>
      <w:rPr>
        <w:rFonts w:ascii="Times New Roman" w:hAnsi="Times New Roman" w:cs="Times New Roman"/>
        <w:sz w:val="20"/>
      </w:rPr>
      <w:t>coals LB</w:t>
    </w:r>
    <w:r w:rsidRPr="00FF6D9D">
      <w:rPr>
        <w:rFonts w:ascii="Times New Roman" w:hAnsi="Times New Roman" w:cs="Times New Roman"/>
        <w:sz w:val="20"/>
      </w:rPr>
      <w:t xml:space="preserve"> draft manuscript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D0A"/>
    <w:multiLevelType w:val="hybridMultilevel"/>
    <w:tmpl w:val="695E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B6583"/>
    <w:multiLevelType w:val="hybridMultilevel"/>
    <w:tmpl w:val="695E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D751C"/>
    <w:multiLevelType w:val="hybridMultilevel"/>
    <w:tmpl w:val="9D4E6528"/>
    <w:lvl w:ilvl="0" w:tplc="74DEE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854E8F"/>
    <w:multiLevelType w:val="hybridMultilevel"/>
    <w:tmpl w:val="79841C3A"/>
    <w:lvl w:ilvl="0" w:tplc="5D2E234E">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9A"/>
    <w:rsid w:val="000058BA"/>
    <w:rsid w:val="000134F9"/>
    <w:rsid w:val="000177BB"/>
    <w:rsid w:val="0002251C"/>
    <w:rsid w:val="00022C73"/>
    <w:rsid w:val="00031E70"/>
    <w:rsid w:val="00033F2C"/>
    <w:rsid w:val="00037481"/>
    <w:rsid w:val="00037526"/>
    <w:rsid w:val="00040237"/>
    <w:rsid w:val="00040983"/>
    <w:rsid w:val="00047EF8"/>
    <w:rsid w:val="000518BF"/>
    <w:rsid w:val="00052215"/>
    <w:rsid w:val="000568A4"/>
    <w:rsid w:val="00060A12"/>
    <w:rsid w:val="00062710"/>
    <w:rsid w:val="00063F56"/>
    <w:rsid w:val="000701B9"/>
    <w:rsid w:val="0007036B"/>
    <w:rsid w:val="0008002E"/>
    <w:rsid w:val="00082F96"/>
    <w:rsid w:val="00084002"/>
    <w:rsid w:val="000845C8"/>
    <w:rsid w:val="000902F2"/>
    <w:rsid w:val="00094A77"/>
    <w:rsid w:val="000A0D72"/>
    <w:rsid w:val="000A0E3A"/>
    <w:rsid w:val="000A5C93"/>
    <w:rsid w:val="000A693E"/>
    <w:rsid w:val="000B0251"/>
    <w:rsid w:val="000B1EB0"/>
    <w:rsid w:val="000B401A"/>
    <w:rsid w:val="000B7F40"/>
    <w:rsid w:val="000D0085"/>
    <w:rsid w:val="000D076D"/>
    <w:rsid w:val="000D6081"/>
    <w:rsid w:val="000D7401"/>
    <w:rsid w:val="000F7C58"/>
    <w:rsid w:val="00100D1A"/>
    <w:rsid w:val="00105933"/>
    <w:rsid w:val="00107493"/>
    <w:rsid w:val="001100DF"/>
    <w:rsid w:val="001102A6"/>
    <w:rsid w:val="00111191"/>
    <w:rsid w:val="00112465"/>
    <w:rsid w:val="00113ACB"/>
    <w:rsid w:val="0012642E"/>
    <w:rsid w:val="00131E25"/>
    <w:rsid w:val="0013681E"/>
    <w:rsid w:val="0014137E"/>
    <w:rsid w:val="0014411C"/>
    <w:rsid w:val="001442FD"/>
    <w:rsid w:val="00150293"/>
    <w:rsid w:val="00152A40"/>
    <w:rsid w:val="00153984"/>
    <w:rsid w:val="0015536E"/>
    <w:rsid w:val="00155478"/>
    <w:rsid w:val="0016348D"/>
    <w:rsid w:val="00165F32"/>
    <w:rsid w:val="00166963"/>
    <w:rsid w:val="00172A66"/>
    <w:rsid w:val="001807F8"/>
    <w:rsid w:val="00183E60"/>
    <w:rsid w:val="00187B05"/>
    <w:rsid w:val="00190639"/>
    <w:rsid w:val="00190795"/>
    <w:rsid w:val="00191156"/>
    <w:rsid w:val="001A08A9"/>
    <w:rsid w:val="001A5630"/>
    <w:rsid w:val="001B0219"/>
    <w:rsid w:val="001B7B3F"/>
    <w:rsid w:val="001C32BE"/>
    <w:rsid w:val="001C6972"/>
    <w:rsid w:val="001D19E3"/>
    <w:rsid w:val="001D3F7D"/>
    <w:rsid w:val="001D45F8"/>
    <w:rsid w:val="001E03E7"/>
    <w:rsid w:val="001E2466"/>
    <w:rsid w:val="001E5004"/>
    <w:rsid w:val="001F14FB"/>
    <w:rsid w:val="001F3FE7"/>
    <w:rsid w:val="00200ED5"/>
    <w:rsid w:val="00201CA3"/>
    <w:rsid w:val="00201F7F"/>
    <w:rsid w:val="00204DF5"/>
    <w:rsid w:val="002115EA"/>
    <w:rsid w:val="00213567"/>
    <w:rsid w:val="00224100"/>
    <w:rsid w:val="0023046C"/>
    <w:rsid w:val="002322AE"/>
    <w:rsid w:val="002342B8"/>
    <w:rsid w:val="00234D89"/>
    <w:rsid w:val="002362DF"/>
    <w:rsid w:val="00241CED"/>
    <w:rsid w:val="002422D1"/>
    <w:rsid w:val="0024368D"/>
    <w:rsid w:val="00243F1E"/>
    <w:rsid w:val="00251057"/>
    <w:rsid w:val="00251505"/>
    <w:rsid w:val="00251A64"/>
    <w:rsid w:val="00253284"/>
    <w:rsid w:val="00256DEE"/>
    <w:rsid w:val="0026084E"/>
    <w:rsid w:val="002634F5"/>
    <w:rsid w:val="00273965"/>
    <w:rsid w:val="002759E4"/>
    <w:rsid w:val="00275D9C"/>
    <w:rsid w:val="00281744"/>
    <w:rsid w:val="002824CA"/>
    <w:rsid w:val="002851EC"/>
    <w:rsid w:val="00285BAB"/>
    <w:rsid w:val="002906A7"/>
    <w:rsid w:val="002937F2"/>
    <w:rsid w:val="00293815"/>
    <w:rsid w:val="0029469E"/>
    <w:rsid w:val="002A2C24"/>
    <w:rsid w:val="002A35C4"/>
    <w:rsid w:val="002A7F4F"/>
    <w:rsid w:val="002B0B1F"/>
    <w:rsid w:val="002B6142"/>
    <w:rsid w:val="002B71D8"/>
    <w:rsid w:val="002C3B3F"/>
    <w:rsid w:val="002C5E6D"/>
    <w:rsid w:val="002C646C"/>
    <w:rsid w:val="002D0A94"/>
    <w:rsid w:val="002D34B4"/>
    <w:rsid w:val="002D59C0"/>
    <w:rsid w:val="002E40B9"/>
    <w:rsid w:val="002E47A5"/>
    <w:rsid w:val="002E7B22"/>
    <w:rsid w:val="002F1D88"/>
    <w:rsid w:val="002F223E"/>
    <w:rsid w:val="00306D39"/>
    <w:rsid w:val="003075E7"/>
    <w:rsid w:val="00310FB7"/>
    <w:rsid w:val="0031122D"/>
    <w:rsid w:val="00315C6E"/>
    <w:rsid w:val="0031668D"/>
    <w:rsid w:val="003178AD"/>
    <w:rsid w:val="00317B66"/>
    <w:rsid w:val="003219D0"/>
    <w:rsid w:val="0032550B"/>
    <w:rsid w:val="003311E6"/>
    <w:rsid w:val="00332A77"/>
    <w:rsid w:val="00333902"/>
    <w:rsid w:val="00333DF9"/>
    <w:rsid w:val="0033400A"/>
    <w:rsid w:val="003374BC"/>
    <w:rsid w:val="003408EA"/>
    <w:rsid w:val="00342691"/>
    <w:rsid w:val="0034432A"/>
    <w:rsid w:val="00345489"/>
    <w:rsid w:val="00345CB3"/>
    <w:rsid w:val="0034676D"/>
    <w:rsid w:val="00350F58"/>
    <w:rsid w:val="00353461"/>
    <w:rsid w:val="00354683"/>
    <w:rsid w:val="003554F3"/>
    <w:rsid w:val="00355AC1"/>
    <w:rsid w:val="00356D9E"/>
    <w:rsid w:val="00357BB4"/>
    <w:rsid w:val="00361666"/>
    <w:rsid w:val="00362765"/>
    <w:rsid w:val="00365C4F"/>
    <w:rsid w:val="0036792B"/>
    <w:rsid w:val="00372A33"/>
    <w:rsid w:val="00372ED8"/>
    <w:rsid w:val="0038111F"/>
    <w:rsid w:val="0038313F"/>
    <w:rsid w:val="00384340"/>
    <w:rsid w:val="00385133"/>
    <w:rsid w:val="00385786"/>
    <w:rsid w:val="00386D7E"/>
    <w:rsid w:val="00391BFC"/>
    <w:rsid w:val="0039260B"/>
    <w:rsid w:val="003937D1"/>
    <w:rsid w:val="003A1899"/>
    <w:rsid w:val="003A2861"/>
    <w:rsid w:val="003B25F7"/>
    <w:rsid w:val="003B5DDB"/>
    <w:rsid w:val="003B6F2F"/>
    <w:rsid w:val="003C1D5B"/>
    <w:rsid w:val="003C2D54"/>
    <w:rsid w:val="003C6D82"/>
    <w:rsid w:val="003C7B35"/>
    <w:rsid w:val="003D01D3"/>
    <w:rsid w:val="003D0787"/>
    <w:rsid w:val="003D156A"/>
    <w:rsid w:val="003D1942"/>
    <w:rsid w:val="003D298F"/>
    <w:rsid w:val="003D2E18"/>
    <w:rsid w:val="003D4039"/>
    <w:rsid w:val="003D42A1"/>
    <w:rsid w:val="003D5E38"/>
    <w:rsid w:val="003D61AB"/>
    <w:rsid w:val="003E451D"/>
    <w:rsid w:val="003E567F"/>
    <w:rsid w:val="003E639B"/>
    <w:rsid w:val="003F16AE"/>
    <w:rsid w:val="003F2228"/>
    <w:rsid w:val="003F2C5B"/>
    <w:rsid w:val="003F6A8C"/>
    <w:rsid w:val="00402901"/>
    <w:rsid w:val="00410728"/>
    <w:rsid w:val="004137E3"/>
    <w:rsid w:val="004158C0"/>
    <w:rsid w:val="00417BD8"/>
    <w:rsid w:val="00421A2C"/>
    <w:rsid w:val="00422658"/>
    <w:rsid w:val="00424430"/>
    <w:rsid w:val="00424E87"/>
    <w:rsid w:val="00426C2D"/>
    <w:rsid w:val="0043014B"/>
    <w:rsid w:val="00434AFA"/>
    <w:rsid w:val="00435F61"/>
    <w:rsid w:val="00445530"/>
    <w:rsid w:val="004469B7"/>
    <w:rsid w:val="00447B3C"/>
    <w:rsid w:val="00455640"/>
    <w:rsid w:val="004606FF"/>
    <w:rsid w:val="00460CCA"/>
    <w:rsid w:val="004623AD"/>
    <w:rsid w:val="0046402B"/>
    <w:rsid w:val="00473576"/>
    <w:rsid w:val="00474A59"/>
    <w:rsid w:val="00476598"/>
    <w:rsid w:val="00480D47"/>
    <w:rsid w:val="00480E8E"/>
    <w:rsid w:val="00482611"/>
    <w:rsid w:val="0048290F"/>
    <w:rsid w:val="00490254"/>
    <w:rsid w:val="004941AF"/>
    <w:rsid w:val="00497FC5"/>
    <w:rsid w:val="004A2A56"/>
    <w:rsid w:val="004A3FE6"/>
    <w:rsid w:val="004A440D"/>
    <w:rsid w:val="004A7FA0"/>
    <w:rsid w:val="004B0CB8"/>
    <w:rsid w:val="004B12AF"/>
    <w:rsid w:val="004B1A8C"/>
    <w:rsid w:val="004B5DEE"/>
    <w:rsid w:val="004B6698"/>
    <w:rsid w:val="004B6D95"/>
    <w:rsid w:val="004C0046"/>
    <w:rsid w:val="004C2FD0"/>
    <w:rsid w:val="004D0E39"/>
    <w:rsid w:val="004D42A1"/>
    <w:rsid w:val="004D53D5"/>
    <w:rsid w:val="004D7708"/>
    <w:rsid w:val="004E1270"/>
    <w:rsid w:val="004E43FA"/>
    <w:rsid w:val="004E49CC"/>
    <w:rsid w:val="004F1D1A"/>
    <w:rsid w:val="004F45BD"/>
    <w:rsid w:val="0050005D"/>
    <w:rsid w:val="00502937"/>
    <w:rsid w:val="005048FA"/>
    <w:rsid w:val="00504AFA"/>
    <w:rsid w:val="00504C3D"/>
    <w:rsid w:val="005111C6"/>
    <w:rsid w:val="00511CEF"/>
    <w:rsid w:val="0051242F"/>
    <w:rsid w:val="0051327F"/>
    <w:rsid w:val="0051504B"/>
    <w:rsid w:val="00516C36"/>
    <w:rsid w:val="00517C0F"/>
    <w:rsid w:val="00524114"/>
    <w:rsid w:val="00525DE1"/>
    <w:rsid w:val="005264DE"/>
    <w:rsid w:val="00530C5D"/>
    <w:rsid w:val="00532C1F"/>
    <w:rsid w:val="0054330F"/>
    <w:rsid w:val="00544362"/>
    <w:rsid w:val="0055465B"/>
    <w:rsid w:val="005617F6"/>
    <w:rsid w:val="0056366E"/>
    <w:rsid w:val="005639B0"/>
    <w:rsid w:val="00563D1B"/>
    <w:rsid w:val="00572E3F"/>
    <w:rsid w:val="005748C4"/>
    <w:rsid w:val="005808C6"/>
    <w:rsid w:val="005814B9"/>
    <w:rsid w:val="00586C11"/>
    <w:rsid w:val="00597CCB"/>
    <w:rsid w:val="005B11CE"/>
    <w:rsid w:val="005B1EFB"/>
    <w:rsid w:val="005B4103"/>
    <w:rsid w:val="005B5DDA"/>
    <w:rsid w:val="005B6BB3"/>
    <w:rsid w:val="005B783C"/>
    <w:rsid w:val="005C3871"/>
    <w:rsid w:val="005D0C10"/>
    <w:rsid w:val="005D2900"/>
    <w:rsid w:val="005D3315"/>
    <w:rsid w:val="005D6B04"/>
    <w:rsid w:val="005E3FED"/>
    <w:rsid w:val="005E4B8B"/>
    <w:rsid w:val="005E57D3"/>
    <w:rsid w:val="005E6046"/>
    <w:rsid w:val="005E6784"/>
    <w:rsid w:val="005E734A"/>
    <w:rsid w:val="005E79A1"/>
    <w:rsid w:val="005F18FE"/>
    <w:rsid w:val="006047DD"/>
    <w:rsid w:val="0060772A"/>
    <w:rsid w:val="00621D81"/>
    <w:rsid w:val="00622DBC"/>
    <w:rsid w:val="00626ED4"/>
    <w:rsid w:val="0063337F"/>
    <w:rsid w:val="00636628"/>
    <w:rsid w:val="006369A1"/>
    <w:rsid w:val="00640617"/>
    <w:rsid w:val="0064250C"/>
    <w:rsid w:val="00642922"/>
    <w:rsid w:val="00644575"/>
    <w:rsid w:val="006456CA"/>
    <w:rsid w:val="00645DF6"/>
    <w:rsid w:val="00647B4A"/>
    <w:rsid w:val="0065224F"/>
    <w:rsid w:val="00653163"/>
    <w:rsid w:val="006560EE"/>
    <w:rsid w:val="00656728"/>
    <w:rsid w:val="00661369"/>
    <w:rsid w:val="00662208"/>
    <w:rsid w:val="00667EE2"/>
    <w:rsid w:val="0067047E"/>
    <w:rsid w:val="0068202C"/>
    <w:rsid w:val="00682D6F"/>
    <w:rsid w:val="00694B9D"/>
    <w:rsid w:val="006965B3"/>
    <w:rsid w:val="00696C85"/>
    <w:rsid w:val="006A01E4"/>
    <w:rsid w:val="006A16D3"/>
    <w:rsid w:val="006A651D"/>
    <w:rsid w:val="006B0362"/>
    <w:rsid w:val="006B08AD"/>
    <w:rsid w:val="006B7E97"/>
    <w:rsid w:val="006C2441"/>
    <w:rsid w:val="006C37E8"/>
    <w:rsid w:val="006C54D1"/>
    <w:rsid w:val="006C5861"/>
    <w:rsid w:val="006C7716"/>
    <w:rsid w:val="006D0207"/>
    <w:rsid w:val="006E1F13"/>
    <w:rsid w:val="006E4D70"/>
    <w:rsid w:val="006E4DAD"/>
    <w:rsid w:val="006F2203"/>
    <w:rsid w:val="006F5424"/>
    <w:rsid w:val="006F5F41"/>
    <w:rsid w:val="0070281F"/>
    <w:rsid w:val="00704EA1"/>
    <w:rsid w:val="00712671"/>
    <w:rsid w:val="00712A13"/>
    <w:rsid w:val="00716845"/>
    <w:rsid w:val="00717DD4"/>
    <w:rsid w:val="00721548"/>
    <w:rsid w:val="00722AC6"/>
    <w:rsid w:val="0072380B"/>
    <w:rsid w:val="00730637"/>
    <w:rsid w:val="0073638B"/>
    <w:rsid w:val="00737275"/>
    <w:rsid w:val="00741B2C"/>
    <w:rsid w:val="00742D4F"/>
    <w:rsid w:val="00744395"/>
    <w:rsid w:val="007450CB"/>
    <w:rsid w:val="007508C1"/>
    <w:rsid w:val="007529BD"/>
    <w:rsid w:val="00757F61"/>
    <w:rsid w:val="007712CD"/>
    <w:rsid w:val="007750F3"/>
    <w:rsid w:val="00775850"/>
    <w:rsid w:val="007762E6"/>
    <w:rsid w:val="00780047"/>
    <w:rsid w:val="00785A7A"/>
    <w:rsid w:val="00785D0D"/>
    <w:rsid w:val="00785D39"/>
    <w:rsid w:val="0079243A"/>
    <w:rsid w:val="00792949"/>
    <w:rsid w:val="00795761"/>
    <w:rsid w:val="007A13EB"/>
    <w:rsid w:val="007A251F"/>
    <w:rsid w:val="007A63EC"/>
    <w:rsid w:val="007B0853"/>
    <w:rsid w:val="007B11DE"/>
    <w:rsid w:val="007B3AF0"/>
    <w:rsid w:val="007B3FA0"/>
    <w:rsid w:val="007B6CD1"/>
    <w:rsid w:val="007B7A1B"/>
    <w:rsid w:val="007C77B5"/>
    <w:rsid w:val="007D1762"/>
    <w:rsid w:val="007D1F16"/>
    <w:rsid w:val="007D3CAF"/>
    <w:rsid w:val="007D3DD9"/>
    <w:rsid w:val="007E306A"/>
    <w:rsid w:val="007E4EA3"/>
    <w:rsid w:val="007F23BE"/>
    <w:rsid w:val="007F6852"/>
    <w:rsid w:val="007F7BB1"/>
    <w:rsid w:val="0080025C"/>
    <w:rsid w:val="00801B29"/>
    <w:rsid w:val="00811597"/>
    <w:rsid w:val="0081317D"/>
    <w:rsid w:val="00813D40"/>
    <w:rsid w:val="00815994"/>
    <w:rsid w:val="00815B55"/>
    <w:rsid w:val="0082174F"/>
    <w:rsid w:val="008244DB"/>
    <w:rsid w:val="0083365D"/>
    <w:rsid w:val="008356A4"/>
    <w:rsid w:val="00835C80"/>
    <w:rsid w:val="008361B1"/>
    <w:rsid w:val="00842849"/>
    <w:rsid w:val="008544D2"/>
    <w:rsid w:val="008552F3"/>
    <w:rsid w:val="0086443C"/>
    <w:rsid w:val="008669F2"/>
    <w:rsid w:val="00870415"/>
    <w:rsid w:val="00873460"/>
    <w:rsid w:val="00876D8C"/>
    <w:rsid w:val="00885BDC"/>
    <w:rsid w:val="00890E87"/>
    <w:rsid w:val="008939E3"/>
    <w:rsid w:val="00896FB9"/>
    <w:rsid w:val="00897E02"/>
    <w:rsid w:val="008A041A"/>
    <w:rsid w:val="008A0A9C"/>
    <w:rsid w:val="008A5085"/>
    <w:rsid w:val="008A5174"/>
    <w:rsid w:val="008B20C4"/>
    <w:rsid w:val="008B24D4"/>
    <w:rsid w:val="008B6481"/>
    <w:rsid w:val="008D063E"/>
    <w:rsid w:val="008D11DE"/>
    <w:rsid w:val="008D47B9"/>
    <w:rsid w:val="008D5F99"/>
    <w:rsid w:val="008D62DA"/>
    <w:rsid w:val="008D62E2"/>
    <w:rsid w:val="008D6833"/>
    <w:rsid w:val="008E09C7"/>
    <w:rsid w:val="008E46A7"/>
    <w:rsid w:val="008E488D"/>
    <w:rsid w:val="008E6CEF"/>
    <w:rsid w:val="008F2CF0"/>
    <w:rsid w:val="008F629E"/>
    <w:rsid w:val="00902364"/>
    <w:rsid w:val="00902F79"/>
    <w:rsid w:val="00905FB0"/>
    <w:rsid w:val="00906377"/>
    <w:rsid w:val="0090639F"/>
    <w:rsid w:val="009113AF"/>
    <w:rsid w:val="0091272D"/>
    <w:rsid w:val="0091397D"/>
    <w:rsid w:val="009157B1"/>
    <w:rsid w:val="00920096"/>
    <w:rsid w:val="00922427"/>
    <w:rsid w:val="00922D97"/>
    <w:rsid w:val="009235C0"/>
    <w:rsid w:val="009243EF"/>
    <w:rsid w:val="009266D0"/>
    <w:rsid w:val="00930185"/>
    <w:rsid w:val="009302F0"/>
    <w:rsid w:val="009303E6"/>
    <w:rsid w:val="00934E6A"/>
    <w:rsid w:val="00935140"/>
    <w:rsid w:val="00941ABA"/>
    <w:rsid w:val="00941F0F"/>
    <w:rsid w:val="009454BA"/>
    <w:rsid w:val="0094648B"/>
    <w:rsid w:val="009519A1"/>
    <w:rsid w:val="0095617F"/>
    <w:rsid w:val="009614DD"/>
    <w:rsid w:val="00961EA4"/>
    <w:rsid w:val="00965686"/>
    <w:rsid w:val="0097287A"/>
    <w:rsid w:val="009805B3"/>
    <w:rsid w:val="00981823"/>
    <w:rsid w:val="00990DB4"/>
    <w:rsid w:val="00991B4A"/>
    <w:rsid w:val="00991EB1"/>
    <w:rsid w:val="00993E5D"/>
    <w:rsid w:val="009946B3"/>
    <w:rsid w:val="0099492E"/>
    <w:rsid w:val="009A5594"/>
    <w:rsid w:val="009A5778"/>
    <w:rsid w:val="009A63B3"/>
    <w:rsid w:val="009A6FC4"/>
    <w:rsid w:val="009B1C66"/>
    <w:rsid w:val="009B377F"/>
    <w:rsid w:val="009B5BAD"/>
    <w:rsid w:val="009B64E2"/>
    <w:rsid w:val="009B7732"/>
    <w:rsid w:val="009C0D09"/>
    <w:rsid w:val="009D206F"/>
    <w:rsid w:val="009D2215"/>
    <w:rsid w:val="009D3D88"/>
    <w:rsid w:val="009D4BBB"/>
    <w:rsid w:val="009D5352"/>
    <w:rsid w:val="009E0E38"/>
    <w:rsid w:val="009E13B9"/>
    <w:rsid w:val="009E2FF3"/>
    <w:rsid w:val="009E365E"/>
    <w:rsid w:val="009E6D39"/>
    <w:rsid w:val="009F202A"/>
    <w:rsid w:val="009F3373"/>
    <w:rsid w:val="009F558A"/>
    <w:rsid w:val="00A02293"/>
    <w:rsid w:val="00A03144"/>
    <w:rsid w:val="00A17A6C"/>
    <w:rsid w:val="00A217FD"/>
    <w:rsid w:val="00A26DDA"/>
    <w:rsid w:val="00A307DC"/>
    <w:rsid w:val="00A33251"/>
    <w:rsid w:val="00A37D91"/>
    <w:rsid w:val="00A44632"/>
    <w:rsid w:val="00A472F0"/>
    <w:rsid w:val="00A47727"/>
    <w:rsid w:val="00A47C68"/>
    <w:rsid w:val="00A53452"/>
    <w:rsid w:val="00A541A5"/>
    <w:rsid w:val="00A60612"/>
    <w:rsid w:val="00A64671"/>
    <w:rsid w:val="00A649A4"/>
    <w:rsid w:val="00A65A5C"/>
    <w:rsid w:val="00A7072C"/>
    <w:rsid w:val="00A70754"/>
    <w:rsid w:val="00A82F6B"/>
    <w:rsid w:val="00A86446"/>
    <w:rsid w:val="00A90EA8"/>
    <w:rsid w:val="00A94834"/>
    <w:rsid w:val="00A97DC6"/>
    <w:rsid w:val="00AA3E5B"/>
    <w:rsid w:val="00AA4DC4"/>
    <w:rsid w:val="00AB015C"/>
    <w:rsid w:val="00AB0534"/>
    <w:rsid w:val="00AB1641"/>
    <w:rsid w:val="00AB21E5"/>
    <w:rsid w:val="00AB41C2"/>
    <w:rsid w:val="00AC302B"/>
    <w:rsid w:val="00AC3201"/>
    <w:rsid w:val="00AC47EB"/>
    <w:rsid w:val="00AC5C4E"/>
    <w:rsid w:val="00AC7EE6"/>
    <w:rsid w:val="00AD1657"/>
    <w:rsid w:val="00AD622F"/>
    <w:rsid w:val="00AD791A"/>
    <w:rsid w:val="00AE0180"/>
    <w:rsid w:val="00AE14E7"/>
    <w:rsid w:val="00AE2736"/>
    <w:rsid w:val="00AE367C"/>
    <w:rsid w:val="00AE4AD0"/>
    <w:rsid w:val="00AE6FF7"/>
    <w:rsid w:val="00AF1734"/>
    <w:rsid w:val="00AF1821"/>
    <w:rsid w:val="00AF3B8A"/>
    <w:rsid w:val="00AF6103"/>
    <w:rsid w:val="00B0448B"/>
    <w:rsid w:val="00B103A8"/>
    <w:rsid w:val="00B109FE"/>
    <w:rsid w:val="00B11F59"/>
    <w:rsid w:val="00B1260F"/>
    <w:rsid w:val="00B14513"/>
    <w:rsid w:val="00B16ACC"/>
    <w:rsid w:val="00B17EB2"/>
    <w:rsid w:val="00B2078A"/>
    <w:rsid w:val="00B20CD9"/>
    <w:rsid w:val="00B22EA2"/>
    <w:rsid w:val="00B27AAA"/>
    <w:rsid w:val="00B328A5"/>
    <w:rsid w:val="00B3495A"/>
    <w:rsid w:val="00B34CDB"/>
    <w:rsid w:val="00B3624B"/>
    <w:rsid w:val="00B5382D"/>
    <w:rsid w:val="00B5490C"/>
    <w:rsid w:val="00B56421"/>
    <w:rsid w:val="00B56DCA"/>
    <w:rsid w:val="00B611E1"/>
    <w:rsid w:val="00B633F2"/>
    <w:rsid w:val="00B64A85"/>
    <w:rsid w:val="00B709E4"/>
    <w:rsid w:val="00B7167B"/>
    <w:rsid w:val="00B74528"/>
    <w:rsid w:val="00B74832"/>
    <w:rsid w:val="00B74CC5"/>
    <w:rsid w:val="00B7593E"/>
    <w:rsid w:val="00B86F25"/>
    <w:rsid w:val="00B91B34"/>
    <w:rsid w:val="00B9606F"/>
    <w:rsid w:val="00BA1DCB"/>
    <w:rsid w:val="00BA399A"/>
    <w:rsid w:val="00BA44A2"/>
    <w:rsid w:val="00BA72BD"/>
    <w:rsid w:val="00BA736D"/>
    <w:rsid w:val="00BA75A1"/>
    <w:rsid w:val="00BB0B4A"/>
    <w:rsid w:val="00BB36D7"/>
    <w:rsid w:val="00BB4029"/>
    <w:rsid w:val="00BB4E5A"/>
    <w:rsid w:val="00BB539A"/>
    <w:rsid w:val="00BB6DEC"/>
    <w:rsid w:val="00BC2FF8"/>
    <w:rsid w:val="00BC5D01"/>
    <w:rsid w:val="00BC7967"/>
    <w:rsid w:val="00BD5B80"/>
    <w:rsid w:val="00BD5D52"/>
    <w:rsid w:val="00BE343D"/>
    <w:rsid w:val="00BE5ED6"/>
    <w:rsid w:val="00BF1768"/>
    <w:rsid w:val="00BF42F1"/>
    <w:rsid w:val="00BF635E"/>
    <w:rsid w:val="00C07C0C"/>
    <w:rsid w:val="00C07FB5"/>
    <w:rsid w:val="00C10D22"/>
    <w:rsid w:val="00C112F3"/>
    <w:rsid w:val="00C1228B"/>
    <w:rsid w:val="00C17E94"/>
    <w:rsid w:val="00C2013B"/>
    <w:rsid w:val="00C2073A"/>
    <w:rsid w:val="00C241B6"/>
    <w:rsid w:val="00C26180"/>
    <w:rsid w:val="00C305B8"/>
    <w:rsid w:val="00C34D51"/>
    <w:rsid w:val="00C35295"/>
    <w:rsid w:val="00C40046"/>
    <w:rsid w:val="00C435B7"/>
    <w:rsid w:val="00C4793F"/>
    <w:rsid w:val="00C5251E"/>
    <w:rsid w:val="00C5739A"/>
    <w:rsid w:val="00C57CEA"/>
    <w:rsid w:val="00C63800"/>
    <w:rsid w:val="00C65981"/>
    <w:rsid w:val="00C67DD3"/>
    <w:rsid w:val="00C75935"/>
    <w:rsid w:val="00C75FAB"/>
    <w:rsid w:val="00C76F93"/>
    <w:rsid w:val="00C84E07"/>
    <w:rsid w:val="00C86988"/>
    <w:rsid w:val="00C90783"/>
    <w:rsid w:val="00C9457E"/>
    <w:rsid w:val="00CA2455"/>
    <w:rsid w:val="00CA3839"/>
    <w:rsid w:val="00CA4191"/>
    <w:rsid w:val="00CB09D0"/>
    <w:rsid w:val="00CB2F8D"/>
    <w:rsid w:val="00CB4107"/>
    <w:rsid w:val="00CB4688"/>
    <w:rsid w:val="00CB5FAC"/>
    <w:rsid w:val="00CC7122"/>
    <w:rsid w:val="00CD6411"/>
    <w:rsid w:val="00CD74A4"/>
    <w:rsid w:val="00CE07F2"/>
    <w:rsid w:val="00CE176E"/>
    <w:rsid w:val="00CE3A3C"/>
    <w:rsid w:val="00CE3D60"/>
    <w:rsid w:val="00CE47CA"/>
    <w:rsid w:val="00CE5AC5"/>
    <w:rsid w:val="00CE6AB4"/>
    <w:rsid w:val="00CE7FB9"/>
    <w:rsid w:val="00CF5866"/>
    <w:rsid w:val="00CF5A4B"/>
    <w:rsid w:val="00D000AC"/>
    <w:rsid w:val="00D04C3E"/>
    <w:rsid w:val="00D11BC8"/>
    <w:rsid w:val="00D121DE"/>
    <w:rsid w:val="00D128C0"/>
    <w:rsid w:val="00D12BAB"/>
    <w:rsid w:val="00D137B2"/>
    <w:rsid w:val="00D13DD3"/>
    <w:rsid w:val="00D1577B"/>
    <w:rsid w:val="00D164EE"/>
    <w:rsid w:val="00D24FE7"/>
    <w:rsid w:val="00D33F45"/>
    <w:rsid w:val="00D443F7"/>
    <w:rsid w:val="00D533D5"/>
    <w:rsid w:val="00D56EB2"/>
    <w:rsid w:val="00D570EA"/>
    <w:rsid w:val="00D57388"/>
    <w:rsid w:val="00D57C9F"/>
    <w:rsid w:val="00D62E2B"/>
    <w:rsid w:val="00D654DD"/>
    <w:rsid w:val="00D66714"/>
    <w:rsid w:val="00D66CC9"/>
    <w:rsid w:val="00D7048D"/>
    <w:rsid w:val="00D70696"/>
    <w:rsid w:val="00D73356"/>
    <w:rsid w:val="00D73605"/>
    <w:rsid w:val="00D73E9A"/>
    <w:rsid w:val="00D824CD"/>
    <w:rsid w:val="00D87066"/>
    <w:rsid w:val="00D96A0E"/>
    <w:rsid w:val="00D96A42"/>
    <w:rsid w:val="00D97315"/>
    <w:rsid w:val="00DA384E"/>
    <w:rsid w:val="00DA5012"/>
    <w:rsid w:val="00DA779F"/>
    <w:rsid w:val="00DA78CF"/>
    <w:rsid w:val="00DB2EFC"/>
    <w:rsid w:val="00DB6417"/>
    <w:rsid w:val="00DC70A5"/>
    <w:rsid w:val="00DC7377"/>
    <w:rsid w:val="00DD07F6"/>
    <w:rsid w:val="00DD094E"/>
    <w:rsid w:val="00DD10E6"/>
    <w:rsid w:val="00DD4DC5"/>
    <w:rsid w:val="00DD671E"/>
    <w:rsid w:val="00DE09FC"/>
    <w:rsid w:val="00DE48C8"/>
    <w:rsid w:val="00DE5C8A"/>
    <w:rsid w:val="00DF192A"/>
    <w:rsid w:val="00DF2784"/>
    <w:rsid w:val="00E0278B"/>
    <w:rsid w:val="00E052FA"/>
    <w:rsid w:val="00E062EE"/>
    <w:rsid w:val="00E13D67"/>
    <w:rsid w:val="00E158EC"/>
    <w:rsid w:val="00E21E72"/>
    <w:rsid w:val="00E22AA9"/>
    <w:rsid w:val="00E26343"/>
    <w:rsid w:val="00E30BD3"/>
    <w:rsid w:val="00E330E3"/>
    <w:rsid w:val="00E33E20"/>
    <w:rsid w:val="00E34A64"/>
    <w:rsid w:val="00E50D44"/>
    <w:rsid w:val="00E57399"/>
    <w:rsid w:val="00E64131"/>
    <w:rsid w:val="00E646A1"/>
    <w:rsid w:val="00E64979"/>
    <w:rsid w:val="00E64AA3"/>
    <w:rsid w:val="00E71A2D"/>
    <w:rsid w:val="00E72B02"/>
    <w:rsid w:val="00E72F36"/>
    <w:rsid w:val="00E76667"/>
    <w:rsid w:val="00E80F7D"/>
    <w:rsid w:val="00E8325B"/>
    <w:rsid w:val="00E83D6D"/>
    <w:rsid w:val="00E91FAA"/>
    <w:rsid w:val="00E961A7"/>
    <w:rsid w:val="00E9716E"/>
    <w:rsid w:val="00EA5927"/>
    <w:rsid w:val="00EA6B16"/>
    <w:rsid w:val="00EB2BD2"/>
    <w:rsid w:val="00EB3501"/>
    <w:rsid w:val="00EB3F87"/>
    <w:rsid w:val="00EC0416"/>
    <w:rsid w:val="00EC635A"/>
    <w:rsid w:val="00EC71B1"/>
    <w:rsid w:val="00EC78DF"/>
    <w:rsid w:val="00ED2009"/>
    <w:rsid w:val="00ED2B10"/>
    <w:rsid w:val="00ED428A"/>
    <w:rsid w:val="00ED5B01"/>
    <w:rsid w:val="00EE0E7A"/>
    <w:rsid w:val="00EE378C"/>
    <w:rsid w:val="00EF0292"/>
    <w:rsid w:val="00EF0CC8"/>
    <w:rsid w:val="00EF3296"/>
    <w:rsid w:val="00EF61F2"/>
    <w:rsid w:val="00F027B9"/>
    <w:rsid w:val="00F06280"/>
    <w:rsid w:val="00F064A9"/>
    <w:rsid w:val="00F07921"/>
    <w:rsid w:val="00F13AEA"/>
    <w:rsid w:val="00F13D22"/>
    <w:rsid w:val="00F14AE0"/>
    <w:rsid w:val="00F150DC"/>
    <w:rsid w:val="00F15B4A"/>
    <w:rsid w:val="00F2418A"/>
    <w:rsid w:val="00F25B99"/>
    <w:rsid w:val="00F30751"/>
    <w:rsid w:val="00F32AF9"/>
    <w:rsid w:val="00F401D2"/>
    <w:rsid w:val="00F406D1"/>
    <w:rsid w:val="00F40E56"/>
    <w:rsid w:val="00F42493"/>
    <w:rsid w:val="00F433DE"/>
    <w:rsid w:val="00F46C06"/>
    <w:rsid w:val="00F5036A"/>
    <w:rsid w:val="00F50A38"/>
    <w:rsid w:val="00F52D81"/>
    <w:rsid w:val="00F551EC"/>
    <w:rsid w:val="00F5569A"/>
    <w:rsid w:val="00F6188A"/>
    <w:rsid w:val="00F624A2"/>
    <w:rsid w:val="00F65269"/>
    <w:rsid w:val="00F66732"/>
    <w:rsid w:val="00F70067"/>
    <w:rsid w:val="00F7078E"/>
    <w:rsid w:val="00F77B51"/>
    <w:rsid w:val="00F8077F"/>
    <w:rsid w:val="00F8171B"/>
    <w:rsid w:val="00F8180D"/>
    <w:rsid w:val="00F8334B"/>
    <w:rsid w:val="00F858D9"/>
    <w:rsid w:val="00F90668"/>
    <w:rsid w:val="00F913AC"/>
    <w:rsid w:val="00F915C4"/>
    <w:rsid w:val="00F95143"/>
    <w:rsid w:val="00FA2D1C"/>
    <w:rsid w:val="00FA3318"/>
    <w:rsid w:val="00FA3524"/>
    <w:rsid w:val="00FA4905"/>
    <w:rsid w:val="00FB17F8"/>
    <w:rsid w:val="00FB6ADA"/>
    <w:rsid w:val="00FC0396"/>
    <w:rsid w:val="00FC2C92"/>
    <w:rsid w:val="00FC4D1A"/>
    <w:rsid w:val="00FC56D5"/>
    <w:rsid w:val="00FC7682"/>
    <w:rsid w:val="00FD05F5"/>
    <w:rsid w:val="00FD0744"/>
    <w:rsid w:val="00FD1825"/>
    <w:rsid w:val="00FD45BE"/>
    <w:rsid w:val="00FD4E21"/>
    <w:rsid w:val="00FD4EBE"/>
    <w:rsid w:val="00FD6AB5"/>
    <w:rsid w:val="00FE14FE"/>
    <w:rsid w:val="00FE5CD9"/>
    <w:rsid w:val="00FE7D8B"/>
    <w:rsid w:val="00FF14BF"/>
    <w:rsid w:val="00FF6791"/>
    <w:rsid w:val="00FF6D9D"/>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B539A"/>
  </w:style>
  <w:style w:type="character" w:styleId="Hyperlink">
    <w:name w:val="Hyperlink"/>
    <w:basedOn w:val="DefaultParagraphFont"/>
    <w:uiPriority w:val="99"/>
    <w:unhideWhenUsed/>
    <w:rsid w:val="00BB539A"/>
    <w:rPr>
      <w:color w:val="0563C1" w:themeColor="hyperlink"/>
      <w:u w:val="single"/>
    </w:rPr>
  </w:style>
  <w:style w:type="paragraph" w:styleId="ListParagraph">
    <w:name w:val="List Paragraph"/>
    <w:basedOn w:val="Normal"/>
    <w:uiPriority w:val="34"/>
    <w:qFormat/>
    <w:rsid w:val="00BB539A"/>
    <w:pPr>
      <w:ind w:left="720"/>
      <w:contextualSpacing/>
    </w:pPr>
  </w:style>
  <w:style w:type="paragraph" w:styleId="Header">
    <w:name w:val="header"/>
    <w:basedOn w:val="Normal"/>
    <w:link w:val="HeaderChar"/>
    <w:uiPriority w:val="99"/>
    <w:unhideWhenUsed/>
    <w:rsid w:val="00FF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9D"/>
  </w:style>
  <w:style w:type="paragraph" w:styleId="Footer">
    <w:name w:val="footer"/>
    <w:basedOn w:val="Normal"/>
    <w:link w:val="FooterChar"/>
    <w:uiPriority w:val="99"/>
    <w:unhideWhenUsed/>
    <w:rsid w:val="00FF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9D"/>
  </w:style>
  <w:style w:type="paragraph" w:styleId="BalloonText">
    <w:name w:val="Balloon Text"/>
    <w:basedOn w:val="Normal"/>
    <w:link w:val="BalloonTextChar"/>
    <w:uiPriority w:val="99"/>
    <w:semiHidden/>
    <w:unhideWhenUsed/>
    <w:rsid w:val="00BC2F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2FF8"/>
    <w:rPr>
      <w:color w:val="954F72" w:themeColor="followedHyperlink"/>
      <w:u w:val="single"/>
    </w:rPr>
  </w:style>
  <w:style w:type="character" w:styleId="CommentReference">
    <w:name w:val="annotation reference"/>
    <w:basedOn w:val="DefaultParagraphFont"/>
    <w:uiPriority w:val="99"/>
    <w:semiHidden/>
    <w:unhideWhenUsed/>
    <w:rsid w:val="00BC2FF8"/>
    <w:rPr>
      <w:sz w:val="18"/>
      <w:szCs w:val="18"/>
    </w:rPr>
  </w:style>
  <w:style w:type="paragraph" w:styleId="CommentText">
    <w:name w:val="annotation text"/>
    <w:basedOn w:val="Normal"/>
    <w:link w:val="CommentTextChar"/>
    <w:uiPriority w:val="99"/>
    <w:semiHidden/>
    <w:unhideWhenUsed/>
    <w:rsid w:val="00BC2FF8"/>
    <w:pPr>
      <w:spacing w:line="240" w:lineRule="auto"/>
    </w:pPr>
    <w:rPr>
      <w:sz w:val="24"/>
      <w:szCs w:val="24"/>
    </w:rPr>
  </w:style>
  <w:style w:type="character" w:customStyle="1" w:styleId="CommentTextChar">
    <w:name w:val="Comment Text Char"/>
    <w:basedOn w:val="DefaultParagraphFont"/>
    <w:link w:val="CommentText"/>
    <w:uiPriority w:val="99"/>
    <w:semiHidden/>
    <w:rsid w:val="00BC2FF8"/>
    <w:rPr>
      <w:sz w:val="24"/>
      <w:szCs w:val="24"/>
    </w:rPr>
  </w:style>
  <w:style w:type="paragraph" w:styleId="CommentSubject">
    <w:name w:val="annotation subject"/>
    <w:basedOn w:val="CommentText"/>
    <w:next w:val="CommentText"/>
    <w:link w:val="CommentSubjectChar"/>
    <w:uiPriority w:val="99"/>
    <w:semiHidden/>
    <w:unhideWhenUsed/>
    <w:rsid w:val="00BC2FF8"/>
    <w:rPr>
      <w:b/>
      <w:bCs/>
      <w:sz w:val="20"/>
      <w:szCs w:val="20"/>
    </w:rPr>
  </w:style>
  <w:style w:type="character" w:customStyle="1" w:styleId="CommentSubjectChar">
    <w:name w:val="Comment Subject Char"/>
    <w:basedOn w:val="CommentTextChar"/>
    <w:link w:val="CommentSubject"/>
    <w:uiPriority w:val="99"/>
    <w:semiHidden/>
    <w:rsid w:val="00BC2FF8"/>
    <w:rPr>
      <w:b/>
      <w:bCs/>
      <w:sz w:val="20"/>
      <w:szCs w:val="20"/>
    </w:rPr>
  </w:style>
  <w:style w:type="paragraph" w:styleId="NoSpacing">
    <w:name w:val="No Spacing"/>
    <w:uiPriority w:val="1"/>
    <w:qFormat/>
    <w:rsid w:val="00E26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B539A"/>
  </w:style>
  <w:style w:type="character" w:styleId="Hyperlink">
    <w:name w:val="Hyperlink"/>
    <w:basedOn w:val="DefaultParagraphFont"/>
    <w:uiPriority w:val="99"/>
    <w:unhideWhenUsed/>
    <w:rsid w:val="00BB539A"/>
    <w:rPr>
      <w:color w:val="0563C1" w:themeColor="hyperlink"/>
      <w:u w:val="single"/>
    </w:rPr>
  </w:style>
  <w:style w:type="paragraph" w:styleId="ListParagraph">
    <w:name w:val="List Paragraph"/>
    <w:basedOn w:val="Normal"/>
    <w:uiPriority w:val="34"/>
    <w:qFormat/>
    <w:rsid w:val="00BB539A"/>
    <w:pPr>
      <w:ind w:left="720"/>
      <w:contextualSpacing/>
    </w:pPr>
  </w:style>
  <w:style w:type="paragraph" w:styleId="Header">
    <w:name w:val="header"/>
    <w:basedOn w:val="Normal"/>
    <w:link w:val="HeaderChar"/>
    <w:uiPriority w:val="99"/>
    <w:unhideWhenUsed/>
    <w:rsid w:val="00FF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9D"/>
  </w:style>
  <w:style w:type="paragraph" w:styleId="Footer">
    <w:name w:val="footer"/>
    <w:basedOn w:val="Normal"/>
    <w:link w:val="FooterChar"/>
    <w:uiPriority w:val="99"/>
    <w:unhideWhenUsed/>
    <w:rsid w:val="00FF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9D"/>
  </w:style>
  <w:style w:type="paragraph" w:styleId="BalloonText">
    <w:name w:val="Balloon Text"/>
    <w:basedOn w:val="Normal"/>
    <w:link w:val="BalloonTextChar"/>
    <w:uiPriority w:val="99"/>
    <w:semiHidden/>
    <w:unhideWhenUsed/>
    <w:rsid w:val="00BC2F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2FF8"/>
    <w:rPr>
      <w:color w:val="954F72" w:themeColor="followedHyperlink"/>
      <w:u w:val="single"/>
    </w:rPr>
  </w:style>
  <w:style w:type="character" w:styleId="CommentReference">
    <w:name w:val="annotation reference"/>
    <w:basedOn w:val="DefaultParagraphFont"/>
    <w:uiPriority w:val="99"/>
    <w:semiHidden/>
    <w:unhideWhenUsed/>
    <w:rsid w:val="00BC2FF8"/>
    <w:rPr>
      <w:sz w:val="18"/>
      <w:szCs w:val="18"/>
    </w:rPr>
  </w:style>
  <w:style w:type="paragraph" w:styleId="CommentText">
    <w:name w:val="annotation text"/>
    <w:basedOn w:val="Normal"/>
    <w:link w:val="CommentTextChar"/>
    <w:uiPriority w:val="99"/>
    <w:semiHidden/>
    <w:unhideWhenUsed/>
    <w:rsid w:val="00BC2FF8"/>
    <w:pPr>
      <w:spacing w:line="240" w:lineRule="auto"/>
    </w:pPr>
    <w:rPr>
      <w:sz w:val="24"/>
      <w:szCs w:val="24"/>
    </w:rPr>
  </w:style>
  <w:style w:type="character" w:customStyle="1" w:styleId="CommentTextChar">
    <w:name w:val="Comment Text Char"/>
    <w:basedOn w:val="DefaultParagraphFont"/>
    <w:link w:val="CommentText"/>
    <w:uiPriority w:val="99"/>
    <w:semiHidden/>
    <w:rsid w:val="00BC2FF8"/>
    <w:rPr>
      <w:sz w:val="24"/>
      <w:szCs w:val="24"/>
    </w:rPr>
  </w:style>
  <w:style w:type="paragraph" w:styleId="CommentSubject">
    <w:name w:val="annotation subject"/>
    <w:basedOn w:val="CommentText"/>
    <w:next w:val="CommentText"/>
    <w:link w:val="CommentSubjectChar"/>
    <w:uiPriority w:val="99"/>
    <w:semiHidden/>
    <w:unhideWhenUsed/>
    <w:rsid w:val="00BC2FF8"/>
    <w:rPr>
      <w:b/>
      <w:bCs/>
      <w:sz w:val="20"/>
      <w:szCs w:val="20"/>
    </w:rPr>
  </w:style>
  <w:style w:type="character" w:customStyle="1" w:styleId="CommentSubjectChar">
    <w:name w:val="Comment Subject Char"/>
    <w:basedOn w:val="CommentTextChar"/>
    <w:link w:val="CommentSubject"/>
    <w:uiPriority w:val="99"/>
    <w:semiHidden/>
    <w:rsid w:val="00BC2FF8"/>
    <w:rPr>
      <w:b/>
      <w:bCs/>
      <w:sz w:val="20"/>
      <w:szCs w:val="20"/>
    </w:rPr>
  </w:style>
  <w:style w:type="paragraph" w:styleId="NoSpacing">
    <w:name w:val="No Spacing"/>
    <w:uiPriority w:val="1"/>
    <w:qFormat/>
    <w:rsid w:val="00E26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ard2015.com" TargetMode="External"/><Relationship Id="rId4" Type="http://schemas.microsoft.com/office/2007/relationships/stylesWithEffects" Target="stylesWithEffects.xml"/><Relationship Id="rId9" Type="http://schemas.openxmlformats.org/officeDocument/2006/relationships/hyperlink" Target="mailto:liam.bullock@abd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F6CE-9A7D-4302-BA82-ABD511D9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7010</Words>
  <Characters>39963</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Aberdeen</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Liam</dc:creator>
  <cp:lastModifiedBy>National Oceanography Centre</cp:lastModifiedBy>
  <cp:revision>3</cp:revision>
  <dcterms:created xsi:type="dcterms:W3CDTF">2018-06-12T14:17:00Z</dcterms:created>
  <dcterms:modified xsi:type="dcterms:W3CDTF">2018-06-12T14:17:00Z</dcterms:modified>
</cp:coreProperties>
</file>