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A34A7" w14:textId="791EE55C" w:rsidR="005271B8" w:rsidRPr="00F14E6C" w:rsidRDefault="00A87542" w:rsidP="005271B8">
      <w:pPr>
        <w:rPr>
          <w:i/>
        </w:rPr>
      </w:pPr>
      <w:bookmarkStart w:id="0" w:name="_GoBack"/>
      <w:bookmarkEnd w:id="0"/>
      <w:r w:rsidRPr="00F14E6C">
        <w:rPr>
          <w:i/>
        </w:rPr>
        <w:t>Recurrent fracture</w:t>
      </w:r>
      <w:r w:rsidR="005271B8" w:rsidRPr="00F14E6C">
        <w:rPr>
          <w:i/>
        </w:rPr>
        <w:t>.doc</w:t>
      </w:r>
    </w:p>
    <w:p w14:paraId="1F2A0C1A" w14:textId="1D0AB5C8" w:rsidR="00034F1F" w:rsidRPr="00F14E6C" w:rsidRDefault="00940E04" w:rsidP="00940E04">
      <w:pPr>
        <w:jc w:val="right"/>
        <w:rPr>
          <w:rFonts w:ascii="Calibri" w:eastAsia="MS Mincho" w:hAnsi="Calibri" w:cs="Times New Roman"/>
          <w:b/>
          <w:sz w:val="32"/>
          <w:szCs w:val="32"/>
        </w:rPr>
      </w:pPr>
      <w:r w:rsidRPr="00940E04">
        <w:rPr>
          <w:i/>
        </w:rPr>
        <w:t>OSIN-D-17-00986/R1</w:t>
      </w:r>
    </w:p>
    <w:p w14:paraId="340E2286" w14:textId="38DD5C48" w:rsidR="005271B8" w:rsidRPr="00F14E6C" w:rsidRDefault="00271192" w:rsidP="005271B8">
      <w:pPr>
        <w:rPr>
          <w:rFonts w:ascii="Calibri" w:eastAsia="MS Mincho" w:hAnsi="Calibri" w:cs="Times New Roman"/>
          <w:b/>
          <w:sz w:val="32"/>
          <w:szCs w:val="32"/>
        </w:rPr>
      </w:pPr>
      <w:r w:rsidRPr="00F14E6C">
        <w:rPr>
          <w:rFonts w:ascii="Calibri" w:eastAsia="MS Mincho" w:hAnsi="Calibri" w:cs="Times New Roman"/>
          <w:b/>
          <w:sz w:val="32"/>
          <w:szCs w:val="32"/>
        </w:rPr>
        <w:t>C</w:t>
      </w:r>
      <w:r w:rsidR="005271B8" w:rsidRPr="00F14E6C">
        <w:rPr>
          <w:rFonts w:ascii="Calibri" w:eastAsia="MS Mincho" w:hAnsi="Calibri" w:cs="Times New Roman"/>
          <w:b/>
          <w:sz w:val="32"/>
          <w:szCs w:val="32"/>
        </w:rPr>
        <w:t>haracteristics of recurrent fractures</w:t>
      </w:r>
    </w:p>
    <w:p w14:paraId="273B433D" w14:textId="77777777" w:rsidR="00034F1F" w:rsidRPr="00F14E6C" w:rsidRDefault="00034F1F" w:rsidP="005271B8"/>
    <w:p w14:paraId="05252D6D" w14:textId="3C277189" w:rsidR="005271B8" w:rsidRPr="00F14E6C" w:rsidRDefault="005271B8" w:rsidP="005271B8">
      <w:r w:rsidRPr="00F14E6C">
        <w:t>John A Kanis</w:t>
      </w:r>
      <w:r w:rsidRPr="00F14E6C">
        <w:rPr>
          <w:vertAlign w:val="superscript"/>
        </w:rPr>
        <w:t>1,</w:t>
      </w:r>
      <w:r w:rsidR="00271192" w:rsidRPr="00F14E6C">
        <w:rPr>
          <w:vertAlign w:val="superscript"/>
        </w:rPr>
        <w:t>2</w:t>
      </w:r>
      <w:r w:rsidRPr="00F14E6C">
        <w:t>, Helena Johansson</w:t>
      </w:r>
      <w:r w:rsidRPr="00F14E6C">
        <w:rPr>
          <w:vertAlign w:val="superscript"/>
        </w:rPr>
        <w:t>1,</w:t>
      </w:r>
      <w:r w:rsidR="00271192" w:rsidRPr="00F14E6C">
        <w:rPr>
          <w:vertAlign w:val="superscript"/>
        </w:rPr>
        <w:t>2</w:t>
      </w:r>
      <w:r w:rsidRPr="00F14E6C">
        <w:t>, Anders Odén</w:t>
      </w:r>
      <w:r w:rsidRPr="00F14E6C">
        <w:rPr>
          <w:vertAlign w:val="superscript"/>
        </w:rPr>
        <w:t>1</w:t>
      </w:r>
      <w:r w:rsidRPr="00F14E6C">
        <w:t xml:space="preserve">, Nicholas </w:t>
      </w:r>
      <w:r w:rsidR="00271192" w:rsidRPr="00F14E6C">
        <w:t xml:space="preserve">C </w:t>
      </w:r>
      <w:r w:rsidRPr="00F14E6C">
        <w:t>Harvey</w:t>
      </w:r>
      <w:r w:rsidR="001F28A2" w:rsidRPr="00F14E6C">
        <w:rPr>
          <w:vertAlign w:val="superscript"/>
        </w:rPr>
        <w:t>3,4</w:t>
      </w:r>
      <w:r w:rsidRPr="00F14E6C">
        <w:t xml:space="preserve">, </w:t>
      </w:r>
      <w:r w:rsidRPr="00F14E6C">
        <w:rPr>
          <w:lang w:val="en-US"/>
        </w:rPr>
        <w:t>Vilmundur Gudnason</w:t>
      </w:r>
      <w:r w:rsidR="001F28A2" w:rsidRPr="00F14E6C">
        <w:rPr>
          <w:vertAlign w:val="superscript"/>
          <w:lang w:val="en-US"/>
        </w:rPr>
        <w:t>5</w:t>
      </w:r>
      <w:r w:rsidRPr="00F14E6C">
        <w:rPr>
          <w:vertAlign w:val="superscript"/>
          <w:lang w:val="en-US"/>
        </w:rPr>
        <w:t>,</w:t>
      </w:r>
      <w:r w:rsidR="001F28A2" w:rsidRPr="00F14E6C">
        <w:rPr>
          <w:vertAlign w:val="superscript"/>
          <w:lang w:val="en-US"/>
        </w:rPr>
        <w:t>6</w:t>
      </w:r>
      <w:r w:rsidRPr="00F14E6C">
        <w:rPr>
          <w:lang w:val="en-US"/>
        </w:rPr>
        <w:t xml:space="preserve">, Kerrie </w:t>
      </w:r>
      <w:r w:rsidR="0010538B">
        <w:rPr>
          <w:lang w:val="en-US"/>
        </w:rPr>
        <w:t xml:space="preserve">M </w:t>
      </w:r>
      <w:r w:rsidRPr="00F14E6C">
        <w:rPr>
          <w:lang w:val="en-US"/>
        </w:rPr>
        <w:t>Sanders</w:t>
      </w:r>
      <w:r w:rsidR="001F28A2" w:rsidRPr="00F14E6C">
        <w:rPr>
          <w:vertAlign w:val="superscript"/>
          <w:lang w:val="en-US"/>
        </w:rPr>
        <w:t>2</w:t>
      </w:r>
      <w:r w:rsidRPr="00F14E6C">
        <w:rPr>
          <w:lang w:val="en-US"/>
        </w:rPr>
        <w:t>, Gunnar Sigurdsson</w:t>
      </w:r>
      <w:r w:rsidR="001F28A2" w:rsidRPr="00F14E6C">
        <w:rPr>
          <w:vertAlign w:val="superscript"/>
          <w:lang w:val="en-US"/>
        </w:rPr>
        <w:t>5</w:t>
      </w:r>
      <w:r w:rsidRPr="00F14E6C">
        <w:rPr>
          <w:lang w:val="en-US"/>
        </w:rPr>
        <w:t xml:space="preserve">, </w:t>
      </w:r>
      <w:r w:rsidRPr="00F14E6C">
        <w:t>Kristin Siggeirsdottir</w:t>
      </w:r>
      <w:r w:rsidR="001F28A2" w:rsidRPr="00F14E6C">
        <w:rPr>
          <w:vertAlign w:val="superscript"/>
        </w:rPr>
        <w:t>5</w:t>
      </w:r>
      <w:r w:rsidRPr="00F14E6C">
        <w:t xml:space="preserve">, </w:t>
      </w:r>
      <w:r w:rsidR="002B06B9">
        <w:t xml:space="preserve">Lorraine </w:t>
      </w:r>
      <w:r w:rsidR="0040608F">
        <w:t xml:space="preserve">A </w:t>
      </w:r>
      <w:r w:rsidR="002B06B9">
        <w:t>Fitzpatrick</w:t>
      </w:r>
      <w:r w:rsidR="002B06B9" w:rsidRPr="002B06B9">
        <w:rPr>
          <w:vertAlign w:val="superscript"/>
        </w:rPr>
        <w:t>7</w:t>
      </w:r>
      <w:r w:rsidR="002B06B9">
        <w:t xml:space="preserve">, </w:t>
      </w:r>
      <w:r w:rsidRPr="00F14E6C">
        <w:t xml:space="preserve">Fredrik </w:t>
      </w:r>
      <w:r w:rsidRPr="00F14E6C">
        <w:rPr>
          <w:bCs/>
        </w:rPr>
        <w:t>Borgström</w:t>
      </w:r>
      <w:r w:rsidRPr="00F14E6C">
        <w:rPr>
          <w:vertAlign w:val="superscript"/>
        </w:rPr>
        <w:t xml:space="preserve"> </w:t>
      </w:r>
      <w:r w:rsidR="002B06B9">
        <w:rPr>
          <w:vertAlign w:val="superscript"/>
        </w:rPr>
        <w:t>8</w:t>
      </w:r>
      <w:r w:rsidR="001F28A2" w:rsidRPr="00F14E6C">
        <w:t xml:space="preserve">, </w:t>
      </w:r>
      <w:r w:rsidR="00271192" w:rsidRPr="00F14E6C">
        <w:t>Eugene V McCloskey</w:t>
      </w:r>
      <w:r w:rsidR="00271192" w:rsidRPr="00F14E6C">
        <w:rPr>
          <w:vertAlign w:val="superscript"/>
        </w:rPr>
        <w:t xml:space="preserve">1, </w:t>
      </w:r>
      <w:r w:rsidR="002B06B9">
        <w:rPr>
          <w:vertAlign w:val="superscript"/>
        </w:rPr>
        <w:t>9</w:t>
      </w:r>
    </w:p>
    <w:p w14:paraId="7E4C4EE3" w14:textId="77777777" w:rsidR="005271B8" w:rsidRPr="00F14E6C" w:rsidRDefault="005271B8" w:rsidP="005271B8"/>
    <w:p w14:paraId="357DDD8F" w14:textId="77777777" w:rsidR="00271192" w:rsidRPr="00F14E6C" w:rsidRDefault="005271B8" w:rsidP="005271B8">
      <w:r w:rsidRPr="00F14E6C">
        <w:rPr>
          <w:vertAlign w:val="superscript"/>
        </w:rPr>
        <w:t>1</w:t>
      </w:r>
      <w:r w:rsidRPr="00F14E6C">
        <w:t xml:space="preserve"> Centre for Metabolic Bone Diseases, University of Sheffield, Sheffield, UK</w:t>
      </w:r>
    </w:p>
    <w:p w14:paraId="2FC56AF4" w14:textId="51CF8944" w:rsidR="00271192" w:rsidRPr="00F14E6C" w:rsidRDefault="00271192" w:rsidP="00271192">
      <w:r w:rsidRPr="00F14E6C">
        <w:rPr>
          <w:vertAlign w:val="superscript"/>
        </w:rPr>
        <w:t xml:space="preserve">2 </w:t>
      </w:r>
      <w:r w:rsidR="0010538B" w:rsidRPr="0010538B">
        <w:t>Institute for Health and Ageing, Australian Catholic University, Melbourne, Australia</w:t>
      </w:r>
    </w:p>
    <w:p w14:paraId="28F8B0EF" w14:textId="4DD3241F" w:rsidR="005271B8" w:rsidRPr="00F14E6C" w:rsidRDefault="001F28A2" w:rsidP="005271B8">
      <w:r w:rsidRPr="00F14E6C">
        <w:rPr>
          <w:vertAlign w:val="superscript"/>
        </w:rPr>
        <w:t>3</w:t>
      </w:r>
      <w:r w:rsidR="005271B8" w:rsidRPr="00F14E6C">
        <w:rPr>
          <w:vertAlign w:val="superscript"/>
        </w:rPr>
        <w:t xml:space="preserve"> </w:t>
      </w:r>
      <w:r w:rsidR="005271B8" w:rsidRPr="00F14E6C">
        <w:t xml:space="preserve">MRC Lifecourse Epidemiology Unit, University of Southampton, Southampton, UK </w:t>
      </w:r>
    </w:p>
    <w:p w14:paraId="67A889CD" w14:textId="07D94A2B" w:rsidR="005271B8" w:rsidRPr="00F14E6C" w:rsidRDefault="001F28A2" w:rsidP="005271B8">
      <w:r w:rsidRPr="00F14E6C">
        <w:rPr>
          <w:vertAlign w:val="superscript"/>
        </w:rPr>
        <w:t>4</w:t>
      </w:r>
      <w:r w:rsidR="005271B8" w:rsidRPr="00F14E6C">
        <w:rPr>
          <w:vertAlign w:val="superscript"/>
        </w:rPr>
        <w:t xml:space="preserve"> </w:t>
      </w:r>
      <w:r w:rsidR="005271B8" w:rsidRPr="00F14E6C">
        <w:t>NIHR Southampton Biomedical Research Centre, University of Southampton and University Hospital Southampton NHS Foundation Trust, Southampton, UK</w:t>
      </w:r>
    </w:p>
    <w:p w14:paraId="7E586CF3" w14:textId="029F4616" w:rsidR="005271B8" w:rsidRPr="00F14E6C" w:rsidRDefault="005271B8" w:rsidP="005271B8">
      <w:r w:rsidRPr="00F14E6C">
        <w:rPr>
          <w:vertAlign w:val="superscript"/>
        </w:rPr>
        <w:t>5</w:t>
      </w:r>
      <w:r w:rsidRPr="00F14E6C">
        <w:t xml:space="preserve"> </w:t>
      </w:r>
      <w:r w:rsidR="001F28A2" w:rsidRPr="00F14E6C">
        <w:t>Icelandic Heart Association Research Institute, Kopavogur, Iceland</w:t>
      </w:r>
    </w:p>
    <w:p w14:paraId="2158934D" w14:textId="2397FAFE" w:rsidR="005271B8" w:rsidRDefault="005271B8" w:rsidP="005271B8">
      <w:pPr>
        <w:rPr>
          <w:lang w:val="en-US"/>
        </w:rPr>
      </w:pPr>
      <w:bookmarkStart w:id="1" w:name="_Hlk493398193"/>
      <w:r w:rsidRPr="00F14E6C">
        <w:rPr>
          <w:vertAlign w:val="superscript"/>
        </w:rPr>
        <w:t>6</w:t>
      </w:r>
      <w:r w:rsidR="001F28A2" w:rsidRPr="00F14E6C">
        <w:rPr>
          <w:vertAlign w:val="superscript"/>
        </w:rPr>
        <w:t xml:space="preserve"> </w:t>
      </w:r>
      <w:r w:rsidR="001F28A2" w:rsidRPr="00F14E6C">
        <w:rPr>
          <w:lang w:val="en-US"/>
        </w:rPr>
        <w:t>University of Iceland, Reykjavik, Iceland</w:t>
      </w:r>
    </w:p>
    <w:p w14:paraId="1884B453" w14:textId="69855C5A" w:rsidR="002B06B9" w:rsidRPr="00F14E6C" w:rsidRDefault="002B06B9" w:rsidP="005271B8">
      <w:r w:rsidRPr="002B06B9">
        <w:rPr>
          <w:vertAlign w:val="superscript"/>
          <w:lang w:val="en-US"/>
        </w:rPr>
        <w:t>7</w:t>
      </w:r>
      <w:r>
        <w:rPr>
          <w:lang w:val="en-US"/>
        </w:rPr>
        <w:t>Radius Health,</w:t>
      </w:r>
      <w:r w:rsidR="00032123" w:rsidRPr="00032123">
        <w:rPr>
          <w:rFonts w:ascii="din-bold" w:hAnsi="din-bold"/>
          <w:color w:val="7F8083"/>
          <w:sz w:val="21"/>
          <w:szCs w:val="21"/>
          <w:shd w:val="clear" w:color="auto" w:fill="FFFFFF"/>
        </w:rPr>
        <w:t xml:space="preserve"> </w:t>
      </w:r>
      <w:r w:rsidR="00032123" w:rsidRPr="00032123">
        <w:t>Waltham, MA</w:t>
      </w:r>
      <w:r w:rsidR="00032123">
        <w:t>, USA</w:t>
      </w:r>
    </w:p>
    <w:bookmarkEnd w:id="1"/>
    <w:p w14:paraId="4DB60E4F" w14:textId="7F66D8C5" w:rsidR="005271B8" w:rsidRPr="00F14E6C" w:rsidRDefault="002B06B9" w:rsidP="005271B8">
      <w:pPr>
        <w:rPr>
          <w:bCs/>
          <w:lang w:val="en-US"/>
        </w:rPr>
      </w:pPr>
      <w:r>
        <w:rPr>
          <w:vertAlign w:val="superscript"/>
        </w:rPr>
        <w:t>8</w:t>
      </w:r>
      <w:r w:rsidR="00681683" w:rsidRPr="00F14E6C">
        <w:rPr>
          <w:vertAlign w:val="superscript"/>
        </w:rPr>
        <w:t xml:space="preserve"> </w:t>
      </w:r>
      <w:r w:rsidR="005271B8" w:rsidRPr="00F14E6C">
        <w:rPr>
          <w:bCs/>
          <w:lang w:val="en-US"/>
        </w:rPr>
        <w:t>LIME/MMC, Karolinska Institutet, Stockholm, Sweden</w:t>
      </w:r>
    </w:p>
    <w:p w14:paraId="173D3CAD" w14:textId="4B405743" w:rsidR="00031EEA" w:rsidRPr="00F14E6C" w:rsidRDefault="002B06B9" w:rsidP="00031EEA">
      <w:pPr>
        <w:rPr>
          <w:bCs/>
          <w:lang w:val="en-US"/>
        </w:rPr>
      </w:pPr>
      <w:r>
        <w:rPr>
          <w:bCs/>
          <w:vertAlign w:val="superscript"/>
          <w:lang w:val="en-US"/>
        </w:rPr>
        <w:t>9</w:t>
      </w:r>
      <w:r w:rsidR="001F28A2" w:rsidRPr="00F14E6C">
        <w:rPr>
          <w:bCs/>
          <w:vertAlign w:val="superscript"/>
          <w:lang w:val="en-US"/>
        </w:rPr>
        <w:t xml:space="preserve"> </w:t>
      </w:r>
      <w:r w:rsidR="00031EEA" w:rsidRPr="00F14E6C">
        <w:rPr>
          <w:bCs/>
          <w:lang w:val="en-US"/>
        </w:rPr>
        <w:t>Mellanby Centre for bone research, Department of Oncology and Metabolism, University of Sheffield, Sheffield, UK</w:t>
      </w:r>
    </w:p>
    <w:p w14:paraId="457358DB" w14:textId="77777777" w:rsidR="00031EEA" w:rsidRPr="00F14E6C" w:rsidRDefault="00031EEA" w:rsidP="005271B8">
      <w:pPr>
        <w:rPr>
          <w:bCs/>
          <w:lang w:val="en-US"/>
        </w:rPr>
      </w:pPr>
    </w:p>
    <w:p w14:paraId="5C4FC9FC" w14:textId="77777777" w:rsidR="005271B8" w:rsidRPr="00F14E6C" w:rsidRDefault="005271B8" w:rsidP="005271B8"/>
    <w:p w14:paraId="7C04A7DA" w14:textId="755E20C5" w:rsidR="005271B8" w:rsidRPr="00F14E6C" w:rsidRDefault="00681683" w:rsidP="005271B8">
      <w:r w:rsidRPr="00F14E6C">
        <w:t>Correspondence:</w:t>
      </w:r>
    </w:p>
    <w:p w14:paraId="55768A59" w14:textId="77777777" w:rsidR="005271B8" w:rsidRPr="00F14E6C" w:rsidRDefault="005271B8" w:rsidP="005271B8">
      <w:r w:rsidRPr="00F14E6C">
        <w:t xml:space="preserve">John A Kanis, </w:t>
      </w:r>
      <w:hyperlink r:id="rId8" w:history="1">
        <w:r w:rsidRPr="00F14E6C">
          <w:rPr>
            <w:rStyle w:val="Hyperlink"/>
          </w:rPr>
          <w:t>w.j.pontefract@sheffield.ac.uk</w:t>
        </w:r>
      </w:hyperlink>
      <w:r w:rsidRPr="00F14E6C">
        <w:t xml:space="preserve"> </w:t>
      </w:r>
    </w:p>
    <w:p w14:paraId="3DD64E0A" w14:textId="615AB6D5" w:rsidR="00681683" w:rsidRPr="00F14E6C" w:rsidRDefault="00681683" w:rsidP="00681683">
      <w:pPr>
        <w:spacing w:after="0"/>
      </w:pPr>
      <w:r w:rsidRPr="00F14E6C">
        <w:t xml:space="preserve">Abstract: </w:t>
      </w:r>
      <w:r w:rsidR="00783FE7">
        <w:t>391</w:t>
      </w:r>
      <w:r w:rsidRPr="00F14E6C">
        <w:t xml:space="preserve"> words</w:t>
      </w:r>
    </w:p>
    <w:p w14:paraId="617C9BB0" w14:textId="35673F6B" w:rsidR="00681683" w:rsidRPr="00F14E6C" w:rsidRDefault="00681683" w:rsidP="00681683">
      <w:pPr>
        <w:spacing w:after="0"/>
      </w:pPr>
      <w:r w:rsidRPr="00F14E6C">
        <w:t>Text: 3</w:t>
      </w:r>
      <w:r w:rsidR="00783FE7">
        <w:t>568</w:t>
      </w:r>
      <w:r w:rsidRPr="00F14E6C">
        <w:t xml:space="preserve"> words</w:t>
      </w:r>
    </w:p>
    <w:p w14:paraId="046DA8C6" w14:textId="0EC67B7B" w:rsidR="00681683" w:rsidRPr="00F14E6C" w:rsidRDefault="00681683" w:rsidP="00681683">
      <w:pPr>
        <w:spacing w:after="0"/>
      </w:pPr>
      <w:r w:rsidRPr="00F14E6C">
        <w:t>References: 3</w:t>
      </w:r>
      <w:r w:rsidR="00783FE7">
        <w:t>2</w:t>
      </w:r>
    </w:p>
    <w:p w14:paraId="7DF074BD" w14:textId="763AE1B1" w:rsidR="00681683" w:rsidRPr="00F14E6C" w:rsidRDefault="00681683" w:rsidP="00681683">
      <w:pPr>
        <w:spacing w:after="0"/>
      </w:pPr>
      <w:r w:rsidRPr="00F14E6C">
        <w:t xml:space="preserve">Tables: </w:t>
      </w:r>
      <w:r w:rsidR="00034F1F" w:rsidRPr="00F14E6C">
        <w:t>3</w:t>
      </w:r>
    </w:p>
    <w:p w14:paraId="0CBB7B70" w14:textId="49BD5EBB" w:rsidR="00681683" w:rsidRPr="00F14E6C" w:rsidRDefault="00681683" w:rsidP="00681683">
      <w:pPr>
        <w:spacing w:after="0"/>
      </w:pPr>
      <w:r w:rsidRPr="00F14E6C">
        <w:t xml:space="preserve">Figures: </w:t>
      </w:r>
      <w:r w:rsidR="00034F1F" w:rsidRPr="00F14E6C">
        <w:t>3</w:t>
      </w:r>
    </w:p>
    <w:p w14:paraId="72DACEF4" w14:textId="7A3EC405" w:rsidR="00AF5674" w:rsidRPr="00F14E6C" w:rsidRDefault="00034F1F" w:rsidP="00681683">
      <w:pPr>
        <w:spacing w:after="0"/>
      </w:pPr>
      <w:r w:rsidRPr="00F14E6C">
        <w:t>Supplementary tables: 5</w:t>
      </w:r>
    </w:p>
    <w:p w14:paraId="3FA66308" w14:textId="04DA0E5F" w:rsidR="005271B8" w:rsidRPr="00F14E6C" w:rsidRDefault="005271B8" w:rsidP="00681683">
      <w:r w:rsidRPr="00F14E6C">
        <w:br w:type="page"/>
      </w:r>
    </w:p>
    <w:p w14:paraId="7AC3ED6C" w14:textId="46E3ED60" w:rsidR="004F1DD8" w:rsidRPr="00F14E6C" w:rsidRDefault="004F1DD8" w:rsidP="005271B8">
      <w:pPr>
        <w:rPr>
          <w:b/>
        </w:rPr>
      </w:pPr>
      <w:r w:rsidRPr="00F14E6C">
        <w:rPr>
          <w:b/>
        </w:rPr>
        <w:lastRenderedPageBreak/>
        <w:t>Abstract</w:t>
      </w:r>
    </w:p>
    <w:p w14:paraId="311646A8" w14:textId="148C99B3" w:rsidR="004F1DD8" w:rsidRPr="00F14E6C" w:rsidRDefault="004F1DD8" w:rsidP="005271B8">
      <w:pPr>
        <w:rPr>
          <w:i/>
        </w:rPr>
      </w:pPr>
      <w:r w:rsidRPr="00F14E6C">
        <w:rPr>
          <w:i/>
        </w:rPr>
        <w:t>Summary</w:t>
      </w:r>
      <w:r w:rsidR="00AC645D" w:rsidRPr="00F14E6C">
        <w:t xml:space="preserve"> The present study, drawn from a sample of the Icelandic population, quantified </w:t>
      </w:r>
      <w:r w:rsidR="00110DF1" w:rsidRPr="00F14E6C">
        <w:t>high</w:t>
      </w:r>
      <w:r w:rsidR="00AC645D" w:rsidRPr="00F14E6C">
        <w:t xml:space="preserve"> </w:t>
      </w:r>
      <w:r w:rsidR="00110DF1" w:rsidRPr="00F14E6C">
        <w:t xml:space="preserve">immediate </w:t>
      </w:r>
      <w:r w:rsidR="00AC645D" w:rsidRPr="00F14E6C">
        <w:t xml:space="preserve">risk and utility </w:t>
      </w:r>
      <w:r w:rsidR="00110DF1" w:rsidRPr="00F14E6C">
        <w:t>loss</w:t>
      </w:r>
      <w:r w:rsidR="00AC645D" w:rsidRPr="00F14E6C">
        <w:t xml:space="preserve"> of subsequent fracture after a sentinel fracture (at the hip, spine, distal forearm and humerus) </w:t>
      </w:r>
      <w:r w:rsidR="00110DF1" w:rsidRPr="00F14E6C">
        <w:t>that attenuated with time</w:t>
      </w:r>
      <w:r w:rsidR="00AC645D" w:rsidRPr="00F14E6C">
        <w:t>.</w:t>
      </w:r>
    </w:p>
    <w:p w14:paraId="29477DA6" w14:textId="6BE74EB6" w:rsidR="004F1DD8" w:rsidRPr="00F14E6C" w:rsidRDefault="004F1DD8" w:rsidP="005271B8">
      <w:r w:rsidRPr="00F14E6C">
        <w:rPr>
          <w:i/>
        </w:rPr>
        <w:t>Introduction</w:t>
      </w:r>
      <w:r w:rsidRPr="00F14E6C">
        <w:t xml:space="preserve"> The risk of a subsequent osteoporotic fracture is particularly acute immediately after </w:t>
      </w:r>
      <w:r w:rsidR="00A57533">
        <w:t>an</w:t>
      </w:r>
      <w:r w:rsidRPr="00F14E6C">
        <w:t xml:space="preserve"> index fracture and wanes progressively with time</w:t>
      </w:r>
      <w:r w:rsidR="00926BFA" w:rsidRPr="00F14E6C">
        <w:t xml:space="preserve">. </w:t>
      </w:r>
      <w:bookmarkStart w:id="2" w:name="_Hlk493430635"/>
      <w:r w:rsidR="00204CDC" w:rsidRPr="00F14E6C">
        <w:t>The aim of this study was to quantify the risk and utility consequences of subsequent fracture after a sentinel fracture (at the hip, spine, distal forearm and humerus) with an emphasis on the time course of recurrent fracture.</w:t>
      </w:r>
      <w:bookmarkEnd w:id="2"/>
    </w:p>
    <w:p w14:paraId="55631616" w14:textId="16A08321" w:rsidR="0029183C" w:rsidRPr="00F14E6C" w:rsidRDefault="004F1DD8" w:rsidP="0029183C">
      <w:r w:rsidRPr="00F14E6C">
        <w:rPr>
          <w:i/>
        </w:rPr>
        <w:t>Methods</w:t>
      </w:r>
      <w:r w:rsidR="00926BFA" w:rsidRPr="00F14E6C">
        <w:t xml:space="preserve"> </w:t>
      </w:r>
      <w:r w:rsidR="00F76042" w:rsidRPr="00F14E6C">
        <w:t>The Reykjavik Study fracture registration, drawn from a sample of the Icelandic population (n=18,872), recorded all fractures of the participants from their entry into the study until December 31, 2012.  Medical records for the participants, were manually examined and verified.  First sentinel fractures were identified</w:t>
      </w:r>
      <w:r w:rsidR="00EE1D4D" w:rsidRPr="00F94B58">
        <w:t xml:space="preserve">.  </w:t>
      </w:r>
      <w:bookmarkStart w:id="3" w:name="_Hlk500082048"/>
      <w:r w:rsidR="0029183C" w:rsidRPr="00F94B58">
        <w:t xml:space="preserve">Subsequent fractures, deaths, ten-year probability of fracture and cumulative disutility </w:t>
      </w:r>
      <w:r w:rsidR="00CE4A91" w:rsidRPr="00F94B58">
        <w:t xml:space="preserve">using multipliers derived from </w:t>
      </w:r>
      <w:r w:rsidR="00EE0BE3" w:rsidRPr="00F94B58">
        <w:rPr>
          <w:bCs/>
          <w:iCs/>
          <w:lang w:val="en-US"/>
        </w:rPr>
        <w:t xml:space="preserve">the International Costs and Utilities Related to Osteoporotic fractures Study (ICUROS) </w:t>
      </w:r>
      <w:r w:rsidR="00EE0BE3" w:rsidRPr="00F94B58">
        <w:t>w</w:t>
      </w:r>
      <w:r w:rsidR="0029183C" w:rsidRPr="00F94B58">
        <w:t>ere examined as a function of time after fracture, age and sex.</w:t>
      </w:r>
      <w:bookmarkEnd w:id="3"/>
    </w:p>
    <w:p w14:paraId="5A655D17" w14:textId="47BF96EE" w:rsidR="004F1DD8" w:rsidRPr="00F14E6C" w:rsidRDefault="004F1DD8" w:rsidP="006C126C">
      <w:r w:rsidRPr="00F14E6C">
        <w:rPr>
          <w:i/>
        </w:rPr>
        <w:t>Results</w:t>
      </w:r>
      <w:r w:rsidR="006C126C" w:rsidRPr="00F14E6C">
        <w:t xml:space="preserve"> </w:t>
      </w:r>
      <w:r w:rsidR="00AC645D" w:rsidRPr="00F14E6C">
        <w:t xml:space="preserve">Over 10 years subsequent fractures were sustained in 28 % of 1498 individuals with a sentinel hip fracture.  For other sentinel fractures the proportion ranged from 35-38 %. </w:t>
      </w:r>
      <w:r w:rsidR="00110DF1" w:rsidRPr="00F14E6C">
        <w:t xml:space="preserve"> </w:t>
      </w:r>
      <w:r w:rsidR="006C126C" w:rsidRPr="00F14E6C">
        <w:t xml:space="preserve">After each sentinel fracture, the risk of subsequent fracture was highest in the immediate post fracture interval and decreased markedly with time.  </w:t>
      </w:r>
      <w:r w:rsidR="00204CDC" w:rsidRPr="00F14E6C">
        <w:t>Thus, amongst individuals who sustained a recurrent fracture, 31-45 % did so within one year of the sentinel fracture.</w:t>
      </w:r>
      <w:r w:rsidR="006C126C" w:rsidRPr="00F14E6C">
        <w:t xml:space="preserve">  Hazard ratios for fracture recurrence (population relative risks) were accordingly highest immediately after the sentinel fracture (2.6-5.3, depending on the site of fracture) and fell progressively </w:t>
      </w:r>
      <w:r w:rsidR="00311CCC" w:rsidRPr="00F14E6C">
        <w:t>over</w:t>
      </w:r>
      <w:r w:rsidR="006C126C" w:rsidRPr="00F14E6C">
        <w:t xml:space="preserve"> 10 years (1.5-2.2). </w:t>
      </w:r>
      <w:r w:rsidR="008D0E0D" w:rsidRPr="00F14E6C">
        <w:rPr>
          <w:iCs/>
        </w:rPr>
        <w:t xml:space="preserve">Population relative risks also decreased progressively with age. The utility loss during the first 10 years after a sentinel fracture varied by age (less with age) and sex </w:t>
      </w:r>
      <w:r w:rsidR="008D0E0D" w:rsidRPr="00F14E6C">
        <w:rPr>
          <w:iCs/>
        </w:rPr>
        <w:lastRenderedPageBreak/>
        <w:t xml:space="preserve">(greater in women).  </w:t>
      </w:r>
      <w:r w:rsidR="006F2DB1" w:rsidRPr="00F14E6C">
        <w:rPr>
          <w:iCs/>
        </w:rPr>
        <w:t>In women at the age of 70 years, the mean utility loss due to fractures in the whole cohort was 0.081 whereas this was 12-fold greater in women with a sentinel hip fracture, and was increased 15-fold for spine fracture, 4-fold for forearm fracture and 8-fold for humeral fracture.</w:t>
      </w:r>
    </w:p>
    <w:p w14:paraId="1BFB0978" w14:textId="20870CB1" w:rsidR="004F1DD8" w:rsidRPr="00F14E6C" w:rsidRDefault="004F1DD8" w:rsidP="005271B8">
      <w:pPr>
        <w:rPr>
          <w:i/>
        </w:rPr>
      </w:pPr>
      <w:r w:rsidRPr="00F14E6C">
        <w:rPr>
          <w:i/>
        </w:rPr>
        <w:t>Conclusion</w:t>
      </w:r>
      <w:r w:rsidR="00926BFA" w:rsidRPr="00F14E6C">
        <w:rPr>
          <w:i/>
        </w:rPr>
        <w:t xml:space="preserve"> </w:t>
      </w:r>
      <w:r w:rsidR="00926BFA" w:rsidRPr="00F14E6C">
        <w:rPr>
          <w:iCs/>
        </w:rPr>
        <w:t xml:space="preserve">High fracture risks and utility loss immediately after fracture suggests that treatment given as soon as possible after fracture would avoid a higher number of new fractures compared with treatment given later. This provides the rationale for very early intervention immediately after </w:t>
      </w:r>
      <w:r w:rsidR="00872E8E" w:rsidRPr="00F14E6C">
        <w:rPr>
          <w:iCs/>
        </w:rPr>
        <w:t xml:space="preserve">a sentinel </w:t>
      </w:r>
      <w:r w:rsidR="00926BFA" w:rsidRPr="00F14E6C">
        <w:rPr>
          <w:iCs/>
        </w:rPr>
        <w:t>fracture</w:t>
      </w:r>
      <w:r w:rsidR="00872E8E" w:rsidRPr="00F14E6C">
        <w:rPr>
          <w:iCs/>
        </w:rPr>
        <w:t>.</w:t>
      </w:r>
    </w:p>
    <w:p w14:paraId="5CA17BC0" w14:textId="77777777" w:rsidR="004F1DD8" w:rsidRPr="00F14E6C" w:rsidRDefault="004F1DD8" w:rsidP="005271B8">
      <w:pPr>
        <w:rPr>
          <w:b/>
        </w:rPr>
      </w:pPr>
    </w:p>
    <w:p w14:paraId="0C9BEAAB" w14:textId="7D58C393" w:rsidR="004F1DD8" w:rsidRPr="00F14E6C" w:rsidRDefault="004F1DD8" w:rsidP="005271B8">
      <w:pPr>
        <w:rPr>
          <w:b/>
        </w:rPr>
      </w:pPr>
      <w:r w:rsidRPr="00F14E6C">
        <w:rPr>
          <w:b/>
        </w:rPr>
        <w:t>Keywords</w:t>
      </w:r>
      <w:r w:rsidR="00AC645D" w:rsidRPr="00F14E6C">
        <w:rPr>
          <w:b/>
        </w:rPr>
        <w:t xml:space="preserve"> </w:t>
      </w:r>
      <w:r w:rsidR="00AC645D" w:rsidRPr="00F14E6C">
        <w:t xml:space="preserve">Fracture probability · Utility loss </w:t>
      </w:r>
      <w:r w:rsidR="00110DF1" w:rsidRPr="00F14E6C">
        <w:t>· Imminent</w:t>
      </w:r>
      <w:r w:rsidR="00AC645D" w:rsidRPr="00F14E6C">
        <w:t xml:space="preserve"> </w:t>
      </w:r>
      <w:r w:rsidR="007A12A7" w:rsidRPr="00F14E6C">
        <w:t>risk ·</w:t>
      </w:r>
      <w:r w:rsidR="00AC645D" w:rsidRPr="00F14E6C">
        <w:t xml:space="preserve"> Sentinel fracture</w:t>
      </w:r>
    </w:p>
    <w:p w14:paraId="281922C6" w14:textId="488423CC" w:rsidR="007A12A7" w:rsidRPr="00F14E6C" w:rsidRDefault="007A12A7" w:rsidP="007A12A7">
      <w:pPr>
        <w:spacing w:after="0"/>
        <w:rPr>
          <w:b/>
        </w:rPr>
      </w:pPr>
      <w:r w:rsidRPr="00F14E6C">
        <w:rPr>
          <w:b/>
        </w:rPr>
        <w:br w:type="page"/>
      </w:r>
    </w:p>
    <w:p w14:paraId="7303F977" w14:textId="4DB15BBC" w:rsidR="00F25AC9" w:rsidRPr="00F14E6C" w:rsidRDefault="00F25AC9" w:rsidP="005271B8">
      <w:pPr>
        <w:rPr>
          <w:b/>
        </w:rPr>
      </w:pPr>
      <w:r w:rsidRPr="00F14E6C">
        <w:rPr>
          <w:b/>
        </w:rPr>
        <w:lastRenderedPageBreak/>
        <w:t>Introduction</w:t>
      </w:r>
    </w:p>
    <w:p w14:paraId="76EA2E28" w14:textId="05C7297A" w:rsidR="0070569F" w:rsidRPr="00F14E6C" w:rsidRDefault="0070569F" w:rsidP="005271B8">
      <w:bookmarkStart w:id="4" w:name="_Hlk485616117"/>
      <w:r w:rsidRPr="00F14E6C">
        <w:t xml:space="preserve">It is now well established that a prior fragility fracture is an important risk factor for a future fracture </w:t>
      </w:r>
      <w:r w:rsidR="00150A15" w:rsidRPr="00F14E6C">
        <w:t>[1-5]</w:t>
      </w:r>
      <w:r w:rsidRPr="00F14E6C">
        <w:t xml:space="preserve">.  The relative risk of having a hip fracture or a vertebral fracture is approximately 2-fold higher for most types of prior fracture. However, the increase in risk may not be constant with time or age. A large meta-analysis showed that a prior fracture history was a significant risk factor for hip fracture at all ages but was highest at younger ages and decreased progressively with age </w:t>
      </w:r>
      <w:r w:rsidR="00150A15" w:rsidRPr="00F14E6C">
        <w:t>[3]</w:t>
      </w:r>
      <w:r w:rsidRPr="00F14E6C">
        <w:t xml:space="preserve">.  </w:t>
      </w:r>
      <w:bookmarkStart w:id="5" w:name="_Hlk493409894"/>
      <w:r w:rsidRPr="00F14E6C">
        <w:t>There is also a growing body of evidence that the risk of a subsequent osteoporotic fracture is particularly acute immediately after the index fracture and wanes progressively with time</w:t>
      </w:r>
      <w:bookmarkEnd w:id="5"/>
      <w:r w:rsidRPr="00F14E6C">
        <w:t xml:space="preserve"> </w:t>
      </w:r>
      <w:r w:rsidR="00150A15" w:rsidRPr="00F14E6C">
        <w:t>[1, 6</w:t>
      </w:r>
      <w:r w:rsidR="0018755B" w:rsidRPr="00F14E6C">
        <w:t>-12</w:t>
      </w:r>
      <w:r w:rsidR="00F14E6C" w:rsidRPr="00F14E6C">
        <w:t>].</w:t>
      </w:r>
      <w:r w:rsidRPr="00F14E6C">
        <w:t xml:space="preserve">  A recent population-based study examined the age-dependency of this immediate increase in fracture risk </w:t>
      </w:r>
      <w:r w:rsidR="0018755B" w:rsidRPr="00F14E6C">
        <w:t>[13]</w:t>
      </w:r>
      <w:r w:rsidRPr="00F14E6C">
        <w:t xml:space="preserve"> and showed that the phenomenon of immediate risk was also age-dependent, the transient effect being more evident at older ages.  </w:t>
      </w:r>
    </w:p>
    <w:p w14:paraId="1247F30F" w14:textId="60CCE745" w:rsidR="003067BB" w:rsidRPr="00F14E6C" w:rsidRDefault="0047687C" w:rsidP="005271B8">
      <w:pPr>
        <w:rPr>
          <w:rFonts w:ascii="Calibri" w:eastAsia="MS Mincho" w:hAnsi="Calibri" w:cs="AdvTimes"/>
        </w:rPr>
      </w:pPr>
      <w:r w:rsidRPr="00F14E6C">
        <w:rPr>
          <w:rFonts w:ascii="Calibri" w:eastAsia="MS Mincho" w:hAnsi="Calibri" w:cs="AdvTimes"/>
        </w:rPr>
        <w:t>This transiency suggests that treatment given to such patients immediately after fracture might avoid a high</w:t>
      </w:r>
      <w:r w:rsidR="008D0E0D" w:rsidRPr="00F14E6C">
        <w:rPr>
          <w:rFonts w:ascii="Calibri" w:eastAsia="MS Mincho" w:hAnsi="Calibri" w:cs="AdvTimes"/>
        </w:rPr>
        <w:t>er</w:t>
      </w:r>
      <w:r w:rsidRPr="00F14E6C">
        <w:rPr>
          <w:rFonts w:ascii="Calibri" w:eastAsia="MS Mincho" w:hAnsi="Calibri" w:cs="AdvTimes"/>
        </w:rPr>
        <w:t xml:space="preserve"> number of new fractures compared with treatment given </w:t>
      </w:r>
      <w:r w:rsidR="00872E8E" w:rsidRPr="00F14E6C">
        <w:rPr>
          <w:rFonts w:ascii="Calibri" w:eastAsia="MS Mincho" w:hAnsi="Calibri" w:cs="AdvTimes"/>
        </w:rPr>
        <w:t>at a</w:t>
      </w:r>
      <w:r w:rsidRPr="00F14E6C">
        <w:rPr>
          <w:rFonts w:ascii="Calibri" w:eastAsia="MS Mincho" w:hAnsi="Calibri" w:cs="AdvTimes"/>
        </w:rPr>
        <w:t xml:space="preserve"> later</w:t>
      </w:r>
      <w:r w:rsidR="00872E8E" w:rsidRPr="00F14E6C">
        <w:rPr>
          <w:rFonts w:ascii="Calibri" w:eastAsia="MS Mincho" w:hAnsi="Calibri" w:cs="AdvTimes"/>
        </w:rPr>
        <w:t xml:space="preserve"> date</w:t>
      </w:r>
      <w:r w:rsidRPr="00F14E6C">
        <w:rPr>
          <w:rFonts w:ascii="Calibri" w:eastAsia="MS Mincho" w:hAnsi="Calibri" w:cs="AdvTimes"/>
        </w:rPr>
        <w:t xml:space="preserve">. This would provide the rationale for very early intervention immediately after fractures to avoid recurrent fractures. </w:t>
      </w:r>
      <w:bookmarkEnd w:id="4"/>
      <w:r w:rsidRPr="00F14E6C">
        <w:rPr>
          <w:rFonts w:ascii="Calibri" w:eastAsia="MS Mincho" w:hAnsi="Calibri" w:cs="AdvTimes"/>
        </w:rPr>
        <w:t xml:space="preserve"> Such a strategy would have important health economic implication</w:t>
      </w:r>
      <w:r w:rsidR="008D0E0D" w:rsidRPr="00F14E6C">
        <w:rPr>
          <w:rFonts w:ascii="Calibri" w:eastAsia="MS Mincho" w:hAnsi="Calibri" w:cs="AdvTimes"/>
        </w:rPr>
        <w:t>s, not only for the number of fractures avoided, but also for the loss of quality of life</w:t>
      </w:r>
      <w:r w:rsidR="006F5BC3" w:rsidRPr="00F14E6C">
        <w:rPr>
          <w:rFonts w:ascii="Calibri" w:eastAsia="MS Mincho" w:hAnsi="Calibri" w:cs="AdvTimes"/>
        </w:rPr>
        <w:t xml:space="preserve"> that, for some fractures, have on average lifelong consequences</w:t>
      </w:r>
      <w:r w:rsidRPr="00F14E6C">
        <w:rPr>
          <w:rFonts w:ascii="Calibri" w:eastAsia="MS Mincho" w:hAnsi="Calibri" w:cs="AdvTimes"/>
        </w:rPr>
        <w:t xml:space="preserve">.  </w:t>
      </w:r>
    </w:p>
    <w:p w14:paraId="0DF92974" w14:textId="0FE17B61" w:rsidR="00154727" w:rsidRPr="00F14E6C" w:rsidRDefault="005639F9" w:rsidP="005271B8">
      <w:pPr>
        <w:rPr>
          <w:rFonts w:ascii="Calibri" w:eastAsia="MS Mincho" w:hAnsi="Calibri" w:cs="AdvTimes"/>
        </w:rPr>
      </w:pPr>
      <w:r w:rsidRPr="00F14E6C">
        <w:rPr>
          <w:rFonts w:ascii="Calibri" w:eastAsia="MS Mincho" w:hAnsi="Calibri" w:cs="AdvTimes"/>
        </w:rPr>
        <w:t>T</w:t>
      </w:r>
      <w:r w:rsidR="0047687C" w:rsidRPr="00F14E6C">
        <w:rPr>
          <w:rFonts w:ascii="Calibri" w:eastAsia="MS Mincho" w:hAnsi="Calibri" w:cs="AdvTimes"/>
        </w:rPr>
        <w:t xml:space="preserve">he </w:t>
      </w:r>
      <w:r w:rsidRPr="00F14E6C">
        <w:rPr>
          <w:rFonts w:ascii="Calibri" w:eastAsia="MS Mincho" w:hAnsi="Calibri" w:cs="AdvTimes"/>
        </w:rPr>
        <w:t xml:space="preserve">aim of the </w:t>
      </w:r>
      <w:r w:rsidR="0047687C" w:rsidRPr="00F14E6C">
        <w:rPr>
          <w:rFonts w:ascii="Calibri" w:eastAsia="MS Mincho" w:hAnsi="Calibri" w:cs="AdvTimes"/>
        </w:rPr>
        <w:t xml:space="preserve">present </w:t>
      </w:r>
      <w:r w:rsidR="00BE572B" w:rsidRPr="00F14E6C">
        <w:rPr>
          <w:rFonts w:ascii="Calibri" w:eastAsia="MS Mincho" w:hAnsi="Calibri" w:cs="AdvTimes"/>
        </w:rPr>
        <w:t>study</w:t>
      </w:r>
      <w:r w:rsidRPr="00F14E6C">
        <w:rPr>
          <w:rFonts w:ascii="Calibri" w:eastAsia="MS Mincho" w:hAnsi="Calibri" w:cs="AdvTimes"/>
        </w:rPr>
        <w:t xml:space="preserve"> was to characterise</w:t>
      </w:r>
      <w:r w:rsidR="0047687C" w:rsidRPr="00F14E6C">
        <w:rPr>
          <w:rFonts w:ascii="Calibri" w:eastAsia="MS Mincho" w:hAnsi="Calibri" w:cs="AdvTimes"/>
        </w:rPr>
        <w:t xml:space="preserve"> </w:t>
      </w:r>
      <w:r w:rsidRPr="00F14E6C">
        <w:rPr>
          <w:rFonts w:ascii="Calibri" w:eastAsia="MS Mincho" w:hAnsi="Calibri" w:cs="AdvTimes"/>
        </w:rPr>
        <w:t>the natural history and consequences of recurrent fractures</w:t>
      </w:r>
      <w:r w:rsidR="002918D1" w:rsidRPr="00F14E6C">
        <w:rPr>
          <w:rFonts w:ascii="Calibri" w:eastAsia="MS Mincho" w:hAnsi="Calibri" w:cs="AdvTimes"/>
        </w:rPr>
        <w:t>, particularly the loss of utility</w:t>
      </w:r>
      <w:r w:rsidRPr="00F14E6C">
        <w:rPr>
          <w:rFonts w:ascii="Calibri" w:eastAsia="MS Mincho" w:hAnsi="Calibri" w:cs="AdvTimes"/>
        </w:rPr>
        <w:t>.</w:t>
      </w:r>
      <w:r w:rsidR="0047687C" w:rsidRPr="00F14E6C">
        <w:rPr>
          <w:rFonts w:ascii="Calibri" w:eastAsia="MS Mincho" w:hAnsi="Calibri" w:cs="AdvTimes"/>
        </w:rPr>
        <w:t xml:space="preserve"> </w:t>
      </w:r>
      <w:r w:rsidRPr="00F14E6C">
        <w:rPr>
          <w:rFonts w:ascii="Calibri" w:eastAsia="MS Mincho" w:hAnsi="Calibri" w:cs="AdvTimes"/>
        </w:rPr>
        <w:t xml:space="preserve">In clinical practice, when physicians are faced with patients with a recent fracture, prognostic guidance may be helpful in taking treatment decisions.  Against this background, </w:t>
      </w:r>
      <w:r w:rsidR="00D44C56" w:rsidRPr="00F14E6C">
        <w:rPr>
          <w:rFonts w:ascii="Calibri" w:eastAsia="MS Mincho" w:hAnsi="Calibri" w:cs="AdvTimes"/>
        </w:rPr>
        <w:t>few</w:t>
      </w:r>
      <w:r w:rsidRPr="00F14E6C">
        <w:rPr>
          <w:rFonts w:ascii="Calibri" w:eastAsia="MS Mincho" w:hAnsi="Calibri" w:cs="AdvTimes"/>
        </w:rPr>
        <w:t xml:space="preserve"> studies have examined the immediate and </w:t>
      </w:r>
      <w:r w:rsidR="00154727" w:rsidRPr="00F14E6C">
        <w:rPr>
          <w:rFonts w:ascii="Calibri" w:eastAsia="MS Mincho" w:hAnsi="Calibri" w:cs="AdvTimes"/>
        </w:rPr>
        <w:t>long-term</w:t>
      </w:r>
      <w:r w:rsidRPr="00F14E6C">
        <w:rPr>
          <w:rFonts w:ascii="Calibri" w:eastAsia="MS Mincho" w:hAnsi="Calibri" w:cs="AdvTimes"/>
        </w:rPr>
        <w:t xml:space="preserve"> consequences of a sentinel fracture.  The sentinel fractures in the present study are those at the hip, spine, </w:t>
      </w:r>
      <w:r w:rsidR="00154727" w:rsidRPr="00F14E6C">
        <w:rPr>
          <w:rFonts w:ascii="Calibri" w:eastAsia="MS Mincho" w:hAnsi="Calibri" w:cs="AdvTimes"/>
        </w:rPr>
        <w:t>forearm</w:t>
      </w:r>
      <w:r w:rsidRPr="00F14E6C">
        <w:rPr>
          <w:rFonts w:ascii="Calibri" w:eastAsia="MS Mincho" w:hAnsi="Calibri" w:cs="AdvTimes"/>
        </w:rPr>
        <w:t xml:space="preserve"> and humerus</w:t>
      </w:r>
      <w:r w:rsidR="00154727" w:rsidRPr="00F14E6C">
        <w:rPr>
          <w:rFonts w:ascii="Calibri" w:eastAsia="MS Mincho" w:hAnsi="Calibri" w:cs="AdvTimes"/>
        </w:rPr>
        <w:t>.</w:t>
      </w:r>
      <w:r w:rsidRPr="00F14E6C">
        <w:rPr>
          <w:rFonts w:ascii="Calibri" w:eastAsia="MS Mincho" w:hAnsi="Calibri" w:cs="AdvTimes"/>
        </w:rPr>
        <w:t xml:space="preserve"> </w:t>
      </w:r>
    </w:p>
    <w:p w14:paraId="725DAB4E" w14:textId="77777777" w:rsidR="005639F9" w:rsidRPr="00F14E6C" w:rsidRDefault="00154727" w:rsidP="005271B8">
      <w:pPr>
        <w:rPr>
          <w:rFonts w:ascii="Calibri" w:eastAsia="MS Mincho" w:hAnsi="Calibri" w:cs="AdvTimes"/>
          <w:b/>
        </w:rPr>
      </w:pPr>
      <w:r w:rsidRPr="00F14E6C">
        <w:rPr>
          <w:rFonts w:ascii="Calibri" w:eastAsia="MS Mincho" w:hAnsi="Calibri" w:cs="AdvTimes"/>
          <w:b/>
        </w:rPr>
        <w:t>Methods</w:t>
      </w:r>
    </w:p>
    <w:p w14:paraId="0E81C101" w14:textId="4D9DD5C4" w:rsidR="003A2341" w:rsidRPr="00F14E6C" w:rsidRDefault="00154727" w:rsidP="005271B8">
      <w:pPr>
        <w:rPr>
          <w:rFonts w:ascii="Calibri" w:eastAsia="MS Mincho" w:hAnsi="Calibri" w:cs="AdvTimes"/>
        </w:rPr>
      </w:pPr>
      <w:r w:rsidRPr="00F14E6C">
        <w:rPr>
          <w:rFonts w:ascii="Calibri" w:eastAsia="MS Mincho" w:hAnsi="Calibri" w:cs="AdvTimes"/>
        </w:rPr>
        <w:lastRenderedPageBreak/>
        <w:t>The study cohort consist</w:t>
      </w:r>
      <w:r w:rsidR="00D44C56" w:rsidRPr="00F14E6C">
        <w:rPr>
          <w:rFonts w:ascii="Calibri" w:eastAsia="MS Mincho" w:hAnsi="Calibri" w:cs="AdvTimes"/>
        </w:rPr>
        <w:t xml:space="preserve">ed </w:t>
      </w:r>
      <w:r w:rsidRPr="00F14E6C">
        <w:rPr>
          <w:rFonts w:ascii="Calibri" w:eastAsia="MS Mincho" w:hAnsi="Calibri" w:cs="AdvTimes"/>
        </w:rPr>
        <w:t xml:space="preserve">of 30,795 men and women, </w:t>
      </w:r>
      <w:bookmarkStart w:id="6" w:name="_Hlk500081135"/>
      <w:r w:rsidRPr="00F14E6C">
        <w:rPr>
          <w:rFonts w:ascii="Calibri" w:eastAsia="MS Mincho" w:hAnsi="Calibri" w:cs="AdvTimes"/>
        </w:rPr>
        <w:t>comprising all residents in the greater Reykjavik Area</w:t>
      </w:r>
      <w:bookmarkEnd w:id="6"/>
      <w:r w:rsidRPr="00F14E6C">
        <w:rPr>
          <w:rFonts w:ascii="Calibri" w:eastAsia="MS Mincho" w:hAnsi="Calibri" w:cs="AdvTimes"/>
        </w:rPr>
        <w:t xml:space="preserve"> on December 1, 1967, born between 1907 and 1935 (</w:t>
      </w:r>
      <w:r w:rsidR="00872E8E" w:rsidRPr="00F14E6C">
        <w:rPr>
          <w:rFonts w:ascii="Calibri" w:eastAsia="MS Mincho" w:hAnsi="Calibri" w:cs="AdvTimes"/>
        </w:rPr>
        <w:t>inclusive</w:t>
      </w:r>
      <w:r w:rsidRPr="00F14E6C">
        <w:rPr>
          <w:rFonts w:ascii="Calibri" w:eastAsia="MS Mincho" w:hAnsi="Calibri" w:cs="AdvTimes"/>
        </w:rPr>
        <w:t>), which represent</w:t>
      </w:r>
      <w:r w:rsidR="00D44C56" w:rsidRPr="00F14E6C">
        <w:rPr>
          <w:rFonts w:ascii="Calibri" w:eastAsia="MS Mincho" w:hAnsi="Calibri" w:cs="AdvTimes"/>
        </w:rPr>
        <w:t>ed</w:t>
      </w:r>
      <w:r w:rsidRPr="00F14E6C">
        <w:rPr>
          <w:rFonts w:ascii="Calibri" w:eastAsia="MS Mincho" w:hAnsi="Calibri" w:cs="AdvTimes"/>
        </w:rPr>
        <w:t xml:space="preserve"> 55 % of the total Icelandic population in this age range. The current </w:t>
      </w:r>
      <w:r w:rsidR="00B55B2A" w:rsidRPr="00F14E6C">
        <w:rPr>
          <w:rFonts w:ascii="Calibri" w:eastAsia="MS Mincho" w:hAnsi="Calibri" w:cs="AdvTimes"/>
        </w:rPr>
        <w:t>analysis</w:t>
      </w:r>
      <w:r w:rsidRPr="00F14E6C">
        <w:rPr>
          <w:rFonts w:ascii="Calibri" w:eastAsia="MS Mincho" w:hAnsi="Calibri" w:cs="AdvTimes"/>
        </w:rPr>
        <w:t xml:space="preserve"> </w:t>
      </w:r>
      <w:r w:rsidR="002110FC" w:rsidRPr="00F14E6C">
        <w:rPr>
          <w:rFonts w:ascii="Calibri" w:eastAsia="MS Mincho" w:hAnsi="Calibri" w:cs="AdvTimes"/>
        </w:rPr>
        <w:t xml:space="preserve">was </w:t>
      </w:r>
      <w:r w:rsidRPr="00F14E6C">
        <w:rPr>
          <w:rFonts w:ascii="Calibri" w:eastAsia="MS Mincho" w:hAnsi="Calibri" w:cs="AdvTimes"/>
        </w:rPr>
        <w:t xml:space="preserve">based on </w:t>
      </w:r>
      <w:bookmarkStart w:id="7" w:name="_Hlk485117710"/>
      <w:r w:rsidRPr="00F14E6C">
        <w:rPr>
          <w:rFonts w:ascii="Calibri" w:eastAsia="MS Mincho" w:hAnsi="Calibri" w:cs="AdvTimes"/>
        </w:rPr>
        <w:t xml:space="preserve">18,872 </w:t>
      </w:r>
      <w:bookmarkEnd w:id="7"/>
      <w:r w:rsidRPr="00F14E6C">
        <w:rPr>
          <w:rFonts w:ascii="Calibri" w:eastAsia="MS Mincho" w:hAnsi="Calibri" w:cs="AdvTimes"/>
        </w:rPr>
        <w:t xml:space="preserve">participants who attended during the recruitment period in 1967–1991, with 9,116 men and 9,756 women, </w:t>
      </w:r>
      <w:r w:rsidR="00B55B2A" w:rsidRPr="00F14E6C">
        <w:rPr>
          <w:rFonts w:ascii="Calibri" w:eastAsia="MS Mincho" w:hAnsi="Calibri" w:cs="AdvTimes"/>
        </w:rPr>
        <w:t>with</w:t>
      </w:r>
      <w:r w:rsidR="00D44C56" w:rsidRPr="00F14E6C">
        <w:rPr>
          <w:rFonts w:ascii="Calibri" w:eastAsia="MS Mincho" w:hAnsi="Calibri" w:cs="AdvTimes"/>
        </w:rPr>
        <w:t xml:space="preserve"> a</w:t>
      </w:r>
      <w:r w:rsidRPr="00F14E6C">
        <w:rPr>
          <w:rFonts w:ascii="Calibri" w:eastAsia="MS Mincho" w:hAnsi="Calibri" w:cs="AdvTimes"/>
        </w:rPr>
        <w:t xml:space="preserve"> 71.8 % recruitment rate. </w:t>
      </w:r>
    </w:p>
    <w:p w14:paraId="22D60BF9" w14:textId="77777777" w:rsidR="00F724E2" w:rsidRPr="00F14E6C" w:rsidRDefault="00F724E2" w:rsidP="00F724E2">
      <w:pPr>
        <w:autoSpaceDE w:val="0"/>
        <w:autoSpaceDN w:val="0"/>
        <w:adjustRightInd w:val="0"/>
        <w:spacing w:after="0" w:line="276" w:lineRule="auto"/>
        <w:rPr>
          <w:rFonts w:ascii="Calibri" w:eastAsia="MS Mincho" w:hAnsi="Calibri" w:cs="AdvTT3713a231"/>
          <w:i/>
        </w:rPr>
      </w:pPr>
      <w:r w:rsidRPr="00F14E6C">
        <w:rPr>
          <w:rFonts w:ascii="Calibri" w:eastAsia="MS Mincho" w:hAnsi="Calibri" w:cs="AdvTT3713a231"/>
          <w:i/>
        </w:rPr>
        <w:t>Assessment of fractures</w:t>
      </w:r>
    </w:p>
    <w:p w14:paraId="08960350" w14:textId="4E9364E8" w:rsidR="00F724E2" w:rsidRPr="00F14E6C" w:rsidRDefault="00F724E2" w:rsidP="00F724E2">
      <w:pPr>
        <w:autoSpaceDE w:val="0"/>
        <w:autoSpaceDN w:val="0"/>
        <w:adjustRightInd w:val="0"/>
        <w:spacing w:after="0" w:line="276" w:lineRule="auto"/>
        <w:rPr>
          <w:rFonts w:ascii="Calibri" w:eastAsia="MS Mincho" w:hAnsi="Calibri" w:cs="Arial"/>
          <w:lang w:eastAsia="ja-JP"/>
        </w:rPr>
      </w:pPr>
      <w:bookmarkStart w:id="8" w:name="_Hlk493438141"/>
      <w:r w:rsidRPr="00F14E6C">
        <w:rPr>
          <w:rFonts w:ascii="Calibri" w:eastAsia="MS Mincho" w:hAnsi="Calibri" w:cs="AdvTT3713a231"/>
        </w:rPr>
        <w:t xml:space="preserve">The Reykjavik Study fracture registration </w:t>
      </w:r>
      <w:r w:rsidR="00930836" w:rsidRPr="00F14E6C">
        <w:rPr>
          <w:rFonts w:ascii="Calibri" w:eastAsia="MS Mincho" w:hAnsi="Calibri" w:cs="AdvTT3713a231"/>
        </w:rPr>
        <w:t>recorded</w:t>
      </w:r>
      <w:r w:rsidRPr="00F14E6C">
        <w:rPr>
          <w:rFonts w:ascii="Calibri" w:eastAsia="MS Mincho" w:hAnsi="Calibri" w:cs="AdvTT3713a231"/>
        </w:rPr>
        <w:t xml:space="preserve"> all fractures of the participants from their entry into the study until December 31, 2012.  All medical records for the participants, including referral letters if needed, were manually examined and verified. </w:t>
      </w:r>
      <w:r w:rsidR="00930836" w:rsidRPr="00F14E6C">
        <w:rPr>
          <w:rFonts w:ascii="Calibri" w:eastAsia="MS Mincho" w:hAnsi="Calibri" w:cs="AdvTT3713a231"/>
        </w:rPr>
        <w:t xml:space="preserve"> </w:t>
      </w:r>
      <w:bookmarkEnd w:id="8"/>
      <w:r w:rsidR="00DE06C5">
        <w:rPr>
          <w:rFonts w:ascii="Calibri" w:eastAsia="MS Mincho" w:hAnsi="Calibri" w:cs="AdvTT3713a231"/>
        </w:rPr>
        <w:t>Fracture a</w:t>
      </w:r>
      <w:r w:rsidRPr="00F14E6C">
        <w:rPr>
          <w:rFonts w:ascii="Calibri" w:eastAsia="MS Mincho" w:hAnsi="Calibri" w:cs="AdvTT3713a231"/>
        </w:rPr>
        <w:t xml:space="preserve">vulsions less than 5×6 mm, fractures secondary to malignancy and stress fractures </w:t>
      </w:r>
      <w:bookmarkStart w:id="9" w:name="_Hlk500078627"/>
      <w:r w:rsidRPr="00F14E6C">
        <w:rPr>
          <w:rFonts w:ascii="Calibri" w:eastAsia="MS Mincho" w:hAnsi="Calibri" w:cs="AdvTT3713a231"/>
        </w:rPr>
        <w:t xml:space="preserve">were </w:t>
      </w:r>
      <w:r w:rsidRPr="00DE06C5">
        <w:rPr>
          <w:rFonts w:ascii="Calibri" w:eastAsia="MS Mincho" w:hAnsi="Calibri" w:cs="AdvTT3713a231"/>
        </w:rPr>
        <w:t>excluded</w:t>
      </w:r>
      <w:r w:rsidR="00DE06C5" w:rsidRPr="00DE06C5">
        <w:t xml:space="preserve"> by </w:t>
      </w:r>
      <w:r w:rsidR="00DE06C5" w:rsidRPr="00DE06C5">
        <w:rPr>
          <w:rFonts w:ascii="Calibri" w:eastAsia="MS Mincho" w:hAnsi="Calibri" w:cs="AdvTT3713a231"/>
        </w:rPr>
        <w:t>manual examination of medical records and radiographs</w:t>
      </w:r>
      <w:bookmarkEnd w:id="9"/>
      <w:r w:rsidRPr="00F14E6C">
        <w:rPr>
          <w:rFonts w:ascii="Calibri" w:eastAsia="MS Mincho" w:hAnsi="Calibri" w:cs="AdvTT3713a231"/>
        </w:rPr>
        <w:t xml:space="preserve">. All fractures were registered according to the International Classification of Diseases (ICD version 10 or ICD version 9). </w:t>
      </w:r>
      <w:bookmarkStart w:id="10" w:name="_Hlk500081062"/>
      <w:r w:rsidRPr="00F14E6C">
        <w:rPr>
          <w:rFonts w:ascii="Calibri" w:eastAsia="MS Mincho" w:hAnsi="Calibri" w:cs="AdvTT3713a231"/>
        </w:rPr>
        <w:t>The Reykjavik Study fracture registration has been shown to have a capture rate of about 97 % for hip, forearm, and clinical vertebral fractures</w:t>
      </w:r>
      <w:r w:rsidR="0018755B" w:rsidRPr="00F14E6C">
        <w:rPr>
          <w:rFonts w:ascii="Calibri" w:eastAsia="MS Mincho" w:hAnsi="Calibri" w:cs="AdvTT3713a231"/>
        </w:rPr>
        <w:t xml:space="preserve"> [14]</w:t>
      </w:r>
      <w:bookmarkEnd w:id="10"/>
      <w:r w:rsidRPr="00F14E6C">
        <w:rPr>
          <w:rFonts w:ascii="Calibri" w:eastAsia="MS Mincho" w:hAnsi="Calibri" w:cs="AdvTT3713a231"/>
        </w:rPr>
        <w:t xml:space="preserve">.  </w:t>
      </w:r>
      <w:r w:rsidRPr="00F14E6C">
        <w:rPr>
          <w:rFonts w:ascii="Calibri" w:eastAsia="MS Mincho" w:hAnsi="Calibri" w:cs="Arial"/>
          <w:lang w:eastAsia="ja-JP"/>
        </w:rPr>
        <w:t>In the present study, we describe the natural history following a humeral fracture (ICD 10: S42.2-S42.3)</w:t>
      </w:r>
      <w:r w:rsidR="002062BA" w:rsidRPr="00F14E6C">
        <w:rPr>
          <w:rFonts w:ascii="Calibri" w:eastAsia="MS Mincho" w:hAnsi="Calibri" w:cs="Arial"/>
          <w:lang w:eastAsia="ja-JP"/>
        </w:rPr>
        <w:t xml:space="preserve">, </w:t>
      </w:r>
      <w:r w:rsidR="002062BA" w:rsidRPr="00F14E6C">
        <w:rPr>
          <w:rFonts w:cs="Arial"/>
          <w:lang w:eastAsia="ja-JP"/>
        </w:rPr>
        <w:t>a vertebral fracture (ICD 10: S12.0-S12.2, S12.7, S22.0-S22.1, S32.0), a forearm fracture (ICD 10: S52.5-S52.6) or a hip fracture (ICD 10: S72.0-S72.2).</w:t>
      </w:r>
    </w:p>
    <w:p w14:paraId="7E09BBD9" w14:textId="77777777" w:rsidR="00F724E2" w:rsidRPr="00F14E6C" w:rsidRDefault="00F724E2" w:rsidP="00F724E2">
      <w:pPr>
        <w:autoSpaceDE w:val="0"/>
        <w:autoSpaceDN w:val="0"/>
        <w:adjustRightInd w:val="0"/>
        <w:spacing w:after="0" w:line="276" w:lineRule="auto"/>
        <w:rPr>
          <w:rFonts w:ascii="Calibri" w:eastAsia="MS Mincho" w:hAnsi="Calibri" w:cs="Arial"/>
          <w:lang w:eastAsia="ja-JP"/>
        </w:rPr>
      </w:pPr>
    </w:p>
    <w:p w14:paraId="56785EFA" w14:textId="513C5CC1" w:rsidR="00F724E2" w:rsidRPr="00F14E6C" w:rsidRDefault="00F724E2" w:rsidP="00F724E2">
      <w:pPr>
        <w:autoSpaceDE w:val="0"/>
        <w:autoSpaceDN w:val="0"/>
        <w:adjustRightInd w:val="0"/>
        <w:spacing w:after="0" w:line="276" w:lineRule="auto"/>
        <w:rPr>
          <w:rFonts w:ascii="Calibri" w:eastAsia="MS Mincho" w:hAnsi="Calibri" w:cs="Arial"/>
          <w:lang w:eastAsia="ja-JP"/>
        </w:rPr>
      </w:pPr>
      <w:r w:rsidRPr="00F14E6C">
        <w:rPr>
          <w:rFonts w:ascii="Calibri" w:eastAsia="MS Mincho" w:hAnsi="Calibri" w:cs="Arial"/>
          <w:lang w:eastAsia="ja-JP"/>
        </w:rPr>
        <w:t>The cohorts selected for study comprised men and women with a first sentinel fracture, i.e. a hip, spine</w:t>
      </w:r>
      <w:r w:rsidR="00872E8E" w:rsidRPr="00F14E6C">
        <w:rPr>
          <w:rFonts w:ascii="Calibri" w:eastAsia="MS Mincho" w:hAnsi="Calibri" w:cs="Arial"/>
          <w:lang w:eastAsia="ja-JP"/>
        </w:rPr>
        <w:t xml:space="preserve"> (clinical vertebral)</w:t>
      </w:r>
      <w:r w:rsidRPr="00F14E6C">
        <w:rPr>
          <w:rFonts w:ascii="Calibri" w:eastAsia="MS Mincho" w:hAnsi="Calibri" w:cs="Arial"/>
          <w:lang w:eastAsia="ja-JP"/>
        </w:rPr>
        <w:t>, forearm or humeral fracture. The date and sites of subsequent fractures were documented over a ten-year interval or for the duration of follow up (including death).  Fractures at sites not considered to be associated with osteoporosis were excluded in the follow up</w:t>
      </w:r>
      <w:r w:rsidR="00DB735E" w:rsidRPr="00F14E6C">
        <w:rPr>
          <w:rFonts w:ascii="Calibri" w:eastAsia="MS Mincho" w:hAnsi="Calibri" w:cs="Arial"/>
          <w:lang w:eastAsia="ja-JP"/>
        </w:rPr>
        <w:t>.</w:t>
      </w:r>
      <w:r w:rsidR="00DB735E" w:rsidRPr="00F14E6C">
        <w:rPr>
          <w:rFonts w:ascii="Calibri" w:eastAsia="MS Mincho" w:hAnsi="Calibri" w:cs="AdvTimes"/>
        </w:rPr>
        <w:t xml:space="preserve"> </w:t>
      </w:r>
      <w:r w:rsidR="00DB735E" w:rsidRPr="00F14E6C">
        <w:rPr>
          <w:rFonts w:ascii="Calibri" w:eastAsia="MS Mincho" w:hAnsi="Calibri" w:cs="Arial"/>
          <w:lang w:eastAsia="ja-JP"/>
        </w:rPr>
        <w:t xml:space="preserve">Fractures at the ankle, face, foot, hand, patella and skull were regarded as non-osteoporotic fracture. Fractures at the tibia were considered as osteoporotic fracture in women but not in men </w:t>
      </w:r>
      <w:r w:rsidR="0018755B" w:rsidRPr="00F14E6C">
        <w:rPr>
          <w:rFonts w:ascii="Calibri" w:eastAsia="MS Mincho" w:hAnsi="Calibri" w:cs="Arial"/>
          <w:lang w:eastAsia="ja-JP"/>
        </w:rPr>
        <w:t>[15]</w:t>
      </w:r>
      <w:r w:rsidR="00DB735E" w:rsidRPr="00F14E6C">
        <w:rPr>
          <w:rFonts w:ascii="Calibri" w:eastAsia="MS Mincho" w:hAnsi="Calibri" w:cs="Arial"/>
          <w:lang w:eastAsia="ja-JP"/>
        </w:rPr>
        <w:t>.</w:t>
      </w:r>
      <w:r w:rsidRPr="00F14E6C">
        <w:rPr>
          <w:rFonts w:ascii="Calibri" w:eastAsia="MS Mincho" w:hAnsi="Calibri" w:cs="Arial"/>
          <w:lang w:eastAsia="ja-JP"/>
        </w:rPr>
        <w:t xml:space="preserve">  </w:t>
      </w:r>
      <w:r w:rsidR="00BE3A5F" w:rsidRPr="00F14E6C">
        <w:rPr>
          <w:rFonts w:ascii="Calibri" w:eastAsia="MS Mincho" w:hAnsi="Calibri" w:cs="Arial"/>
          <w:lang w:eastAsia="ja-JP"/>
        </w:rPr>
        <w:t>To</w:t>
      </w:r>
      <w:r w:rsidRPr="00F14E6C">
        <w:rPr>
          <w:rFonts w:ascii="Calibri" w:eastAsia="MS Mincho" w:hAnsi="Calibri" w:cs="Arial"/>
          <w:lang w:eastAsia="ja-JP"/>
        </w:rPr>
        <w:t xml:space="preserve"> minimise double counting</w:t>
      </w:r>
      <w:r w:rsidR="005E19E3" w:rsidRPr="00F14E6C">
        <w:rPr>
          <w:rFonts w:ascii="Calibri" w:eastAsia="MS Mincho" w:hAnsi="Calibri" w:cs="Arial"/>
          <w:lang w:eastAsia="ja-JP"/>
        </w:rPr>
        <w:t xml:space="preserve"> </w:t>
      </w:r>
      <w:r w:rsidR="0018755B" w:rsidRPr="00F14E6C">
        <w:rPr>
          <w:rFonts w:ascii="Calibri" w:eastAsia="MS Mincho" w:hAnsi="Calibri" w:cs="Arial"/>
          <w:lang w:eastAsia="ja-JP"/>
        </w:rPr>
        <w:t>[13]</w:t>
      </w:r>
      <w:r w:rsidRPr="00F14E6C">
        <w:rPr>
          <w:rFonts w:ascii="Calibri" w:eastAsia="MS Mincho" w:hAnsi="Calibri" w:cs="Arial"/>
          <w:lang w:eastAsia="ja-JP"/>
        </w:rPr>
        <w:t xml:space="preserve">, </w:t>
      </w:r>
      <w:r w:rsidRPr="00F14E6C">
        <w:rPr>
          <w:rFonts w:ascii="Calibri" w:eastAsia="MS Mincho" w:hAnsi="Calibri" w:cs="Arial"/>
          <w:lang w:eastAsia="ja-JP"/>
        </w:rPr>
        <w:lastRenderedPageBreak/>
        <w:t xml:space="preserve">subsequent consecutive fractures that occurred at the same site were excluded where the interval between fractures was less than 30 days. </w:t>
      </w:r>
    </w:p>
    <w:p w14:paraId="62E0936E" w14:textId="77777777" w:rsidR="00BE3A5F" w:rsidRPr="00F14E6C" w:rsidRDefault="00BE3A5F" w:rsidP="00F724E2">
      <w:pPr>
        <w:autoSpaceDE w:val="0"/>
        <w:autoSpaceDN w:val="0"/>
        <w:adjustRightInd w:val="0"/>
        <w:spacing w:after="0" w:line="276" w:lineRule="auto"/>
        <w:rPr>
          <w:rFonts w:ascii="Calibri" w:eastAsia="MS Mincho" w:hAnsi="Calibri" w:cs="Arial"/>
          <w:lang w:eastAsia="ja-JP"/>
        </w:rPr>
      </w:pPr>
    </w:p>
    <w:p w14:paraId="5C84D167" w14:textId="77777777" w:rsidR="00BE3A5F" w:rsidRPr="00F14E6C" w:rsidRDefault="00F724E2" w:rsidP="00BE3A5F">
      <w:pPr>
        <w:autoSpaceDE w:val="0"/>
        <w:autoSpaceDN w:val="0"/>
        <w:adjustRightInd w:val="0"/>
        <w:spacing w:after="0" w:line="276" w:lineRule="auto"/>
        <w:rPr>
          <w:rFonts w:ascii="Calibri" w:eastAsia="MS Mincho" w:hAnsi="Calibri" w:cs="Arial"/>
          <w:i/>
          <w:lang w:eastAsia="ja-JP"/>
        </w:rPr>
      </w:pPr>
      <w:r w:rsidRPr="00F14E6C">
        <w:rPr>
          <w:rFonts w:ascii="Calibri" w:eastAsia="MS Mincho" w:hAnsi="Calibri" w:cs="Arial"/>
          <w:lang w:eastAsia="ja-JP"/>
        </w:rPr>
        <w:t xml:space="preserve"> </w:t>
      </w:r>
      <w:r w:rsidR="00BE3A5F" w:rsidRPr="00F14E6C">
        <w:rPr>
          <w:rFonts w:ascii="Calibri" w:eastAsia="MS Mincho" w:hAnsi="Calibri" w:cs="Arial"/>
          <w:i/>
          <w:lang w:eastAsia="ja-JP"/>
        </w:rPr>
        <w:t xml:space="preserve">Outcomes </w:t>
      </w:r>
    </w:p>
    <w:p w14:paraId="4D06E2C3" w14:textId="2E017470" w:rsidR="00154727" w:rsidRPr="00F14E6C" w:rsidRDefault="00154727" w:rsidP="00930836">
      <w:pPr>
        <w:autoSpaceDE w:val="0"/>
        <w:autoSpaceDN w:val="0"/>
        <w:adjustRightInd w:val="0"/>
        <w:spacing w:after="0" w:line="276" w:lineRule="auto"/>
        <w:rPr>
          <w:rFonts w:ascii="Calibri" w:eastAsia="MS Mincho" w:hAnsi="Calibri" w:cs="AdvTimes"/>
        </w:rPr>
      </w:pPr>
      <w:r w:rsidRPr="00F14E6C">
        <w:rPr>
          <w:rFonts w:ascii="Calibri" w:eastAsia="MS Mincho" w:hAnsi="Calibri" w:cs="AdvTimes"/>
        </w:rPr>
        <w:t>For each sentinel fracture the following outcomes were studied at fixed time intervals from the first fracture:</w:t>
      </w:r>
    </w:p>
    <w:p w14:paraId="1C363B5E" w14:textId="77777777" w:rsidR="00154727" w:rsidRPr="00F14E6C" w:rsidRDefault="00154727" w:rsidP="00BE3A5F">
      <w:pPr>
        <w:spacing w:after="0"/>
        <w:ind w:left="567"/>
        <w:rPr>
          <w:rFonts w:ascii="Calibri" w:eastAsia="MS Mincho" w:hAnsi="Calibri" w:cs="AdvTimes"/>
        </w:rPr>
      </w:pPr>
      <w:r w:rsidRPr="00F14E6C">
        <w:rPr>
          <w:rFonts w:ascii="Calibri" w:eastAsia="MS Mincho" w:hAnsi="Calibri" w:cs="AdvTimes"/>
        </w:rPr>
        <w:t xml:space="preserve">  % fractured</w:t>
      </w:r>
    </w:p>
    <w:p w14:paraId="67904788" w14:textId="77777777" w:rsidR="00154727" w:rsidRPr="00F14E6C" w:rsidRDefault="00154727" w:rsidP="00BE3A5F">
      <w:pPr>
        <w:spacing w:after="0"/>
        <w:ind w:left="567"/>
        <w:rPr>
          <w:rFonts w:ascii="Calibri" w:eastAsia="MS Mincho" w:hAnsi="Calibri" w:cs="AdvTimes"/>
        </w:rPr>
      </w:pPr>
      <w:r w:rsidRPr="00F14E6C">
        <w:rPr>
          <w:rFonts w:ascii="Calibri" w:eastAsia="MS Mincho" w:hAnsi="Calibri" w:cs="AdvTimes"/>
        </w:rPr>
        <w:t xml:space="preserve">  % multiple fractures</w:t>
      </w:r>
    </w:p>
    <w:p w14:paraId="37FB72BE" w14:textId="77777777" w:rsidR="00154727" w:rsidRPr="00F14E6C" w:rsidRDefault="00154727" w:rsidP="00BE3A5F">
      <w:pPr>
        <w:spacing w:after="0"/>
        <w:ind w:left="567"/>
        <w:rPr>
          <w:rFonts w:ascii="Calibri" w:eastAsia="MS Mincho" w:hAnsi="Calibri" w:cs="AdvTimes"/>
        </w:rPr>
      </w:pPr>
      <w:r w:rsidRPr="00F14E6C">
        <w:rPr>
          <w:rFonts w:ascii="Calibri" w:eastAsia="MS Mincho" w:hAnsi="Calibri" w:cs="AdvTimes"/>
        </w:rPr>
        <w:t xml:space="preserve">  </w:t>
      </w:r>
      <w:bookmarkStart w:id="11" w:name="_Hlk493460363"/>
      <w:r w:rsidRPr="00F14E6C">
        <w:rPr>
          <w:rFonts w:ascii="Calibri" w:eastAsia="MS Mincho" w:hAnsi="Calibri" w:cs="AdvTimes"/>
        </w:rPr>
        <w:t>Deaths</w:t>
      </w:r>
    </w:p>
    <w:p w14:paraId="446DAF13" w14:textId="18718BC3" w:rsidR="00154727" w:rsidRPr="00F14E6C" w:rsidRDefault="00123E0D" w:rsidP="00BE3A5F">
      <w:pPr>
        <w:spacing w:after="0"/>
        <w:ind w:left="567"/>
        <w:rPr>
          <w:rFonts w:ascii="Calibri" w:eastAsia="MS Mincho" w:hAnsi="Calibri" w:cs="AdvTimes"/>
        </w:rPr>
      </w:pPr>
      <w:r w:rsidRPr="00F14E6C">
        <w:rPr>
          <w:rFonts w:ascii="Calibri" w:eastAsia="MS Mincho" w:hAnsi="Calibri" w:cs="AdvTimes"/>
        </w:rPr>
        <w:t xml:space="preserve">  Ten-year probability of fracture</w:t>
      </w:r>
    </w:p>
    <w:p w14:paraId="2A609A45" w14:textId="77777777" w:rsidR="00A91EC6" w:rsidRPr="00F14E6C" w:rsidRDefault="00A91EC6" w:rsidP="00A91EC6">
      <w:pPr>
        <w:spacing w:after="0"/>
        <w:ind w:left="567"/>
        <w:rPr>
          <w:rFonts w:ascii="Calibri" w:eastAsia="MS Mincho" w:hAnsi="Calibri" w:cs="AdvTimes"/>
        </w:rPr>
      </w:pPr>
      <w:r w:rsidRPr="00F14E6C">
        <w:rPr>
          <w:rFonts w:ascii="Calibri" w:eastAsia="MS Mincho" w:hAnsi="Calibri" w:cs="AdvTimes"/>
        </w:rPr>
        <w:t xml:space="preserve">  Cumulative disutility</w:t>
      </w:r>
    </w:p>
    <w:bookmarkEnd w:id="11"/>
    <w:p w14:paraId="570B6F49" w14:textId="77777777" w:rsidR="00A91EC6" w:rsidRPr="00F14E6C" w:rsidRDefault="00A91EC6" w:rsidP="00BE3A5F">
      <w:pPr>
        <w:spacing w:after="0"/>
        <w:ind w:left="567"/>
        <w:rPr>
          <w:rFonts w:ascii="Calibri" w:eastAsia="MS Mincho" w:hAnsi="Calibri" w:cs="AdvTimes"/>
        </w:rPr>
      </w:pPr>
    </w:p>
    <w:p w14:paraId="3EE253C1" w14:textId="77777777" w:rsidR="00BE3A5F" w:rsidRPr="00F14E6C" w:rsidRDefault="00BE3A5F" w:rsidP="005271B8">
      <w:pPr>
        <w:rPr>
          <w:rFonts w:ascii="Calibri" w:eastAsia="MS Mincho" w:hAnsi="Calibri" w:cs="Arial"/>
          <w:lang w:eastAsia="ja-JP"/>
        </w:rPr>
      </w:pPr>
      <w:r w:rsidRPr="00F14E6C">
        <w:rPr>
          <w:rFonts w:ascii="Calibri" w:eastAsia="MS Mincho" w:hAnsi="Calibri" w:cs="Arial"/>
          <w:lang w:eastAsia="ja-JP"/>
        </w:rPr>
        <w:t>The time intervals of interest were from baseline to 1, 2, 3, 4, 5, and 10 years’ duration of follow up.</w:t>
      </w:r>
    </w:p>
    <w:p w14:paraId="0BB3E384" w14:textId="77777777" w:rsidR="00BE3A5F" w:rsidRPr="00F14E6C" w:rsidRDefault="00BE3A5F" w:rsidP="00BE3A5F">
      <w:pPr>
        <w:spacing w:after="0"/>
        <w:rPr>
          <w:rFonts w:cs="Arial"/>
          <w:i/>
          <w:lang w:eastAsia="ja-JP"/>
        </w:rPr>
      </w:pPr>
      <w:r w:rsidRPr="00F14E6C">
        <w:rPr>
          <w:rFonts w:cs="Arial"/>
          <w:i/>
          <w:lang w:eastAsia="ja-JP"/>
        </w:rPr>
        <w:t>Utilities</w:t>
      </w:r>
    </w:p>
    <w:p w14:paraId="0F2BEE9C" w14:textId="398353ED" w:rsidR="00BE3A5F" w:rsidRPr="00F14E6C" w:rsidRDefault="00BE3A5F" w:rsidP="00BE3A5F">
      <w:pPr>
        <w:spacing w:after="0"/>
        <w:rPr>
          <w:rFonts w:cs="Arial"/>
          <w:bCs/>
          <w:iCs/>
          <w:lang w:val="en-US" w:eastAsia="ja-JP"/>
        </w:rPr>
      </w:pPr>
      <w:r w:rsidRPr="00F14E6C">
        <w:rPr>
          <w:rFonts w:cs="Arial"/>
          <w:lang w:eastAsia="ja-JP"/>
        </w:rPr>
        <w:t xml:space="preserve">Cumulative loss </w:t>
      </w:r>
      <w:r w:rsidR="00E81256" w:rsidRPr="00F14E6C">
        <w:rPr>
          <w:rFonts w:cs="Arial"/>
          <w:lang w:eastAsia="ja-JP"/>
        </w:rPr>
        <w:t xml:space="preserve">of </w:t>
      </w:r>
      <w:r w:rsidRPr="00F14E6C">
        <w:rPr>
          <w:rFonts w:cs="Arial"/>
          <w:lang w:eastAsia="ja-JP"/>
        </w:rPr>
        <w:t xml:space="preserve">utilities </w:t>
      </w:r>
      <w:r w:rsidR="00BA5E01" w:rsidRPr="00F14E6C">
        <w:rPr>
          <w:rFonts w:cs="Arial"/>
          <w:lang w:eastAsia="ja-JP"/>
        </w:rPr>
        <w:t>was</w:t>
      </w:r>
      <w:r w:rsidR="00E81256" w:rsidRPr="00F14E6C">
        <w:rPr>
          <w:rFonts w:cs="Arial"/>
          <w:lang w:eastAsia="ja-JP"/>
        </w:rPr>
        <w:t xml:space="preserve"> </w:t>
      </w:r>
      <w:r w:rsidR="00631F79" w:rsidRPr="00F14E6C">
        <w:rPr>
          <w:rFonts w:cs="Arial"/>
          <w:lang w:eastAsia="ja-JP"/>
        </w:rPr>
        <w:t>cal</w:t>
      </w:r>
      <w:r w:rsidR="00AB4050" w:rsidRPr="00F14E6C">
        <w:rPr>
          <w:rFonts w:cs="Arial"/>
          <w:lang w:eastAsia="ja-JP"/>
        </w:rPr>
        <w:t>culated</w:t>
      </w:r>
      <w:r w:rsidR="00E81256" w:rsidRPr="00F14E6C">
        <w:rPr>
          <w:rFonts w:cs="Arial"/>
          <w:lang w:eastAsia="ja-JP"/>
        </w:rPr>
        <w:t xml:space="preserve"> using</w:t>
      </w:r>
      <w:r w:rsidRPr="00F14E6C">
        <w:rPr>
          <w:rFonts w:cs="Arial"/>
          <w:lang w:eastAsia="ja-JP"/>
        </w:rPr>
        <w:t xml:space="preserve"> utility multipliers </w:t>
      </w:r>
      <w:r w:rsidR="00AB4050" w:rsidRPr="00F14E6C">
        <w:rPr>
          <w:rFonts w:cs="Arial"/>
          <w:lang w:eastAsia="ja-JP"/>
        </w:rPr>
        <w:t>derived from</w:t>
      </w:r>
      <w:r w:rsidRPr="00F14E6C">
        <w:rPr>
          <w:rFonts w:cs="Arial"/>
          <w:bCs/>
          <w:iCs/>
          <w:lang w:val="en-US" w:eastAsia="ja-JP"/>
        </w:rPr>
        <w:t xml:space="preserve"> the EQ-5D 3 Levels descriptive system (EQ-5D 3L).</w:t>
      </w:r>
      <w:r w:rsidR="00AB4050" w:rsidRPr="00F14E6C">
        <w:t xml:space="preserve"> </w:t>
      </w:r>
      <w:r w:rsidR="00AB4050" w:rsidRPr="00F14E6C">
        <w:rPr>
          <w:rFonts w:cs="Arial"/>
          <w:bCs/>
          <w:iCs/>
          <w:lang w:val="en-US" w:eastAsia="ja-JP"/>
        </w:rPr>
        <w:t xml:space="preserve">The instrument has shown good responsiveness to osteoporotic fracture </w:t>
      </w:r>
      <w:r w:rsidR="0018755B" w:rsidRPr="00F14E6C">
        <w:rPr>
          <w:rFonts w:cs="Arial"/>
          <w:bCs/>
          <w:iCs/>
          <w:lang w:val="en-US" w:eastAsia="ja-JP"/>
        </w:rPr>
        <w:t xml:space="preserve">[16, 17] </w:t>
      </w:r>
      <w:r w:rsidR="00AB4050" w:rsidRPr="00F14E6C">
        <w:rPr>
          <w:rFonts w:cs="Arial"/>
          <w:bCs/>
          <w:iCs/>
          <w:lang w:val="en-US" w:eastAsia="ja-JP"/>
        </w:rPr>
        <w:t xml:space="preserve">and is widely used in health economic assessments </w:t>
      </w:r>
      <w:r w:rsidR="0018755B" w:rsidRPr="00F14E6C">
        <w:rPr>
          <w:rFonts w:cs="Arial"/>
          <w:bCs/>
          <w:iCs/>
          <w:lang w:val="en-US" w:eastAsia="ja-JP"/>
        </w:rPr>
        <w:t>[18</w:t>
      </w:r>
      <w:r w:rsidR="007D19A5" w:rsidRPr="00F14E6C">
        <w:rPr>
          <w:rFonts w:cs="Arial"/>
          <w:bCs/>
          <w:iCs/>
          <w:lang w:val="en-US" w:eastAsia="ja-JP"/>
        </w:rPr>
        <w:t>]</w:t>
      </w:r>
      <w:r w:rsidR="00AB4050" w:rsidRPr="00F14E6C">
        <w:rPr>
          <w:rFonts w:cs="Arial"/>
          <w:bCs/>
          <w:iCs/>
          <w:lang w:val="en-US" w:eastAsia="ja-JP"/>
        </w:rPr>
        <w:t>.</w:t>
      </w:r>
      <w:r w:rsidR="00AB4050" w:rsidRPr="00F14E6C">
        <w:rPr>
          <w:rFonts w:cs="Arial"/>
          <w:bCs/>
          <w:iCs/>
          <w:sz w:val="24"/>
          <w:szCs w:val="24"/>
          <w:lang w:val="en-US" w:eastAsia="ja-JP"/>
        </w:rPr>
        <w:t xml:space="preserve"> </w:t>
      </w:r>
      <w:r w:rsidRPr="00F14E6C">
        <w:rPr>
          <w:rFonts w:cs="Arial"/>
          <w:bCs/>
          <w:iCs/>
          <w:lang w:val="en-US" w:eastAsia="ja-JP"/>
        </w:rPr>
        <w:t xml:space="preserve">Accumulated </w:t>
      </w:r>
      <w:r w:rsidR="00930836" w:rsidRPr="00F14E6C">
        <w:rPr>
          <w:rFonts w:cs="Arial"/>
          <w:bCs/>
          <w:iCs/>
          <w:lang w:val="en-US" w:eastAsia="ja-JP"/>
        </w:rPr>
        <w:t>quality of life (</w:t>
      </w:r>
      <w:r w:rsidRPr="00F14E6C">
        <w:rPr>
          <w:rFonts w:cs="Arial"/>
          <w:bCs/>
          <w:iCs/>
          <w:lang w:val="en-US" w:eastAsia="ja-JP"/>
        </w:rPr>
        <w:t>QoL</w:t>
      </w:r>
      <w:r w:rsidR="00930836" w:rsidRPr="00F14E6C">
        <w:rPr>
          <w:rFonts w:cs="Arial"/>
          <w:bCs/>
          <w:iCs/>
          <w:lang w:val="en-US" w:eastAsia="ja-JP"/>
        </w:rPr>
        <w:t>)</w:t>
      </w:r>
      <w:r w:rsidRPr="00F14E6C">
        <w:rPr>
          <w:rFonts w:cs="Arial"/>
          <w:bCs/>
          <w:iCs/>
          <w:lang w:val="en-US" w:eastAsia="ja-JP"/>
        </w:rPr>
        <w:t xml:space="preserve"> loss and QoL multipliers were those derived where possible from the </w:t>
      </w:r>
      <w:bookmarkStart w:id="12" w:name="_Hlk493504890"/>
      <w:r w:rsidRPr="00F14E6C">
        <w:rPr>
          <w:rFonts w:cs="Arial"/>
          <w:bCs/>
          <w:iCs/>
          <w:lang w:val="en-US" w:eastAsia="ja-JP"/>
        </w:rPr>
        <w:t xml:space="preserve">International Costs and Utilities Related to Osteoporotic Fractures Study </w:t>
      </w:r>
      <w:bookmarkEnd w:id="12"/>
      <w:r w:rsidRPr="00F14E6C">
        <w:rPr>
          <w:rFonts w:cs="Arial"/>
          <w:bCs/>
          <w:iCs/>
          <w:lang w:val="en-US" w:eastAsia="ja-JP"/>
        </w:rPr>
        <w:t>(ICUROS)</w:t>
      </w:r>
      <w:r w:rsidR="00AB4050" w:rsidRPr="00F14E6C">
        <w:rPr>
          <w:rFonts w:cs="Arial"/>
          <w:bCs/>
          <w:iCs/>
          <w:lang w:val="en-US" w:eastAsia="ja-JP"/>
        </w:rPr>
        <w:t xml:space="preserve">, which is the largest prospective observational study on QoL consequences of osteoporotic fracture conducted to date with an analysis that included more than 3,000 </w:t>
      </w:r>
      <w:r w:rsidR="00930836" w:rsidRPr="00F14E6C">
        <w:rPr>
          <w:rFonts w:cs="Arial"/>
          <w:bCs/>
          <w:iCs/>
          <w:lang w:val="en-US" w:eastAsia="ja-JP"/>
        </w:rPr>
        <w:t>fracture cases</w:t>
      </w:r>
      <w:r w:rsidR="00AB4050" w:rsidRPr="00F14E6C">
        <w:rPr>
          <w:rFonts w:cs="Arial"/>
          <w:bCs/>
          <w:iCs/>
          <w:lang w:val="en-US" w:eastAsia="ja-JP"/>
        </w:rPr>
        <w:t xml:space="preserve"> </w:t>
      </w:r>
      <w:r w:rsidR="0018755B" w:rsidRPr="00F14E6C">
        <w:rPr>
          <w:rFonts w:cs="Arial"/>
          <w:bCs/>
          <w:iCs/>
          <w:lang w:val="en-US" w:eastAsia="ja-JP"/>
        </w:rPr>
        <w:t>[19, 20]</w:t>
      </w:r>
      <w:r w:rsidR="0018755B" w:rsidRPr="00F14E6C">
        <w:rPr>
          <w:rFonts w:cs="Arial"/>
          <w:bCs/>
          <w:iCs/>
          <w:lang w:eastAsia="ja-JP"/>
        </w:rPr>
        <w:t>.</w:t>
      </w:r>
      <w:r w:rsidR="00E80512" w:rsidRPr="00F14E6C">
        <w:rPr>
          <w:rFonts w:eastAsia="MS Mincho" w:cs="Arial"/>
          <w:bCs/>
          <w:iCs/>
          <w:lang w:val="en-US" w:eastAsia="ja-JP"/>
        </w:rPr>
        <w:t xml:space="preserve"> </w:t>
      </w:r>
      <w:r w:rsidR="00394039" w:rsidRPr="00F14E6C">
        <w:rPr>
          <w:rFonts w:eastAsia="MS Mincho" w:cs="Arial"/>
          <w:bCs/>
          <w:iCs/>
          <w:lang w:val="en-US" w:eastAsia="ja-JP"/>
        </w:rPr>
        <w:t xml:space="preserve"> </w:t>
      </w:r>
      <w:r w:rsidR="00E80512" w:rsidRPr="00F14E6C">
        <w:rPr>
          <w:rFonts w:cs="Arial"/>
          <w:bCs/>
          <w:iCs/>
          <w:lang w:val="en-US" w:eastAsia="ja-JP"/>
        </w:rPr>
        <w:t xml:space="preserve">Empirical data were available for most fracture sites.  For </w:t>
      </w:r>
      <w:r w:rsidR="00930836" w:rsidRPr="00F14E6C">
        <w:rPr>
          <w:rFonts w:cs="Arial"/>
          <w:bCs/>
          <w:iCs/>
          <w:lang w:val="en-US" w:eastAsia="ja-JP"/>
        </w:rPr>
        <w:t>‘</w:t>
      </w:r>
      <w:r w:rsidR="00E80512" w:rsidRPr="00F14E6C">
        <w:rPr>
          <w:rFonts w:cs="Arial"/>
          <w:bCs/>
          <w:iCs/>
          <w:lang w:val="en-US" w:eastAsia="ja-JP"/>
        </w:rPr>
        <w:t>other femoral fracture</w:t>
      </w:r>
      <w:r w:rsidR="00930836" w:rsidRPr="00F14E6C">
        <w:rPr>
          <w:rFonts w:cs="Arial"/>
          <w:bCs/>
          <w:iCs/>
          <w:lang w:val="en-US" w:eastAsia="ja-JP"/>
        </w:rPr>
        <w:t>’</w:t>
      </w:r>
      <w:r w:rsidR="00E80512" w:rsidRPr="00F14E6C">
        <w:rPr>
          <w:rFonts w:cs="Arial"/>
          <w:bCs/>
          <w:iCs/>
          <w:lang w:val="en-US" w:eastAsia="ja-JP"/>
        </w:rPr>
        <w:t xml:space="preserve">, it was assumed that </w:t>
      </w:r>
      <w:r w:rsidR="00A91EC6" w:rsidRPr="00F14E6C">
        <w:rPr>
          <w:rFonts w:cs="Arial"/>
          <w:bCs/>
          <w:iCs/>
          <w:lang w:val="en-US" w:eastAsia="ja-JP"/>
        </w:rPr>
        <w:t>the</w:t>
      </w:r>
      <w:r w:rsidR="00930836" w:rsidRPr="00F14E6C">
        <w:rPr>
          <w:rFonts w:cs="Arial"/>
          <w:bCs/>
          <w:iCs/>
          <w:lang w:val="en-US" w:eastAsia="ja-JP"/>
        </w:rPr>
        <w:t>se</w:t>
      </w:r>
      <w:r w:rsidR="00E80512" w:rsidRPr="00F14E6C">
        <w:rPr>
          <w:rFonts w:cs="Arial"/>
          <w:bCs/>
          <w:iCs/>
          <w:lang w:val="en-US" w:eastAsia="ja-JP"/>
        </w:rPr>
        <w:t xml:space="preserve"> had the same utility loss as fractures at the hip.  </w:t>
      </w:r>
      <w:r w:rsidR="00E80512" w:rsidRPr="00F14E6C">
        <w:rPr>
          <w:rFonts w:cs="Arial"/>
          <w:bCs/>
          <w:iCs/>
          <w:lang w:eastAsia="ja-JP"/>
        </w:rPr>
        <w:t xml:space="preserve">For </w:t>
      </w:r>
      <w:r w:rsidR="00930836" w:rsidRPr="00F14E6C">
        <w:rPr>
          <w:rFonts w:cs="Arial"/>
          <w:bCs/>
          <w:iCs/>
          <w:lang w:eastAsia="ja-JP"/>
        </w:rPr>
        <w:t>‘</w:t>
      </w:r>
      <w:r w:rsidR="00E80512" w:rsidRPr="00F14E6C">
        <w:rPr>
          <w:rFonts w:cs="Arial"/>
          <w:bCs/>
          <w:iCs/>
          <w:lang w:eastAsia="ja-JP"/>
        </w:rPr>
        <w:t>other fractures</w:t>
      </w:r>
      <w:r w:rsidR="00930836" w:rsidRPr="00F14E6C">
        <w:rPr>
          <w:rFonts w:cs="Arial"/>
          <w:bCs/>
          <w:iCs/>
          <w:lang w:eastAsia="ja-JP"/>
        </w:rPr>
        <w:t>’</w:t>
      </w:r>
      <w:r w:rsidR="00E80512" w:rsidRPr="00F14E6C">
        <w:rPr>
          <w:rFonts w:eastAsia="AdvPS2B41" w:cstheme="minorHAnsi"/>
          <w:sz w:val="20"/>
          <w:szCs w:val="20"/>
        </w:rPr>
        <w:t xml:space="preserve"> </w:t>
      </w:r>
      <w:r w:rsidR="00E80512" w:rsidRPr="00F14E6C">
        <w:rPr>
          <w:rFonts w:cs="Arial"/>
          <w:bCs/>
          <w:iCs/>
          <w:lang w:eastAsia="ja-JP"/>
        </w:rPr>
        <w:t xml:space="preserve">(clavicle, scapula, sternum), we used previously published utility values </w:t>
      </w:r>
      <w:r w:rsidR="0018755B" w:rsidRPr="00F14E6C">
        <w:rPr>
          <w:rFonts w:cs="Arial"/>
          <w:bCs/>
          <w:iCs/>
          <w:lang w:eastAsia="ja-JP"/>
        </w:rPr>
        <w:t>[15]</w:t>
      </w:r>
      <w:r w:rsidR="00E80512" w:rsidRPr="00F14E6C">
        <w:rPr>
          <w:rFonts w:cs="Arial"/>
          <w:bCs/>
          <w:iCs/>
          <w:lang w:eastAsia="ja-JP"/>
        </w:rPr>
        <w:t xml:space="preserve"> (</w:t>
      </w:r>
      <w:r w:rsidR="00394039" w:rsidRPr="00F14E6C">
        <w:rPr>
          <w:rFonts w:cs="Arial"/>
          <w:bCs/>
          <w:iCs/>
          <w:lang w:eastAsia="ja-JP"/>
        </w:rPr>
        <w:t>supplementary</w:t>
      </w:r>
      <w:r w:rsidR="00930836" w:rsidRPr="00F14E6C">
        <w:rPr>
          <w:rFonts w:cs="Arial"/>
          <w:bCs/>
          <w:iCs/>
          <w:lang w:eastAsia="ja-JP"/>
        </w:rPr>
        <w:t xml:space="preserve"> </w:t>
      </w:r>
      <w:r w:rsidR="00E80512" w:rsidRPr="00F14E6C">
        <w:rPr>
          <w:rFonts w:cs="Arial"/>
          <w:bCs/>
          <w:iCs/>
          <w:lang w:eastAsia="ja-JP"/>
        </w:rPr>
        <w:t xml:space="preserve">Table </w:t>
      </w:r>
      <w:r w:rsidR="00AF5674" w:rsidRPr="00F14E6C">
        <w:rPr>
          <w:rFonts w:cs="Arial"/>
          <w:bCs/>
          <w:iCs/>
          <w:lang w:eastAsia="ja-JP"/>
        </w:rPr>
        <w:t>s</w:t>
      </w:r>
      <w:r w:rsidR="00E80512" w:rsidRPr="00F14E6C">
        <w:rPr>
          <w:rFonts w:cs="Arial"/>
          <w:bCs/>
          <w:iCs/>
          <w:lang w:eastAsia="ja-JP"/>
        </w:rPr>
        <w:t>1).</w:t>
      </w:r>
    </w:p>
    <w:p w14:paraId="236D9E3B" w14:textId="77777777" w:rsidR="00BE3A5F" w:rsidRPr="00F14E6C" w:rsidRDefault="00BE3A5F" w:rsidP="00BE3A5F">
      <w:pPr>
        <w:spacing w:after="0" w:line="240" w:lineRule="auto"/>
        <w:rPr>
          <w:rFonts w:cs="Arial"/>
          <w:bCs/>
          <w:iCs/>
          <w:sz w:val="24"/>
          <w:szCs w:val="24"/>
          <w:lang w:val="en-US" w:eastAsia="ja-JP"/>
        </w:rPr>
      </w:pPr>
    </w:p>
    <w:p w14:paraId="47DA67AA" w14:textId="77777777" w:rsidR="00E81256" w:rsidRPr="00F14E6C" w:rsidRDefault="00E81256" w:rsidP="00114B52">
      <w:pPr>
        <w:spacing w:after="0"/>
        <w:rPr>
          <w:rFonts w:ascii="Calibri" w:eastAsia="MS Mincho" w:hAnsi="Calibri" w:cs="AdvTimes"/>
          <w:i/>
        </w:rPr>
      </w:pPr>
      <w:r w:rsidRPr="00F14E6C">
        <w:rPr>
          <w:rFonts w:ascii="Calibri" w:eastAsia="MS Mincho" w:hAnsi="Calibri" w:cs="AdvTimes"/>
          <w:i/>
        </w:rPr>
        <w:t>Utility loss</w:t>
      </w:r>
    </w:p>
    <w:p w14:paraId="20C7C618" w14:textId="2CC9DF49" w:rsidR="00E81256" w:rsidRPr="00F14E6C" w:rsidRDefault="00E81256" w:rsidP="00E81256">
      <w:pPr>
        <w:rPr>
          <w:rFonts w:ascii="Calibri" w:eastAsia="MS Mincho" w:hAnsi="Calibri" w:cs="AdvTimes"/>
        </w:rPr>
      </w:pPr>
      <w:r w:rsidRPr="00F14E6C">
        <w:rPr>
          <w:rFonts w:ascii="Calibri" w:eastAsia="MS Mincho" w:hAnsi="Calibri" w:cs="AdvTimes"/>
        </w:rPr>
        <w:t xml:space="preserve">The multipliers in Table </w:t>
      </w:r>
      <w:r w:rsidR="009D33BC" w:rsidRPr="00F14E6C">
        <w:rPr>
          <w:rFonts w:ascii="Calibri" w:eastAsia="MS Mincho" w:hAnsi="Calibri" w:cs="AdvTimes"/>
        </w:rPr>
        <w:t>S</w:t>
      </w:r>
      <w:r w:rsidRPr="00F14E6C">
        <w:rPr>
          <w:rFonts w:ascii="Calibri" w:eastAsia="MS Mincho" w:hAnsi="Calibri" w:cs="AdvTimes"/>
        </w:rPr>
        <w:t xml:space="preserve">1 were applied to </w:t>
      </w:r>
      <w:r w:rsidR="004350E0" w:rsidRPr="00F14E6C">
        <w:rPr>
          <w:rFonts w:ascii="Calibri" w:eastAsia="MS Mincho" w:hAnsi="Calibri" w:cs="AdvTimes"/>
        </w:rPr>
        <w:t>h</w:t>
      </w:r>
      <w:r w:rsidRPr="00F14E6C">
        <w:rPr>
          <w:rFonts w:ascii="Calibri" w:eastAsia="MS Mincho" w:hAnsi="Calibri" w:cs="AdvTimes"/>
        </w:rPr>
        <w:t>ealth state values (HSVs) published for the UK general population</w:t>
      </w:r>
      <w:r w:rsidR="00AB4050" w:rsidRPr="00F14E6C">
        <w:rPr>
          <w:rFonts w:ascii="Calibri" w:eastAsia="MS Mincho" w:hAnsi="Calibri" w:cs="AdvTimes"/>
        </w:rPr>
        <w:t xml:space="preserve"> </w:t>
      </w:r>
      <w:r w:rsidR="001007C9" w:rsidRPr="00F14E6C">
        <w:rPr>
          <w:rFonts w:ascii="Calibri" w:eastAsia="MS Mincho" w:hAnsi="Calibri" w:cs="AdvTimes"/>
        </w:rPr>
        <w:t>[21]</w:t>
      </w:r>
      <w:r w:rsidR="00AB4050" w:rsidRPr="00F14E6C">
        <w:rPr>
          <w:rFonts w:ascii="Calibri" w:eastAsia="MS Mincho" w:hAnsi="Calibri" w:cs="AdvTimes"/>
        </w:rPr>
        <w:t xml:space="preserve">, since Iceland-specific value sets </w:t>
      </w:r>
      <w:r w:rsidR="00100279" w:rsidRPr="00F14E6C">
        <w:rPr>
          <w:rFonts w:ascii="Calibri" w:eastAsia="MS Mincho" w:hAnsi="Calibri" w:cs="AdvTimes"/>
        </w:rPr>
        <w:t>we</w:t>
      </w:r>
      <w:r w:rsidR="00AB4050" w:rsidRPr="00F14E6C">
        <w:rPr>
          <w:rFonts w:ascii="Calibri" w:eastAsia="MS Mincho" w:hAnsi="Calibri" w:cs="AdvTimes"/>
        </w:rPr>
        <w:t xml:space="preserve">re not available. The UK value set is considered to be the </w:t>
      </w:r>
      <w:r w:rsidR="00AB4050" w:rsidRPr="00F14E6C">
        <w:rPr>
          <w:rFonts w:ascii="Calibri" w:eastAsia="MS Mincho" w:hAnsi="Calibri" w:cs="AdvTimes"/>
        </w:rPr>
        <w:lastRenderedPageBreak/>
        <w:t xml:space="preserve">most robust and is recommended by the EUROQoL group in the absence of country-specific value sets </w:t>
      </w:r>
      <w:r w:rsidR="001007C9" w:rsidRPr="00F14E6C">
        <w:rPr>
          <w:rFonts w:ascii="Calibri" w:eastAsia="MS Mincho" w:hAnsi="Calibri" w:cs="AdvTimes"/>
        </w:rPr>
        <w:t>[18]</w:t>
      </w:r>
      <w:r w:rsidR="00AB4050" w:rsidRPr="00F14E6C">
        <w:rPr>
          <w:rFonts w:ascii="Calibri" w:eastAsia="MS Mincho" w:hAnsi="Calibri" w:cs="AdvTimes"/>
        </w:rPr>
        <w:t>.</w:t>
      </w:r>
      <w:r w:rsidRPr="00F14E6C">
        <w:rPr>
          <w:rFonts w:ascii="Calibri" w:eastAsia="MS Mincho" w:hAnsi="Calibri" w:cs="AdvTimes"/>
        </w:rPr>
        <w:t xml:space="preserve">  At the start of follow up the HSV was set taking account of the sentinel fracture.  For example, an individual with a humeral fracture enter</w:t>
      </w:r>
      <w:r w:rsidR="00930836" w:rsidRPr="00F14E6C">
        <w:rPr>
          <w:rFonts w:ascii="Calibri" w:eastAsia="MS Mincho" w:hAnsi="Calibri" w:cs="AdvTimes"/>
        </w:rPr>
        <w:t>ed</w:t>
      </w:r>
      <w:r w:rsidRPr="00F14E6C">
        <w:rPr>
          <w:rFonts w:ascii="Calibri" w:eastAsia="MS Mincho" w:hAnsi="Calibri" w:cs="AdvTimes"/>
        </w:rPr>
        <w:t xml:space="preserve"> the </w:t>
      </w:r>
      <w:r w:rsidR="00DB735E" w:rsidRPr="00F14E6C">
        <w:rPr>
          <w:rFonts w:ascii="Calibri" w:eastAsia="MS Mincho" w:hAnsi="Calibri" w:cs="AdvTimes"/>
        </w:rPr>
        <w:t>analysis</w:t>
      </w:r>
      <w:r w:rsidRPr="00F14E6C">
        <w:rPr>
          <w:rFonts w:ascii="Calibri" w:eastAsia="MS Mincho" w:hAnsi="Calibri" w:cs="AdvTimes"/>
        </w:rPr>
        <w:t xml:space="preserve"> with a utility loss of the age-specific HSV value X 0.19 over the first year, X 0.05 in the second year, etc. </w:t>
      </w:r>
      <w:r w:rsidR="00930836" w:rsidRPr="00F14E6C">
        <w:rPr>
          <w:rFonts w:ascii="Calibri" w:eastAsia="MS Mincho" w:hAnsi="Calibri" w:cs="AdvTimes"/>
        </w:rPr>
        <w:t>The inclusion of disutility of the sentinel fracture was considered more</w:t>
      </w:r>
      <w:r w:rsidRPr="00F14E6C">
        <w:rPr>
          <w:rFonts w:ascii="Calibri" w:eastAsia="MS Mincho" w:hAnsi="Calibri" w:cs="AdvTimes"/>
        </w:rPr>
        <w:t xml:space="preserve"> </w:t>
      </w:r>
      <w:r w:rsidR="00930836" w:rsidRPr="00F14E6C">
        <w:rPr>
          <w:rFonts w:ascii="Calibri" w:eastAsia="MS Mincho" w:hAnsi="Calibri" w:cs="AdvTimes"/>
        </w:rPr>
        <w:t>realistic</w:t>
      </w:r>
      <w:r w:rsidRPr="00F14E6C">
        <w:rPr>
          <w:rFonts w:ascii="Calibri" w:eastAsia="MS Mincho" w:hAnsi="Calibri" w:cs="AdvTimes"/>
        </w:rPr>
        <w:t xml:space="preserve"> than ignoring the utility loss of the sentinel fracture.  </w:t>
      </w:r>
    </w:p>
    <w:p w14:paraId="2B073853" w14:textId="52039440" w:rsidR="00E81256" w:rsidRPr="00F14E6C" w:rsidRDefault="00E81256" w:rsidP="00F90248">
      <w:pPr>
        <w:rPr>
          <w:rFonts w:ascii="Calibri" w:eastAsia="MS Mincho" w:hAnsi="Calibri" w:cs="AdvTimes"/>
        </w:rPr>
      </w:pPr>
      <w:r w:rsidRPr="00F14E6C">
        <w:rPr>
          <w:rFonts w:ascii="Calibri" w:eastAsia="MS Mincho" w:hAnsi="Calibri" w:cs="AdvTimes"/>
        </w:rPr>
        <w:t xml:space="preserve">Thereafter, multipliers were applied for each subsequent eligible fracture that </w:t>
      </w:r>
      <w:r w:rsidR="00F90248" w:rsidRPr="00F14E6C">
        <w:rPr>
          <w:rFonts w:ascii="Calibri" w:eastAsia="MS Mincho" w:hAnsi="Calibri" w:cs="AdvTimes"/>
        </w:rPr>
        <w:t>occurred</w:t>
      </w:r>
      <w:r w:rsidRPr="00F14E6C">
        <w:rPr>
          <w:rFonts w:ascii="Calibri" w:eastAsia="MS Mincho" w:hAnsi="Calibri" w:cs="AdvTimes"/>
        </w:rPr>
        <w:t xml:space="preserve"> within </w:t>
      </w:r>
      <w:r w:rsidR="000248D6" w:rsidRPr="00F14E6C">
        <w:rPr>
          <w:rFonts w:ascii="Calibri" w:eastAsia="MS Mincho" w:hAnsi="Calibri" w:cs="AdvTimes"/>
        </w:rPr>
        <w:t>each subsequent</w:t>
      </w:r>
      <w:r w:rsidRPr="00F14E6C">
        <w:rPr>
          <w:rFonts w:ascii="Calibri" w:eastAsia="MS Mincho" w:hAnsi="Calibri" w:cs="AdvTimes"/>
        </w:rPr>
        <w:t xml:space="preserve"> period</w:t>
      </w:r>
      <w:r w:rsidR="000248D6" w:rsidRPr="00F14E6C">
        <w:rPr>
          <w:rFonts w:ascii="Calibri" w:eastAsia="MS Mincho" w:hAnsi="Calibri" w:cs="AdvTimes"/>
        </w:rPr>
        <w:t xml:space="preserve"> of</w:t>
      </w:r>
      <w:r w:rsidRPr="00F14E6C">
        <w:rPr>
          <w:rFonts w:ascii="Calibri" w:eastAsia="MS Mincho" w:hAnsi="Calibri" w:cs="AdvTimes"/>
        </w:rPr>
        <w:t xml:space="preserve"> 1/10th of a year for the duration of follow up. In the case of death, no utility loss was ascribed, since the aim of the study was to determine the consequences of the fracture in individuals who survived.  Notwithstanding, deaths were recorded and incorporated in estimates of fracture probability that include competing </w:t>
      </w:r>
      <w:r w:rsidRPr="00F94B58">
        <w:rPr>
          <w:rFonts w:ascii="Calibri" w:eastAsia="MS Mincho" w:hAnsi="Calibri" w:cs="AdvTimes"/>
        </w:rPr>
        <w:t>mortality.</w:t>
      </w:r>
      <w:r w:rsidR="00F90248" w:rsidRPr="00F94B58">
        <w:t xml:space="preserve"> </w:t>
      </w:r>
      <w:bookmarkStart w:id="13" w:name="_Hlk500079196"/>
      <w:bookmarkStart w:id="14" w:name="_Hlk500695918"/>
      <w:r w:rsidR="00F90248" w:rsidRPr="00F94B58">
        <w:rPr>
          <w:rFonts w:ascii="Calibri" w:eastAsia="MS Mincho" w:hAnsi="Calibri" w:cs="AdvTimes"/>
        </w:rPr>
        <w:t xml:space="preserve">Utility losses from non-osteoporotic fractures </w:t>
      </w:r>
      <w:r w:rsidR="002B172C" w:rsidRPr="00F94B58">
        <w:rPr>
          <w:rFonts w:ascii="Calibri" w:eastAsia="MS Mincho" w:hAnsi="Calibri" w:cs="AdvTimes"/>
        </w:rPr>
        <w:t xml:space="preserve">or co-morbidity </w:t>
      </w:r>
      <w:r w:rsidR="00F90248" w:rsidRPr="00F94B58">
        <w:rPr>
          <w:rFonts w:ascii="Calibri" w:eastAsia="MS Mincho" w:hAnsi="Calibri" w:cs="AdvTimes"/>
        </w:rPr>
        <w:t>were not included</w:t>
      </w:r>
      <w:bookmarkEnd w:id="13"/>
      <w:r w:rsidR="00C35533" w:rsidRPr="00F94B58">
        <w:rPr>
          <w:rFonts w:ascii="Calibri" w:eastAsia="MS Mincho" w:hAnsi="Calibri" w:cs="AdvTimes"/>
        </w:rPr>
        <w:t>, though some utility loss captured in the ICUROS study would be related to co-morbidities.</w:t>
      </w:r>
      <w:bookmarkEnd w:id="14"/>
      <w:r w:rsidR="00F90248" w:rsidRPr="00F14E6C">
        <w:rPr>
          <w:rFonts w:ascii="Calibri" w:eastAsia="MS Mincho" w:hAnsi="Calibri" w:cs="AdvTimes"/>
        </w:rPr>
        <w:tab/>
      </w:r>
    </w:p>
    <w:p w14:paraId="4F088512" w14:textId="77777777" w:rsidR="00123E0D" w:rsidRPr="00F14E6C" w:rsidRDefault="00F90248" w:rsidP="005271B8">
      <w:pPr>
        <w:rPr>
          <w:rFonts w:ascii="Calibri" w:eastAsia="MS Mincho" w:hAnsi="Calibri" w:cs="AdvTimes"/>
          <w:i/>
        </w:rPr>
      </w:pPr>
      <w:r w:rsidRPr="00F14E6C">
        <w:rPr>
          <w:rFonts w:ascii="Calibri" w:eastAsia="MS Mincho" w:hAnsi="Calibri" w:cs="AdvTimes"/>
          <w:i/>
        </w:rPr>
        <w:t>Analysis</w:t>
      </w:r>
    </w:p>
    <w:p w14:paraId="5491F42E" w14:textId="4B0042E0" w:rsidR="00D373A2" w:rsidRPr="00F14E6C" w:rsidRDefault="00BC7382" w:rsidP="00D373A2">
      <w:pPr>
        <w:rPr>
          <w:rFonts w:ascii="Calibri" w:eastAsia="Times New Roman" w:hAnsi="Calibri"/>
          <w:iCs/>
        </w:rPr>
      </w:pPr>
      <w:r w:rsidRPr="00F14E6C">
        <w:rPr>
          <w:rFonts w:ascii="Calibri" w:eastAsia="Times New Roman" w:hAnsi="Calibri"/>
          <w:iCs/>
          <w:lang w:val="en-US"/>
        </w:rPr>
        <w:t xml:space="preserve">An extension of the Poisson </w:t>
      </w:r>
      <w:r w:rsidR="00BB234F" w:rsidRPr="00F14E6C">
        <w:rPr>
          <w:rFonts w:ascii="Calibri" w:eastAsia="Times New Roman" w:hAnsi="Calibri"/>
          <w:iCs/>
          <w:lang w:val="en-US"/>
        </w:rPr>
        <w:t xml:space="preserve">regression </w:t>
      </w:r>
      <w:r w:rsidRPr="00F14E6C">
        <w:rPr>
          <w:rFonts w:ascii="Calibri" w:eastAsia="Times New Roman" w:hAnsi="Calibri"/>
          <w:iCs/>
          <w:lang w:val="en-US"/>
        </w:rPr>
        <w:t xml:space="preserve">model was used to study the relationship between age and time since baseline on the one hand and on the other hand, the risk of fracture and death with only one endpoint being counted per patient </w:t>
      </w:r>
      <w:r w:rsidR="001007C9" w:rsidRPr="00F14E6C">
        <w:rPr>
          <w:rFonts w:ascii="Calibri" w:eastAsia="Times New Roman" w:hAnsi="Calibri"/>
          <w:iCs/>
        </w:rPr>
        <w:t>[22</w:t>
      </w:r>
      <w:r w:rsidR="0010538B" w:rsidRPr="00F14E6C">
        <w:rPr>
          <w:rFonts w:ascii="Calibri" w:eastAsia="Times New Roman" w:hAnsi="Calibri"/>
          <w:iCs/>
        </w:rPr>
        <w:t xml:space="preserve">] </w:t>
      </w:r>
      <w:r w:rsidR="0010538B" w:rsidRPr="0010538B">
        <w:rPr>
          <w:rFonts w:ascii="Calibri" w:eastAsia="Times New Roman" w:hAnsi="Calibri"/>
          <w:iCs/>
          <w:lang w:val="en-US"/>
        </w:rPr>
        <w:t>expressed</w:t>
      </w:r>
      <w:r w:rsidR="00B55B2A" w:rsidRPr="00F14E6C">
        <w:rPr>
          <w:rFonts w:ascii="Calibri" w:eastAsia="Times New Roman" w:hAnsi="Calibri"/>
          <w:iCs/>
          <w:lang w:val="en-US"/>
        </w:rPr>
        <w:t xml:space="preserve"> in</w:t>
      </w:r>
      <w:r w:rsidRPr="00F14E6C">
        <w:rPr>
          <w:rFonts w:ascii="Calibri" w:eastAsia="Times New Roman" w:hAnsi="Calibri"/>
          <w:iCs/>
          <w:lang w:val="en-US"/>
        </w:rPr>
        <w:t xml:space="preserve"> person years. Age was piecewise linear with knots </w:t>
      </w:r>
      <w:r w:rsidR="00B55B2A" w:rsidRPr="00F14E6C">
        <w:rPr>
          <w:rFonts w:ascii="Calibri" w:eastAsia="Times New Roman" w:hAnsi="Calibri"/>
          <w:iCs/>
          <w:lang w:val="en-US"/>
        </w:rPr>
        <w:t xml:space="preserve">at </w:t>
      </w:r>
      <w:r w:rsidRPr="00F14E6C">
        <w:rPr>
          <w:rFonts w:ascii="Calibri" w:eastAsia="Times New Roman" w:hAnsi="Calibri"/>
          <w:iCs/>
          <w:lang w:val="en-US"/>
        </w:rPr>
        <w:t>65 and 80 years for the groups with sentinel fractures and 50, 70 and 80</w:t>
      </w:r>
      <w:r w:rsidR="00B55B2A" w:rsidRPr="00F14E6C">
        <w:rPr>
          <w:rFonts w:ascii="Calibri" w:eastAsia="Times New Roman" w:hAnsi="Calibri"/>
          <w:iCs/>
          <w:lang w:val="en-US"/>
        </w:rPr>
        <w:t xml:space="preserve"> years</w:t>
      </w:r>
      <w:r w:rsidRPr="00F14E6C">
        <w:rPr>
          <w:rFonts w:ascii="Calibri" w:eastAsia="Times New Roman" w:hAnsi="Calibri"/>
          <w:iCs/>
          <w:lang w:val="en-US"/>
        </w:rPr>
        <w:t xml:space="preserve"> for the </w:t>
      </w:r>
      <w:r w:rsidR="004B4F5C" w:rsidRPr="00F14E6C">
        <w:rPr>
          <w:rFonts w:ascii="Calibri" w:eastAsia="Times New Roman" w:hAnsi="Calibri"/>
          <w:iCs/>
          <w:lang w:val="en-US"/>
        </w:rPr>
        <w:t>entire</w:t>
      </w:r>
      <w:r w:rsidRPr="00F14E6C">
        <w:rPr>
          <w:rFonts w:ascii="Calibri" w:eastAsia="Times New Roman" w:hAnsi="Calibri"/>
          <w:iCs/>
          <w:lang w:val="en-US"/>
        </w:rPr>
        <w:t xml:space="preserve"> population</w:t>
      </w:r>
      <w:r w:rsidR="00B075A0" w:rsidRPr="00F14E6C">
        <w:rPr>
          <w:rFonts w:ascii="Calibri" w:eastAsia="Times New Roman" w:hAnsi="Calibri"/>
          <w:iCs/>
          <w:lang w:val="en-US"/>
        </w:rPr>
        <w:t xml:space="preserve"> </w:t>
      </w:r>
      <w:r w:rsidR="004B4F5C" w:rsidRPr="00F14E6C">
        <w:rPr>
          <w:rFonts w:ascii="Calibri" w:eastAsia="Times New Roman" w:hAnsi="Calibri"/>
          <w:iCs/>
          <w:lang w:val="en-US"/>
        </w:rPr>
        <w:t xml:space="preserve">studied </w:t>
      </w:r>
      <w:r w:rsidR="00B075A0" w:rsidRPr="00F14E6C">
        <w:rPr>
          <w:rFonts w:ascii="Calibri" w:eastAsia="Times New Roman" w:hAnsi="Calibri"/>
          <w:iCs/>
          <w:lang w:val="en-US"/>
        </w:rPr>
        <w:t>based on the distribution and range of age</w:t>
      </w:r>
      <w:r w:rsidRPr="00F14E6C">
        <w:rPr>
          <w:rFonts w:ascii="Calibri" w:eastAsia="Times New Roman" w:hAnsi="Calibri"/>
          <w:iCs/>
          <w:lang w:val="en-US"/>
        </w:rPr>
        <w:t>. In order to study the effect of time since sentinel fracture in detail a spline Poisson regression model was fitted using knots at 0.5, 2.5 and 15 years after the sentinel fracture.</w:t>
      </w:r>
      <w:bookmarkStart w:id="15" w:name="_Hlk488076589"/>
      <w:r w:rsidR="00D373A2" w:rsidRPr="00F14E6C">
        <w:rPr>
          <w:rFonts w:ascii="Calibri" w:eastAsia="MS Mincho" w:hAnsi="Calibri" w:cs="Arial"/>
          <w:lang w:eastAsia="ja-JP"/>
        </w:rPr>
        <w:t xml:space="preserve">  </w:t>
      </w:r>
      <w:r w:rsidR="00D373A2" w:rsidRPr="00F14E6C">
        <w:rPr>
          <w:rFonts w:ascii="Calibri" w:eastAsia="Times New Roman" w:hAnsi="Calibri"/>
          <w:iCs/>
        </w:rPr>
        <w:t xml:space="preserve">Outcomes </w:t>
      </w:r>
      <w:r w:rsidR="004B4F5C" w:rsidRPr="00F14E6C">
        <w:rPr>
          <w:rFonts w:ascii="Calibri" w:eastAsia="Times New Roman" w:hAnsi="Calibri"/>
          <w:iCs/>
        </w:rPr>
        <w:t xml:space="preserve">of </w:t>
      </w:r>
      <w:r w:rsidR="00D373A2" w:rsidRPr="00F14E6C">
        <w:rPr>
          <w:rFonts w:ascii="Calibri" w:eastAsia="Times New Roman" w:hAnsi="Calibri"/>
          <w:iCs/>
        </w:rPr>
        <w:t>fracture</w:t>
      </w:r>
      <w:r w:rsidR="004B4F5C" w:rsidRPr="00F14E6C">
        <w:rPr>
          <w:rFonts w:ascii="Calibri" w:eastAsia="Times New Roman" w:hAnsi="Calibri"/>
          <w:iCs/>
        </w:rPr>
        <w:t xml:space="preserve"> and </w:t>
      </w:r>
      <w:r w:rsidR="00D373A2" w:rsidRPr="00F14E6C">
        <w:rPr>
          <w:rFonts w:ascii="Calibri" w:eastAsia="Times New Roman" w:hAnsi="Calibri"/>
          <w:iCs/>
        </w:rPr>
        <w:t>death were expressed as hazard ratios (HR) compared to the entire population denoted here as the ‘whole cohort</w:t>
      </w:r>
      <w:bookmarkEnd w:id="15"/>
      <w:r w:rsidR="00D373A2" w:rsidRPr="00F14E6C">
        <w:rPr>
          <w:rFonts w:ascii="Calibri" w:eastAsia="Times New Roman" w:hAnsi="Calibri"/>
          <w:iCs/>
        </w:rPr>
        <w:t xml:space="preserve">’. </w:t>
      </w:r>
    </w:p>
    <w:p w14:paraId="58C0A4DC" w14:textId="58D19B39" w:rsidR="00114B52" w:rsidRPr="00F14E6C" w:rsidRDefault="00CA2E10" w:rsidP="00114B52">
      <w:pPr>
        <w:rPr>
          <w:rFonts w:ascii="Calibri" w:eastAsia="Times New Roman" w:hAnsi="Calibri"/>
          <w:iCs/>
        </w:rPr>
      </w:pPr>
      <w:r w:rsidRPr="00F14E6C">
        <w:rPr>
          <w:rFonts w:ascii="Calibri" w:eastAsia="Times New Roman" w:hAnsi="Calibri"/>
          <w:iCs/>
        </w:rPr>
        <w:lastRenderedPageBreak/>
        <w:t>Ten</w:t>
      </w:r>
      <w:r w:rsidR="00114B52" w:rsidRPr="00F14E6C">
        <w:rPr>
          <w:rFonts w:ascii="Calibri" w:eastAsia="Times New Roman" w:hAnsi="Calibri"/>
          <w:iCs/>
        </w:rPr>
        <w:t xml:space="preserve">-year probabilities of fracture at different sites for the </w:t>
      </w:r>
      <w:r w:rsidR="00DB735E" w:rsidRPr="00F14E6C">
        <w:rPr>
          <w:rFonts w:ascii="Calibri" w:eastAsia="Times New Roman" w:hAnsi="Calibri"/>
          <w:iCs/>
        </w:rPr>
        <w:t>whole</w:t>
      </w:r>
      <w:r w:rsidR="00114B52" w:rsidRPr="00F14E6C">
        <w:rPr>
          <w:rFonts w:ascii="Calibri" w:eastAsia="Times New Roman" w:hAnsi="Calibri"/>
          <w:iCs/>
        </w:rPr>
        <w:t xml:space="preserve"> </w:t>
      </w:r>
      <w:r w:rsidR="004B4F5C" w:rsidRPr="00F14E6C">
        <w:rPr>
          <w:rFonts w:ascii="Calibri" w:eastAsia="Times New Roman" w:hAnsi="Calibri"/>
          <w:iCs/>
        </w:rPr>
        <w:t>cohort</w:t>
      </w:r>
      <w:r w:rsidR="00114B52" w:rsidRPr="00F14E6C">
        <w:rPr>
          <w:rFonts w:ascii="Calibri" w:eastAsia="Times New Roman" w:hAnsi="Calibri"/>
          <w:iCs/>
        </w:rPr>
        <w:t xml:space="preserve"> and for the cohort</w:t>
      </w:r>
      <w:r w:rsidR="004B4F5C" w:rsidRPr="00F14E6C">
        <w:rPr>
          <w:rFonts w:ascii="Calibri" w:eastAsia="Times New Roman" w:hAnsi="Calibri"/>
          <w:iCs/>
        </w:rPr>
        <w:t>s</w:t>
      </w:r>
      <w:r w:rsidR="00114B52" w:rsidRPr="00F14E6C">
        <w:rPr>
          <w:rFonts w:ascii="Calibri" w:eastAsia="Times New Roman" w:hAnsi="Calibri"/>
          <w:iCs/>
        </w:rPr>
        <w:t xml:space="preserve"> with a sentinel fracture were calculated from the hazards of fracture and death </w:t>
      </w:r>
      <w:r w:rsidR="001007C9" w:rsidRPr="00F14E6C">
        <w:rPr>
          <w:rFonts w:ascii="Calibri" w:eastAsia="Times New Roman" w:hAnsi="Calibri"/>
          <w:iCs/>
        </w:rPr>
        <w:t>[23]</w:t>
      </w:r>
      <w:r w:rsidR="00114B52" w:rsidRPr="00F14E6C">
        <w:rPr>
          <w:rFonts w:ascii="Calibri" w:eastAsia="Times New Roman" w:hAnsi="Calibri"/>
          <w:iCs/>
        </w:rPr>
        <w:t>.</w:t>
      </w:r>
      <w:r w:rsidR="001859EC" w:rsidRPr="00F14E6C">
        <w:rPr>
          <w:rFonts w:ascii="Calibri" w:eastAsia="Times New Roman" w:hAnsi="Calibri"/>
          <w:iCs/>
        </w:rPr>
        <w:t xml:space="preserve"> Note that this was not a FRAX estimate but a calculation based on the hazards of death and fracture in the sentinel cohorts and the whole cohort.</w:t>
      </w:r>
    </w:p>
    <w:p w14:paraId="14E5D0DE" w14:textId="73670081" w:rsidR="00F90248" w:rsidRPr="00F14E6C" w:rsidRDefault="00A55EE5" w:rsidP="005271B8">
      <w:pPr>
        <w:rPr>
          <w:rFonts w:ascii="Calibri" w:eastAsia="Times New Roman" w:hAnsi="Calibri"/>
          <w:iCs/>
        </w:rPr>
      </w:pPr>
      <w:r w:rsidRPr="00F14E6C">
        <w:rPr>
          <w:rFonts w:ascii="Calibri" w:eastAsia="Times New Roman" w:hAnsi="Calibri"/>
          <w:iCs/>
        </w:rPr>
        <w:t xml:space="preserve">The cumulative loss of utility was calculated for the </w:t>
      </w:r>
      <w:r w:rsidR="001859EC" w:rsidRPr="00F14E6C">
        <w:rPr>
          <w:rFonts w:ascii="Calibri" w:eastAsia="Times New Roman" w:hAnsi="Calibri"/>
          <w:iCs/>
        </w:rPr>
        <w:t>whole</w:t>
      </w:r>
      <w:r w:rsidRPr="00F14E6C">
        <w:rPr>
          <w:rFonts w:ascii="Calibri" w:eastAsia="Times New Roman" w:hAnsi="Calibri"/>
          <w:iCs/>
        </w:rPr>
        <w:t xml:space="preserve"> </w:t>
      </w:r>
      <w:r w:rsidR="001859EC" w:rsidRPr="00F14E6C">
        <w:rPr>
          <w:rFonts w:ascii="Calibri" w:eastAsia="Times New Roman" w:hAnsi="Calibri"/>
          <w:iCs/>
        </w:rPr>
        <w:t xml:space="preserve">cohort </w:t>
      </w:r>
      <w:r w:rsidRPr="00F14E6C">
        <w:rPr>
          <w:rFonts w:ascii="Calibri" w:eastAsia="Times New Roman" w:hAnsi="Calibri"/>
          <w:iCs/>
        </w:rPr>
        <w:t xml:space="preserve">and for the population having a sentinel fracture at any of the four designated fracture sites. Since the age and sex distribution differed for the five populations, linear regression was applied within each </w:t>
      </w:r>
      <w:r w:rsidR="000248D6" w:rsidRPr="00F14E6C">
        <w:rPr>
          <w:rFonts w:ascii="Calibri" w:eastAsia="Times New Roman" w:hAnsi="Calibri"/>
          <w:iCs/>
        </w:rPr>
        <w:t>cohort</w:t>
      </w:r>
      <w:r w:rsidRPr="00F14E6C">
        <w:rPr>
          <w:rFonts w:ascii="Calibri" w:eastAsia="Times New Roman" w:hAnsi="Calibri"/>
          <w:iCs/>
        </w:rPr>
        <w:t xml:space="preserve"> for utility </w:t>
      </w:r>
      <w:r w:rsidR="00A91EC6" w:rsidRPr="00F14E6C">
        <w:rPr>
          <w:rFonts w:ascii="Calibri" w:eastAsia="Times New Roman" w:hAnsi="Calibri"/>
          <w:iCs/>
        </w:rPr>
        <w:t>loss according</w:t>
      </w:r>
      <w:r w:rsidRPr="00F14E6C">
        <w:rPr>
          <w:rFonts w:ascii="Calibri" w:eastAsia="Times New Roman" w:hAnsi="Calibri"/>
          <w:iCs/>
        </w:rPr>
        <w:t xml:space="preserve"> age and sex.  Thus, </w:t>
      </w:r>
      <w:r w:rsidR="00265E05" w:rsidRPr="00F14E6C">
        <w:rPr>
          <w:rFonts w:ascii="Calibri" w:eastAsia="Times New Roman" w:hAnsi="Calibri"/>
          <w:iCs/>
        </w:rPr>
        <w:t>utility loss</w:t>
      </w:r>
      <w:r w:rsidR="00BA5E01" w:rsidRPr="00F14E6C">
        <w:rPr>
          <w:rFonts w:ascii="Calibri" w:eastAsia="Times New Roman" w:hAnsi="Calibri"/>
          <w:iCs/>
        </w:rPr>
        <w:t>es</w:t>
      </w:r>
      <w:r w:rsidR="00265E05" w:rsidRPr="00F14E6C">
        <w:rPr>
          <w:rFonts w:ascii="Calibri" w:eastAsia="Times New Roman" w:hAnsi="Calibri"/>
          <w:iCs/>
        </w:rPr>
        <w:t xml:space="preserve"> </w:t>
      </w:r>
      <w:r w:rsidR="00203C2D" w:rsidRPr="00F14E6C">
        <w:rPr>
          <w:rFonts w:ascii="Calibri" w:eastAsia="Times New Roman" w:hAnsi="Calibri"/>
          <w:iCs/>
        </w:rPr>
        <w:t>were</w:t>
      </w:r>
      <w:r w:rsidRPr="00F14E6C">
        <w:rPr>
          <w:rFonts w:ascii="Calibri" w:eastAsia="Times New Roman" w:hAnsi="Calibri"/>
          <w:iCs/>
        </w:rPr>
        <w:t xml:space="preserve"> calculated for a man or woman of the same age in each population.</w:t>
      </w:r>
    </w:p>
    <w:p w14:paraId="4DC39344" w14:textId="77777777" w:rsidR="00B26DB8" w:rsidRPr="00F14E6C" w:rsidRDefault="00B26DB8" w:rsidP="005271B8">
      <w:pPr>
        <w:rPr>
          <w:rFonts w:ascii="Calibri" w:eastAsia="MS Mincho" w:hAnsi="Calibri" w:cs="AdvTimes"/>
          <w:b/>
        </w:rPr>
      </w:pPr>
      <w:r w:rsidRPr="00F14E6C">
        <w:rPr>
          <w:rFonts w:ascii="Calibri" w:eastAsia="MS Mincho" w:hAnsi="Calibri" w:cs="AdvTimes"/>
          <w:b/>
        </w:rPr>
        <w:t xml:space="preserve">Results </w:t>
      </w:r>
    </w:p>
    <w:p w14:paraId="62F57E6E" w14:textId="1BBA7D1C" w:rsidR="00B26DB8" w:rsidRPr="00F14E6C" w:rsidRDefault="00B26DB8" w:rsidP="005271B8">
      <w:pPr>
        <w:rPr>
          <w:rFonts w:ascii="Calibri" w:eastAsia="MS Mincho" w:hAnsi="Calibri" w:cs="Arial"/>
          <w:lang w:eastAsia="ja-JP"/>
        </w:rPr>
      </w:pPr>
      <w:r w:rsidRPr="00F14E6C">
        <w:rPr>
          <w:rFonts w:ascii="Calibri" w:eastAsia="MS Mincho" w:hAnsi="Calibri" w:cs="Arial"/>
          <w:lang w:eastAsia="ja-JP"/>
        </w:rPr>
        <w:t>The population</w:t>
      </w:r>
      <w:r w:rsidR="001859EC" w:rsidRPr="00F14E6C">
        <w:rPr>
          <w:rFonts w:ascii="Calibri" w:eastAsia="MS Mincho" w:hAnsi="Calibri" w:cs="Arial"/>
          <w:lang w:eastAsia="ja-JP"/>
        </w:rPr>
        <w:t xml:space="preserve"> (whole cohort)</w:t>
      </w:r>
      <w:r w:rsidRPr="00F14E6C">
        <w:rPr>
          <w:rFonts w:ascii="Calibri" w:eastAsia="MS Mincho" w:hAnsi="Calibri" w:cs="Arial"/>
          <w:lang w:eastAsia="ja-JP"/>
        </w:rPr>
        <w:t xml:space="preserve"> included 18,872 individuals aged on average 52.8 years (range 33-</w:t>
      </w:r>
      <w:r w:rsidR="00676B45" w:rsidRPr="00F14E6C">
        <w:rPr>
          <w:rFonts w:ascii="Calibri" w:eastAsia="MS Mincho" w:hAnsi="Calibri" w:cs="Arial"/>
          <w:lang w:eastAsia="ja-JP"/>
        </w:rPr>
        <w:t>81 years</w:t>
      </w:r>
      <w:r w:rsidRPr="00F14E6C">
        <w:rPr>
          <w:rFonts w:ascii="Calibri" w:eastAsia="MS Mincho" w:hAnsi="Calibri" w:cs="Arial"/>
          <w:lang w:eastAsia="ja-JP"/>
        </w:rPr>
        <w:t xml:space="preserve">) </w:t>
      </w:r>
      <w:r w:rsidR="00E51F05" w:rsidRPr="00F14E6C">
        <w:rPr>
          <w:rFonts w:ascii="Calibri" w:eastAsia="MS Mincho" w:hAnsi="Calibri" w:cs="Arial"/>
          <w:lang w:eastAsia="ja-JP"/>
        </w:rPr>
        <w:t xml:space="preserve">at baseline </w:t>
      </w:r>
      <w:r w:rsidRPr="00F14E6C">
        <w:rPr>
          <w:rFonts w:ascii="Calibri" w:eastAsia="MS Mincho" w:hAnsi="Calibri" w:cs="Arial"/>
          <w:lang w:eastAsia="ja-JP"/>
        </w:rPr>
        <w:t>and 52% were women.</w:t>
      </w:r>
      <w:r w:rsidR="001A0C09" w:rsidRPr="00F14E6C">
        <w:rPr>
          <w:rFonts w:ascii="Calibri" w:eastAsia="MS Mincho" w:hAnsi="Calibri" w:cs="Arial"/>
          <w:lang w:eastAsia="ja-JP"/>
        </w:rPr>
        <w:t xml:space="preserve"> </w:t>
      </w:r>
      <w:r w:rsidR="0009749E" w:rsidRPr="00F14E6C">
        <w:rPr>
          <w:rFonts w:ascii="Calibri" w:eastAsia="MS Mincho" w:hAnsi="Calibri" w:cs="Arial"/>
          <w:lang w:eastAsia="ja-JP"/>
        </w:rPr>
        <w:t>The whole population was followed fo</w:t>
      </w:r>
      <w:r w:rsidR="0066388C" w:rsidRPr="00F14E6C">
        <w:rPr>
          <w:rFonts w:ascii="Calibri" w:eastAsia="MS Mincho" w:hAnsi="Calibri" w:cs="Arial"/>
          <w:lang w:eastAsia="ja-JP"/>
        </w:rPr>
        <w:t xml:space="preserve">r 27 years.  </w:t>
      </w:r>
      <w:r w:rsidR="001A0C09" w:rsidRPr="00F14E6C">
        <w:rPr>
          <w:rFonts w:ascii="Calibri" w:eastAsia="MS Mincho" w:hAnsi="Calibri" w:cs="Arial"/>
          <w:lang w:eastAsia="ja-JP"/>
        </w:rPr>
        <w:t xml:space="preserve">Sentinel hip fractures </w:t>
      </w:r>
      <w:r w:rsidR="00676B45" w:rsidRPr="00F14E6C">
        <w:rPr>
          <w:rFonts w:ascii="Calibri" w:eastAsia="MS Mincho" w:hAnsi="Calibri" w:cs="Arial"/>
          <w:lang w:eastAsia="ja-JP"/>
        </w:rPr>
        <w:t>arose</w:t>
      </w:r>
      <w:r w:rsidR="001A0C09" w:rsidRPr="00F14E6C">
        <w:rPr>
          <w:rFonts w:ascii="Calibri" w:eastAsia="MS Mincho" w:hAnsi="Calibri" w:cs="Arial"/>
          <w:lang w:eastAsia="ja-JP"/>
        </w:rPr>
        <w:t xml:space="preserve"> in 20</w:t>
      </w:r>
      <w:r w:rsidR="009221B8" w:rsidRPr="00F14E6C">
        <w:rPr>
          <w:rFonts w:ascii="Calibri" w:eastAsia="MS Mincho" w:hAnsi="Calibri" w:cs="Arial"/>
          <w:lang w:eastAsia="ja-JP"/>
        </w:rPr>
        <w:t>74</w:t>
      </w:r>
      <w:r w:rsidR="001A0C09" w:rsidRPr="00F14E6C">
        <w:rPr>
          <w:rFonts w:ascii="Calibri" w:eastAsia="MS Mincho" w:hAnsi="Calibri" w:cs="Arial"/>
          <w:lang w:eastAsia="ja-JP"/>
        </w:rPr>
        <w:t xml:space="preserve"> men and women</w:t>
      </w:r>
      <w:bookmarkStart w:id="16" w:name="_Hlk496539892"/>
      <w:r w:rsidR="001A0C09" w:rsidRPr="00F14E6C">
        <w:rPr>
          <w:rFonts w:ascii="Calibri" w:eastAsia="MS Mincho" w:hAnsi="Calibri" w:cs="Arial"/>
          <w:lang w:eastAsia="ja-JP"/>
        </w:rPr>
        <w:t xml:space="preserve">; for </w:t>
      </w:r>
      <w:r w:rsidR="009221B8" w:rsidRPr="00F14E6C">
        <w:rPr>
          <w:rFonts w:ascii="Calibri" w:eastAsia="MS Mincho" w:hAnsi="Calibri" w:cs="Arial"/>
          <w:lang w:eastAsia="ja-JP"/>
        </w:rPr>
        <w:t xml:space="preserve">clinical </w:t>
      </w:r>
      <w:r w:rsidR="001A0C09" w:rsidRPr="00F14E6C">
        <w:rPr>
          <w:rFonts w:ascii="Calibri" w:eastAsia="MS Mincho" w:hAnsi="Calibri" w:cs="Arial"/>
          <w:lang w:eastAsia="ja-JP"/>
        </w:rPr>
        <w:t xml:space="preserve">spine, forearm and humerus </w:t>
      </w:r>
      <w:r w:rsidR="00A76DFA" w:rsidRPr="00F14E6C">
        <w:rPr>
          <w:rFonts w:ascii="Calibri" w:eastAsia="MS Mincho" w:hAnsi="Calibri" w:cs="Arial"/>
          <w:lang w:eastAsia="ja-JP"/>
        </w:rPr>
        <w:t>fractures,</w:t>
      </w:r>
      <w:bookmarkEnd w:id="16"/>
      <w:r w:rsidR="001A0C09" w:rsidRPr="00F14E6C">
        <w:rPr>
          <w:rFonts w:ascii="Calibri" w:eastAsia="MS Mincho" w:hAnsi="Calibri" w:cs="Arial"/>
          <w:lang w:eastAsia="ja-JP"/>
        </w:rPr>
        <w:t xml:space="preserve"> the numbers were 1365, 2364 and 1092, respectively</w:t>
      </w:r>
      <w:r w:rsidR="0066388C" w:rsidRPr="00F14E6C">
        <w:rPr>
          <w:rFonts w:ascii="Calibri" w:eastAsia="MS Mincho" w:hAnsi="Calibri" w:cs="Arial"/>
          <w:lang w:eastAsia="ja-JP"/>
        </w:rPr>
        <w:t xml:space="preserve"> </w:t>
      </w:r>
      <w:r w:rsidR="001A0C09" w:rsidRPr="00F14E6C">
        <w:rPr>
          <w:rFonts w:ascii="Calibri" w:eastAsia="MS Mincho" w:hAnsi="Calibri" w:cs="Arial"/>
          <w:lang w:eastAsia="ja-JP"/>
        </w:rPr>
        <w:t xml:space="preserve">Subsequent fractures were sustained in </w:t>
      </w:r>
      <w:r w:rsidR="009221B8" w:rsidRPr="00F14E6C">
        <w:rPr>
          <w:rFonts w:ascii="Calibri" w:eastAsia="MS Mincho" w:hAnsi="Calibri" w:cs="Arial"/>
          <w:lang w:eastAsia="ja-JP"/>
        </w:rPr>
        <w:t>35</w:t>
      </w:r>
      <w:r w:rsidR="001A0C09" w:rsidRPr="00F14E6C">
        <w:rPr>
          <w:rFonts w:ascii="Calibri" w:eastAsia="MS Mincho" w:hAnsi="Calibri" w:cs="Arial"/>
          <w:lang w:eastAsia="ja-JP"/>
        </w:rPr>
        <w:t xml:space="preserve"> % of </w:t>
      </w:r>
      <w:r w:rsidR="009221B8" w:rsidRPr="00F14E6C">
        <w:rPr>
          <w:rFonts w:ascii="Calibri" w:eastAsia="MS Mincho" w:hAnsi="Calibri" w:cs="Arial"/>
          <w:lang w:eastAsia="ja-JP"/>
        </w:rPr>
        <w:t>2074</w:t>
      </w:r>
      <w:r w:rsidR="001A0C09" w:rsidRPr="00F14E6C">
        <w:rPr>
          <w:rFonts w:ascii="Calibri" w:eastAsia="MS Mincho" w:hAnsi="Calibri" w:cs="Arial"/>
          <w:lang w:eastAsia="ja-JP"/>
        </w:rPr>
        <w:t xml:space="preserve"> individuals with a sentinel hip fracture.  For other sentinel fractures the proportion was </w:t>
      </w:r>
      <w:r w:rsidR="00ED0999" w:rsidRPr="00F14E6C">
        <w:rPr>
          <w:rFonts w:ascii="Calibri" w:eastAsia="MS Mincho" w:hAnsi="Calibri" w:cs="Arial"/>
          <w:lang w:eastAsia="ja-JP"/>
        </w:rPr>
        <w:t>37-49</w:t>
      </w:r>
      <w:r w:rsidR="001A0C09" w:rsidRPr="00F14E6C">
        <w:rPr>
          <w:rFonts w:ascii="Calibri" w:eastAsia="MS Mincho" w:hAnsi="Calibri" w:cs="Arial"/>
          <w:lang w:eastAsia="ja-JP"/>
        </w:rPr>
        <w:t xml:space="preserve"> %. </w:t>
      </w:r>
      <w:r w:rsidR="000248D6" w:rsidRPr="00F14E6C">
        <w:rPr>
          <w:rFonts w:ascii="Calibri" w:eastAsia="MS Mincho" w:hAnsi="Calibri" w:cs="Arial"/>
          <w:lang w:eastAsia="ja-JP"/>
        </w:rPr>
        <w:t xml:space="preserve"> The lower refracture rate following a sentinel hip fracture was attributable to the higher death rate (74 %) compared with other sentinel sites of fracture</w:t>
      </w:r>
      <w:r w:rsidR="009221B8" w:rsidRPr="00F14E6C">
        <w:rPr>
          <w:rFonts w:ascii="Calibri" w:eastAsia="MS Mincho" w:hAnsi="Calibri" w:cs="Arial"/>
          <w:lang w:eastAsia="ja-JP"/>
        </w:rPr>
        <w:t xml:space="preserve"> (34-52 %).</w:t>
      </w:r>
      <w:r w:rsidR="00676B45" w:rsidRPr="00F14E6C">
        <w:rPr>
          <w:rFonts w:ascii="Calibri" w:eastAsia="MS Mincho" w:hAnsi="Calibri" w:cs="Arial"/>
          <w:lang w:eastAsia="ja-JP"/>
        </w:rPr>
        <w:t xml:space="preserve"> </w:t>
      </w:r>
      <w:r w:rsidR="0066388C" w:rsidRPr="00F14E6C">
        <w:rPr>
          <w:rFonts w:ascii="Calibri" w:eastAsia="MS Mincho" w:hAnsi="Calibri" w:cs="Arial"/>
          <w:lang w:eastAsia="ja-JP"/>
        </w:rPr>
        <w:t xml:space="preserve">The mean duration of follow up was 5.7 years after a </w:t>
      </w:r>
      <w:r w:rsidR="0066388C" w:rsidRPr="00F14E6C">
        <w:rPr>
          <w:rFonts w:ascii="Calibri" w:eastAsia="MS Mincho" w:hAnsi="Calibri" w:cs="Arial"/>
          <w:lang w:val="en-US" w:eastAsia="ja-JP"/>
        </w:rPr>
        <w:t>hip fracture and 9.8, 15.1 and 10.7 years after a clinical spine, forearm and humeral fracture, respectively.</w:t>
      </w:r>
      <w:r w:rsidR="0066388C" w:rsidRPr="00F14E6C">
        <w:rPr>
          <w:rFonts w:ascii="Calibri" w:eastAsia="MS Mincho" w:hAnsi="Calibri" w:cs="Arial"/>
          <w:lang w:eastAsia="ja-JP"/>
        </w:rPr>
        <w:t xml:space="preserve"> </w:t>
      </w:r>
      <w:r w:rsidR="00820AB1" w:rsidRPr="00F14E6C">
        <w:rPr>
          <w:rFonts w:ascii="Calibri" w:eastAsia="MS Mincho" w:hAnsi="Calibri" w:cs="Arial"/>
          <w:lang w:eastAsia="ja-JP"/>
        </w:rPr>
        <w:t xml:space="preserve">The mean age (range) for the first hip fracture was 79.6 (45-104) years.  For sentinel spine, forearm and humeral fractures, the respective ages were 74.5 (39-97), 69.7 (34-99), and 73.8 (39-96) years.  </w:t>
      </w:r>
      <w:r w:rsidR="001D5B60" w:rsidRPr="00F14E6C">
        <w:rPr>
          <w:rFonts w:ascii="Calibri" w:eastAsia="MS Mincho" w:hAnsi="Calibri" w:cs="Arial"/>
          <w:lang w:eastAsia="ja-JP"/>
        </w:rPr>
        <w:t xml:space="preserve"> </w:t>
      </w:r>
      <w:r w:rsidR="00820AB1" w:rsidRPr="00F14E6C">
        <w:rPr>
          <w:rFonts w:ascii="Calibri" w:eastAsia="MS Mincho" w:hAnsi="Calibri" w:cs="Arial"/>
          <w:lang w:eastAsia="ja-JP"/>
        </w:rPr>
        <w:t xml:space="preserve"> </w:t>
      </w:r>
      <w:r w:rsidR="00676B45" w:rsidRPr="00F14E6C">
        <w:rPr>
          <w:rFonts w:ascii="Calibri" w:eastAsia="MS Mincho" w:hAnsi="Calibri" w:cs="Arial"/>
          <w:lang w:eastAsia="ja-JP"/>
        </w:rPr>
        <w:t xml:space="preserve">Characteristics by sex are given in </w:t>
      </w:r>
      <w:r w:rsidR="002B0F85" w:rsidRPr="00F14E6C">
        <w:rPr>
          <w:rFonts w:ascii="Calibri" w:eastAsia="MS Mincho" w:hAnsi="Calibri" w:cs="Arial"/>
          <w:lang w:eastAsia="ja-JP"/>
        </w:rPr>
        <w:t xml:space="preserve">supplementary </w:t>
      </w:r>
      <w:r w:rsidR="00394039" w:rsidRPr="00F14E6C">
        <w:rPr>
          <w:rFonts w:ascii="Calibri" w:eastAsia="MS Mincho" w:hAnsi="Calibri" w:cs="Arial"/>
          <w:lang w:eastAsia="ja-JP"/>
        </w:rPr>
        <w:t>T</w:t>
      </w:r>
      <w:r w:rsidR="00676B45" w:rsidRPr="00F14E6C">
        <w:rPr>
          <w:rFonts w:ascii="Calibri" w:eastAsia="MS Mincho" w:hAnsi="Calibri" w:cs="Arial"/>
          <w:lang w:eastAsia="ja-JP"/>
        </w:rPr>
        <w:t xml:space="preserve">able </w:t>
      </w:r>
      <w:r w:rsidR="009D33BC" w:rsidRPr="00F14E6C">
        <w:rPr>
          <w:rFonts w:ascii="Calibri" w:eastAsia="MS Mincho" w:hAnsi="Calibri" w:cs="Arial"/>
          <w:lang w:eastAsia="ja-JP"/>
        </w:rPr>
        <w:t>S</w:t>
      </w:r>
      <w:r w:rsidR="00676B45" w:rsidRPr="00F14E6C">
        <w:rPr>
          <w:rFonts w:ascii="Calibri" w:eastAsia="MS Mincho" w:hAnsi="Calibri" w:cs="Arial"/>
          <w:lang w:eastAsia="ja-JP"/>
        </w:rPr>
        <w:t>2.</w:t>
      </w:r>
    </w:p>
    <w:p w14:paraId="313ABE1F" w14:textId="312DF497" w:rsidR="00203C2D" w:rsidRPr="00F14E6C" w:rsidRDefault="004C2092" w:rsidP="00034F1F">
      <w:pPr>
        <w:rPr>
          <w:rFonts w:ascii="Calibri" w:eastAsia="MS Mincho" w:hAnsi="Calibri" w:cs="Arial"/>
          <w:lang w:eastAsia="ja-JP"/>
        </w:rPr>
      </w:pPr>
      <w:r w:rsidRPr="00F14E6C">
        <w:rPr>
          <w:rFonts w:ascii="Calibri" w:eastAsia="MS Mincho" w:hAnsi="Calibri" w:cs="AdvTimes"/>
          <w:i/>
        </w:rPr>
        <w:t>Site of subsequent fracture</w:t>
      </w:r>
      <w:bookmarkStart w:id="17" w:name="_Hlk485131884"/>
      <w:r w:rsidR="00034F1F" w:rsidRPr="00F14E6C">
        <w:rPr>
          <w:rFonts w:ascii="Calibri" w:eastAsia="MS Mincho" w:hAnsi="Calibri" w:cs="AdvTimes"/>
          <w:i/>
        </w:rPr>
        <w:br/>
      </w:r>
      <w:r w:rsidR="00203C2D" w:rsidRPr="00F14E6C">
        <w:rPr>
          <w:rFonts w:ascii="Calibri" w:eastAsia="MS Mincho" w:hAnsi="Calibri" w:cs="Arial"/>
          <w:lang w:eastAsia="ja-JP"/>
        </w:rPr>
        <w:t>For sentinel fractures at the hip, spine and forearm, subsequent fractures were most commonly</w:t>
      </w:r>
      <w:r w:rsidR="005E573D" w:rsidRPr="00F14E6C">
        <w:rPr>
          <w:rFonts w:ascii="Calibri" w:eastAsia="MS Mincho" w:hAnsi="Calibri" w:cs="Arial"/>
          <w:lang w:eastAsia="ja-JP"/>
        </w:rPr>
        <w:t xml:space="preserve"> </w:t>
      </w:r>
      <w:r w:rsidR="00BA5E01" w:rsidRPr="00F14E6C">
        <w:rPr>
          <w:rFonts w:ascii="Calibri" w:eastAsia="MS Mincho" w:hAnsi="Calibri" w:cs="Arial"/>
          <w:lang w:eastAsia="ja-JP"/>
        </w:rPr>
        <w:t xml:space="preserve">noted </w:t>
      </w:r>
      <w:r w:rsidR="005E573D" w:rsidRPr="00F14E6C">
        <w:rPr>
          <w:rFonts w:ascii="Calibri" w:eastAsia="MS Mincho" w:hAnsi="Calibri" w:cs="Arial"/>
          <w:lang w:eastAsia="ja-JP"/>
        </w:rPr>
        <w:t>at the same site</w:t>
      </w:r>
      <w:r w:rsidR="00656D45" w:rsidRPr="00F14E6C">
        <w:rPr>
          <w:rFonts w:ascii="Calibri" w:eastAsia="MS Mincho" w:hAnsi="Calibri" w:cs="Arial"/>
          <w:lang w:eastAsia="ja-JP"/>
        </w:rPr>
        <w:t xml:space="preserve"> (</w:t>
      </w:r>
      <w:r w:rsidR="00F9797B" w:rsidRPr="00F14E6C">
        <w:rPr>
          <w:rFonts w:ascii="Calibri" w:eastAsia="MS Mincho" w:hAnsi="Calibri" w:cs="Arial"/>
          <w:lang w:eastAsia="ja-JP"/>
        </w:rPr>
        <w:t>supplementary Table</w:t>
      </w:r>
      <w:r w:rsidR="00656D45" w:rsidRPr="00F14E6C">
        <w:rPr>
          <w:rFonts w:ascii="Calibri" w:eastAsia="MS Mincho" w:hAnsi="Calibri" w:cs="Arial"/>
          <w:lang w:eastAsia="ja-JP"/>
        </w:rPr>
        <w:t xml:space="preserve"> </w:t>
      </w:r>
      <w:r w:rsidR="009D33BC" w:rsidRPr="00F14E6C">
        <w:rPr>
          <w:rFonts w:ascii="Calibri" w:eastAsia="MS Mincho" w:hAnsi="Calibri" w:cs="Arial"/>
          <w:lang w:eastAsia="ja-JP"/>
        </w:rPr>
        <w:t>S</w:t>
      </w:r>
      <w:r w:rsidR="00656D45" w:rsidRPr="00F14E6C">
        <w:rPr>
          <w:rFonts w:ascii="Calibri" w:eastAsia="MS Mincho" w:hAnsi="Calibri" w:cs="Arial"/>
          <w:lang w:eastAsia="ja-JP"/>
        </w:rPr>
        <w:t xml:space="preserve">3).  Site specificity was not observed following a humeral fracture.  </w:t>
      </w:r>
      <w:bookmarkEnd w:id="17"/>
      <w:r w:rsidR="00656D45" w:rsidRPr="00F14E6C">
        <w:rPr>
          <w:rFonts w:ascii="Calibri" w:eastAsia="MS Mincho" w:hAnsi="Calibri" w:cs="Arial"/>
          <w:lang w:eastAsia="ja-JP"/>
        </w:rPr>
        <w:lastRenderedPageBreak/>
        <w:t>The most common subsequent fracture after a humeral fracture was a hip fracture followed by distal forearm fracture.</w:t>
      </w:r>
      <w:r w:rsidR="005E573D" w:rsidRPr="00F14E6C">
        <w:rPr>
          <w:rFonts w:ascii="Calibri" w:eastAsia="MS Mincho" w:hAnsi="Calibri" w:cs="Arial"/>
          <w:lang w:eastAsia="ja-JP"/>
        </w:rPr>
        <w:t xml:space="preserve"> </w:t>
      </w:r>
    </w:p>
    <w:p w14:paraId="104B36A8" w14:textId="6EDA419C" w:rsidR="00123E0D" w:rsidRPr="00F14E6C" w:rsidRDefault="003C7B36" w:rsidP="000B074F">
      <w:pPr>
        <w:spacing w:after="0"/>
        <w:rPr>
          <w:rFonts w:ascii="Calibri" w:eastAsia="MS Mincho" w:hAnsi="Calibri" w:cs="AdvTimes"/>
          <w:i/>
        </w:rPr>
      </w:pPr>
      <w:r w:rsidRPr="00F14E6C">
        <w:rPr>
          <w:rFonts w:ascii="Calibri" w:eastAsia="MS Mincho" w:hAnsi="Calibri" w:cs="AdvTimes"/>
          <w:i/>
        </w:rPr>
        <w:t>Time course of f</w:t>
      </w:r>
      <w:r w:rsidR="00AC6380" w:rsidRPr="00F14E6C">
        <w:rPr>
          <w:rFonts w:ascii="Calibri" w:eastAsia="MS Mincho" w:hAnsi="Calibri" w:cs="AdvTimes"/>
          <w:i/>
        </w:rPr>
        <w:t>racture</w:t>
      </w:r>
    </w:p>
    <w:p w14:paraId="75DBBEF6" w14:textId="794BDF9C" w:rsidR="009347B5" w:rsidRPr="00F14E6C" w:rsidRDefault="009347B5" w:rsidP="00123E0D">
      <w:pPr>
        <w:rPr>
          <w:rFonts w:ascii="Calibri" w:eastAsia="MS Mincho" w:hAnsi="Calibri" w:cs="AdvTimes"/>
        </w:rPr>
      </w:pPr>
      <w:r w:rsidRPr="00F14E6C">
        <w:rPr>
          <w:rFonts w:ascii="Calibri" w:eastAsia="MS Mincho" w:hAnsi="Calibri" w:cs="AdvTimes"/>
        </w:rPr>
        <w:t xml:space="preserve">For all fracture sites, there was a time-dependent effect in that the </w:t>
      </w:r>
      <w:r w:rsidR="00B36C3A" w:rsidRPr="00F14E6C">
        <w:rPr>
          <w:rFonts w:ascii="Calibri" w:eastAsia="MS Mincho" w:hAnsi="Calibri" w:cs="AdvTimes"/>
        </w:rPr>
        <w:t xml:space="preserve">recurrent </w:t>
      </w:r>
      <w:r w:rsidRPr="00F14E6C">
        <w:rPr>
          <w:rFonts w:ascii="Calibri" w:eastAsia="MS Mincho" w:hAnsi="Calibri" w:cs="AdvTimes"/>
        </w:rPr>
        <w:t xml:space="preserve">fracture </w:t>
      </w:r>
      <w:r w:rsidR="002D2347" w:rsidRPr="00F14E6C">
        <w:rPr>
          <w:rFonts w:ascii="Calibri" w:eastAsia="MS Mincho" w:hAnsi="Calibri" w:cs="AdvTimes"/>
        </w:rPr>
        <w:t>numbers</w:t>
      </w:r>
      <w:r w:rsidRPr="00F14E6C">
        <w:rPr>
          <w:rFonts w:ascii="Calibri" w:eastAsia="MS Mincho" w:hAnsi="Calibri" w:cs="AdvTimes"/>
        </w:rPr>
        <w:t xml:space="preserve"> waned with time</w:t>
      </w:r>
      <w:r w:rsidR="00942CC7" w:rsidRPr="00F14E6C">
        <w:rPr>
          <w:rFonts w:ascii="Calibri" w:eastAsia="MS Mincho" w:hAnsi="Calibri" w:cs="AdvTimes"/>
        </w:rPr>
        <w:t xml:space="preserve"> (Figure 1)</w:t>
      </w:r>
      <w:r w:rsidRPr="00F14E6C">
        <w:rPr>
          <w:rFonts w:ascii="Calibri" w:eastAsia="MS Mincho" w:hAnsi="Calibri" w:cs="AdvTimes"/>
        </w:rPr>
        <w:t xml:space="preserve">. </w:t>
      </w:r>
      <w:r w:rsidR="002D2347" w:rsidRPr="00F14E6C">
        <w:rPr>
          <w:rFonts w:ascii="Calibri" w:eastAsia="MS Mincho" w:hAnsi="Calibri" w:cs="AdvTimes"/>
        </w:rPr>
        <w:t xml:space="preserve">For example, </w:t>
      </w:r>
      <w:r w:rsidR="00100279" w:rsidRPr="00F14E6C">
        <w:rPr>
          <w:rFonts w:ascii="Calibri" w:eastAsia="MS Mincho" w:hAnsi="Calibri" w:cs="AdvTimes"/>
        </w:rPr>
        <w:t>i</w:t>
      </w:r>
      <w:r w:rsidR="00B36C3A" w:rsidRPr="00F14E6C">
        <w:rPr>
          <w:rFonts w:ascii="Calibri" w:eastAsia="MS Mincho" w:hAnsi="Calibri" w:cs="AdvTimes"/>
        </w:rPr>
        <w:t xml:space="preserve">n individuals with a </w:t>
      </w:r>
      <w:r w:rsidR="002D2347" w:rsidRPr="00F14E6C">
        <w:rPr>
          <w:rFonts w:ascii="Calibri" w:eastAsia="MS Mincho" w:hAnsi="Calibri" w:cs="AdvTimes"/>
        </w:rPr>
        <w:t xml:space="preserve">further fracture following a sentinel hip fracture, </w:t>
      </w:r>
      <w:bookmarkStart w:id="18" w:name="_Hlk485120220"/>
      <w:r w:rsidR="00B16C17" w:rsidRPr="00F14E6C">
        <w:rPr>
          <w:rFonts w:ascii="Calibri" w:eastAsia="MS Mincho" w:hAnsi="Calibri" w:cs="AdvTimes"/>
        </w:rPr>
        <w:t>45 %</w:t>
      </w:r>
      <w:r w:rsidR="002D2347" w:rsidRPr="00F14E6C">
        <w:rPr>
          <w:rFonts w:ascii="Calibri" w:eastAsia="MS Mincho" w:hAnsi="Calibri" w:cs="AdvTimes"/>
        </w:rPr>
        <w:t xml:space="preserve"> sustained </w:t>
      </w:r>
      <w:r w:rsidR="005127D7" w:rsidRPr="00F14E6C">
        <w:rPr>
          <w:rFonts w:ascii="Calibri" w:eastAsia="MS Mincho" w:hAnsi="Calibri" w:cs="AdvTimes"/>
        </w:rPr>
        <w:t>the</w:t>
      </w:r>
      <w:r w:rsidR="00B16C17" w:rsidRPr="00F14E6C">
        <w:rPr>
          <w:rFonts w:ascii="Calibri" w:eastAsia="MS Mincho" w:hAnsi="Calibri" w:cs="AdvTimes"/>
        </w:rPr>
        <w:t xml:space="preserve"> </w:t>
      </w:r>
      <w:r w:rsidR="00164ADE" w:rsidRPr="00F14E6C">
        <w:rPr>
          <w:rFonts w:ascii="Calibri" w:eastAsia="MS Mincho" w:hAnsi="Calibri" w:cs="AdvTimes"/>
        </w:rPr>
        <w:t xml:space="preserve">first </w:t>
      </w:r>
      <w:r w:rsidR="00B16C17" w:rsidRPr="00F14E6C">
        <w:rPr>
          <w:rFonts w:ascii="Calibri" w:eastAsia="MS Mincho" w:hAnsi="Calibri" w:cs="AdvTimes"/>
        </w:rPr>
        <w:t xml:space="preserve">further fracture </w:t>
      </w:r>
      <w:r w:rsidR="002D2347" w:rsidRPr="00F14E6C">
        <w:rPr>
          <w:rFonts w:ascii="Calibri" w:eastAsia="MS Mincho" w:hAnsi="Calibri" w:cs="AdvTimes"/>
        </w:rPr>
        <w:t xml:space="preserve">within one year </w:t>
      </w:r>
      <w:r w:rsidR="00B16C17" w:rsidRPr="00F14E6C">
        <w:rPr>
          <w:rFonts w:ascii="Calibri" w:eastAsia="MS Mincho" w:hAnsi="Calibri" w:cs="AdvTimes"/>
        </w:rPr>
        <w:t>of</w:t>
      </w:r>
      <w:r w:rsidR="002D2347" w:rsidRPr="00F14E6C">
        <w:rPr>
          <w:rFonts w:ascii="Calibri" w:eastAsia="MS Mincho" w:hAnsi="Calibri" w:cs="AdvTimes"/>
        </w:rPr>
        <w:t xml:space="preserve"> the sentinel fracture</w:t>
      </w:r>
      <w:r w:rsidR="00B16C17" w:rsidRPr="00F14E6C">
        <w:rPr>
          <w:rFonts w:ascii="Calibri" w:eastAsia="MS Mincho" w:hAnsi="Calibri" w:cs="AdvTimes"/>
        </w:rPr>
        <w:t>.  For spine, forearm and humeral fractures, the proportion was 42, 31 and 41 %, respectively.</w:t>
      </w:r>
      <w:bookmarkEnd w:id="18"/>
      <w:r w:rsidR="00B16C17" w:rsidRPr="00F14E6C">
        <w:rPr>
          <w:rFonts w:ascii="Calibri" w:eastAsia="MS Mincho" w:hAnsi="Calibri" w:cs="AdvTimes"/>
        </w:rPr>
        <w:t xml:space="preserve">  In contrast, recurrence rates were less than 5 %</w:t>
      </w:r>
      <w:r w:rsidR="00A3255F" w:rsidRPr="00F14E6C">
        <w:rPr>
          <w:rFonts w:ascii="Calibri" w:eastAsia="MS Mincho" w:hAnsi="Calibri" w:cs="AdvTimes"/>
        </w:rPr>
        <w:t xml:space="preserve"> between year 9 and 10.</w:t>
      </w:r>
      <w:r w:rsidR="00B16C17" w:rsidRPr="00F14E6C">
        <w:rPr>
          <w:rFonts w:ascii="Calibri" w:eastAsia="MS Mincho" w:hAnsi="Calibri" w:cs="AdvTimes"/>
        </w:rPr>
        <w:t xml:space="preserve"> </w:t>
      </w:r>
    </w:p>
    <w:p w14:paraId="274DE38F" w14:textId="4D700AC3" w:rsidR="00B16C17" w:rsidRPr="00F14E6C" w:rsidRDefault="00B16C17" w:rsidP="00257D2B">
      <w:pPr>
        <w:jc w:val="center"/>
        <w:rPr>
          <w:rFonts w:ascii="Calibri" w:eastAsia="MS Mincho" w:hAnsi="Calibri" w:cs="AdvTimes"/>
        </w:rPr>
      </w:pPr>
      <w:r w:rsidRPr="00F14E6C">
        <w:rPr>
          <w:rFonts w:ascii="Calibri" w:eastAsia="MS Mincho" w:hAnsi="Calibri" w:cs="AdvTimes"/>
          <w:noProof/>
          <w:lang w:eastAsia="en-GB"/>
        </w:rPr>
        <w:drawing>
          <wp:inline distT="0" distB="0" distL="0" distR="0" wp14:anchorId="589F3F98" wp14:editId="476248D0">
            <wp:extent cx="3268980" cy="2857059"/>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167" t="12223" r="18322" b="4444"/>
                    <a:stretch/>
                  </pic:blipFill>
                  <pic:spPr bwMode="auto">
                    <a:xfrm>
                      <a:off x="0" y="0"/>
                      <a:ext cx="3269768" cy="2857748"/>
                    </a:xfrm>
                    <a:prstGeom prst="rect">
                      <a:avLst/>
                    </a:prstGeom>
                    <a:ln>
                      <a:noFill/>
                    </a:ln>
                    <a:extLst>
                      <a:ext uri="{53640926-AAD7-44D8-BBD7-CCE9431645EC}">
                        <a14:shadowObscured xmlns:a14="http://schemas.microsoft.com/office/drawing/2010/main"/>
                      </a:ext>
                    </a:extLst>
                  </pic:spPr>
                </pic:pic>
              </a:graphicData>
            </a:graphic>
          </wp:inline>
        </w:drawing>
      </w:r>
    </w:p>
    <w:p w14:paraId="628F0BD0" w14:textId="49FEF187" w:rsidR="00B16C17" w:rsidRPr="00F14E6C" w:rsidRDefault="00B16C17" w:rsidP="00D273D2">
      <w:pPr>
        <w:ind w:left="1843" w:right="1796"/>
        <w:rPr>
          <w:rFonts w:ascii="Calibri" w:eastAsia="MS Mincho" w:hAnsi="Calibri" w:cs="AdvTimes"/>
        </w:rPr>
      </w:pPr>
      <w:r w:rsidRPr="00F14E6C">
        <w:rPr>
          <w:rFonts w:ascii="Calibri" w:eastAsia="MS Mincho" w:hAnsi="Calibri" w:cs="AdvTimes"/>
          <w:b/>
        </w:rPr>
        <w:t xml:space="preserve">Figure </w:t>
      </w:r>
      <w:r w:rsidR="00942CC7" w:rsidRPr="00F14E6C">
        <w:rPr>
          <w:rFonts w:ascii="Calibri" w:eastAsia="MS Mincho" w:hAnsi="Calibri" w:cs="AdvTimes"/>
          <w:b/>
        </w:rPr>
        <w:t>1</w:t>
      </w:r>
      <w:r w:rsidRPr="00F14E6C">
        <w:rPr>
          <w:rFonts w:ascii="Calibri" w:eastAsia="MS Mincho" w:hAnsi="Calibri" w:cs="AdvTimes"/>
          <w:b/>
        </w:rPr>
        <w:t>.</w:t>
      </w:r>
      <w:r w:rsidRPr="00F14E6C">
        <w:rPr>
          <w:rFonts w:ascii="Calibri" w:eastAsia="MS Mincho" w:hAnsi="Calibri" w:cs="AdvTimes"/>
        </w:rPr>
        <w:t xml:space="preserve">  Time course of recurrent fractures in men and women</w:t>
      </w:r>
      <w:r w:rsidR="00ED0999" w:rsidRPr="00F14E6C">
        <w:rPr>
          <w:rFonts w:ascii="Calibri" w:eastAsia="MS Mincho" w:hAnsi="Calibri" w:cs="AdvTimes"/>
        </w:rPr>
        <w:t xml:space="preserve"> following individual sentinel fractures</w:t>
      </w:r>
      <w:r w:rsidR="00164ADE" w:rsidRPr="00F14E6C">
        <w:rPr>
          <w:rFonts w:ascii="Calibri" w:eastAsia="MS Mincho" w:hAnsi="Calibri" w:cs="AdvTimes"/>
        </w:rPr>
        <w:t>, expressed as a percent</w:t>
      </w:r>
      <w:r w:rsidR="009D33BC" w:rsidRPr="00F14E6C">
        <w:rPr>
          <w:rFonts w:ascii="Calibri" w:eastAsia="MS Mincho" w:hAnsi="Calibri" w:cs="AdvTimes"/>
        </w:rPr>
        <w:t>age</w:t>
      </w:r>
      <w:r w:rsidR="00164ADE" w:rsidRPr="00F14E6C">
        <w:rPr>
          <w:rFonts w:ascii="Calibri" w:eastAsia="MS Mincho" w:hAnsi="Calibri" w:cs="AdvTimes"/>
        </w:rPr>
        <w:t xml:space="preserve"> of all </w:t>
      </w:r>
      <w:r w:rsidR="00E51F05" w:rsidRPr="00F14E6C">
        <w:rPr>
          <w:rFonts w:ascii="Calibri" w:eastAsia="MS Mincho" w:hAnsi="Calibri" w:cs="AdvTimes"/>
        </w:rPr>
        <w:t xml:space="preserve">those experiencing </w:t>
      </w:r>
      <w:r w:rsidR="00164ADE" w:rsidRPr="00F14E6C">
        <w:rPr>
          <w:rFonts w:ascii="Calibri" w:eastAsia="MS Mincho" w:hAnsi="Calibri" w:cs="AdvTimes"/>
        </w:rPr>
        <w:t>recurrent fractures</w:t>
      </w:r>
      <w:r w:rsidR="00ED0999" w:rsidRPr="00F14E6C">
        <w:rPr>
          <w:rFonts w:ascii="Calibri" w:eastAsia="MS Mincho" w:hAnsi="Calibri" w:cs="AdvTimes"/>
        </w:rPr>
        <w:t>.</w:t>
      </w:r>
    </w:p>
    <w:p w14:paraId="021F1182" w14:textId="7572ABE6" w:rsidR="00A76DFA" w:rsidRPr="00F14E6C" w:rsidRDefault="00F95D0E" w:rsidP="00066A17">
      <w:pPr>
        <w:rPr>
          <w:rFonts w:ascii="Calibri" w:eastAsia="MS Mincho" w:hAnsi="Calibri" w:cs="AdvTimes"/>
        </w:rPr>
      </w:pPr>
      <w:r w:rsidRPr="00F14E6C">
        <w:rPr>
          <w:rFonts w:ascii="Calibri" w:eastAsia="MS Mincho" w:hAnsi="Calibri" w:cs="AdvTimes"/>
        </w:rPr>
        <w:lastRenderedPageBreak/>
        <w:t xml:space="preserve">For all sentinel factures, the risk of a subsequent fracture compared with </w:t>
      </w:r>
      <w:r w:rsidR="00345B2E" w:rsidRPr="00F14E6C">
        <w:rPr>
          <w:rFonts w:ascii="Calibri" w:eastAsia="MS Mincho" w:hAnsi="Calibri" w:cs="AdvTimes"/>
        </w:rPr>
        <w:t>the whole cohort</w:t>
      </w:r>
      <w:r w:rsidRPr="00F14E6C">
        <w:rPr>
          <w:rFonts w:ascii="Calibri" w:eastAsia="MS Mincho" w:hAnsi="Calibri" w:cs="AdvTimes"/>
        </w:rPr>
        <w:t xml:space="preserve"> was highest </w:t>
      </w:r>
      <w:r w:rsidR="008A6053" w:rsidRPr="00F14E6C">
        <w:rPr>
          <w:rFonts w:ascii="Calibri" w:eastAsia="MS Mincho" w:hAnsi="Calibri" w:cs="AdvTimes"/>
        </w:rPr>
        <w:t>immediately after</w:t>
      </w:r>
      <w:r w:rsidRPr="00F14E6C">
        <w:rPr>
          <w:rFonts w:ascii="Calibri" w:eastAsia="MS Mincho" w:hAnsi="Calibri" w:cs="AdvTimes"/>
        </w:rPr>
        <w:t xml:space="preserve"> the sentinel fracture and decreased with time</w:t>
      </w:r>
      <w:r w:rsidR="00A876DF" w:rsidRPr="00F14E6C">
        <w:rPr>
          <w:rFonts w:ascii="Calibri" w:eastAsia="MS Mincho" w:hAnsi="Calibri" w:cs="AdvTimes"/>
        </w:rPr>
        <w:t xml:space="preserve">.  An example for women at the age of 70 years is shown in </w:t>
      </w:r>
      <w:r w:rsidR="00942CC7" w:rsidRPr="00F14E6C">
        <w:rPr>
          <w:rFonts w:ascii="Calibri" w:eastAsia="MS Mincho" w:hAnsi="Calibri" w:cs="AdvTimes"/>
        </w:rPr>
        <w:t>Figure 2</w:t>
      </w:r>
      <w:r w:rsidR="00A76DFA" w:rsidRPr="00F14E6C">
        <w:rPr>
          <w:rFonts w:ascii="Calibri" w:eastAsia="MS Mincho" w:hAnsi="Calibri" w:cs="AdvTimes"/>
        </w:rPr>
        <w:t xml:space="preserve">. </w:t>
      </w:r>
      <w:r w:rsidR="00235E23" w:rsidRPr="00F14E6C">
        <w:rPr>
          <w:rFonts w:ascii="Calibri" w:eastAsia="MS Mincho" w:hAnsi="Calibri" w:cs="AdvTimes"/>
        </w:rPr>
        <w:t xml:space="preserve">Hazard ratios (i.e. population relative risks) immediately after fracture were highest for spine fractures </w:t>
      </w:r>
      <w:bookmarkStart w:id="19" w:name="_Hlk485617723"/>
      <w:r w:rsidR="00235E23" w:rsidRPr="00F14E6C">
        <w:rPr>
          <w:rFonts w:ascii="Calibri" w:eastAsia="MS Mincho" w:hAnsi="Calibri" w:cs="AdvTimes"/>
        </w:rPr>
        <w:t>(</w:t>
      </w:r>
      <w:bookmarkStart w:id="20" w:name="_Hlk485617671"/>
      <w:r w:rsidR="00235E23" w:rsidRPr="00F14E6C">
        <w:rPr>
          <w:rFonts w:ascii="Calibri" w:eastAsia="MS Mincho" w:hAnsi="Calibri" w:cs="AdvTimes"/>
        </w:rPr>
        <w:t>HR=6.6 (95% CI: 5.1-8.6))</w:t>
      </w:r>
      <w:bookmarkEnd w:id="19"/>
      <w:bookmarkEnd w:id="20"/>
      <w:r w:rsidR="00235E23" w:rsidRPr="00F14E6C">
        <w:rPr>
          <w:rFonts w:ascii="Calibri" w:eastAsia="MS Mincho" w:hAnsi="Calibri" w:cs="AdvTimes"/>
        </w:rPr>
        <w:t>, followed by fractures at the humerus (HR=5.6 (95% CI: 4.1-7.5), hip (HR=4.6 (95% CI: 3.5-6.0) and forearm (HR=3.5 (95% CI: 2.7-4.5)</w:t>
      </w:r>
      <w:r w:rsidR="00DF5FD7" w:rsidRPr="00F14E6C">
        <w:rPr>
          <w:rFonts w:ascii="Calibri" w:eastAsia="MS Mincho" w:hAnsi="Calibri" w:cs="AdvTimes"/>
        </w:rPr>
        <w:t>.  Hazard ratios fell progressively with time and at 10 years were 1.5 for forearm fractures and 2.2 for the other sentinel fracture sites.</w:t>
      </w:r>
    </w:p>
    <w:p w14:paraId="6ADF9EAC" w14:textId="10DF0773" w:rsidR="003C7E64" w:rsidRPr="00F14E6C" w:rsidRDefault="003C7E64" w:rsidP="003C7E64">
      <w:pPr>
        <w:jc w:val="center"/>
        <w:rPr>
          <w:rFonts w:ascii="Calibri" w:eastAsia="MS Mincho" w:hAnsi="Calibri" w:cs="AdvTimes"/>
        </w:rPr>
      </w:pPr>
    </w:p>
    <w:p w14:paraId="69E356EC" w14:textId="6DF332A0" w:rsidR="009F1223" w:rsidRPr="00F14E6C" w:rsidRDefault="00557ED0" w:rsidP="00942CC7">
      <w:pPr>
        <w:ind w:left="1701" w:right="1655"/>
        <w:rPr>
          <w:rFonts w:ascii="Calibri" w:eastAsia="MS Mincho" w:hAnsi="Calibri" w:cs="AdvTimes"/>
          <w:b/>
        </w:rPr>
      </w:pPr>
      <w:r w:rsidRPr="00F14E6C">
        <w:rPr>
          <w:rFonts w:ascii="Calibri" w:eastAsia="MS Mincho" w:hAnsi="Calibri" w:cs="AdvTimes"/>
          <w:b/>
          <w:noProof/>
          <w:lang w:eastAsia="en-GB"/>
        </w:rPr>
        <w:drawing>
          <wp:inline distT="0" distB="0" distL="0" distR="0" wp14:anchorId="25EA1FAF" wp14:editId="1AECA3B5">
            <wp:extent cx="4000500" cy="3177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668" r="12500" b="2666"/>
                    <a:stretch/>
                  </pic:blipFill>
                  <pic:spPr bwMode="auto">
                    <a:xfrm>
                      <a:off x="0" y="0"/>
                      <a:ext cx="4000847" cy="3177815"/>
                    </a:xfrm>
                    <a:prstGeom prst="rect">
                      <a:avLst/>
                    </a:prstGeom>
                    <a:ln>
                      <a:noFill/>
                    </a:ln>
                    <a:extLst>
                      <a:ext uri="{53640926-AAD7-44D8-BBD7-CCE9431645EC}">
                        <a14:shadowObscured xmlns:a14="http://schemas.microsoft.com/office/drawing/2010/main"/>
                      </a:ext>
                    </a:extLst>
                  </pic:spPr>
                </pic:pic>
              </a:graphicData>
            </a:graphic>
          </wp:inline>
        </w:drawing>
      </w:r>
    </w:p>
    <w:p w14:paraId="15C40EE6" w14:textId="5A5D30ED" w:rsidR="00A76DFA" w:rsidRPr="00F14E6C" w:rsidRDefault="00A76DFA" w:rsidP="00942CC7">
      <w:pPr>
        <w:ind w:left="1701" w:right="1655"/>
        <w:rPr>
          <w:rFonts w:ascii="Calibri" w:eastAsia="MS Mincho" w:hAnsi="Calibri" w:cs="AdvTimes"/>
        </w:rPr>
      </w:pPr>
      <w:r w:rsidRPr="00F14E6C">
        <w:rPr>
          <w:rFonts w:ascii="Calibri" w:eastAsia="MS Mincho" w:hAnsi="Calibri" w:cs="AdvTimes"/>
          <w:b/>
        </w:rPr>
        <w:t xml:space="preserve">Figure </w:t>
      </w:r>
      <w:r w:rsidR="00942CC7" w:rsidRPr="00F14E6C">
        <w:rPr>
          <w:rFonts w:ascii="Calibri" w:eastAsia="MS Mincho" w:hAnsi="Calibri" w:cs="AdvTimes"/>
          <w:b/>
        </w:rPr>
        <w:t>2</w:t>
      </w:r>
      <w:r w:rsidRPr="00F14E6C">
        <w:rPr>
          <w:rFonts w:ascii="Calibri" w:eastAsia="MS Mincho" w:hAnsi="Calibri" w:cs="AdvTimes"/>
        </w:rPr>
        <w:t xml:space="preserve">.  Hazard ratio </w:t>
      </w:r>
      <w:r w:rsidR="00345B2E" w:rsidRPr="00F14E6C">
        <w:rPr>
          <w:rFonts w:ascii="Calibri" w:eastAsia="MS Mincho" w:hAnsi="Calibri" w:cs="AdvTimes"/>
        </w:rPr>
        <w:t xml:space="preserve">(sentinel fracture compared with the whole </w:t>
      </w:r>
      <w:r w:rsidR="006E36E8" w:rsidRPr="00F14E6C">
        <w:rPr>
          <w:rFonts w:ascii="Calibri" w:eastAsia="MS Mincho" w:hAnsi="Calibri" w:cs="AdvTimes"/>
        </w:rPr>
        <w:t>cohort</w:t>
      </w:r>
      <w:r w:rsidR="00345B2E" w:rsidRPr="00F14E6C">
        <w:rPr>
          <w:rFonts w:ascii="Calibri" w:eastAsia="MS Mincho" w:hAnsi="Calibri" w:cs="AdvTimes"/>
        </w:rPr>
        <w:t xml:space="preserve">) </w:t>
      </w:r>
      <w:r w:rsidRPr="00F14E6C">
        <w:rPr>
          <w:rFonts w:ascii="Calibri" w:eastAsia="MS Mincho" w:hAnsi="Calibri" w:cs="AdvTimes"/>
        </w:rPr>
        <w:t>of osteoporotic fracture in women</w:t>
      </w:r>
      <w:r w:rsidR="00A876DF" w:rsidRPr="00F14E6C">
        <w:rPr>
          <w:rFonts w:ascii="Calibri" w:eastAsia="MS Mincho" w:hAnsi="Calibri" w:cs="AdvTimes"/>
        </w:rPr>
        <w:t xml:space="preserve"> at the age of 70 years</w:t>
      </w:r>
      <w:r w:rsidRPr="00F14E6C">
        <w:rPr>
          <w:rFonts w:ascii="Calibri" w:eastAsia="MS Mincho" w:hAnsi="Calibri" w:cs="AdvTimes"/>
        </w:rPr>
        <w:t xml:space="preserve"> by time according to the site of sentinel fracture</w:t>
      </w:r>
    </w:p>
    <w:p w14:paraId="19417111" w14:textId="77777777" w:rsidR="00A76DFA" w:rsidRPr="00F14E6C" w:rsidRDefault="00A76DFA" w:rsidP="00123E0D">
      <w:pPr>
        <w:rPr>
          <w:rFonts w:ascii="Calibri" w:eastAsia="MS Mincho" w:hAnsi="Calibri" w:cs="AdvTimes"/>
        </w:rPr>
      </w:pPr>
    </w:p>
    <w:p w14:paraId="68B7D937" w14:textId="77777777" w:rsidR="00A76DFA" w:rsidRPr="00F14E6C" w:rsidRDefault="00A76DFA" w:rsidP="00123E0D">
      <w:pPr>
        <w:rPr>
          <w:rFonts w:ascii="Calibri" w:eastAsia="MS Mincho" w:hAnsi="Calibri" w:cs="AdvTimes"/>
        </w:rPr>
      </w:pPr>
    </w:p>
    <w:p w14:paraId="6EC78DFD" w14:textId="19B57AF8" w:rsidR="003C7B36" w:rsidRPr="00F14E6C" w:rsidRDefault="00123FA0" w:rsidP="00123E0D">
      <w:pPr>
        <w:rPr>
          <w:rFonts w:ascii="Calibri" w:eastAsia="MS Mincho" w:hAnsi="Calibri" w:cs="AdvTimes"/>
        </w:rPr>
      </w:pPr>
      <w:r w:rsidRPr="00F14E6C">
        <w:rPr>
          <w:rFonts w:ascii="Calibri" w:eastAsia="MS Mincho" w:hAnsi="Calibri" w:cs="AdvTimes"/>
        </w:rPr>
        <w:lastRenderedPageBreak/>
        <w:t>For all sentinel fractures, hazard ratios were</w:t>
      </w:r>
      <w:r w:rsidR="00A876DF" w:rsidRPr="00F14E6C">
        <w:rPr>
          <w:rFonts w:ascii="Calibri" w:eastAsia="MS Mincho" w:hAnsi="Calibri" w:cs="AdvTimes"/>
        </w:rPr>
        <w:t xml:space="preserve"> generally</w:t>
      </w:r>
      <w:r w:rsidRPr="00F14E6C">
        <w:rPr>
          <w:rFonts w:ascii="Calibri" w:eastAsia="MS Mincho" w:hAnsi="Calibri" w:cs="AdvTimes"/>
        </w:rPr>
        <w:t xml:space="preserve"> lower at advanced age</w:t>
      </w:r>
      <w:r w:rsidR="00A876DF" w:rsidRPr="00F14E6C">
        <w:rPr>
          <w:rFonts w:ascii="Calibri" w:eastAsia="MS Mincho" w:hAnsi="Calibri" w:cs="AdvTimes"/>
        </w:rPr>
        <w:t xml:space="preserve"> though there was no statistical interaction with age</w:t>
      </w:r>
      <w:r w:rsidRPr="00F14E6C">
        <w:rPr>
          <w:rFonts w:ascii="Calibri" w:eastAsia="MS Mincho" w:hAnsi="Calibri" w:cs="AdvTimes"/>
        </w:rPr>
        <w:t xml:space="preserve">. </w:t>
      </w:r>
      <w:r w:rsidR="00A76DFA" w:rsidRPr="00F14E6C">
        <w:rPr>
          <w:rFonts w:ascii="Calibri" w:eastAsia="MS Mincho" w:hAnsi="Calibri" w:cs="AdvTimes"/>
        </w:rPr>
        <w:t xml:space="preserve">Hazard ratios for </w:t>
      </w:r>
      <w:r w:rsidR="00CB0D4F" w:rsidRPr="00F14E6C">
        <w:rPr>
          <w:rFonts w:ascii="Calibri" w:eastAsia="MS Mincho" w:hAnsi="Calibri" w:cs="AdvTimes"/>
        </w:rPr>
        <w:t xml:space="preserve">men and </w:t>
      </w:r>
      <w:r w:rsidR="00A76DFA" w:rsidRPr="00F14E6C">
        <w:rPr>
          <w:rFonts w:ascii="Calibri" w:eastAsia="MS Mincho" w:hAnsi="Calibri" w:cs="AdvTimes"/>
        </w:rPr>
        <w:t>women are shown by tim</w:t>
      </w:r>
      <w:r w:rsidRPr="00F14E6C">
        <w:rPr>
          <w:rFonts w:ascii="Calibri" w:eastAsia="MS Mincho" w:hAnsi="Calibri" w:cs="AdvTimes"/>
        </w:rPr>
        <w:t xml:space="preserve">e and age </w:t>
      </w:r>
      <w:r w:rsidR="00A76DFA" w:rsidRPr="00F14E6C">
        <w:rPr>
          <w:rFonts w:ascii="Calibri" w:eastAsia="MS Mincho" w:hAnsi="Calibri" w:cs="AdvTimes"/>
        </w:rPr>
        <w:t xml:space="preserve">in </w:t>
      </w:r>
      <w:r w:rsidR="00F95D0E" w:rsidRPr="00F14E6C">
        <w:rPr>
          <w:rFonts w:ascii="Calibri" w:eastAsia="MS Mincho" w:hAnsi="Calibri" w:cs="AdvTimes"/>
        </w:rPr>
        <w:t xml:space="preserve">Table </w:t>
      </w:r>
      <w:r w:rsidR="00F9797B" w:rsidRPr="00F14E6C">
        <w:rPr>
          <w:rFonts w:ascii="Calibri" w:eastAsia="MS Mincho" w:hAnsi="Calibri" w:cs="AdvTimes"/>
        </w:rPr>
        <w:t>1</w:t>
      </w:r>
      <w:r w:rsidR="00F95D0E" w:rsidRPr="00F14E6C">
        <w:rPr>
          <w:rFonts w:ascii="Calibri" w:eastAsia="MS Mincho" w:hAnsi="Calibri" w:cs="AdvTimes"/>
        </w:rPr>
        <w:t xml:space="preserve">. </w:t>
      </w:r>
    </w:p>
    <w:p w14:paraId="76C97FD8" w14:textId="4D041452" w:rsidR="00627885" w:rsidRPr="00F14E6C" w:rsidRDefault="00257D2B" w:rsidP="00123E0D">
      <w:pPr>
        <w:rPr>
          <w:rFonts w:ascii="Calibri" w:eastAsia="MS Mincho" w:hAnsi="Calibri" w:cs="AdvTimes"/>
        </w:rPr>
      </w:pPr>
      <w:r w:rsidRPr="00F14E6C">
        <w:rPr>
          <w:rFonts w:ascii="Calibri" w:eastAsia="MS Mincho" w:hAnsi="Calibri" w:cs="AdvTimes"/>
          <w:b/>
        </w:rPr>
        <w:t xml:space="preserve">Table </w:t>
      </w:r>
      <w:r w:rsidR="00F9797B" w:rsidRPr="00F14E6C">
        <w:rPr>
          <w:rFonts w:ascii="Calibri" w:eastAsia="MS Mincho" w:hAnsi="Calibri" w:cs="AdvTimes"/>
          <w:b/>
        </w:rPr>
        <w:t>1</w:t>
      </w:r>
      <w:r w:rsidRPr="00F14E6C">
        <w:rPr>
          <w:rFonts w:ascii="Calibri" w:eastAsia="MS Mincho" w:hAnsi="Calibri" w:cs="AdvTimes"/>
        </w:rPr>
        <w:t xml:space="preserve">.  Hazard ratio (HR) for women of an osteoporotic fracture and 95% confidence intervals (95% CI) following a sentinel fracture at the sites shown by age and time compared to the age-matched female </w:t>
      </w:r>
      <w:r w:rsidR="003B2419" w:rsidRPr="00F14E6C">
        <w:rPr>
          <w:rFonts w:ascii="Calibri" w:eastAsia="MS Mincho" w:hAnsi="Calibri" w:cs="AdvTimes"/>
        </w:rPr>
        <w:t>whole cohort</w:t>
      </w:r>
      <w:r w:rsidRPr="00F14E6C">
        <w:rPr>
          <w:rFonts w:ascii="Calibri" w:eastAsia="MS Mincho" w:hAnsi="Calibri" w:cs="AdvTimes"/>
        </w:rP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217"/>
        <w:gridCol w:w="875"/>
        <w:gridCol w:w="1116"/>
        <w:gridCol w:w="995"/>
        <w:gridCol w:w="996"/>
        <w:gridCol w:w="995"/>
        <w:gridCol w:w="996"/>
      </w:tblGrid>
      <w:tr w:rsidR="00CB0D4F" w:rsidRPr="00F14E6C" w14:paraId="7DEDF2C1" w14:textId="77777777" w:rsidTr="00B075A0">
        <w:tc>
          <w:tcPr>
            <w:tcW w:w="0" w:type="auto"/>
            <w:tcBorders>
              <w:top w:val="single" w:sz="4" w:space="0" w:color="auto"/>
              <w:bottom w:val="nil"/>
            </w:tcBorders>
          </w:tcPr>
          <w:p w14:paraId="2C44BDEE" w14:textId="77777777" w:rsidR="00CB0D4F" w:rsidRPr="00F14E6C" w:rsidRDefault="00CB0D4F" w:rsidP="00CB0D4F">
            <w:pPr>
              <w:rPr>
                <w:rFonts w:ascii="Calibri" w:eastAsia="MS Mincho" w:hAnsi="Calibri" w:cs="AdvTimes"/>
              </w:rPr>
            </w:pPr>
          </w:p>
        </w:tc>
        <w:tc>
          <w:tcPr>
            <w:tcW w:w="0" w:type="auto"/>
            <w:tcBorders>
              <w:top w:val="single" w:sz="4" w:space="0" w:color="auto"/>
              <w:bottom w:val="nil"/>
            </w:tcBorders>
          </w:tcPr>
          <w:p w14:paraId="64371505" w14:textId="77777777" w:rsidR="00CB0D4F" w:rsidRPr="00F14E6C" w:rsidRDefault="00CB0D4F" w:rsidP="000C48FF">
            <w:pPr>
              <w:jc w:val="center"/>
              <w:rPr>
                <w:rFonts w:ascii="Calibri" w:eastAsia="MS Mincho" w:hAnsi="Calibri" w:cs="AdvTimes"/>
              </w:rPr>
            </w:pPr>
          </w:p>
        </w:tc>
        <w:tc>
          <w:tcPr>
            <w:tcW w:w="5973" w:type="dxa"/>
            <w:gridSpan w:val="6"/>
            <w:tcBorders>
              <w:top w:val="single" w:sz="4" w:space="0" w:color="auto"/>
              <w:bottom w:val="nil"/>
            </w:tcBorders>
          </w:tcPr>
          <w:p w14:paraId="302E5E8C" w14:textId="77777777" w:rsidR="00CB0D4F" w:rsidRPr="00F14E6C" w:rsidRDefault="00CB0D4F" w:rsidP="00CB0D4F">
            <w:pPr>
              <w:rPr>
                <w:rFonts w:ascii="Calibri" w:eastAsia="MS Mincho" w:hAnsi="Calibri" w:cs="AdvTimes"/>
              </w:rPr>
            </w:pPr>
            <w:r w:rsidRPr="00F14E6C">
              <w:rPr>
                <w:rFonts w:ascii="Calibri" w:eastAsia="MS Mincho" w:hAnsi="Calibri" w:cs="AdvTimes"/>
              </w:rPr>
              <w:t>Time (years) since fracture</w:t>
            </w:r>
          </w:p>
        </w:tc>
      </w:tr>
      <w:tr w:rsidR="00CB0D4F" w:rsidRPr="00F14E6C" w14:paraId="4029635B" w14:textId="77777777" w:rsidTr="00B075A0">
        <w:tc>
          <w:tcPr>
            <w:tcW w:w="0" w:type="auto"/>
            <w:tcBorders>
              <w:top w:val="nil"/>
            </w:tcBorders>
          </w:tcPr>
          <w:p w14:paraId="2C86C469" w14:textId="77777777" w:rsidR="00CB0D4F" w:rsidRPr="00F14E6C" w:rsidRDefault="00CB0D4F" w:rsidP="00CB0D4F">
            <w:pPr>
              <w:rPr>
                <w:rFonts w:ascii="Calibri" w:eastAsia="MS Mincho" w:hAnsi="Calibri" w:cs="AdvTimes"/>
              </w:rPr>
            </w:pPr>
          </w:p>
        </w:tc>
        <w:tc>
          <w:tcPr>
            <w:tcW w:w="0" w:type="auto"/>
            <w:tcBorders>
              <w:top w:val="nil"/>
            </w:tcBorders>
          </w:tcPr>
          <w:p w14:paraId="4929B202" w14:textId="6A988799" w:rsidR="00CB0D4F" w:rsidRPr="00F14E6C" w:rsidRDefault="000C48FF" w:rsidP="000C48FF">
            <w:pPr>
              <w:jc w:val="center"/>
              <w:rPr>
                <w:rFonts w:ascii="Calibri" w:eastAsia="MS Mincho" w:hAnsi="Calibri" w:cs="AdvTimes"/>
              </w:rPr>
            </w:pPr>
            <w:r w:rsidRPr="00F14E6C">
              <w:rPr>
                <w:rFonts w:ascii="Calibri" w:eastAsia="MS Mincho" w:hAnsi="Calibri" w:cs="AdvTimes"/>
              </w:rPr>
              <w:t>Age (years)</w:t>
            </w:r>
          </w:p>
        </w:tc>
        <w:tc>
          <w:tcPr>
            <w:tcW w:w="1991" w:type="dxa"/>
            <w:gridSpan w:val="2"/>
            <w:tcBorders>
              <w:top w:val="nil"/>
              <w:bottom w:val="single" w:sz="4" w:space="0" w:color="auto"/>
            </w:tcBorders>
          </w:tcPr>
          <w:p w14:paraId="5F9EC39A" w14:textId="77777777" w:rsidR="00CB0D4F" w:rsidRPr="00F14E6C" w:rsidRDefault="00CB0D4F" w:rsidP="00CB0D4F">
            <w:pPr>
              <w:rPr>
                <w:rFonts w:ascii="Calibri" w:eastAsia="MS Mincho" w:hAnsi="Calibri" w:cs="AdvTimes"/>
              </w:rPr>
            </w:pPr>
            <w:r w:rsidRPr="00F14E6C">
              <w:rPr>
                <w:rFonts w:ascii="Calibri" w:eastAsia="MS Mincho" w:hAnsi="Calibri" w:cs="AdvTimes"/>
              </w:rPr>
              <w:t>0</w:t>
            </w:r>
          </w:p>
        </w:tc>
        <w:tc>
          <w:tcPr>
            <w:tcW w:w="1991" w:type="dxa"/>
            <w:gridSpan w:val="2"/>
            <w:tcBorders>
              <w:top w:val="nil"/>
              <w:bottom w:val="single" w:sz="4" w:space="0" w:color="auto"/>
            </w:tcBorders>
          </w:tcPr>
          <w:p w14:paraId="68C2D2B8" w14:textId="77777777" w:rsidR="00CB0D4F" w:rsidRPr="00F14E6C" w:rsidRDefault="00CB0D4F" w:rsidP="00CB0D4F">
            <w:pPr>
              <w:rPr>
                <w:rFonts w:ascii="Calibri" w:eastAsia="MS Mincho" w:hAnsi="Calibri" w:cs="AdvTimes"/>
              </w:rPr>
            </w:pPr>
            <w:r w:rsidRPr="00F14E6C">
              <w:rPr>
                <w:rFonts w:ascii="Calibri" w:eastAsia="MS Mincho" w:hAnsi="Calibri" w:cs="AdvTimes"/>
              </w:rPr>
              <w:t>5</w:t>
            </w:r>
          </w:p>
        </w:tc>
        <w:tc>
          <w:tcPr>
            <w:tcW w:w="1991" w:type="dxa"/>
            <w:gridSpan w:val="2"/>
            <w:tcBorders>
              <w:top w:val="nil"/>
              <w:bottom w:val="single" w:sz="4" w:space="0" w:color="auto"/>
            </w:tcBorders>
          </w:tcPr>
          <w:p w14:paraId="151ACCA4" w14:textId="77777777" w:rsidR="00CB0D4F" w:rsidRPr="00F14E6C" w:rsidRDefault="00CB0D4F" w:rsidP="00CB0D4F">
            <w:pPr>
              <w:rPr>
                <w:rFonts w:ascii="Calibri" w:eastAsia="MS Mincho" w:hAnsi="Calibri" w:cs="AdvTimes"/>
              </w:rPr>
            </w:pPr>
            <w:r w:rsidRPr="00F14E6C">
              <w:rPr>
                <w:rFonts w:ascii="Calibri" w:eastAsia="MS Mincho" w:hAnsi="Calibri" w:cs="AdvTimes"/>
              </w:rPr>
              <w:t>10</w:t>
            </w:r>
          </w:p>
        </w:tc>
      </w:tr>
      <w:tr w:rsidR="00CB0D4F" w:rsidRPr="00F14E6C" w14:paraId="73024857" w14:textId="77777777" w:rsidTr="00CB0D4F">
        <w:tc>
          <w:tcPr>
            <w:tcW w:w="0" w:type="auto"/>
            <w:tcBorders>
              <w:bottom w:val="single" w:sz="4" w:space="0" w:color="auto"/>
            </w:tcBorders>
          </w:tcPr>
          <w:p w14:paraId="0ED5613E" w14:textId="77777777" w:rsidR="00CB0D4F" w:rsidRPr="00F14E6C" w:rsidRDefault="00CB0D4F" w:rsidP="00CB0D4F">
            <w:pPr>
              <w:rPr>
                <w:rFonts w:ascii="Calibri" w:eastAsia="MS Mincho" w:hAnsi="Calibri" w:cs="AdvTimes"/>
              </w:rPr>
            </w:pPr>
            <w:r w:rsidRPr="00F14E6C">
              <w:rPr>
                <w:rFonts w:ascii="Calibri" w:eastAsia="MS Mincho" w:hAnsi="Calibri" w:cs="AdvTimes"/>
              </w:rPr>
              <w:t>Sentinel fracture</w:t>
            </w:r>
          </w:p>
        </w:tc>
        <w:tc>
          <w:tcPr>
            <w:tcW w:w="0" w:type="auto"/>
            <w:tcBorders>
              <w:bottom w:val="single" w:sz="4" w:space="0" w:color="auto"/>
            </w:tcBorders>
          </w:tcPr>
          <w:p w14:paraId="2B00506E" w14:textId="63938C72" w:rsidR="00CB0D4F" w:rsidRPr="00F14E6C" w:rsidRDefault="00CB0D4F" w:rsidP="000C48FF">
            <w:pPr>
              <w:jc w:val="center"/>
              <w:rPr>
                <w:rFonts w:ascii="Calibri" w:eastAsia="MS Mincho" w:hAnsi="Calibri" w:cs="AdvTimes"/>
              </w:rPr>
            </w:pPr>
            <w:r w:rsidRPr="00F14E6C">
              <w:rPr>
                <w:rFonts w:ascii="Calibri" w:eastAsia="MS Mincho" w:hAnsi="Calibri" w:cs="AdvTimes"/>
              </w:rPr>
              <w:t>at</w:t>
            </w:r>
          </w:p>
          <w:p w14:paraId="461A5BAF"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baseline</w:t>
            </w:r>
          </w:p>
        </w:tc>
        <w:tc>
          <w:tcPr>
            <w:tcW w:w="875" w:type="dxa"/>
            <w:tcBorders>
              <w:top w:val="single" w:sz="4" w:space="0" w:color="auto"/>
              <w:bottom w:val="single" w:sz="4" w:space="0" w:color="auto"/>
            </w:tcBorders>
          </w:tcPr>
          <w:p w14:paraId="7C3C2C9A" w14:textId="77777777" w:rsidR="00CB0D4F" w:rsidRPr="00F14E6C" w:rsidRDefault="00CB0D4F" w:rsidP="00CB0D4F">
            <w:pPr>
              <w:rPr>
                <w:rFonts w:ascii="Calibri" w:eastAsia="MS Mincho" w:hAnsi="Calibri" w:cs="AdvTimes"/>
              </w:rPr>
            </w:pPr>
            <w:r w:rsidRPr="00F14E6C">
              <w:rPr>
                <w:rFonts w:ascii="Calibri" w:eastAsia="MS Mincho" w:hAnsi="Calibri" w:cs="AdvTimes"/>
              </w:rPr>
              <w:t>HR</w:t>
            </w:r>
          </w:p>
        </w:tc>
        <w:tc>
          <w:tcPr>
            <w:tcW w:w="1116" w:type="dxa"/>
            <w:tcBorders>
              <w:top w:val="single" w:sz="4" w:space="0" w:color="auto"/>
              <w:bottom w:val="single" w:sz="4" w:space="0" w:color="auto"/>
            </w:tcBorders>
          </w:tcPr>
          <w:p w14:paraId="2B87FC98" w14:textId="77777777" w:rsidR="00CB0D4F" w:rsidRPr="00F14E6C" w:rsidRDefault="00CB0D4F" w:rsidP="00CB0D4F">
            <w:pPr>
              <w:rPr>
                <w:rFonts w:ascii="Calibri" w:eastAsia="MS Mincho" w:hAnsi="Calibri" w:cs="AdvTimes"/>
              </w:rPr>
            </w:pPr>
            <w:r w:rsidRPr="00F14E6C">
              <w:rPr>
                <w:rFonts w:ascii="Calibri" w:eastAsia="MS Mincho" w:hAnsi="Calibri" w:cs="AdvTimes"/>
              </w:rPr>
              <w:t>95% CI</w:t>
            </w:r>
          </w:p>
        </w:tc>
        <w:tc>
          <w:tcPr>
            <w:tcW w:w="995" w:type="dxa"/>
            <w:tcBorders>
              <w:top w:val="single" w:sz="4" w:space="0" w:color="auto"/>
              <w:bottom w:val="single" w:sz="4" w:space="0" w:color="auto"/>
            </w:tcBorders>
          </w:tcPr>
          <w:p w14:paraId="1AF21562" w14:textId="77777777" w:rsidR="00CB0D4F" w:rsidRPr="00F14E6C" w:rsidRDefault="00CB0D4F" w:rsidP="00CB0D4F">
            <w:pPr>
              <w:rPr>
                <w:rFonts w:ascii="Calibri" w:eastAsia="MS Mincho" w:hAnsi="Calibri" w:cs="AdvTimes"/>
              </w:rPr>
            </w:pPr>
            <w:r w:rsidRPr="00F14E6C">
              <w:rPr>
                <w:rFonts w:ascii="Calibri" w:eastAsia="MS Mincho" w:hAnsi="Calibri" w:cs="AdvTimes"/>
              </w:rPr>
              <w:t>HR</w:t>
            </w:r>
          </w:p>
        </w:tc>
        <w:tc>
          <w:tcPr>
            <w:tcW w:w="996" w:type="dxa"/>
            <w:tcBorders>
              <w:top w:val="single" w:sz="4" w:space="0" w:color="auto"/>
              <w:bottom w:val="single" w:sz="4" w:space="0" w:color="auto"/>
            </w:tcBorders>
          </w:tcPr>
          <w:p w14:paraId="542B12FD" w14:textId="77777777" w:rsidR="00CB0D4F" w:rsidRPr="00F14E6C" w:rsidRDefault="00CB0D4F" w:rsidP="00CB0D4F">
            <w:pPr>
              <w:rPr>
                <w:rFonts w:ascii="Calibri" w:eastAsia="MS Mincho" w:hAnsi="Calibri" w:cs="AdvTimes"/>
              </w:rPr>
            </w:pPr>
            <w:r w:rsidRPr="00F14E6C">
              <w:rPr>
                <w:rFonts w:ascii="Calibri" w:eastAsia="MS Mincho" w:hAnsi="Calibri" w:cs="AdvTimes"/>
              </w:rPr>
              <w:t>95% CI</w:t>
            </w:r>
          </w:p>
        </w:tc>
        <w:tc>
          <w:tcPr>
            <w:tcW w:w="995" w:type="dxa"/>
            <w:tcBorders>
              <w:top w:val="single" w:sz="4" w:space="0" w:color="auto"/>
              <w:bottom w:val="single" w:sz="4" w:space="0" w:color="auto"/>
            </w:tcBorders>
          </w:tcPr>
          <w:p w14:paraId="13844B34" w14:textId="77777777" w:rsidR="00CB0D4F" w:rsidRPr="00F14E6C" w:rsidRDefault="00CB0D4F" w:rsidP="00CB0D4F">
            <w:pPr>
              <w:rPr>
                <w:rFonts w:ascii="Calibri" w:eastAsia="MS Mincho" w:hAnsi="Calibri" w:cs="AdvTimes"/>
              </w:rPr>
            </w:pPr>
            <w:r w:rsidRPr="00F14E6C">
              <w:rPr>
                <w:rFonts w:ascii="Calibri" w:eastAsia="MS Mincho" w:hAnsi="Calibri" w:cs="AdvTimes"/>
              </w:rPr>
              <w:t>HR</w:t>
            </w:r>
          </w:p>
        </w:tc>
        <w:tc>
          <w:tcPr>
            <w:tcW w:w="996" w:type="dxa"/>
            <w:tcBorders>
              <w:top w:val="single" w:sz="4" w:space="0" w:color="auto"/>
              <w:bottom w:val="single" w:sz="4" w:space="0" w:color="auto"/>
            </w:tcBorders>
          </w:tcPr>
          <w:p w14:paraId="5545D4D1" w14:textId="77777777" w:rsidR="00CB0D4F" w:rsidRPr="00F14E6C" w:rsidRDefault="00CB0D4F" w:rsidP="00CB0D4F">
            <w:pPr>
              <w:rPr>
                <w:rFonts w:ascii="Calibri" w:eastAsia="MS Mincho" w:hAnsi="Calibri" w:cs="AdvTimes"/>
              </w:rPr>
            </w:pPr>
            <w:r w:rsidRPr="00F14E6C">
              <w:rPr>
                <w:rFonts w:ascii="Calibri" w:eastAsia="MS Mincho" w:hAnsi="Calibri" w:cs="AdvTimes"/>
              </w:rPr>
              <w:t>95% CI</w:t>
            </w:r>
          </w:p>
        </w:tc>
      </w:tr>
      <w:tr w:rsidR="00CB0D4F" w:rsidRPr="00F14E6C" w14:paraId="5815F22A" w14:textId="77777777" w:rsidTr="00CB0D4F">
        <w:tc>
          <w:tcPr>
            <w:tcW w:w="0" w:type="auto"/>
            <w:tcBorders>
              <w:top w:val="single" w:sz="4" w:space="0" w:color="auto"/>
              <w:bottom w:val="nil"/>
            </w:tcBorders>
          </w:tcPr>
          <w:p w14:paraId="399E1975" w14:textId="3C183B5F" w:rsidR="00CB0D4F" w:rsidRPr="00F14E6C" w:rsidRDefault="00CB0D4F" w:rsidP="00CB0D4F">
            <w:pPr>
              <w:rPr>
                <w:rFonts w:ascii="Calibri" w:eastAsia="MS Mincho" w:hAnsi="Calibri" w:cs="AdvTimes"/>
                <w:i/>
              </w:rPr>
            </w:pPr>
            <w:r w:rsidRPr="00F14E6C">
              <w:rPr>
                <w:rFonts w:ascii="Calibri" w:eastAsia="MS Mincho" w:hAnsi="Calibri" w:cs="AdvTimes"/>
                <w:i/>
              </w:rPr>
              <w:t>WOMEN</w:t>
            </w:r>
          </w:p>
        </w:tc>
        <w:tc>
          <w:tcPr>
            <w:tcW w:w="0" w:type="auto"/>
            <w:tcBorders>
              <w:top w:val="single" w:sz="4" w:space="0" w:color="auto"/>
              <w:bottom w:val="nil"/>
            </w:tcBorders>
          </w:tcPr>
          <w:p w14:paraId="01436E0E" w14:textId="77777777" w:rsidR="00CB0D4F" w:rsidRPr="00F14E6C" w:rsidRDefault="00CB0D4F" w:rsidP="000C48FF">
            <w:pPr>
              <w:jc w:val="center"/>
              <w:rPr>
                <w:rFonts w:ascii="Calibri" w:eastAsia="MS Mincho" w:hAnsi="Calibri" w:cs="AdvTimes"/>
                <w:i/>
              </w:rPr>
            </w:pPr>
          </w:p>
        </w:tc>
        <w:tc>
          <w:tcPr>
            <w:tcW w:w="875" w:type="dxa"/>
            <w:tcBorders>
              <w:top w:val="single" w:sz="4" w:space="0" w:color="auto"/>
              <w:bottom w:val="nil"/>
            </w:tcBorders>
          </w:tcPr>
          <w:p w14:paraId="12E1CCAE" w14:textId="77777777" w:rsidR="00CB0D4F" w:rsidRPr="00F14E6C" w:rsidRDefault="00CB0D4F" w:rsidP="00CB0D4F">
            <w:pPr>
              <w:rPr>
                <w:rFonts w:ascii="Calibri" w:eastAsia="MS Mincho" w:hAnsi="Calibri" w:cs="AdvTimes"/>
                <w:i/>
              </w:rPr>
            </w:pPr>
          </w:p>
        </w:tc>
        <w:tc>
          <w:tcPr>
            <w:tcW w:w="1116" w:type="dxa"/>
            <w:tcBorders>
              <w:top w:val="single" w:sz="4" w:space="0" w:color="auto"/>
              <w:bottom w:val="nil"/>
            </w:tcBorders>
          </w:tcPr>
          <w:p w14:paraId="7B75EE86" w14:textId="77777777" w:rsidR="00CB0D4F" w:rsidRPr="00F14E6C" w:rsidRDefault="00CB0D4F" w:rsidP="00CB0D4F">
            <w:pPr>
              <w:rPr>
                <w:rFonts w:ascii="Calibri" w:eastAsia="MS Mincho" w:hAnsi="Calibri" w:cs="AdvTimes"/>
                <w:i/>
              </w:rPr>
            </w:pPr>
          </w:p>
        </w:tc>
        <w:tc>
          <w:tcPr>
            <w:tcW w:w="995" w:type="dxa"/>
            <w:tcBorders>
              <w:top w:val="single" w:sz="4" w:space="0" w:color="auto"/>
              <w:bottom w:val="nil"/>
            </w:tcBorders>
          </w:tcPr>
          <w:p w14:paraId="764C82AD" w14:textId="77777777" w:rsidR="00CB0D4F" w:rsidRPr="00F14E6C" w:rsidRDefault="00CB0D4F" w:rsidP="00CB0D4F">
            <w:pPr>
              <w:rPr>
                <w:rFonts w:ascii="Calibri" w:eastAsia="MS Mincho" w:hAnsi="Calibri" w:cs="AdvTimes"/>
                <w:i/>
              </w:rPr>
            </w:pPr>
          </w:p>
        </w:tc>
        <w:tc>
          <w:tcPr>
            <w:tcW w:w="996" w:type="dxa"/>
            <w:tcBorders>
              <w:top w:val="single" w:sz="4" w:space="0" w:color="auto"/>
              <w:bottom w:val="nil"/>
            </w:tcBorders>
          </w:tcPr>
          <w:p w14:paraId="703E0FF8" w14:textId="77777777" w:rsidR="00CB0D4F" w:rsidRPr="00F14E6C" w:rsidRDefault="00CB0D4F" w:rsidP="00CB0D4F">
            <w:pPr>
              <w:rPr>
                <w:rFonts w:ascii="Calibri" w:eastAsia="MS Mincho" w:hAnsi="Calibri" w:cs="AdvTimes"/>
                <w:i/>
              </w:rPr>
            </w:pPr>
          </w:p>
        </w:tc>
        <w:tc>
          <w:tcPr>
            <w:tcW w:w="995" w:type="dxa"/>
            <w:tcBorders>
              <w:top w:val="single" w:sz="4" w:space="0" w:color="auto"/>
              <w:bottom w:val="nil"/>
            </w:tcBorders>
          </w:tcPr>
          <w:p w14:paraId="17F7974E" w14:textId="77777777" w:rsidR="00CB0D4F" w:rsidRPr="00F14E6C" w:rsidRDefault="00CB0D4F" w:rsidP="00CB0D4F">
            <w:pPr>
              <w:rPr>
                <w:rFonts w:ascii="Calibri" w:eastAsia="MS Mincho" w:hAnsi="Calibri" w:cs="AdvTimes"/>
                <w:i/>
              </w:rPr>
            </w:pPr>
          </w:p>
        </w:tc>
        <w:tc>
          <w:tcPr>
            <w:tcW w:w="996" w:type="dxa"/>
            <w:tcBorders>
              <w:top w:val="single" w:sz="4" w:space="0" w:color="auto"/>
              <w:bottom w:val="nil"/>
            </w:tcBorders>
          </w:tcPr>
          <w:p w14:paraId="107448B5" w14:textId="77777777" w:rsidR="00CB0D4F" w:rsidRPr="00F14E6C" w:rsidRDefault="00CB0D4F" w:rsidP="00CB0D4F">
            <w:pPr>
              <w:rPr>
                <w:rFonts w:ascii="Calibri" w:eastAsia="MS Mincho" w:hAnsi="Calibri" w:cs="AdvTimes"/>
                <w:i/>
              </w:rPr>
            </w:pPr>
          </w:p>
        </w:tc>
      </w:tr>
      <w:tr w:rsidR="00CB0D4F" w:rsidRPr="00F14E6C" w14:paraId="1E86520F" w14:textId="77777777" w:rsidTr="00CB0D4F">
        <w:tc>
          <w:tcPr>
            <w:tcW w:w="0" w:type="auto"/>
            <w:tcBorders>
              <w:top w:val="nil"/>
            </w:tcBorders>
          </w:tcPr>
          <w:p w14:paraId="5CF807C1" w14:textId="77777777" w:rsidR="00CB0D4F" w:rsidRPr="00F14E6C" w:rsidRDefault="00CB0D4F" w:rsidP="00CB0D4F">
            <w:pPr>
              <w:ind w:left="174"/>
              <w:rPr>
                <w:rFonts w:ascii="Calibri" w:eastAsia="MS Mincho" w:hAnsi="Calibri" w:cs="AdvTimes"/>
              </w:rPr>
            </w:pPr>
            <w:r w:rsidRPr="00F14E6C">
              <w:rPr>
                <w:rFonts w:ascii="Calibri" w:eastAsia="MS Mincho" w:hAnsi="Calibri" w:cs="AdvTimes"/>
              </w:rPr>
              <w:t>Hip</w:t>
            </w:r>
          </w:p>
        </w:tc>
        <w:tc>
          <w:tcPr>
            <w:tcW w:w="0" w:type="auto"/>
            <w:tcBorders>
              <w:top w:val="nil"/>
            </w:tcBorders>
          </w:tcPr>
          <w:p w14:paraId="324E506E"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60</w:t>
            </w:r>
          </w:p>
        </w:tc>
        <w:tc>
          <w:tcPr>
            <w:tcW w:w="875" w:type="dxa"/>
            <w:tcBorders>
              <w:top w:val="nil"/>
            </w:tcBorders>
          </w:tcPr>
          <w:p w14:paraId="01705339" w14:textId="77777777" w:rsidR="00CB0D4F" w:rsidRPr="00F14E6C" w:rsidRDefault="00CB0D4F" w:rsidP="00CB0D4F">
            <w:pPr>
              <w:rPr>
                <w:rFonts w:ascii="Calibri" w:eastAsia="MS Mincho" w:hAnsi="Calibri" w:cs="AdvTimes"/>
              </w:rPr>
            </w:pPr>
            <w:r w:rsidRPr="00F14E6C">
              <w:rPr>
                <w:rFonts w:ascii="Calibri" w:eastAsia="MS Mincho" w:hAnsi="Calibri" w:cs="AdvTimes"/>
              </w:rPr>
              <w:t>3.8</w:t>
            </w:r>
          </w:p>
        </w:tc>
        <w:tc>
          <w:tcPr>
            <w:tcW w:w="1116" w:type="dxa"/>
            <w:tcBorders>
              <w:top w:val="nil"/>
            </w:tcBorders>
          </w:tcPr>
          <w:p w14:paraId="4D355B38" w14:textId="77777777" w:rsidR="00CB0D4F" w:rsidRPr="00F14E6C" w:rsidRDefault="00CB0D4F" w:rsidP="00CB0D4F">
            <w:pPr>
              <w:rPr>
                <w:rFonts w:ascii="Calibri" w:eastAsia="MS Mincho" w:hAnsi="Calibri" w:cs="AdvTimes"/>
              </w:rPr>
            </w:pPr>
            <w:r w:rsidRPr="00F14E6C">
              <w:rPr>
                <w:rFonts w:ascii="Calibri" w:eastAsia="MS Mincho" w:hAnsi="Calibri" w:cs="AdvTimes"/>
              </w:rPr>
              <w:t>2.4-5.9</w:t>
            </w:r>
          </w:p>
        </w:tc>
        <w:tc>
          <w:tcPr>
            <w:tcW w:w="995" w:type="dxa"/>
            <w:tcBorders>
              <w:top w:val="nil"/>
            </w:tcBorders>
          </w:tcPr>
          <w:p w14:paraId="12F93EF3" w14:textId="77777777" w:rsidR="00CB0D4F" w:rsidRPr="00F14E6C" w:rsidRDefault="00CB0D4F" w:rsidP="00CB0D4F">
            <w:pPr>
              <w:rPr>
                <w:rFonts w:ascii="Calibri" w:eastAsia="MS Mincho" w:hAnsi="Calibri" w:cs="AdvTimes"/>
              </w:rPr>
            </w:pPr>
            <w:r w:rsidRPr="00F14E6C">
              <w:rPr>
                <w:rFonts w:ascii="Calibri" w:eastAsia="MS Mincho" w:hAnsi="Calibri" w:cs="AdvTimes"/>
              </w:rPr>
              <w:t>3.4</w:t>
            </w:r>
          </w:p>
        </w:tc>
        <w:tc>
          <w:tcPr>
            <w:tcW w:w="996" w:type="dxa"/>
            <w:tcBorders>
              <w:top w:val="nil"/>
            </w:tcBorders>
          </w:tcPr>
          <w:p w14:paraId="7EF0B9C7" w14:textId="77777777" w:rsidR="00CB0D4F" w:rsidRPr="00F14E6C" w:rsidRDefault="00CB0D4F" w:rsidP="00CB0D4F">
            <w:pPr>
              <w:rPr>
                <w:rFonts w:ascii="Calibri" w:eastAsia="MS Mincho" w:hAnsi="Calibri" w:cs="AdvTimes"/>
              </w:rPr>
            </w:pPr>
            <w:r w:rsidRPr="00F14E6C">
              <w:rPr>
                <w:rFonts w:ascii="Calibri" w:eastAsia="MS Mincho" w:hAnsi="Calibri" w:cs="AdvTimes"/>
              </w:rPr>
              <w:t>2.6-4.5</w:t>
            </w:r>
          </w:p>
        </w:tc>
        <w:tc>
          <w:tcPr>
            <w:tcW w:w="995" w:type="dxa"/>
            <w:tcBorders>
              <w:top w:val="nil"/>
            </w:tcBorders>
          </w:tcPr>
          <w:p w14:paraId="74140EC3" w14:textId="77777777" w:rsidR="00CB0D4F" w:rsidRPr="00F14E6C" w:rsidRDefault="00CB0D4F" w:rsidP="00CB0D4F">
            <w:pPr>
              <w:rPr>
                <w:rFonts w:ascii="Calibri" w:eastAsia="MS Mincho" w:hAnsi="Calibri" w:cs="AdvTimes"/>
              </w:rPr>
            </w:pPr>
            <w:r w:rsidRPr="00F14E6C">
              <w:rPr>
                <w:rFonts w:ascii="Calibri" w:eastAsia="MS Mincho" w:hAnsi="Calibri" w:cs="AdvTimes"/>
              </w:rPr>
              <w:t>2.8</w:t>
            </w:r>
          </w:p>
        </w:tc>
        <w:tc>
          <w:tcPr>
            <w:tcW w:w="996" w:type="dxa"/>
            <w:tcBorders>
              <w:top w:val="nil"/>
            </w:tcBorders>
          </w:tcPr>
          <w:p w14:paraId="40873844" w14:textId="77777777" w:rsidR="00CB0D4F" w:rsidRPr="00F14E6C" w:rsidRDefault="00CB0D4F" w:rsidP="00CB0D4F">
            <w:pPr>
              <w:rPr>
                <w:rFonts w:ascii="Calibri" w:eastAsia="MS Mincho" w:hAnsi="Calibri" w:cs="AdvTimes"/>
              </w:rPr>
            </w:pPr>
            <w:r w:rsidRPr="00F14E6C">
              <w:rPr>
                <w:rFonts w:ascii="Calibri" w:eastAsia="MS Mincho" w:hAnsi="Calibri" w:cs="AdvTimes"/>
              </w:rPr>
              <w:t>2.2-3.5</w:t>
            </w:r>
          </w:p>
        </w:tc>
      </w:tr>
      <w:tr w:rsidR="00CB0D4F" w:rsidRPr="00F14E6C" w14:paraId="269441F5" w14:textId="77777777" w:rsidTr="00CB0D4F">
        <w:tc>
          <w:tcPr>
            <w:tcW w:w="0" w:type="auto"/>
          </w:tcPr>
          <w:p w14:paraId="2206DC9F" w14:textId="77777777" w:rsidR="00CB0D4F" w:rsidRPr="00F14E6C" w:rsidRDefault="00CB0D4F" w:rsidP="00CB0D4F">
            <w:pPr>
              <w:ind w:left="174"/>
              <w:rPr>
                <w:rFonts w:ascii="Calibri" w:eastAsia="MS Mincho" w:hAnsi="Calibri" w:cs="AdvTimes"/>
              </w:rPr>
            </w:pPr>
          </w:p>
        </w:tc>
        <w:tc>
          <w:tcPr>
            <w:tcW w:w="0" w:type="auto"/>
          </w:tcPr>
          <w:p w14:paraId="7C4A8B10"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70</w:t>
            </w:r>
          </w:p>
        </w:tc>
        <w:tc>
          <w:tcPr>
            <w:tcW w:w="875" w:type="dxa"/>
          </w:tcPr>
          <w:p w14:paraId="52C5D3B5" w14:textId="77777777" w:rsidR="00CB0D4F" w:rsidRPr="00F14E6C" w:rsidRDefault="00CB0D4F" w:rsidP="00CB0D4F">
            <w:pPr>
              <w:rPr>
                <w:rFonts w:ascii="Calibri" w:eastAsia="MS Mincho" w:hAnsi="Calibri" w:cs="AdvTimes"/>
              </w:rPr>
            </w:pPr>
            <w:r w:rsidRPr="00F14E6C">
              <w:rPr>
                <w:rFonts w:ascii="Calibri" w:eastAsia="MS Mincho" w:hAnsi="Calibri" w:cs="AdvTimes"/>
              </w:rPr>
              <w:t>4.6</w:t>
            </w:r>
          </w:p>
        </w:tc>
        <w:tc>
          <w:tcPr>
            <w:tcW w:w="1116" w:type="dxa"/>
          </w:tcPr>
          <w:p w14:paraId="0A579A01" w14:textId="77777777" w:rsidR="00CB0D4F" w:rsidRPr="00F14E6C" w:rsidRDefault="00CB0D4F" w:rsidP="00CB0D4F">
            <w:pPr>
              <w:rPr>
                <w:rFonts w:ascii="Calibri" w:eastAsia="MS Mincho" w:hAnsi="Calibri" w:cs="AdvTimes"/>
              </w:rPr>
            </w:pPr>
            <w:r w:rsidRPr="00F14E6C">
              <w:rPr>
                <w:rFonts w:ascii="Calibri" w:eastAsia="MS Mincho" w:hAnsi="Calibri" w:cs="AdvTimes"/>
              </w:rPr>
              <w:t>3.5-6.0</w:t>
            </w:r>
          </w:p>
        </w:tc>
        <w:tc>
          <w:tcPr>
            <w:tcW w:w="995" w:type="dxa"/>
          </w:tcPr>
          <w:p w14:paraId="5DBBC445" w14:textId="77777777" w:rsidR="00CB0D4F" w:rsidRPr="00F14E6C" w:rsidRDefault="00CB0D4F" w:rsidP="00CB0D4F">
            <w:pPr>
              <w:rPr>
                <w:rFonts w:ascii="Calibri" w:eastAsia="MS Mincho" w:hAnsi="Calibri" w:cs="AdvTimes"/>
              </w:rPr>
            </w:pPr>
            <w:r w:rsidRPr="00F14E6C">
              <w:rPr>
                <w:rFonts w:ascii="Calibri" w:eastAsia="MS Mincho" w:hAnsi="Calibri" w:cs="AdvTimes"/>
              </w:rPr>
              <w:t>3.0</w:t>
            </w:r>
          </w:p>
        </w:tc>
        <w:tc>
          <w:tcPr>
            <w:tcW w:w="996" w:type="dxa"/>
          </w:tcPr>
          <w:p w14:paraId="076575D8" w14:textId="77777777" w:rsidR="00CB0D4F" w:rsidRPr="00F14E6C" w:rsidRDefault="00CB0D4F" w:rsidP="00CB0D4F">
            <w:pPr>
              <w:rPr>
                <w:rFonts w:ascii="Calibri" w:eastAsia="MS Mincho" w:hAnsi="Calibri" w:cs="AdvTimes"/>
              </w:rPr>
            </w:pPr>
            <w:r w:rsidRPr="00F14E6C">
              <w:rPr>
                <w:rFonts w:ascii="Calibri" w:eastAsia="MS Mincho" w:hAnsi="Calibri" w:cs="AdvTimes"/>
              </w:rPr>
              <w:t>2.6-3.5</w:t>
            </w:r>
          </w:p>
        </w:tc>
        <w:tc>
          <w:tcPr>
            <w:tcW w:w="995" w:type="dxa"/>
          </w:tcPr>
          <w:p w14:paraId="5A668CB9" w14:textId="77777777" w:rsidR="00CB0D4F" w:rsidRPr="00F14E6C" w:rsidRDefault="00CB0D4F" w:rsidP="00CB0D4F">
            <w:pPr>
              <w:rPr>
                <w:rFonts w:ascii="Calibri" w:eastAsia="MS Mincho" w:hAnsi="Calibri" w:cs="AdvTimes"/>
              </w:rPr>
            </w:pPr>
            <w:r w:rsidRPr="00F14E6C">
              <w:rPr>
                <w:rFonts w:ascii="Calibri" w:eastAsia="MS Mincho" w:hAnsi="Calibri" w:cs="AdvTimes"/>
              </w:rPr>
              <w:t>2.2</w:t>
            </w:r>
          </w:p>
        </w:tc>
        <w:tc>
          <w:tcPr>
            <w:tcW w:w="996" w:type="dxa"/>
          </w:tcPr>
          <w:p w14:paraId="2B318A52" w14:textId="77777777" w:rsidR="00CB0D4F" w:rsidRPr="00F14E6C" w:rsidRDefault="00CB0D4F" w:rsidP="00CB0D4F">
            <w:pPr>
              <w:rPr>
                <w:rFonts w:ascii="Calibri" w:eastAsia="MS Mincho" w:hAnsi="Calibri" w:cs="AdvTimes"/>
              </w:rPr>
            </w:pPr>
            <w:r w:rsidRPr="00F14E6C">
              <w:rPr>
                <w:rFonts w:ascii="Calibri" w:eastAsia="MS Mincho" w:hAnsi="Calibri" w:cs="AdvTimes"/>
              </w:rPr>
              <w:t>1.8-2.8</w:t>
            </w:r>
          </w:p>
        </w:tc>
      </w:tr>
      <w:tr w:rsidR="00CB0D4F" w:rsidRPr="00F14E6C" w14:paraId="4074C8FF" w14:textId="77777777" w:rsidTr="00CB0D4F">
        <w:tc>
          <w:tcPr>
            <w:tcW w:w="0" w:type="auto"/>
          </w:tcPr>
          <w:p w14:paraId="20B32980" w14:textId="77777777" w:rsidR="00CB0D4F" w:rsidRPr="00F14E6C" w:rsidRDefault="00CB0D4F" w:rsidP="00CB0D4F">
            <w:pPr>
              <w:ind w:left="174"/>
              <w:rPr>
                <w:rFonts w:ascii="Calibri" w:eastAsia="MS Mincho" w:hAnsi="Calibri" w:cs="AdvTimes"/>
              </w:rPr>
            </w:pPr>
          </w:p>
        </w:tc>
        <w:tc>
          <w:tcPr>
            <w:tcW w:w="0" w:type="auto"/>
          </w:tcPr>
          <w:p w14:paraId="144BD0A5"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80</w:t>
            </w:r>
          </w:p>
        </w:tc>
        <w:tc>
          <w:tcPr>
            <w:tcW w:w="875" w:type="dxa"/>
          </w:tcPr>
          <w:p w14:paraId="3B9005CF" w14:textId="77777777" w:rsidR="00CB0D4F" w:rsidRPr="00F14E6C" w:rsidRDefault="00CB0D4F" w:rsidP="00CB0D4F">
            <w:pPr>
              <w:rPr>
                <w:rFonts w:ascii="Calibri" w:eastAsia="MS Mincho" w:hAnsi="Calibri" w:cs="AdvTimes"/>
              </w:rPr>
            </w:pPr>
            <w:r w:rsidRPr="00F14E6C">
              <w:rPr>
                <w:rFonts w:ascii="Calibri" w:eastAsia="MS Mincho" w:hAnsi="Calibri" w:cs="AdvTimes"/>
              </w:rPr>
              <w:t>3.6</w:t>
            </w:r>
          </w:p>
        </w:tc>
        <w:tc>
          <w:tcPr>
            <w:tcW w:w="1116" w:type="dxa"/>
          </w:tcPr>
          <w:p w14:paraId="1F3BB510" w14:textId="77777777" w:rsidR="00CB0D4F" w:rsidRPr="00F14E6C" w:rsidRDefault="00CB0D4F" w:rsidP="00CB0D4F">
            <w:pPr>
              <w:rPr>
                <w:rFonts w:ascii="Calibri" w:eastAsia="MS Mincho" w:hAnsi="Calibri" w:cs="AdvTimes"/>
              </w:rPr>
            </w:pPr>
            <w:r w:rsidRPr="00F14E6C">
              <w:rPr>
                <w:rFonts w:ascii="Calibri" w:eastAsia="MS Mincho" w:hAnsi="Calibri" w:cs="AdvTimes"/>
              </w:rPr>
              <w:t>2.8-4.7</w:t>
            </w:r>
          </w:p>
        </w:tc>
        <w:tc>
          <w:tcPr>
            <w:tcW w:w="995" w:type="dxa"/>
          </w:tcPr>
          <w:p w14:paraId="509DD8A4" w14:textId="77777777" w:rsidR="00CB0D4F" w:rsidRPr="00F14E6C" w:rsidRDefault="00CB0D4F" w:rsidP="00CB0D4F">
            <w:pPr>
              <w:rPr>
                <w:rFonts w:ascii="Calibri" w:eastAsia="MS Mincho" w:hAnsi="Calibri" w:cs="AdvTimes"/>
              </w:rPr>
            </w:pPr>
            <w:r w:rsidRPr="00F14E6C">
              <w:rPr>
                <w:rFonts w:ascii="Calibri" w:eastAsia="MS Mincho" w:hAnsi="Calibri" w:cs="AdvTimes"/>
              </w:rPr>
              <w:t>2.1</w:t>
            </w:r>
          </w:p>
        </w:tc>
        <w:tc>
          <w:tcPr>
            <w:tcW w:w="996" w:type="dxa"/>
          </w:tcPr>
          <w:p w14:paraId="528CDD66" w14:textId="77777777" w:rsidR="00CB0D4F" w:rsidRPr="00F14E6C" w:rsidRDefault="00CB0D4F" w:rsidP="00CB0D4F">
            <w:pPr>
              <w:rPr>
                <w:rFonts w:ascii="Calibri" w:eastAsia="MS Mincho" w:hAnsi="Calibri" w:cs="AdvTimes"/>
              </w:rPr>
            </w:pPr>
            <w:r w:rsidRPr="00F14E6C">
              <w:rPr>
                <w:rFonts w:ascii="Calibri" w:eastAsia="MS Mincho" w:hAnsi="Calibri" w:cs="AdvTimes"/>
              </w:rPr>
              <w:t>1.8-2.4</w:t>
            </w:r>
          </w:p>
        </w:tc>
        <w:tc>
          <w:tcPr>
            <w:tcW w:w="995" w:type="dxa"/>
          </w:tcPr>
          <w:p w14:paraId="01167963" w14:textId="77777777" w:rsidR="00CB0D4F" w:rsidRPr="00F14E6C" w:rsidRDefault="00CB0D4F" w:rsidP="00CB0D4F">
            <w:pPr>
              <w:rPr>
                <w:rFonts w:ascii="Calibri" w:eastAsia="MS Mincho" w:hAnsi="Calibri" w:cs="AdvTimes"/>
              </w:rPr>
            </w:pPr>
            <w:r w:rsidRPr="00F14E6C">
              <w:rPr>
                <w:rFonts w:ascii="Calibri" w:eastAsia="MS Mincho" w:hAnsi="Calibri" w:cs="AdvTimes"/>
              </w:rPr>
              <w:t>1.4</w:t>
            </w:r>
          </w:p>
        </w:tc>
        <w:tc>
          <w:tcPr>
            <w:tcW w:w="996" w:type="dxa"/>
          </w:tcPr>
          <w:p w14:paraId="563B6A95" w14:textId="77777777" w:rsidR="00CB0D4F" w:rsidRPr="00F14E6C" w:rsidRDefault="00CB0D4F" w:rsidP="00CB0D4F">
            <w:pPr>
              <w:rPr>
                <w:rFonts w:ascii="Calibri" w:eastAsia="MS Mincho" w:hAnsi="Calibri" w:cs="AdvTimes"/>
              </w:rPr>
            </w:pPr>
            <w:r w:rsidRPr="00F14E6C">
              <w:rPr>
                <w:rFonts w:ascii="Calibri" w:eastAsia="MS Mincho" w:hAnsi="Calibri" w:cs="AdvTimes"/>
              </w:rPr>
              <w:t>1.1-1.7</w:t>
            </w:r>
          </w:p>
        </w:tc>
      </w:tr>
      <w:tr w:rsidR="00CB0D4F" w:rsidRPr="00F14E6C" w14:paraId="09859EA1" w14:textId="77777777" w:rsidTr="00CB0D4F">
        <w:tc>
          <w:tcPr>
            <w:tcW w:w="0" w:type="auto"/>
          </w:tcPr>
          <w:p w14:paraId="5B4FAF09" w14:textId="77777777" w:rsidR="00CB0D4F" w:rsidRPr="00F14E6C" w:rsidRDefault="00CB0D4F" w:rsidP="00CB0D4F">
            <w:pPr>
              <w:ind w:left="174"/>
              <w:rPr>
                <w:rFonts w:ascii="Calibri" w:eastAsia="MS Mincho" w:hAnsi="Calibri" w:cs="AdvTimes"/>
              </w:rPr>
            </w:pPr>
            <w:r w:rsidRPr="00F14E6C">
              <w:rPr>
                <w:rFonts w:ascii="Calibri" w:eastAsia="MS Mincho" w:hAnsi="Calibri" w:cs="AdvTimes"/>
              </w:rPr>
              <w:t>Spine</w:t>
            </w:r>
          </w:p>
        </w:tc>
        <w:tc>
          <w:tcPr>
            <w:tcW w:w="0" w:type="auto"/>
          </w:tcPr>
          <w:p w14:paraId="1AFAC24A"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60</w:t>
            </w:r>
          </w:p>
        </w:tc>
        <w:tc>
          <w:tcPr>
            <w:tcW w:w="875" w:type="dxa"/>
          </w:tcPr>
          <w:p w14:paraId="20FC5871" w14:textId="77777777" w:rsidR="00CB0D4F" w:rsidRPr="00F14E6C" w:rsidRDefault="00CB0D4F" w:rsidP="00CB0D4F">
            <w:pPr>
              <w:rPr>
                <w:rFonts w:ascii="Calibri" w:eastAsia="MS Mincho" w:hAnsi="Calibri" w:cs="AdvTimes"/>
              </w:rPr>
            </w:pPr>
            <w:r w:rsidRPr="00F14E6C">
              <w:rPr>
                <w:rFonts w:ascii="Calibri" w:eastAsia="MS Mincho" w:hAnsi="Calibri" w:cs="AdvTimes"/>
              </w:rPr>
              <w:t>6.4</w:t>
            </w:r>
          </w:p>
        </w:tc>
        <w:tc>
          <w:tcPr>
            <w:tcW w:w="1116" w:type="dxa"/>
          </w:tcPr>
          <w:p w14:paraId="0BD9AC70" w14:textId="77777777" w:rsidR="00CB0D4F" w:rsidRPr="00F14E6C" w:rsidRDefault="00CB0D4F" w:rsidP="00CB0D4F">
            <w:pPr>
              <w:rPr>
                <w:rFonts w:ascii="Calibri" w:eastAsia="MS Mincho" w:hAnsi="Calibri" w:cs="AdvTimes"/>
              </w:rPr>
            </w:pPr>
            <w:r w:rsidRPr="00F14E6C">
              <w:rPr>
                <w:rFonts w:ascii="Calibri" w:eastAsia="MS Mincho" w:hAnsi="Calibri" w:cs="AdvTimes"/>
              </w:rPr>
              <w:t>4.7-8.8</w:t>
            </w:r>
          </w:p>
        </w:tc>
        <w:tc>
          <w:tcPr>
            <w:tcW w:w="995" w:type="dxa"/>
          </w:tcPr>
          <w:p w14:paraId="38B8FFCF" w14:textId="77777777" w:rsidR="00CB0D4F" w:rsidRPr="00F14E6C" w:rsidRDefault="00CB0D4F" w:rsidP="00CB0D4F">
            <w:pPr>
              <w:rPr>
                <w:rFonts w:ascii="Calibri" w:eastAsia="MS Mincho" w:hAnsi="Calibri" w:cs="AdvTimes"/>
              </w:rPr>
            </w:pPr>
            <w:r w:rsidRPr="00F14E6C">
              <w:rPr>
                <w:rFonts w:ascii="Calibri" w:eastAsia="MS Mincho" w:hAnsi="Calibri" w:cs="AdvTimes"/>
              </w:rPr>
              <w:t>3.5</w:t>
            </w:r>
          </w:p>
        </w:tc>
        <w:tc>
          <w:tcPr>
            <w:tcW w:w="996" w:type="dxa"/>
          </w:tcPr>
          <w:p w14:paraId="2C3A67BD" w14:textId="77777777" w:rsidR="00CB0D4F" w:rsidRPr="00F14E6C" w:rsidRDefault="00CB0D4F" w:rsidP="00CB0D4F">
            <w:pPr>
              <w:rPr>
                <w:rFonts w:ascii="Calibri" w:eastAsia="MS Mincho" w:hAnsi="Calibri" w:cs="AdvTimes"/>
              </w:rPr>
            </w:pPr>
            <w:r w:rsidRPr="00F14E6C">
              <w:rPr>
                <w:rFonts w:ascii="Calibri" w:eastAsia="MS Mincho" w:hAnsi="Calibri" w:cs="AdvTimes"/>
              </w:rPr>
              <w:t>2.8-4.4</w:t>
            </w:r>
          </w:p>
        </w:tc>
        <w:tc>
          <w:tcPr>
            <w:tcW w:w="995" w:type="dxa"/>
          </w:tcPr>
          <w:p w14:paraId="57AA98B2" w14:textId="77777777" w:rsidR="00CB0D4F" w:rsidRPr="00F14E6C" w:rsidRDefault="00CB0D4F" w:rsidP="00CB0D4F">
            <w:pPr>
              <w:rPr>
                <w:rFonts w:ascii="Calibri" w:eastAsia="MS Mincho" w:hAnsi="Calibri" w:cs="AdvTimes"/>
              </w:rPr>
            </w:pPr>
            <w:r w:rsidRPr="00F14E6C">
              <w:rPr>
                <w:rFonts w:ascii="Calibri" w:eastAsia="MS Mincho" w:hAnsi="Calibri" w:cs="AdvTimes"/>
              </w:rPr>
              <w:t>2.6</w:t>
            </w:r>
          </w:p>
        </w:tc>
        <w:tc>
          <w:tcPr>
            <w:tcW w:w="996" w:type="dxa"/>
          </w:tcPr>
          <w:p w14:paraId="46B0D91A" w14:textId="77777777" w:rsidR="00CB0D4F" w:rsidRPr="00F14E6C" w:rsidRDefault="00CB0D4F" w:rsidP="00CB0D4F">
            <w:pPr>
              <w:rPr>
                <w:rFonts w:ascii="Calibri" w:eastAsia="MS Mincho" w:hAnsi="Calibri" w:cs="AdvTimes"/>
              </w:rPr>
            </w:pPr>
            <w:r w:rsidRPr="00F14E6C">
              <w:rPr>
                <w:rFonts w:ascii="Calibri" w:eastAsia="MS Mincho" w:hAnsi="Calibri" w:cs="AdvTimes"/>
              </w:rPr>
              <w:t>2.1-3.2</w:t>
            </w:r>
          </w:p>
        </w:tc>
      </w:tr>
      <w:tr w:rsidR="00CB0D4F" w:rsidRPr="00F14E6C" w14:paraId="608ED3BD" w14:textId="77777777" w:rsidTr="00CB0D4F">
        <w:tc>
          <w:tcPr>
            <w:tcW w:w="0" w:type="auto"/>
          </w:tcPr>
          <w:p w14:paraId="66233458" w14:textId="77777777" w:rsidR="00CB0D4F" w:rsidRPr="00F14E6C" w:rsidRDefault="00CB0D4F" w:rsidP="00CB0D4F">
            <w:pPr>
              <w:ind w:left="174"/>
              <w:rPr>
                <w:rFonts w:ascii="Calibri" w:eastAsia="MS Mincho" w:hAnsi="Calibri" w:cs="AdvTimes"/>
              </w:rPr>
            </w:pPr>
          </w:p>
        </w:tc>
        <w:tc>
          <w:tcPr>
            <w:tcW w:w="0" w:type="auto"/>
          </w:tcPr>
          <w:p w14:paraId="6F9BF419"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70</w:t>
            </w:r>
          </w:p>
        </w:tc>
        <w:tc>
          <w:tcPr>
            <w:tcW w:w="875" w:type="dxa"/>
          </w:tcPr>
          <w:p w14:paraId="4CF06502" w14:textId="77777777" w:rsidR="00CB0D4F" w:rsidRPr="00F14E6C" w:rsidRDefault="00CB0D4F" w:rsidP="00CB0D4F">
            <w:pPr>
              <w:rPr>
                <w:rFonts w:ascii="Calibri" w:eastAsia="MS Mincho" w:hAnsi="Calibri" w:cs="AdvTimes"/>
              </w:rPr>
            </w:pPr>
            <w:r w:rsidRPr="00F14E6C">
              <w:rPr>
                <w:rFonts w:ascii="Calibri" w:eastAsia="MS Mincho" w:hAnsi="Calibri" w:cs="AdvTimes"/>
              </w:rPr>
              <w:t>6.6</w:t>
            </w:r>
          </w:p>
        </w:tc>
        <w:tc>
          <w:tcPr>
            <w:tcW w:w="1116" w:type="dxa"/>
          </w:tcPr>
          <w:p w14:paraId="3D5FD65E" w14:textId="77777777" w:rsidR="00CB0D4F" w:rsidRPr="00F14E6C" w:rsidRDefault="00CB0D4F" w:rsidP="00CB0D4F">
            <w:pPr>
              <w:rPr>
                <w:rFonts w:ascii="Calibri" w:eastAsia="MS Mincho" w:hAnsi="Calibri" w:cs="AdvTimes"/>
              </w:rPr>
            </w:pPr>
            <w:r w:rsidRPr="00F14E6C">
              <w:rPr>
                <w:rFonts w:ascii="Calibri" w:eastAsia="MS Mincho" w:hAnsi="Calibri" w:cs="AdvTimes"/>
              </w:rPr>
              <w:t>5.1-8.6</w:t>
            </w:r>
          </w:p>
        </w:tc>
        <w:tc>
          <w:tcPr>
            <w:tcW w:w="995" w:type="dxa"/>
          </w:tcPr>
          <w:p w14:paraId="20AFA96B" w14:textId="77777777" w:rsidR="00CB0D4F" w:rsidRPr="00F14E6C" w:rsidRDefault="00CB0D4F" w:rsidP="00CB0D4F">
            <w:pPr>
              <w:rPr>
                <w:rFonts w:ascii="Calibri" w:eastAsia="MS Mincho" w:hAnsi="Calibri" w:cs="AdvTimes"/>
              </w:rPr>
            </w:pPr>
            <w:r w:rsidRPr="00F14E6C">
              <w:rPr>
                <w:rFonts w:ascii="Calibri" w:eastAsia="MS Mincho" w:hAnsi="Calibri" w:cs="AdvTimes"/>
              </w:rPr>
              <w:t>3.2</w:t>
            </w:r>
          </w:p>
        </w:tc>
        <w:tc>
          <w:tcPr>
            <w:tcW w:w="996" w:type="dxa"/>
          </w:tcPr>
          <w:p w14:paraId="0E033C79" w14:textId="77777777" w:rsidR="00CB0D4F" w:rsidRPr="00F14E6C" w:rsidRDefault="00CB0D4F" w:rsidP="00CB0D4F">
            <w:pPr>
              <w:rPr>
                <w:rFonts w:ascii="Calibri" w:eastAsia="MS Mincho" w:hAnsi="Calibri" w:cs="AdvTimes"/>
              </w:rPr>
            </w:pPr>
            <w:r w:rsidRPr="00F14E6C">
              <w:rPr>
                <w:rFonts w:ascii="Calibri" w:eastAsia="MS Mincho" w:hAnsi="Calibri" w:cs="AdvTimes"/>
              </w:rPr>
              <w:t>2.8-3.7</w:t>
            </w:r>
          </w:p>
        </w:tc>
        <w:tc>
          <w:tcPr>
            <w:tcW w:w="995" w:type="dxa"/>
          </w:tcPr>
          <w:p w14:paraId="2D33B630" w14:textId="77777777" w:rsidR="00CB0D4F" w:rsidRPr="00F14E6C" w:rsidRDefault="00CB0D4F" w:rsidP="00CB0D4F">
            <w:pPr>
              <w:rPr>
                <w:rFonts w:ascii="Calibri" w:eastAsia="MS Mincho" w:hAnsi="Calibri" w:cs="AdvTimes"/>
              </w:rPr>
            </w:pPr>
            <w:r w:rsidRPr="00F14E6C">
              <w:rPr>
                <w:rFonts w:ascii="Calibri" w:eastAsia="MS Mincho" w:hAnsi="Calibri" w:cs="AdvTimes"/>
              </w:rPr>
              <w:t>2.2</w:t>
            </w:r>
          </w:p>
        </w:tc>
        <w:tc>
          <w:tcPr>
            <w:tcW w:w="996" w:type="dxa"/>
          </w:tcPr>
          <w:p w14:paraId="33E12D2D" w14:textId="77777777" w:rsidR="00CB0D4F" w:rsidRPr="00F14E6C" w:rsidRDefault="00CB0D4F" w:rsidP="00CB0D4F">
            <w:pPr>
              <w:rPr>
                <w:rFonts w:ascii="Calibri" w:eastAsia="MS Mincho" w:hAnsi="Calibri" w:cs="AdvTimes"/>
              </w:rPr>
            </w:pPr>
            <w:r w:rsidRPr="00F14E6C">
              <w:rPr>
                <w:rFonts w:ascii="Calibri" w:eastAsia="MS Mincho" w:hAnsi="Calibri" w:cs="AdvTimes"/>
              </w:rPr>
              <w:t>1.8-2.7</w:t>
            </w:r>
          </w:p>
        </w:tc>
      </w:tr>
      <w:tr w:rsidR="00CB0D4F" w:rsidRPr="00F14E6C" w14:paraId="17C1B26E" w14:textId="77777777" w:rsidTr="00CB0D4F">
        <w:tc>
          <w:tcPr>
            <w:tcW w:w="0" w:type="auto"/>
          </w:tcPr>
          <w:p w14:paraId="625DE2EF" w14:textId="77777777" w:rsidR="00CB0D4F" w:rsidRPr="00F14E6C" w:rsidRDefault="00CB0D4F" w:rsidP="00CB0D4F">
            <w:pPr>
              <w:ind w:left="174"/>
              <w:rPr>
                <w:rFonts w:ascii="Calibri" w:eastAsia="MS Mincho" w:hAnsi="Calibri" w:cs="AdvTimes"/>
              </w:rPr>
            </w:pPr>
          </w:p>
        </w:tc>
        <w:tc>
          <w:tcPr>
            <w:tcW w:w="0" w:type="auto"/>
          </w:tcPr>
          <w:p w14:paraId="46D7CC88"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80</w:t>
            </w:r>
          </w:p>
        </w:tc>
        <w:tc>
          <w:tcPr>
            <w:tcW w:w="875" w:type="dxa"/>
          </w:tcPr>
          <w:p w14:paraId="5FCE51D9" w14:textId="77777777" w:rsidR="00CB0D4F" w:rsidRPr="00F14E6C" w:rsidRDefault="00CB0D4F" w:rsidP="00CB0D4F">
            <w:pPr>
              <w:rPr>
                <w:rFonts w:ascii="Calibri" w:eastAsia="MS Mincho" w:hAnsi="Calibri" w:cs="AdvTimes"/>
              </w:rPr>
            </w:pPr>
            <w:r w:rsidRPr="00F14E6C">
              <w:rPr>
                <w:rFonts w:ascii="Calibri" w:eastAsia="MS Mincho" w:hAnsi="Calibri" w:cs="AdvTimes"/>
              </w:rPr>
              <w:t>5.5</w:t>
            </w:r>
          </w:p>
        </w:tc>
        <w:tc>
          <w:tcPr>
            <w:tcW w:w="1116" w:type="dxa"/>
          </w:tcPr>
          <w:p w14:paraId="0926E6E0" w14:textId="77777777" w:rsidR="00CB0D4F" w:rsidRPr="00F14E6C" w:rsidRDefault="00CB0D4F" w:rsidP="00CB0D4F">
            <w:pPr>
              <w:rPr>
                <w:rFonts w:ascii="Calibri" w:eastAsia="MS Mincho" w:hAnsi="Calibri" w:cs="AdvTimes"/>
              </w:rPr>
            </w:pPr>
            <w:r w:rsidRPr="00F14E6C">
              <w:rPr>
                <w:rFonts w:ascii="Calibri" w:eastAsia="MS Mincho" w:hAnsi="Calibri" w:cs="AdvTimes"/>
              </w:rPr>
              <w:t>4.2-7.2</w:t>
            </w:r>
          </w:p>
        </w:tc>
        <w:tc>
          <w:tcPr>
            <w:tcW w:w="995" w:type="dxa"/>
          </w:tcPr>
          <w:p w14:paraId="3473C836" w14:textId="77777777" w:rsidR="00CB0D4F" w:rsidRPr="00F14E6C" w:rsidRDefault="00CB0D4F" w:rsidP="00CB0D4F">
            <w:pPr>
              <w:rPr>
                <w:rFonts w:ascii="Calibri" w:eastAsia="MS Mincho" w:hAnsi="Calibri" w:cs="AdvTimes"/>
              </w:rPr>
            </w:pPr>
            <w:r w:rsidRPr="00F14E6C">
              <w:rPr>
                <w:rFonts w:ascii="Calibri" w:eastAsia="MS Mincho" w:hAnsi="Calibri" w:cs="AdvTimes"/>
              </w:rPr>
              <w:t>2.6</w:t>
            </w:r>
          </w:p>
        </w:tc>
        <w:tc>
          <w:tcPr>
            <w:tcW w:w="996" w:type="dxa"/>
          </w:tcPr>
          <w:p w14:paraId="58D4993B" w14:textId="77777777" w:rsidR="00CB0D4F" w:rsidRPr="00F14E6C" w:rsidRDefault="00CB0D4F" w:rsidP="00CB0D4F">
            <w:pPr>
              <w:rPr>
                <w:rFonts w:ascii="Calibri" w:eastAsia="MS Mincho" w:hAnsi="Calibri" w:cs="AdvTimes"/>
              </w:rPr>
            </w:pPr>
            <w:r w:rsidRPr="00F14E6C">
              <w:rPr>
                <w:rFonts w:ascii="Calibri" w:eastAsia="MS Mincho" w:hAnsi="Calibri" w:cs="AdvTimes"/>
              </w:rPr>
              <w:t>2.2-3.0</w:t>
            </w:r>
          </w:p>
        </w:tc>
        <w:tc>
          <w:tcPr>
            <w:tcW w:w="995" w:type="dxa"/>
          </w:tcPr>
          <w:p w14:paraId="6F074F90" w14:textId="77777777" w:rsidR="00CB0D4F" w:rsidRPr="00F14E6C" w:rsidRDefault="00CB0D4F" w:rsidP="00CB0D4F">
            <w:pPr>
              <w:rPr>
                <w:rFonts w:ascii="Calibri" w:eastAsia="MS Mincho" w:hAnsi="Calibri" w:cs="AdvTimes"/>
              </w:rPr>
            </w:pPr>
            <w:r w:rsidRPr="00F14E6C">
              <w:rPr>
                <w:rFonts w:ascii="Calibri" w:eastAsia="MS Mincho" w:hAnsi="Calibri" w:cs="AdvTimes"/>
              </w:rPr>
              <w:t>1.6</w:t>
            </w:r>
          </w:p>
        </w:tc>
        <w:tc>
          <w:tcPr>
            <w:tcW w:w="996" w:type="dxa"/>
          </w:tcPr>
          <w:p w14:paraId="06842D12" w14:textId="77777777" w:rsidR="00CB0D4F" w:rsidRPr="00F14E6C" w:rsidRDefault="00CB0D4F" w:rsidP="00CB0D4F">
            <w:pPr>
              <w:rPr>
                <w:rFonts w:ascii="Calibri" w:eastAsia="MS Mincho" w:hAnsi="Calibri" w:cs="AdvTimes"/>
              </w:rPr>
            </w:pPr>
            <w:r w:rsidRPr="00F14E6C">
              <w:rPr>
                <w:rFonts w:ascii="Calibri" w:eastAsia="MS Mincho" w:hAnsi="Calibri" w:cs="AdvTimes"/>
              </w:rPr>
              <w:t>1.3-2.1</w:t>
            </w:r>
          </w:p>
        </w:tc>
      </w:tr>
      <w:tr w:rsidR="00CB0D4F" w:rsidRPr="00F14E6C" w14:paraId="202589EB" w14:textId="77777777" w:rsidTr="00CB0D4F">
        <w:tc>
          <w:tcPr>
            <w:tcW w:w="0" w:type="auto"/>
          </w:tcPr>
          <w:p w14:paraId="7CE6E3D9" w14:textId="77777777" w:rsidR="00CB0D4F" w:rsidRPr="00F14E6C" w:rsidRDefault="00CB0D4F" w:rsidP="00CB0D4F">
            <w:pPr>
              <w:ind w:left="174"/>
              <w:rPr>
                <w:rFonts w:ascii="Calibri" w:eastAsia="MS Mincho" w:hAnsi="Calibri" w:cs="AdvTimes"/>
              </w:rPr>
            </w:pPr>
            <w:r w:rsidRPr="00F14E6C">
              <w:rPr>
                <w:rFonts w:ascii="Calibri" w:eastAsia="MS Mincho" w:hAnsi="Calibri" w:cs="AdvTimes"/>
              </w:rPr>
              <w:t>Forearm</w:t>
            </w:r>
          </w:p>
        </w:tc>
        <w:tc>
          <w:tcPr>
            <w:tcW w:w="0" w:type="auto"/>
          </w:tcPr>
          <w:p w14:paraId="40BFFD62"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60</w:t>
            </w:r>
          </w:p>
        </w:tc>
        <w:tc>
          <w:tcPr>
            <w:tcW w:w="875" w:type="dxa"/>
          </w:tcPr>
          <w:p w14:paraId="206874B1" w14:textId="77777777" w:rsidR="00CB0D4F" w:rsidRPr="00F14E6C" w:rsidRDefault="00CB0D4F" w:rsidP="00CB0D4F">
            <w:pPr>
              <w:rPr>
                <w:rFonts w:ascii="Calibri" w:eastAsia="MS Mincho" w:hAnsi="Calibri" w:cs="AdvTimes"/>
              </w:rPr>
            </w:pPr>
            <w:r w:rsidRPr="00F14E6C">
              <w:rPr>
                <w:rFonts w:ascii="Calibri" w:eastAsia="MS Mincho" w:hAnsi="Calibri" w:cs="AdvTimes"/>
              </w:rPr>
              <w:t>3.7</w:t>
            </w:r>
          </w:p>
        </w:tc>
        <w:tc>
          <w:tcPr>
            <w:tcW w:w="1116" w:type="dxa"/>
          </w:tcPr>
          <w:p w14:paraId="625166D7" w14:textId="77777777" w:rsidR="00CB0D4F" w:rsidRPr="00F14E6C" w:rsidRDefault="00CB0D4F" w:rsidP="00CB0D4F">
            <w:pPr>
              <w:rPr>
                <w:rFonts w:ascii="Calibri" w:eastAsia="MS Mincho" w:hAnsi="Calibri" w:cs="AdvTimes"/>
              </w:rPr>
            </w:pPr>
            <w:r w:rsidRPr="00F14E6C">
              <w:rPr>
                <w:rFonts w:ascii="Calibri" w:eastAsia="MS Mincho" w:hAnsi="Calibri" w:cs="AdvTimes"/>
              </w:rPr>
              <w:t>2.8-4.8</w:t>
            </w:r>
          </w:p>
        </w:tc>
        <w:tc>
          <w:tcPr>
            <w:tcW w:w="995" w:type="dxa"/>
          </w:tcPr>
          <w:p w14:paraId="67E33D50" w14:textId="77777777" w:rsidR="00CB0D4F" w:rsidRPr="00F14E6C" w:rsidRDefault="00CB0D4F" w:rsidP="00CB0D4F">
            <w:pPr>
              <w:rPr>
                <w:rFonts w:ascii="Calibri" w:eastAsia="MS Mincho" w:hAnsi="Calibri" w:cs="AdvTimes"/>
              </w:rPr>
            </w:pPr>
            <w:r w:rsidRPr="00F14E6C">
              <w:rPr>
                <w:rFonts w:ascii="Calibri" w:eastAsia="MS Mincho" w:hAnsi="Calibri" w:cs="AdvTimes"/>
              </w:rPr>
              <w:t>2.3</w:t>
            </w:r>
          </w:p>
        </w:tc>
        <w:tc>
          <w:tcPr>
            <w:tcW w:w="996" w:type="dxa"/>
          </w:tcPr>
          <w:p w14:paraId="13B425E5" w14:textId="77777777" w:rsidR="00CB0D4F" w:rsidRPr="00F14E6C" w:rsidRDefault="00CB0D4F" w:rsidP="00CB0D4F">
            <w:pPr>
              <w:rPr>
                <w:rFonts w:ascii="Calibri" w:eastAsia="MS Mincho" w:hAnsi="Calibri" w:cs="AdvTimes"/>
              </w:rPr>
            </w:pPr>
            <w:r w:rsidRPr="00F14E6C">
              <w:rPr>
                <w:rFonts w:ascii="Calibri" w:eastAsia="MS Mincho" w:hAnsi="Calibri" w:cs="AdvTimes"/>
              </w:rPr>
              <w:t>2.0-2.7</w:t>
            </w:r>
          </w:p>
        </w:tc>
        <w:tc>
          <w:tcPr>
            <w:tcW w:w="995" w:type="dxa"/>
          </w:tcPr>
          <w:p w14:paraId="011E7107" w14:textId="77777777" w:rsidR="00CB0D4F" w:rsidRPr="00F14E6C" w:rsidRDefault="00CB0D4F" w:rsidP="00CB0D4F">
            <w:pPr>
              <w:rPr>
                <w:rFonts w:ascii="Calibri" w:eastAsia="MS Mincho" w:hAnsi="Calibri" w:cs="AdvTimes"/>
              </w:rPr>
            </w:pPr>
            <w:r w:rsidRPr="00F14E6C">
              <w:rPr>
                <w:rFonts w:ascii="Calibri" w:eastAsia="MS Mincho" w:hAnsi="Calibri" w:cs="AdvTimes"/>
              </w:rPr>
              <w:t>2.1</w:t>
            </w:r>
          </w:p>
        </w:tc>
        <w:tc>
          <w:tcPr>
            <w:tcW w:w="996" w:type="dxa"/>
          </w:tcPr>
          <w:p w14:paraId="07E2BAD1" w14:textId="77777777" w:rsidR="00CB0D4F" w:rsidRPr="00F14E6C" w:rsidRDefault="00CB0D4F" w:rsidP="00CB0D4F">
            <w:pPr>
              <w:rPr>
                <w:rFonts w:ascii="Calibri" w:eastAsia="MS Mincho" w:hAnsi="Calibri" w:cs="AdvTimes"/>
              </w:rPr>
            </w:pPr>
            <w:r w:rsidRPr="00F14E6C">
              <w:rPr>
                <w:rFonts w:ascii="Calibri" w:eastAsia="MS Mincho" w:hAnsi="Calibri" w:cs="AdvTimes"/>
              </w:rPr>
              <w:t>1.8-2.4</w:t>
            </w:r>
          </w:p>
        </w:tc>
      </w:tr>
      <w:tr w:rsidR="00CB0D4F" w:rsidRPr="00F14E6C" w14:paraId="52BDCE70" w14:textId="77777777" w:rsidTr="00CB0D4F">
        <w:tc>
          <w:tcPr>
            <w:tcW w:w="0" w:type="auto"/>
          </w:tcPr>
          <w:p w14:paraId="5B28BEDE" w14:textId="77777777" w:rsidR="00CB0D4F" w:rsidRPr="00F14E6C" w:rsidRDefault="00CB0D4F" w:rsidP="00CB0D4F">
            <w:pPr>
              <w:ind w:left="174"/>
              <w:rPr>
                <w:rFonts w:ascii="Calibri" w:eastAsia="MS Mincho" w:hAnsi="Calibri" w:cs="AdvTimes"/>
              </w:rPr>
            </w:pPr>
          </w:p>
        </w:tc>
        <w:tc>
          <w:tcPr>
            <w:tcW w:w="0" w:type="auto"/>
          </w:tcPr>
          <w:p w14:paraId="452F3F93"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70</w:t>
            </w:r>
          </w:p>
        </w:tc>
        <w:tc>
          <w:tcPr>
            <w:tcW w:w="875" w:type="dxa"/>
          </w:tcPr>
          <w:p w14:paraId="40A6C25E" w14:textId="77777777" w:rsidR="00CB0D4F" w:rsidRPr="00F14E6C" w:rsidRDefault="00CB0D4F" w:rsidP="00CB0D4F">
            <w:pPr>
              <w:rPr>
                <w:rFonts w:ascii="Calibri" w:eastAsia="MS Mincho" w:hAnsi="Calibri" w:cs="AdvTimes"/>
              </w:rPr>
            </w:pPr>
            <w:r w:rsidRPr="00F14E6C">
              <w:rPr>
                <w:rFonts w:ascii="Calibri" w:eastAsia="MS Mincho" w:hAnsi="Calibri" w:cs="AdvTimes"/>
              </w:rPr>
              <w:t>3.5</w:t>
            </w:r>
          </w:p>
        </w:tc>
        <w:tc>
          <w:tcPr>
            <w:tcW w:w="1116" w:type="dxa"/>
          </w:tcPr>
          <w:p w14:paraId="587B736D" w14:textId="77777777" w:rsidR="00CB0D4F" w:rsidRPr="00F14E6C" w:rsidRDefault="00CB0D4F" w:rsidP="00CB0D4F">
            <w:pPr>
              <w:rPr>
                <w:rFonts w:ascii="Calibri" w:eastAsia="MS Mincho" w:hAnsi="Calibri" w:cs="AdvTimes"/>
              </w:rPr>
            </w:pPr>
            <w:r w:rsidRPr="00F14E6C">
              <w:rPr>
                <w:rFonts w:ascii="Calibri" w:eastAsia="MS Mincho" w:hAnsi="Calibri" w:cs="AdvTimes"/>
              </w:rPr>
              <w:t>2.7-4.5</w:t>
            </w:r>
          </w:p>
        </w:tc>
        <w:tc>
          <w:tcPr>
            <w:tcW w:w="995" w:type="dxa"/>
          </w:tcPr>
          <w:p w14:paraId="1308104A" w14:textId="77777777" w:rsidR="00CB0D4F" w:rsidRPr="00F14E6C" w:rsidRDefault="00CB0D4F" w:rsidP="00CB0D4F">
            <w:pPr>
              <w:rPr>
                <w:rFonts w:ascii="Calibri" w:eastAsia="MS Mincho" w:hAnsi="Calibri" w:cs="AdvTimes"/>
              </w:rPr>
            </w:pPr>
            <w:r w:rsidRPr="00F14E6C">
              <w:rPr>
                <w:rFonts w:ascii="Calibri" w:eastAsia="MS Mincho" w:hAnsi="Calibri" w:cs="AdvTimes"/>
              </w:rPr>
              <w:t>1.9</w:t>
            </w:r>
          </w:p>
        </w:tc>
        <w:tc>
          <w:tcPr>
            <w:tcW w:w="996" w:type="dxa"/>
          </w:tcPr>
          <w:p w14:paraId="3765ABBE" w14:textId="77777777" w:rsidR="00CB0D4F" w:rsidRPr="00F14E6C" w:rsidRDefault="00CB0D4F" w:rsidP="00CB0D4F">
            <w:pPr>
              <w:rPr>
                <w:rFonts w:ascii="Calibri" w:eastAsia="MS Mincho" w:hAnsi="Calibri" w:cs="AdvTimes"/>
              </w:rPr>
            </w:pPr>
            <w:r w:rsidRPr="00F14E6C">
              <w:rPr>
                <w:rFonts w:ascii="Calibri" w:eastAsia="MS Mincho" w:hAnsi="Calibri" w:cs="AdvTimes"/>
              </w:rPr>
              <w:t>1.7-2.1</w:t>
            </w:r>
          </w:p>
        </w:tc>
        <w:tc>
          <w:tcPr>
            <w:tcW w:w="995" w:type="dxa"/>
          </w:tcPr>
          <w:p w14:paraId="527A6F17" w14:textId="77777777" w:rsidR="00CB0D4F" w:rsidRPr="00F14E6C" w:rsidRDefault="00CB0D4F" w:rsidP="00CB0D4F">
            <w:pPr>
              <w:rPr>
                <w:rFonts w:ascii="Calibri" w:eastAsia="MS Mincho" w:hAnsi="Calibri" w:cs="AdvTimes"/>
              </w:rPr>
            </w:pPr>
            <w:r w:rsidRPr="00F14E6C">
              <w:rPr>
                <w:rFonts w:ascii="Calibri" w:eastAsia="MS Mincho" w:hAnsi="Calibri" w:cs="AdvTimes"/>
              </w:rPr>
              <w:t>1.5</w:t>
            </w:r>
          </w:p>
        </w:tc>
        <w:tc>
          <w:tcPr>
            <w:tcW w:w="996" w:type="dxa"/>
          </w:tcPr>
          <w:p w14:paraId="3E04A1BE" w14:textId="77777777" w:rsidR="00CB0D4F" w:rsidRPr="00F14E6C" w:rsidRDefault="00CB0D4F" w:rsidP="00CB0D4F">
            <w:pPr>
              <w:rPr>
                <w:rFonts w:ascii="Calibri" w:eastAsia="MS Mincho" w:hAnsi="Calibri" w:cs="AdvTimes"/>
              </w:rPr>
            </w:pPr>
            <w:r w:rsidRPr="00F14E6C">
              <w:rPr>
                <w:rFonts w:ascii="Calibri" w:eastAsia="MS Mincho" w:hAnsi="Calibri" w:cs="AdvTimes"/>
              </w:rPr>
              <w:t>1.3-1.8</w:t>
            </w:r>
          </w:p>
        </w:tc>
      </w:tr>
      <w:tr w:rsidR="00CB0D4F" w:rsidRPr="00F14E6C" w14:paraId="2829BE80" w14:textId="77777777" w:rsidTr="00CB0D4F">
        <w:tc>
          <w:tcPr>
            <w:tcW w:w="0" w:type="auto"/>
          </w:tcPr>
          <w:p w14:paraId="56A5856A" w14:textId="77777777" w:rsidR="00CB0D4F" w:rsidRPr="00F14E6C" w:rsidRDefault="00CB0D4F" w:rsidP="00CB0D4F">
            <w:pPr>
              <w:ind w:left="174"/>
              <w:rPr>
                <w:rFonts w:ascii="Calibri" w:eastAsia="MS Mincho" w:hAnsi="Calibri" w:cs="AdvTimes"/>
              </w:rPr>
            </w:pPr>
          </w:p>
        </w:tc>
        <w:tc>
          <w:tcPr>
            <w:tcW w:w="0" w:type="auto"/>
          </w:tcPr>
          <w:p w14:paraId="26FC0E79"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80</w:t>
            </w:r>
          </w:p>
        </w:tc>
        <w:tc>
          <w:tcPr>
            <w:tcW w:w="875" w:type="dxa"/>
          </w:tcPr>
          <w:p w14:paraId="2EC3FF11" w14:textId="77777777" w:rsidR="00CB0D4F" w:rsidRPr="00F14E6C" w:rsidRDefault="00CB0D4F" w:rsidP="00CB0D4F">
            <w:pPr>
              <w:rPr>
                <w:rFonts w:ascii="Calibri" w:eastAsia="MS Mincho" w:hAnsi="Calibri" w:cs="AdvTimes"/>
              </w:rPr>
            </w:pPr>
            <w:r w:rsidRPr="00F14E6C">
              <w:rPr>
                <w:rFonts w:ascii="Calibri" w:eastAsia="MS Mincho" w:hAnsi="Calibri" w:cs="AdvTimes"/>
              </w:rPr>
              <w:t>2.6</w:t>
            </w:r>
          </w:p>
        </w:tc>
        <w:tc>
          <w:tcPr>
            <w:tcW w:w="1116" w:type="dxa"/>
          </w:tcPr>
          <w:p w14:paraId="301CF11D" w14:textId="77777777" w:rsidR="00CB0D4F" w:rsidRPr="00F14E6C" w:rsidRDefault="00CB0D4F" w:rsidP="00CB0D4F">
            <w:pPr>
              <w:rPr>
                <w:rFonts w:ascii="Calibri" w:eastAsia="MS Mincho" w:hAnsi="Calibri" w:cs="AdvTimes"/>
              </w:rPr>
            </w:pPr>
            <w:r w:rsidRPr="00F14E6C">
              <w:rPr>
                <w:rFonts w:ascii="Calibri" w:eastAsia="MS Mincho" w:hAnsi="Calibri" w:cs="AdvTimes"/>
              </w:rPr>
              <w:t>2.0-3.4</w:t>
            </w:r>
          </w:p>
        </w:tc>
        <w:tc>
          <w:tcPr>
            <w:tcW w:w="995" w:type="dxa"/>
          </w:tcPr>
          <w:p w14:paraId="615AB961" w14:textId="77777777" w:rsidR="00CB0D4F" w:rsidRPr="00F14E6C" w:rsidRDefault="00CB0D4F" w:rsidP="00CB0D4F">
            <w:pPr>
              <w:rPr>
                <w:rFonts w:ascii="Calibri" w:eastAsia="MS Mincho" w:hAnsi="Calibri" w:cs="AdvTimes"/>
              </w:rPr>
            </w:pPr>
            <w:r w:rsidRPr="00F14E6C">
              <w:rPr>
                <w:rFonts w:ascii="Calibri" w:eastAsia="MS Mincho" w:hAnsi="Calibri" w:cs="AdvTimes"/>
              </w:rPr>
              <w:t>1.6</w:t>
            </w:r>
          </w:p>
        </w:tc>
        <w:tc>
          <w:tcPr>
            <w:tcW w:w="996" w:type="dxa"/>
          </w:tcPr>
          <w:p w14:paraId="7086A1E4" w14:textId="77777777" w:rsidR="00CB0D4F" w:rsidRPr="00F14E6C" w:rsidRDefault="00CB0D4F" w:rsidP="00CB0D4F">
            <w:pPr>
              <w:rPr>
                <w:rFonts w:ascii="Calibri" w:eastAsia="MS Mincho" w:hAnsi="Calibri" w:cs="AdvTimes"/>
              </w:rPr>
            </w:pPr>
            <w:r w:rsidRPr="00F14E6C">
              <w:rPr>
                <w:rFonts w:ascii="Calibri" w:eastAsia="MS Mincho" w:hAnsi="Calibri" w:cs="AdvTimes"/>
              </w:rPr>
              <w:t>1.4-1.8</w:t>
            </w:r>
          </w:p>
        </w:tc>
        <w:tc>
          <w:tcPr>
            <w:tcW w:w="995" w:type="dxa"/>
          </w:tcPr>
          <w:p w14:paraId="77FD97FE" w14:textId="77777777" w:rsidR="00CB0D4F" w:rsidRPr="00F14E6C" w:rsidRDefault="00CB0D4F" w:rsidP="00CB0D4F">
            <w:pPr>
              <w:rPr>
                <w:rFonts w:ascii="Calibri" w:eastAsia="MS Mincho" w:hAnsi="Calibri" w:cs="AdvTimes"/>
              </w:rPr>
            </w:pPr>
            <w:r w:rsidRPr="00F14E6C">
              <w:rPr>
                <w:rFonts w:ascii="Calibri" w:eastAsia="MS Mincho" w:hAnsi="Calibri" w:cs="AdvTimes"/>
              </w:rPr>
              <w:t>1.5</w:t>
            </w:r>
          </w:p>
        </w:tc>
        <w:tc>
          <w:tcPr>
            <w:tcW w:w="996" w:type="dxa"/>
          </w:tcPr>
          <w:p w14:paraId="56BCE854" w14:textId="77777777" w:rsidR="00CB0D4F" w:rsidRPr="00F14E6C" w:rsidRDefault="00CB0D4F" w:rsidP="00CB0D4F">
            <w:pPr>
              <w:rPr>
                <w:rFonts w:ascii="Calibri" w:eastAsia="MS Mincho" w:hAnsi="Calibri" w:cs="AdvTimes"/>
              </w:rPr>
            </w:pPr>
            <w:r w:rsidRPr="00F14E6C">
              <w:rPr>
                <w:rFonts w:ascii="Calibri" w:eastAsia="MS Mincho" w:hAnsi="Calibri" w:cs="AdvTimes"/>
              </w:rPr>
              <w:t>1.2-1.8</w:t>
            </w:r>
          </w:p>
        </w:tc>
      </w:tr>
      <w:tr w:rsidR="00CB0D4F" w:rsidRPr="00F14E6C" w14:paraId="0624B777" w14:textId="77777777" w:rsidTr="00CB0D4F">
        <w:tc>
          <w:tcPr>
            <w:tcW w:w="0" w:type="auto"/>
          </w:tcPr>
          <w:p w14:paraId="647E0220" w14:textId="77777777" w:rsidR="00CB0D4F" w:rsidRPr="00F14E6C" w:rsidRDefault="00CB0D4F" w:rsidP="00CB0D4F">
            <w:pPr>
              <w:ind w:left="174"/>
              <w:rPr>
                <w:rFonts w:ascii="Calibri" w:eastAsia="MS Mincho" w:hAnsi="Calibri" w:cs="AdvTimes"/>
              </w:rPr>
            </w:pPr>
            <w:r w:rsidRPr="00F14E6C">
              <w:rPr>
                <w:rFonts w:ascii="Calibri" w:eastAsia="MS Mincho" w:hAnsi="Calibri" w:cs="AdvTimes"/>
              </w:rPr>
              <w:t>Humerus</w:t>
            </w:r>
          </w:p>
        </w:tc>
        <w:tc>
          <w:tcPr>
            <w:tcW w:w="0" w:type="auto"/>
          </w:tcPr>
          <w:p w14:paraId="5124665B"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60</w:t>
            </w:r>
          </w:p>
        </w:tc>
        <w:tc>
          <w:tcPr>
            <w:tcW w:w="875" w:type="dxa"/>
          </w:tcPr>
          <w:p w14:paraId="7C779E00" w14:textId="77777777" w:rsidR="00CB0D4F" w:rsidRPr="00F14E6C" w:rsidRDefault="00CB0D4F" w:rsidP="00CB0D4F">
            <w:pPr>
              <w:rPr>
                <w:rFonts w:ascii="Calibri" w:eastAsia="MS Mincho" w:hAnsi="Calibri" w:cs="AdvTimes"/>
              </w:rPr>
            </w:pPr>
            <w:r w:rsidRPr="00F14E6C">
              <w:rPr>
                <w:rFonts w:ascii="Calibri" w:eastAsia="MS Mincho" w:hAnsi="Calibri" w:cs="AdvTimes"/>
              </w:rPr>
              <w:t>5.7</w:t>
            </w:r>
          </w:p>
        </w:tc>
        <w:tc>
          <w:tcPr>
            <w:tcW w:w="1116" w:type="dxa"/>
          </w:tcPr>
          <w:p w14:paraId="13F56A40" w14:textId="77777777" w:rsidR="00CB0D4F" w:rsidRPr="00F14E6C" w:rsidRDefault="00CB0D4F" w:rsidP="00CB0D4F">
            <w:pPr>
              <w:rPr>
                <w:rFonts w:ascii="Calibri" w:eastAsia="MS Mincho" w:hAnsi="Calibri" w:cs="AdvTimes"/>
              </w:rPr>
            </w:pPr>
            <w:r w:rsidRPr="00F14E6C">
              <w:rPr>
                <w:rFonts w:ascii="Calibri" w:eastAsia="MS Mincho" w:hAnsi="Calibri" w:cs="AdvTimes"/>
              </w:rPr>
              <w:t>4.0-8.1</w:t>
            </w:r>
          </w:p>
        </w:tc>
        <w:tc>
          <w:tcPr>
            <w:tcW w:w="995" w:type="dxa"/>
          </w:tcPr>
          <w:p w14:paraId="48F9E3A7" w14:textId="77777777" w:rsidR="00CB0D4F" w:rsidRPr="00F14E6C" w:rsidRDefault="00CB0D4F" w:rsidP="00CB0D4F">
            <w:pPr>
              <w:rPr>
                <w:rFonts w:ascii="Calibri" w:eastAsia="MS Mincho" w:hAnsi="Calibri" w:cs="AdvTimes"/>
              </w:rPr>
            </w:pPr>
            <w:r w:rsidRPr="00F14E6C">
              <w:rPr>
                <w:rFonts w:ascii="Calibri" w:eastAsia="MS Mincho" w:hAnsi="Calibri" w:cs="AdvTimes"/>
              </w:rPr>
              <w:t>2.8</w:t>
            </w:r>
          </w:p>
        </w:tc>
        <w:tc>
          <w:tcPr>
            <w:tcW w:w="996" w:type="dxa"/>
          </w:tcPr>
          <w:p w14:paraId="359F65AB" w14:textId="77777777" w:rsidR="00CB0D4F" w:rsidRPr="00F14E6C" w:rsidRDefault="00CB0D4F" w:rsidP="00CB0D4F">
            <w:pPr>
              <w:rPr>
                <w:rFonts w:ascii="Calibri" w:eastAsia="MS Mincho" w:hAnsi="Calibri" w:cs="AdvTimes"/>
              </w:rPr>
            </w:pPr>
            <w:r w:rsidRPr="00F14E6C">
              <w:rPr>
                <w:rFonts w:ascii="Calibri" w:eastAsia="MS Mincho" w:hAnsi="Calibri" w:cs="AdvTimes"/>
              </w:rPr>
              <w:t>2.2-3.6</w:t>
            </w:r>
          </w:p>
        </w:tc>
        <w:tc>
          <w:tcPr>
            <w:tcW w:w="995" w:type="dxa"/>
          </w:tcPr>
          <w:p w14:paraId="3F0C2F75" w14:textId="77777777" w:rsidR="00CB0D4F" w:rsidRPr="00F14E6C" w:rsidRDefault="00CB0D4F" w:rsidP="00CB0D4F">
            <w:pPr>
              <w:rPr>
                <w:rFonts w:ascii="Calibri" w:eastAsia="MS Mincho" w:hAnsi="Calibri" w:cs="AdvTimes"/>
              </w:rPr>
            </w:pPr>
            <w:r w:rsidRPr="00F14E6C">
              <w:rPr>
                <w:rFonts w:ascii="Calibri" w:eastAsia="MS Mincho" w:hAnsi="Calibri" w:cs="AdvTimes"/>
              </w:rPr>
              <w:t>2.5</w:t>
            </w:r>
          </w:p>
        </w:tc>
        <w:tc>
          <w:tcPr>
            <w:tcW w:w="996" w:type="dxa"/>
          </w:tcPr>
          <w:p w14:paraId="51856947" w14:textId="77777777" w:rsidR="00CB0D4F" w:rsidRPr="00F14E6C" w:rsidRDefault="00CB0D4F" w:rsidP="00CB0D4F">
            <w:pPr>
              <w:rPr>
                <w:rFonts w:ascii="Calibri" w:eastAsia="MS Mincho" w:hAnsi="Calibri" w:cs="AdvTimes"/>
              </w:rPr>
            </w:pPr>
            <w:r w:rsidRPr="00F14E6C">
              <w:rPr>
                <w:rFonts w:ascii="Calibri" w:eastAsia="MS Mincho" w:hAnsi="Calibri" w:cs="AdvTimes"/>
              </w:rPr>
              <w:t>2.0-3.1</w:t>
            </w:r>
          </w:p>
        </w:tc>
      </w:tr>
      <w:tr w:rsidR="00CB0D4F" w:rsidRPr="00F14E6C" w14:paraId="78847FD3" w14:textId="77777777" w:rsidTr="00CB0D4F">
        <w:tc>
          <w:tcPr>
            <w:tcW w:w="0" w:type="auto"/>
          </w:tcPr>
          <w:p w14:paraId="499F0E92" w14:textId="77777777" w:rsidR="00CB0D4F" w:rsidRPr="00F14E6C" w:rsidRDefault="00CB0D4F" w:rsidP="00CB0D4F">
            <w:pPr>
              <w:rPr>
                <w:rFonts w:ascii="Calibri" w:eastAsia="MS Mincho" w:hAnsi="Calibri" w:cs="AdvTimes"/>
              </w:rPr>
            </w:pPr>
          </w:p>
        </w:tc>
        <w:tc>
          <w:tcPr>
            <w:tcW w:w="0" w:type="auto"/>
          </w:tcPr>
          <w:p w14:paraId="75FED5AC"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70</w:t>
            </w:r>
          </w:p>
        </w:tc>
        <w:tc>
          <w:tcPr>
            <w:tcW w:w="875" w:type="dxa"/>
          </w:tcPr>
          <w:p w14:paraId="4C581122" w14:textId="77777777" w:rsidR="00CB0D4F" w:rsidRPr="00F14E6C" w:rsidRDefault="00CB0D4F" w:rsidP="00CB0D4F">
            <w:pPr>
              <w:rPr>
                <w:rFonts w:ascii="Calibri" w:eastAsia="MS Mincho" w:hAnsi="Calibri" w:cs="AdvTimes"/>
              </w:rPr>
            </w:pPr>
            <w:r w:rsidRPr="00F14E6C">
              <w:rPr>
                <w:rFonts w:ascii="Calibri" w:eastAsia="MS Mincho" w:hAnsi="Calibri" w:cs="AdvTimes"/>
              </w:rPr>
              <w:t>5.6</w:t>
            </w:r>
          </w:p>
        </w:tc>
        <w:tc>
          <w:tcPr>
            <w:tcW w:w="1116" w:type="dxa"/>
          </w:tcPr>
          <w:p w14:paraId="699623AF" w14:textId="77777777" w:rsidR="00CB0D4F" w:rsidRPr="00F14E6C" w:rsidRDefault="00CB0D4F" w:rsidP="00CB0D4F">
            <w:pPr>
              <w:rPr>
                <w:rFonts w:ascii="Calibri" w:eastAsia="MS Mincho" w:hAnsi="Calibri" w:cs="AdvTimes"/>
              </w:rPr>
            </w:pPr>
            <w:r w:rsidRPr="00F14E6C">
              <w:rPr>
                <w:rFonts w:ascii="Calibri" w:eastAsia="MS Mincho" w:hAnsi="Calibri" w:cs="AdvTimes"/>
              </w:rPr>
              <w:t>4.1-7.5</w:t>
            </w:r>
          </w:p>
        </w:tc>
        <w:tc>
          <w:tcPr>
            <w:tcW w:w="995" w:type="dxa"/>
          </w:tcPr>
          <w:p w14:paraId="3FE3E4B7" w14:textId="77777777" w:rsidR="00CB0D4F" w:rsidRPr="00F14E6C" w:rsidRDefault="00CB0D4F" w:rsidP="00CB0D4F">
            <w:pPr>
              <w:rPr>
                <w:rFonts w:ascii="Calibri" w:eastAsia="MS Mincho" w:hAnsi="Calibri" w:cs="AdvTimes"/>
              </w:rPr>
            </w:pPr>
            <w:r w:rsidRPr="00F14E6C">
              <w:rPr>
                <w:rFonts w:ascii="Calibri" w:eastAsia="MS Mincho" w:hAnsi="Calibri" w:cs="AdvTimes"/>
              </w:rPr>
              <w:t>2.7</w:t>
            </w:r>
          </w:p>
        </w:tc>
        <w:tc>
          <w:tcPr>
            <w:tcW w:w="996" w:type="dxa"/>
          </w:tcPr>
          <w:p w14:paraId="24CA08CA" w14:textId="77777777" w:rsidR="00CB0D4F" w:rsidRPr="00F14E6C" w:rsidRDefault="00CB0D4F" w:rsidP="00CB0D4F">
            <w:pPr>
              <w:rPr>
                <w:rFonts w:ascii="Calibri" w:eastAsia="MS Mincho" w:hAnsi="Calibri" w:cs="AdvTimes"/>
              </w:rPr>
            </w:pPr>
            <w:r w:rsidRPr="00F14E6C">
              <w:rPr>
                <w:rFonts w:ascii="Calibri" w:eastAsia="MS Mincho" w:hAnsi="Calibri" w:cs="AdvTimes"/>
              </w:rPr>
              <w:t>2.4-3.1</w:t>
            </w:r>
          </w:p>
        </w:tc>
        <w:tc>
          <w:tcPr>
            <w:tcW w:w="995" w:type="dxa"/>
          </w:tcPr>
          <w:p w14:paraId="75BFEBB8" w14:textId="77777777" w:rsidR="00CB0D4F" w:rsidRPr="00F14E6C" w:rsidRDefault="00CB0D4F" w:rsidP="00CB0D4F">
            <w:pPr>
              <w:rPr>
                <w:rFonts w:ascii="Calibri" w:eastAsia="MS Mincho" w:hAnsi="Calibri" w:cs="AdvTimes"/>
              </w:rPr>
            </w:pPr>
            <w:r w:rsidRPr="00F14E6C">
              <w:rPr>
                <w:rFonts w:ascii="Calibri" w:eastAsia="MS Mincho" w:hAnsi="Calibri" w:cs="AdvTimes"/>
              </w:rPr>
              <w:t>2.2</w:t>
            </w:r>
          </w:p>
        </w:tc>
        <w:tc>
          <w:tcPr>
            <w:tcW w:w="996" w:type="dxa"/>
          </w:tcPr>
          <w:p w14:paraId="5EC2F6D7" w14:textId="77777777" w:rsidR="00CB0D4F" w:rsidRPr="00F14E6C" w:rsidRDefault="00CB0D4F" w:rsidP="00CB0D4F">
            <w:pPr>
              <w:rPr>
                <w:rFonts w:ascii="Calibri" w:eastAsia="MS Mincho" w:hAnsi="Calibri" w:cs="AdvTimes"/>
              </w:rPr>
            </w:pPr>
            <w:r w:rsidRPr="00F14E6C">
              <w:rPr>
                <w:rFonts w:ascii="Calibri" w:eastAsia="MS Mincho" w:hAnsi="Calibri" w:cs="AdvTimes"/>
              </w:rPr>
              <w:t>1.7-2.7</w:t>
            </w:r>
          </w:p>
        </w:tc>
      </w:tr>
      <w:tr w:rsidR="00CB0D4F" w:rsidRPr="00F14E6C" w14:paraId="1EEC33FF" w14:textId="77777777" w:rsidTr="00CB0D4F">
        <w:tc>
          <w:tcPr>
            <w:tcW w:w="0" w:type="auto"/>
            <w:tcBorders>
              <w:bottom w:val="nil"/>
            </w:tcBorders>
          </w:tcPr>
          <w:p w14:paraId="0E28CD2C" w14:textId="77777777" w:rsidR="00CB0D4F" w:rsidRPr="00F14E6C" w:rsidRDefault="00CB0D4F" w:rsidP="00CB0D4F">
            <w:pPr>
              <w:rPr>
                <w:rFonts w:ascii="Calibri" w:eastAsia="MS Mincho" w:hAnsi="Calibri" w:cs="AdvTimes"/>
              </w:rPr>
            </w:pPr>
          </w:p>
        </w:tc>
        <w:tc>
          <w:tcPr>
            <w:tcW w:w="0" w:type="auto"/>
            <w:tcBorders>
              <w:bottom w:val="nil"/>
            </w:tcBorders>
          </w:tcPr>
          <w:p w14:paraId="4E53CCDA" w14:textId="77777777" w:rsidR="00CB0D4F" w:rsidRPr="00F14E6C" w:rsidRDefault="00CB0D4F" w:rsidP="000C48FF">
            <w:pPr>
              <w:jc w:val="center"/>
              <w:rPr>
                <w:rFonts w:ascii="Calibri" w:eastAsia="MS Mincho" w:hAnsi="Calibri" w:cs="AdvTimes"/>
              </w:rPr>
            </w:pPr>
            <w:r w:rsidRPr="00F14E6C">
              <w:rPr>
                <w:rFonts w:ascii="Calibri" w:eastAsia="MS Mincho" w:hAnsi="Calibri" w:cs="AdvTimes"/>
              </w:rPr>
              <w:t>80</w:t>
            </w:r>
          </w:p>
        </w:tc>
        <w:tc>
          <w:tcPr>
            <w:tcW w:w="875" w:type="dxa"/>
            <w:tcBorders>
              <w:bottom w:val="nil"/>
            </w:tcBorders>
          </w:tcPr>
          <w:p w14:paraId="7FE6A60D" w14:textId="77777777" w:rsidR="00CB0D4F" w:rsidRPr="00F14E6C" w:rsidRDefault="00CB0D4F" w:rsidP="00CB0D4F">
            <w:pPr>
              <w:rPr>
                <w:rFonts w:ascii="Calibri" w:eastAsia="MS Mincho" w:hAnsi="Calibri" w:cs="AdvTimes"/>
              </w:rPr>
            </w:pPr>
            <w:r w:rsidRPr="00F14E6C">
              <w:rPr>
                <w:rFonts w:ascii="Calibri" w:eastAsia="MS Mincho" w:hAnsi="Calibri" w:cs="AdvTimes"/>
              </w:rPr>
              <w:t>4.9</w:t>
            </w:r>
          </w:p>
        </w:tc>
        <w:tc>
          <w:tcPr>
            <w:tcW w:w="1116" w:type="dxa"/>
            <w:tcBorders>
              <w:bottom w:val="nil"/>
            </w:tcBorders>
          </w:tcPr>
          <w:p w14:paraId="4E7D3F47" w14:textId="77777777" w:rsidR="00CB0D4F" w:rsidRPr="00F14E6C" w:rsidRDefault="00CB0D4F" w:rsidP="00CB0D4F">
            <w:pPr>
              <w:rPr>
                <w:rFonts w:ascii="Calibri" w:eastAsia="MS Mincho" w:hAnsi="Calibri" w:cs="AdvTimes"/>
              </w:rPr>
            </w:pPr>
            <w:r w:rsidRPr="00F14E6C">
              <w:rPr>
                <w:rFonts w:ascii="Calibri" w:eastAsia="MS Mincho" w:hAnsi="Calibri" w:cs="AdvTimes"/>
              </w:rPr>
              <w:t>3.6-6.6</w:t>
            </w:r>
          </w:p>
        </w:tc>
        <w:tc>
          <w:tcPr>
            <w:tcW w:w="995" w:type="dxa"/>
            <w:tcBorders>
              <w:bottom w:val="nil"/>
            </w:tcBorders>
          </w:tcPr>
          <w:p w14:paraId="35F158B1" w14:textId="77777777" w:rsidR="00CB0D4F" w:rsidRPr="00F14E6C" w:rsidRDefault="00CB0D4F" w:rsidP="00CB0D4F">
            <w:pPr>
              <w:rPr>
                <w:rFonts w:ascii="Calibri" w:eastAsia="MS Mincho" w:hAnsi="Calibri" w:cs="AdvTimes"/>
              </w:rPr>
            </w:pPr>
            <w:r w:rsidRPr="00F14E6C">
              <w:rPr>
                <w:rFonts w:ascii="Calibri" w:eastAsia="MS Mincho" w:hAnsi="Calibri" w:cs="AdvTimes"/>
              </w:rPr>
              <w:t>2.3</w:t>
            </w:r>
          </w:p>
        </w:tc>
        <w:tc>
          <w:tcPr>
            <w:tcW w:w="996" w:type="dxa"/>
            <w:tcBorders>
              <w:bottom w:val="nil"/>
            </w:tcBorders>
          </w:tcPr>
          <w:p w14:paraId="06E4463C" w14:textId="77777777" w:rsidR="00CB0D4F" w:rsidRPr="00F14E6C" w:rsidRDefault="00CB0D4F" w:rsidP="00CB0D4F">
            <w:pPr>
              <w:rPr>
                <w:rFonts w:ascii="Calibri" w:eastAsia="MS Mincho" w:hAnsi="Calibri" w:cs="AdvTimes"/>
              </w:rPr>
            </w:pPr>
            <w:r w:rsidRPr="00F14E6C">
              <w:rPr>
                <w:rFonts w:ascii="Calibri" w:eastAsia="MS Mincho" w:hAnsi="Calibri" w:cs="AdvTimes"/>
              </w:rPr>
              <w:t>1.9-2.7</w:t>
            </w:r>
          </w:p>
        </w:tc>
        <w:tc>
          <w:tcPr>
            <w:tcW w:w="995" w:type="dxa"/>
            <w:tcBorders>
              <w:bottom w:val="nil"/>
            </w:tcBorders>
          </w:tcPr>
          <w:p w14:paraId="7E672DA8" w14:textId="77777777" w:rsidR="00CB0D4F" w:rsidRPr="00F14E6C" w:rsidRDefault="00CB0D4F" w:rsidP="00CB0D4F">
            <w:pPr>
              <w:rPr>
                <w:rFonts w:ascii="Calibri" w:eastAsia="MS Mincho" w:hAnsi="Calibri" w:cs="AdvTimes"/>
              </w:rPr>
            </w:pPr>
            <w:r w:rsidRPr="00F14E6C">
              <w:rPr>
                <w:rFonts w:ascii="Calibri" w:eastAsia="MS Mincho" w:hAnsi="Calibri" w:cs="AdvTimes"/>
              </w:rPr>
              <w:t>1.8</w:t>
            </w:r>
          </w:p>
        </w:tc>
        <w:tc>
          <w:tcPr>
            <w:tcW w:w="996" w:type="dxa"/>
            <w:tcBorders>
              <w:bottom w:val="nil"/>
            </w:tcBorders>
          </w:tcPr>
          <w:p w14:paraId="574F7945" w14:textId="77777777" w:rsidR="00CB0D4F" w:rsidRPr="00F14E6C" w:rsidRDefault="00CB0D4F" w:rsidP="00CB0D4F">
            <w:pPr>
              <w:rPr>
                <w:rFonts w:ascii="Calibri" w:eastAsia="MS Mincho" w:hAnsi="Calibri" w:cs="AdvTimes"/>
              </w:rPr>
            </w:pPr>
            <w:r w:rsidRPr="00F14E6C">
              <w:rPr>
                <w:rFonts w:ascii="Calibri" w:eastAsia="MS Mincho" w:hAnsi="Calibri" w:cs="AdvTimes"/>
              </w:rPr>
              <w:t>1.4-2.3</w:t>
            </w:r>
          </w:p>
        </w:tc>
      </w:tr>
      <w:tr w:rsidR="00CB0D4F" w:rsidRPr="00F14E6C" w14:paraId="10F197B5" w14:textId="77777777" w:rsidTr="00CB0D4F">
        <w:tc>
          <w:tcPr>
            <w:tcW w:w="0" w:type="auto"/>
            <w:tcBorders>
              <w:bottom w:val="nil"/>
            </w:tcBorders>
          </w:tcPr>
          <w:p w14:paraId="66936EA3" w14:textId="77777777" w:rsidR="00CB0D4F" w:rsidRPr="00F14E6C" w:rsidRDefault="00CB0D4F" w:rsidP="00CB0D4F">
            <w:pPr>
              <w:rPr>
                <w:rFonts w:ascii="Calibri" w:eastAsia="MS Mincho" w:hAnsi="Calibri" w:cs="AdvTimes"/>
              </w:rPr>
            </w:pPr>
          </w:p>
        </w:tc>
        <w:tc>
          <w:tcPr>
            <w:tcW w:w="0" w:type="auto"/>
            <w:tcBorders>
              <w:bottom w:val="nil"/>
            </w:tcBorders>
          </w:tcPr>
          <w:p w14:paraId="41085B7A" w14:textId="77777777" w:rsidR="00CB0D4F" w:rsidRPr="00F14E6C" w:rsidRDefault="00CB0D4F" w:rsidP="000C48FF">
            <w:pPr>
              <w:jc w:val="center"/>
              <w:rPr>
                <w:rFonts w:ascii="Calibri" w:eastAsia="MS Mincho" w:hAnsi="Calibri" w:cs="AdvTimes"/>
              </w:rPr>
            </w:pPr>
          </w:p>
        </w:tc>
        <w:tc>
          <w:tcPr>
            <w:tcW w:w="875" w:type="dxa"/>
            <w:tcBorders>
              <w:bottom w:val="nil"/>
            </w:tcBorders>
          </w:tcPr>
          <w:p w14:paraId="78AA1F40" w14:textId="77777777" w:rsidR="00CB0D4F" w:rsidRPr="00F14E6C" w:rsidRDefault="00CB0D4F" w:rsidP="00CB0D4F">
            <w:pPr>
              <w:rPr>
                <w:rFonts w:ascii="Calibri" w:eastAsia="MS Mincho" w:hAnsi="Calibri" w:cs="AdvTimes"/>
              </w:rPr>
            </w:pPr>
          </w:p>
        </w:tc>
        <w:tc>
          <w:tcPr>
            <w:tcW w:w="1116" w:type="dxa"/>
            <w:tcBorders>
              <w:bottom w:val="nil"/>
            </w:tcBorders>
          </w:tcPr>
          <w:p w14:paraId="317DC27A" w14:textId="77777777" w:rsidR="00CB0D4F" w:rsidRPr="00F14E6C" w:rsidRDefault="00CB0D4F" w:rsidP="00CB0D4F">
            <w:pPr>
              <w:rPr>
                <w:rFonts w:ascii="Calibri" w:eastAsia="MS Mincho" w:hAnsi="Calibri" w:cs="AdvTimes"/>
              </w:rPr>
            </w:pPr>
          </w:p>
        </w:tc>
        <w:tc>
          <w:tcPr>
            <w:tcW w:w="995" w:type="dxa"/>
            <w:tcBorders>
              <w:bottom w:val="nil"/>
            </w:tcBorders>
          </w:tcPr>
          <w:p w14:paraId="409A8F46" w14:textId="77777777" w:rsidR="00CB0D4F" w:rsidRPr="00F14E6C" w:rsidRDefault="00CB0D4F" w:rsidP="00CB0D4F">
            <w:pPr>
              <w:rPr>
                <w:rFonts w:ascii="Calibri" w:eastAsia="MS Mincho" w:hAnsi="Calibri" w:cs="AdvTimes"/>
              </w:rPr>
            </w:pPr>
          </w:p>
        </w:tc>
        <w:tc>
          <w:tcPr>
            <w:tcW w:w="996" w:type="dxa"/>
            <w:tcBorders>
              <w:bottom w:val="nil"/>
            </w:tcBorders>
          </w:tcPr>
          <w:p w14:paraId="047738D0" w14:textId="77777777" w:rsidR="00CB0D4F" w:rsidRPr="00F14E6C" w:rsidRDefault="00CB0D4F" w:rsidP="00CB0D4F">
            <w:pPr>
              <w:rPr>
                <w:rFonts w:ascii="Calibri" w:eastAsia="MS Mincho" w:hAnsi="Calibri" w:cs="AdvTimes"/>
              </w:rPr>
            </w:pPr>
          </w:p>
        </w:tc>
        <w:tc>
          <w:tcPr>
            <w:tcW w:w="995" w:type="dxa"/>
            <w:tcBorders>
              <w:bottom w:val="nil"/>
            </w:tcBorders>
          </w:tcPr>
          <w:p w14:paraId="6CCB48DE" w14:textId="77777777" w:rsidR="00CB0D4F" w:rsidRPr="00F14E6C" w:rsidRDefault="00CB0D4F" w:rsidP="00CB0D4F">
            <w:pPr>
              <w:rPr>
                <w:rFonts w:ascii="Calibri" w:eastAsia="MS Mincho" w:hAnsi="Calibri" w:cs="AdvTimes"/>
              </w:rPr>
            </w:pPr>
          </w:p>
        </w:tc>
        <w:tc>
          <w:tcPr>
            <w:tcW w:w="996" w:type="dxa"/>
            <w:tcBorders>
              <w:bottom w:val="nil"/>
            </w:tcBorders>
          </w:tcPr>
          <w:p w14:paraId="4DB76D86" w14:textId="77777777" w:rsidR="00CB0D4F" w:rsidRPr="00F14E6C" w:rsidRDefault="00CB0D4F" w:rsidP="00CB0D4F">
            <w:pPr>
              <w:rPr>
                <w:rFonts w:ascii="Calibri" w:eastAsia="MS Mincho" w:hAnsi="Calibri" w:cs="AdvTimes"/>
              </w:rPr>
            </w:pPr>
          </w:p>
        </w:tc>
      </w:tr>
      <w:tr w:rsidR="00CB0D4F" w:rsidRPr="00F14E6C" w14:paraId="316FFF4F" w14:textId="77777777" w:rsidTr="00CB0D4F">
        <w:tc>
          <w:tcPr>
            <w:tcW w:w="0" w:type="auto"/>
            <w:tcBorders>
              <w:top w:val="nil"/>
              <w:bottom w:val="nil"/>
            </w:tcBorders>
          </w:tcPr>
          <w:p w14:paraId="1F55AF0E" w14:textId="19F25ABE" w:rsidR="00CB0D4F" w:rsidRPr="00F14E6C" w:rsidRDefault="00CB0D4F" w:rsidP="00CB0D4F">
            <w:pPr>
              <w:rPr>
                <w:rFonts w:ascii="Calibri" w:eastAsia="MS Mincho" w:hAnsi="Calibri" w:cs="AdvTimes"/>
                <w:i/>
              </w:rPr>
            </w:pPr>
            <w:r w:rsidRPr="00F14E6C">
              <w:rPr>
                <w:rFonts w:ascii="Calibri" w:eastAsia="MS Mincho" w:hAnsi="Calibri" w:cs="AdvTimes"/>
                <w:i/>
              </w:rPr>
              <w:t>MEN</w:t>
            </w:r>
          </w:p>
        </w:tc>
        <w:tc>
          <w:tcPr>
            <w:tcW w:w="0" w:type="auto"/>
            <w:tcBorders>
              <w:top w:val="nil"/>
              <w:bottom w:val="nil"/>
            </w:tcBorders>
          </w:tcPr>
          <w:p w14:paraId="35297DAF" w14:textId="77777777" w:rsidR="00CB0D4F" w:rsidRPr="00F14E6C" w:rsidRDefault="00CB0D4F" w:rsidP="000C48FF">
            <w:pPr>
              <w:jc w:val="center"/>
              <w:rPr>
                <w:rFonts w:ascii="Calibri" w:eastAsia="MS Mincho" w:hAnsi="Calibri" w:cs="AdvTimes"/>
                <w:i/>
              </w:rPr>
            </w:pPr>
          </w:p>
        </w:tc>
        <w:tc>
          <w:tcPr>
            <w:tcW w:w="875" w:type="dxa"/>
            <w:tcBorders>
              <w:top w:val="nil"/>
              <w:bottom w:val="nil"/>
            </w:tcBorders>
          </w:tcPr>
          <w:p w14:paraId="13C77500" w14:textId="77777777" w:rsidR="00CB0D4F" w:rsidRPr="00F14E6C" w:rsidRDefault="00CB0D4F" w:rsidP="00CB0D4F">
            <w:pPr>
              <w:rPr>
                <w:rFonts w:ascii="Calibri" w:eastAsia="MS Mincho" w:hAnsi="Calibri" w:cs="AdvTimes"/>
                <w:i/>
              </w:rPr>
            </w:pPr>
          </w:p>
        </w:tc>
        <w:tc>
          <w:tcPr>
            <w:tcW w:w="1116" w:type="dxa"/>
            <w:tcBorders>
              <w:top w:val="nil"/>
              <w:bottom w:val="nil"/>
            </w:tcBorders>
          </w:tcPr>
          <w:p w14:paraId="65E02CFB" w14:textId="77777777" w:rsidR="00CB0D4F" w:rsidRPr="00F14E6C" w:rsidRDefault="00CB0D4F" w:rsidP="00CB0D4F">
            <w:pPr>
              <w:rPr>
                <w:rFonts w:ascii="Calibri" w:eastAsia="MS Mincho" w:hAnsi="Calibri" w:cs="AdvTimes"/>
                <w:i/>
              </w:rPr>
            </w:pPr>
          </w:p>
        </w:tc>
        <w:tc>
          <w:tcPr>
            <w:tcW w:w="995" w:type="dxa"/>
            <w:tcBorders>
              <w:top w:val="nil"/>
              <w:bottom w:val="nil"/>
            </w:tcBorders>
          </w:tcPr>
          <w:p w14:paraId="642A8AEC" w14:textId="77777777" w:rsidR="00CB0D4F" w:rsidRPr="00F14E6C" w:rsidRDefault="00CB0D4F" w:rsidP="00CB0D4F">
            <w:pPr>
              <w:rPr>
                <w:rFonts w:ascii="Calibri" w:eastAsia="MS Mincho" w:hAnsi="Calibri" w:cs="AdvTimes"/>
                <w:i/>
              </w:rPr>
            </w:pPr>
          </w:p>
        </w:tc>
        <w:tc>
          <w:tcPr>
            <w:tcW w:w="996" w:type="dxa"/>
            <w:tcBorders>
              <w:top w:val="nil"/>
              <w:bottom w:val="nil"/>
            </w:tcBorders>
          </w:tcPr>
          <w:p w14:paraId="4F207599" w14:textId="77777777" w:rsidR="00CB0D4F" w:rsidRPr="00F14E6C" w:rsidRDefault="00CB0D4F" w:rsidP="00CB0D4F">
            <w:pPr>
              <w:rPr>
                <w:rFonts w:ascii="Calibri" w:eastAsia="MS Mincho" w:hAnsi="Calibri" w:cs="AdvTimes"/>
                <w:i/>
              </w:rPr>
            </w:pPr>
          </w:p>
        </w:tc>
        <w:tc>
          <w:tcPr>
            <w:tcW w:w="995" w:type="dxa"/>
            <w:tcBorders>
              <w:top w:val="nil"/>
              <w:bottom w:val="nil"/>
            </w:tcBorders>
          </w:tcPr>
          <w:p w14:paraId="2B4C3DB5" w14:textId="77777777" w:rsidR="00CB0D4F" w:rsidRPr="00F14E6C" w:rsidRDefault="00CB0D4F" w:rsidP="00CB0D4F">
            <w:pPr>
              <w:rPr>
                <w:rFonts w:ascii="Calibri" w:eastAsia="MS Mincho" w:hAnsi="Calibri" w:cs="AdvTimes"/>
                <w:i/>
              </w:rPr>
            </w:pPr>
          </w:p>
        </w:tc>
        <w:tc>
          <w:tcPr>
            <w:tcW w:w="996" w:type="dxa"/>
            <w:tcBorders>
              <w:top w:val="nil"/>
              <w:bottom w:val="nil"/>
            </w:tcBorders>
          </w:tcPr>
          <w:p w14:paraId="26E81B67" w14:textId="77777777" w:rsidR="00CB0D4F" w:rsidRPr="00F14E6C" w:rsidRDefault="00CB0D4F" w:rsidP="00CB0D4F">
            <w:pPr>
              <w:rPr>
                <w:rFonts w:ascii="Calibri" w:eastAsia="MS Mincho" w:hAnsi="Calibri" w:cs="AdvTimes"/>
                <w:i/>
              </w:rPr>
            </w:pPr>
          </w:p>
        </w:tc>
      </w:tr>
      <w:tr w:rsidR="00235E23" w:rsidRPr="00F14E6C" w14:paraId="29AE6298" w14:textId="77777777" w:rsidTr="00CB0D4F">
        <w:tc>
          <w:tcPr>
            <w:tcW w:w="0" w:type="auto"/>
            <w:tcBorders>
              <w:top w:val="nil"/>
            </w:tcBorders>
          </w:tcPr>
          <w:p w14:paraId="30A238B7" w14:textId="77777777" w:rsidR="00235E23" w:rsidRPr="00F14E6C" w:rsidRDefault="00235E23" w:rsidP="00235E23">
            <w:pPr>
              <w:ind w:left="316"/>
              <w:rPr>
                <w:rFonts w:ascii="Calibri" w:eastAsia="MS Mincho" w:hAnsi="Calibri" w:cs="AdvTimes"/>
              </w:rPr>
            </w:pPr>
            <w:r w:rsidRPr="00F14E6C">
              <w:rPr>
                <w:rFonts w:ascii="Calibri" w:eastAsia="MS Mincho" w:hAnsi="Calibri" w:cs="AdvTimes"/>
              </w:rPr>
              <w:t>Hip</w:t>
            </w:r>
          </w:p>
        </w:tc>
        <w:tc>
          <w:tcPr>
            <w:tcW w:w="0" w:type="auto"/>
            <w:tcBorders>
              <w:top w:val="nil"/>
            </w:tcBorders>
          </w:tcPr>
          <w:p w14:paraId="5A66951A" w14:textId="77777777" w:rsidR="00235E23" w:rsidRPr="00F14E6C" w:rsidRDefault="00235E23" w:rsidP="000C48FF">
            <w:pPr>
              <w:jc w:val="center"/>
              <w:rPr>
                <w:rFonts w:ascii="Calibri" w:eastAsia="MS Mincho" w:hAnsi="Calibri" w:cs="AdvTimes"/>
              </w:rPr>
            </w:pPr>
            <w:r w:rsidRPr="00F14E6C">
              <w:rPr>
                <w:rFonts w:ascii="Calibri" w:eastAsia="MS Mincho" w:hAnsi="Calibri" w:cs="AdvTimes"/>
              </w:rPr>
              <w:t>60</w:t>
            </w:r>
          </w:p>
        </w:tc>
        <w:tc>
          <w:tcPr>
            <w:tcW w:w="875" w:type="dxa"/>
            <w:tcBorders>
              <w:top w:val="nil"/>
            </w:tcBorders>
          </w:tcPr>
          <w:p w14:paraId="2C72F15F" w14:textId="621E3D36" w:rsidR="00235E23" w:rsidRPr="00F14E6C" w:rsidRDefault="00235E23" w:rsidP="00235E23">
            <w:pPr>
              <w:rPr>
                <w:rFonts w:ascii="Calibri" w:eastAsia="MS Mincho" w:hAnsi="Calibri" w:cs="AdvTimes"/>
              </w:rPr>
            </w:pPr>
            <w:r w:rsidRPr="00F14E6C">
              <w:rPr>
                <w:rFonts w:ascii="Calibri" w:eastAsia="MS Mincho" w:hAnsi="Calibri" w:cs="AdvTimes"/>
              </w:rPr>
              <w:t>6.8</w:t>
            </w:r>
          </w:p>
        </w:tc>
        <w:tc>
          <w:tcPr>
            <w:tcW w:w="1116" w:type="dxa"/>
            <w:tcBorders>
              <w:top w:val="nil"/>
            </w:tcBorders>
          </w:tcPr>
          <w:p w14:paraId="50A284B4" w14:textId="726B50F1" w:rsidR="00235E23" w:rsidRPr="00F14E6C" w:rsidRDefault="00235E23" w:rsidP="00235E23">
            <w:pPr>
              <w:rPr>
                <w:rFonts w:ascii="Calibri" w:eastAsia="MS Mincho" w:hAnsi="Calibri" w:cs="AdvTimes"/>
              </w:rPr>
            </w:pPr>
            <w:r w:rsidRPr="00F14E6C">
              <w:rPr>
                <w:rFonts w:ascii="Calibri" w:eastAsia="MS Mincho" w:hAnsi="Calibri" w:cs="AdvTimes"/>
              </w:rPr>
              <w:t>4.2-10.9</w:t>
            </w:r>
          </w:p>
        </w:tc>
        <w:tc>
          <w:tcPr>
            <w:tcW w:w="995" w:type="dxa"/>
            <w:tcBorders>
              <w:top w:val="nil"/>
            </w:tcBorders>
          </w:tcPr>
          <w:p w14:paraId="05C9DA44" w14:textId="056AA4D5" w:rsidR="00235E23" w:rsidRPr="00F14E6C" w:rsidRDefault="00235E23" w:rsidP="00235E23">
            <w:pPr>
              <w:rPr>
                <w:rFonts w:ascii="Calibri" w:eastAsia="MS Mincho" w:hAnsi="Calibri" w:cs="AdvTimes"/>
              </w:rPr>
            </w:pPr>
            <w:r w:rsidRPr="00F14E6C">
              <w:rPr>
                <w:rFonts w:ascii="Calibri" w:eastAsia="MS Mincho" w:hAnsi="Calibri" w:cs="AdvTimes"/>
              </w:rPr>
              <w:t>6.1</w:t>
            </w:r>
          </w:p>
        </w:tc>
        <w:tc>
          <w:tcPr>
            <w:tcW w:w="996" w:type="dxa"/>
            <w:tcBorders>
              <w:top w:val="nil"/>
            </w:tcBorders>
          </w:tcPr>
          <w:p w14:paraId="2BC71342" w14:textId="70557C5C" w:rsidR="00235E23" w:rsidRPr="00F14E6C" w:rsidRDefault="00235E23" w:rsidP="00235E23">
            <w:pPr>
              <w:rPr>
                <w:rFonts w:ascii="Calibri" w:eastAsia="MS Mincho" w:hAnsi="Calibri" w:cs="AdvTimes"/>
              </w:rPr>
            </w:pPr>
            <w:r w:rsidRPr="00F14E6C">
              <w:rPr>
                <w:rFonts w:ascii="Calibri" w:eastAsia="MS Mincho" w:hAnsi="Calibri" w:cs="AdvTimes"/>
              </w:rPr>
              <w:t>4.5-8.3</w:t>
            </w:r>
          </w:p>
        </w:tc>
        <w:tc>
          <w:tcPr>
            <w:tcW w:w="995" w:type="dxa"/>
            <w:tcBorders>
              <w:top w:val="nil"/>
            </w:tcBorders>
          </w:tcPr>
          <w:p w14:paraId="0F3A996E" w14:textId="3ED3AA27" w:rsidR="00235E23" w:rsidRPr="00F14E6C" w:rsidRDefault="00235E23" w:rsidP="00235E23">
            <w:pPr>
              <w:rPr>
                <w:rFonts w:ascii="Calibri" w:eastAsia="MS Mincho" w:hAnsi="Calibri" w:cs="AdvTimes"/>
              </w:rPr>
            </w:pPr>
            <w:r w:rsidRPr="00F14E6C">
              <w:rPr>
                <w:rFonts w:ascii="Calibri" w:eastAsia="MS Mincho" w:hAnsi="Calibri" w:cs="AdvTimes"/>
              </w:rPr>
              <w:t>5.1</w:t>
            </w:r>
          </w:p>
        </w:tc>
        <w:tc>
          <w:tcPr>
            <w:tcW w:w="996" w:type="dxa"/>
            <w:tcBorders>
              <w:top w:val="nil"/>
            </w:tcBorders>
          </w:tcPr>
          <w:p w14:paraId="561CCB41" w14:textId="281B49B3" w:rsidR="00235E23" w:rsidRPr="00F14E6C" w:rsidRDefault="00235E23" w:rsidP="00235E23">
            <w:pPr>
              <w:rPr>
                <w:rFonts w:ascii="Calibri" w:eastAsia="MS Mincho" w:hAnsi="Calibri" w:cs="AdvTimes"/>
              </w:rPr>
            </w:pPr>
            <w:r w:rsidRPr="00F14E6C">
              <w:rPr>
                <w:rFonts w:ascii="Calibri" w:eastAsia="MS Mincho" w:hAnsi="Calibri" w:cs="AdvTimes"/>
              </w:rPr>
              <w:t>3.9-6.6</w:t>
            </w:r>
          </w:p>
        </w:tc>
      </w:tr>
      <w:tr w:rsidR="00235E23" w:rsidRPr="00F14E6C" w14:paraId="221948A2" w14:textId="77777777" w:rsidTr="00CB0D4F">
        <w:tc>
          <w:tcPr>
            <w:tcW w:w="0" w:type="auto"/>
          </w:tcPr>
          <w:p w14:paraId="22091CDD" w14:textId="77777777" w:rsidR="00235E23" w:rsidRPr="00F14E6C" w:rsidRDefault="00235E23" w:rsidP="00235E23">
            <w:pPr>
              <w:ind w:left="316"/>
              <w:rPr>
                <w:rFonts w:ascii="Calibri" w:eastAsia="MS Mincho" w:hAnsi="Calibri" w:cs="AdvTimes"/>
              </w:rPr>
            </w:pPr>
          </w:p>
        </w:tc>
        <w:tc>
          <w:tcPr>
            <w:tcW w:w="0" w:type="auto"/>
          </w:tcPr>
          <w:p w14:paraId="52A5143D" w14:textId="77777777" w:rsidR="00235E23" w:rsidRPr="00F14E6C" w:rsidRDefault="00235E23" w:rsidP="000C48FF">
            <w:pPr>
              <w:jc w:val="center"/>
              <w:rPr>
                <w:rFonts w:ascii="Calibri" w:eastAsia="MS Mincho" w:hAnsi="Calibri" w:cs="AdvTimes"/>
              </w:rPr>
            </w:pPr>
            <w:r w:rsidRPr="00F14E6C">
              <w:rPr>
                <w:rFonts w:ascii="Calibri" w:eastAsia="MS Mincho" w:hAnsi="Calibri" w:cs="AdvTimes"/>
              </w:rPr>
              <w:t>70</w:t>
            </w:r>
          </w:p>
        </w:tc>
        <w:tc>
          <w:tcPr>
            <w:tcW w:w="875" w:type="dxa"/>
          </w:tcPr>
          <w:p w14:paraId="22064CB7" w14:textId="7265E65D" w:rsidR="00235E23" w:rsidRPr="00F14E6C" w:rsidRDefault="00235E23" w:rsidP="00235E23">
            <w:pPr>
              <w:rPr>
                <w:rFonts w:ascii="Calibri" w:eastAsia="MS Mincho" w:hAnsi="Calibri" w:cs="AdvTimes"/>
              </w:rPr>
            </w:pPr>
            <w:r w:rsidRPr="00F14E6C">
              <w:rPr>
                <w:rFonts w:ascii="Calibri" w:eastAsia="MS Mincho" w:hAnsi="Calibri" w:cs="AdvTimes"/>
              </w:rPr>
              <w:t>8.2</w:t>
            </w:r>
          </w:p>
        </w:tc>
        <w:tc>
          <w:tcPr>
            <w:tcW w:w="1116" w:type="dxa"/>
          </w:tcPr>
          <w:p w14:paraId="66B9D92D" w14:textId="1AD7BE24" w:rsidR="00235E23" w:rsidRPr="00F14E6C" w:rsidRDefault="00235E23" w:rsidP="00235E23">
            <w:pPr>
              <w:rPr>
                <w:rFonts w:ascii="Calibri" w:eastAsia="MS Mincho" w:hAnsi="Calibri" w:cs="AdvTimes"/>
              </w:rPr>
            </w:pPr>
            <w:r w:rsidRPr="00F14E6C">
              <w:rPr>
                <w:rFonts w:ascii="Calibri" w:eastAsia="MS Mincho" w:hAnsi="Calibri" w:cs="AdvTimes"/>
              </w:rPr>
              <w:t>6.1-11.1</w:t>
            </w:r>
          </w:p>
        </w:tc>
        <w:tc>
          <w:tcPr>
            <w:tcW w:w="995" w:type="dxa"/>
          </w:tcPr>
          <w:p w14:paraId="02CD853E" w14:textId="3C3427AA" w:rsidR="00235E23" w:rsidRPr="00F14E6C" w:rsidRDefault="00235E23" w:rsidP="00235E23">
            <w:pPr>
              <w:rPr>
                <w:rFonts w:ascii="Calibri" w:eastAsia="MS Mincho" w:hAnsi="Calibri" w:cs="AdvTimes"/>
              </w:rPr>
            </w:pPr>
            <w:r w:rsidRPr="00F14E6C">
              <w:rPr>
                <w:rFonts w:ascii="Calibri" w:eastAsia="MS Mincho" w:hAnsi="Calibri" w:cs="AdvTimes"/>
              </w:rPr>
              <w:t>5.4</w:t>
            </w:r>
          </w:p>
        </w:tc>
        <w:tc>
          <w:tcPr>
            <w:tcW w:w="996" w:type="dxa"/>
          </w:tcPr>
          <w:p w14:paraId="217D5299" w14:textId="06F46733" w:rsidR="00235E23" w:rsidRPr="00F14E6C" w:rsidRDefault="00235E23" w:rsidP="00235E23">
            <w:pPr>
              <w:rPr>
                <w:rFonts w:ascii="Calibri" w:eastAsia="MS Mincho" w:hAnsi="Calibri" w:cs="AdvTimes"/>
              </w:rPr>
            </w:pPr>
            <w:r w:rsidRPr="00F14E6C">
              <w:rPr>
                <w:rFonts w:ascii="Calibri" w:eastAsia="MS Mincho" w:hAnsi="Calibri" w:cs="AdvTimes"/>
              </w:rPr>
              <w:t>4.4-6.6</w:t>
            </w:r>
          </w:p>
        </w:tc>
        <w:tc>
          <w:tcPr>
            <w:tcW w:w="995" w:type="dxa"/>
          </w:tcPr>
          <w:p w14:paraId="5FD67E77" w14:textId="3323898C" w:rsidR="00235E23" w:rsidRPr="00F14E6C" w:rsidRDefault="00235E23" w:rsidP="00235E23">
            <w:pPr>
              <w:rPr>
                <w:rFonts w:ascii="Calibri" w:eastAsia="MS Mincho" w:hAnsi="Calibri" w:cs="AdvTimes"/>
              </w:rPr>
            </w:pPr>
            <w:r w:rsidRPr="00F14E6C">
              <w:rPr>
                <w:rFonts w:ascii="Calibri" w:eastAsia="MS Mincho" w:hAnsi="Calibri" w:cs="AdvTimes"/>
              </w:rPr>
              <w:t>4.0</w:t>
            </w:r>
          </w:p>
        </w:tc>
        <w:tc>
          <w:tcPr>
            <w:tcW w:w="996" w:type="dxa"/>
          </w:tcPr>
          <w:p w14:paraId="42BE85A1" w14:textId="1603990E" w:rsidR="00235E23" w:rsidRPr="00F14E6C" w:rsidRDefault="00235E23" w:rsidP="00235E23">
            <w:pPr>
              <w:rPr>
                <w:rFonts w:ascii="Calibri" w:eastAsia="MS Mincho" w:hAnsi="Calibri" w:cs="AdvTimes"/>
              </w:rPr>
            </w:pPr>
            <w:r w:rsidRPr="00F14E6C">
              <w:rPr>
                <w:rFonts w:ascii="Calibri" w:eastAsia="MS Mincho" w:hAnsi="Calibri" w:cs="AdvTimes"/>
              </w:rPr>
              <w:t>3.1-5.2</w:t>
            </w:r>
          </w:p>
        </w:tc>
      </w:tr>
      <w:tr w:rsidR="00235E23" w:rsidRPr="00F14E6C" w14:paraId="3DE53B94" w14:textId="77777777" w:rsidTr="00CB0D4F">
        <w:tc>
          <w:tcPr>
            <w:tcW w:w="0" w:type="auto"/>
          </w:tcPr>
          <w:p w14:paraId="3F042BD8" w14:textId="77777777" w:rsidR="00235E23" w:rsidRPr="00F14E6C" w:rsidRDefault="00235E23" w:rsidP="00235E23">
            <w:pPr>
              <w:ind w:left="316"/>
              <w:rPr>
                <w:rFonts w:ascii="Calibri" w:eastAsia="MS Mincho" w:hAnsi="Calibri" w:cs="AdvTimes"/>
              </w:rPr>
            </w:pPr>
          </w:p>
        </w:tc>
        <w:tc>
          <w:tcPr>
            <w:tcW w:w="0" w:type="auto"/>
          </w:tcPr>
          <w:p w14:paraId="1E12D1C4" w14:textId="77777777" w:rsidR="00235E23" w:rsidRPr="00F14E6C" w:rsidRDefault="00235E23" w:rsidP="000C48FF">
            <w:pPr>
              <w:jc w:val="center"/>
              <w:rPr>
                <w:rFonts w:ascii="Calibri" w:eastAsia="MS Mincho" w:hAnsi="Calibri" w:cs="AdvTimes"/>
              </w:rPr>
            </w:pPr>
            <w:r w:rsidRPr="00F14E6C">
              <w:rPr>
                <w:rFonts w:ascii="Calibri" w:eastAsia="MS Mincho" w:hAnsi="Calibri" w:cs="AdvTimes"/>
              </w:rPr>
              <w:t>80</w:t>
            </w:r>
          </w:p>
        </w:tc>
        <w:tc>
          <w:tcPr>
            <w:tcW w:w="875" w:type="dxa"/>
          </w:tcPr>
          <w:p w14:paraId="53060CF1" w14:textId="3C2D84FB" w:rsidR="00235E23" w:rsidRPr="00F14E6C" w:rsidRDefault="00235E23" w:rsidP="00235E23">
            <w:pPr>
              <w:rPr>
                <w:rFonts w:ascii="Calibri" w:eastAsia="MS Mincho" w:hAnsi="Calibri" w:cs="AdvTimes"/>
              </w:rPr>
            </w:pPr>
            <w:r w:rsidRPr="00F14E6C">
              <w:rPr>
                <w:rFonts w:ascii="Calibri" w:eastAsia="MS Mincho" w:hAnsi="Calibri" w:cs="AdvTimes"/>
              </w:rPr>
              <w:t>6.5</w:t>
            </w:r>
          </w:p>
        </w:tc>
        <w:tc>
          <w:tcPr>
            <w:tcW w:w="1116" w:type="dxa"/>
          </w:tcPr>
          <w:p w14:paraId="2A2B50FE" w14:textId="509F5274" w:rsidR="00235E23" w:rsidRPr="00F14E6C" w:rsidRDefault="00235E23" w:rsidP="00235E23">
            <w:pPr>
              <w:rPr>
                <w:rFonts w:ascii="Calibri" w:eastAsia="MS Mincho" w:hAnsi="Calibri" w:cs="AdvTimes"/>
              </w:rPr>
            </w:pPr>
            <w:r w:rsidRPr="00F14E6C">
              <w:rPr>
                <w:rFonts w:ascii="Calibri" w:eastAsia="MS Mincho" w:hAnsi="Calibri" w:cs="AdvTimes"/>
              </w:rPr>
              <w:t>4.9-8.8</w:t>
            </w:r>
          </w:p>
        </w:tc>
        <w:tc>
          <w:tcPr>
            <w:tcW w:w="995" w:type="dxa"/>
          </w:tcPr>
          <w:p w14:paraId="5ACEF923" w14:textId="0E7FA99D" w:rsidR="00235E23" w:rsidRPr="00F14E6C" w:rsidRDefault="00235E23" w:rsidP="00235E23">
            <w:pPr>
              <w:rPr>
                <w:rFonts w:ascii="Calibri" w:eastAsia="MS Mincho" w:hAnsi="Calibri" w:cs="AdvTimes"/>
              </w:rPr>
            </w:pPr>
            <w:r w:rsidRPr="00F14E6C">
              <w:rPr>
                <w:rFonts w:ascii="Calibri" w:eastAsia="MS Mincho" w:hAnsi="Calibri" w:cs="AdvTimes"/>
              </w:rPr>
              <w:t>3.8</w:t>
            </w:r>
          </w:p>
        </w:tc>
        <w:tc>
          <w:tcPr>
            <w:tcW w:w="996" w:type="dxa"/>
          </w:tcPr>
          <w:p w14:paraId="51389DE3" w14:textId="13D75462" w:rsidR="00235E23" w:rsidRPr="00F14E6C" w:rsidRDefault="00235E23" w:rsidP="00235E23">
            <w:pPr>
              <w:rPr>
                <w:rFonts w:ascii="Calibri" w:eastAsia="MS Mincho" w:hAnsi="Calibri" w:cs="AdvTimes"/>
              </w:rPr>
            </w:pPr>
            <w:r w:rsidRPr="00F14E6C">
              <w:rPr>
                <w:rFonts w:ascii="Calibri" w:eastAsia="MS Mincho" w:hAnsi="Calibri" w:cs="AdvTimes"/>
              </w:rPr>
              <w:t>3.1-4.7</w:t>
            </w:r>
          </w:p>
        </w:tc>
        <w:tc>
          <w:tcPr>
            <w:tcW w:w="995" w:type="dxa"/>
          </w:tcPr>
          <w:p w14:paraId="040DF612" w14:textId="3CE3C649" w:rsidR="00235E23" w:rsidRPr="00F14E6C" w:rsidRDefault="00235E23" w:rsidP="00235E23">
            <w:pPr>
              <w:rPr>
                <w:rFonts w:ascii="Calibri" w:eastAsia="MS Mincho" w:hAnsi="Calibri" w:cs="AdvTimes"/>
              </w:rPr>
            </w:pPr>
            <w:r w:rsidRPr="00F14E6C">
              <w:rPr>
                <w:rFonts w:ascii="Calibri" w:eastAsia="MS Mincho" w:hAnsi="Calibri" w:cs="AdvTimes"/>
              </w:rPr>
              <w:t>2.5</w:t>
            </w:r>
          </w:p>
        </w:tc>
        <w:tc>
          <w:tcPr>
            <w:tcW w:w="996" w:type="dxa"/>
          </w:tcPr>
          <w:p w14:paraId="26A5B388" w14:textId="2A584EC5" w:rsidR="00235E23" w:rsidRPr="00F14E6C" w:rsidRDefault="00235E23" w:rsidP="00235E23">
            <w:pPr>
              <w:rPr>
                <w:rFonts w:ascii="Calibri" w:eastAsia="MS Mincho" w:hAnsi="Calibri" w:cs="AdvTimes"/>
              </w:rPr>
            </w:pPr>
            <w:r w:rsidRPr="00F14E6C">
              <w:rPr>
                <w:rFonts w:ascii="Calibri" w:eastAsia="MS Mincho" w:hAnsi="Calibri" w:cs="AdvTimes"/>
              </w:rPr>
              <w:t>1.9-3.3</w:t>
            </w:r>
          </w:p>
        </w:tc>
      </w:tr>
      <w:tr w:rsidR="00235E23" w:rsidRPr="00F14E6C" w14:paraId="10D24569" w14:textId="77777777" w:rsidTr="00CB0D4F">
        <w:tc>
          <w:tcPr>
            <w:tcW w:w="0" w:type="auto"/>
          </w:tcPr>
          <w:p w14:paraId="1E2B6812" w14:textId="77777777" w:rsidR="00235E23" w:rsidRPr="00F14E6C" w:rsidRDefault="00235E23" w:rsidP="00235E23">
            <w:pPr>
              <w:ind w:left="316"/>
              <w:rPr>
                <w:rFonts w:ascii="Calibri" w:eastAsia="MS Mincho" w:hAnsi="Calibri" w:cs="AdvTimes"/>
              </w:rPr>
            </w:pPr>
            <w:r w:rsidRPr="00F14E6C">
              <w:rPr>
                <w:rFonts w:ascii="Calibri" w:eastAsia="MS Mincho" w:hAnsi="Calibri" w:cs="AdvTimes"/>
              </w:rPr>
              <w:t>Spine</w:t>
            </w:r>
          </w:p>
        </w:tc>
        <w:tc>
          <w:tcPr>
            <w:tcW w:w="0" w:type="auto"/>
          </w:tcPr>
          <w:p w14:paraId="02444313" w14:textId="77777777" w:rsidR="00235E23" w:rsidRPr="00F14E6C" w:rsidRDefault="00235E23" w:rsidP="000C48FF">
            <w:pPr>
              <w:jc w:val="center"/>
              <w:rPr>
                <w:rFonts w:ascii="Calibri" w:eastAsia="MS Mincho" w:hAnsi="Calibri" w:cs="AdvTimes"/>
              </w:rPr>
            </w:pPr>
            <w:r w:rsidRPr="00F14E6C">
              <w:rPr>
                <w:rFonts w:ascii="Calibri" w:eastAsia="MS Mincho" w:hAnsi="Calibri" w:cs="AdvTimes"/>
              </w:rPr>
              <w:t>60</w:t>
            </w:r>
          </w:p>
        </w:tc>
        <w:tc>
          <w:tcPr>
            <w:tcW w:w="875" w:type="dxa"/>
          </w:tcPr>
          <w:p w14:paraId="0FCDDCCA" w14:textId="6663AA01" w:rsidR="00235E23" w:rsidRPr="00F14E6C" w:rsidRDefault="00235E23" w:rsidP="00235E23">
            <w:pPr>
              <w:rPr>
                <w:rFonts w:ascii="Calibri" w:eastAsia="MS Mincho" w:hAnsi="Calibri" w:cs="AdvTimes"/>
              </w:rPr>
            </w:pPr>
            <w:r w:rsidRPr="00F14E6C">
              <w:rPr>
                <w:rFonts w:ascii="Calibri" w:eastAsia="MS Mincho" w:hAnsi="Calibri" w:cs="AdvTimes"/>
              </w:rPr>
              <w:t>8.8</w:t>
            </w:r>
          </w:p>
        </w:tc>
        <w:tc>
          <w:tcPr>
            <w:tcW w:w="1116" w:type="dxa"/>
          </w:tcPr>
          <w:p w14:paraId="679BDD4B" w14:textId="2D284433" w:rsidR="00235E23" w:rsidRPr="00F14E6C" w:rsidRDefault="00235E23" w:rsidP="00235E23">
            <w:pPr>
              <w:rPr>
                <w:rFonts w:ascii="Calibri" w:eastAsia="MS Mincho" w:hAnsi="Calibri" w:cs="AdvTimes"/>
              </w:rPr>
            </w:pPr>
            <w:r w:rsidRPr="00F14E6C">
              <w:rPr>
                <w:rFonts w:ascii="Calibri" w:eastAsia="MS Mincho" w:hAnsi="Calibri" w:cs="AdvTimes"/>
              </w:rPr>
              <w:t>6.3-12.4</w:t>
            </w:r>
          </w:p>
        </w:tc>
        <w:tc>
          <w:tcPr>
            <w:tcW w:w="995" w:type="dxa"/>
          </w:tcPr>
          <w:p w14:paraId="618561A8" w14:textId="658B2368" w:rsidR="00235E23" w:rsidRPr="00F14E6C" w:rsidRDefault="00235E23" w:rsidP="00235E23">
            <w:pPr>
              <w:rPr>
                <w:rFonts w:ascii="Calibri" w:eastAsia="MS Mincho" w:hAnsi="Calibri" w:cs="AdvTimes"/>
              </w:rPr>
            </w:pPr>
            <w:r w:rsidRPr="00F14E6C">
              <w:rPr>
                <w:rFonts w:ascii="Calibri" w:eastAsia="MS Mincho" w:hAnsi="Calibri" w:cs="AdvTimes"/>
              </w:rPr>
              <w:t>4.8</w:t>
            </w:r>
          </w:p>
        </w:tc>
        <w:tc>
          <w:tcPr>
            <w:tcW w:w="996" w:type="dxa"/>
          </w:tcPr>
          <w:p w14:paraId="55005AF2" w14:textId="407DCB9A" w:rsidR="00235E23" w:rsidRPr="00F14E6C" w:rsidRDefault="00235E23" w:rsidP="00235E23">
            <w:pPr>
              <w:rPr>
                <w:rFonts w:ascii="Calibri" w:eastAsia="MS Mincho" w:hAnsi="Calibri" w:cs="AdvTimes"/>
              </w:rPr>
            </w:pPr>
            <w:r w:rsidRPr="00F14E6C">
              <w:rPr>
                <w:rFonts w:ascii="Calibri" w:eastAsia="MS Mincho" w:hAnsi="Calibri" w:cs="AdvTimes"/>
              </w:rPr>
              <w:t>3.7-6.3</w:t>
            </w:r>
          </w:p>
        </w:tc>
        <w:tc>
          <w:tcPr>
            <w:tcW w:w="995" w:type="dxa"/>
          </w:tcPr>
          <w:p w14:paraId="09ADEBDB" w14:textId="4279B328" w:rsidR="00235E23" w:rsidRPr="00F14E6C" w:rsidRDefault="00235E23" w:rsidP="00235E23">
            <w:pPr>
              <w:rPr>
                <w:rFonts w:ascii="Calibri" w:eastAsia="MS Mincho" w:hAnsi="Calibri" w:cs="AdvTimes"/>
              </w:rPr>
            </w:pPr>
            <w:r w:rsidRPr="00F14E6C">
              <w:rPr>
                <w:rFonts w:ascii="Calibri" w:eastAsia="MS Mincho" w:hAnsi="Calibri" w:cs="AdvTimes"/>
              </w:rPr>
              <w:t>3.6</w:t>
            </w:r>
          </w:p>
        </w:tc>
        <w:tc>
          <w:tcPr>
            <w:tcW w:w="996" w:type="dxa"/>
          </w:tcPr>
          <w:p w14:paraId="703DE049" w14:textId="56C8F963" w:rsidR="00235E23" w:rsidRPr="00F14E6C" w:rsidRDefault="00235E23" w:rsidP="00235E23">
            <w:pPr>
              <w:rPr>
                <w:rFonts w:ascii="Calibri" w:eastAsia="MS Mincho" w:hAnsi="Calibri" w:cs="AdvTimes"/>
              </w:rPr>
            </w:pPr>
            <w:r w:rsidRPr="00F14E6C">
              <w:rPr>
                <w:rFonts w:ascii="Calibri" w:eastAsia="MS Mincho" w:hAnsi="Calibri" w:cs="AdvTimes"/>
              </w:rPr>
              <w:t>2.8-4.6</w:t>
            </w:r>
          </w:p>
        </w:tc>
      </w:tr>
      <w:tr w:rsidR="00235E23" w:rsidRPr="00F14E6C" w14:paraId="47F75B66" w14:textId="77777777" w:rsidTr="00CB0D4F">
        <w:tc>
          <w:tcPr>
            <w:tcW w:w="0" w:type="auto"/>
          </w:tcPr>
          <w:p w14:paraId="6DBD8E68" w14:textId="77777777" w:rsidR="00235E23" w:rsidRPr="00F14E6C" w:rsidRDefault="00235E23" w:rsidP="00235E23">
            <w:pPr>
              <w:ind w:left="316"/>
              <w:rPr>
                <w:rFonts w:ascii="Calibri" w:eastAsia="MS Mincho" w:hAnsi="Calibri" w:cs="AdvTimes"/>
              </w:rPr>
            </w:pPr>
          </w:p>
        </w:tc>
        <w:tc>
          <w:tcPr>
            <w:tcW w:w="0" w:type="auto"/>
          </w:tcPr>
          <w:p w14:paraId="1C0D0DA4" w14:textId="77777777" w:rsidR="00235E23" w:rsidRPr="00F14E6C" w:rsidRDefault="00235E23" w:rsidP="000C48FF">
            <w:pPr>
              <w:jc w:val="center"/>
              <w:rPr>
                <w:rFonts w:ascii="Calibri" w:eastAsia="MS Mincho" w:hAnsi="Calibri" w:cs="AdvTimes"/>
              </w:rPr>
            </w:pPr>
            <w:r w:rsidRPr="00F14E6C">
              <w:rPr>
                <w:rFonts w:ascii="Calibri" w:eastAsia="MS Mincho" w:hAnsi="Calibri" w:cs="AdvTimes"/>
              </w:rPr>
              <w:t>70</w:t>
            </w:r>
          </w:p>
        </w:tc>
        <w:tc>
          <w:tcPr>
            <w:tcW w:w="875" w:type="dxa"/>
          </w:tcPr>
          <w:p w14:paraId="3BD108BF" w14:textId="5C1C75C3" w:rsidR="00235E23" w:rsidRPr="00F14E6C" w:rsidRDefault="00235E23" w:rsidP="00235E23">
            <w:pPr>
              <w:rPr>
                <w:rFonts w:ascii="Calibri" w:eastAsia="MS Mincho" w:hAnsi="Calibri" w:cs="AdvTimes"/>
              </w:rPr>
            </w:pPr>
            <w:r w:rsidRPr="00F14E6C">
              <w:rPr>
                <w:rFonts w:ascii="Calibri" w:eastAsia="MS Mincho" w:hAnsi="Calibri" w:cs="AdvTimes"/>
              </w:rPr>
              <w:t>9.1</w:t>
            </w:r>
          </w:p>
        </w:tc>
        <w:tc>
          <w:tcPr>
            <w:tcW w:w="1116" w:type="dxa"/>
          </w:tcPr>
          <w:p w14:paraId="5D495BC1" w14:textId="5C189ABD" w:rsidR="00235E23" w:rsidRPr="00F14E6C" w:rsidRDefault="00235E23" w:rsidP="00235E23">
            <w:pPr>
              <w:rPr>
                <w:rFonts w:ascii="Calibri" w:eastAsia="MS Mincho" w:hAnsi="Calibri" w:cs="AdvTimes"/>
              </w:rPr>
            </w:pPr>
            <w:r w:rsidRPr="00F14E6C">
              <w:rPr>
                <w:rFonts w:ascii="Calibri" w:eastAsia="MS Mincho" w:hAnsi="Calibri" w:cs="AdvTimes"/>
              </w:rPr>
              <w:t>6.7-12.4</w:t>
            </w:r>
          </w:p>
        </w:tc>
        <w:tc>
          <w:tcPr>
            <w:tcW w:w="995" w:type="dxa"/>
          </w:tcPr>
          <w:p w14:paraId="6251E92E" w14:textId="75971B0C" w:rsidR="00235E23" w:rsidRPr="00F14E6C" w:rsidRDefault="00235E23" w:rsidP="00235E23">
            <w:pPr>
              <w:rPr>
                <w:rFonts w:ascii="Calibri" w:eastAsia="MS Mincho" w:hAnsi="Calibri" w:cs="AdvTimes"/>
              </w:rPr>
            </w:pPr>
            <w:r w:rsidRPr="00F14E6C">
              <w:rPr>
                <w:rFonts w:ascii="Calibri" w:eastAsia="MS Mincho" w:hAnsi="Calibri" w:cs="AdvTimes"/>
              </w:rPr>
              <w:t>4.5</w:t>
            </w:r>
          </w:p>
        </w:tc>
        <w:tc>
          <w:tcPr>
            <w:tcW w:w="996" w:type="dxa"/>
          </w:tcPr>
          <w:p w14:paraId="7B6B8364" w14:textId="27EDC59D" w:rsidR="00235E23" w:rsidRPr="00F14E6C" w:rsidRDefault="00235E23" w:rsidP="00235E23">
            <w:pPr>
              <w:rPr>
                <w:rFonts w:ascii="Calibri" w:eastAsia="MS Mincho" w:hAnsi="Calibri" w:cs="AdvTimes"/>
              </w:rPr>
            </w:pPr>
            <w:r w:rsidRPr="00F14E6C">
              <w:rPr>
                <w:rFonts w:ascii="Calibri" w:eastAsia="MS Mincho" w:hAnsi="Calibri" w:cs="AdvTimes"/>
              </w:rPr>
              <w:t>3.6-5.5</w:t>
            </w:r>
          </w:p>
        </w:tc>
        <w:tc>
          <w:tcPr>
            <w:tcW w:w="995" w:type="dxa"/>
          </w:tcPr>
          <w:p w14:paraId="669C92EE" w14:textId="3C50155A" w:rsidR="00235E23" w:rsidRPr="00F14E6C" w:rsidRDefault="00235E23" w:rsidP="00235E23">
            <w:pPr>
              <w:rPr>
                <w:rFonts w:ascii="Calibri" w:eastAsia="MS Mincho" w:hAnsi="Calibri" w:cs="AdvTimes"/>
              </w:rPr>
            </w:pPr>
            <w:r w:rsidRPr="00F14E6C">
              <w:rPr>
                <w:rFonts w:ascii="Calibri" w:eastAsia="MS Mincho" w:hAnsi="Calibri" w:cs="AdvTimes"/>
              </w:rPr>
              <w:t>3.0</w:t>
            </w:r>
          </w:p>
        </w:tc>
        <w:tc>
          <w:tcPr>
            <w:tcW w:w="996" w:type="dxa"/>
          </w:tcPr>
          <w:p w14:paraId="1FBD9B31" w14:textId="7E5A1CA9" w:rsidR="00235E23" w:rsidRPr="00F14E6C" w:rsidRDefault="00235E23" w:rsidP="00235E23">
            <w:pPr>
              <w:rPr>
                <w:rFonts w:ascii="Calibri" w:eastAsia="MS Mincho" w:hAnsi="Calibri" w:cs="AdvTimes"/>
              </w:rPr>
            </w:pPr>
            <w:r w:rsidRPr="00F14E6C">
              <w:rPr>
                <w:rFonts w:ascii="Calibri" w:eastAsia="MS Mincho" w:hAnsi="Calibri" w:cs="AdvTimes"/>
              </w:rPr>
              <w:t>2.3-3.9</w:t>
            </w:r>
          </w:p>
        </w:tc>
      </w:tr>
      <w:tr w:rsidR="00235E23" w:rsidRPr="00F14E6C" w14:paraId="2EAD8CA0" w14:textId="77777777" w:rsidTr="00CB0D4F">
        <w:tc>
          <w:tcPr>
            <w:tcW w:w="0" w:type="auto"/>
          </w:tcPr>
          <w:p w14:paraId="777A4586" w14:textId="77777777" w:rsidR="00235E23" w:rsidRPr="00F14E6C" w:rsidRDefault="00235E23" w:rsidP="00235E23">
            <w:pPr>
              <w:ind w:left="316"/>
              <w:rPr>
                <w:rFonts w:ascii="Calibri" w:eastAsia="MS Mincho" w:hAnsi="Calibri" w:cs="AdvTimes"/>
              </w:rPr>
            </w:pPr>
          </w:p>
        </w:tc>
        <w:tc>
          <w:tcPr>
            <w:tcW w:w="0" w:type="auto"/>
          </w:tcPr>
          <w:p w14:paraId="28CA0DFB" w14:textId="77777777" w:rsidR="00235E23" w:rsidRPr="00F14E6C" w:rsidRDefault="00235E23" w:rsidP="000C48FF">
            <w:pPr>
              <w:jc w:val="center"/>
              <w:rPr>
                <w:rFonts w:ascii="Calibri" w:eastAsia="MS Mincho" w:hAnsi="Calibri" w:cs="AdvTimes"/>
              </w:rPr>
            </w:pPr>
            <w:r w:rsidRPr="00F14E6C">
              <w:rPr>
                <w:rFonts w:ascii="Calibri" w:eastAsia="MS Mincho" w:hAnsi="Calibri" w:cs="AdvTimes"/>
              </w:rPr>
              <w:t>80</w:t>
            </w:r>
          </w:p>
        </w:tc>
        <w:tc>
          <w:tcPr>
            <w:tcW w:w="875" w:type="dxa"/>
          </w:tcPr>
          <w:p w14:paraId="6A872A07" w14:textId="4455AA5E" w:rsidR="00235E23" w:rsidRPr="00F14E6C" w:rsidRDefault="00235E23" w:rsidP="00235E23">
            <w:pPr>
              <w:rPr>
                <w:rFonts w:ascii="Calibri" w:eastAsia="MS Mincho" w:hAnsi="Calibri" w:cs="AdvTimes"/>
              </w:rPr>
            </w:pPr>
            <w:r w:rsidRPr="00F14E6C">
              <w:rPr>
                <w:rFonts w:ascii="Calibri" w:eastAsia="MS Mincho" w:hAnsi="Calibri" w:cs="AdvTimes"/>
              </w:rPr>
              <w:t>7.6</w:t>
            </w:r>
          </w:p>
        </w:tc>
        <w:tc>
          <w:tcPr>
            <w:tcW w:w="1116" w:type="dxa"/>
          </w:tcPr>
          <w:p w14:paraId="5E643232" w14:textId="2C9C46B7" w:rsidR="00235E23" w:rsidRPr="00F14E6C" w:rsidRDefault="00235E23" w:rsidP="00235E23">
            <w:pPr>
              <w:rPr>
                <w:rFonts w:ascii="Calibri" w:eastAsia="MS Mincho" w:hAnsi="Calibri" w:cs="AdvTimes"/>
              </w:rPr>
            </w:pPr>
            <w:r w:rsidRPr="00F14E6C">
              <w:rPr>
                <w:rFonts w:ascii="Calibri" w:eastAsia="MS Mincho" w:hAnsi="Calibri" w:cs="AdvTimes"/>
              </w:rPr>
              <w:t>5.5-10.4</w:t>
            </w:r>
          </w:p>
        </w:tc>
        <w:tc>
          <w:tcPr>
            <w:tcW w:w="995" w:type="dxa"/>
          </w:tcPr>
          <w:p w14:paraId="44E69855" w14:textId="13995E4D" w:rsidR="00235E23" w:rsidRPr="00F14E6C" w:rsidRDefault="00235E23" w:rsidP="00235E23">
            <w:pPr>
              <w:rPr>
                <w:rFonts w:ascii="Calibri" w:eastAsia="MS Mincho" w:hAnsi="Calibri" w:cs="AdvTimes"/>
              </w:rPr>
            </w:pPr>
            <w:r w:rsidRPr="00F14E6C">
              <w:rPr>
                <w:rFonts w:ascii="Calibri" w:eastAsia="MS Mincho" w:hAnsi="Calibri" w:cs="AdvTimes"/>
              </w:rPr>
              <w:t>3.5</w:t>
            </w:r>
          </w:p>
        </w:tc>
        <w:tc>
          <w:tcPr>
            <w:tcW w:w="996" w:type="dxa"/>
          </w:tcPr>
          <w:p w14:paraId="5D6ECB7F" w14:textId="4BEABA07" w:rsidR="00235E23" w:rsidRPr="00F14E6C" w:rsidRDefault="00235E23" w:rsidP="00235E23">
            <w:pPr>
              <w:rPr>
                <w:rFonts w:ascii="Calibri" w:eastAsia="MS Mincho" w:hAnsi="Calibri" w:cs="AdvTimes"/>
              </w:rPr>
            </w:pPr>
            <w:r w:rsidRPr="00F14E6C">
              <w:rPr>
                <w:rFonts w:ascii="Calibri" w:eastAsia="MS Mincho" w:hAnsi="Calibri" w:cs="AdvTimes"/>
              </w:rPr>
              <w:t>2.8-4.4</w:t>
            </w:r>
          </w:p>
        </w:tc>
        <w:tc>
          <w:tcPr>
            <w:tcW w:w="995" w:type="dxa"/>
          </w:tcPr>
          <w:p w14:paraId="7E81A013" w14:textId="2F317383" w:rsidR="00235E23" w:rsidRPr="00F14E6C" w:rsidRDefault="00235E23" w:rsidP="00235E23">
            <w:pPr>
              <w:rPr>
                <w:rFonts w:ascii="Calibri" w:eastAsia="MS Mincho" w:hAnsi="Calibri" w:cs="AdvTimes"/>
              </w:rPr>
            </w:pPr>
            <w:r w:rsidRPr="00F14E6C">
              <w:rPr>
                <w:rFonts w:ascii="Calibri" w:eastAsia="MS Mincho" w:hAnsi="Calibri" w:cs="AdvTimes"/>
              </w:rPr>
              <w:t>2.2</w:t>
            </w:r>
          </w:p>
        </w:tc>
        <w:tc>
          <w:tcPr>
            <w:tcW w:w="996" w:type="dxa"/>
          </w:tcPr>
          <w:p w14:paraId="4DE6EA0B" w14:textId="22B8A0B9" w:rsidR="00235E23" w:rsidRPr="00F14E6C" w:rsidRDefault="00235E23" w:rsidP="00235E23">
            <w:pPr>
              <w:rPr>
                <w:rFonts w:ascii="Calibri" w:eastAsia="MS Mincho" w:hAnsi="Calibri" w:cs="AdvTimes"/>
              </w:rPr>
            </w:pPr>
            <w:r w:rsidRPr="00F14E6C">
              <w:rPr>
                <w:rFonts w:ascii="Calibri" w:eastAsia="MS Mincho" w:hAnsi="Calibri" w:cs="AdvTimes"/>
              </w:rPr>
              <w:t>1.7-3.0</w:t>
            </w:r>
          </w:p>
        </w:tc>
      </w:tr>
      <w:tr w:rsidR="00235E23" w:rsidRPr="00F14E6C" w14:paraId="4AE12EC6" w14:textId="77777777" w:rsidTr="00CB0D4F">
        <w:tc>
          <w:tcPr>
            <w:tcW w:w="0" w:type="auto"/>
          </w:tcPr>
          <w:p w14:paraId="52F8ADCA" w14:textId="77777777" w:rsidR="00235E23" w:rsidRPr="00F14E6C" w:rsidRDefault="00235E23" w:rsidP="00235E23">
            <w:pPr>
              <w:ind w:left="316"/>
              <w:rPr>
                <w:rFonts w:ascii="Calibri" w:eastAsia="MS Mincho" w:hAnsi="Calibri" w:cs="AdvTimes"/>
              </w:rPr>
            </w:pPr>
            <w:r w:rsidRPr="00F14E6C">
              <w:rPr>
                <w:rFonts w:ascii="Calibri" w:eastAsia="MS Mincho" w:hAnsi="Calibri" w:cs="AdvTimes"/>
              </w:rPr>
              <w:t>Forearm</w:t>
            </w:r>
          </w:p>
        </w:tc>
        <w:tc>
          <w:tcPr>
            <w:tcW w:w="0" w:type="auto"/>
          </w:tcPr>
          <w:p w14:paraId="29300C28" w14:textId="77777777" w:rsidR="00235E23" w:rsidRPr="00F14E6C" w:rsidRDefault="00235E23" w:rsidP="000C48FF">
            <w:pPr>
              <w:jc w:val="center"/>
              <w:rPr>
                <w:rFonts w:ascii="Calibri" w:eastAsia="MS Mincho" w:hAnsi="Calibri" w:cs="AdvTimes"/>
              </w:rPr>
            </w:pPr>
            <w:r w:rsidRPr="00F14E6C">
              <w:rPr>
                <w:rFonts w:ascii="Calibri" w:eastAsia="MS Mincho" w:hAnsi="Calibri" w:cs="AdvTimes"/>
              </w:rPr>
              <w:t>60</w:t>
            </w:r>
          </w:p>
        </w:tc>
        <w:tc>
          <w:tcPr>
            <w:tcW w:w="875" w:type="dxa"/>
          </w:tcPr>
          <w:p w14:paraId="334F11FB" w14:textId="6EB6B069" w:rsidR="00235E23" w:rsidRPr="00F14E6C" w:rsidRDefault="00235E23" w:rsidP="00235E23">
            <w:pPr>
              <w:rPr>
                <w:rFonts w:ascii="Calibri" w:eastAsia="MS Mincho" w:hAnsi="Calibri" w:cs="AdvTimes"/>
              </w:rPr>
            </w:pPr>
            <w:r w:rsidRPr="00F14E6C">
              <w:rPr>
                <w:rFonts w:ascii="Calibri" w:eastAsia="MS Mincho" w:hAnsi="Calibri" w:cs="AdvTimes"/>
              </w:rPr>
              <w:t>6.9</w:t>
            </w:r>
          </w:p>
        </w:tc>
        <w:tc>
          <w:tcPr>
            <w:tcW w:w="1116" w:type="dxa"/>
          </w:tcPr>
          <w:p w14:paraId="7B718D8A" w14:textId="529C8911" w:rsidR="00235E23" w:rsidRPr="00F14E6C" w:rsidRDefault="00235E23" w:rsidP="00235E23">
            <w:pPr>
              <w:rPr>
                <w:rFonts w:ascii="Calibri" w:eastAsia="MS Mincho" w:hAnsi="Calibri" w:cs="AdvTimes"/>
              </w:rPr>
            </w:pPr>
            <w:r w:rsidRPr="00F14E6C">
              <w:rPr>
                <w:rFonts w:ascii="Calibri" w:eastAsia="MS Mincho" w:hAnsi="Calibri" w:cs="AdvTimes"/>
              </w:rPr>
              <w:t>5.1-9.3</w:t>
            </w:r>
          </w:p>
        </w:tc>
        <w:tc>
          <w:tcPr>
            <w:tcW w:w="995" w:type="dxa"/>
          </w:tcPr>
          <w:p w14:paraId="4E4FF2A6" w14:textId="5D3AD11B" w:rsidR="00235E23" w:rsidRPr="00F14E6C" w:rsidRDefault="00235E23" w:rsidP="00235E23">
            <w:pPr>
              <w:rPr>
                <w:rFonts w:ascii="Calibri" w:eastAsia="MS Mincho" w:hAnsi="Calibri" w:cs="AdvTimes"/>
              </w:rPr>
            </w:pPr>
            <w:r w:rsidRPr="00F14E6C">
              <w:rPr>
                <w:rFonts w:ascii="Calibri" w:eastAsia="MS Mincho" w:hAnsi="Calibri" w:cs="AdvTimes"/>
              </w:rPr>
              <w:t>4.3</w:t>
            </w:r>
          </w:p>
        </w:tc>
        <w:tc>
          <w:tcPr>
            <w:tcW w:w="996" w:type="dxa"/>
          </w:tcPr>
          <w:p w14:paraId="6C1CAC89" w14:textId="054B47BC" w:rsidR="00235E23" w:rsidRPr="00F14E6C" w:rsidRDefault="00235E23" w:rsidP="00235E23">
            <w:pPr>
              <w:rPr>
                <w:rFonts w:ascii="Calibri" w:eastAsia="MS Mincho" w:hAnsi="Calibri" w:cs="AdvTimes"/>
              </w:rPr>
            </w:pPr>
            <w:r w:rsidRPr="00F14E6C">
              <w:rPr>
                <w:rFonts w:ascii="Calibri" w:eastAsia="MS Mincho" w:hAnsi="Calibri" w:cs="AdvTimes"/>
              </w:rPr>
              <w:t>3.5-5.3</w:t>
            </w:r>
          </w:p>
        </w:tc>
        <w:tc>
          <w:tcPr>
            <w:tcW w:w="995" w:type="dxa"/>
          </w:tcPr>
          <w:p w14:paraId="2313E2A1" w14:textId="3C479AC3" w:rsidR="00235E23" w:rsidRPr="00F14E6C" w:rsidRDefault="00235E23" w:rsidP="00235E23">
            <w:pPr>
              <w:rPr>
                <w:rFonts w:ascii="Calibri" w:eastAsia="MS Mincho" w:hAnsi="Calibri" w:cs="AdvTimes"/>
              </w:rPr>
            </w:pPr>
            <w:r w:rsidRPr="00F14E6C">
              <w:rPr>
                <w:rFonts w:ascii="Calibri" w:eastAsia="MS Mincho" w:hAnsi="Calibri" w:cs="AdvTimes"/>
              </w:rPr>
              <w:t>3.9</w:t>
            </w:r>
          </w:p>
        </w:tc>
        <w:tc>
          <w:tcPr>
            <w:tcW w:w="996" w:type="dxa"/>
          </w:tcPr>
          <w:p w14:paraId="4CEA12D4" w14:textId="4C6A76E3" w:rsidR="00235E23" w:rsidRPr="00F14E6C" w:rsidRDefault="00235E23" w:rsidP="00235E23">
            <w:pPr>
              <w:rPr>
                <w:rFonts w:ascii="Calibri" w:eastAsia="MS Mincho" w:hAnsi="Calibri" w:cs="AdvTimes"/>
              </w:rPr>
            </w:pPr>
            <w:r w:rsidRPr="00F14E6C">
              <w:rPr>
                <w:rFonts w:ascii="Calibri" w:eastAsia="MS Mincho" w:hAnsi="Calibri" w:cs="AdvTimes"/>
              </w:rPr>
              <w:t>3.2-4.8</w:t>
            </w:r>
          </w:p>
        </w:tc>
      </w:tr>
      <w:tr w:rsidR="00235E23" w:rsidRPr="00F14E6C" w14:paraId="2B1AB95F" w14:textId="77777777" w:rsidTr="00CB0D4F">
        <w:tc>
          <w:tcPr>
            <w:tcW w:w="0" w:type="auto"/>
          </w:tcPr>
          <w:p w14:paraId="3BCC4104" w14:textId="77777777" w:rsidR="00235E23" w:rsidRPr="00F14E6C" w:rsidRDefault="00235E23" w:rsidP="00235E23">
            <w:pPr>
              <w:ind w:left="316"/>
              <w:rPr>
                <w:rFonts w:ascii="Calibri" w:eastAsia="MS Mincho" w:hAnsi="Calibri" w:cs="AdvTimes"/>
              </w:rPr>
            </w:pPr>
          </w:p>
        </w:tc>
        <w:tc>
          <w:tcPr>
            <w:tcW w:w="0" w:type="auto"/>
          </w:tcPr>
          <w:p w14:paraId="25E6FD30" w14:textId="77777777" w:rsidR="00235E23" w:rsidRPr="00F14E6C" w:rsidRDefault="00235E23" w:rsidP="000C48FF">
            <w:pPr>
              <w:jc w:val="center"/>
              <w:rPr>
                <w:rFonts w:ascii="Calibri" w:eastAsia="MS Mincho" w:hAnsi="Calibri" w:cs="AdvTimes"/>
              </w:rPr>
            </w:pPr>
            <w:r w:rsidRPr="00F14E6C">
              <w:rPr>
                <w:rFonts w:ascii="Calibri" w:eastAsia="MS Mincho" w:hAnsi="Calibri" w:cs="AdvTimes"/>
              </w:rPr>
              <w:t>70</w:t>
            </w:r>
          </w:p>
        </w:tc>
        <w:tc>
          <w:tcPr>
            <w:tcW w:w="875" w:type="dxa"/>
          </w:tcPr>
          <w:p w14:paraId="298BDFE6" w14:textId="124393F6" w:rsidR="00235E23" w:rsidRPr="00F14E6C" w:rsidRDefault="00235E23" w:rsidP="00235E23">
            <w:pPr>
              <w:rPr>
                <w:rFonts w:ascii="Calibri" w:eastAsia="MS Mincho" w:hAnsi="Calibri" w:cs="AdvTimes"/>
              </w:rPr>
            </w:pPr>
            <w:r w:rsidRPr="00F14E6C">
              <w:rPr>
                <w:rFonts w:ascii="Calibri" w:eastAsia="MS Mincho" w:hAnsi="Calibri" w:cs="AdvTimes"/>
              </w:rPr>
              <w:t>6.6</w:t>
            </w:r>
          </w:p>
        </w:tc>
        <w:tc>
          <w:tcPr>
            <w:tcW w:w="1116" w:type="dxa"/>
          </w:tcPr>
          <w:p w14:paraId="76193CA3" w14:textId="3EBC6FCC" w:rsidR="00235E23" w:rsidRPr="00F14E6C" w:rsidRDefault="00235E23" w:rsidP="00235E23">
            <w:pPr>
              <w:rPr>
                <w:rFonts w:ascii="Calibri" w:eastAsia="MS Mincho" w:hAnsi="Calibri" w:cs="AdvTimes"/>
              </w:rPr>
            </w:pPr>
            <w:r w:rsidRPr="00F14E6C">
              <w:rPr>
                <w:rFonts w:ascii="Calibri" w:eastAsia="MS Mincho" w:hAnsi="Calibri" w:cs="AdvTimes"/>
              </w:rPr>
              <w:t>4.9-8.9</w:t>
            </w:r>
          </w:p>
        </w:tc>
        <w:tc>
          <w:tcPr>
            <w:tcW w:w="995" w:type="dxa"/>
          </w:tcPr>
          <w:p w14:paraId="4138415C" w14:textId="1BEA8B86" w:rsidR="00235E23" w:rsidRPr="00F14E6C" w:rsidRDefault="00235E23" w:rsidP="00235E23">
            <w:pPr>
              <w:rPr>
                <w:rFonts w:ascii="Calibri" w:eastAsia="MS Mincho" w:hAnsi="Calibri" w:cs="AdvTimes"/>
              </w:rPr>
            </w:pPr>
            <w:r w:rsidRPr="00F14E6C">
              <w:rPr>
                <w:rFonts w:ascii="Calibri" w:eastAsia="MS Mincho" w:hAnsi="Calibri" w:cs="AdvTimes"/>
              </w:rPr>
              <w:t>3.6</w:t>
            </w:r>
          </w:p>
        </w:tc>
        <w:tc>
          <w:tcPr>
            <w:tcW w:w="996" w:type="dxa"/>
          </w:tcPr>
          <w:p w14:paraId="263041E9" w14:textId="1C159F58" w:rsidR="00235E23" w:rsidRPr="00F14E6C" w:rsidRDefault="00235E23" w:rsidP="00235E23">
            <w:pPr>
              <w:rPr>
                <w:rFonts w:ascii="Calibri" w:eastAsia="MS Mincho" w:hAnsi="Calibri" w:cs="AdvTimes"/>
              </w:rPr>
            </w:pPr>
            <w:r w:rsidRPr="00F14E6C">
              <w:rPr>
                <w:rFonts w:ascii="Calibri" w:eastAsia="MS Mincho" w:hAnsi="Calibri" w:cs="AdvTimes"/>
              </w:rPr>
              <w:t>3.0-4.3</w:t>
            </w:r>
          </w:p>
        </w:tc>
        <w:tc>
          <w:tcPr>
            <w:tcW w:w="995" w:type="dxa"/>
          </w:tcPr>
          <w:p w14:paraId="245D592B" w14:textId="7206D8E4" w:rsidR="00235E23" w:rsidRPr="00F14E6C" w:rsidRDefault="00235E23" w:rsidP="00235E23">
            <w:pPr>
              <w:rPr>
                <w:rFonts w:ascii="Calibri" w:eastAsia="MS Mincho" w:hAnsi="Calibri" w:cs="AdvTimes"/>
              </w:rPr>
            </w:pPr>
            <w:r w:rsidRPr="00F14E6C">
              <w:rPr>
                <w:rFonts w:ascii="Calibri" w:eastAsia="MS Mincho" w:hAnsi="Calibri" w:cs="AdvTimes"/>
              </w:rPr>
              <w:t>2.9</w:t>
            </w:r>
          </w:p>
        </w:tc>
        <w:tc>
          <w:tcPr>
            <w:tcW w:w="996" w:type="dxa"/>
          </w:tcPr>
          <w:p w14:paraId="2C329213" w14:textId="35F1D81B" w:rsidR="00235E23" w:rsidRPr="00F14E6C" w:rsidRDefault="00235E23" w:rsidP="00235E23">
            <w:pPr>
              <w:rPr>
                <w:rFonts w:ascii="Calibri" w:eastAsia="MS Mincho" w:hAnsi="Calibri" w:cs="AdvTimes"/>
              </w:rPr>
            </w:pPr>
            <w:r w:rsidRPr="00F14E6C">
              <w:rPr>
                <w:rFonts w:ascii="Calibri" w:eastAsia="MS Mincho" w:hAnsi="Calibri" w:cs="AdvTimes"/>
              </w:rPr>
              <w:t>2.4-3.6</w:t>
            </w:r>
          </w:p>
        </w:tc>
      </w:tr>
      <w:tr w:rsidR="00235E23" w:rsidRPr="00F14E6C" w14:paraId="5288EAAA" w14:textId="77777777" w:rsidTr="00CB0D4F">
        <w:tc>
          <w:tcPr>
            <w:tcW w:w="0" w:type="auto"/>
          </w:tcPr>
          <w:p w14:paraId="3B463C84" w14:textId="77777777" w:rsidR="00235E23" w:rsidRPr="00F14E6C" w:rsidRDefault="00235E23" w:rsidP="00235E23">
            <w:pPr>
              <w:ind w:left="316"/>
              <w:rPr>
                <w:rFonts w:ascii="Calibri" w:eastAsia="MS Mincho" w:hAnsi="Calibri" w:cs="AdvTimes"/>
              </w:rPr>
            </w:pPr>
          </w:p>
        </w:tc>
        <w:tc>
          <w:tcPr>
            <w:tcW w:w="0" w:type="auto"/>
          </w:tcPr>
          <w:p w14:paraId="108C66FA" w14:textId="77777777" w:rsidR="00235E23" w:rsidRPr="00F14E6C" w:rsidRDefault="00235E23" w:rsidP="000C48FF">
            <w:pPr>
              <w:jc w:val="center"/>
              <w:rPr>
                <w:rFonts w:ascii="Calibri" w:eastAsia="MS Mincho" w:hAnsi="Calibri" w:cs="AdvTimes"/>
              </w:rPr>
            </w:pPr>
            <w:r w:rsidRPr="00F14E6C">
              <w:rPr>
                <w:rFonts w:ascii="Calibri" w:eastAsia="MS Mincho" w:hAnsi="Calibri" w:cs="AdvTimes"/>
              </w:rPr>
              <w:t>80</w:t>
            </w:r>
          </w:p>
        </w:tc>
        <w:tc>
          <w:tcPr>
            <w:tcW w:w="875" w:type="dxa"/>
          </w:tcPr>
          <w:p w14:paraId="7557422F" w14:textId="007F280B" w:rsidR="00235E23" w:rsidRPr="00F14E6C" w:rsidRDefault="00235E23" w:rsidP="00235E23">
            <w:pPr>
              <w:rPr>
                <w:rFonts w:ascii="Calibri" w:eastAsia="MS Mincho" w:hAnsi="Calibri" w:cs="AdvTimes"/>
              </w:rPr>
            </w:pPr>
            <w:r w:rsidRPr="00F14E6C">
              <w:rPr>
                <w:rFonts w:ascii="Calibri" w:eastAsia="MS Mincho" w:hAnsi="Calibri" w:cs="AdvTimes"/>
              </w:rPr>
              <w:t>4.9</w:t>
            </w:r>
          </w:p>
        </w:tc>
        <w:tc>
          <w:tcPr>
            <w:tcW w:w="1116" w:type="dxa"/>
          </w:tcPr>
          <w:p w14:paraId="2F92FC36" w14:textId="2BFB1B5E" w:rsidR="00235E23" w:rsidRPr="00F14E6C" w:rsidRDefault="00235E23" w:rsidP="00235E23">
            <w:pPr>
              <w:rPr>
                <w:rFonts w:ascii="Calibri" w:eastAsia="MS Mincho" w:hAnsi="Calibri" w:cs="AdvTimes"/>
              </w:rPr>
            </w:pPr>
            <w:r w:rsidRPr="00F14E6C">
              <w:rPr>
                <w:rFonts w:ascii="Calibri" w:eastAsia="MS Mincho" w:hAnsi="Calibri" w:cs="AdvTimes"/>
              </w:rPr>
              <w:t>3.6-6.7</w:t>
            </w:r>
          </w:p>
        </w:tc>
        <w:tc>
          <w:tcPr>
            <w:tcW w:w="995" w:type="dxa"/>
          </w:tcPr>
          <w:p w14:paraId="34E27644" w14:textId="7EF96647" w:rsidR="00235E23" w:rsidRPr="00F14E6C" w:rsidRDefault="00235E23" w:rsidP="00235E23">
            <w:pPr>
              <w:rPr>
                <w:rFonts w:ascii="Calibri" w:eastAsia="MS Mincho" w:hAnsi="Calibri" w:cs="AdvTimes"/>
              </w:rPr>
            </w:pPr>
            <w:r w:rsidRPr="00F14E6C">
              <w:rPr>
                <w:rFonts w:ascii="Calibri" w:eastAsia="MS Mincho" w:hAnsi="Calibri" w:cs="AdvTimes"/>
              </w:rPr>
              <w:t>3.0</w:t>
            </w:r>
          </w:p>
        </w:tc>
        <w:tc>
          <w:tcPr>
            <w:tcW w:w="996" w:type="dxa"/>
          </w:tcPr>
          <w:p w14:paraId="6EDFCF97" w14:textId="629E63FF" w:rsidR="00235E23" w:rsidRPr="00F14E6C" w:rsidRDefault="00235E23" w:rsidP="00235E23">
            <w:pPr>
              <w:rPr>
                <w:rFonts w:ascii="Calibri" w:eastAsia="MS Mincho" w:hAnsi="Calibri" w:cs="AdvTimes"/>
              </w:rPr>
            </w:pPr>
            <w:r w:rsidRPr="00F14E6C">
              <w:rPr>
                <w:rFonts w:ascii="Calibri" w:eastAsia="MS Mincho" w:hAnsi="Calibri" w:cs="AdvTimes"/>
              </w:rPr>
              <w:t>2.5-3.7</w:t>
            </w:r>
          </w:p>
        </w:tc>
        <w:tc>
          <w:tcPr>
            <w:tcW w:w="995" w:type="dxa"/>
          </w:tcPr>
          <w:p w14:paraId="1B2BB93C" w14:textId="50610CBC" w:rsidR="00235E23" w:rsidRPr="00F14E6C" w:rsidRDefault="00235E23" w:rsidP="00235E23">
            <w:pPr>
              <w:rPr>
                <w:rFonts w:ascii="Calibri" w:eastAsia="MS Mincho" w:hAnsi="Calibri" w:cs="AdvTimes"/>
              </w:rPr>
            </w:pPr>
            <w:r w:rsidRPr="00F14E6C">
              <w:rPr>
                <w:rFonts w:ascii="Calibri" w:eastAsia="MS Mincho" w:hAnsi="Calibri" w:cs="AdvTimes"/>
              </w:rPr>
              <w:t>2.8</w:t>
            </w:r>
          </w:p>
        </w:tc>
        <w:tc>
          <w:tcPr>
            <w:tcW w:w="996" w:type="dxa"/>
          </w:tcPr>
          <w:p w14:paraId="776E037E" w14:textId="476CD90F" w:rsidR="00235E23" w:rsidRPr="00F14E6C" w:rsidRDefault="00235E23" w:rsidP="00235E23">
            <w:pPr>
              <w:rPr>
                <w:rFonts w:ascii="Calibri" w:eastAsia="MS Mincho" w:hAnsi="Calibri" w:cs="AdvTimes"/>
              </w:rPr>
            </w:pPr>
            <w:r w:rsidRPr="00F14E6C">
              <w:rPr>
                <w:rFonts w:ascii="Calibri" w:eastAsia="MS Mincho" w:hAnsi="Calibri" w:cs="AdvTimes"/>
              </w:rPr>
              <w:t>2.2-3.5</w:t>
            </w:r>
          </w:p>
        </w:tc>
      </w:tr>
      <w:tr w:rsidR="00235E23" w:rsidRPr="00F14E6C" w14:paraId="2614C7F2" w14:textId="77777777" w:rsidTr="00CB0D4F">
        <w:tc>
          <w:tcPr>
            <w:tcW w:w="0" w:type="auto"/>
          </w:tcPr>
          <w:p w14:paraId="699F5931" w14:textId="77777777" w:rsidR="00235E23" w:rsidRPr="00F14E6C" w:rsidRDefault="00235E23" w:rsidP="00235E23">
            <w:pPr>
              <w:ind w:left="316"/>
              <w:rPr>
                <w:rFonts w:ascii="Calibri" w:eastAsia="MS Mincho" w:hAnsi="Calibri" w:cs="AdvTimes"/>
              </w:rPr>
            </w:pPr>
            <w:r w:rsidRPr="00F14E6C">
              <w:rPr>
                <w:rFonts w:ascii="Calibri" w:eastAsia="MS Mincho" w:hAnsi="Calibri" w:cs="AdvTimes"/>
              </w:rPr>
              <w:t>Humerus</w:t>
            </w:r>
          </w:p>
        </w:tc>
        <w:tc>
          <w:tcPr>
            <w:tcW w:w="0" w:type="auto"/>
          </w:tcPr>
          <w:p w14:paraId="212D9A0C" w14:textId="77777777" w:rsidR="00235E23" w:rsidRPr="00F14E6C" w:rsidRDefault="00235E23" w:rsidP="000C48FF">
            <w:pPr>
              <w:jc w:val="center"/>
              <w:rPr>
                <w:rFonts w:ascii="Calibri" w:eastAsia="MS Mincho" w:hAnsi="Calibri" w:cs="AdvTimes"/>
              </w:rPr>
            </w:pPr>
            <w:r w:rsidRPr="00F14E6C">
              <w:rPr>
                <w:rFonts w:ascii="Calibri" w:eastAsia="MS Mincho" w:hAnsi="Calibri" w:cs="AdvTimes"/>
              </w:rPr>
              <w:t>60</w:t>
            </w:r>
          </w:p>
        </w:tc>
        <w:tc>
          <w:tcPr>
            <w:tcW w:w="875" w:type="dxa"/>
          </w:tcPr>
          <w:p w14:paraId="6D7B91C1" w14:textId="029F7975" w:rsidR="00235E23" w:rsidRPr="00F14E6C" w:rsidRDefault="00235E23" w:rsidP="00235E23">
            <w:pPr>
              <w:rPr>
                <w:rFonts w:ascii="Calibri" w:eastAsia="MS Mincho" w:hAnsi="Calibri" w:cs="AdvTimes"/>
              </w:rPr>
            </w:pPr>
            <w:r w:rsidRPr="00F14E6C">
              <w:rPr>
                <w:rFonts w:ascii="Calibri" w:eastAsia="MS Mincho" w:hAnsi="Calibri" w:cs="AdvTimes"/>
              </w:rPr>
              <w:t>8.0</w:t>
            </w:r>
          </w:p>
        </w:tc>
        <w:tc>
          <w:tcPr>
            <w:tcW w:w="1116" w:type="dxa"/>
          </w:tcPr>
          <w:p w14:paraId="38937952" w14:textId="066388E0" w:rsidR="00235E23" w:rsidRPr="00F14E6C" w:rsidRDefault="00235E23" w:rsidP="00235E23">
            <w:pPr>
              <w:rPr>
                <w:rFonts w:ascii="Calibri" w:eastAsia="MS Mincho" w:hAnsi="Calibri" w:cs="AdvTimes"/>
              </w:rPr>
            </w:pPr>
            <w:r w:rsidRPr="00F14E6C">
              <w:rPr>
                <w:rFonts w:ascii="Calibri" w:eastAsia="MS Mincho" w:hAnsi="Calibri" w:cs="AdvTimes"/>
              </w:rPr>
              <w:t>5.4-11.8</w:t>
            </w:r>
          </w:p>
        </w:tc>
        <w:tc>
          <w:tcPr>
            <w:tcW w:w="995" w:type="dxa"/>
          </w:tcPr>
          <w:p w14:paraId="0CA22153" w14:textId="52820345" w:rsidR="00235E23" w:rsidRPr="00F14E6C" w:rsidRDefault="00235E23" w:rsidP="00235E23">
            <w:pPr>
              <w:rPr>
                <w:rFonts w:ascii="Calibri" w:eastAsia="MS Mincho" w:hAnsi="Calibri" w:cs="AdvTimes"/>
              </w:rPr>
            </w:pPr>
            <w:r w:rsidRPr="00F14E6C">
              <w:rPr>
                <w:rFonts w:ascii="Calibri" w:eastAsia="MS Mincho" w:hAnsi="Calibri" w:cs="AdvTimes"/>
              </w:rPr>
              <w:t>3.9</w:t>
            </w:r>
          </w:p>
        </w:tc>
        <w:tc>
          <w:tcPr>
            <w:tcW w:w="996" w:type="dxa"/>
          </w:tcPr>
          <w:p w14:paraId="42E51B29" w14:textId="654F3DB8" w:rsidR="00235E23" w:rsidRPr="00F14E6C" w:rsidRDefault="00235E23" w:rsidP="00235E23">
            <w:pPr>
              <w:rPr>
                <w:rFonts w:ascii="Calibri" w:eastAsia="MS Mincho" w:hAnsi="Calibri" w:cs="AdvTimes"/>
              </w:rPr>
            </w:pPr>
            <w:r w:rsidRPr="00F14E6C">
              <w:rPr>
                <w:rFonts w:ascii="Calibri" w:eastAsia="MS Mincho" w:hAnsi="Calibri" w:cs="AdvTimes"/>
              </w:rPr>
              <w:t>2.8-5.4</w:t>
            </w:r>
          </w:p>
        </w:tc>
        <w:tc>
          <w:tcPr>
            <w:tcW w:w="995" w:type="dxa"/>
          </w:tcPr>
          <w:p w14:paraId="6A4FBB99" w14:textId="08DBB834" w:rsidR="00235E23" w:rsidRPr="00F14E6C" w:rsidRDefault="00235E23" w:rsidP="00235E23">
            <w:pPr>
              <w:rPr>
                <w:rFonts w:ascii="Calibri" w:eastAsia="MS Mincho" w:hAnsi="Calibri" w:cs="AdvTimes"/>
              </w:rPr>
            </w:pPr>
            <w:r w:rsidRPr="00F14E6C">
              <w:rPr>
                <w:rFonts w:ascii="Calibri" w:eastAsia="MS Mincho" w:hAnsi="Calibri" w:cs="AdvTimes"/>
              </w:rPr>
              <w:t>3.5</w:t>
            </w:r>
          </w:p>
        </w:tc>
        <w:tc>
          <w:tcPr>
            <w:tcW w:w="996" w:type="dxa"/>
          </w:tcPr>
          <w:p w14:paraId="0FDCD645" w14:textId="718D6F72" w:rsidR="00235E23" w:rsidRPr="00F14E6C" w:rsidRDefault="00235E23" w:rsidP="00235E23">
            <w:pPr>
              <w:rPr>
                <w:rFonts w:ascii="Calibri" w:eastAsia="MS Mincho" w:hAnsi="Calibri" w:cs="AdvTimes"/>
              </w:rPr>
            </w:pPr>
            <w:r w:rsidRPr="00F14E6C">
              <w:rPr>
                <w:rFonts w:ascii="Calibri" w:eastAsia="MS Mincho" w:hAnsi="Calibri" w:cs="AdvTimes"/>
              </w:rPr>
              <w:t>2.6-4.6</w:t>
            </w:r>
          </w:p>
        </w:tc>
      </w:tr>
      <w:tr w:rsidR="00235E23" w:rsidRPr="00F14E6C" w14:paraId="77B164BE" w14:textId="77777777" w:rsidTr="00CB0D4F">
        <w:tc>
          <w:tcPr>
            <w:tcW w:w="0" w:type="auto"/>
          </w:tcPr>
          <w:p w14:paraId="06474F35" w14:textId="77777777" w:rsidR="00235E23" w:rsidRPr="00F14E6C" w:rsidRDefault="00235E23" w:rsidP="00235E23">
            <w:pPr>
              <w:ind w:left="316"/>
              <w:rPr>
                <w:rFonts w:ascii="Calibri" w:eastAsia="MS Mincho" w:hAnsi="Calibri" w:cs="AdvTimes"/>
              </w:rPr>
            </w:pPr>
          </w:p>
        </w:tc>
        <w:tc>
          <w:tcPr>
            <w:tcW w:w="0" w:type="auto"/>
          </w:tcPr>
          <w:p w14:paraId="78B651E2" w14:textId="77777777" w:rsidR="00235E23" w:rsidRPr="00F14E6C" w:rsidRDefault="00235E23" w:rsidP="000C48FF">
            <w:pPr>
              <w:jc w:val="center"/>
              <w:rPr>
                <w:rFonts w:ascii="Calibri" w:eastAsia="MS Mincho" w:hAnsi="Calibri" w:cs="AdvTimes"/>
              </w:rPr>
            </w:pPr>
            <w:r w:rsidRPr="00F14E6C">
              <w:rPr>
                <w:rFonts w:ascii="Calibri" w:eastAsia="MS Mincho" w:hAnsi="Calibri" w:cs="AdvTimes"/>
              </w:rPr>
              <w:t>70</w:t>
            </w:r>
          </w:p>
        </w:tc>
        <w:tc>
          <w:tcPr>
            <w:tcW w:w="875" w:type="dxa"/>
          </w:tcPr>
          <w:p w14:paraId="05703CB2" w14:textId="4CC56E76" w:rsidR="00235E23" w:rsidRPr="00F14E6C" w:rsidRDefault="00235E23" w:rsidP="00235E23">
            <w:pPr>
              <w:rPr>
                <w:rFonts w:ascii="Calibri" w:eastAsia="MS Mincho" w:hAnsi="Calibri" w:cs="AdvTimes"/>
              </w:rPr>
            </w:pPr>
            <w:r w:rsidRPr="00F14E6C">
              <w:rPr>
                <w:rFonts w:ascii="Calibri" w:eastAsia="MS Mincho" w:hAnsi="Calibri" w:cs="AdvTimes"/>
              </w:rPr>
              <w:t>7.8</w:t>
            </w:r>
          </w:p>
        </w:tc>
        <w:tc>
          <w:tcPr>
            <w:tcW w:w="1116" w:type="dxa"/>
          </w:tcPr>
          <w:p w14:paraId="3DD53A3A" w14:textId="17A8E2F0" w:rsidR="00235E23" w:rsidRPr="00F14E6C" w:rsidRDefault="00235E23" w:rsidP="00235E23">
            <w:pPr>
              <w:rPr>
                <w:rFonts w:ascii="Calibri" w:eastAsia="MS Mincho" w:hAnsi="Calibri" w:cs="AdvTimes"/>
              </w:rPr>
            </w:pPr>
            <w:r w:rsidRPr="00F14E6C">
              <w:rPr>
                <w:rFonts w:ascii="Calibri" w:eastAsia="MS Mincho" w:hAnsi="Calibri" w:cs="AdvTimes"/>
              </w:rPr>
              <w:t>5.4-11.2</w:t>
            </w:r>
          </w:p>
        </w:tc>
        <w:tc>
          <w:tcPr>
            <w:tcW w:w="995" w:type="dxa"/>
          </w:tcPr>
          <w:p w14:paraId="38279A70" w14:textId="18AB3B18" w:rsidR="00235E23" w:rsidRPr="00F14E6C" w:rsidRDefault="00235E23" w:rsidP="00235E23">
            <w:pPr>
              <w:rPr>
                <w:rFonts w:ascii="Calibri" w:eastAsia="MS Mincho" w:hAnsi="Calibri" w:cs="AdvTimes"/>
              </w:rPr>
            </w:pPr>
            <w:r w:rsidRPr="00F14E6C">
              <w:rPr>
                <w:rFonts w:ascii="Calibri" w:eastAsia="MS Mincho" w:hAnsi="Calibri" w:cs="AdvTimes"/>
              </w:rPr>
              <w:t>3.8</w:t>
            </w:r>
          </w:p>
        </w:tc>
        <w:tc>
          <w:tcPr>
            <w:tcW w:w="996" w:type="dxa"/>
          </w:tcPr>
          <w:p w14:paraId="625C8C95" w14:textId="2825EBE6" w:rsidR="00235E23" w:rsidRPr="00F14E6C" w:rsidRDefault="00235E23" w:rsidP="00235E23">
            <w:pPr>
              <w:rPr>
                <w:rFonts w:ascii="Calibri" w:eastAsia="MS Mincho" w:hAnsi="Calibri" w:cs="AdvTimes"/>
              </w:rPr>
            </w:pPr>
            <w:r w:rsidRPr="00F14E6C">
              <w:rPr>
                <w:rFonts w:ascii="Calibri" w:eastAsia="MS Mincho" w:hAnsi="Calibri" w:cs="AdvTimes"/>
              </w:rPr>
              <w:t>3.0-4.8</w:t>
            </w:r>
          </w:p>
        </w:tc>
        <w:tc>
          <w:tcPr>
            <w:tcW w:w="995" w:type="dxa"/>
          </w:tcPr>
          <w:p w14:paraId="138A1E6D" w14:textId="59AB2EF7" w:rsidR="00235E23" w:rsidRPr="00F14E6C" w:rsidRDefault="00235E23" w:rsidP="00235E23">
            <w:pPr>
              <w:rPr>
                <w:rFonts w:ascii="Calibri" w:eastAsia="MS Mincho" w:hAnsi="Calibri" w:cs="AdvTimes"/>
              </w:rPr>
            </w:pPr>
            <w:r w:rsidRPr="00F14E6C">
              <w:rPr>
                <w:rFonts w:ascii="Calibri" w:eastAsia="MS Mincho" w:hAnsi="Calibri" w:cs="AdvTimes"/>
              </w:rPr>
              <w:t>3.0</w:t>
            </w:r>
          </w:p>
        </w:tc>
        <w:tc>
          <w:tcPr>
            <w:tcW w:w="996" w:type="dxa"/>
          </w:tcPr>
          <w:p w14:paraId="34BDFD76" w14:textId="01FFE4F3" w:rsidR="00235E23" w:rsidRPr="00F14E6C" w:rsidRDefault="00235E23" w:rsidP="00235E23">
            <w:pPr>
              <w:rPr>
                <w:rFonts w:ascii="Calibri" w:eastAsia="MS Mincho" w:hAnsi="Calibri" w:cs="AdvTimes"/>
              </w:rPr>
            </w:pPr>
            <w:r w:rsidRPr="00F14E6C">
              <w:rPr>
                <w:rFonts w:ascii="Calibri" w:eastAsia="MS Mincho" w:hAnsi="Calibri" w:cs="AdvTimes"/>
              </w:rPr>
              <w:t>2.3-4.1</w:t>
            </w:r>
          </w:p>
        </w:tc>
      </w:tr>
      <w:tr w:rsidR="00235E23" w:rsidRPr="00F14E6C" w14:paraId="7D6890E2" w14:textId="77777777" w:rsidTr="00CB0D4F">
        <w:tc>
          <w:tcPr>
            <w:tcW w:w="0" w:type="auto"/>
          </w:tcPr>
          <w:p w14:paraId="6B72B4CC" w14:textId="77777777" w:rsidR="00235E23" w:rsidRPr="00F14E6C" w:rsidRDefault="00235E23" w:rsidP="00235E23">
            <w:pPr>
              <w:ind w:left="316"/>
              <w:rPr>
                <w:rFonts w:ascii="Calibri" w:eastAsia="MS Mincho" w:hAnsi="Calibri" w:cs="AdvTimes"/>
              </w:rPr>
            </w:pPr>
          </w:p>
        </w:tc>
        <w:tc>
          <w:tcPr>
            <w:tcW w:w="0" w:type="auto"/>
          </w:tcPr>
          <w:p w14:paraId="2A8EE5FB" w14:textId="77777777" w:rsidR="00235E23" w:rsidRPr="00F14E6C" w:rsidRDefault="00235E23" w:rsidP="000C48FF">
            <w:pPr>
              <w:jc w:val="center"/>
              <w:rPr>
                <w:rFonts w:ascii="Calibri" w:eastAsia="MS Mincho" w:hAnsi="Calibri" w:cs="AdvTimes"/>
              </w:rPr>
            </w:pPr>
            <w:r w:rsidRPr="00F14E6C">
              <w:rPr>
                <w:rFonts w:ascii="Calibri" w:eastAsia="MS Mincho" w:hAnsi="Calibri" w:cs="AdvTimes"/>
              </w:rPr>
              <w:t>80</w:t>
            </w:r>
          </w:p>
        </w:tc>
        <w:tc>
          <w:tcPr>
            <w:tcW w:w="875" w:type="dxa"/>
          </w:tcPr>
          <w:p w14:paraId="47198901" w14:textId="6079002E" w:rsidR="00235E23" w:rsidRPr="00F14E6C" w:rsidRDefault="00235E23" w:rsidP="00235E23">
            <w:pPr>
              <w:rPr>
                <w:rFonts w:ascii="Calibri" w:eastAsia="MS Mincho" w:hAnsi="Calibri" w:cs="AdvTimes"/>
              </w:rPr>
            </w:pPr>
            <w:r w:rsidRPr="00F14E6C">
              <w:rPr>
                <w:rFonts w:ascii="Calibri" w:eastAsia="MS Mincho" w:hAnsi="Calibri" w:cs="AdvTimes"/>
              </w:rPr>
              <w:t>6.8</w:t>
            </w:r>
          </w:p>
        </w:tc>
        <w:tc>
          <w:tcPr>
            <w:tcW w:w="1116" w:type="dxa"/>
          </w:tcPr>
          <w:p w14:paraId="39A9B565" w14:textId="77FDE54A" w:rsidR="00235E23" w:rsidRPr="00F14E6C" w:rsidRDefault="00235E23" w:rsidP="00235E23">
            <w:pPr>
              <w:rPr>
                <w:rFonts w:ascii="Calibri" w:eastAsia="MS Mincho" w:hAnsi="Calibri" w:cs="AdvTimes"/>
              </w:rPr>
            </w:pPr>
            <w:r w:rsidRPr="00F14E6C">
              <w:rPr>
                <w:rFonts w:ascii="Calibri" w:eastAsia="MS Mincho" w:hAnsi="Calibri" w:cs="AdvTimes"/>
              </w:rPr>
              <w:t>4.7-9.8</w:t>
            </w:r>
          </w:p>
        </w:tc>
        <w:tc>
          <w:tcPr>
            <w:tcW w:w="995" w:type="dxa"/>
          </w:tcPr>
          <w:p w14:paraId="3EA0A8DA" w14:textId="0A5F1D43" w:rsidR="00235E23" w:rsidRPr="00F14E6C" w:rsidRDefault="00235E23" w:rsidP="00235E23">
            <w:pPr>
              <w:rPr>
                <w:rFonts w:ascii="Calibri" w:eastAsia="MS Mincho" w:hAnsi="Calibri" w:cs="AdvTimes"/>
              </w:rPr>
            </w:pPr>
            <w:r w:rsidRPr="00F14E6C">
              <w:rPr>
                <w:rFonts w:ascii="Calibri" w:eastAsia="MS Mincho" w:hAnsi="Calibri" w:cs="AdvTimes"/>
              </w:rPr>
              <w:t>3.2</w:t>
            </w:r>
          </w:p>
        </w:tc>
        <w:tc>
          <w:tcPr>
            <w:tcW w:w="996" w:type="dxa"/>
          </w:tcPr>
          <w:p w14:paraId="347A7FC6" w14:textId="529C3135" w:rsidR="00235E23" w:rsidRPr="00F14E6C" w:rsidRDefault="00235E23" w:rsidP="00235E23">
            <w:pPr>
              <w:rPr>
                <w:rFonts w:ascii="Calibri" w:eastAsia="MS Mincho" w:hAnsi="Calibri" w:cs="AdvTimes"/>
              </w:rPr>
            </w:pPr>
            <w:r w:rsidRPr="00F14E6C">
              <w:rPr>
                <w:rFonts w:ascii="Calibri" w:eastAsia="MS Mincho" w:hAnsi="Calibri" w:cs="AdvTimes"/>
              </w:rPr>
              <w:t>2.4-4.2</w:t>
            </w:r>
          </w:p>
        </w:tc>
        <w:tc>
          <w:tcPr>
            <w:tcW w:w="995" w:type="dxa"/>
          </w:tcPr>
          <w:p w14:paraId="5A849AD5" w14:textId="4766B629" w:rsidR="00235E23" w:rsidRPr="00F14E6C" w:rsidRDefault="00235E23" w:rsidP="00235E23">
            <w:pPr>
              <w:rPr>
                <w:rFonts w:ascii="Calibri" w:eastAsia="MS Mincho" w:hAnsi="Calibri" w:cs="AdvTimes"/>
              </w:rPr>
            </w:pPr>
            <w:r w:rsidRPr="00F14E6C">
              <w:rPr>
                <w:rFonts w:ascii="Calibri" w:eastAsia="MS Mincho" w:hAnsi="Calibri" w:cs="AdvTimes"/>
              </w:rPr>
              <w:t>2.5</w:t>
            </w:r>
          </w:p>
        </w:tc>
        <w:tc>
          <w:tcPr>
            <w:tcW w:w="996" w:type="dxa"/>
          </w:tcPr>
          <w:p w14:paraId="2C34B74B" w14:textId="7236196A" w:rsidR="00235E23" w:rsidRPr="00F14E6C" w:rsidRDefault="00235E23" w:rsidP="00235E23">
            <w:pPr>
              <w:rPr>
                <w:rFonts w:ascii="Calibri" w:eastAsia="MS Mincho" w:hAnsi="Calibri" w:cs="AdvTimes"/>
              </w:rPr>
            </w:pPr>
            <w:r w:rsidRPr="00F14E6C">
              <w:rPr>
                <w:rFonts w:ascii="Calibri" w:eastAsia="MS Mincho" w:hAnsi="Calibri" w:cs="AdvTimes"/>
              </w:rPr>
              <w:t>1.8-3.4</w:t>
            </w:r>
          </w:p>
        </w:tc>
      </w:tr>
    </w:tbl>
    <w:p w14:paraId="7F7A50D0" w14:textId="77777777" w:rsidR="00CB0D4F" w:rsidRPr="00F14E6C" w:rsidRDefault="00CB0D4F" w:rsidP="00123E0D">
      <w:pPr>
        <w:rPr>
          <w:rFonts w:ascii="Calibri" w:eastAsia="MS Mincho" w:hAnsi="Calibri" w:cs="AdvTimes"/>
        </w:rPr>
      </w:pPr>
    </w:p>
    <w:p w14:paraId="73B3BB68" w14:textId="77777777" w:rsidR="00BC7382" w:rsidRPr="00F14E6C" w:rsidRDefault="00BC7382" w:rsidP="007A2475">
      <w:pPr>
        <w:spacing w:after="0" w:line="276" w:lineRule="auto"/>
        <w:rPr>
          <w:rFonts w:ascii="Calibri" w:eastAsia="MS Mincho" w:hAnsi="Calibri" w:cs="Arial"/>
          <w:i/>
          <w:lang w:eastAsia="ja-JP"/>
        </w:rPr>
      </w:pPr>
      <w:r w:rsidRPr="00F14E6C">
        <w:rPr>
          <w:rFonts w:ascii="Calibri" w:eastAsia="MS Mincho" w:hAnsi="Calibri" w:cs="Arial"/>
          <w:i/>
          <w:lang w:eastAsia="ja-JP"/>
        </w:rPr>
        <w:t>Deaths</w:t>
      </w:r>
    </w:p>
    <w:p w14:paraId="512972B3" w14:textId="700DF42C" w:rsidR="00BC7382" w:rsidRPr="00F14E6C" w:rsidRDefault="00BC7382" w:rsidP="00BC7382">
      <w:pPr>
        <w:rPr>
          <w:rFonts w:ascii="Calibri" w:eastAsia="MS Mincho" w:hAnsi="Calibri" w:cs="AdvTimes"/>
        </w:rPr>
      </w:pPr>
      <w:r w:rsidRPr="00F14E6C">
        <w:rPr>
          <w:rFonts w:ascii="Calibri" w:eastAsia="MS Mincho" w:hAnsi="Calibri" w:cs="AdvTimes"/>
        </w:rPr>
        <w:t xml:space="preserve">In the </w:t>
      </w:r>
      <w:r w:rsidR="003B2419" w:rsidRPr="00F14E6C">
        <w:rPr>
          <w:rFonts w:ascii="Calibri" w:eastAsia="MS Mincho" w:hAnsi="Calibri" w:cs="AdvTimes"/>
        </w:rPr>
        <w:t>whole cohort</w:t>
      </w:r>
      <w:r w:rsidRPr="00F14E6C">
        <w:rPr>
          <w:rFonts w:ascii="Calibri" w:eastAsia="MS Mincho" w:hAnsi="Calibri" w:cs="AdvTimes"/>
        </w:rPr>
        <w:t xml:space="preserve">, 1768 deaths occurred within </w:t>
      </w:r>
      <w:r w:rsidR="004C6507" w:rsidRPr="00F14E6C">
        <w:rPr>
          <w:rFonts w:ascii="Calibri" w:eastAsia="MS Mincho" w:hAnsi="Calibri" w:cs="AdvTimes"/>
        </w:rPr>
        <w:t xml:space="preserve">the </w:t>
      </w:r>
      <w:r w:rsidRPr="00F14E6C">
        <w:rPr>
          <w:rFonts w:ascii="Calibri" w:eastAsia="MS Mincho" w:hAnsi="Calibri" w:cs="AdvTimes"/>
        </w:rPr>
        <w:t xml:space="preserve">10 years of follow up.  </w:t>
      </w:r>
      <w:r w:rsidR="001C71BB" w:rsidRPr="00F14E6C">
        <w:rPr>
          <w:rFonts w:ascii="Calibri" w:eastAsia="MS Mincho" w:hAnsi="Calibri" w:cs="AdvTimes"/>
        </w:rPr>
        <w:t xml:space="preserve">The risk of death was highest in the cohort </w:t>
      </w:r>
      <w:r w:rsidRPr="00F14E6C">
        <w:rPr>
          <w:rFonts w:ascii="Calibri" w:eastAsia="MS Mincho" w:hAnsi="Calibri" w:cs="AdvTimes"/>
        </w:rPr>
        <w:t>with a sentinel hip fracture</w:t>
      </w:r>
      <w:r w:rsidR="001C71BB" w:rsidRPr="00F14E6C">
        <w:rPr>
          <w:rFonts w:ascii="Calibri" w:eastAsia="MS Mincho" w:hAnsi="Calibri" w:cs="AdvTimes"/>
        </w:rPr>
        <w:t>;</w:t>
      </w:r>
      <w:r w:rsidRPr="00F14E6C">
        <w:rPr>
          <w:rFonts w:ascii="Calibri" w:eastAsia="MS Mincho" w:hAnsi="Calibri" w:cs="AdvTimes"/>
        </w:rPr>
        <w:t xml:space="preserve"> 1335 deaths occurred within 10 years of follow up</w:t>
      </w:r>
      <w:r w:rsidR="001C71BB" w:rsidRPr="00F14E6C">
        <w:rPr>
          <w:rFonts w:ascii="Calibri" w:eastAsia="MS Mincho" w:hAnsi="Calibri" w:cs="AdvTimes"/>
        </w:rPr>
        <w:t xml:space="preserve"> representing 64% of the original cohort (</w:t>
      </w:r>
      <w:r w:rsidR="00F9797B" w:rsidRPr="00F14E6C">
        <w:rPr>
          <w:rFonts w:ascii="Calibri" w:eastAsia="MS Mincho" w:hAnsi="Calibri" w:cs="AdvTimes"/>
        </w:rPr>
        <w:t xml:space="preserve">supplementary </w:t>
      </w:r>
      <w:r w:rsidR="001C71BB" w:rsidRPr="00F14E6C">
        <w:rPr>
          <w:rFonts w:ascii="Calibri" w:eastAsia="MS Mincho" w:hAnsi="Calibri" w:cs="AdvTimes"/>
        </w:rPr>
        <w:t xml:space="preserve">Table </w:t>
      </w:r>
      <w:r w:rsidR="007127D5" w:rsidRPr="00F14E6C">
        <w:rPr>
          <w:rFonts w:ascii="Calibri" w:eastAsia="MS Mincho" w:hAnsi="Calibri" w:cs="AdvTimes"/>
        </w:rPr>
        <w:t>S</w:t>
      </w:r>
      <w:r w:rsidR="00F9797B" w:rsidRPr="00F14E6C">
        <w:rPr>
          <w:rFonts w:ascii="Calibri" w:eastAsia="MS Mincho" w:hAnsi="Calibri" w:cs="AdvTimes"/>
        </w:rPr>
        <w:t>4</w:t>
      </w:r>
      <w:r w:rsidR="001C71BB" w:rsidRPr="00F14E6C">
        <w:rPr>
          <w:rFonts w:ascii="Calibri" w:eastAsia="MS Mincho" w:hAnsi="Calibri" w:cs="AdvTimes"/>
        </w:rPr>
        <w:t>)</w:t>
      </w:r>
      <w:r w:rsidRPr="00F14E6C">
        <w:rPr>
          <w:rFonts w:ascii="Calibri" w:eastAsia="MS Mincho" w:hAnsi="Calibri" w:cs="AdvTimes"/>
        </w:rPr>
        <w:t>.</w:t>
      </w:r>
      <w:r w:rsidR="005C2EC4" w:rsidRPr="00F14E6C">
        <w:rPr>
          <w:rFonts w:ascii="Calibri" w:eastAsia="MS Mincho" w:hAnsi="Calibri" w:cs="AdvTimes"/>
        </w:rPr>
        <w:t xml:space="preserve">  At 10 years, </w:t>
      </w:r>
      <w:r w:rsidR="005C2EC4" w:rsidRPr="00F14E6C">
        <w:rPr>
          <w:rFonts w:ascii="Calibri" w:eastAsia="MS Mincho" w:hAnsi="Calibri" w:cs="AdvTimes"/>
        </w:rPr>
        <w:lastRenderedPageBreak/>
        <w:t xml:space="preserve">the crude death rate was lowest following a forearm fracture (22%) and intermediate after humeral fracture (35%) or spine fracture (48%).  </w:t>
      </w:r>
      <w:r w:rsidR="00D5399E" w:rsidRPr="00F14E6C">
        <w:rPr>
          <w:rFonts w:ascii="Calibri" w:eastAsia="MS Mincho" w:hAnsi="Calibri" w:cs="AdvTimes"/>
        </w:rPr>
        <w:t xml:space="preserve">The crude death rates </w:t>
      </w:r>
      <w:r w:rsidR="00CF70F5" w:rsidRPr="00F14E6C">
        <w:rPr>
          <w:rFonts w:ascii="Calibri" w:eastAsia="MS Mincho" w:hAnsi="Calibri" w:cs="AdvTimes"/>
        </w:rPr>
        <w:t xml:space="preserve">(see </w:t>
      </w:r>
      <w:bookmarkStart w:id="21" w:name="_Hlk493507238"/>
      <w:r w:rsidR="00CF70F5" w:rsidRPr="00F14E6C">
        <w:rPr>
          <w:rFonts w:ascii="Calibri" w:eastAsia="MS Mincho" w:hAnsi="Calibri" w:cs="AdvTimes"/>
        </w:rPr>
        <w:t>supplementary</w:t>
      </w:r>
      <w:bookmarkEnd w:id="21"/>
      <w:r w:rsidR="00CF70F5" w:rsidRPr="00F14E6C">
        <w:rPr>
          <w:rFonts w:ascii="Calibri" w:eastAsia="MS Mincho" w:hAnsi="Calibri" w:cs="AdvTimes"/>
        </w:rPr>
        <w:t xml:space="preserve"> Table </w:t>
      </w:r>
      <w:r w:rsidR="007127D5" w:rsidRPr="00F14E6C">
        <w:rPr>
          <w:rFonts w:ascii="Calibri" w:eastAsia="MS Mincho" w:hAnsi="Calibri" w:cs="AdvTimes"/>
        </w:rPr>
        <w:t>S</w:t>
      </w:r>
      <w:r w:rsidR="00CF70F5" w:rsidRPr="00F14E6C">
        <w:rPr>
          <w:rFonts w:ascii="Calibri" w:eastAsia="MS Mincho" w:hAnsi="Calibri" w:cs="AdvTimes"/>
        </w:rPr>
        <w:t xml:space="preserve">2) </w:t>
      </w:r>
      <w:r w:rsidR="00D5399E" w:rsidRPr="00F14E6C">
        <w:rPr>
          <w:rFonts w:ascii="Calibri" w:eastAsia="MS Mincho" w:hAnsi="Calibri" w:cs="AdvTimes"/>
        </w:rPr>
        <w:t>do not take account of the differing ages at the time of fracture.</w:t>
      </w:r>
    </w:p>
    <w:p w14:paraId="0080209E" w14:textId="1B2C1E80" w:rsidR="00E45F31" w:rsidRPr="00F14E6C" w:rsidRDefault="00E51F05" w:rsidP="00B42DCC">
      <w:pPr>
        <w:rPr>
          <w:rFonts w:ascii="Calibri" w:eastAsia="MS Mincho" w:hAnsi="Calibri" w:cs="AdvTimes"/>
        </w:rPr>
      </w:pPr>
      <w:r w:rsidRPr="00F14E6C">
        <w:rPr>
          <w:rFonts w:ascii="Calibri" w:eastAsia="MS Mincho" w:hAnsi="Calibri" w:cs="AdvTimes"/>
        </w:rPr>
        <w:t>As expected, there were higher age-specific death rates in men than in women (p&lt;0.001</w:t>
      </w:r>
      <w:r w:rsidR="00324A21" w:rsidRPr="00F14E6C">
        <w:rPr>
          <w:rFonts w:ascii="Calibri" w:eastAsia="MS Mincho" w:hAnsi="Calibri" w:cs="AdvTimes"/>
        </w:rPr>
        <w:t>, data not shown</w:t>
      </w:r>
      <w:r w:rsidRPr="00F14E6C">
        <w:rPr>
          <w:rFonts w:ascii="Calibri" w:eastAsia="MS Mincho" w:hAnsi="Calibri" w:cs="AdvTimes"/>
        </w:rPr>
        <w:t xml:space="preserve">). </w:t>
      </w:r>
      <w:r w:rsidR="00E45F31" w:rsidRPr="00F14E6C">
        <w:rPr>
          <w:rFonts w:ascii="Calibri" w:eastAsia="MS Mincho" w:hAnsi="Calibri" w:cs="AdvTimes"/>
        </w:rPr>
        <w:t xml:space="preserve">The age- and sex adjusted </w:t>
      </w:r>
      <w:r w:rsidRPr="00F14E6C">
        <w:rPr>
          <w:rFonts w:ascii="Calibri" w:eastAsia="MS Mincho" w:hAnsi="Calibri" w:cs="AdvTimes"/>
        </w:rPr>
        <w:t>hazard ratios for death rate are shown in Table 2.</w:t>
      </w:r>
      <w:r w:rsidR="00324A21" w:rsidRPr="00F14E6C">
        <w:rPr>
          <w:rFonts w:ascii="Calibri" w:eastAsia="MS Mincho" w:hAnsi="Calibri" w:cs="AdvTimes"/>
        </w:rPr>
        <w:t xml:space="preserve"> </w:t>
      </w:r>
      <w:r w:rsidR="00E45F31" w:rsidRPr="00F14E6C">
        <w:rPr>
          <w:rFonts w:ascii="Calibri" w:eastAsia="MS Mincho" w:hAnsi="Calibri" w:cs="AdvTimes"/>
        </w:rPr>
        <w:t xml:space="preserve">In general, mortality was higher than that of the </w:t>
      </w:r>
      <w:r w:rsidR="003B2419" w:rsidRPr="00F14E6C">
        <w:rPr>
          <w:rFonts w:ascii="Calibri" w:eastAsia="MS Mincho" w:hAnsi="Calibri" w:cs="AdvTimes"/>
        </w:rPr>
        <w:t>whole cohort</w:t>
      </w:r>
      <w:r w:rsidR="00E45F31" w:rsidRPr="00F14E6C">
        <w:rPr>
          <w:rFonts w:ascii="Calibri" w:eastAsia="MS Mincho" w:hAnsi="Calibri" w:cs="AdvTimes"/>
        </w:rPr>
        <w:t xml:space="preserve"> for hip and spine fractures</w:t>
      </w:r>
      <w:r w:rsidR="00F4758B" w:rsidRPr="00F14E6C">
        <w:rPr>
          <w:rFonts w:ascii="Calibri" w:eastAsia="MS Mincho" w:hAnsi="Calibri" w:cs="AdvTimes"/>
        </w:rPr>
        <w:t>.  For forearm and humeral fractures, there was no excess mortality.  Indeed, in the case of forearm fractures</w:t>
      </w:r>
      <w:r w:rsidR="00E814BF" w:rsidRPr="00F14E6C">
        <w:rPr>
          <w:rFonts w:ascii="Calibri" w:eastAsia="MS Mincho" w:hAnsi="Calibri" w:cs="AdvTimes"/>
        </w:rPr>
        <w:t xml:space="preserve">, death rates were generally lower than that of the </w:t>
      </w:r>
      <w:r w:rsidR="003B2419" w:rsidRPr="00F14E6C">
        <w:rPr>
          <w:rFonts w:ascii="Calibri" w:eastAsia="MS Mincho" w:hAnsi="Calibri" w:cs="AdvTimes"/>
        </w:rPr>
        <w:t>whole cohort</w:t>
      </w:r>
      <w:r w:rsidR="0009749E" w:rsidRPr="00F14E6C">
        <w:rPr>
          <w:rFonts w:ascii="Calibri" w:eastAsia="MS Mincho" w:hAnsi="Calibri" w:cs="AdvTimes"/>
        </w:rPr>
        <w:t>.</w:t>
      </w:r>
    </w:p>
    <w:p w14:paraId="5DBD3DFF" w14:textId="77777777" w:rsidR="007A2475" w:rsidRPr="00F14E6C" w:rsidRDefault="007A2475" w:rsidP="00B42DCC">
      <w:pPr>
        <w:rPr>
          <w:rFonts w:ascii="Calibri" w:eastAsia="MS Mincho" w:hAnsi="Calibri" w:cs="AdvTimes"/>
        </w:rPr>
      </w:pPr>
    </w:p>
    <w:p w14:paraId="2340D415" w14:textId="7DD9C34B" w:rsidR="00B42DCC" w:rsidRPr="00F14E6C" w:rsidRDefault="00E45F31" w:rsidP="00B42DCC">
      <w:pPr>
        <w:rPr>
          <w:rFonts w:ascii="Calibri" w:eastAsia="MS Mincho" w:hAnsi="Calibri" w:cs="AdvTimes"/>
        </w:rPr>
      </w:pPr>
      <w:r w:rsidRPr="00F14E6C">
        <w:rPr>
          <w:rFonts w:ascii="Calibri" w:eastAsia="MS Mincho" w:hAnsi="Calibri" w:cs="AdvTimes"/>
          <w:b/>
        </w:rPr>
        <w:t xml:space="preserve">Table </w:t>
      </w:r>
      <w:r w:rsidR="003B6C9F" w:rsidRPr="00F14E6C">
        <w:rPr>
          <w:rFonts w:ascii="Calibri" w:eastAsia="MS Mincho" w:hAnsi="Calibri" w:cs="AdvTimes"/>
          <w:b/>
        </w:rPr>
        <w:t>2</w:t>
      </w:r>
      <w:r w:rsidRPr="00F14E6C">
        <w:rPr>
          <w:rFonts w:ascii="Calibri" w:eastAsia="MS Mincho" w:hAnsi="Calibri" w:cs="AdvTimes"/>
        </w:rPr>
        <w:t xml:space="preserve">. </w:t>
      </w:r>
      <w:r w:rsidR="005275D8" w:rsidRPr="00F14E6C">
        <w:rPr>
          <w:rFonts w:ascii="Calibri" w:eastAsia="MS Mincho" w:hAnsi="Calibri" w:cs="AdvTimes"/>
        </w:rPr>
        <w:t>H</w:t>
      </w:r>
      <w:r w:rsidR="00F4758B" w:rsidRPr="00F14E6C">
        <w:rPr>
          <w:rFonts w:ascii="Calibri" w:eastAsia="MS Mincho" w:hAnsi="Calibri" w:cs="AdvTimes"/>
        </w:rPr>
        <w:t>azard ratios (</w:t>
      </w:r>
      <w:r w:rsidR="00B42DCC" w:rsidRPr="00F14E6C">
        <w:rPr>
          <w:rFonts w:ascii="Calibri" w:eastAsia="MS Mincho" w:hAnsi="Calibri" w:cs="AdvTimes"/>
        </w:rPr>
        <w:t xml:space="preserve">HR </w:t>
      </w:r>
      <w:r w:rsidR="00F4758B" w:rsidRPr="00F14E6C">
        <w:rPr>
          <w:rFonts w:ascii="Calibri" w:eastAsia="MS Mincho" w:hAnsi="Calibri" w:cs="AdvTimes"/>
        </w:rPr>
        <w:t xml:space="preserve">with </w:t>
      </w:r>
      <w:r w:rsidR="00B42DCC" w:rsidRPr="00F14E6C">
        <w:rPr>
          <w:rFonts w:ascii="Calibri" w:eastAsia="MS Mincho" w:hAnsi="Calibri" w:cs="AdvTimes"/>
        </w:rPr>
        <w:t xml:space="preserve">95% </w:t>
      </w:r>
      <w:r w:rsidR="007127D5" w:rsidRPr="00F14E6C">
        <w:rPr>
          <w:rFonts w:ascii="Calibri" w:eastAsia="MS Mincho" w:hAnsi="Calibri" w:cs="AdvTimes"/>
        </w:rPr>
        <w:t>confidence intervals</w:t>
      </w:r>
      <w:r w:rsidR="00B42DCC" w:rsidRPr="00F14E6C">
        <w:rPr>
          <w:rFonts w:ascii="Calibri" w:eastAsia="MS Mincho" w:hAnsi="Calibri" w:cs="AdvTimes"/>
        </w:rPr>
        <w:t xml:space="preserve">) of death associated with a sentinel fracture compared to </w:t>
      </w:r>
      <w:r w:rsidR="006652E0" w:rsidRPr="00F14E6C">
        <w:rPr>
          <w:rFonts w:ascii="Calibri" w:eastAsia="MS Mincho" w:hAnsi="Calibri" w:cs="AdvTimes"/>
        </w:rPr>
        <w:t>the whole cohort</w:t>
      </w:r>
      <w:r w:rsidR="00B42DCC" w:rsidRPr="00F14E6C">
        <w:rPr>
          <w:rFonts w:ascii="Calibri" w:eastAsia="MS Mincho" w:hAnsi="Calibri" w:cs="AdvTimes"/>
        </w:rPr>
        <w:t xml:space="preserve"> </w:t>
      </w:r>
      <w:r w:rsidR="00815F57" w:rsidRPr="00F14E6C">
        <w:rPr>
          <w:rFonts w:ascii="Calibri" w:eastAsia="MS Mincho" w:hAnsi="Calibri" w:cs="AdvTimes"/>
        </w:rPr>
        <w:t xml:space="preserve">of the same age and sex </w:t>
      </w:r>
      <w:r w:rsidR="00B42DCC" w:rsidRPr="00F14E6C">
        <w:rPr>
          <w:rFonts w:ascii="Calibri" w:eastAsia="MS Mincho" w:hAnsi="Calibri" w:cs="AdvTimes"/>
        </w:rPr>
        <w:t>at 5 years after the sentinel fracture</w:t>
      </w:r>
      <w:r w:rsidR="00F4758B" w:rsidRPr="00F14E6C">
        <w:rPr>
          <w:rFonts w:ascii="Calibri" w:eastAsia="MS Mincho" w:hAnsi="Calibri" w:cs="AdvTimes"/>
        </w:rPr>
        <w:t xml:space="preserve"> </w:t>
      </w:r>
      <w:r w:rsidR="00B42DCC" w:rsidRPr="00F14E6C">
        <w:rPr>
          <w:rFonts w:ascii="Calibri" w:eastAsia="MS Mincho" w:hAnsi="Calibri" w:cs="AdvTimes"/>
        </w:rPr>
        <w:t xml:space="preserve">(and 5 years after baseline for the </w:t>
      </w:r>
      <w:r w:rsidR="006652E0" w:rsidRPr="00F14E6C">
        <w:rPr>
          <w:rFonts w:ascii="Calibri" w:eastAsia="MS Mincho" w:hAnsi="Calibri" w:cs="AdvTimes"/>
        </w:rPr>
        <w:t>whole cohort</w:t>
      </w:r>
      <w:r w:rsidR="00B42DCC" w:rsidRPr="00F14E6C">
        <w:rPr>
          <w:rFonts w:ascii="Calibri" w:eastAsia="MS Mincho" w:hAnsi="Calibri" w:cs="AdvTimes"/>
        </w:rPr>
        <w:t>).</w:t>
      </w:r>
      <w:r w:rsidR="00F4758B" w:rsidRPr="00F14E6C">
        <w:rPr>
          <w:rFonts w:ascii="Calibri" w:eastAsia="MS Mincho" w:hAnsi="Calibri" w:cs="AdvTimes"/>
        </w:rPr>
        <w:t xml:space="preserve"> Bold </w:t>
      </w:r>
      <w:r w:rsidR="00A5191E" w:rsidRPr="00F14E6C">
        <w:rPr>
          <w:rFonts w:ascii="Calibri" w:eastAsia="MS Mincho" w:hAnsi="Calibri" w:cs="AdvTimes"/>
        </w:rPr>
        <w:t>type</w:t>
      </w:r>
      <w:r w:rsidR="00F4758B" w:rsidRPr="00F14E6C">
        <w:rPr>
          <w:rFonts w:ascii="Calibri" w:eastAsia="MS Mincho" w:hAnsi="Calibri" w:cs="AdvTimes"/>
        </w:rPr>
        <w:t xml:space="preserve"> indicates HRs that are significantly different from the </w:t>
      </w:r>
      <w:r w:rsidR="006652E0" w:rsidRPr="00F14E6C">
        <w:rPr>
          <w:rFonts w:ascii="Calibri" w:eastAsia="MS Mincho" w:hAnsi="Calibri" w:cs="AdvTimes"/>
        </w:rPr>
        <w:t>whole cohort</w:t>
      </w:r>
      <w:r w:rsidR="00F4758B" w:rsidRPr="00F14E6C">
        <w:rPr>
          <w:rFonts w:ascii="Calibri" w:eastAsia="MS Mincho" w:hAnsi="Calibri" w:cs="AdvTimes"/>
        </w:rPr>
        <w:t>.</w:t>
      </w:r>
    </w:p>
    <w:tbl>
      <w:tblPr>
        <w:tblStyle w:val="TableGrid"/>
        <w:tblW w:w="9934"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1152"/>
        <w:gridCol w:w="1159"/>
        <w:gridCol w:w="1153"/>
        <w:gridCol w:w="1153"/>
        <w:gridCol w:w="1152"/>
        <w:gridCol w:w="1153"/>
        <w:gridCol w:w="1153"/>
        <w:gridCol w:w="1155"/>
      </w:tblGrid>
      <w:tr w:rsidR="00F4758B" w:rsidRPr="00F14E6C" w14:paraId="24D755CB" w14:textId="77777777" w:rsidTr="00235E23">
        <w:trPr>
          <w:trHeight w:val="416"/>
        </w:trPr>
        <w:tc>
          <w:tcPr>
            <w:tcW w:w="704" w:type="dxa"/>
          </w:tcPr>
          <w:p w14:paraId="71557AA2" w14:textId="77777777" w:rsidR="00F4758B" w:rsidRPr="00F14E6C" w:rsidRDefault="00F4758B" w:rsidP="005932B3">
            <w:pPr>
              <w:spacing w:after="120"/>
              <w:rPr>
                <w:rFonts w:ascii="Calibri" w:eastAsia="MS Mincho" w:hAnsi="Calibri" w:cs="AdvTimes"/>
              </w:rPr>
            </w:pPr>
          </w:p>
        </w:tc>
        <w:tc>
          <w:tcPr>
            <w:tcW w:w="9230" w:type="dxa"/>
            <w:gridSpan w:val="8"/>
            <w:tcBorders>
              <w:bottom w:val="nil"/>
            </w:tcBorders>
          </w:tcPr>
          <w:p w14:paraId="245D2814" w14:textId="77C49356" w:rsidR="00F4758B" w:rsidRPr="00F14E6C" w:rsidRDefault="00F4758B" w:rsidP="005932B3">
            <w:pPr>
              <w:spacing w:after="120"/>
              <w:jc w:val="center"/>
              <w:rPr>
                <w:rFonts w:ascii="Calibri" w:eastAsia="MS Mincho" w:hAnsi="Calibri" w:cs="AdvTimes"/>
              </w:rPr>
            </w:pPr>
            <w:r w:rsidRPr="00F14E6C">
              <w:rPr>
                <w:rFonts w:ascii="Calibri" w:eastAsia="MS Mincho" w:hAnsi="Calibri" w:cs="AdvTimes"/>
              </w:rPr>
              <w:t>Sentinel fracture</w:t>
            </w:r>
          </w:p>
        </w:tc>
      </w:tr>
      <w:tr w:rsidR="00F4758B" w:rsidRPr="00F14E6C" w14:paraId="79D18CBF" w14:textId="77777777" w:rsidTr="00A5191E">
        <w:trPr>
          <w:trHeight w:val="429"/>
        </w:trPr>
        <w:tc>
          <w:tcPr>
            <w:tcW w:w="704" w:type="dxa"/>
          </w:tcPr>
          <w:p w14:paraId="74032502" w14:textId="77777777" w:rsidR="00F4758B" w:rsidRPr="00F14E6C" w:rsidRDefault="00F4758B" w:rsidP="005932B3">
            <w:pPr>
              <w:spacing w:after="120"/>
              <w:rPr>
                <w:rFonts w:ascii="Calibri" w:eastAsia="MS Mincho" w:hAnsi="Calibri" w:cs="AdvTimes"/>
              </w:rPr>
            </w:pPr>
          </w:p>
        </w:tc>
        <w:tc>
          <w:tcPr>
            <w:tcW w:w="2311" w:type="dxa"/>
            <w:gridSpan w:val="2"/>
            <w:tcBorders>
              <w:top w:val="nil"/>
              <w:bottom w:val="single" w:sz="4" w:space="0" w:color="auto"/>
            </w:tcBorders>
          </w:tcPr>
          <w:p w14:paraId="6BEDE704" w14:textId="696248E0" w:rsidR="00F4758B" w:rsidRPr="00F14E6C" w:rsidRDefault="00F4758B" w:rsidP="005932B3">
            <w:pPr>
              <w:spacing w:after="120"/>
              <w:jc w:val="center"/>
              <w:rPr>
                <w:rFonts w:ascii="Calibri" w:eastAsia="MS Mincho" w:hAnsi="Calibri" w:cs="AdvTimes"/>
              </w:rPr>
            </w:pPr>
            <w:r w:rsidRPr="00F14E6C">
              <w:rPr>
                <w:rFonts w:ascii="Calibri" w:eastAsia="MS Mincho" w:hAnsi="Calibri" w:cs="AdvTimes"/>
              </w:rPr>
              <w:t>Hip</w:t>
            </w:r>
          </w:p>
        </w:tc>
        <w:tc>
          <w:tcPr>
            <w:tcW w:w="2306" w:type="dxa"/>
            <w:gridSpan w:val="2"/>
            <w:tcBorders>
              <w:top w:val="nil"/>
              <w:bottom w:val="single" w:sz="4" w:space="0" w:color="auto"/>
            </w:tcBorders>
          </w:tcPr>
          <w:p w14:paraId="2C41E84D" w14:textId="514557B4" w:rsidR="00F4758B" w:rsidRPr="00F14E6C" w:rsidRDefault="00F4758B" w:rsidP="005932B3">
            <w:pPr>
              <w:spacing w:after="120"/>
              <w:jc w:val="center"/>
              <w:rPr>
                <w:rFonts w:ascii="Calibri" w:eastAsia="MS Mincho" w:hAnsi="Calibri" w:cs="AdvTimes"/>
              </w:rPr>
            </w:pPr>
            <w:r w:rsidRPr="00F14E6C">
              <w:rPr>
                <w:rFonts w:ascii="Calibri" w:eastAsia="MS Mincho" w:hAnsi="Calibri" w:cs="AdvTimes"/>
              </w:rPr>
              <w:t>Spine</w:t>
            </w:r>
          </w:p>
        </w:tc>
        <w:tc>
          <w:tcPr>
            <w:tcW w:w="2305" w:type="dxa"/>
            <w:gridSpan w:val="2"/>
            <w:tcBorders>
              <w:top w:val="nil"/>
              <w:bottom w:val="single" w:sz="4" w:space="0" w:color="auto"/>
            </w:tcBorders>
          </w:tcPr>
          <w:p w14:paraId="1156C106" w14:textId="21B07F43" w:rsidR="00F4758B" w:rsidRPr="00F14E6C" w:rsidRDefault="00F4758B" w:rsidP="005932B3">
            <w:pPr>
              <w:spacing w:after="120"/>
              <w:jc w:val="center"/>
              <w:rPr>
                <w:rFonts w:ascii="Calibri" w:eastAsia="MS Mincho" w:hAnsi="Calibri" w:cs="AdvTimes"/>
              </w:rPr>
            </w:pPr>
            <w:r w:rsidRPr="00F14E6C">
              <w:rPr>
                <w:rFonts w:ascii="Calibri" w:eastAsia="MS Mincho" w:hAnsi="Calibri" w:cs="AdvTimes"/>
              </w:rPr>
              <w:t>Forearm</w:t>
            </w:r>
          </w:p>
        </w:tc>
        <w:tc>
          <w:tcPr>
            <w:tcW w:w="2308" w:type="dxa"/>
            <w:gridSpan w:val="2"/>
            <w:tcBorders>
              <w:top w:val="nil"/>
              <w:bottom w:val="single" w:sz="4" w:space="0" w:color="auto"/>
            </w:tcBorders>
          </w:tcPr>
          <w:p w14:paraId="1C335F09" w14:textId="4F57A6DD" w:rsidR="00F4758B" w:rsidRPr="00F14E6C" w:rsidRDefault="00F4758B" w:rsidP="005932B3">
            <w:pPr>
              <w:spacing w:after="120"/>
              <w:jc w:val="center"/>
              <w:rPr>
                <w:rFonts w:ascii="Calibri" w:eastAsia="MS Mincho" w:hAnsi="Calibri" w:cs="AdvTimes"/>
              </w:rPr>
            </w:pPr>
            <w:r w:rsidRPr="00F14E6C">
              <w:rPr>
                <w:rFonts w:ascii="Calibri" w:eastAsia="MS Mincho" w:hAnsi="Calibri" w:cs="AdvTimes"/>
              </w:rPr>
              <w:t>Humerus</w:t>
            </w:r>
          </w:p>
        </w:tc>
      </w:tr>
      <w:tr w:rsidR="00E45F31" w:rsidRPr="00F14E6C" w14:paraId="6218601F" w14:textId="77777777" w:rsidTr="00A5191E">
        <w:trPr>
          <w:trHeight w:val="416"/>
        </w:trPr>
        <w:tc>
          <w:tcPr>
            <w:tcW w:w="704" w:type="dxa"/>
            <w:tcBorders>
              <w:bottom w:val="single" w:sz="4" w:space="0" w:color="auto"/>
            </w:tcBorders>
          </w:tcPr>
          <w:p w14:paraId="7711693B" w14:textId="77777777" w:rsidR="00BC7382" w:rsidRPr="00F14E6C" w:rsidRDefault="00BC7382" w:rsidP="005932B3">
            <w:pPr>
              <w:spacing w:after="120"/>
              <w:rPr>
                <w:rFonts w:ascii="Calibri" w:eastAsia="MS Mincho" w:hAnsi="Calibri" w:cs="AdvTimes"/>
              </w:rPr>
            </w:pPr>
            <w:r w:rsidRPr="00F14E6C">
              <w:rPr>
                <w:rFonts w:ascii="Calibri" w:eastAsia="MS Mincho" w:hAnsi="Calibri" w:cs="AdvTimes"/>
              </w:rPr>
              <w:t>Age</w:t>
            </w:r>
          </w:p>
        </w:tc>
        <w:tc>
          <w:tcPr>
            <w:tcW w:w="1152" w:type="dxa"/>
            <w:tcBorders>
              <w:top w:val="single" w:sz="4" w:space="0" w:color="auto"/>
              <w:bottom w:val="single" w:sz="4" w:space="0" w:color="auto"/>
            </w:tcBorders>
          </w:tcPr>
          <w:p w14:paraId="71FEE15C" w14:textId="77777777" w:rsidR="00BC7382" w:rsidRPr="00F14E6C" w:rsidRDefault="00BC7382" w:rsidP="005932B3">
            <w:pPr>
              <w:spacing w:after="120"/>
              <w:rPr>
                <w:rFonts w:ascii="Calibri" w:eastAsia="MS Mincho" w:hAnsi="Calibri" w:cs="AdvTimes"/>
              </w:rPr>
            </w:pPr>
            <w:r w:rsidRPr="00F14E6C">
              <w:rPr>
                <w:rFonts w:ascii="Calibri" w:eastAsia="MS Mincho" w:hAnsi="Calibri" w:cs="AdvTimes"/>
              </w:rPr>
              <w:t>Men</w:t>
            </w:r>
          </w:p>
        </w:tc>
        <w:tc>
          <w:tcPr>
            <w:tcW w:w="1159" w:type="dxa"/>
            <w:tcBorders>
              <w:top w:val="single" w:sz="4" w:space="0" w:color="auto"/>
              <w:bottom w:val="single" w:sz="4" w:space="0" w:color="auto"/>
            </w:tcBorders>
          </w:tcPr>
          <w:p w14:paraId="5A187A09" w14:textId="77777777" w:rsidR="00BC7382" w:rsidRPr="00F14E6C" w:rsidRDefault="00BC7382" w:rsidP="005932B3">
            <w:pPr>
              <w:spacing w:after="120"/>
              <w:rPr>
                <w:rFonts w:ascii="Calibri" w:eastAsia="MS Mincho" w:hAnsi="Calibri" w:cs="AdvTimes"/>
              </w:rPr>
            </w:pPr>
            <w:r w:rsidRPr="00F14E6C">
              <w:rPr>
                <w:rFonts w:ascii="Calibri" w:eastAsia="MS Mincho" w:hAnsi="Calibri" w:cs="AdvTimes"/>
              </w:rPr>
              <w:t>Women</w:t>
            </w:r>
          </w:p>
        </w:tc>
        <w:tc>
          <w:tcPr>
            <w:tcW w:w="1153" w:type="dxa"/>
            <w:tcBorders>
              <w:top w:val="single" w:sz="4" w:space="0" w:color="auto"/>
              <w:bottom w:val="single" w:sz="4" w:space="0" w:color="auto"/>
            </w:tcBorders>
          </w:tcPr>
          <w:p w14:paraId="780E8F98" w14:textId="77777777" w:rsidR="00BC7382" w:rsidRPr="00F14E6C" w:rsidRDefault="00BC7382" w:rsidP="005932B3">
            <w:pPr>
              <w:spacing w:after="120"/>
              <w:rPr>
                <w:rFonts w:ascii="Calibri" w:eastAsia="MS Mincho" w:hAnsi="Calibri" w:cs="AdvTimes"/>
              </w:rPr>
            </w:pPr>
            <w:r w:rsidRPr="00F14E6C">
              <w:rPr>
                <w:rFonts w:ascii="Calibri" w:eastAsia="MS Mincho" w:hAnsi="Calibri" w:cs="AdvTimes"/>
              </w:rPr>
              <w:t>Men</w:t>
            </w:r>
          </w:p>
        </w:tc>
        <w:tc>
          <w:tcPr>
            <w:tcW w:w="1153" w:type="dxa"/>
            <w:tcBorders>
              <w:top w:val="single" w:sz="4" w:space="0" w:color="auto"/>
              <w:bottom w:val="single" w:sz="4" w:space="0" w:color="auto"/>
            </w:tcBorders>
          </w:tcPr>
          <w:p w14:paraId="61A7C2BD" w14:textId="77777777" w:rsidR="00BC7382" w:rsidRPr="00F14E6C" w:rsidRDefault="00BC7382" w:rsidP="005932B3">
            <w:pPr>
              <w:spacing w:after="120"/>
              <w:rPr>
                <w:rFonts w:ascii="Calibri" w:eastAsia="MS Mincho" w:hAnsi="Calibri" w:cs="AdvTimes"/>
              </w:rPr>
            </w:pPr>
            <w:r w:rsidRPr="00F14E6C">
              <w:rPr>
                <w:rFonts w:ascii="Calibri" w:eastAsia="MS Mincho" w:hAnsi="Calibri" w:cs="AdvTimes"/>
              </w:rPr>
              <w:t>Women</w:t>
            </w:r>
          </w:p>
        </w:tc>
        <w:tc>
          <w:tcPr>
            <w:tcW w:w="1152" w:type="dxa"/>
            <w:tcBorders>
              <w:top w:val="single" w:sz="4" w:space="0" w:color="auto"/>
              <w:bottom w:val="single" w:sz="4" w:space="0" w:color="auto"/>
            </w:tcBorders>
          </w:tcPr>
          <w:p w14:paraId="7BE6A4B3" w14:textId="77777777" w:rsidR="00BC7382" w:rsidRPr="00F14E6C" w:rsidRDefault="00BC7382" w:rsidP="005932B3">
            <w:pPr>
              <w:spacing w:after="120"/>
              <w:rPr>
                <w:rFonts w:ascii="Calibri" w:eastAsia="MS Mincho" w:hAnsi="Calibri" w:cs="AdvTimes"/>
              </w:rPr>
            </w:pPr>
            <w:r w:rsidRPr="00F14E6C">
              <w:rPr>
                <w:rFonts w:ascii="Calibri" w:eastAsia="MS Mincho" w:hAnsi="Calibri" w:cs="AdvTimes"/>
              </w:rPr>
              <w:t>Men</w:t>
            </w:r>
          </w:p>
        </w:tc>
        <w:tc>
          <w:tcPr>
            <w:tcW w:w="1153" w:type="dxa"/>
            <w:tcBorders>
              <w:top w:val="single" w:sz="4" w:space="0" w:color="auto"/>
              <w:bottom w:val="single" w:sz="4" w:space="0" w:color="auto"/>
            </w:tcBorders>
          </w:tcPr>
          <w:p w14:paraId="5A495146" w14:textId="77777777" w:rsidR="00BC7382" w:rsidRPr="00F14E6C" w:rsidRDefault="00BC7382" w:rsidP="005932B3">
            <w:pPr>
              <w:spacing w:after="120"/>
              <w:rPr>
                <w:rFonts w:ascii="Calibri" w:eastAsia="MS Mincho" w:hAnsi="Calibri" w:cs="AdvTimes"/>
              </w:rPr>
            </w:pPr>
            <w:r w:rsidRPr="00F14E6C">
              <w:rPr>
                <w:rFonts w:ascii="Calibri" w:eastAsia="MS Mincho" w:hAnsi="Calibri" w:cs="AdvTimes"/>
              </w:rPr>
              <w:t>Women</w:t>
            </w:r>
          </w:p>
        </w:tc>
        <w:tc>
          <w:tcPr>
            <w:tcW w:w="1153" w:type="dxa"/>
            <w:tcBorders>
              <w:top w:val="single" w:sz="4" w:space="0" w:color="auto"/>
              <w:bottom w:val="single" w:sz="4" w:space="0" w:color="auto"/>
            </w:tcBorders>
          </w:tcPr>
          <w:p w14:paraId="49BFDA26" w14:textId="77777777" w:rsidR="00BC7382" w:rsidRPr="00F14E6C" w:rsidRDefault="00BC7382" w:rsidP="005932B3">
            <w:pPr>
              <w:spacing w:after="120"/>
              <w:rPr>
                <w:rFonts w:ascii="Calibri" w:eastAsia="MS Mincho" w:hAnsi="Calibri" w:cs="AdvTimes"/>
              </w:rPr>
            </w:pPr>
            <w:r w:rsidRPr="00F14E6C">
              <w:rPr>
                <w:rFonts w:ascii="Calibri" w:eastAsia="MS Mincho" w:hAnsi="Calibri" w:cs="AdvTimes"/>
              </w:rPr>
              <w:t>Men</w:t>
            </w:r>
          </w:p>
        </w:tc>
        <w:tc>
          <w:tcPr>
            <w:tcW w:w="1155" w:type="dxa"/>
            <w:tcBorders>
              <w:top w:val="single" w:sz="4" w:space="0" w:color="auto"/>
              <w:bottom w:val="single" w:sz="4" w:space="0" w:color="auto"/>
            </w:tcBorders>
          </w:tcPr>
          <w:p w14:paraId="6020B6F9" w14:textId="77777777" w:rsidR="00BC7382" w:rsidRPr="00F14E6C" w:rsidRDefault="00BC7382" w:rsidP="005932B3">
            <w:pPr>
              <w:spacing w:after="120"/>
              <w:rPr>
                <w:rFonts w:ascii="Calibri" w:eastAsia="MS Mincho" w:hAnsi="Calibri" w:cs="AdvTimes"/>
              </w:rPr>
            </w:pPr>
            <w:r w:rsidRPr="00F14E6C">
              <w:rPr>
                <w:rFonts w:ascii="Calibri" w:eastAsia="MS Mincho" w:hAnsi="Calibri" w:cs="AdvTimes"/>
              </w:rPr>
              <w:t>Women</w:t>
            </w:r>
          </w:p>
        </w:tc>
      </w:tr>
      <w:tr w:rsidR="00E45F31" w:rsidRPr="00F14E6C" w14:paraId="4ECE52C2" w14:textId="77777777" w:rsidTr="00A5191E">
        <w:trPr>
          <w:trHeight w:val="728"/>
        </w:trPr>
        <w:tc>
          <w:tcPr>
            <w:tcW w:w="704" w:type="dxa"/>
            <w:tcBorders>
              <w:top w:val="single" w:sz="4" w:space="0" w:color="auto"/>
            </w:tcBorders>
          </w:tcPr>
          <w:p w14:paraId="5C2C7427" w14:textId="77777777" w:rsidR="00B42DCC" w:rsidRPr="00F14E6C" w:rsidRDefault="00B42DCC" w:rsidP="005932B3">
            <w:pPr>
              <w:spacing w:after="120"/>
              <w:rPr>
                <w:rFonts w:ascii="Calibri" w:eastAsia="MS Mincho" w:hAnsi="Calibri" w:cs="AdvTimes"/>
              </w:rPr>
            </w:pPr>
            <w:r w:rsidRPr="00F14E6C">
              <w:rPr>
                <w:rFonts w:ascii="Calibri" w:eastAsia="MS Mincho" w:hAnsi="Calibri" w:cs="AdvTimes"/>
              </w:rPr>
              <w:t>60</w:t>
            </w:r>
          </w:p>
        </w:tc>
        <w:tc>
          <w:tcPr>
            <w:tcW w:w="1152" w:type="dxa"/>
            <w:tcBorders>
              <w:top w:val="single" w:sz="4" w:space="0" w:color="auto"/>
            </w:tcBorders>
          </w:tcPr>
          <w:p w14:paraId="0887CA1D"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0.57</w:t>
            </w:r>
          </w:p>
          <w:p w14:paraId="3070F5C7" w14:textId="5C61762D"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 xml:space="preserve"> (0.13, 2.53)</w:t>
            </w:r>
          </w:p>
        </w:tc>
        <w:tc>
          <w:tcPr>
            <w:tcW w:w="1159" w:type="dxa"/>
            <w:tcBorders>
              <w:top w:val="single" w:sz="4" w:space="0" w:color="auto"/>
            </w:tcBorders>
          </w:tcPr>
          <w:p w14:paraId="21FF8CAB" w14:textId="37A0EDC8"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3.00</w:t>
            </w:r>
            <w:r w:rsidR="006652E0" w:rsidRPr="00F14E6C">
              <w:rPr>
                <w:rFonts w:ascii="Calibri" w:eastAsia="MS Mincho" w:hAnsi="Calibri" w:cs="AdvTimes"/>
                <w:b/>
                <w:sz w:val="18"/>
                <w:szCs w:val="18"/>
              </w:rPr>
              <w:t>*</w:t>
            </w:r>
            <w:r w:rsidRPr="00F14E6C">
              <w:rPr>
                <w:rFonts w:ascii="Calibri" w:eastAsia="MS Mincho" w:hAnsi="Calibri" w:cs="AdvTimes"/>
                <w:b/>
                <w:sz w:val="18"/>
                <w:szCs w:val="18"/>
              </w:rPr>
              <w:t xml:space="preserve"> </w:t>
            </w:r>
          </w:p>
          <w:p w14:paraId="7891A590" w14:textId="63C43A4F"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(1.61, 5.60)</w:t>
            </w:r>
          </w:p>
        </w:tc>
        <w:tc>
          <w:tcPr>
            <w:tcW w:w="1153" w:type="dxa"/>
            <w:tcBorders>
              <w:top w:val="single" w:sz="4" w:space="0" w:color="auto"/>
            </w:tcBorders>
          </w:tcPr>
          <w:p w14:paraId="79FDDFC2"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 xml:space="preserve">0.68 </w:t>
            </w:r>
          </w:p>
          <w:p w14:paraId="06897017" w14:textId="1B7E075F"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(0.27, 1.70)</w:t>
            </w:r>
          </w:p>
        </w:tc>
        <w:tc>
          <w:tcPr>
            <w:tcW w:w="1153" w:type="dxa"/>
            <w:tcBorders>
              <w:top w:val="single" w:sz="4" w:space="0" w:color="auto"/>
            </w:tcBorders>
          </w:tcPr>
          <w:p w14:paraId="4CED7E95" w14:textId="6BC85F4E"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2.36 </w:t>
            </w:r>
            <w:r w:rsidR="006652E0" w:rsidRPr="00F14E6C">
              <w:rPr>
                <w:rFonts w:ascii="Calibri" w:eastAsia="MS Mincho" w:hAnsi="Calibri" w:cs="AdvTimes"/>
                <w:b/>
                <w:sz w:val="18"/>
                <w:szCs w:val="18"/>
              </w:rPr>
              <w:t>*</w:t>
            </w:r>
          </w:p>
          <w:p w14:paraId="619DCFAF" w14:textId="4E1E0760"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(1.39, 4.00)</w:t>
            </w:r>
          </w:p>
        </w:tc>
        <w:tc>
          <w:tcPr>
            <w:tcW w:w="1152" w:type="dxa"/>
            <w:tcBorders>
              <w:top w:val="single" w:sz="4" w:space="0" w:color="auto"/>
            </w:tcBorders>
          </w:tcPr>
          <w:p w14:paraId="710DC144"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 xml:space="preserve">0.57 </w:t>
            </w:r>
          </w:p>
          <w:p w14:paraId="7E3568A7" w14:textId="37BC5446"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 xml:space="preserve">(0.26, 1.27) </w:t>
            </w:r>
          </w:p>
        </w:tc>
        <w:tc>
          <w:tcPr>
            <w:tcW w:w="1153" w:type="dxa"/>
            <w:tcBorders>
              <w:top w:val="single" w:sz="4" w:space="0" w:color="auto"/>
            </w:tcBorders>
          </w:tcPr>
          <w:p w14:paraId="4EF9E3F6" w14:textId="5253AB2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0.07 </w:t>
            </w:r>
            <w:r w:rsidR="006652E0" w:rsidRPr="00F14E6C">
              <w:rPr>
                <w:rFonts w:ascii="Calibri" w:eastAsia="MS Mincho" w:hAnsi="Calibri" w:cs="AdvTimes"/>
                <w:b/>
                <w:sz w:val="18"/>
                <w:szCs w:val="18"/>
              </w:rPr>
              <w:t>*</w:t>
            </w:r>
          </w:p>
          <w:p w14:paraId="61FCC713" w14:textId="63AB28BC"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(0.02, 0.26)</w:t>
            </w:r>
          </w:p>
        </w:tc>
        <w:tc>
          <w:tcPr>
            <w:tcW w:w="1153" w:type="dxa"/>
            <w:tcBorders>
              <w:top w:val="single" w:sz="4" w:space="0" w:color="auto"/>
            </w:tcBorders>
          </w:tcPr>
          <w:p w14:paraId="3846A25E"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0.92</w:t>
            </w:r>
          </w:p>
          <w:p w14:paraId="396E2036" w14:textId="08CFC379"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(0.37, 2.30)</w:t>
            </w:r>
          </w:p>
        </w:tc>
        <w:tc>
          <w:tcPr>
            <w:tcW w:w="1155" w:type="dxa"/>
            <w:tcBorders>
              <w:top w:val="single" w:sz="4" w:space="0" w:color="auto"/>
            </w:tcBorders>
          </w:tcPr>
          <w:p w14:paraId="258AABD6"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0.94</w:t>
            </w:r>
          </w:p>
          <w:p w14:paraId="50D67834" w14:textId="53EEF108"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(0.42, 2.13)</w:t>
            </w:r>
          </w:p>
        </w:tc>
      </w:tr>
      <w:tr w:rsidR="00E45F31" w:rsidRPr="00F14E6C" w14:paraId="33E2CC37" w14:textId="77777777" w:rsidTr="00A5191E">
        <w:trPr>
          <w:trHeight w:val="741"/>
        </w:trPr>
        <w:tc>
          <w:tcPr>
            <w:tcW w:w="704" w:type="dxa"/>
          </w:tcPr>
          <w:p w14:paraId="5C49BD95" w14:textId="77777777" w:rsidR="00B42DCC" w:rsidRPr="00F14E6C" w:rsidRDefault="00B42DCC" w:rsidP="005932B3">
            <w:pPr>
              <w:spacing w:after="120"/>
              <w:rPr>
                <w:rFonts w:ascii="Calibri" w:eastAsia="MS Mincho" w:hAnsi="Calibri" w:cs="AdvTimes"/>
              </w:rPr>
            </w:pPr>
            <w:r w:rsidRPr="00F14E6C">
              <w:rPr>
                <w:rFonts w:ascii="Calibri" w:eastAsia="MS Mincho" w:hAnsi="Calibri" w:cs="AdvTimes"/>
              </w:rPr>
              <w:t>70</w:t>
            </w:r>
          </w:p>
        </w:tc>
        <w:tc>
          <w:tcPr>
            <w:tcW w:w="1152" w:type="dxa"/>
          </w:tcPr>
          <w:p w14:paraId="10A193E7"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2.69 </w:t>
            </w:r>
          </w:p>
          <w:p w14:paraId="13FAE68E" w14:textId="21B3D026"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(1.89, 3.83)</w:t>
            </w:r>
          </w:p>
        </w:tc>
        <w:tc>
          <w:tcPr>
            <w:tcW w:w="1159" w:type="dxa"/>
          </w:tcPr>
          <w:p w14:paraId="0A45035F"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2.76 </w:t>
            </w:r>
          </w:p>
          <w:p w14:paraId="1B6B9EDE" w14:textId="149F0485"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(2.07, 3.69)</w:t>
            </w:r>
          </w:p>
        </w:tc>
        <w:tc>
          <w:tcPr>
            <w:tcW w:w="1153" w:type="dxa"/>
          </w:tcPr>
          <w:p w14:paraId="337D0DDA"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 xml:space="preserve">1.21 </w:t>
            </w:r>
          </w:p>
          <w:p w14:paraId="0ABA76DB" w14:textId="5F892C20"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(0.79, 1.87)</w:t>
            </w:r>
          </w:p>
        </w:tc>
        <w:tc>
          <w:tcPr>
            <w:tcW w:w="1153" w:type="dxa"/>
          </w:tcPr>
          <w:p w14:paraId="2C6EAFDA"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1.85</w:t>
            </w:r>
          </w:p>
          <w:p w14:paraId="2E6E589F" w14:textId="2D5D0B13"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(1.37, 2.49)</w:t>
            </w:r>
          </w:p>
        </w:tc>
        <w:tc>
          <w:tcPr>
            <w:tcW w:w="1152" w:type="dxa"/>
          </w:tcPr>
          <w:p w14:paraId="657E9950"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 xml:space="preserve">0.66 </w:t>
            </w:r>
          </w:p>
          <w:p w14:paraId="5A4A93EB" w14:textId="44CC81DB"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(0.43, 1.02)</w:t>
            </w:r>
          </w:p>
        </w:tc>
        <w:tc>
          <w:tcPr>
            <w:tcW w:w="1153" w:type="dxa"/>
          </w:tcPr>
          <w:p w14:paraId="749E88B2" w14:textId="3E640D30"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0.37 </w:t>
            </w:r>
            <w:r w:rsidR="006652E0" w:rsidRPr="00F14E6C">
              <w:rPr>
                <w:rFonts w:ascii="Calibri" w:eastAsia="MS Mincho" w:hAnsi="Calibri" w:cs="AdvTimes"/>
                <w:b/>
                <w:sz w:val="18"/>
                <w:szCs w:val="18"/>
              </w:rPr>
              <w:t>*</w:t>
            </w:r>
          </w:p>
          <w:p w14:paraId="7A197523" w14:textId="00EF0237"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(027, 0.51)</w:t>
            </w:r>
          </w:p>
        </w:tc>
        <w:tc>
          <w:tcPr>
            <w:tcW w:w="1153" w:type="dxa"/>
          </w:tcPr>
          <w:p w14:paraId="6C349AAB"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 xml:space="preserve">1.09 </w:t>
            </w:r>
          </w:p>
          <w:p w14:paraId="3DAFA698" w14:textId="391E9626"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(0.68, 1.76)</w:t>
            </w:r>
          </w:p>
        </w:tc>
        <w:tc>
          <w:tcPr>
            <w:tcW w:w="1155" w:type="dxa"/>
          </w:tcPr>
          <w:p w14:paraId="6572F0C4"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0.86</w:t>
            </w:r>
          </w:p>
          <w:p w14:paraId="1696D7D5" w14:textId="058B7B8E"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(0.57, 1.31)</w:t>
            </w:r>
          </w:p>
        </w:tc>
      </w:tr>
      <w:tr w:rsidR="00E45F31" w:rsidRPr="00F14E6C" w14:paraId="41503531" w14:textId="77777777" w:rsidTr="00A5191E">
        <w:trPr>
          <w:trHeight w:val="741"/>
        </w:trPr>
        <w:tc>
          <w:tcPr>
            <w:tcW w:w="704" w:type="dxa"/>
            <w:tcBorders>
              <w:bottom w:val="nil"/>
            </w:tcBorders>
          </w:tcPr>
          <w:p w14:paraId="1EC1188C" w14:textId="77777777" w:rsidR="00B42DCC" w:rsidRPr="00F14E6C" w:rsidRDefault="00B42DCC" w:rsidP="005932B3">
            <w:pPr>
              <w:spacing w:after="120"/>
              <w:rPr>
                <w:rFonts w:ascii="Calibri" w:eastAsia="MS Mincho" w:hAnsi="Calibri" w:cs="AdvTimes"/>
              </w:rPr>
            </w:pPr>
            <w:r w:rsidRPr="00F14E6C">
              <w:rPr>
                <w:rFonts w:ascii="Calibri" w:eastAsia="MS Mincho" w:hAnsi="Calibri" w:cs="AdvTimes"/>
              </w:rPr>
              <w:t>80</w:t>
            </w:r>
          </w:p>
        </w:tc>
        <w:tc>
          <w:tcPr>
            <w:tcW w:w="1152" w:type="dxa"/>
            <w:tcBorders>
              <w:bottom w:val="nil"/>
            </w:tcBorders>
          </w:tcPr>
          <w:p w14:paraId="530F9CB9"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2.31 </w:t>
            </w:r>
          </w:p>
          <w:p w14:paraId="70D78008" w14:textId="18FC5082"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(1.91, 2.79)</w:t>
            </w:r>
          </w:p>
        </w:tc>
        <w:tc>
          <w:tcPr>
            <w:tcW w:w="1159" w:type="dxa"/>
            <w:tcBorders>
              <w:bottom w:val="nil"/>
            </w:tcBorders>
          </w:tcPr>
          <w:p w14:paraId="22A942E7"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2.20 </w:t>
            </w:r>
          </w:p>
          <w:p w14:paraId="1657B68F" w14:textId="527849D2"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(1.91, 2.53)</w:t>
            </w:r>
          </w:p>
        </w:tc>
        <w:tc>
          <w:tcPr>
            <w:tcW w:w="1153" w:type="dxa"/>
            <w:tcBorders>
              <w:bottom w:val="nil"/>
            </w:tcBorders>
          </w:tcPr>
          <w:p w14:paraId="6BB4D614"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1.46 </w:t>
            </w:r>
          </w:p>
          <w:p w14:paraId="3E0344F8" w14:textId="1385A079"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(1.15, 1.86)</w:t>
            </w:r>
          </w:p>
        </w:tc>
        <w:tc>
          <w:tcPr>
            <w:tcW w:w="1153" w:type="dxa"/>
            <w:tcBorders>
              <w:bottom w:val="nil"/>
            </w:tcBorders>
          </w:tcPr>
          <w:p w14:paraId="086A0852"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1.41 </w:t>
            </w:r>
          </w:p>
          <w:p w14:paraId="1E79C0B4" w14:textId="66CDD467"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(1.19, 1.67)</w:t>
            </w:r>
          </w:p>
        </w:tc>
        <w:tc>
          <w:tcPr>
            <w:tcW w:w="1152" w:type="dxa"/>
            <w:tcBorders>
              <w:bottom w:val="nil"/>
            </w:tcBorders>
          </w:tcPr>
          <w:p w14:paraId="015A707A"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0.74</w:t>
            </w:r>
          </w:p>
          <w:p w14:paraId="3FE26E5E" w14:textId="0599B1DE"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(0.56, 0.97)</w:t>
            </w:r>
          </w:p>
        </w:tc>
        <w:tc>
          <w:tcPr>
            <w:tcW w:w="1153" w:type="dxa"/>
            <w:tcBorders>
              <w:bottom w:val="nil"/>
            </w:tcBorders>
          </w:tcPr>
          <w:p w14:paraId="7449584E"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0.83 </w:t>
            </w:r>
          </w:p>
          <w:p w14:paraId="6CB0CFBB" w14:textId="3CCD98B0"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(0.71, 0.96)</w:t>
            </w:r>
          </w:p>
        </w:tc>
        <w:tc>
          <w:tcPr>
            <w:tcW w:w="1153" w:type="dxa"/>
            <w:tcBorders>
              <w:bottom w:val="nil"/>
            </w:tcBorders>
          </w:tcPr>
          <w:p w14:paraId="36676531"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 xml:space="preserve">1.27 </w:t>
            </w:r>
          </w:p>
          <w:p w14:paraId="561E32FE" w14:textId="37A1C6B1"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(0.95, 1.69)</w:t>
            </w:r>
          </w:p>
        </w:tc>
        <w:tc>
          <w:tcPr>
            <w:tcW w:w="1155" w:type="dxa"/>
            <w:tcBorders>
              <w:bottom w:val="nil"/>
            </w:tcBorders>
          </w:tcPr>
          <w:p w14:paraId="54504F7D"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 xml:space="preserve">1.05 </w:t>
            </w:r>
          </w:p>
          <w:p w14:paraId="5F971011" w14:textId="28064A6D"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(0.87, 1.28)</w:t>
            </w:r>
          </w:p>
        </w:tc>
      </w:tr>
      <w:tr w:rsidR="00E45F31" w:rsidRPr="00F14E6C" w14:paraId="040F2B91" w14:textId="77777777" w:rsidTr="00A5191E">
        <w:trPr>
          <w:trHeight w:val="728"/>
        </w:trPr>
        <w:tc>
          <w:tcPr>
            <w:tcW w:w="704" w:type="dxa"/>
            <w:tcBorders>
              <w:top w:val="nil"/>
              <w:bottom w:val="single" w:sz="4" w:space="0" w:color="auto"/>
            </w:tcBorders>
          </w:tcPr>
          <w:p w14:paraId="3D156A8C" w14:textId="77777777" w:rsidR="00B42DCC" w:rsidRPr="00F14E6C" w:rsidRDefault="00B42DCC" w:rsidP="005932B3">
            <w:pPr>
              <w:spacing w:after="120"/>
              <w:rPr>
                <w:rFonts w:ascii="Calibri" w:eastAsia="MS Mincho" w:hAnsi="Calibri" w:cs="AdvTimes"/>
              </w:rPr>
            </w:pPr>
            <w:r w:rsidRPr="00F14E6C">
              <w:rPr>
                <w:rFonts w:ascii="Calibri" w:eastAsia="MS Mincho" w:hAnsi="Calibri" w:cs="AdvTimes"/>
              </w:rPr>
              <w:t>90</w:t>
            </w:r>
          </w:p>
        </w:tc>
        <w:tc>
          <w:tcPr>
            <w:tcW w:w="1152" w:type="dxa"/>
            <w:tcBorders>
              <w:top w:val="nil"/>
              <w:bottom w:val="single" w:sz="4" w:space="0" w:color="auto"/>
            </w:tcBorders>
          </w:tcPr>
          <w:p w14:paraId="1461ED2D"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1.40 </w:t>
            </w:r>
          </w:p>
          <w:p w14:paraId="79A55D37" w14:textId="0BD485F5"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(1.18, 1.65)</w:t>
            </w:r>
          </w:p>
        </w:tc>
        <w:tc>
          <w:tcPr>
            <w:tcW w:w="1159" w:type="dxa"/>
            <w:tcBorders>
              <w:top w:val="nil"/>
              <w:bottom w:val="single" w:sz="4" w:space="0" w:color="auto"/>
            </w:tcBorders>
          </w:tcPr>
          <w:p w14:paraId="7323BABA"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1.60 </w:t>
            </w:r>
          </w:p>
          <w:p w14:paraId="57F5F772" w14:textId="3CBF70A6"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(1.42, 1.79)</w:t>
            </w:r>
          </w:p>
        </w:tc>
        <w:tc>
          <w:tcPr>
            <w:tcW w:w="1153" w:type="dxa"/>
            <w:tcBorders>
              <w:top w:val="nil"/>
              <w:bottom w:val="single" w:sz="4" w:space="0" w:color="auto"/>
            </w:tcBorders>
          </w:tcPr>
          <w:p w14:paraId="17516C8B"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 xml:space="preserve">1.06 </w:t>
            </w:r>
          </w:p>
          <w:p w14:paraId="1222C2FC" w14:textId="29BDDAFA"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(0.86, 1.31)</w:t>
            </w:r>
          </w:p>
        </w:tc>
        <w:tc>
          <w:tcPr>
            <w:tcW w:w="1153" w:type="dxa"/>
            <w:tcBorders>
              <w:top w:val="nil"/>
              <w:bottom w:val="single" w:sz="4" w:space="0" w:color="auto"/>
            </w:tcBorders>
          </w:tcPr>
          <w:p w14:paraId="7386716C"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1.24 </w:t>
            </w:r>
          </w:p>
          <w:p w14:paraId="5A9EE69B" w14:textId="07BA3CD1"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(1.07, 1.42)</w:t>
            </w:r>
          </w:p>
        </w:tc>
        <w:tc>
          <w:tcPr>
            <w:tcW w:w="1152" w:type="dxa"/>
            <w:tcBorders>
              <w:top w:val="nil"/>
              <w:bottom w:val="single" w:sz="4" w:space="0" w:color="auto"/>
            </w:tcBorders>
          </w:tcPr>
          <w:p w14:paraId="0EBBC5B7" w14:textId="77777777" w:rsidR="00B42DCC" w:rsidRPr="00F14E6C" w:rsidRDefault="00B42DCC" w:rsidP="005932B3">
            <w:pPr>
              <w:spacing w:after="120"/>
              <w:rPr>
                <w:rFonts w:ascii="Calibri" w:eastAsia="MS Mincho" w:hAnsi="Calibri" w:cs="AdvTimes"/>
                <w:b/>
                <w:sz w:val="18"/>
                <w:szCs w:val="18"/>
              </w:rPr>
            </w:pPr>
            <w:r w:rsidRPr="00F14E6C">
              <w:rPr>
                <w:rFonts w:ascii="Calibri" w:eastAsia="MS Mincho" w:hAnsi="Calibri" w:cs="AdvTimes"/>
                <w:b/>
                <w:sz w:val="18"/>
                <w:szCs w:val="18"/>
              </w:rPr>
              <w:t xml:space="preserve">0.74 </w:t>
            </w:r>
          </w:p>
          <w:p w14:paraId="1D01B6D5" w14:textId="549CC244" w:rsidR="00B42DCC" w:rsidRPr="00F14E6C" w:rsidRDefault="00B42DCC" w:rsidP="005932B3">
            <w:pPr>
              <w:spacing w:after="120"/>
              <w:rPr>
                <w:rFonts w:ascii="Calibri" w:eastAsia="MS Mincho" w:hAnsi="Calibri" w:cs="AdvTimes"/>
              </w:rPr>
            </w:pPr>
            <w:r w:rsidRPr="00F14E6C">
              <w:rPr>
                <w:rFonts w:ascii="Calibri" w:eastAsia="MS Mincho" w:hAnsi="Calibri" w:cs="AdvTimes"/>
                <w:b/>
                <w:sz w:val="18"/>
                <w:szCs w:val="18"/>
              </w:rPr>
              <w:t>(0.59, 0.93)</w:t>
            </w:r>
          </w:p>
        </w:tc>
        <w:tc>
          <w:tcPr>
            <w:tcW w:w="1153" w:type="dxa"/>
            <w:tcBorders>
              <w:top w:val="nil"/>
              <w:bottom w:val="single" w:sz="4" w:space="0" w:color="auto"/>
            </w:tcBorders>
          </w:tcPr>
          <w:p w14:paraId="1CD57ACE"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 xml:space="preserve">0.88 </w:t>
            </w:r>
          </w:p>
          <w:p w14:paraId="65CFB9C8" w14:textId="44D4EAFB"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(0.77, 1.00)</w:t>
            </w:r>
          </w:p>
        </w:tc>
        <w:tc>
          <w:tcPr>
            <w:tcW w:w="1153" w:type="dxa"/>
            <w:tcBorders>
              <w:top w:val="nil"/>
              <w:bottom w:val="single" w:sz="4" w:space="0" w:color="auto"/>
            </w:tcBorders>
          </w:tcPr>
          <w:p w14:paraId="3747773A"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 xml:space="preserve">1.11 </w:t>
            </w:r>
          </w:p>
          <w:p w14:paraId="6D171488" w14:textId="4BB5AFF4"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(0.84, 1.46)</w:t>
            </w:r>
          </w:p>
        </w:tc>
        <w:tc>
          <w:tcPr>
            <w:tcW w:w="1155" w:type="dxa"/>
            <w:tcBorders>
              <w:top w:val="nil"/>
              <w:bottom w:val="single" w:sz="4" w:space="0" w:color="auto"/>
            </w:tcBorders>
          </w:tcPr>
          <w:p w14:paraId="142C1336" w14:textId="77777777" w:rsidR="00B42DCC" w:rsidRPr="00F14E6C" w:rsidRDefault="00B42DCC" w:rsidP="005932B3">
            <w:pPr>
              <w:spacing w:after="120"/>
              <w:rPr>
                <w:rFonts w:ascii="Calibri" w:eastAsia="MS Mincho" w:hAnsi="Calibri" w:cs="AdvTimes"/>
                <w:sz w:val="18"/>
                <w:szCs w:val="18"/>
              </w:rPr>
            </w:pPr>
            <w:r w:rsidRPr="00F14E6C">
              <w:rPr>
                <w:rFonts w:ascii="Calibri" w:eastAsia="MS Mincho" w:hAnsi="Calibri" w:cs="AdvTimes"/>
                <w:sz w:val="18"/>
                <w:szCs w:val="18"/>
              </w:rPr>
              <w:t>1.05</w:t>
            </w:r>
          </w:p>
          <w:p w14:paraId="297B8E4F" w14:textId="79E9C3D9" w:rsidR="00B42DCC" w:rsidRPr="00F14E6C" w:rsidRDefault="00B42DCC" w:rsidP="005932B3">
            <w:pPr>
              <w:spacing w:after="120"/>
              <w:rPr>
                <w:rFonts w:ascii="Calibri" w:eastAsia="MS Mincho" w:hAnsi="Calibri" w:cs="AdvTimes"/>
              </w:rPr>
            </w:pPr>
            <w:r w:rsidRPr="00F14E6C">
              <w:rPr>
                <w:rFonts w:ascii="Calibri" w:eastAsia="MS Mincho" w:hAnsi="Calibri" w:cs="AdvTimes"/>
                <w:sz w:val="18"/>
                <w:szCs w:val="18"/>
              </w:rPr>
              <w:t>(0.89, 1.23)</w:t>
            </w:r>
          </w:p>
        </w:tc>
      </w:tr>
    </w:tbl>
    <w:p w14:paraId="09BCB902" w14:textId="77777777" w:rsidR="00A5191E" w:rsidRPr="00F14E6C" w:rsidRDefault="00A5191E" w:rsidP="00A5191E">
      <w:pPr>
        <w:spacing w:after="0"/>
        <w:rPr>
          <w:rFonts w:ascii="Calibri" w:eastAsia="MS Mincho" w:hAnsi="Calibri" w:cs="AdvTimes"/>
          <w:i/>
        </w:rPr>
      </w:pPr>
      <w:r w:rsidRPr="00F14E6C">
        <w:rPr>
          <w:rFonts w:ascii="Calibri" w:eastAsia="MS Mincho" w:hAnsi="Calibri" w:cs="AdvTimes"/>
          <w:i/>
        </w:rPr>
        <w:t>* p&lt;0.05 comparing men and women, ns otherwise</w:t>
      </w:r>
    </w:p>
    <w:p w14:paraId="5CAB9994" w14:textId="77777777" w:rsidR="00A5191E" w:rsidRPr="00F14E6C" w:rsidRDefault="00A5191E" w:rsidP="007A2475">
      <w:pPr>
        <w:spacing w:after="0"/>
        <w:rPr>
          <w:rFonts w:ascii="Calibri" w:eastAsia="MS Mincho" w:hAnsi="Calibri" w:cs="AdvTimes"/>
          <w:i/>
        </w:rPr>
      </w:pPr>
    </w:p>
    <w:p w14:paraId="246B6BBE" w14:textId="7B6E9734" w:rsidR="002F79DB" w:rsidRPr="00F14E6C" w:rsidRDefault="002F79DB" w:rsidP="007A2475">
      <w:pPr>
        <w:spacing w:after="0"/>
        <w:rPr>
          <w:rFonts w:ascii="Calibri" w:eastAsia="MS Mincho" w:hAnsi="Calibri" w:cs="AdvTimes"/>
          <w:i/>
        </w:rPr>
      </w:pPr>
      <w:r w:rsidRPr="00F14E6C">
        <w:rPr>
          <w:rFonts w:ascii="Calibri" w:eastAsia="MS Mincho" w:hAnsi="Calibri" w:cs="AdvTimes"/>
          <w:i/>
        </w:rPr>
        <w:t>Fracture probability</w:t>
      </w:r>
    </w:p>
    <w:p w14:paraId="7753BE5F" w14:textId="5F12C672" w:rsidR="002F79DB" w:rsidRPr="00F14E6C" w:rsidRDefault="003C78C0" w:rsidP="00E4698C">
      <w:pPr>
        <w:rPr>
          <w:rFonts w:ascii="Calibri" w:eastAsia="MS Mincho" w:hAnsi="Calibri" w:cs="AdvTimes"/>
          <w:i/>
        </w:rPr>
      </w:pPr>
      <w:bookmarkStart w:id="22" w:name="_Hlk485138412"/>
      <w:r w:rsidRPr="00F14E6C">
        <w:rPr>
          <w:lang w:val="en-US"/>
        </w:rPr>
        <w:t xml:space="preserve">The 10-year probability of major osteoporotic fracture was higher in the population with a sentinel fracture than in the </w:t>
      </w:r>
      <w:r w:rsidR="00A5191E" w:rsidRPr="00F14E6C">
        <w:rPr>
          <w:lang w:val="en-US"/>
        </w:rPr>
        <w:t>whole cohort</w:t>
      </w:r>
      <w:r w:rsidRPr="00F14E6C">
        <w:rPr>
          <w:lang w:val="en-US"/>
        </w:rPr>
        <w:t xml:space="preserve"> of the same age and sex. </w:t>
      </w:r>
      <w:bookmarkEnd w:id="22"/>
      <w:r w:rsidRPr="00F14E6C">
        <w:rPr>
          <w:lang w:val="en-US"/>
        </w:rPr>
        <w:t xml:space="preserve"> </w:t>
      </w:r>
      <w:r w:rsidR="003B6C9F" w:rsidRPr="00F14E6C">
        <w:rPr>
          <w:lang w:val="en-US"/>
        </w:rPr>
        <w:t>For</w:t>
      </w:r>
      <w:r w:rsidRPr="00F14E6C">
        <w:rPr>
          <w:lang w:val="en-US"/>
        </w:rPr>
        <w:t xml:space="preserve"> example</w:t>
      </w:r>
      <w:r w:rsidR="003B6C9F" w:rsidRPr="00F14E6C">
        <w:rPr>
          <w:lang w:val="en-US"/>
        </w:rPr>
        <w:t xml:space="preserve">, in men, the probability at the age of </w:t>
      </w:r>
      <w:r w:rsidR="003B6C9F" w:rsidRPr="00F14E6C">
        <w:rPr>
          <w:lang w:val="en-US"/>
        </w:rPr>
        <w:lastRenderedPageBreak/>
        <w:t xml:space="preserve">60 years </w:t>
      </w:r>
      <w:r w:rsidR="00A5191E" w:rsidRPr="00F14E6C">
        <w:rPr>
          <w:lang w:val="en-US"/>
        </w:rPr>
        <w:t xml:space="preserve">after a spine fracture </w:t>
      </w:r>
      <w:r w:rsidR="003B6C9F" w:rsidRPr="00F14E6C">
        <w:rPr>
          <w:lang w:val="en-US"/>
        </w:rPr>
        <w:t>was 6-times higher than that of the whole cohort of the same age and sex.  The probability ratio fell, however, with age from 6 to 5</w:t>
      </w:r>
      <w:r w:rsidR="00815F57" w:rsidRPr="00F14E6C">
        <w:rPr>
          <w:lang w:val="en-US"/>
        </w:rPr>
        <w:t xml:space="preserve">, </w:t>
      </w:r>
      <w:r w:rsidR="003B6C9F" w:rsidRPr="00F14E6C">
        <w:rPr>
          <w:lang w:val="en-US"/>
        </w:rPr>
        <w:t xml:space="preserve">3 and </w:t>
      </w:r>
      <w:r w:rsidR="005B3792" w:rsidRPr="00F14E6C">
        <w:rPr>
          <w:lang w:val="en-US"/>
        </w:rPr>
        <w:t>3 in</w:t>
      </w:r>
      <w:r w:rsidR="003B6C9F" w:rsidRPr="00F14E6C">
        <w:rPr>
          <w:lang w:val="en-US"/>
        </w:rPr>
        <w:t xml:space="preserve"> men age 70, 80 and 90 years, respectively. </w:t>
      </w:r>
      <w:r w:rsidRPr="00F14E6C">
        <w:rPr>
          <w:lang w:val="en-US"/>
        </w:rPr>
        <w:t xml:space="preserve">For women, the same ratio </w:t>
      </w:r>
      <w:r w:rsidR="003B6C9F" w:rsidRPr="00F14E6C">
        <w:rPr>
          <w:lang w:val="en-US"/>
        </w:rPr>
        <w:t>at age 60</w:t>
      </w:r>
      <w:r w:rsidR="005B3792" w:rsidRPr="00F14E6C">
        <w:rPr>
          <w:lang w:val="en-US"/>
        </w:rPr>
        <w:t xml:space="preserve"> </w:t>
      </w:r>
      <w:r w:rsidRPr="00F14E6C">
        <w:rPr>
          <w:lang w:val="en-US"/>
        </w:rPr>
        <w:t>was 3</w:t>
      </w:r>
      <w:r w:rsidR="005B3792" w:rsidRPr="00F14E6C">
        <w:rPr>
          <w:lang w:val="en-US"/>
        </w:rPr>
        <w:t xml:space="preserve"> falling to 1.4 at the age of 9</w:t>
      </w:r>
      <w:r w:rsidR="009543B3" w:rsidRPr="00F14E6C">
        <w:rPr>
          <w:lang w:val="en-US"/>
        </w:rPr>
        <w:t>0</w:t>
      </w:r>
      <w:r w:rsidR="005B3792" w:rsidRPr="00F14E6C">
        <w:rPr>
          <w:lang w:val="en-US"/>
        </w:rPr>
        <w:t xml:space="preserve"> years</w:t>
      </w:r>
      <w:r w:rsidRPr="00F14E6C">
        <w:rPr>
          <w:lang w:val="en-US"/>
        </w:rPr>
        <w:t>. Th</w:t>
      </w:r>
      <w:r w:rsidR="005B3792" w:rsidRPr="00F14E6C">
        <w:rPr>
          <w:lang w:val="en-US"/>
        </w:rPr>
        <w:t>us, th</w:t>
      </w:r>
      <w:r w:rsidRPr="00F14E6C">
        <w:rPr>
          <w:lang w:val="en-US"/>
        </w:rPr>
        <w:t xml:space="preserve">e difference between </w:t>
      </w:r>
      <w:r w:rsidR="00371A79" w:rsidRPr="00F14E6C">
        <w:rPr>
          <w:lang w:val="en-US"/>
        </w:rPr>
        <w:t>10-year</w:t>
      </w:r>
      <w:r w:rsidRPr="00F14E6C">
        <w:rPr>
          <w:lang w:val="en-US"/>
        </w:rPr>
        <w:t xml:space="preserve"> probabilities between cases and </w:t>
      </w:r>
      <w:r w:rsidR="003B2419" w:rsidRPr="00F14E6C">
        <w:rPr>
          <w:lang w:val="en-US"/>
        </w:rPr>
        <w:t>the whole cohort</w:t>
      </w:r>
      <w:r w:rsidRPr="00F14E6C">
        <w:rPr>
          <w:lang w:val="en-US"/>
        </w:rPr>
        <w:t xml:space="preserve"> was greater for men than for women for all ages. </w:t>
      </w:r>
      <w:r w:rsidR="004120A6" w:rsidRPr="00F14E6C">
        <w:rPr>
          <w:lang w:val="en-US"/>
        </w:rPr>
        <w:t xml:space="preserve">Similar effects were noted for other sentinel </w:t>
      </w:r>
      <w:r w:rsidR="006E18E6" w:rsidRPr="00F14E6C">
        <w:rPr>
          <w:lang w:val="en-US"/>
        </w:rPr>
        <w:t>fractures</w:t>
      </w:r>
      <w:r w:rsidRPr="00F14E6C">
        <w:rPr>
          <w:lang w:val="en-US"/>
        </w:rPr>
        <w:t xml:space="preserve"> (</w:t>
      </w:r>
      <w:r w:rsidR="005B3792" w:rsidRPr="00F14E6C">
        <w:rPr>
          <w:lang w:val="en-US"/>
        </w:rPr>
        <w:t xml:space="preserve">supplementary </w:t>
      </w:r>
      <w:r w:rsidRPr="00F14E6C">
        <w:rPr>
          <w:lang w:val="en-US"/>
        </w:rPr>
        <w:t>Table</w:t>
      </w:r>
      <w:r w:rsidR="00942CC7" w:rsidRPr="00F14E6C">
        <w:rPr>
          <w:lang w:val="en-US"/>
        </w:rPr>
        <w:t xml:space="preserve"> </w:t>
      </w:r>
      <w:r w:rsidR="005B3792" w:rsidRPr="00F14E6C">
        <w:rPr>
          <w:lang w:val="en-US"/>
        </w:rPr>
        <w:t>s5</w:t>
      </w:r>
      <w:r w:rsidRPr="00F14E6C">
        <w:rPr>
          <w:lang w:val="en-US"/>
        </w:rPr>
        <w:t>)</w:t>
      </w:r>
      <w:r w:rsidR="00942CC7" w:rsidRPr="00F14E6C">
        <w:rPr>
          <w:lang w:val="en-US"/>
        </w:rPr>
        <w:t>.</w:t>
      </w:r>
      <w:r w:rsidR="004120A6" w:rsidRPr="00F14E6C">
        <w:rPr>
          <w:lang w:val="en-US"/>
        </w:rPr>
        <w:t xml:space="preserve"> </w:t>
      </w:r>
    </w:p>
    <w:p w14:paraId="21F60FB5" w14:textId="77777777" w:rsidR="005018B5" w:rsidRPr="00F14E6C" w:rsidRDefault="005018B5" w:rsidP="0023003E">
      <w:pPr>
        <w:spacing w:after="0"/>
        <w:rPr>
          <w:rFonts w:ascii="Calibri" w:eastAsia="MS Mincho" w:hAnsi="Calibri" w:cs="AdvTimes"/>
          <w:i/>
        </w:rPr>
      </w:pPr>
    </w:p>
    <w:p w14:paraId="6114440C" w14:textId="66569098" w:rsidR="007F5A2B" w:rsidRPr="00F14E6C" w:rsidRDefault="007F5A2B" w:rsidP="0023003E">
      <w:pPr>
        <w:spacing w:after="0"/>
        <w:rPr>
          <w:rFonts w:ascii="Calibri" w:eastAsia="MS Mincho" w:hAnsi="Calibri" w:cs="AdvTimes"/>
          <w:i/>
        </w:rPr>
      </w:pPr>
      <w:r w:rsidRPr="00F14E6C">
        <w:rPr>
          <w:rFonts w:ascii="Calibri" w:eastAsia="MS Mincho" w:hAnsi="Calibri" w:cs="AdvTimes"/>
          <w:i/>
        </w:rPr>
        <w:t>Utility loss</w:t>
      </w:r>
    </w:p>
    <w:p w14:paraId="2A6B6228" w14:textId="4FD4F426" w:rsidR="00D21CF6" w:rsidRPr="00F14E6C" w:rsidRDefault="00D21CF6" w:rsidP="00D21CF6">
      <w:pPr>
        <w:spacing w:after="0"/>
        <w:rPr>
          <w:rFonts w:ascii="Calibri" w:eastAsia="MS Mincho" w:hAnsi="Calibri" w:cs="AdvTimes"/>
          <w:i/>
          <w:iCs/>
          <w:lang w:val="en-US"/>
        </w:rPr>
      </w:pPr>
      <w:bookmarkStart w:id="23" w:name="_Hlk485138782"/>
      <w:r w:rsidRPr="00F14E6C">
        <w:rPr>
          <w:rFonts w:ascii="Calibri" w:eastAsia="MS Mincho" w:hAnsi="Calibri" w:cs="AdvTimes"/>
          <w:iCs/>
        </w:rPr>
        <w:t xml:space="preserve">Utility loss over 10 years was much greater in fracture cases than in the whole cohort. Loss was greatest following a vertebral fracture (0.92; 95% CI: 0.89-0.95), followed by hip (0.63; 95% CI: 0.61-0.65), </w:t>
      </w:r>
      <w:r w:rsidR="005A7B5F" w:rsidRPr="00F14E6C">
        <w:rPr>
          <w:rFonts w:ascii="Calibri" w:eastAsia="MS Mincho" w:hAnsi="Calibri" w:cs="AdvTimes"/>
          <w:iCs/>
        </w:rPr>
        <w:t>humeral (0.51 (95% CI: 0.49-0.53) and f</w:t>
      </w:r>
      <w:r w:rsidRPr="00F14E6C">
        <w:rPr>
          <w:rFonts w:ascii="Calibri" w:eastAsia="MS Mincho" w:hAnsi="Calibri" w:cs="AdvTimes"/>
          <w:iCs/>
        </w:rPr>
        <w:t xml:space="preserve">orearm </w:t>
      </w:r>
      <w:r w:rsidR="005A7B5F" w:rsidRPr="00F14E6C">
        <w:rPr>
          <w:rFonts w:ascii="Calibri" w:eastAsia="MS Mincho" w:hAnsi="Calibri" w:cs="AdvTimes"/>
          <w:iCs/>
        </w:rPr>
        <w:t>fracture (0.32; 95% CI: 0.31-0.</w:t>
      </w:r>
      <w:r w:rsidR="005018B5" w:rsidRPr="00F14E6C">
        <w:rPr>
          <w:rFonts w:ascii="Calibri" w:eastAsia="MS Mincho" w:hAnsi="Calibri" w:cs="AdvTimes"/>
          <w:iCs/>
        </w:rPr>
        <w:t>33)</w:t>
      </w:r>
      <w:r w:rsidRPr="00F14E6C">
        <w:rPr>
          <w:rFonts w:ascii="Calibri" w:eastAsia="MS Mincho" w:hAnsi="Calibri" w:cs="AdvTimes"/>
          <w:iCs/>
        </w:rPr>
        <w:t xml:space="preserve">.  </w:t>
      </w:r>
    </w:p>
    <w:p w14:paraId="1D70CBFA" w14:textId="7CD547E2" w:rsidR="004F28CD" w:rsidRPr="00F14E6C" w:rsidRDefault="003B44ED" w:rsidP="004F28CD">
      <w:pPr>
        <w:rPr>
          <w:rFonts w:ascii="Calibri" w:eastAsia="MS Mincho" w:hAnsi="Calibri" w:cs="AdvTimes"/>
          <w:iCs/>
        </w:rPr>
      </w:pPr>
      <w:r w:rsidRPr="00F14E6C">
        <w:rPr>
          <w:rFonts w:ascii="Calibri" w:eastAsia="MS Mincho" w:hAnsi="Calibri" w:cs="AdvTimes"/>
          <w:iCs/>
        </w:rPr>
        <w:t xml:space="preserve">Since the </w:t>
      </w:r>
      <w:r w:rsidR="003B2419" w:rsidRPr="00F14E6C">
        <w:rPr>
          <w:rFonts w:ascii="Calibri" w:eastAsia="MS Mincho" w:hAnsi="Calibri" w:cs="AdvTimes"/>
          <w:iCs/>
        </w:rPr>
        <w:t>whole cohort</w:t>
      </w:r>
      <w:r w:rsidRPr="00F14E6C">
        <w:rPr>
          <w:rFonts w:ascii="Calibri" w:eastAsia="MS Mincho" w:hAnsi="Calibri" w:cs="AdvTimes"/>
          <w:iCs/>
        </w:rPr>
        <w:t xml:space="preserve"> and each of the sentinel fracture cohorts differed in age and sex distribution, a linear regression model was applied to derive utility losses that were </w:t>
      </w:r>
      <w:r w:rsidRPr="00F14E6C">
        <w:rPr>
          <w:rFonts w:ascii="Calibri" w:eastAsia="MS Mincho" w:hAnsi="Calibri" w:cs="AdvTimes"/>
          <w:iCs/>
          <w:lang w:val="en-US"/>
        </w:rPr>
        <w:t xml:space="preserve">age- and sex-specific. </w:t>
      </w:r>
      <w:r w:rsidR="00C414C1" w:rsidRPr="00F14E6C">
        <w:rPr>
          <w:rFonts w:ascii="Calibri" w:eastAsia="MS Mincho" w:hAnsi="Calibri" w:cs="AdvTimes"/>
          <w:iCs/>
        </w:rPr>
        <w:t xml:space="preserve">The utility loss </w:t>
      </w:r>
      <w:r w:rsidR="003B2419" w:rsidRPr="00F14E6C">
        <w:rPr>
          <w:rFonts w:ascii="Calibri" w:eastAsia="MS Mincho" w:hAnsi="Calibri" w:cs="AdvTimes"/>
          <w:iCs/>
        </w:rPr>
        <w:t xml:space="preserve">sustained during the subsequent 10 years </w:t>
      </w:r>
      <w:r w:rsidR="00C414C1" w:rsidRPr="00F14E6C">
        <w:rPr>
          <w:rFonts w:ascii="Calibri" w:eastAsia="MS Mincho" w:hAnsi="Calibri" w:cs="AdvTimes"/>
          <w:iCs/>
        </w:rPr>
        <w:t xml:space="preserve">for men and women with a sentinel fracture varied </w:t>
      </w:r>
      <w:r w:rsidR="00D21CF6" w:rsidRPr="00F14E6C">
        <w:rPr>
          <w:rFonts w:ascii="Calibri" w:eastAsia="MS Mincho" w:hAnsi="Calibri" w:cs="AdvTimes"/>
          <w:iCs/>
        </w:rPr>
        <w:t xml:space="preserve">both </w:t>
      </w:r>
      <w:r w:rsidR="00C414C1" w:rsidRPr="00F14E6C">
        <w:rPr>
          <w:rFonts w:ascii="Calibri" w:eastAsia="MS Mincho" w:hAnsi="Calibri" w:cs="AdvTimes"/>
          <w:iCs/>
        </w:rPr>
        <w:t xml:space="preserve">by age and sex. </w:t>
      </w:r>
      <w:bookmarkStart w:id="24" w:name="_Hlk484986017"/>
      <w:r w:rsidR="004F28CD" w:rsidRPr="00F14E6C">
        <w:rPr>
          <w:rFonts w:ascii="Calibri" w:eastAsia="MS Mincho" w:hAnsi="Calibri" w:cs="AdvTimes"/>
          <w:iCs/>
        </w:rPr>
        <w:t xml:space="preserve"> </w:t>
      </w:r>
      <w:bookmarkEnd w:id="23"/>
      <w:r w:rsidR="004F28CD" w:rsidRPr="00F14E6C">
        <w:rPr>
          <w:rFonts w:ascii="Calibri" w:eastAsia="MS Mincho" w:hAnsi="Calibri" w:cs="AdvTimes"/>
          <w:iCs/>
        </w:rPr>
        <w:t xml:space="preserve">An example is given in Figure </w:t>
      </w:r>
      <w:r w:rsidR="006E2FDA" w:rsidRPr="00F14E6C">
        <w:rPr>
          <w:rFonts w:ascii="Calibri" w:eastAsia="MS Mincho" w:hAnsi="Calibri" w:cs="AdvTimes"/>
          <w:iCs/>
        </w:rPr>
        <w:t>3</w:t>
      </w:r>
      <w:r w:rsidR="004F28CD" w:rsidRPr="00F14E6C">
        <w:rPr>
          <w:rFonts w:ascii="Calibri" w:eastAsia="MS Mincho" w:hAnsi="Calibri" w:cs="AdvTimes"/>
          <w:iCs/>
        </w:rPr>
        <w:t xml:space="preserve"> </w:t>
      </w:r>
      <w:r w:rsidR="00C414C1" w:rsidRPr="00F14E6C">
        <w:rPr>
          <w:rFonts w:ascii="Calibri" w:eastAsia="MS Mincho" w:hAnsi="Calibri" w:cs="AdvTimes"/>
          <w:iCs/>
        </w:rPr>
        <w:t>for men and women with a sentinel vertebral fracture (n=1365)</w:t>
      </w:r>
      <w:r w:rsidR="004F28CD" w:rsidRPr="00F14E6C">
        <w:rPr>
          <w:rFonts w:ascii="Calibri" w:eastAsia="MS Mincho" w:hAnsi="Calibri" w:cs="AdvTimes"/>
          <w:iCs/>
        </w:rPr>
        <w:t>.</w:t>
      </w:r>
      <w:r w:rsidR="00C414C1" w:rsidRPr="00F14E6C">
        <w:rPr>
          <w:rFonts w:ascii="Calibri" w:eastAsia="MS Mincho" w:hAnsi="Calibri" w:cs="AdvTimes"/>
          <w:iCs/>
        </w:rPr>
        <w:t xml:space="preserve"> </w:t>
      </w:r>
      <w:r w:rsidR="004F28CD" w:rsidRPr="00F14E6C">
        <w:rPr>
          <w:rFonts w:ascii="Calibri" w:eastAsia="MS Mincho" w:hAnsi="Calibri" w:cs="AdvTimes"/>
          <w:iCs/>
        </w:rPr>
        <w:t xml:space="preserve">The mean loss was </w:t>
      </w:r>
      <w:bookmarkStart w:id="25" w:name="_Hlk493519807"/>
      <w:r w:rsidR="00C414C1" w:rsidRPr="00F14E6C">
        <w:rPr>
          <w:rFonts w:ascii="Calibri" w:eastAsia="MS Mincho" w:hAnsi="Calibri" w:cs="AdvTimes"/>
          <w:iCs/>
        </w:rPr>
        <w:t xml:space="preserve">0.92 (95% CI: 0.89-0.95) </w:t>
      </w:r>
      <w:bookmarkEnd w:id="25"/>
      <w:r w:rsidR="00C414C1" w:rsidRPr="00F14E6C">
        <w:rPr>
          <w:rFonts w:ascii="Calibri" w:eastAsia="MS Mincho" w:hAnsi="Calibri" w:cs="AdvTimes"/>
          <w:iCs/>
        </w:rPr>
        <w:t xml:space="preserve">but </w:t>
      </w:r>
      <w:r w:rsidR="00D21CF6" w:rsidRPr="00F14E6C">
        <w:rPr>
          <w:rFonts w:ascii="Calibri" w:eastAsia="MS Mincho" w:hAnsi="Calibri" w:cs="AdvTimes"/>
          <w:iCs/>
        </w:rPr>
        <w:t>decreased with</w:t>
      </w:r>
      <w:r w:rsidR="00C414C1" w:rsidRPr="00F14E6C">
        <w:rPr>
          <w:rFonts w:ascii="Calibri" w:eastAsia="MS Mincho" w:hAnsi="Calibri" w:cs="AdvTimes"/>
          <w:iCs/>
        </w:rPr>
        <w:t xml:space="preserve"> age</w:t>
      </w:r>
      <w:bookmarkEnd w:id="24"/>
      <w:r w:rsidR="00C414C1" w:rsidRPr="00F14E6C">
        <w:rPr>
          <w:rFonts w:ascii="Calibri" w:eastAsia="MS Mincho" w:hAnsi="Calibri" w:cs="AdvTimes"/>
          <w:iCs/>
        </w:rPr>
        <w:t xml:space="preserve">, related to the attrition due to mortality and the lower HSVs on which the </w:t>
      </w:r>
      <w:r w:rsidR="004F28CD" w:rsidRPr="00F14E6C">
        <w:rPr>
          <w:rFonts w:ascii="Calibri" w:eastAsia="MS Mincho" w:hAnsi="Calibri" w:cs="AdvTimes"/>
          <w:iCs/>
        </w:rPr>
        <w:t xml:space="preserve">multipliers were applied. As expected, utility loss was higher in women than in men due to the higher risk of fractures in women. </w:t>
      </w:r>
    </w:p>
    <w:p w14:paraId="3727DD23" w14:textId="6858C05B" w:rsidR="00C414C1" w:rsidRPr="00F14E6C" w:rsidRDefault="00E24783" w:rsidP="00C414C1">
      <w:pPr>
        <w:rPr>
          <w:rFonts w:ascii="Calibri" w:eastAsia="MS Mincho" w:hAnsi="Calibri" w:cs="AdvTimes"/>
          <w:iCs/>
          <w:lang w:val="en-US"/>
        </w:rPr>
      </w:pPr>
      <w:r w:rsidRPr="00F14E6C">
        <w:rPr>
          <w:rFonts w:ascii="Calibri" w:eastAsia="MS Mincho" w:hAnsi="Calibri" w:cs="AdvTimes"/>
          <w:iCs/>
          <w:noProof/>
          <w:lang w:eastAsia="en-GB"/>
        </w:rPr>
        <w:lastRenderedPageBreak/>
        <w:drawing>
          <wp:anchor distT="0" distB="0" distL="114300" distR="114300" simplePos="0" relativeHeight="251659264" behindDoc="0" locked="0" layoutInCell="1" allowOverlap="1" wp14:anchorId="283C2AE3" wp14:editId="46BDEB54">
            <wp:simplePos x="0" y="0"/>
            <wp:positionH relativeFrom="margin">
              <wp:posOffset>2727960</wp:posOffset>
            </wp:positionH>
            <wp:positionV relativeFrom="paragraph">
              <wp:posOffset>306070</wp:posOffset>
            </wp:positionV>
            <wp:extent cx="2956560" cy="3044190"/>
            <wp:effectExtent l="0" t="0" r="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4334" r="22833"/>
                    <a:stretch/>
                  </pic:blipFill>
                  <pic:spPr bwMode="auto">
                    <a:xfrm>
                      <a:off x="0" y="0"/>
                      <a:ext cx="2956560" cy="3044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4E6C">
        <w:rPr>
          <w:rFonts w:ascii="Calibri" w:eastAsia="MS Mincho" w:hAnsi="Calibri" w:cs="AdvTimes"/>
          <w:iCs/>
          <w:noProof/>
          <w:lang w:eastAsia="en-GB"/>
        </w:rPr>
        <w:drawing>
          <wp:anchor distT="0" distB="0" distL="114300" distR="114300" simplePos="0" relativeHeight="251658240" behindDoc="0" locked="0" layoutInCell="1" allowOverlap="1" wp14:anchorId="145D718E" wp14:editId="2FF498F9">
            <wp:simplePos x="0" y="0"/>
            <wp:positionH relativeFrom="column">
              <wp:posOffset>-144780</wp:posOffset>
            </wp:positionH>
            <wp:positionV relativeFrom="paragraph">
              <wp:posOffset>285115</wp:posOffset>
            </wp:positionV>
            <wp:extent cx="2961132" cy="306324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5500" r="22000"/>
                    <a:stretch/>
                  </pic:blipFill>
                  <pic:spPr bwMode="auto">
                    <a:xfrm>
                      <a:off x="0" y="0"/>
                      <a:ext cx="2961132" cy="3063240"/>
                    </a:xfrm>
                    <a:prstGeom prst="rect">
                      <a:avLst/>
                    </a:prstGeom>
                    <a:ln>
                      <a:noFill/>
                    </a:ln>
                    <a:extLst>
                      <a:ext uri="{53640926-AAD7-44D8-BBD7-CCE9431645EC}">
                        <a14:shadowObscured xmlns:a14="http://schemas.microsoft.com/office/drawing/2010/main"/>
                      </a:ext>
                    </a:extLst>
                  </pic:spPr>
                </pic:pic>
              </a:graphicData>
            </a:graphic>
          </wp:anchor>
        </w:drawing>
      </w:r>
    </w:p>
    <w:p w14:paraId="506D2BCF" w14:textId="7EB312A2" w:rsidR="00C414C1" w:rsidRPr="00F14E6C" w:rsidRDefault="00E24783" w:rsidP="007F5A2B">
      <w:pPr>
        <w:rPr>
          <w:rFonts w:ascii="Calibri" w:eastAsia="MS Mincho" w:hAnsi="Calibri" w:cs="AdvTimes"/>
          <w:iCs/>
          <w:lang w:val="en-US"/>
        </w:rPr>
      </w:pPr>
      <w:r w:rsidRPr="00F14E6C">
        <w:rPr>
          <w:rFonts w:ascii="Calibri" w:eastAsia="MS Mincho" w:hAnsi="Calibri" w:cs="AdvTimes"/>
          <w:b/>
          <w:iCs/>
          <w:lang w:val="en-US"/>
        </w:rPr>
        <w:t xml:space="preserve">Figure 3. </w:t>
      </w:r>
      <w:r w:rsidRPr="00F14E6C">
        <w:rPr>
          <w:rFonts w:ascii="Calibri" w:eastAsia="MS Mincho" w:hAnsi="Calibri" w:cs="AdvTimes"/>
          <w:iCs/>
          <w:lang w:val="en-US"/>
        </w:rPr>
        <w:t>Cumulative utility loss for men and women at ages shown after vertebral fracture</w:t>
      </w:r>
    </w:p>
    <w:p w14:paraId="7A04A2B0" w14:textId="77777777" w:rsidR="00F14E6C" w:rsidRDefault="00F14E6C" w:rsidP="00821B32">
      <w:pPr>
        <w:rPr>
          <w:rFonts w:ascii="Calibri" w:eastAsia="MS Mincho" w:hAnsi="Calibri" w:cs="AdvTimes"/>
          <w:iCs/>
        </w:rPr>
      </w:pPr>
    </w:p>
    <w:p w14:paraId="749A0137" w14:textId="05787A9E" w:rsidR="00821B32" w:rsidRPr="00F14E6C" w:rsidRDefault="00821B32" w:rsidP="00821B32">
      <w:pPr>
        <w:rPr>
          <w:rFonts w:ascii="Calibri" w:eastAsia="MS Mincho" w:hAnsi="Calibri" w:cs="AdvTimes"/>
          <w:iCs/>
        </w:rPr>
      </w:pPr>
      <w:r w:rsidRPr="00F14E6C">
        <w:rPr>
          <w:rFonts w:ascii="Calibri" w:eastAsia="MS Mincho" w:hAnsi="Calibri" w:cs="AdvTimes"/>
          <w:iCs/>
        </w:rPr>
        <w:t xml:space="preserve">Utility loss decreased with age for the </w:t>
      </w:r>
      <w:r w:rsidR="005A7B5F" w:rsidRPr="00F14E6C">
        <w:rPr>
          <w:rFonts w:ascii="Calibri" w:eastAsia="MS Mincho" w:hAnsi="Calibri" w:cs="AdvTimes"/>
          <w:iCs/>
        </w:rPr>
        <w:t>cohorts</w:t>
      </w:r>
      <w:r w:rsidRPr="00F14E6C">
        <w:rPr>
          <w:rFonts w:ascii="Calibri" w:eastAsia="MS Mincho" w:hAnsi="Calibri" w:cs="AdvTimes"/>
          <w:iCs/>
        </w:rPr>
        <w:t xml:space="preserve"> with a sentinel </w:t>
      </w:r>
      <w:r w:rsidR="00371A79" w:rsidRPr="00F14E6C">
        <w:rPr>
          <w:rFonts w:ascii="Calibri" w:eastAsia="MS Mincho" w:hAnsi="Calibri" w:cs="AdvTimes"/>
          <w:iCs/>
        </w:rPr>
        <w:t xml:space="preserve">fracture </w:t>
      </w:r>
      <w:r w:rsidRPr="00F14E6C">
        <w:rPr>
          <w:rFonts w:ascii="Calibri" w:eastAsia="MS Mincho" w:hAnsi="Calibri" w:cs="AdvTimes"/>
          <w:iCs/>
        </w:rPr>
        <w:t xml:space="preserve">but increased with age for the </w:t>
      </w:r>
      <w:r w:rsidR="00007C79" w:rsidRPr="00F14E6C">
        <w:rPr>
          <w:rFonts w:ascii="Calibri" w:eastAsia="MS Mincho" w:hAnsi="Calibri" w:cs="AdvTimes"/>
          <w:iCs/>
        </w:rPr>
        <w:t>whole cohort</w:t>
      </w:r>
      <w:r w:rsidRPr="00F14E6C">
        <w:rPr>
          <w:rFonts w:ascii="Calibri" w:eastAsia="MS Mincho" w:hAnsi="Calibri" w:cs="AdvTimes"/>
          <w:iCs/>
        </w:rPr>
        <w:t xml:space="preserve"> for both men and women</w:t>
      </w:r>
      <w:r w:rsidR="00512478" w:rsidRPr="00F14E6C">
        <w:rPr>
          <w:rFonts w:ascii="Calibri" w:eastAsia="MS Mincho" w:hAnsi="Calibri" w:cs="AdvTimes"/>
          <w:iCs/>
        </w:rPr>
        <w:t>.  Thus, the excess utility loss (observed/</w:t>
      </w:r>
      <w:r w:rsidR="00007C79" w:rsidRPr="00F14E6C">
        <w:rPr>
          <w:rFonts w:ascii="Calibri" w:eastAsia="MS Mincho" w:hAnsi="Calibri" w:cs="AdvTimes"/>
          <w:iCs/>
        </w:rPr>
        <w:t xml:space="preserve">whole cohort </w:t>
      </w:r>
      <w:r w:rsidR="00512478" w:rsidRPr="00F14E6C">
        <w:rPr>
          <w:rFonts w:ascii="Calibri" w:eastAsia="MS Mincho" w:hAnsi="Calibri" w:cs="AdvTimes"/>
          <w:iCs/>
        </w:rPr>
        <w:t>population) decreased with age</w:t>
      </w:r>
      <w:r w:rsidR="003800DC" w:rsidRPr="00F14E6C">
        <w:rPr>
          <w:rFonts w:ascii="Calibri" w:eastAsia="MS Mincho" w:hAnsi="Calibri" w:cs="AdvTimes"/>
          <w:iCs/>
        </w:rPr>
        <w:t xml:space="preserve"> for all sentinel fractures</w:t>
      </w:r>
      <w:r w:rsidR="00284527" w:rsidRPr="00F14E6C">
        <w:rPr>
          <w:rFonts w:ascii="Calibri" w:eastAsia="MS Mincho" w:hAnsi="Calibri" w:cs="AdvTimes"/>
          <w:iCs/>
        </w:rPr>
        <w:t xml:space="preserve"> so that</w:t>
      </w:r>
      <w:r w:rsidR="005018B5" w:rsidRPr="00F14E6C">
        <w:rPr>
          <w:rFonts w:ascii="Calibri" w:eastAsia="MS Mincho" w:hAnsi="Calibri" w:cs="AdvTimes"/>
          <w:iCs/>
        </w:rPr>
        <w:t>,</w:t>
      </w:r>
      <w:r w:rsidR="00284527" w:rsidRPr="00F14E6C">
        <w:rPr>
          <w:rFonts w:ascii="Calibri" w:eastAsia="MS Mincho" w:hAnsi="Calibri" w:cs="AdvTimes"/>
          <w:iCs/>
        </w:rPr>
        <w:t xml:space="preserve"> after 10 years</w:t>
      </w:r>
      <w:r w:rsidR="005018B5" w:rsidRPr="00F14E6C">
        <w:rPr>
          <w:rFonts w:ascii="Calibri" w:eastAsia="MS Mincho" w:hAnsi="Calibri" w:cs="AdvTimes"/>
          <w:iCs/>
        </w:rPr>
        <w:t>,</w:t>
      </w:r>
      <w:r w:rsidR="00284527" w:rsidRPr="00F14E6C">
        <w:rPr>
          <w:rFonts w:ascii="Calibri" w:eastAsia="MS Mincho" w:hAnsi="Calibri" w:cs="AdvTimes"/>
          <w:iCs/>
        </w:rPr>
        <w:t xml:space="preserve"> </w:t>
      </w:r>
      <w:r w:rsidR="00815F57" w:rsidRPr="00F14E6C">
        <w:rPr>
          <w:rFonts w:ascii="Calibri" w:eastAsia="MS Mincho" w:hAnsi="Calibri" w:cs="AdvTimes"/>
          <w:iCs/>
        </w:rPr>
        <w:t xml:space="preserve">it </w:t>
      </w:r>
      <w:r w:rsidR="00284527" w:rsidRPr="00F14E6C">
        <w:rPr>
          <w:rFonts w:ascii="Calibri" w:eastAsia="MS Mincho" w:hAnsi="Calibri" w:cs="AdvTimes"/>
          <w:iCs/>
        </w:rPr>
        <w:t xml:space="preserve">was 2 to 3 times higher than in the </w:t>
      </w:r>
      <w:r w:rsidR="00007C79" w:rsidRPr="00F14E6C">
        <w:rPr>
          <w:rFonts w:ascii="Calibri" w:eastAsia="MS Mincho" w:hAnsi="Calibri" w:cs="AdvTimes"/>
          <w:iCs/>
        </w:rPr>
        <w:t>whole cohort</w:t>
      </w:r>
      <w:r w:rsidR="00284527" w:rsidRPr="00F14E6C">
        <w:rPr>
          <w:rFonts w:ascii="Calibri" w:eastAsia="MS Mincho" w:hAnsi="Calibri" w:cs="AdvTimes"/>
          <w:iCs/>
        </w:rPr>
        <w:t xml:space="preserve">.   </w:t>
      </w:r>
      <w:r w:rsidR="00512478" w:rsidRPr="00F14E6C">
        <w:rPr>
          <w:rFonts w:ascii="Calibri" w:eastAsia="MS Mincho" w:hAnsi="Calibri" w:cs="AdvTimes"/>
          <w:iCs/>
        </w:rPr>
        <w:t xml:space="preserve">Data for </w:t>
      </w:r>
      <w:r w:rsidR="00BC4F57" w:rsidRPr="00F14E6C">
        <w:rPr>
          <w:rFonts w:ascii="Calibri" w:eastAsia="MS Mincho" w:hAnsi="Calibri" w:cs="AdvTimes"/>
          <w:iCs/>
        </w:rPr>
        <w:t xml:space="preserve">men and </w:t>
      </w:r>
      <w:r w:rsidR="00512478" w:rsidRPr="00F14E6C">
        <w:rPr>
          <w:rFonts w:ascii="Calibri" w:eastAsia="MS Mincho" w:hAnsi="Calibri" w:cs="AdvTimes"/>
          <w:iCs/>
        </w:rPr>
        <w:t>women</w:t>
      </w:r>
      <w:r w:rsidR="00284527" w:rsidRPr="00F14E6C">
        <w:rPr>
          <w:rFonts w:ascii="Calibri" w:eastAsia="MS Mincho" w:hAnsi="Calibri" w:cs="AdvTimes"/>
          <w:iCs/>
        </w:rPr>
        <w:t xml:space="preserve"> are given in</w:t>
      </w:r>
      <w:r w:rsidRPr="00F14E6C">
        <w:rPr>
          <w:rFonts w:ascii="Calibri" w:eastAsia="MS Mincho" w:hAnsi="Calibri" w:cs="AdvTimes"/>
          <w:iCs/>
        </w:rPr>
        <w:t xml:space="preserve"> Table </w:t>
      </w:r>
      <w:r w:rsidR="00AD2133" w:rsidRPr="00F14E6C">
        <w:rPr>
          <w:rFonts w:ascii="Calibri" w:eastAsia="MS Mincho" w:hAnsi="Calibri" w:cs="AdvTimes"/>
          <w:iCs/>
        </w:rPr>
        <w:t>3</w:t>
      </w:r>
      <w:r w:rsidRPr="00F14E6C">
        <w:rPr>
          <w:rFonts w:ascii="Calibri" w:eastAsia="MS Mincho" w:hAnsi="Calibri" w:cs="AdvTimes"/>
          <w:iCs/>
        </w:rPr>
        <w:t>. The utility loss was higher for women than for men</w:t>
      </w:r>
      <w:r w:rsidR="005018B5" w:rsidRPr="00F14E6C">
        <w:rPr>
          <w:rFonts w:ascii="Calibri" w:eastAsia="MS Mincho" w:hAnsi="Calibri" w:cs="AdvTimes"/>
          <w:iCs/>
        </w:rPr>
        <w:t>.</w:t>
      </w:r>
      <w:r w:rsidRPr="00F14E6C">
        <w:rPr>
          <w:rFonts w:ascii="Calibri" w:eastAsia="MS Mincho" w:hAnsi="Calibri" w:cs="AdvTimes"/>
          <w:iCs/>
        </w:rPr>
        <w:t xml:space="preserve"> </w:t>
      </w:r>
    </w:p>
    <w:p w14:paraId="1F0F68B8" w14:textId="77777777" w:rsidR="00722793" w:rsidRPr="00F14E6C" w:rsidRDefault="00722793" w:rsidP="00821B32">
      <w:pPr>
        <w:rPr>
          <w:rFonts w:ascii="Calibri" w:eastAsia="MS Mincho" w:hAnsi="Calibri" w:cs="AdvTimes"/>
          <w:iCs/>
        </w:rPr>
      </w:pPr>
    </w:p>
    <w:p w14:paraId="03ECBFEE" w14:textId="4B11848F" w:rsidR="0018249A" w:rsidRPr="00F14E6C" w:rsidRDefault="0018249A" w:rsidP="0018249A">
      <w:pPr>
        <w:spacing w:after="200" w:line="276" w:lineRule="auto"/>
        <w:rPr>
          <w:rFonts w:ascii="Calibri" w:eastAsia="MS Mincho" w:hAnsi="Calibri" w:cs="Calibri"/>
          <w:lang w:val="en-US"/>
        </w:rPr>
      </w:pPr>
      <w:r w:rsidRPr="00F14E6C">
        <w:rPr>
          <w:rFonts w:ascii="Calibri" w:eastAsia="Times New Roman" w:hAnsi="Calibri" w:cs="Calibri"/>
          <w:b/>
          <w:iCs/>
        </w:rPr>
        <w:t xml:space="preserve">Table </w:t>
      </w:r>
      <w:r w:rsidR="00E0195D" w:rsidRPr="00F14E6C">
        <w:rPr>
          <w:rFonts w:ascii="Calibri" w:eastAsia="Times New Roman" w:hAnsi="Calibri" w:cs="Calibri"/>
          <w:b/>
          <w:iCs/>
        </w:rPr>
        <w:t>3</w:t>
      </w:r>
      <w:r w:rsidRPr="00F14E6C">
        <w:rPr>
          <w:rFonts w:ascii="Calibri" w:eastAsia="Times New Roman" w:hAnsi="Calibri" w:cs="Calibri"/>
          <w:b/>
          <w:iCs/>
        </w:rPr>
        <w:t>.</w:t>
      </w:r>
      <w:r w:rsidRPr="00F14E6C">
        <w:rPr>
          <w:rFonts w:ascii="Calibri" w:eastAsia="Times New Roman" w:hAnsi="Calibri" w:cs="Calibri"/>
          <w:iCs/>
        </w:rPr>
        <w:t xml:space="preserve"> </w:t>
      </w:r>
      <w:r w:rsidRPr="00F14E6C">
        <w:rPr>
          <w:rFonts w:ascii="Calibri" w:eastAsia="MS Mincho" w:hAnsi="Calibri" w:cs="Calibri"/>
          <w:lang w:val="en-US"/>
        </w:rPr>
        <w:t>Loss of utility for men and women at different ages after 10 years follow up with 95% confidence intervals</w:t>
      </w:r>
      <w:r w:rsidR="005018B5" w:rsidRPr="00F14E6C">
        <w:rPr>
          <w:rFonts w:ascii="Calibri" w:eastAsia="MS Mincho" w:hAnsi="Calibri" w:cs="Calibri"/>
          <w:lang w:val="en-US"/>
        </w:rPr>
        <w:t>.</w:t>
      </w:r>
    </w:p>
    <w:tbl>
      <w:tblPr>
        <w:tblStyle w:val="TableGrid1"/>
        <w:tblW w:w="0" w:type="auto"/>
        <w:tblLook w:val="04A0" w:firstRow="1" w:lastRow="0" w:firstColumn="1" w:lastColumn="0" w:noHBand="0" w:noVBand="1"/>
      </w:tblPr>
      <w:tblGrid>
        <w:gridCol w:w="1794"/>
        <w:gridCol w:w="2029"/>
        <w:gridCol w:w="2268"/>
        <w:gridCol w:w="1417"/>
      </w:tblGrid>
      <w:tr w:rsidR="0018249A" w:rsidRPr="00F14E6C" w14:paraId="45432FD3" w14:textId="77777777" w:rsidTr="00BC4F57">
        <w:tc>
          <w:tcPr>
            <w:tcW w:w="0" w:type="auto"/>
          </w:tcPr>
          <w:p w14:paraId="2C8BAF41" w14:textId="77777777" w:rsidR="0018249A" w:rsidRPr="00F14E6C" w:rsidRDefault="0018249A" w:rsidP="0018249A">
            <w:pPr>
              <w:spacing w:line="276" w:lineRule="auto"/>
              <w:rPr>
                <w:rFonts w:ascii="Calibri" w:eastAsia="Calibri" w:hAnsi="Calibri" w:cs="Calibri"/>
                <w:lang w:val="en-US"/>
              </w:rPr>
            </w:pPr>
            <w:r w:rsidRPr="00F14E6C">
              <w:rPr>
                <w:rFonts w:ascii="Calibri" w:eastAsia="Calibri" w:hAnsi="Calibri" w:cs="Calibri"/>
                <w:lang w:val="en-US"/>
              </w:rPr>
              <w:t>At the age (years)</w:t>
            </w:r>
          </w:p>
        </w:tc>
        <w:tc>
          <w:tcPr>
            <w:tcW w:w="2029" w:type="dxa"/>
          </w:tcPr>
          <w:p w14:paraId="05CF2762" w14:textId="77777777" w:rsidR="0018249A" w:rsidRPr="00F14E6C" w:rsidRDefault="0018249A" w:rsidP="0018249A">
            <w:pPr>
              <w:spacing w:line="276" w:lineRule="auto"/>
              <w:rPr>
                <w:rFonts w:ascii="Calibri" w:eastAsia="Calibri" w:hAnsi="Calibri" w:cs="Calibri"/>
                <w:lang w:val="en-US"/>
              </w:rPr>
            </w:pPr>
            <w:r w:rsidRPr="00F14E6C">
              <w:rPr>
                <w:rFonts w:ascii="Calibri" w:eastAsia="Calibri" w:hAnsi="Calibri" w:cs="Calibri"/>
                <w:lang w:val="en-US"/>
              </w:rPr>
              <w:t xml:space="preserve">Subgroup with </w:t>
            </w:r>
          </w:p>
          <w:p w14:paraId="77269B1D" w14:textId="33A7FB5C" w:rsidR="0018249A" w:rsidRPr="00F14E6C" w:rsidRDefault="0018249A" w:rsidP="0018249A">
            <w:pPr>
              <w:spacing w:line="276" w:lineRule="auto"/>
              <w:rPr>
                <w:rFonts w:ascii="Calibri" w:eastAsia="Calibri" w:hAnsi="Calibri" w:cs="Calibri"/>
                <w:lang w:val="en-US"/>
              </w:rPr>
            </w:pPr>
            <w:r w:rsidRPr="00F14E6C">
              <w:rPr>
                <w:rFonts w:ascii="Calibri" w:eastAsia="Calibri" w:hAnsi="Calibri" w:cs="Calibri"/>
                <w:lang w:val="en-US"/>
              </w:rPr>
              <w:t xml:space="preserve">sentinel </w:t>
            </w:r>
          </w:p>
          <w:p w14:paraId="1F199070" w14:textId="77777777" w:rsidR="0018249A" w:rsidRPr="00F14E6C" w:rsidRDefault="0018249A" w:rsidP="0018249A">
            <w:pPr>
              <w:spacing w:line="276" w:lineRule="auto"/>
              <w:rPr>
                <w:rFonts w:ascii="Calibri" w:eastAsia="Calibri" w:hAnsi="Calibri" w:cs="Calibri"/>
                <w:lang w:val="en-US"/>
              </w:rPr>
            </w:pPr>
            <w:r w:rsidRPr="00F14E6C">
              <w:rPr>
                <w:rFonts w:ascii="Calibri" w:eastAsia="Calibri" w:hAnsi="Calibri" w:cs="Calibri"/>
                <w:lang w:val="en-US"/>
              </w:rPr>
              <w:t>fracture</w:t>
            </w:r>
          </w:p>
        </w:tc>
        <w:tc>
          <w:tcPr>
            <w:tcW w:w="2268" w:type="dxa"/>
          </w:tcPr>
          <w:p w14:paraId="32C6D78E" w14:textId="77777777" w:rsidR="0018249A" w:rsidRPr="00F14E6C" w:rsidRDefault="0018249A" w:rsidP="0018249A">
            <w:pPr>
              <w:spacing w:line="276" w:lineRule="auto"/>
              <w:rPr>
                <w:rFonts w:ascii="Calibri" w:eastAsia="Calibri" w:hAnsi="Calibri" w:cs="Calibri"/>
                <w:lang w:val="en-US"/>
              </w:rPr>
            </w:pPr>
            <w:r w:rsidRPr="00F14E6C">
              <w:rPr>
                <w:rFonts w:ascii="Calibri" w:eastAsia="Calibri" w:hAnsi="Calibri" w:cs="Calibri"/>
                <w:lang w:val="en-US"/>
              </w:rPr>
              <w:t>Whole cohort</w:t>
            </w:r>
          </w:p>
        </w:tc>
        <w:tc>
          <w:tcPr>
            <w:tcW w:w="1417" w:type="dxa"/>
          </w:tcPr>
          <w:p w14:paraId="11482546" w14:textId="366FAF76" w:rsidR="00225144" w:rsidRPr="00F14E6C" w:rsidRDefault="0018249A" w:rsidP="00225144">
            <w:pPr>
              <w:spacing w:line="276" w:lineRule="auto"/>
              <w:jc w:val="center"/>
              <w:rPr>
                <w:rFonts w:ascii="Calibri" w:eastAsia="Calibri" w:hAnsi="Calibri" w:cs="Calibri"/>
                <w:lang w:val="en-US"/>
              </w:rPr>
            </w:pPr>
            <w:bookmarkStart w:id="26" w:name="_Hlk493523381"/>
            <w:r w:rsidRPr="00F14E6C">
              <w:rPr>
                <w:rFonts w:ascii="Calibri" w:eastAsia="Calibri" w:hAnsi="Calibri" w:cs="Calibri"/>
                <w:lang w:val="en-US"/>
              </w:rPr>
              <w:t>Ratio</w:t>
            </w:r>
            <w:bookmarkEnd w:id="26"/>
            <w:r w:rsidR="00225144" w:rsidRPr="00F14E6C">
              <w:rPr>
                <w:rFonts w:ascii="Calibri" w:eastAsia="Calibri" w:hAnsi="Calibri" w:cs="Calibri"/>
                <w:vertAlign w:val="superscript"/>
                <w:lang w:val="en-US"/>
              </w:rPr>
              <w:t>a</w:t>
            </w:r>
          </w:p>
          <w:p w14:paraId="489989AB" w14:textId="7F7AD5DE" w:rsidR="0018249A" w:rsidRPr="00F14E6C" w:rsidRDefault="0018249A" w:rsidP="00225144">
            <w:pPr>
              <w:spacing w:line="276" w:lineRule="auto"/>
              <w:jc w:val="center"/>
              <w:rPr>
                <w:rFonts w:ascii="Calibri" w:eastAsia="Calibri" w:hAnsi="Calibri" w:cs="Calibri"/>
                <w:lang w:val="en-US"/>
              </w:rPr>
            </w:pPr>
          </w:p>
        </w:tc>
      </w:tr>
      <w:tr w:rsidR="00ED691D" w:rsidRPr="00F14E6C" w14:paraId="306D09C5" w14:textId="77777777" w:rsidTr="00BC4F57">
        <w:tc>
          <w:tcPr>
            <w:tcW w:w="0" w:type="auto"/>
          </w:tcPr>
          <w:p w14:paraId="27B3372E" w14:textId="56917684" w:rsidR="00ED691D" w:rsidRPr="00F14E6C" w:rsidRDefault="00ED691D" w:rsidP="0018249A">
            <w:pPr>
              <w:spacing w:line="276" w:lineRule="auto"/>
              <w:rPr>
                <w:rFonts w:ascii="Calibri" w:eastAsia="Calibri" w:hAnsi="Calibri" w:cs="Calibri"/>
                <w:b/>
                <w:i/>
                <w:lang w:val="en-US"/>
              </w:rPr>
            </w:pPr>
            <w:r w:rsidRPr="00F14E6C">
              <w:rPr>
                <w:rFonts w:ascii="Calibri" w:eastAsia="Calibri" w:hAnsi="Calibri" w:cs="Calibri"/>
                <w:b/>
                <w:i/>
                <w:lang w:val="en-US"/>
              </w:rPr>
              <w:t>Hip</w:t>
            </w:r>
          </w:p>
        </w:tc>
        <w:tc>
          <w:tcPr>
            <w:tcW w:w="2029" w:type="dxa"/>
          </w:tcPr>
          <w:p w14:paraId="2158A446" w14:textId="77777777" w:rsidR="00ED691D" w:rsidRPr="00F14E6C" w:rsidRDefault="00ED691D" w:rsidP="0018249A">
            <w:pPr>
              <w:spacing w:line="276" w:lineRule="auto"/>
              <w:rPr>
                <w:rFonts w:ascii="Calibri" w:eastAsia="Calibri" w:hAnsi="Calibri" w:cs="Calibri"/>
                <w:lang w:val="en-US"/>
              </w:rPr>
            </w:pPr>
          </w:p>
        </w:tc>
        <w:tc>
          <w:tcPr>
            <w:tcW w:w="2268" w:type="dxa"/>
          </w:tcPr>
          <w:p w14:paraId="60A2CC9F" w14:textId="77777777" w:rsidR="00ED691D" w:rsidRPr="00F14E6C" w:rsidRDefault="00ED691D" w:rsidP="0018249A">
            <w:pPr>
              <w:spacing w:line="276" w:lineRule="auto"/>
              <w:rPr>
                <w:rFonts w:ascii="Calibri" w:eastAsia="Calibri" w:hAnsi="Calibri" w:cs="Calibri"/>
                <w:lang w:val="en-US"/>
              </w:rPr>
            </w:pPr>
          </w:p>
        </w:tc>
        <w:tc>
          <w:tcPr>
            <w:tcW w:w="1417" w:type="dxa"/>
          </w:tcPr>
          <w:p w14:paraId="6090DCA2" w14:textId="77777777" w:rsidR="00ED691D" w:rsidRPr="00F14E6C" w:rsidRDefault="00ED691D" w:rsidP="00225144">
            <w:pPr>
              <w:spacing w:line="276" w:lineRule="auto"/>
              <w:jc w:val="center"/>
              <w:rPr>
                <w:rFonts w:ascii="Calibri" w:eastAsia="Calibri" w:hAnsi="Calibri" w:cs="Calibri"/>
                <w:lang w:val="en-US"/>
              </w:rPr>
            </w:pPr>
          </w:p>
        </w:tc>
      </w:tr>
      <w:tr w:rsidR="00ED691D" w:rsidRPr="00F14E6C" w14:paraId="287E0805" w14:textId="77777777" w:rsidTr="00BC4F57">
        <w:tc>
          <w:tcPr>
            <w:tcW w:w="0" w:type="auto"/>
          </w:tcPr>
          <w:p w14:paraId="3323177A" w14:textId="4B2A186D"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Men</w:t>
            </w:r>
          </w:p>
        </w:tc>
        <w:tc>
          <w:tcPr>
            <w:tcW w:w="2029" w:type="dxa"/>
          </w:tcPr>
          <w:p w14:paraId="64487836" w14:textId="77777777" w:rsidR="00ED691D" w:rsidRPr="00F14E6C" w:rsidRDefault="00ED691D" w:rsidP="00ED691D">
            <w:pPr>
              <w:spacing w:line="276" w:lineRule="auto"/>
              <w:rPr>
                <w:rFonts w:ascii="Calibri" w:eastAsia="Calibri" w:hAnsi="Calibri" w:cs="Calibri"/>
                <w:lang w:val="en-US"/>
              </w:rPr>
            </w:pPr>
          </w:p>
        </w:tc>
        <w:tc>
          <w:tcPr>
            <w:tcW w:w="2268" w:type="dxa"/>
          </w:tcPr>
          <w:p w14:paraId="4B38A81A" w14:textId="77777777" w:rsidR="00ED691D" w:rsidRPr="00F14E6C" w:rsidRDefault="00ED691D" w:rsidP="00ED691D">
            <w:pPr>
              <w:spacing w:line="276" w:lineRule="auto"/>
              <w:rPr>
                <w:rFonts w:ascii="Calibri" w:eastAsia="Calibri" w:hAnsi="Calibri" w:cs="Calibri"/>
                <w:lang w:val="en-US"/>
              </w:rPr>
            </w:pPr>
          </w:p>
        </w:tc>
        <w:tc>
          <w:tcPr>
            <w:tcW w:w="1417" w:type="dxa"/>
          </w:tcPr>
          <w:p w14:paraId="5795CA48" w14:textId="77777777" w:rsidR="00ED691D" w:rsidRPr="00F14E6C" w:rsidRDefault="00ED691D" w:rsidP="00225144">
            <w:pPr>
              <w:spacing w:line="276" w:lineRule="auto"/>
              <w:jc w:val="center"/>
              <w:rPr>
                <w:rFonts w:ascii="Calibri" w:eastAsia="Calibri" w:hAnsi="Calibri" w:cs="Calibri"/>
                <w:lang w:val="en-US"/>
              </w:rPr>
            </w:pPr>
          </w:p>
        </w:tc>
      </w:tr>
      <w:tr w:rsidR="00ED691D" w:rsidRPr="00F14E6C" w14:paraId="63C6A3C2" w14:textId="77777777" w:rsidTr="00BC4F57">
        <w:tc>
          <w:tcPr>
            <w:tcW w:w="0" w:type="auto"/>
          </w:tcPr>
          <w:p w14:paraId="40F84ACB" w14:textId="28F7F453" w:rsidR="00ED691D" w:rsidRPr="00F14E6C" w:rsidRDefault="00ED691D" w:rsidP="00ED691D">
            <w:pPr>
              <w:spacing w:line="276" w:lineRule="auto"/>
              <w:jc w:val="center"/>
              <w:rPr>
                <w:rFonts w:ascii="Calibri" w:eastAsia="Calibri" w:hAnsi="Calibri" w:cs="Calibri"/>
                <w:lang w:val="en-US"/>
              </w:rPr>
            </w:pPr>
            <w:r w:rsidRPr="00F14E6C">
              <w:rPr>
                <w:rFonts w:ascii="Calibri" w:eastAsia="Calibri" w:hAnsi="Calibri" w:cs="Calibri"/>
                <w:lang w:val="en-US"/>
              </w:rPr>
              <w:t>60</w:t>
            </w:r>
          </w:p>
        </w:tc>
        <w:tc>
          <w:tcPr>
            <w:tcW w:w="2029" w:type="dxa"/>
          </w:tcPr>
          <w:p w14:paraId="105A286A" w14:textId="5A51FB92" w:rsidR="00ED691D" w:rsidRPr="00F14E6C" w:rsidRDefault="00ED691D" w:rsidP="00ED691D">
            <w:pPr>
              <w:spacing w:line="276" w:lineRule="auto"/>
              <w:rPr>
                <w:rFonts w:ascii="Calibri" w:eastAsia="Calibri" w:hAnsi="Calibri" w:cs="Calibri"/>
                <w:lang w:val="en-US"/>
              </w:rPr>
            </w:pPr>
            <w:r w:rsidRPr="00F14E6C">
              <w:rPr>
                <w:rFonts w:cstheme="minorHAnsi"/>
                <w:lang w:val="en-US"/>
              </w:rPr>
              <w:t>1.00 (0.93-1.07)</w:t>
            </w:r>
          </w:p>
        </w:tc>
        <w:tc>
          <w:tcPr>
            <w:tcW w:w="2268" w:type="dxa"/>
          </w:tcPr>
          <w:p w14:paraId="6DCD15BD" w14:textId="162D023C" w:rsidR="00ED691D" w:rsidRPr="00F14E6C" w:rsidRDefault="00ED691D" w:rsidP="00ED691D">
            <w:pPr>
              <w:spacing w:line="276" w:lineRule="auto"/>
              <w:rPr>
                <w:rFonts w:ascii="Calibri" w:eastAsia="Calibri" w:hAnsi="Calibri" w:cs="Calibri"/>
                <w:lang w:val="en-US"/>
              </w:rPr>
            </w:pPr>
            <w:r w:rsidRPr="00F14E6C">
              <w:rPr>
                <w:rFonts w:cstheme="minorHAnsi"/>
                <w:lang w:val="en-US"/>
              </w:rPr>
              <w:t>0.022 (0.018-0.027)</w:t>
            </w:r>
          </w:p>
        </w:tc>
        <w:tc>
          <w:tcPr>
            <w:tcW w:w="1417" w:type="dxa"/>
          </w:tcPr>
          <w:p w14:paraId="6FC7EC71" w14:textId="57BB6461"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45</w:t>
            </w:r>
          </w:p>
        </w:tc>
      </w:tr>
      <w:tr w:rsidR="00ED691D" w:rsidRPr="00F14E6C" w14:paraId="72460596" w14:textId="77777777" w:rsidTr="00BC4F57">
        <w:tc>
          <w:tcPr>
            <w:tcW w:w="0" w:type="auto"/>
          </w:tcPr>
          <w:p w14:paraId="6B5F5323" w14:textId="4B64EF1D" w:rsidR="00ED691D" w:rsidRPr="00F14E6C" w:rsidRDefault="00ED691D" w:rsidP="00ED691D">
            <w:pPr>
              <w:spacing w:line="276" w:lineRule="auto"/>
              <w:jc w:val="center"/>
              <w:rPr>
                <w:rFonts w:ascii="Calibri" w:eastAsia="Calibri" w:hAnsi="Calibri" w:cs="Calibri"/>
                <w:lang w:val="en-US"/>
              </w:rPr>
            </w:pPr>
            <w:r w:rsidRPr="00F14E6C">
              <w:rPr>
                <w:rFonts w:ascii="Calibri" w:eastAsia="Calibri" w:hAnsi="Calibri" w:cs="Calibri"/>
                <w:lang w:val="en-US"/>
              </w:rPr>
              <w:t>70</w:t>
            </w:r>
          </w:p>
        </w:tc>
        <w:tc>
          <w:tcPr>
            <w:tcW w:w="2029" w:type="dxa"/>
          </w:tcPr>
          <w:p w14:paraId="43055DFA" w14:textId="4B06BA00" w:rsidR="00ED691D" w:rsidRPr="00F14E6C" w:rsidRDefault="00ED691D" w:rsidP="00ED691D">
            <w:pPr>
              <w:spacing w:line="276" w:lineRule="auto"/>
              <w:rPr>
                <w:rFonts w:ascii="Calibri" w:eastAsia="Calibri" w:hAnsi="Calibri" w:cs="Calibri"/>
                <w:lang w:val="en-US"/>
              </w:rPr>
            </w:pPr>
            <w:r w:rsidRPr="00F14E6C">
              <w:rPr>
                <w:rFonts w:cstheme="minorHAnsi"/>
                <w:lang w:val="en-US"/>
              </w:rPr>
              <w:t>0.82 (0.78-0.87)</w:t>
            </w:r>
          </w:p>
        </w:tc>
        <w:tc>
          <w:tcPr>
            <w:tcW w:w="2268" w:type="dxa"/>
          </w:tcPr>
          <w:p w14:paraId="3FF307D4" w14:textId="5C1A66E4" w:rsidR="00ED691D" w:rsidRPr="00F14E6C" w:rsidRDefault="00ED691D" w:rsidP="00ED691D">
            <w:pPr>
              <w:spacing w:line="276" w:lineRule="auto"/>
              <w:rPr>
                <w:rFonts w:ascii="Calibri" w:eastAsia="Calibri" w:hAnsi="Calibri" w:cs="Calibri"/>
                <w:lang w:val="en-US"/>
              </w:rPr>
            </w:pPr>
            <w:r w:rsidRPr="00F14E6C">
              <w:rPr>
                <w:rFonts w:cstheme="minorHAnsi"/>
                <w:lang w:val="en-US"/>
              </w:rPr>
              <w:t>0.056 (0.050-0.062)</w:t>
            </w:r>
          </w:p>
        </w:tc>
        <w:tc>
          <w:tcPr>
            <w:tcW w:w="1417" w:type="dxa"/>
          </w:tcPr>
          <w:p w14:paraId="698018D8" w14:textId="7BEA314F"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15</w:t>
            </w:r>
          </w:p>
        </w:tc>
      </w:tr>
      <w:tr w:rsidR="00ED691D" w:rsidRPr="00F14E6C" w14:paraId="3EAD7761" w14:textId="77777777" w:rsidTr="00BC4F57">
        <w:tc>
          <w:tcPr>
            <w:tcW w:w="0" w:type="auto"/>
          </w:tcPr>
          <w:p w14:paraId="06E38E55" w14:textId="7A361901" w:rsidR="00ED691D" w:rsidRPr="00F14E6C" w:rsidRDefault="00ED691D" w:rsidP="00ED691D">
            <w:pPr>
              <w:spacing w:line="276" w:lineRule="auto"/>
              <w:jc w:val="center"/>
              <w:rPr>
                <w:rFonts w:ascii="Calibri" w:eastAsia="Calibri" w:hAnsi="Calibri" w:cs="Calibri"/>
                <w:lang w:val="en-US"/>
              </w:rPr>
            </w:pPr>
            <w:r w:rsidRPr="00F14E6C">
              <w:rPr>
                <w:rFonts w:ascii="Calibri" w:eastAsia="Calibri" w:hAnsi="Calibri" w:cs="Calibri"/>
                <w:lang w:val="en-US"/>
              </w:rPr>
              <w:t>80</w:t>
            </w:r>
          </w:p>
        </w:tc>
        <w:tc>
          <w:tcPr>
            <w:tcW w:w="2029" w:type="dxa"/>
          </w:tcPr>
          <w:p w14:paraId="62D7F618" w14:textId="6272A6E6" w:rsidR="00ED691D" w:rsidRPr="00F14E6C" w:rsidRDefault="00ED691D" w:rsidP="00ED691D">
            <w:pPr>
              <w:spacing w:line="276" w:lineRule="auto"/>
              <w:rPr>
                <w:rFonts w:ascii="Calibri" w:eastAsia="Calibri" w:hAnsi="Calibri" w:cs="Calibri"/>
                <w:lang w:val="en-US"/>
              </w:rPr>
            </w:pPr>
            <w:r w:rsidRPr="00F14E6C">
              <w:rPr>
                <w:rFonts w:cstheme="minorHAnsi"/>
                <w:lang w:val="en-US"/>
              </w:rPr>
              <w:t>0.45 (0.40-0.50)</w:t>
            </w:r>
          </w:p>
        </w:tc>
        <w:tc>
          <w:tcPr>
            <w:tcW w:w="2268" w:type="dxa"/>
          </w:tcPr>
          <w:p w14:paraId="1208DECC" w14:textId="6379A17D" w:rsidR="00ED691D" w:rsidRPr="00F14E6C" w:rsidRDefault="00ED691D" w:rsidP="00ED691D">
            <w:pPr>
              <w:spacing w:line="276" w:lineRule="auto"/>
              <w:rPr>
                <w:rFonts w:ascii="Calibri" w:eastAsia="Calibri" w:hAnsi="Calibri" w:cs="Calibri"/>
                <w:lang w:val="en-US"/>
              </w:rPr>
            </w:pPr>
            <w:r w:rsidRPr="00F14E6C">
              <w:rPr>
                <w:rFonts w:cstheme="minorHAnsi"/>
                <w:lang w:val="en-US"/>
              </w:rPr>
              <w:t>0.091 (0.079-0.10)</w:t>
            </w:r>
          </w:p>
        </w:tc>
        <w:tc>
          <w:tcPr>
            <w:tcW w:w="1417" w:type="dxa"/>
          </w:tcPr>
          <w:p w14:paraId="7957F70C" w14:textId="4C3533BE"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5</w:t>
            </w:r>
          </w:p>
        </w:tc>
      </w:tr>
      <w:tr w:rsidR="00ED691D" w:rsidRPr="00F14E6C" w14:paraId="644740F2" w14:textId="77777777" w:rsidTr="00BC4F57">
        <w:tc>
          <w:tcPr>
            <w:tcW w:w="0" w:type="auto"/>
          </w:tcPr>
          <w:p w14:paraId="341F3464" w14:textId="086A23AB" w:rsidR="00ED691D" w:rsidRPr="00F14E6C" w:rsidRDefault="00ED691D" w:rsidP="00ED691D">
            <w:pPr>
              <w:spacing w:line="276" w:lineRule="auto"/>
              <w:jc w:val="center"/>
              <w:rPr>
                <w:rFonts w:ascii="Calibri" w:eastAsia="Calibri" w:hAnsi="Calibri" w:cs="Calibri"/>
                <w:lang w:val="en-US"/>
              </w:rPr>
            </w:pPr>
            <w:r w:rsidRPr="00F14E6C">
              <w:rPr>
                <w:rFonts w:ascii="Calibri" w:eastAsia="Calibri" w:hAnsi="Calibri" w:cs="Calibri"/>
                <w:lang w:val="en-US"/>
              </w:rPr>
              <w:lastRenderedPageBreak/>
              <w:t>90</w:t>
            </w:r>
          </w:p>
        </w:tc>
        <w:tc>
          <w:tcPr>
            <w:tcW w:w="2029" w:type="dxa"/>
          </w:tcPr>
          <w:p w14:paraId="2C29B23A" w14:textId="300ED91D" w:rsidR="00ED691D" w:rsidRPr="00F14E6C" w:rsidRDefault="00ED691D" w:rsidP="00ED691D">
            <w:pPr>
              <w:spacing w:line="276" w:lineRule="auto"/>
              <w:rPr>
                <w:rFonts w:ascii="Calibri" w:eastAsia="Calibri" w:hAnsi="Calibri" w:cs="Calibri"/>
                <w:lang w:val="en-US"/>
              </w:rPr>
            </w:pPr>
            <w:r w:rsidRPr="00F14E6C">
              <w:rPr>
                <w:rFonts w:cstheme="minorHAnsi"/>
                <w:lang w:val="en-US"/>
              </w:rPr>
              <w:t>0.21 (0.16-0.26)</w:t>
            </w:r>
          </w:p>
        </w:tc>
        <w:tc>
          <w:tcPr>
            <w:tcW w:w="2268" w:type="dxa"/>
          </w:tcPr>
          <w:p w14:paraId="56A72300" w14:textId="44AC0640" w:rsidR="00ED691D" w:rsidRPr="00F14E6C" w:rsidRDefault="00ED691D" w:rsidP="00ED691D">
            <w:pPr>
              <w:spacing w:line="276" w:lineRule="auto"/>
              <w:rPr>
                <w:rFonts w:ascii="Calibri" w:eastAsia="Calibri" w:hAnsi="Calibri" w:cs="Calibri"/>
                <w:lang w:val="en-US"/>
              </w:rPr>
            </w:pPr>
            <w:r w:rsidRPr="00F14E6C">
              <w:rPr>
                <w:rFonts w:cstheme="minorHAnsi"/>
                <w:lang w:val="en-US"/>
              </w:rPr>
              <w:t>0.12 (0.11-0.14)</w:t>
            </w:r>
          </w:p>
        </w:tc>
        <w:tc>
          <w:tcPr>
            <w:tcW w:w="1417" w:type="dxa"/>
          </w:tcPr>
          <w:p w14:paraId="64F69F39" w14:textId="1678A17D"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2</w:t>
            </w:r>
          </w:p>
        </w:tc>
      </w:tr>
      <w:tr w:rsidR="00ED691D" w:rsidRPr="00F14E6C" w14:paraId="7AD9D250" w14:textId="77777777" w:rsidTr="00BC4F57">
        <w:tc>
          <w:tcPr>
            <w:tcW w:w="0" w:type="auto"/>
          </w:tcPr>
          <w:p w14:paraId="75F0B38F" w14:textId="6AE7049A"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Women</w:t>
            </w:r>
          </w:p>
        </w:tc>
        <w:tc>
          <w:tcPr>
            <w:tcW w:w="2029" w:type="dxa"/>
          </w:tcPr>
          <w:p w14:paraId="2E256D5C" w14:textId="77777777" w:rsidR="00ED691D" w:rsidRPr="00F14E6C" w:rsidRDefault="00ED691D" w:rsidP="00ED691D">
            <w:pPr>
              <w:spacing w:line="276" w:lineRule="auto"/>
              <w:rPr>
                <w:rFonts w:ascii="Calibri" w:eastAsia="Calibri" w:hAnsi="Calibri" w:cs="Calibri"/>
                <w:lang w:val="en-US"/>
              </w:rPr>
            </w:pPr>
          </w:p>
        </w:tc>
        <w:tc>
          <w:tcPr>
            <w:tcW w:w="2268" w:type="dxa"/>
          </w:tcPr>
          <w:p w14:paraId="6CE1385D" w14:textId="77777777" w:rsidR="00ED691D" w:rsidRPr="00F14E6C" w:rsidRDefault="00ED691D" w:rsidP="00ED691D">
            <w:pPr>
              <w:spacing w:line="276" w:lineRule="auto"/>
              <w:rPr>
                <w:rFonts w:ascii="Calibri" w:eastAsia="Calibri" w:hAnsi="Calibri" w:cs="Calibri"/>
                <w:lang w:val="en-US"/>
              </w:rPr>
            </w:pPr>
          </w:p>
        </w:tc>
        <w:tc>
          <w:tcPr>
            <w:tcW w:w="1417" w:type="dxa"/>
          </w:tcPr>
          <w:p w14:paraId="173C2EBD" w14:textId="77777777" w:rsidR="00ED691D" w:rsidRPr="00F14E6C" w:rsidRDefault="00ED691D" w:rsidP="00225144">
            <w:pPr>
              <w:spacing w:line="276" w:lineRule="auto"/>
              <w:jc w:val="center"/>
              <w:rPr>
                <w:rFonts w:ascii="Calibri" w:eastAsia="Calibri" w:hAnsi="Calibri" w:cs="Calibri"/>
                <w:lang w:val="en-US"/>
              </w:rPr>
            </w:pPr>
          </w:p>
        </w:tc>
      </w:tr>
      <w:tr w:rsidR="00ED691D" w:rsidRPr="00F14E6C" w14:paraId="7ADEFFE5" w14:textId="77777777" w:rsidTr="00BC4F57">
        <w:tc>
          <w:tcPr>
            <w:tcW w:w="0" w:type="auto"/>
          </w:tcPr>
          <w:p w14:paraId="01B70C18" w14:textId="3BA86B9A" w:rsidR="00ED691D" w:rsidRPr="00F14E6C" w:rsidRDefault="00ED691D" w:rsidP="00ED691D">
            <w:pPr>
              <w:spacing w:line="276" w:lineRule="auto"/>
              <w:jc w:val="center"/>
              <w:rPr>
                <w:rFonts w:ascii="Calibri" w:eastAsia="Calibri" w:hAnsi="Calibri" w:cs="Calibri"/>
                <w:lang w:val="en-US"/>
              </w:rPr>
            </w:pPr>
            <w:r w:rsidRPr="00F14E6C">
              <w:rPr>
                <w:rFonts w:ascii="Calibri" w:eastAsia="Calibri" w:hAnsi="Calibri" w:cs="Calibri"/>
                <w:lang w:val="en-US"/>
              </w:rPr>
              <w:t>60</w:t>
            </w:r>
          </w:p>
        </w:tc>
        <w:tc>
          <w:tcPr>
            <w:tcW w:w="2029" w:type="dxa"/>
          </w:tcPr>
          <w:p w14:paraId="6657A366" w14:textId="2CD802E4" w:rsidR="00ED691D" w:rsidRPr="00F14E6C" w:rsidRDefault="00ED691D" w:rsidP="00ED691D">
            <w:pPr>
              <w:spacing w:line="276" w:lineRule="auto"/>
              <w:rPr>
                <w:rFonts w:ascii="Calibri" w:eastAsia="Calibri" w:hAnsi="Calibri" w:cs="Calibri"/>
                <w:lang w:val="en-US"/>
              </w:rPr>
            </w:pPr>
            <w:r w:rsidRPr="00F14E6C">
              <w:rPr>
                <w:rFonts w:cstheme="minorHAnsi"/>
                <w:lang w:val="en-US"/>
              </w:rPr>
              <w:t>1.17 (1.11-1.24)</w:t>
            </w:r>
          </w:p>
        </w:tc>
        <w:tc>
          <w:tcPr>
            <w:tcW w:w="2268" w:type="dxa"/>
          </w:tcPr>
          <w:p w14:paraId="4B24601D" w14:textId="75F3AD6E" w:rsidR="00ED691D" w:rsidRPr="00F14E6C" w:rsidRDefault="00ED691D" w:rsidP="00ED691D">
            <w:pPr>
              <w:spacing w:line="276" w:lineRule="auto"/>
              <w:rPr>
                <w:rFonts w:ascii="Calibri" w:eastAsia="Calibri" w:hAnsi="Calibri" w:cs="Calibri"/>
                <w:lang w:val="en-US"/>
              </w:rPr>
            </w:pPr>
            <w:r w:rsidRPr="00F14E6C">
              <w:rPr>
                <w:rFonts w:cstheme="minorHAnsi"/>
                <w:lang w:val="en-US"/>
              </w:rPr>
              <w:t>0.047 (0.043-0.051)</w:t>
            </w:r>
          </w:p>
        </w:tc>
        <w:tc>
          <w:tcPr>
            <w:tcW w:w="1417" w:type="dxa"/>
          </w:tcPr>
          <w:p w14:paraId="4D882422" w14:textId="2051558A"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25</w:t>
            </w:r>
          </w:p>
        </w:tc>
      </w:tr>
      <w:tr w:rsidR="00ED691D" w:rsidRPr="00F14E6C" w14:paraId="0B13640F" w14:textId="77777777" w:rsidTr="00BC4F57">
        <w:tc>
          <w:tcPr>
            <w:tcW w:w="0" w:type="auto"/>
          </w:tcPr>
          <w:p w14:paraId="18DB3E97" w14:textId="4734BCE6" w:rsidR="00ED691D" w:rsidRPr="00F14E6C" w:rsidRDefault="00ED691D" w:rsidP="00ED691D">
            <w:pPr>
              <w:spacing w:line="276" w:lineRule="auto"/>
              <w:jc w:val="center"/>
              <w:rPr>
                <w:rFonts w:ascii="Calibri" w:eastAsia="Calibri" w:hAnsi="Calibri" w:cs="Calibri"/>
                <w:lang w:val="en-US"/>
              </w:rPr>
            </w:pPr>
            <w:r w:rsidRPr="00F14E6C">
              <w:rPr>
                <w:rFonts w:ascii="Calibri" w:eastAsia="Calibri" w:hAnsi="Calibri" w:cs="Calibri"/>
                <w:lang w:val="en-US"/>
              </w:rPr>
              <w:t>70</w:t>
            </w:r>
          </w:p>
        </w:tc>
        <w:tc>
          <w:tcPr>
            <w:tcW w:w="2029" w:type="dxa"/>
          </w:tcPr>
          <w:p w14:paraId="2DFCE4F9" w14:textId="6B4B5D48" w:rsidR="00ED691D" w:rsidRPr="00F14E6C" w:rsidRDefault="00ED691D" w:rsidP="00ED691D">
            <w:pPr>
              <w:spacing w:line="276" w:lineRule="auto"/>
              <w:rPr>
                <w:rFonts w:ascii="Calibri" w:eastAsia="Calibri" w:hAnsi="Calibri" w:cs="Calibri"/>
                <w:lang w:val="en-US"/>
              </w:rPr>
            </w:pPr>
            <w:r w:rsidRPr="00F14E6C">
              <w:rPr>
                <w:rFonts w:cstheme="minorHAnsi"/>
              </w:rPr>
              <w:t>1.00 (0.96-1.04)</w:t>
            </w:r>
          </w:p>
        </w:tc>
        <w:tc>
          <w:tcPr>
            <w:tcW w:w="2268" w:type="dxa"/>
          </w:tcPr>
          <w:p w14:paraId="59E8EE2F" w14:textId="45467E4E" w:rsidR="00ED691D" w:rsidRPr="00F14E6C" w:rsidRDefault="00ED691D" w:rsidP="00ED691D">
            <w:pPr>
              <w:spacing w:line="276" w:lineRule="auto"/>
              <w:rPr>
                <w:rFonts w:ascii="Calibri" w:eastAsia="Calibri" w:hAnsi="Calibri" w:cs="Calibri"/>
                <w:lang w:val="en-US"/>
              </w:rPr>
            </w:pPr>
            <w:r w:rsidRPr="00F14E6C">
              <w:rPr>
                <w:rFonts w:cstheme="minorHAnsi"/>
                <w:lang w:val="en-US"/>
              </w:rPr>
              <w:t>0.081 (0.075-0.087)</w:t>
            </w:r>
          </w:p>
        </w:tc>
        <w:tc>
          <w:tcPr>
            <w:tcW w:w="1417" w:type="dxa"/>
          </w:tcPr>
          <w:p w14:paraId="58067716" w14:textId="3C684696"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12</w:t>
            </w:r>
          </w:p>
        </w:tc>
      </w:tr>
      <w:tr w:rsidR="00ED691D" w:rsidRPr="00F14E6C" w14:paraId="1DE9469C" w14:textId="77777777" w:rsidTr="00BC4F57">
        <w:tc>
          <w:tcPr>
            <w:tcW w:w="0" w:type="auto"/>
          </w:tcPr>
          <w:p w14:paraId="4730315C" w14:textId="4D3FA81C" w:rsidR="00ED691D" w:rsidRPr="00F14E6C" w:rsidRDefault="00ED691D" w:rsidP="00ED691D">
            <w:pPr>
              <w:spacing w:line="276" w:lineRule="auto"/>
              <w:jc w:val="center"/>
              <w:rPr>
                <w:rFonts w:ascii="Calibri" w:eastAsia="Calibri" w:hAnsi="Calibri" w:cs="Calibri"/>
                <w:lang w:val="en-US"/>
              </w:rPr>
            </w:pPr>
            <w:r w:rsidRPr="00F14E6C">
              <w:rPr>
                <w:rFonts w:ascii="Calibri" w:eastAsia="Calibri" w:hAnsi="Calibri" w:cs="Calibri"/>
                <w:lang w:val="en-US"/>
              </w:rPr>
              <w:t>80</w:t>
            </w:r>
          </w:p>
        </w:tc>
        <w:tc>
          <w:tcPr>
            <w:tcW w:w="2029" w:type="dxa"/>
          </w:tcPr>
          <w:p w14:paraId="1EE270DD" w14:textId="0768B094" w:rsidR="00ED691D" w:rsidRPr="00F14E6C" w:rsidRDefault="00ED691D" w:rsidP="00ED691D">
            <w:pPr>
              <w:spacing w:line="276" w:lineRule="auto"/>
              <w:rPr>
                <w:rFonts w:ascii="Calibri" w:eastAsia="Calibri" w:hAnsi="Calibri" w:cs="Calibri"/>
                <w:lang w:val="en-US"/>
              </w:rPr>
            </w:pPr>
            <w:r w:rsidRPr="00F14E6C">
              <w:rPr>
                <w:rFonts w:cstheme="minorHAnsi"/>
                <w:lang w:val="en-US"/>
              </w:rPr>
              <w:t>0.63 (0.59-0.67)</w:t>
            </w:r>
          </w:p>
        </w:tc>
        <w:tc>
          <w:tcPr>
            <w:tcW w:w="2268" w:type="dxa"/>
          </w:tcPr>
          <w:p w14:paraId="70108AF9" w14:textId="564AC733" w:rsidR="00ED691D" w:rsidRPr="00F14E6C" w:rsidRDefault="00ED691D" w:rsidP="00ED691D">
            <w:pPr>
              <w:spacing w:line="276" w:lineRule="auto"/>
              <w:rPr>
                <w:rFonts w:ascii="Calibri" w:eastAsia="Calibri" w:hAnsi="Calibri" w:cs="Calibri"/>
                <w:lang w:val="en-US"/>
              </w:rPr>
            </w:pPr>
            <w:r w:rsidRPr="00F14E6C">
              <w:rPr>
                <w:rFonts w:cstheme="minorHAnsi"/>
                <w:lang w:val="en-US"/>
              </w:rPr>
              <w:t>0.12 (0.10-0.13)</w:t>
            </w:r>
          </w:p>
        </w:tc>
        <w:tc>
          <w:tcPr>
            <w:tcW w:w="1417" w:type="dxa"/>
          </w:tcPr>
          <w:p w14:paraId="45B0779B" w14:textId="0DC8DA87"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5</w:t>
            </w:r>
          </w:p>
        </w:tc>
      </w:tr>
      <w:tr w:rsidR="00ED691D" w:rsidRPr="00F14E6C" w14:paraId="27E805B7" w14:textId="77777777" w:rsidTr="00BC4F57">
        <w:tc>
          <w:tcPr>
            <w:tcW w:w="0" w:type="auto"/>
          </w:tcPr>
          <w:p w14:paraId="298F6A1A" w14:textId="74AAD889" w:rsidR="00ED691D" w:rsidRPr="00F14E6C" w:rsidRDefault="00ED691D" w:rsidP="00ED691D">
            <w:pPr>
              <w:spacing w:line="276" w:lineRule="auto"/>
              <w:jc w:val="center"/>
              <w:rPr>
                <w:rFonts w:ascii="Calibri" w:eastAsia="Calibri" w:hAnsi="Calibri" w:cs="Calibri"/>
                <w:b/>
                <w:i/>
                <w:lang w:val="en-US"/>
              </w:rPr>
            </w:pPr>
            <w:r w:rsidRPr="00F14E6C">
              <w:rPr>
                <w:rFonts w:ascii="Calibri" w:eastAsia="Calibri" w:hAnsi="Calibri" w:cs="Calibri"/>
                <w:lang w:val="en-US"/>
              </w:rPr>
              <w:t>90</w:t>
            </w:r>
          </w:p>
        </w:tc>
        <w:tc>
          <w:tcPr>
            <w:tcW w:w="2029" w:type="dxa"/>
          </w:tcPr>
          <w:p w14:paraId="7DE63FC8" w14:textId="6D742F34" w:rsidR="00ED691D" w:rsidRPr="00F14E6C" w:rsidRDefault="00ED691D" w:rsidP="00ED691D">
            <w:pPr>
              <w:spacing w:line="276" w:lineRule="auto"/>
              <w:rPr>
                <w:rFonts w:ascii="Calibri" w:eastAsia="Calibri" w:hAnsi="Calibri" w:cs="Calibri"/>
                <w:lang w:val="en-US"/>
              </w:rPr>
            </w:pPr>
            <w:r w:rsidRPr="00F14E6C">
              <w:rPr>
                <w:rFonts w:cstheme="minorHAnsi"/>
                <w:lang w:val="en-US"/>
              </w:rPr>
              <w:t>0.39 (0.35-0.43)</w:t>
            </w:r>
          </w:p>
        </w:tc>
        <w:tc>
          <w:tcPr>
            <w:tcW w:w="2268" w:type="dxa"/>
          </w:tcPr>
          <w:p w14:paraId="0529E1C8" w14:textId="1D43C6A5" w:rsidR="00ED691D" w:rsidRPr="00F14E6C" w:rsidRDefault="00ED691D" w:rsidP="00ED691D">
            <w:pPr>
              <w:spacing w:line="276" w:lineRule="auto"/>
              <w:rPr>
                <w:rFonts w:ascii="Calibri" w:eastAsia="Calibri" w:hAnsi="Calibri" w:cs="Calibri"/>
                <w:lang w:val="en-US"/>
              </w:rPr>
            </w:pPr>
            <w:r w:rsidRPr="00F14E6C">
              <w:rPr>
                <w:rFonts w:cstheme="minorHAnsi"/>
                <w:lang w:val="en-US"/>
              </w:rPr>
              <w:t>0.15 (0.13-0.17)</w:t>
            </w:r>
          </w:p>
        </w:tc>
        <w:tc>
          <w:tcPr>
            <w:tcW w:w="1417" w:type="dxa"/>
          </w:tcPr>
          <w:p w14:paraId="32C76E87" w14:textId="4C285905"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3</w:t>
            </w:r>
          </w:p>
        </w:tc>
      </w:tr>
      <w:tr w:rsidR="00ED691D" w:rsidRPr="00F14E6C" w14:paraId="5A8ABEC2" w14:textId="77777777" w:rsidTr="00BC4F57">
        <w:tc>
          <w:tcPr>
            <w:tcW w:w="0" w:type="auto"/>
          </w:tcPr>
          <w:p w14:paraId="28F322DE" w14:textId="48BF4552" w:rsidR="00ED691D" w:rsidRPr="00F14E6C" w:rsidRDefault="00ED691D" w:rsidP="00ED691D">
            <w:pPr>
              <w:spacing w:line="276" w:lineRule="auto"/>
              <w:rPr>
                <w:rFonts w:ascii="Calibri" w:eastAsia="Calibri" w:hAnsi="Calibri" w:cs="Calibri"/>
                <w:b/>
                <w:i/>
                <w:lang w:val="en-US"/>
              </w:rPr>
            </w:pPr>
            <w:r w:rsidRPr="00F14E6C">
              <w:rPr>
                <w:rFonts w:ascii="Calibri" w:eastAsia="Calibri" w:hAnsi="Calibri" w:cs="Calibri"/>
                <w:b/>
                <w:i/>
                <w:lang w:val="en-US"/>
              </w:rPr>
              <w:t>Spine</w:t>
            </w:r>
          </w:p>
        </w:tc>
        <w:tc>
          <w:tcPr>
            <w:tcW w:w="2029" w:type="dxa"/>
          </w:tcPr>
          <w:p w14:paraId="128D5B32" w14:textId="77777777" w:rsidR="00ED691D" w:rsidRPr="00F14E6C" w:rsidRDefault="00ED691D" w:rsidP="00ED691D">
            <w:pPr>
              <w:spacing w:line="276" w:lineRule="auto"/>
              <w:rPr>
                <w:rFonts w:cstheme="minorHAnsi"/>
                <w:lang w:val="en-US"/>
              </w:rPr>
            </w:pPr>
          </w:p>
        </w:tc>
        <w:tc>
          <w:tcPr>
            <w:tcW w:w="2268" w:type="dxa"/>
          </w:tcPr>
          <w:p w14:paraId="53F037A6" w14:textId="77777777" w:rsidR="00ED691D" w:rsidRPr="00F14E6C" w:rsidRDefault="00ED691D" w:rsidP="00ED691D">
            <w:pPr>
              <w:spacing w:line="276" w:lineRule="auto"/>
              <w:rPr>
                <w:rFonts w:cstheme="minorHAnsi"/>
                <w:lang w:val="en-US"/>
              </w:rPr>
            </w:pPr>
          </w:p>
        </w:tc>
        <w:tc>
          <w:tcPr>
            <w:tcW w:w="1417" w:type="dxa"/>
          </w:tcPr>
          <w:p w14:paraId="4193B4C5" w14:textId="77777777" w:rsidR="00ED691D" w:rsidRPr="00F14E6C" w:rsidRDefault="00ED691D" w:rsidP="00225144">
            <w:pPr>
              <w:spacing w:line="276" w:lineRule="auto"/>
              <w:jc w:val="center"/>
              <w:rPr>
                <w:rFonts w:cstheme="minorHAnsi"/>
                <w:lang w:val="en-US"/>
              </w:rPr>
            </w:pPr>
          </w:p>
        </w:tc>
      </w:tr>
      <w:tr w:rsidR="00ED691D" w:rsidRPr="00F14E6C" w14:paraId="5F791E30" w14:textId="77777777" w:rsidTr="00BC4F57">
        <w:tc>
          <w:tcPr>
            <w:tcW w:w="0" w:type="auto"/>
            <w:tcBorders>
              <w:top w:val="single" w:sz="4" w:space="0" w:color="auto"/>
            </w:tcBorders>
          </w:tcPr>
          <w:p w14:paraId="2F7232C3" w14:textId="749DC453" w:rsidR="00ED691D" w:rsidRPr="00F14E6C" w:rsidRDefault="00ED691D" w:rsidP="00ED691D">
            <w:pPr>
              <w:spacing w:line="276" w:lineRule="auto"/>
              <w:rPr>
                <w:rFonts w:ascii="Calibri" w:eastAsia="Calibri" w:hAnsi="Calibri" w:cs="Calibri"/>
                <w:lang w:val="en-US"/>
              </w:rPr>
            </w:pPr>
            <w:r w:rsidRPr="00F14E6C">
              <w:rPr>
                <w:rFonts w:cstheme="minorHAnsi"/>
                <w:lang w:val="en-US"/>
              </w:rPr>
              <w:t>Men</w:t>
            </w:r>
          </w:p>
        </w:tc>
        <w:tc>
          <w:tcPr>
            <w:tcW w:w="2029" w:type="dxa"/>
            <w:tcBorders>
              <w:top w:val="single" w:sz="4" w:space="0" w:color="auto"/>
            </w:tcBorders>
          </w:tcPr>
          <w:p w14:paraId="4B122C1F" w14:textId="77777777" w:rsidR="00ED691D" w:rsidRPr="00F14E6C" w:rsidRDefault="00ED691D" w:rsidP="00ED691D">
            <w:pPr>
              <w:spacing w:line="276" w:lineRule="auto"/>
              <w:rPr>
                <w:rFonts w:cstheme="minorHAnsi"/>
                <w:lang w:val="en-US"/>
              </w:rPr>
            </w:pPr>
          </w:p>
        </w:tc>
        <w:tc>
          <w:tcPr>
            <w:tcW w:w="2268" w:type="dxa"/>
            <w:tcBorders>
              <w:top w:val="single" w:sz="4" w:space="0" w:color="auto"/>
            </w:tcBorders>
          </w:tcPr>
          <w:p w14:paraId="13336D78" w14:textId="77777777" w:rsidR="00ED691D" w:rsidRPr="00F14E6C" w:rsidRDefault="00ED691D" w:rsidP="00ED691D">
            <w:pPr>
              <w:spacing w:line="276" w:lineRule="auto"/>
              <w:rPr>
                <w:rFonts w:cstheme="minorHAnsi"/>
                <w:lang w:val="en-US"/>
              </w:rPr>
            </w:pPr>
          </w:p>
        </w:tc>
        <w:tc>
          <w:tcPr>
            <w:tcW w:w="1417" w:type="dxa"/>
            <w:tcBorders>
              <w:top w:val="single" w:sz="4" w:space="0" w:color="auto"/>
            </w:tcBorders>
          </w:tcPr>
          <w:p w14:paraId="36FB3DA8" w14:textId="77777777" w:rsidR="00ED691D" w:rsidRPr="00F14E6C" w:rsidRDefault="00ED691D" w:rsidP="00225144">
            <w:pPr>
              <w:spacing w:line="276" w:lineRule="auto"/>
              <w:jc w:val="center"/>
              <w:rPr>
                <w:rFonts w:cstheme="minorHAnsi"/>
                <w:lang w:val="en-US"/>
              </w:rPr>
            </w:pPr>
          </w:p>
        </w:tc>
      </w:tr>
      <w:tr w:rsidR="00ED691D" w:rsidRPr="00F14E6C" w14:paraId="2B776246" w14:textId="77777777" w:rsidTr="00BC4F57">
        <w:tc>
          <w:tcPr>
            <w:tcW w:w="0" w:type="auto"/>
          </w:tcPr>
          <w:p w14:paraId="641E7176" w14:textId="63819D3C"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60</w:t>
            </w:r>
          </w:p>
        </w:tc>
        <w:tc>
          <w:tcPr>
            <w:tcW w:w="2029" w:type="dxa"/>
          </w:tcPr>
          <w:p w14:paraId="7EF3A25E" w14:textId="7E79F503" w:rsidR="00ED691D" w:rsidRPr="00F14E6C" w:rsidRDefault="00ED691D" w:rsidP="00ED691D">
            <w:pPr>
              <w:spacing w:line="276" w:lineRule="auto"/>
              <w:rPr>
                <w:rFonts w:cstheme="minorHAnsi"/>
                <w:lang w:val="en-US"/>
              </w:rPr>
            </w:pPr>
            <w:r w:rsidRPr="00F14E6C">
              <w:rPr>
                <w:rFonts w:cstheme="minorHAnsi"/>
                <w:lang w:val="en-US"/>
              </w:rPr>
              <w:t>1.09 (1.02-1.16)</w:t>
            </w:r>
          </w:p>
        </w:tc>
        <w:tc>
          <w:tcPr>
            <w:tcW w:w="2268" w:type="dxa"/>
          </w:tcPr>
          <w:p w14:paraId="63A8DC91" w14:textId="27B97BB6" w:rsidR="00ED691D" w:rsidRPr="00F14E6C" w:rsidRDefault="00ED691D" w:rsidP="00ED691D">
            <w:pPr>
              <w:spacing w:line="276" w:lineRule="auto"/>
              <w:rPr>
                <w:rFonts w:cstheme="minorHAnsi"/>
                <w:lang w:val="en-US"/>
              </w:rPr>
            </w:pPr>
            <w:r w:rsidRPr="00F14E6C">
              <w:rPr>
                <w:rFonts w:cstheme="minorHAnsi"/>
                <w:lang w:val="en-US"/>
              </w:rPr>
              <w:t>0.022 (0.018-0.027)</w:t>
            </w:r>
          </w:p>
        </w:tc>
        <w:tc>
          <w:tcPr>
            <w:tcW w:w="1417" w:type="dxa"/>
          </w:tcPr>
          <w:p w14:paraId="6022A095" w14:textId="11CBC645" w:rsidR="00ED691D" w:rsidRPr="00F14E6C" w:rsidRDefault="00ED691D" w:rsidP="00225144">
            <w:pPr>
              <w:spacing w:line="276" w:lineRule="auto"/>
              <w:jc w:val="center"/>
              <w:rPr>
                <w:rFonts w:cstheme="minorHAnsi"/>
                <w:lang w:val="en-US"/>
              </w:rPr>
            </w:pPr>
            <w:r w:rsidRPr="00F14E6C">
              <w:rPr>
                <w:rFonts w:cstheme="minorHAnsi"/>
                <w:lang w:val="en-US"/>
              </w:rPr>
              <w:t>50</w:t>
            </w:r>
          </w:p>
        </w:tc>
      </w:tr>
      <w:tr w:rsidR="00ED691D" w:rsidRPr="00F14E6C" w14:paraId="61460548" w14:textId="77777777" w:rsidTr="00BC4F57">
        <w:tc>
          <w:tcPr>
            <w:tcW w:w="0" w:type="auto"/>
          </w:tcPr>
          <w:p w14:paraId="6A1E5518" w14:textId="5181EDAD"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70</w:t>
            </w:r>
          </w:p>
        </w:tc>
        <w:tc>
          <w:tcPr>
            <w:tcW w:w="2029" w:type="dxa"/>
          </w:tcPr>
          <w:p w14:paraId="28B37115" w14:textId="0087F0ED" w:rsidR="00ED691D" w:rsidRPr="00F14E6C" w:rsidRDefault="00ED691D" w:rsidP="00ED691D">
            <w:pPr>
              <w:spacing w:line="276" w:lineRule="auto"/>
              <w:rPr>
                <w:rFonts w:cstheme="minorHAnsi"/>
                <w:lang w:val="en-US"/>
              </w:rPr>
            </w:pPr>
            <w:r w:rsidRPr="00F14E6C">
              <w:rPr>
                <w:rFonts w:cstheme="minorHAnsi"/>
                <w:lang w:val="en-US"/>
              </w:rPr>
              <w:t>1.02 (0.95-1.09)</w:t>
            </w:r>
          </w:p>
        </w:tc>
        <w:tc>
          <w:tcPr>
            <w:tcW w:w="2268" w:type="dxa"/>
          </w:tcPr>
          <w:p w14:paraId="0705F3AC" w14:textId="7A3256DC" w:rsidR="00ED691D" w:rsidRPr="00F14E6C" w:rsidRDefault="00ED691D" w:rsidP="00ED691D">
            <w:pPr>
              <w:spacing w:line="276" w:lineRule="auto"/>
              <w:rPr>
                <w:rFonts w:cstheme="minorHAnsi"/>
                <w:lang w:val="en-US"/>
              </w:rPr>
            </w:pPr>
            <w:r w:rsidRPr="00F14E6C">
              <w:rPr>
                <w:rFonts w:cstheme="minorHAnsi"/>
                <w:lang w:val="en-US"/>
              </w:rPr>
              <w:t>0.056 (0.050-0.062)</w:t>
            </w:r>
          </w:p>
        </w:tc>
        <w:tc>
          <w:tcPr>
            <w:tcW w:w="1417" w:type="dxa"/>
          </w:tcPr>
          <w:p w14:paraId="0A61B413" w14:textId="783B40E9" w:rsidR="00ED691D" w:rsidRPr="00F14E6C" w:rsidRDefault="00ED691D" w:rsidP="00225144">
            <w:pPr>
              <w:spacing w:line="276" w:lineRule="auto"/>
              <w:jc w:val="center"/>
              <w:rPr>
                <w:rFonts w:cstheme="minorHAnsi"/>
                <w:lang w:val="en-US"/>
              </w:rPr>
            </w:pPr>
            <w:r w:rsidRPr="00F14E6C">
              <w:rPr>
                <w:rFonts w:cstheme="minorHAnsi"/>
                <w:lang w:val="en-US"/>
              </w:rPr>
              <w:t>18</w:t>
            </w:r>
          </w:p>
        </w:tc>
      </w:tr>
      <w:tr w:rsidR="00ED691D" w:rsidRPr="00F14E6C" w14:paraId="5CF318DB" w14:textId="77777777" w:rsidTr="00BC4F57">
        <w:tc>
          <w:tcPr>
            <w:tcW w:w="0" w:type="auto"/>
          </w:tcPr>
          <w:p w14:paraId="14C65228" w14:textId="1436344A"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80</w:t>
            </w:r>
          </w:p>
        </w:tc>
        <w:tc>
          <w:tcPr>
            <w:tcW w:w="2029" w:type="dxa"/>
          </w:tcPr>
          <w:p w14:paraId="174A7C76" w14:textId="7E80C848" w:rsidR="00ED691D" w:rsidRPr="00F14E6C" w:rsidRDefault="00ED691D" w:rsidP="00ED691D">
            <w:pPr>
              <w:spacing w:line="276" w:lineRule="auto"/>
              <w:rPr>
                <w:rFonts w:cstheme="minorHAnsi"/>
                <w:lang w:val="en-US"/>
              </w:rPr>
            </w:pPr>
            <w:r w:rsidRPr="00F14E6C">
              <w:rPr>
                <w:rFonts w:cstheme="minorHAnsi"/>
                <w:lang w:val="en-US"/>
              </w:rPr>
              <w:t>0.65 (0.59-0.72)</w:t>
            </w:r>
          </w:p>
        </w:tc>
        <w:tc>
          <w:tcPr>
            <w:tcW w:w="2268" w:type="dxa"/>
          </w:tcPr>
          <w:p w14:paraId="1F9569A0" w14:textId="2D906459" w:rsidR="00ED691D" w:rsidRPr="00F14E6C" w:rsidRDefault="00ED691D" w:rsidP="00ED691D">
            <w:pPr>
              <w:spacing w:line="276" w:lineRule="auto"/>
              <w:rPr>
                <w:rFonts w:cstheme="minorHAnsi"/>
                <w:lang w:val="en-US"/>
              </w:rPr>
            </w:pPr>
            <w:r w:rsidRPr="00F14E6C">
              <w:rPr>
                <w:rFonts w:cstheme="minorHAnsi"/>
                <w:lang w:val="en-US"/>
              </w:rPr>
              <w:t>0.091 (0.079-0.10)</w:t>
            </w:r>
          </w:p>
        </w:tc>
        <w:tc>
          <w:tcPr>
            <w:tcW w:w="1417" w:type="dxa"/>
          </w:tcPr>
          <w:p w14:paraId="4201DFCA" w14:textId="17667D48" w:rsidR="00ED691D" w:rsidRPr="00F14E6C" w:rsidRDefault="00ED691D" w:rsidP="00225144">
            <w:pPr>
              <w:spacing w:line="276" w:lineRule="auto"/>
              <w:jc w:val="center"/>
              <w:rPr>
                <w:rFonts w:cstheme="minorHAnsi"/>
                <w:lang w:val="en-US"/>
              </w:rPr>
            </w:pPr>
            <w:r w:rsidRPr="00F14E6C">
              <w:rPr>
                <w:rFonts w:cstheme="minorHAnsi"/>
                <w:lang w:val="en-US"/>
              </w:rPr>
              <w:t>7</w:t>
            </w:r>
          </w:p>
        </w:tc>
      </w:tr>
      <w:tr w:rsidR="00ED691D" w:rsidRPr="00F14E6C" w14:paraId="6C04F347" w14:textId="77777777" w:rsidTr="00BC4F57">
        <w:tc>
          <w:tcPr>
            <w:tcW w:w="0" w:type="auto"/>
          </w:tcPr>
          <w:p w14:paraId="5C601CD7" w14:textId="51E0E98E"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90</w:t>
            </w:r>
          </w:p>
        </w:tc>
        <w:tc>
          <w:tcPr>
            <w:tcW w:w="2029" w:type="dxa"/>
          </w:tcPr>
          <w:p w14:paraId="6E3F38D9" w14:textId="3C6CC17B" w:rsidR="00ED691D" w:rsidRPr="00F14E6C" w:rsidRDefault="00ED691D" w:rsidP="00ED691D">
            <w:pPr>
              <w:spacing w:line="276" w:lineRule="auto"/>
              <w:rPr>
                <w:rFonts w:cstheme="minorHAnsi"/>
                <w:lang w:val="en-US"/>
              </w:rPr>
            </w:pPr>
            <w:r w:rsidRPr="00F14E6C">
              <w:rPr>
                <w:rFonts w:cstheme="minorHAnsi"/>
                <w:lang w:val="en-US"/>
              </w:rPr>
              <w:t>0.31 (0.22-0.41)</w:t>
            </w:r>
          </w:p>
        </w:tc>
        <w:tc>
          <w:tcPr>
            <w:tcW w:w="2268" w:type="dxa"/>
          </w:tcPr>
          <w:p w14:paraId="0A74C762" w14:textId="33475DCE" w:rsidR="00ED691D" w:rsidRPr="00F14E6C" w:rsidRDefault="00ED691D" w:rsidP="00ED691D">
            <w:pPr>
              <w:spacing w:line="276" w:lineRule="auto"/>
              <w:rPr>
                <w:rFonts w:cstheme="minorHAnsi"/>
                <w:lang w:val="en-US"/>
              </w:rPr>
            </w:pPr>
            <w:r w:rsidRPr="00F14E6C">
              <w:rPr>
                <w:rFonts w:cstheme="minorHAnsi"/>
                <w:lang w:val="en-US"/>
              </w:rPr>
              <w:t>0.12 (0.11-0.14)</w:t>
            </w:r>
          </w:p>
        </w:tc>
        <w:tc>
          <w:tcPr>
            <w:tcW w:w="1417" w:type="dxa"/>
          </w:tcPr>
          <w:p w14:paraId="3D11B978" w14:textId="53E684AC" w:rsidR="00ED691D" w:rsidRPr="00F14E6C" w:rsidRDefault="00ED691D" w:rsidP="00225144">
            <w:pPr>
              <w:spacing w:line="276" w:lineRule="auto"/>
              <w:jc w:val="center"/>
              <w:rPr>
                <w:rFonts w:cstheme="minorHAnsi"/>
                <w:lang w:val="en-US"/>
              </w:rPr>
            </w:pPr>
            <w:r w:rsidRPr="00F14E6C">
              <w:rPr>
                <w:rFonts w:cstheme="minorHAnsi"/>
                <w:lang w:val="en-US"/>
              </w:rPr>
              <w:t>3</w:t>
            </w:r>
          </w:p>
        </w:tc>
      </w:tr>
      <w:tr w:rsidR="00ED691D" w:rsidRPr="00F14E6C" w14:paraId="3372311B" w14:textId="77777777" w:rsidTr="00BC4F57">
        <w:tc>
          <w:tcPr>
            <w:tcW w:w="0" w:type="auto"/>
          </w:tcPr>
          <w:p w14:paraId="2D486C0F" w14:textId="4D7C9659" w:rsidR="00ED691D" w:rsidRPr="00F14E6C" w:rsidRDefault="00ED691D" w:rsidP="00ED691D">
            <w:pPr>
              <w:spacing w:line="276" w:lineRule="auto"/>
              <w:rPr>
                <w:rFonts w:ascii="Calibri" w:eastAsia="Calibri" w:hAnsi="Calibri" w:cs="Calibri"/>
                <w:lang w:val="en-US"/>
              </w:rPr>
            </w:pPr>
            <w:r w:rsidRPr="00F14E6C">
              <w:rPr>
                <w:rFonts w:cstheme="minorHAnsi"/>
                <w:lang w:val="en-US"/>
              </w:rPr>
              <w:t>Women</w:t>
            </w:r>
          </w:p>
        </w:tc>
        <w:tc>
          <w:tcPr>
            <w:tcW w:w="2029" w:type="dxa"/>
          </w:tcPr>
          <w:p w14:paraId="4E663BD0" w14:textId="77777777" w:rsidR="00ED691D" w:rsidRPr="00F14E6C" w:rsidRDefault="00ED691D" w:rsidP="00ED691D">
            <w:pPr>
              <w:spacing w:line="276" w:lineRule="auto"/>
              <w:rPr>
                <w:rFonts w:cstheme="minorHAnsi"/>
                <w:lang w:val="en-US"/>
              </w:rPr>
            </w:pPr>
          </w:p>
        </w:tc>
        <w:tc>
          <w:tcPr>
            <w:tcW w:w="2268" w:type="dxa"/>
          </w:tcPr>
          <w:p w14:paraId="43117587" w14:textId="77777777" w:rsidR="00ED691D" w:rsidRPr="00F14E6C" w:rsidRDefault="00ED691D" w:rsidP="00ED691D">
            <w:pPr>
              <w:spacing w:line="276" w:lineRule="auto"/>
              <w:rPr>
                <w:rFonts w:cstheme="minorHAnsi"/>
                <w:lang w:val="en-US"/>
              </w:rPr>
            </w:pPr>
          </w:p>
        </w:tc>
        <w:tc>
          <w:tcPr>
            <w:tcW w:w="1417" w:type="dxa"/>
          </w:tcPr>
          <w:p w14:paraId="0FD68327" w14:textId="77777777" w:rsidR="00ED691D" w:rsidRPr="00F14E6C" w:rsidRDefault="00ED691D" w:rsidP="00225144">
            <w:pPr>
              <w:spacing w:line="276" w:lineRule="auto"/>
              <w:jc w:val="center"/>
              <w:rPr>
                <w:rFonts w:cstheme="minorHAnsi"/>
                <w:lang w:val="en-US"/>
              </w:rPr>
            </w:pPr>
          </w:p>
        </w:tc>
      </w:tr>
      <w:tr w:rsidR="00ED691D" w:rsidRPr="00F14E6C" w14:paraId="47B92019" w14:textId="77777777" w:rsidTr="00BC4F57">
        <w:tc>
          <w:tcPr>
            <w:tcW w:w="0" w:type="auto"/>
          </w:tcPr>
          <w:p w14:paraId="1EB332B8" w14:textId="3FA0A255"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60</w:t>
            </w:r>
          </w:p>
        </w:tc>
        <w:tc>
          <w:tcPr>
            <w:tcW w:w="2029" w:type="dxa"/>
          </w:tcPr>
          <w:p w14:paraId="5BAD8320" w14:textId="10807418" w:rsidR="00ED691D" w:rsidRPr="00F14E6C" w:rsidRDefault="00ED691D" w:rsidP="00ED691D">
            <w:pPr>
              <w:spacing w:line="276" w:lineRule="auto"/>
              <w:rPr>
                <w:rFonts w:cstheme="minorHAnsi"/>
                <w:lang w:val="en-US"/>
              </w:rPr>
            </w:pPr>
            <w:r w:rsidRPr="00F14E6C">
              <w:rPr>
                <w:rFonts w:cstheme="minorHAnsi"/>
                <w:lang w:val="en-US"/>
              </w:rPr>
              <w:t>1.26 (1.21-1.32)</w:t>
            </w:r>
          </w:p>
        </w:tc>
        <w:tc>
          <w:tcPr>
            <w:tcW w:w="2268" w:type="dxa"/>
          </w:tcPr>
          <w:p w14:paraId="2A8C4B00" w14:textId="2AF26EB3" w:rsidR="00ED691D" w:rsidRPr="00F14E6C" w:rsidRDefault="00ED691D" w:rsidP="00ED691D">
            <w:pPr>
              <w:spacing w:line="276" w:lineRule="auto"/>
              <w:rPr>
                <w:rFonts w:cstheme="minorHAnsi"/>
                <w:lang w:val="en-US"/>
              </w:rPr>
            </w:pPr>
            <w:r w:rsidRPr="00F14E6C">
              <w:rPr>
                <w:rFonts w:cstheme="minorHAnsi"/>
                <w:lang w:val="en-US"/>
              </w:rPr>
              <w:t>0.047 (0.043-0.051)</w:t>
            </w:r>
          </w:p>
        </w:tc>
        <w:tc>
          <w:tcPr>
            <w:tcW w:w="1417" w:type="dxa"/>
          </w:tcPr>
          <w:p w14:paraId="632619D0" w14:textId="318D826C" w:rsidR="00ED691D" w:rsidRPr="00F14E6C" w:rsidRDefault="00ED691D" w:rsidP="00225144">
            <w:pPr>
              <w:spacing w:line="276" w:lineRule="auto"/>
              <w:jc w:val="center"/>
              <w:rPr>
                <w:rFonts w:cstheme="minorHAnsi"/>
                <w:lang w:val="en-US"/>
              </w:rPr>
            </w:pPr>
            <w:r w:rsidRPr="00F14E6C">
              <w:rPr>
                <w:rFonts w:cstheme="minorHAnsi"/>
                <w:lang w:val="en-US"/>
              </w:rPr>
              <w:t>27</w:t>
            </w:r>
          </w:p>
        </w:tc>
      </w:tr>
      <w:tr w:rsidR="00ED691D" w:rsidRPr="00F14E6C" w14:paraId="0BC9862B" w14:textId="77777777" w:rsidTr="00BC4F57">
        <w:tc>
          <w:tcPr>
            <w:tcW w:w="0" w:type="auto"/>
          </w:tcPr>
          <w:p w14:paraId="0906F8CB" w14:textId="1CD14852"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70</w:t>
            </w:r>
          </w:p>
        </w:tc>
        <w:tc>
          <w:tcPr>
            <w:tcW w:w="2029" w:type="dxa"/>
          </w:tcPr>
          <w:p w14:paraId="6B8336B2" w14:textId="23D03886" w:rsidR="00ED691D" w:rsidRPr="00F14E6C" w:rsidRDefault="00ED691D" w:rsidP="00ED691D">
            <w:pPr>
              <w:spacing w:line="276" w:lineRule="auto"/>
              <w:rPr>
                <w:rFonts w:cstheme="minorHAnsi"/>
                <w:lang w:val="en-US"/>
              </w:rPr>
            </w:pPr>
            <w:r w:rsidRPr="00F14E6C">
              <w:rPr>
                <w:rFonts w:cstheme="minorHAnsi"/>
              </w:rPr>
              <w:t>1.20 (1.14-1.25)</w:t>
            </w:r>
          </w:p>
        </w:tc>
        <w:tc>
          <w:tcPr>
            <w:tcW w:w="2268" w:type="dxa"/>
          </w:tcPr>
          <w:p w14:paraId="23D63849" w14:textId="06153224" w:rsidR="00ED691D" w:rsidRPr="00F14E6C" w:rsidRDefault="00ED691D" w:rsidP="00ED691D">
            <w:pPr>
              <w:spacing w:line="276" w:lineRule="auto"/>
              <w:rPr>
                <w:rFonts w:cstheme="minorHAnsi"/>
                <w:lang w:val="en-US"/>
              </w:rPr>
            </w:pPr>
            <w:r w:rsidRPr="00F14E6C">
              <w:rPr>
                <w:rFonts w:cstheme="minorHAnsi"/>
                <w:lang w:val="en-US"/>
              </w:rPr>
              <w:t>0.081 (0.075-0.087)</w:t>
            </w:r>
          </w:p>
        </w:tc>
        <w:tc>
          <w:tcPr>
            <w:tcW w:w="1417" w:type="dxa"/>
          </w:tcPr>
          <w:p w14:paraId="6C3A1877" w14:textId="76315129" w:rsidR="00ED691D" w:rsidRPr="00F14E6C" w:rsidRDefault="00ED691D" w:rsidP="00225144">
            <w:pPr>
              <w:spacing w:line="276" w:lineRule="auto"/>
              <w:jc w:val="center"/>
              <w:rPr>
                <w:rFonts w:cstheme="minorHAnsi"/>
                <w:lang w:val="en-US"/>
              </w:rPr>
            </w:pPr>
            <w:r w:rsidRPr="00F14E6C">
              <w:rPr>
                <w:rFonts w:cstheme="minorHAnsi"/>
                <w:lang w:val="en-US"/>
              </w:rPr>
              <w:t>15</w:t>
            </w:r>
          </w:p>
        </w:tc>
      </w:tr>
      <w:tr w:rsidR="00ED691D" w:rsidRPr="00F14E6C" w14:paraId="02D17A92" w14:textId="77777777" w:rsidTr="00BC4F57">
        <w:tc>
          <w:tcPr>
            <w:tcW w:w="0" w:type="auto"/>
          </w:tcPr>
          <w:p w14:paraId="5725D1A4" w14:textId="5D039A0A"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80</w:t>
            </w:r>
          </w:p>
        </w:tc>
        <w:tc>
          <w:tcPr>
            <w:tcW w:w="2029" w:type="dxa"/>
          </w:tcPr>
          <w:p w14:paraId="60E8674E" w14:textId="6E394D1E" w:rsidR="00ED691D" w:rsidRPr="00F14E6C" w:rsidRDefault="00ED691D" w:rsidP="00ED691D">
            <w:pPr>
              <w:spacing w:line="276" w:lineRule="auto"/>
              <w:rPr>
                <w:rFonts w:cstheme="minorHAnsi"/>
                <w:lang w:val="en-US"/>
              </w:rPr>
            </w:pPr>
            <w:r w:rsidRPr="00F14E6C">
              <w:rPr>
                <w:rFonts w:cstheme="minorHAnsi"/>
                <w:lang w:val="en-US"/>
              </w:rPr>
              <w:t>0.83 (0.78-0.88)</w:t>
            </w:r>
          </w:p>
        </w:tc>
        <w:tc>
          <w:tcPr>
            <w:tcW w:w="2268" w:type="dxa"/>
          </w:tcPr>
          <w:p w14:paraId="4ECFF64C" w14:textId="27506FC9" w:rsidR="00ED691D" w:rsidRPr="00F14E6C" w:rsidRDefault="00ED691D" w:rsidP="00ED691D">
            <w:pPr>
              <w:spacing w:line="276" w:lineRule="auto"/>
              <w:rPr>
                <w:rFonts w:cstheme="minorHAnsi"/>
                <w:lang w:val="en-US"/>
              </w:rPr>
            </w:pPr>
            <w:r w:rsidRPr="00F14E6C">
              <w:rPr>
                <w:rFonts w:cstheme="minorHAnsi"/>
                <w:lang w:val="en-US"/>
              </w:rPr>
              <w:t>0.12 (0.10-0.13)</w:t>
            </w:r>
          </w:p>
        </w:tc>
        <w:tc>
          <w:tcPr>
            <w:tcW w:w="1417" w:type="dxa"/>
          </w:tcPr>
          <w:p w14:paraId="1B28AF15" w14:textId="53DD3D79" w:rsidR="00ED691D" w:rsidRPr="00F14E6C" w:rsidRDefault="00ED691D" w:rsidP="00225144">
            <w:pPr>
              <w:spacing w:line="276" w:lineRule="auto"/>
              <w:jc w:val="center"/>
              <w:rPr>
                <w:rFonts w:cstheme="minorHAnsi"/>
                <w:lang w:val="en-US"/>
              </w:rPr>
            </w:pPr>
            <w:r w:rsidRPr="00F14E6C">
              <w:rPr>
                <w:rFonts w:cstheme="minorHAnsi"/>
                <w:lang w:val="en-US"/>
              </w:rPr>
              <w:t>7</w:t>
            </w:r>
          </w:p>
        </w:tc>
      </w:tr>
      <w:tr w:rsidR="00ED691D" w:rsidRPr="00F14E6C" w14:paraId="3E73F965" w14:textId="77777777" w:rsidTr="00BC4F57">
        <w:tc>
          <w:tcPr>
            <w:tcW w:w="0" w:type="auto"/>
          </w:tcPr>
          <w:p w14:paraId="0A8304FF" w14:textId="698C216C" w:rsidR="00ED691D" w:rsidRPr="00F14E6C" w:rsidRDefault="00ED691D" w:rsidP="00225144">
            <w:pPr>
              <w:spacing w:line="276" w:lineRule="auto"/>
              <w:jc w:val="center"/>
              <w:rPr>
                <w:rFonts w:ascii="Calibri" w:eastAsia="Calibri" w:hAnsi="Calibri" w:cs="Calibri"/>
                <w:lang w:val="en-US"/>
              </w:rPr>
            </w:pPr>
            <w:r w:rsidRPr="00F14E6C">
              <w:rPr>
                <w:rFonts w:cstheme="minorHAnsi"/>
                <w:lang w:val="en-US"/>
              </w:rPr>
              <w:t>90</w:t>
            </w:r>
          </w:p>
        </w:tc>
        <w:tc>
          <w:tcPr>
            <w:tcW w:w="2029" w:type="dxa"/>
          </w:tcPr>
          <w:p w14:paraId="5F6369A6" w14:textId="3FEB1D9A" w:rsidR="00ED691D" w:rsidRPr="00F14E6C" w:rsidRDefault="00ED691D" w:rsidP="00ED691D">
            <w:pPr>
              <w:spacing w:line="276" w:lineRule="auto"/>
              <w:rPr>
                <w:rFonts w:cstheme="minorHAnsi"/>
                <w:lang w:val="en-US"/>
              </w:rPr>
            </w:pPr>
            <w:r w:rsidRPr="00F14E6C">
              <w:rPr>
                <w:rFonts w:cstheme="minorHAnsi"/>
                <w:lang w:val="en-US"/>
              </w:rPr>
              <w:t>0.49 (0.21-0.36)</w:t>
            </w:r>
          </w:p>
        </w:tc>
        <w:tc>
          <w:tcPr>
            <w:tcW w:w="2268" w:type="dxa"/>
          </w:tcPr>
          <w:p w14:paraId="03D8FC4B" w14:textId="39DB6FF7" w:rsidR="00ED691D" w:rsidRPr="00F14E6C" w:rsidRDefault="00ED691D" w:rsidP="00ED691D">
            <w:pPr>
              <w:spacing w:line="276" w:lineRule="auto"/>
              <w:rPr>
                <w:rFonts w:cstheme="minorHAnsi"/>
                <w:lang w:val="en-US"/>
              </w:rPr>
            </w:pPr>
            <w:r w:rsidRPr="00F14E6C">
              <w:rPr>
                <w:rFonts w:cstheme="minorHAnsi"/>
                <w:lang w:val="en-US"/>
              </w:rPr>
              <w:t>0.15 (0.13-0.17)</w:t>
            </w:r>
          </w:p>
        </w:tc>
        <w:tc>
          <w:tcPr>
            <w:tcW w:w="1417" w:type="dxa"/>
          </w:tcPr>
          <w:p w14:paraId="36538DCE" w14:textId="32633A76" w:rsidR="00ED691D" w:rsidRPr="00F14E6C" w:rsidRDefault="00ED691D" w:rsidP="00225144">
            <w:pPr>
              <w:spacing w:line="276" w:lineRule="auto"/>
              <w:jc w:val="center"/>
              <w:rPr>
                <w:rFonts w:cstheme="minorHAnsi"/>
                <w:lang w:val="en-US"/>
              </w:rPr>
            </w:pPr>
            <w:r w:rsidRPr="00F14E6C">
              <w:rPr>
                <w:rFonts w:cstheme="minorHAnsi"/>
                <w:lang w:val="en-US"/>
              </w:rPr>
              <w:t>3</w:t>
            </w:r>
          </w:p>
        </w:tc>
      </w:tr>
      <w:tr w:rsidR="00ED691D" w:rsidRPr="00F14E6C" w14:paraId="79EE4333" w14:textId="77777777" w:rsidTr="00BC4F57">
        <w:tc>
          <w:tcPr>
            <w:tcW w:w="0" w:type="auto"/>
          </w:tcPr>
          <w:p w14:paraId="1D8A438D" w14:textId="7BAA7EC4" w:rsidR="00ED691D" w:rsidRPr="00F14E6C" w:rsidRDefault="00ED691D" w:rsidP="00ED691D">
            <w:pPr>
              <w:spacing w:line="276" w:lineRule="auto"/>
              <w:rPr>
                <w:rFonts w:cstheme="minorHAnsi"/>
                <w:b/>
                <w:i/>
                <w:lang w:val="en-US"/>
              </w:rPr>
            </w:pPr>
            <w:r w:rsidRPr="00F14E6C">
              <w:rPr>
                <w:rFonts w:cstheme="minorHAnsi"/>
                <w:b/>
                <w:i/>
                <w:lang w:val="en-US"/>
              </w:rPr>
              <w:t>Humerus</w:t>
            </w:r>
          </w:p>
        </w:tc>
        <w:tc>
          <w:tcPr>
            <w:tcW w:w="2029" w:type="dxa"/>
          </w:tcPr>
          <w:p w14:paraId="5C4E3969" w14:textId="77777777" w:rsidR="00ED691D" w:rsidRPr="00F14E6C" w:rsidRDefault="00ED691D" w:rsidP="00ED691D">
            <w:pPr>
              <w:spacing w:line="276" w:lineRule="auto"/>
              <w:rPr>
                <w:rFonts w:cstheme="minorHAnsi"/>
                <w:lang w:val="en-US"/>
              </w:rPr>
            </w:pPr>
          </w:p>
        </w:tc>
        <w:tc>
          <w:tcPr>
            <w:tcW w:w="2268" w:type="dxa"/>
          </w:tcPr>
          <w:p w14:paraId="3FFD4C08" w14:textId="77777777" w:rsidR="00ED691D" w:rsidRPr="00F14E6C" w:rsidRDefault="00ED691D" w:rsidP="00ED691D">
            <w:pPr>
              <w:spacing w:line="276" w:lineRule="auto"/>
              <w:rPr>
                <w:rFonts w:cstheme="minorHAnsi"/>
                <w:lang w:val="en-US"/>
              </w:rPr>
            </w:pPr>
          </w:p>
        </w:tc>
        <w:tc>
          <w:tcPr>
            <w:tcW w:w="1417" w:type="dxa"/>
          </w:tcPr>
          <w:p w14:paraId="735AB568" w14:textId="77777777" w:rsidR="00ED691D" w:rsidRPr="00F14E6C" w:rsidRDefault="00ED691D" w:rsidP="00225144">
            <w:pPr>
              <w:spacing w:line="276" w:lineRule="auto"/>
              <w:jc w:val="center"/>
              <w:rPr>
                <w:rFonts w:cstheme="minorHAnsi"/>
                <w:lang w:val="en-US"/>
              </w:rPr>
            </w:pPr>
          </w:p>
        </w:tc>
      </w:tr>
      <w:tr w:rsidR="00ED691D" w:rsidRPr="00F14E6C" w14:paraId="3C8D580A" w14:textId="77777777" w:rsidTr="00BC4F57">
        <w:tc>
          <w:tcPr>
            <w:tcW w:w="0" w:type="auto"/>
            <w:tcBorders>
              <w:top w:val="single" w:sz="4" w:space="0" w:color="auto"/>
            </w:tcBorders>
          </w:tcPr>
          <w:p w14:paraId="1D2707F7" w14:textId="3D1A6334" w:rsidR="00ED691D" w:rsidRPr="00F14E6C" w:rsidRDefault="00ED691D" w:rsidP="00ED691D">
            <w:pPr>
              <w:spacing w:line="276" w:lineRule="auto"/>
              <w:rPr>
                <w:rFonts w:cstheme="minorHAnsi"/>
                <w:lang w:val="en-US"/>
              </w:rPr>
            </w:pPr>
            <w:r w:rsidRPr="00F14E6C">
              <w:rPr>
                <w:rFonts w:cstheme="minorHAnsi"/>
                <w:lang w:val="en-US"/>
              </w:rPr>
              <w:t>Men</w:t>
            </w:r>
          </w:p>
        </w:tc>
        <w:tc>
          <w:tcPr>
            <w:tcW w:w="2029" w:type="dxa"/>
            <w:tcBorders>
              <w:top w:val="single" w:sz="4" w:space="0" w:color="auto"/>
            </w:tcBorders>
          </w:tcPr>
          <w:p w14:paraId="7D695D54" w14:textId="77777777" w:rsidR="00ED691D" w:rsidRPr="00F14E6C" w:rsidRDefault="00ED691D" w:rsidP="00ED691D">
            <w:pPr>
              <w:spacing w:line="276" w:lineRule="auto"/>
              <w:rPr>
                <w:rFonts w:cstheme="minorHAnsi"/>
                <w:lang w:val="en-US"/>
              </w:rPr>
            </w:pPr>
          </w:p>
        </w:tc>
        <w:tc>
          <w:tcPr>
            <w:tcW w:w="2268" w:type="dxa"/>
            <w:tcBorders>
              <w:top w:val="single" w:sz="4" w:space="0" w:color="auto"/>
            </w:tcBorders>
          </w:tcPr>
          <w:p w14:paraId="4E2E4E1C" w14:textId="77777777" w:rsidR="00ED691D" w:rsidRPr="00F14E6C" w:rsidRDefault="00ED691D" w:rsidP="00ED691D">
            <w:pPr>
              <w:spacing w:line="276" w:lineRule="auto"/>
              <w:rPr>
                <w:rFonts w:cstheme="minorHAnsi"/>
                <w:lang w:val="en-US"/>
              </w:rPr>
            </w:pPr>
          </w:p>
        </w:tc>
        <w:tc>
          <w:tcPr>
            <w:tcW w:w="1417" w:type="dxa"/>
            <w:tcBorders>
              <w:top w:val="single" w:sz="4" w:space="0" w:color="auto"/>
            </w:tcBorders>
          </w:tcPr>
          <w:p w14:paraId="617765E8" w14:textId="77777777" w:rsidR="00ED691D" w:rsidRPr="00F14E6C" w:rsidRDefault="00ED691D" w:rsidP="00225144">
            <w:pPr>
              <w:spacing w:line="276" w:lineRule="auto"/>
              <w:jc w:val="center"/>
              <w:rPr>
                <w:rFonts w:cstheme="minorHAnsi"/>
                <w:lang w:val="en-US"/>
              </w:rPr>
            </w:pPr>
          </w:p>
        </w:tc>
      </w:tr>
      <w:tr w:rsidR="00ED691D" w:rsidRPr="00F14E6C" w14:paraId="0DCA0357" w14:textId="77777777" w:rsidTr="00BC4F57">
        <w:tc>
          <w:tcPr>
            <w:tcW w:w="0" w:type="auto"/>
          </w:tcPr>
          <w:p w14:paraId="7B7A5D11" w14:textId="385C8A46" w:rsidR="00ED691D" w:rsidRPr="00F14E6C" w:rsidRDefault="00ED691D" w:rsidP="00225144">
            <w:pPr>
              <w:spacing w:line="276" w:lineRule="auto"/>
              <w:jc w:val="center"/>
              <w:rPr>
                <w:rFonts w:cstheme="minorHAnsi"/>
                <w:lang w:val="en-US"/>
              </w:rPr>
            </w:pPr>
            <w:r w:rsidRPr="00F14E6C">
              <w:rPr>
                <w:rFonts w:cstheme="minorHAnsi"/>
                <w:lang w:val="en-US"/>
              </w:rPr>
              <w:t>60</w:t>
            </w:r>
          </w:p>
        </w:tc>
        <w:tc>
          <w:tcPr>
            <w:tcW w:w="2029" w:type="dxa"/>
          </w:tcPr>
          <w:p w14:paraId="2051596D" w14:textId="513164BD" w:rsidR="00ED691D" w:rsidRPr="00F14E6C" w:rsidRDefault="00ED691D" w:rsidP="00ED691D">
            <w:pPr>
              <w:spacing w:line="276" w:lineRule="auto"/>
              <w:rPr>
                <w:rFonts w:cstheme="minorHAnsi"/>
                <w:lang w:val="en-US"/>
              </w:rPr>
            </w:pPr>
            <w:r w:rsidRPr="00F14E6C">
              <w:rPr>
                <w:rFonts w:cstheme="minorHAnsi"/>
                <w:lang w:val="en-US"/>
              </w:rPr>
              <w:t>0.55 (0.49-0.61)</w:t>
            </w:r>
          </w:p>
        </w:tc>
        <w:tc>
          <w:tcPr>
            <w:tcW w:w="2268" w:type="dxa"/>
          </w:tcPr>
          <w:p w14:paraId="6BE07500" w14:textId="6EF2812C" w:rsidR="00ED691D" w:rsidRPr="00F14E6C" w:rsidRDefault="00ED691D" w:rsidP="00ED691D">
            <w:pPr>
              <w:spacing w:line="276" w:lineRule="auto"/>
              <w:rPr>
                <w:rFonts w:cstheme="minorHAnsi"/>
                <w:lang w:val="en-US"/>
              </w:rPr>
            </w:pPr>
            <w:r w:rsidRPr="00F14E6C">
              <w:rPr>
                <w:rFonts w:cstheme="minorHAnsi"/>
                <w:lang w:val="en-US"/>
              </w:rPr>
              <w:t>0.022 (0.018-0.027)</w:t>
            </w:r>
          </w:p>
        </w:tc>
        <w:tc>
          <w:tcPr>
            <w:tcW w:w="1417" w:type="dxa"/>
          </w:tcPr>
          <w:p w14:paraId="1CF56901" w14:textId="68525F01" w:rsidR="00ED691D" w:rsidRPr="00F14E6C" w:rsidRDefault="00ED691D" w:rsidP="00225144">
            <w:pPr>
              <w:spacing w:line="276" w:lineRule="auto"/>
              <w:jc w:val="center"/>
              <w:rPr>
                <w:rFonts w:cstheme="minorHAnsi"/>
                <w:lang w:val="en-US"/>
              </w:rPr>
            </w:pPr>
            <w:r w:rsidRPr="00F14E6C">
              <w:rPr>
                <w:rFonts w:cstheme="minorHAnsi"/>
                <w:lang w:val="en-US"/>
              </w:rPr>
              <w:t>25</w:t>
            </w:r>
          </w:p>
        </w:tc>
      </w:tr>
      <w:tr w:rsidR="00ED691D" w:rsidRPr="00F14E6C" w14:paraId="65690503" w14:textId="77777777" w:rsidTr="00BC4F57">
        <w:tc>
          <w:tcPr>
            <w:tcW w:w="0" w:type="auto"/>
          </w:tcPr>
          <w:p w14:paraId="648623DB" w14:textId="3B13AA77" w:rsidR="00ED691D" w:rsidRPr="00F14E6C" w:rsidRDefault="00ED691D" w:rsidP="00225144">
            <w:pPr>
              <w:spacing w:line="276" w:lineRule="auto"/>
              <w:jc w:val="center"/>
              <w:rPr>
                <w:rFonts w:cstheme="minorHAnsi"/>
                <w:lang w:val="en-US"/>
              </w:rPr>
            </w:pPr>
            <w:r w:rsidRPr="00F14E6C">
              <w:rPr>
                <w:rFonts w:cstheme="minorHAnsi"/>
                <w:lang w:val="en-US"/>
              </w:rPr>
              <w:t>70</w:t>
            </w:r>
          </w:p>
        </w:tc>
        <w:tc>
          <w:tcPr>
            <w:tcW w:w="2029" w:type="dxa"/>
          </w:tcPr>
          <w:p w14:paraId="091A732F" w14:textId="7C7F6FCB" w:rsidR="00ED691D" w:rsidRPr="00F14E6C" w:rsidRDefault="00ED691D" w:rsidP="00ED691D">
            <w:pPr>
              <w:spacing w:line="276" w:lineRule="auto"/>
              <w:rPr>
                <w:rFonts w:cstheme="minorHAnsi"/>
                <w:lang w:val="en-US"/>
              </w:rPr>
            </w:pPr>
            <w:r w:rsidRPr="00F14E6C">
              <w:rPr>
                <w:rFonts w:cstheme="minorHAnsi"/>
                <w:lang w:val="en-US"/>
              </w:rPr>
              <w:t>0.54 (0.49-0.50)</w:t>
            </w:r>
          </w:p>
        </w:tc>
        <w:tc>
          <w:tcPr>
            <w:tcW w:w="2268" w:type="dxa"/>
          </w:tcPr>
          <w:p w14:paraId="56C197C2" w14:textId="3FF0B369" w:rsidR="00ED691D" w:rsidRPr="00F14E6C" w:rsidRDefault="00ED691D" w:rsidP="00ED691D">
            <w:pPr>
              <w:spacing w:line="276" w:lineRule="auto"/>
              <w:rPr>
                <w:rFonts w:cstheme="minorHAnsi"/>
                <w:lang w:val="en-US"/>
              </w:rPr>
            </w:pPr>
            <w:r w:rsidRPr="00F14E6C">
              <w:rPr>
                <w:rFonts w:cstheme="minorHAnsi"/>
                <w:lang w:val="en-US"/>
              </w:rPr>
              <w:t>0.056 (0.050-0.062)</w:t>
            </w:r>
          </w:p>
        </w:tc>
        <w:tc>
          <w:tcPr>
            <w:tcW w:w="1417" w:type="dxa"/>
          </w:tcPr>
          <w:p w14:paraId="5BE7C478" w14:textId="101F95F2" w:rsidR="00ED691D" w:rsidRPr="00F14E6C" w:rsidRDefault="00ED691D" w:rsidP="00225144">
            <w:pPr>
              <w:spacing w:line="276" w:lineRule="auto"/>
              <w:jc w:val="center"/>
              <w:rPr>
                <w:rFonts w:cstheme="minorHAnsi"/>
                <w:lang w:val="en-US"/>
              </w:rPr>
            </w:pPr>
            <w:r w:rsidRPr="00F14E6C">
              <w:rPr>
                <w:rFonts w:cstheme="minorHAnsi"/>
                <w:lang w:val="en-US"/>
              </w:rPr>
              <w:t>10</w:t>
            </w:r>
          </w:p>
        </w:tc>
      </w:tr>
      <w:tr w:rsidR="00ED691D" w:rsidRPr="00F14E6C" w14:paraId="6737F0C4" w14:textId="77777777" w:rsidTr="00BC4F57">
        <w:tc>
          <w:tcPr>
            <w:tcW w:w="0" w:type="auto"/>
          </w:tcPr>
          <w:p w14:paraId="32EA3CB6" w14:textId="26C80D61" w:rsidR="00ED691D" w:rsidRPr="00F14E6C" w:rsidRDefault="00ED691D" w:rsidP="00225144">
            <w:pPr>
              <w:spacing w:line="276" w:lineRule="auto"/>
              <w:jc w:val="center"/>
              <w:rPr>
                <w:rFonts w:cstheme="minorHAnsi"/>
                <w:lang w:val="en-US"/>
              </w:rPr>
            </w:pPr>
            <w:r w:rsidRPr="00F14E6C">
              <w:rPr>
                <w:rFonts w:cstheme="minorHAnsi"/>
                <w:lang w:val="en-US"/>
              </w:rPr>
              <w:t>80</w:t>
            </w:r>
          </w:p>
        </w:tc>
        <w:tc>
          <w:tcPr>
            <w:tcW w:w="2029" w:type="dxa"/>
          </w:tcPr>
          <w:p w14:paraId="5F27E0A4" w14:textId="63B5F902" w:rsidR="00ED691D" w:rsidRPr="00F14E6C" w:rsidRDefault="00ED691D" w:rsidP="00ED691D">
            <w:pPr>
              <w:spacing w:line="276" w:lineRule="auto"/>
              <w:rPr>
                <w:rFonts w:cstheme="minorHAnsi"/>
                <w:lang w:val="en-US"/>
              </w:rPr>
            </w:pPr>
            <w:r w:rsidRPr="00F14E6C">
              <w:rPr>
                <w:rFonts w:cstheme="minorHAnsi"/>
                <w:lang w:val="en-US"/>
              </w:rPr>
              <w:t>0.37 (0.31-0.44)</w:t>
            </w:r>
          </w:p>
        </w:tc>
        <w:tc>
          <w:tcPr>
            <w:tcW w:w="2268" w:type="dxa"/>
          </w:tcPr>
          <w:p w14:paraId="17E1DB35" w14:textId="571EB976" w:rsidR="00ED691D" w:rsidRPr="00F14E6C" w:rsidRDefault="00ED691D" w:rsidP="00ED691D">
            <w:pPr>
              <w:spacing w:line="276" w:lineRule="auto"/>
              <w:rPr>
                <w:rFonts w:cstheme="minorHAnsi"/>
                <w:lang w:val="en-US"/>
              </w:rPr>
            </w:pPr>
            <w:r w:rsidRPr="00F14E6C">
              <w:rPr>
                <w:rFonts w:cstheme="minorHAnsi"/>
                <w:lang w:val="en-US"/>
              </w:rPr>
              <w:t>0.091 (0.079-0.10)</w:t>
            </w:r>
          </w:p>
        </w:tc>
        <w:tc>
          <w:tcPr>
            <w:tcW w:w="1417" w:type="dxa"/>
          </w:tcPr>
          <w:p w14:paraId="4EA33BBF" w14:textId="50BDC7BF" w:rsidR="00ED691D" w:rsidRPr="00F14E6C" w:rsidRDefault="00ED691D" w:rsidP="00225144">
            <w:pPr>
              <w:spacing w:line="276" w:lineRule="auto"/>
              <w:jc w:val="center"/>
              <w:rPr>
                <w:rFonts w:cstheme="minorHAnsi"/>
                <w:lang w:val="en-US"/>
              </w:rPr>
            </w:pPr>
            <w:r w:rsidRPr="00F14E6C">
              <w:rPr>
                <w:rFonts w:cstheme="minorHAnsi"/>
                <w:lang w:val="en-US"/>
              </w:rPr>
              <w:t>4</w:t>
            </w:r>
          </w:p>
        </w:tc>
      </w:tr>
      <w:tr w:rsidR="00ED691D" w:rsidRPr="00F14E6C" w14:paraId="7B948D0E" w14:textId="77777777" w:rsidTr="00BC4F57">
        <w:tc>
          <w:tcPr>
            <w:tcW w:w="0" w:type="auto"/>
          </w:tcPr>
          <w:p w14:paraId="700A6D9A" w14:textId="1BA4C919" w:rsidR="00ED691D" w:rsidRPr="00F14E6C" w:rsidRDefault="00ED691D" w:rsidP="00225144">
            <w:pPr>
              <w:spacing w:line="276" w:lineRule="auto"/>
              <w:jc w:val="center"/>
              <w:rPr>
                <w:rFonts w:cstheme="minorHAnsi"/>
                <w:lang w:val="en-US"/>
              </w:rPr>
            </w:pPr>
            <w:r w:rsidRPr="00F14E6C">
              <w:rPr>
                <w:rFonts w:cstheme="minorHAnsi"/>
                <w:lang w:val="en-US"/>
              </w:rPr>
              <w:t>90</w:t>
            </w:r>
          </w:p>
        </w:tc>
        <w:tc>
          <w:tcPr>
            <w:tcW w:w="2029" w:type="dxa"/>
          </w:tcPr>
          <w:p w14:paraId="5B1B9D90" w14:textId="1BC38E57" w:rsidR="00ED691D" w:rsidRPr="00F14E6C" w:rsidRDefault="00ED691D" w:rsidP="00ED691D">
            <w:pPr>
              <w:spacing w:line="276" w:lineRule="auto"/>
              <w:rPr>
                <w:rFonts w:cstheme="minorHAnsi"/>
                <w:lang w:val="en-US"/>
              </w:rPr>
            </w:pPr>
            <w:r w:rsidRPr="00F14E6C">
              <w:rPr>
                <w:rFonts w:cstheme="minorHAnsi"/>
                <w:lang w:val="en-US"/>
              </w:rPr>
              <w:t>0.19 (0.10-0.27)</w:t>
            </w:r>
          </w:p>
        </w:tc>
        <w:tc>
          <w:tcPr>
            <w:tcW w:w="2268" w:type="dxa"/>
          </w:tcPr>
          <w:p w14:paraId="4D787773" w14:textId="3838534F" w:rsidR="00ED691D" w:rsidRPr="00F14E6C" w:rsidRDefault="00ED691D" w:rsidP="00ED691D">
            <w:pPr>
              <w:spacing w:line="276" w:lineRule="auto"/>
              <w:rPr>
                <w:rFonts w:cstheme="minorHAnsi"/>
                <w:lang w:val="en-US"/>
              </w:rPr>
            </w:pPr>
            <w:r w:rsidRPr="00F14E6C">
              <w:rPr>
                <w:rFonts w:cstheme="minorHAnsi"/>
                <w:lang w:val="en-US"/>
              </w:rPr>
              <w:t>0.12 (0.11-0.14)</w:t>
            </w:r>
          </w:p>
        </w:tc>
        <w:tc>
          <w:tcPr>
            <w:tcW w:w="1417" w:type="dxa"/>
          </w:tcPr>
          <w:p w14:paraId="218B6453" w14:textId="63E0BDE9" w:rsidR="00ED691D" w:rsidRPr="00F14E6C" w:rsidRDefault="00ED691D" w:rsidP="00225144">
            <w:pPr>
              <w:spacing w:line="276" w:lineRule="auto"/>
              <w:jc w:val="center"/>
              <w:rPr>
                <w:rFonts w:cstheme="minorHAnsi"/>
                <w:lang w:val="en-US"/>
              </w:rPr>
            </w:pPr>
            <w:r w:rsidRPr="00F14E6C">
              <w:rPr>
                <w:rFonts w:cstheme="minorHAnsi"/>
                <w:lang w:val="en-US"/>
              </w:rPr>
              <w:t>2</w:t>
            </w:r>
          </w:p>
        </w:tc>
      </w:tr>
      <w:tr w:rsidR="00ED691D" w:rsidRPr="00F14E6C" w14:paraId="4653C17A" w14:textId="77777777" w:rsidTr="00BC4F57">
        <w:tc>
          <w:tcPr>
            <w:tcW w:w="0" w:type="auto"/>
          </w:tcPr>
          <w:p w14:paraId="666C55D0" w14:textId="3FE28709" w:rsidR="00ED691D" w:rsidRPr="00F14E6C" w:rsidRDefault="00ED691D" w:rsidP="00ED691D">
            <w:pPr>
              <w:spacing w:line="276" w:lineRule="auto"/>
              <w:rPr>
                <w:rFonts w:cstheme="minorHAnsi"/>
                <w:lang w:val="en-US"/>
              </w:rPr>
            </w:pPr>
            <w:r w:rsidRPr="00F14E6C">
              <w:rPr>
                <w:rFonts w:cstheme="minorHAnsi"/>
                <w:lang w:val="en-US"/>
              </w:rPr>
              <w:t>Women</w:t>
            </w:r>
          </w:p>
        </w:tc>
        <w:tc>
          <w:tcPr>
            <w:tcW w:w="2029" w:type="dxa"/>
          </w:tcPr>
          <w:p w14:paraId="6524ED5F" w14:textId="77777777" w:rsidR="00ED691D" w:rsidRPr="00F14E6C" w:rsidRDefault="00ED691D" w:rsidP="00ED691D">
            <w:pPr>
              <w:spacing w:line="276" w:lineRule="auto"/>
              <w:rPr>
                <w:rFonts w:cstheme="minorHAnsi"/>
                <w:lang w:val="en-US"/>
              </w:rPr>
            </w:pPr>
          </w:p>
        </w:tc>
        <w:tc>
          <w:tcPr>
            <w:tcW w:w="2268" w:type="dxa"/>
          </w:tcPr>
          <w:p w14:paraId="54B33173" w14:textId="77777777" w:rsidR="00ED691D" w:rsidRPr="00F14E6C" w:rsidRDefault="00ED691D" w:rsidP="00ED691D">
            <w:pPr>
              <w:spacing w:line="276" w:lineRule="auto"/>
              <w:rPr>
                <w:rFonts w:cstheme="minorHAnsi"/>
                <w:lang w:val="en-US"/>
              </w:rPr>
            </w:pPr>
          </w:p>
        </w:tc>
        <w:tc>
          <w:tcPr>
            <w:tcW w:w="1417" w:type="dxa"/>
          </w:tcPr>
          <w:p w14:paraId="797CDDBE" w14:textId="77777777" w:rsidR="00ED691D" w:rsidRPr="00F14E6C" w:rsidRDefault="00ED691D" w:rsidP="00225144">
            <w:pPr>
              <w:spacing w:line="276" w:lineRule="auto"/>
              <w:jc w:val="center"/>
              <w:rPr>
                <w:rFonts w:cstheme="minorHAnsi"/>
                <w:lang w:val="en-US"/>
              </w:rPr>
            </w:pPr>
          </w:p>
        </w:tc>
      </w:tr>
      <w:tr w:rsidR="00ED691D" w:rsidRPr="00F14E6C" w14:paraId="0B6B23B4" w14:textId="77777777" w:rsidTr="00BC4F57">
        <w:tc>
          <w:tcPr>
            <w:tcW w:w="0" w:type="auto"/>
          </w:tcPr>
          <w:p w14:paraId="5DDA0DFA" w14:textId="7063339E" w:rsidR="00ED691D" w:rsidRPr="00F14E6C" w:rsidRDefault="00ED691D" w:rsidP="00225144">
            <w:pPr>
              <w:spacing w:line="276" w:lineRule="auto"/>
              <w:jc w:val="center"/>
              <w:rPr>
                <w:rFonts w:cstheme="minorHAnsi"/>
                <w:lang w:val="en-US"/>
              </w:rPr>
            </w:pPr>
            <w:r w:rsidRPr="00F14E6C">
              <w:rPr>
                <w:rFonts w:cstheme="minorHAnsi"/>
                <w:lang w:val="en-US"/>
              </w:rPr>
              <w:t>60</w:t>
            </w:r>
          </w:p>
        </w:tc>
        <w:tc>
          <w:tcPr>
            <w:tcW w:w="2029" w:type="dxa"/>
          </w:tcPr>
          <w:p w14:paraId="11570996" w14:textId="28C01BF3" w:rsidR="00ED691D" w:rsidRPr="00F14E6C" w:rsidRDefault="00ED691D" w:rsidP="00ED691D">
            <w:pPr>
              <w:spacing w:line="276" w:lineRule="auto"/>
              <w:rPr>
                <w:rFonts w:cstheme="minorHAnsi"/>
                <w:lang w:val="en-US"/>
              </w:rPr>
            </w:pPr>
            <w:r w:rsidRPr="00F14E6C">
              <w:rPr>
                <w:rFonts w:cstheme="minorHAnsi"/>
                <w:lang w:val="en-US"/>
              </w:rPr>
              <w:t>0.64 (0.60-0.69)</w:t>
            </w:r>
          </w:p>
        </w:tc>
        <w:tc>
          <w:tcPr>
            <w:tcW w:w="2268" w:type="dxa"/>
          </w:tcPr>
          <w:p w14:paraId="53178A32" w14:textId="6CFD1450" w:rsidR="00ED691D" w:rsidRPr="00F14E6C" w:rsidRDefault="00ED691D" w:rsidP="00ED691D">
            <w:pPr>
              <w:spacing w:line="276" w:lineRule="auto"/>
              <w:rPr>
                <w:rFonts w:cstheme="minorHAnsi"/>
                <w:lang w:val="en-US"/>
              </w:rPr>
            </w:pPr>
            <w:r w:rsidRPr="00F14E6C">
              <w:rPr>
                <w:rFonts w:cstheme="minorHAnsi"/>
                <w:lang w:val="en-US"/>
              </w:rPr>
              <w:t>0.047 (0.043-0.051)</w:t>
            </w:r>
          </w:p>
        </w:tc>
        <w:tc>
          <w:tcPr>
            <w:tcW w:w="1417" w:type="dxa"/>
          </w:tcPr>
          <w:p w14:paraId="491D7DAD" w14:textId="44013580" w:rsidR="00ED691D" w:rsidRPr="00F14E6C" w:rsidRDefault="00ED691D" w:rsidP="00225144">
            <w:pPr>
              <w:spacing w:line="276" w:lineRule="auto"/>
              <w:jc w:val="center"/>
              <w:rPr>
                <w:rFonts w:cstheme="minorHAnsi"/>
                <w:lang w:val="en-US"/>
              </w:rPr>
            </w:pPr>
            <w:r w:rsidRPr="00F14E6C">
              <w:rPr>
                <w:rFonts w:cstheme="minorHAnsi"/>
                <w:lang w:val="en-US"/>
              </w:rPr>
              <w:t>14</w:t>
            </w:r>
          </w:p>
        </w:tc>
      </w:tr>
      <w:tr w:rsidR="00ED691D" w:rsidRPr="00F14E6C" w14:paraId="2C053A98" w14:textId="77777777" w:rsidTr="00BC4F57">
        <w:tc>
          <w:tcPr>
            <w:tcW w:w="0" w:type="auto"/>
          </w:tcPr>
          <w:p w14:paraId="3E714FD4" w14:textId="7D6E53D3" w:rsidR="00ED691D" w:rsidRPr="00F14E6C" w:rsidRDefault="00ED691D" w:rsidP="00225144">
            <w:pPr>
              <w:spacing w:line="276" w:lineRule="auto"/>
              <w:jc w:val="center"/>
              <w:rPr>
                <w:rFonts w:cstheme="minorHAnsi"/>
                <w:lang w:val="en-US"/>
              </w:rPr>
            </w:pPr>
            <w:r w:rsidRPr="00F14E6C">
              <w:rPr>
                <w:rFonts w:cstheme="minorHAnsi"/>
                <w:lang w:val="en-US"/>
              </w:rPr>
              <w:t>70</w:t>
            </w:r>
          </w:p>
        </w:tc>
        <w:tc>
          <w:tcPr>
            <w:tcW w:w="2029" w:type="dxa"/>
          </w:tcPr>
          <w:p w14:paraId="1C103F46" w14:textId="0C92CE2D" w:rsidR="00ED691D" w:rsidRPr="00F14E6C" w:rsidRDefault="00ED691D" w:rsidP="00ED691D">
            <w:pPr>
              <w:spacing w:line="276" w:lineRule="auto"/>
              <w:rPr>
                <w:rFonts w:cstheme="minorHAnsi"/>
                <w:lang w:val="en-US"/>
              </w:rPr>
            </w:pPr>
            <w:r w:rsidRPr="00F14E6C">
              <w:rPr>
                <w:rFonts w:cstheme="minorHAnsi"/>
              </w:rPr>
              <w:t>0.64 (0.60-0.68)</w:t>
            </w:r>
          </w:p>
        </w:tc>
        <w:tc>
          <w:tcPr>
            <w:tcW w:w="2268" w:type="dxa"/>
          </w:tcPr>
          <w:p w14:paraId="3658304E" w14:textId="76FC4606" w:rsidR="00ED691D" w:rsidRPr="00F14E6C" w:rsidRDefault="00ED691D" w:rsidP="00ED691D">
            <w:pPr>
              <w:spacing w:line="276" w:lineRule="auto"/>
              <w:rPr>
                <w:rFonts w:cstheme="minorHAnsi"/>
                <w:lang w:val="en-US"/>
              </w:rPr>
            </w:pPr>
            <w:r w:rsidRPr="00F14E6C">
              <w:rPr>
                <w:rFonts w:cstheme="minorHAnsi"/>
                <w:lang w:val="en-US"/>
              </w:rPr>
              <w:t>0.081 (0.075-0.087)</w:t>
            </w:r>
          </w:p>
        </w:tc>
        <w:tc>
          <w:tcPr>
            <w:tcW w:w="1417" w:type="dxa"/>
          </w:tcPr>
          <w:p w14:paraId="7041EBF0" w14:textId="47173E6E" w:rsidR="00ED691D" w:rsidRPr="00F14E6C" w:rsidRDefault="00ED691D" w:rsidP="00225144">
            <w:pPr>
              <w:spacing w:line="276" w:lineRule="auto"/>
              <w:jc w:val="center"/>
              <w:rPr>
                <w:rFonts w:cstheme="minorHAnsi"/>
                <w:lang w:val="en-US"/>
              </w:rPr>
            </w:pPr>
            <w:r w:rsidRPr="00F14E6C">
              <w:rPr>
                <w:rFonts w:cstheme="minorHAnsi"/>
                <w:lang w:val="en-US"/>
              </w:rPr>
              <w:t>8</w:t>
            </w:r>
          </w:p>
        </w:tc>
      </w:tr>
      <w:tr w:rsidR="00ED691D" w:rsidRPr="00F14E6C" w14:paraId="6E1B2B08" w14:textId="77777777" w:rsidTr="00BC4F57">
        <w:tc>
          <w:tcPr>
            <w:tcW w:w="0" w:type="auto"/>
          </w:tcPr>
          <w:p w14:paraId="6D7680D6" w14:textId="61C2CB50" w:rsidR="00ED691D" w:rsidRPr="00F14E6C" w:rsidRDefault="00ED691D" w:rsidP="00225144">
            <w:pPr>
              <w:spacing w:line="276" w:lineRule="auto"/>
              <w:jc w:val="center"/>
              <w:rPr>
                <w:rFonts w:cstheme="minorHAnsi"/>
                <w:lang w:val="en-US"/>
              </w:rPr>
            </w:pPr>
            <w:r w:rsidRPr="00F14E6C">
              <w:rPr>
                <w:rFonts w:cstheme="minorHAnsi"/>
                <w:lang w:val="en-US"/>
              </w:rPr>
              <w:t>80</w:t>
            </w:r>
          </w:p>
        </w:tc>
        <w:tc>
          <w:tcPr>
            <w:tcW w:w="2029" w:type="dxa"/>
          </w:tcPr>
          <w:p w14:paraId="76399071" w14:textId="08FEB59A" w:rsidR="00ED691D" w:rsidRPr="00F14E6C" w:rsidRDefault="00ED691D" w:rsidP="00ED691D">
            <w:pPr>
              <w:spacing w:line="276" w:lineRule="auto"/>
              <w:rPr>
                <w:rFonts w:cstheme="minorHAnsi"/>
                <w:lang w:val="en-US"/>
              </w:rPr>
            </w:pPr>
            <w:r w:rsidRPr="00F14E6C">
              <w:rPr>
                <w:rFonts w:cstheme="minorHAnsi"/>
                <w:lang w:val="en-US"/>
              </w:rPr>
              <w:t>0.47 (0.42-0.51)</w:t>
            </w:r>
          </w:p>
        </w:tc>
        <w:tc>
          <w:tcPr>
            <w:tcW w:w="2268" w:type="dxa"/>
          </w:tcPr>
          <w:p w14:paraId="19674540" w14:textId="2E8979E3" w:rsidR="00ED691D" w:rsidRPr="00F14E6C" w:rsidRDefault="00ED691D" w:rsidP="00ED691D">
            <w:pPr>
              <w:spacing w:line="276" w:lineRule="auto"/>
              <w:rPr>
                <w:rFonts w:cstheme="minorHAnsi"/>
                <w:lang w:val="en-US"/>
              </w:rPr>
            </w:pPr>
            <w:r w:rsidRPr="00F14E6C">
              <w:rPr>
                <w:rFonts w:cstheme="minorHAnsi"/>
                <w:lang w:val="en-US"/>
              </w:rPr>
              <w:t>0.12 (0.10-0.13)</w:t>
            </w:r>
          </w:p>
        </w:tc>
        <w:tc>
          <w:tcPr>
            <w:tcW w:w="1417" w:type="dxa"/>
          </w:tcPr>
          <w:p w14:paraId="29D86804" w14:textId="6B15C1FE" w:rsidR="00ED691D" w:rsidRPr="00F14E6C" w:rsidRDefault="00ED691D" w:rsidP="00225144">
            <w:pPr>
              <w:spacing w:line="276" w:lineRule="auto"/>
              <w:jc w:val="center"/>
              <w:rPr>
                <w:rFonts w:cstheme="minorHAnsi"/>
                <w:lang w:val="en-US"/>
              </w:rPr>
            </w:pPr>
            <w:r w:rsidRPr="00F14E6C">
              <w:rPr>
                <w:rFonts w:cstheme="minorHAnsi"/>
                <w:lang w:val="en-US"/>
              </w:rPr>
              <w:t>4</w:t>
            </w:r>
          </w:p>
        </w:tc>
      </w:tr>
      <w:tr w:rsidR="00ED691D" w:rsidRPr="00F14E6C" w14:paraId="5CDB27C8" w14:textId="77777777" w:rsidTr="00BC4F57">
        <w:tc>
          <w:tcPr>
            <w:tcW w:w="0" w:type="auto"/>
          </w:tcPr>
          <w:p w14:paraId="398BAFC8" w14:textId="3CC026E2" w:rsidR="00ED691D" w:rsidRPr="00F14E6C" w:rsidRDefault="00ED691D" w:rsidP="00225144">
            <w:pPr>
              <w:spacing w:line="276" w:lineRule="auto"/>
              <w:jc w:val="center"/>
              <w:rPr>
                <w:rFonts w:cstheme="minorHAnsi"/>
                <w:lang w:val="en-US"/>
              </w:rPr>
            </w:pPr>
            <w:r w:rsidRPr="00F14E6C">
              <w:rPr>
                <w:rFonts w:cstheme="minorHAnsi"/>
                <w:lang w:val="en-US"/>
              </w:rPr>
              <w:t>90</w:t>
            </w:r>
          </w:p>
        </w:tc>
        <w:tc>
          <w:tcPr>
            <w:tcW w:w="2029" w:type="dxa"/>
          </w:tcPr>
          <w:p w14:paraId="3EE362CC" w14:textId="32A07E73" w:rsidR="00ED691D" w:rsidRPr="00F14E6C" w:rsidRDefault="00ED691D" w:rsidP="00ED691D">
            <w:pPr>
              <w:spacing w:line="276" w:lineRule="auto"/>
              <w:rPr>
                <w:rFonts w:cstheme="minorHAnsi"/>
                <w:lang w:val="en-US"/>
              </w:rPr>
            </w:pPr>
            <w:r w:rsidRPr="00F14E6C">
              <w:rPr>
                <w:rFonts w:cstheme="minorHAnsi"/>
                <w:lang w:val="en-US"/>
              </w:rPr>
              <w:t>0.28 (0.21-0.36)</w:t>
            </w:r>
          </w:p>
        </w:tc>
        <w:tc>
          <w:tcPr>
            <w:tcW w:w="2268" w:type="dxa"/>
          </w:tcPr>
          <w:p w14:paraId="34520F77" w14:textId="521FCD28" w:rsidR="00ED691D" w:rsidRPr="00F14E6C" w:rsidRDefault="00ED691D" w:rsidP="00ED691D">
            <w:pPr>
              <w:spacing w:line="276" w:lineRule="auto"/>
              <w:rPr>
                <w:rFonts w:cstheme="minorHAnsi"/>
                <w:lang w:val="en-US"/>
              </w:rPr>
            </w:pPr>
            <w:r w:rsidRPr="00F14E6C">
              <w:rPr>
                <w:rFonts w:cstheme="minorHAnsi"/>
                <w:lang w:val="en-US"/>
              </w:rPr>
              <w:t>0.15 (0.13-0.17)</w:t>
            </w:r>
          </w:p>
        </w:tc>
        <w:tc>
          <w:tcPr>
            <w:tcW w:w="1417" w:type="dxa"/>
          </w:tcPr>
          <w:p w14:paraId="4B281C86" w14:textId="290E4708" w:rsidR="00ED691D" w:rsidRPr="00F14E6C" w:rsidRDefault="00ED691D" w:rsidP="00225144">
            <w:pPr>
              <w:spacing w:line="276" w:lineRule="auto"/>
              <w:jc w:val="center"/>
              <w:rPr>
                <w:rFonts w:cstheme="minorHAnsi"/>
                <w:lang w:val="en-US"/>
              </w:rPr>
            </w:pPr>
            <w:r w:rsidRPr="00F14E6C">
              <w:rPr>
                <w:rFonts w:cstheme="minorHAnsi"/>
                <w:lang w:val="en-US"/>
              </w:rPr>
              <w:t>2</w:t>
            </w:r>
          </w:p>
        </w:tc>
      </w:tr>
      <w:tr w:rsidR="00ED691D" w:rsidRPr="00F14E6C" w14:paraId="4EC2E385" w14:textId="77777777" w:rsidTr="00BC4F57">
        <w:tc>
          <w:tcPr>
            <w:tcW w:w="0" w:type="auto"/>
          </w:tcPr>
          <w:p w14:paraId="53D247C2" w14:textId="3BD60D8C" w:rsidR="00ED691D" w:rsidRPr="00F14E6C" w:rsidRDefault="00ED691D" w:rsidP="00ED691D">
            <w:pPr>
              <w:spacing w:line="276" w:lineRule="auto"/>
              <w:rPr>
                <w:rFonts w:ascii="Calibri" w:eastAsia="Calibri" w:hAnsi="Calibri" w:cs="Calibri"/>
                <w:b/>
                <w:i/>
                <w:lang w:val="en-US"/>
              </w:rPr>
            </w:pPr>
            <w:r w:rsidRPr="00F14E6C">
              <w:rPr>
                <w:rFonts w:ascii="Calibri" w:eastAsia="Calibri" w:hAnsi="Calibri" w:cs="Calibri"/>
                <w:b/>
                <w:i/>
                <w:lang w:val="en-US"/>
              </w:rPr>
              <w:t>Forearm</w:t>
            </w:r>
          </w:p>
        </w:tc>
        <w:tc>
          <w:tcPr>
            <w:tcW w:w="2029" w:type="dxa"/>
          </w:tcPr>
          <w:p w14:paraId="4517B598" w14:textId="77777777" w:rsidR="00ED691D" w:rsidRPr="00F14E6C" w:rsidRDefault="00ED691D" w:rsidP="00ED691D">
            <w:pPr>
              <w:spacing w:line="276" w:lineRule="auto"/>
              <w:rPr>
                <w:rFonts w:ascii="Calibri" w:eastAsia="Calibri" w:hAnsi="Calibri" w:cs="Calibri"/>
                <w:lang w:val="en-US"/>
              </w:rPr>
            </w:pPr>
          </w:p>
        </w:tc>
        <w:tc>
          <w:tcPr>
            <w:tcW w:w="2268" w:type="dxa"/>
          </w:tcPr>
          <w:p w14:paraId="399E5313" w14:textId="77777777" w:rsidR="00ED691D" w:rsidRPr="00F14E6C" w:rsidRDefault="00ED691D" w:rsidP="00ED691D">
            <w:pPr>
              <w:spacing w:line="276" w:lineRule="auto"/>
              <w:rPr>
                <w:rFonts w:ascii="Calibri" w:eastAsia="Calibri" w:hAnsi="Calibri" w:cs="Calibri"/>
                <w:lang w:val="en-US"/>
              </w:rPr>
            </w:pPr>
          </w:p>
        </w:tc>
        <w:tc>
          <w:tcPr>
            <w:tcW w:w="1417" w:type="dxa"/>
          </w:tcPr>
          <w:p w14:paraId="09E5C4FD" w14:textId="77777777" w:rsidR="00ED691D" w:rsidRPr="00F14E6C" w:rsidRDefault="00ED691D" w:rsidP="00225144">
            <w:pPr>
              <w:spacing w:line="276" w:lineRule="auto"/>
              <w:jc w:val="center"/>
              <w:rPr>
                <w:rFonts w:ascii="Calibri" w:eastAsia="Calibri" w:hAnsi="Calibri" w:cs="Calibri"/>
                <w:lang w:val="en-US"/>
              </w:rPr>
            </w:pPr>
          </w:p>
        </w:tc>
      </w:tr>
      <w:tr w:rsidR="00ED691D" w:rsidRPr="00F14E6C" w14:paraId="7F5D1BA4" w14:textId="77777777" w:rsidTr="00BC4F57">
        <w:tc>
          <w:tcPr>
            <w:tcW w:w="0" w:type="auto"/>
          </w:tcPr>
          <w:p w14:paraId="3D8E8F2A"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Men</w:t>
            </w:r>
          </w:p>
        </w:tc>
        <w:tc>
          <w:tcPr>
            <w:tcW w:w="2029" w:type="dxa"/>
          </w:tcPr>
          <w:p w14:paraId="21170C1C" w14:textId="77777777" w:rsidR="00ED691D" w:rsidRPr="00F14E6C" w:rsidRDefault="00ED691D" w:rsidP="00ED691D">
            <w:pPr>
              <w:spacing w:line="276" w:lineRule="auto"/>
              <w:rPr>
                <w:rFonts w:ascii="Calibri" w:eastAsia="Calibri" w:hAnsi="Calibri" w:cs="Calibri"/>
                <w:lang w:val="en-US"/>
              </w:rPr>
            </w:pPr>
          </w:p>
        </w:tc>
        <w:tc>
          <w:tcPr>
            <w:tcW w:w="2268" w:type="dxa"/>
          </w:tcPr>
          <w:p w14:paraId="0C385D73" w14:textId="77777777" w:rsidR="00ED691D" w:rsidRPr="00F14E6C" w:rsidRDefault="00ED691D" w:rsidP="00ED691D">
            <w:pPr>
              <w:spacing w:line="276" w:lineRule="auto"/>
              <w:rPr>
                <w:rFonts w:ascii="Calibri" w:eastAsia="Calibri" w:hAnsi="Calibri" w:cs="Calibri"/>
                <w:lang w:val="en-US"/>
              </w:rPr>
            </w:pPr>
          </w:p>
        </w:tc>
        <w:tc>
          <w:tcPr>
            <w:tcW w:w="1417" w:type="dxa"/>
          </w:tcPr>
          <w:p w14:paraId="6965BEFF" w14:textId="77777777" w:rsidR="00ED691D" w:rsidRPr="00F14E6C" w:rsidRDefault="00ED691D" w:rsidP="00225144">
            <w:pPr>
              <w:spacing w:line="276" w:lineRule="auto"/>
              <w:jc w:val="center"/>
              <w:rPr>
                <w:rFonts w:ascii="Calibri" w:eastAsia="Calibri" w:hAnsi="Calibri" w:cs="Calibri"/>
                <w:lang w:val="en-US"/>
              </w:rPr>
            </w:pPr>
          </w:p>
        </w:tc>
      </w:tr>
      <w:tr w:rsidR="00ED691D" w:rsidRPr="00F14E6C" w14:paraId="6AD97470" w14:textId="77777777" w:rsidTr="00BC4F57">
        <w:tc>
          <w:tcPr>
            <w:tcW w:w="0" w:type="auto"/>
          </w:tcPr>
          <w:p w14:paraId="31FA6F12"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60</w:t>
            </w:r>
          </w:p>
        </w:tc>
        <w:tc>
          <w:tcPr>
            <w:tcW w:w="2029" w:type="dxa"/>
          </w:tcPr>
          <w:p w14:paraId="6F83CF31"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0.34 (0.31-0.38)</w:t>
            </w:r>
          </w:p>
        </w:tc>
        <w:tc>
          <w:tcPr>
            <w:tcW w:w="2268" w:type="dxa"/>
          </w:tcPr>
          <w:p w14:paraId="2EB079D9"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0.022 (0.018-0.027)</w:t>
            </w:r>
          </w:p>
        </w:tc>
        <w:tc>
          <w:tcPr>
            <w:tcW w:w="1417" w:type="dxa"/>
          </w:tcPr>
          <w:p w14:paraId="433F34CD"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15</w:t>
            </w:r>
          </w:p>
        </w:tc>
      </w:tr>
      <w:tr w:rsidR="00ED691D" w:rsidRPr="00F14E6C" w14:paraId="2741049C" w14:textId="77777777" w:rsidTr="00BC4F57">
        <w:tc>
          <w:tcPr>
            <w:tcW w:w="0" w:type="auto"/>
          </w:tcPr>
          <w:p w14:paraId="3354CFF8"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70</w:t>
            </w:r>
          </w:p>
        </w:tc>
        <w:tc>
          <w:tcPr>
            <w:tcW w:w="2029" w:type="dxa"/>
          </w:tcPr>
          <w:p w14:paraId="57BB2A7E"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0.35 (0.31-0.39)</w:t>
            </w:r>
          </w:p>
        </w:tc>
        <w:tc>
          <w:tcPr>
            <w:tcW w:w="2268" w:type="dxa"/>
          </w:tcPr>
          <w:p w14:paraId="425A15F7"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0.056 (0.050-0.062)</w:t>
            </w:r>
          </w:p>
        </w:tc>
        <w:tc>
          <w:tcPr>
            <w:tcW w:w="1417" w:type="dxa"/>
          </w:tcPr>
          <w:p w14:paraId="150977AE"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6</w:t>
            </w:r>
          </w:p>
        </w:tc>
      </w:tr>
      <w:tr w:rsidR="00ED691D" w:rsidRPr="00F14E6C" w14:paraId="4EFBF64B" w14:textId="77777777" w:rsidTr="00BC4F57">
        <w:tc>
          <w:tcPr>
            <w:tcW w:w="0" w:type="auto"/>
          </w:tcPr>
          <w:p w14:paraId="045AA992"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80</w:t>
            </w:r>
          </w:p>
        </w:tc>
        <w:tc>
          <w:tcPr>
            <w:tcW w:w="2029" w:type="dxa"/>
          </w:tcPr>
          <w:p w14:paraId="2527F1CD"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0.31 (0.27-0.34)</w:t>
            </w:r>
          </w:p>
        </w:tc>
        <w:tc>
          <w:tcPr>
            <w:tcW w:w="2268" w:type="dxa"/>
          </w:tcPr>
          <w:p w14:paraId="0873FBF3"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0.091 (0.079-0.10)</w:t>
            </w:r>
          </w:p>
        </w:tc>
        <w:tc>
          <w:tcPr>
            <w:tcW w:w="1417" w:type="dxa"/>
          </w:tcPr>
          <w:p w14:paraId="64954EC6"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4</w:t>
            </w:r>
          </w:p>
        </w:tc>
      </w:tr>
      <w:tr w:rsidR="00ED691D" w:rsidRPr="00F14E6C" w14:paraId="74399B43" w14:textId="77777777" w:rsidTr="00BC4F57">
        <w:tc>
          <w:tcPr>
            <w:tcW w:w="0" w:type="auto"/>
          </w:tcPr>
          <w:p w14:paraId="33247875"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90</w:t>
            </w:r>
          </w:p>
        </w:tc>
        <w:tc>
          <w:tcPr>
            <w:tcW w:w="2029" w:type="dxa"/>
          </w:tcPr>
          <w:p w14:paraId="192DF8D9"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0.25 (0.20-0.31)</w:t>
            </w:r>
          </w:p>
        </w:tc>
        <w:tc>
          <w:tcPr>
            <w:tcW w:w="2268" w:type="dxa"/>
          </w:tcPr>
          <w:p w14:paraId="13B0563B"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0.12 (0.11-0.14)</w:t>
            </w:r>
          </w:p>
        </w:tc>
        <w:tc>
          <w:tcPr>
            <w:tcW w:w="1417" w:type="dxa"/>
          </w:tcPr>
          <w:p w14:paraId="6EE8CE27"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2</w:t>
            </w:r>
          </w:p>
        </w:tc>
      </w:tr>
      <w:tr w:rsidR="00ED691D" w:rsidRPr="00F14E6C" w14:paraId="5BD1D203" w14:textId="77777777" w:rsidTr="00BC4F57">
        <w:tc>
          <w:tcPr>
            <w:tcW w:w="0" w:type="auto"/>
          </w:tcPr>
          <w:p w14:paraId="61064529"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Women</w:t>
            </w:r>
          </w:p>
        </w:tc>
        <w:tc>
          <w:tcPr>
            <w:tcW w:w="2029" w:type="dxa"/>
          </w:tcPr>
          <w:p w14:paraId="48981E6B" w14:textId="77777777" w:rsidR="00ED691D" w:rsidRPr="00F14E6C" w:rsidRDefault="00ED691D" w:rsidP="00ED691D">
            <w:pPr>
              <w:spacing w:line="276" w:lineRule="auto"/>
              <w:rPr>
                <w:rFonts w:ascii="Calibri" w:eastAsia="Calibri" w:hAnsi="Calibri" w:cs="Calibri"/>
                <w:lang w:val="en-US"/>
              </w:rPr>
            </w:pPr>
          </w:p>
        </w:tc>
        <w:tc>
          <w:tcPr>
            <w:tcW w:w="2268" w:type="dxa"/>
          </w:tcPr>
          <w:p w14:paraId="0ED3D7A0" w14:textId="77777777" w:rsidR="00ED691D" w:rsidRPr="00F14E6C" w:rsidRDefault="00ED691D" w:rsidP="00ED691D">
            <w:pPr>
              <w:spacing w:line="276" w:lineRule="auto"/>
              <w:rPr>
                <w:rFonts w:ascii="Calibri" w:eastAsia="Calibri" w:hAnsi="Calibri" w:cs="Calibri"/>
                <w:lang w:val="en-US"/>
              </w:rPr>
            </w:pPr>
          </w:p>
        </w:tc>
        <w:tc>
          <w:tcPr>
            <w:tcW w:w="1417" w:type="dxa"/>
          </w:tcPr>
          <w:p w14:paraId="7003C60D" w14:textId="77777777" w:rsidR="00ED691D" w:rsidRPr="00F14E6C" w:rsidRDefault="00ED691D" w:rsidP="00225144">
            <w:pPr>
              <w:spacing w:line="276" w:lineRule="auto"/>
              <w:jc w:val="center"/>
              <w:rPr>
                <w:rFonts w:ascii="Calibri" w:eastAsia="Calibri" w:hAnsi="Calibri" w:cs="Calibri"/>
                <w:lang w:val="en-US"/>
              </w:rPr>
            </w:pPr>
          </w:p>
        </w:tc>
      </w:tr>
      <w:tr w:rsidR="00ED691D" w:rsidRPr="00F14E6C" w14:paraId="466F3A08" w14:textId="77777777" w:rsidTr="00BC4F57">
        <w:tc>
          <w:tcPr>
            <w:tcW w:w="0" w:type="auto"/>
          </w:tcPr>
          <w:p w14:paraId="1B72AF82"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60</w:t>
            </w:r>
          </w:p>
        </w:tc>
        <w:tc>
          <w:tcPr>
            <w:tcW w:w="2029" w:type="dxa"/>
          </w:tcPr>
          <w:p w14:paraId="19C3CFB7"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0.35 (0.32-0.37)</w:t>
            </w:r>
          </w:p>
        </w:tc>
        <w:tc>
          <w:tcPr>
            <w:tcW w:w="2268" w:type="dxa"/>
          </w:tcPr>
          <w:p w14:paraId="08046FE2"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0.047 (0.043-0.051)</w:t>
            </w:r>
          </w:p>
        </w:tc>
        <w:tc>
          <w:tcPr>
            <w:tcW w:w="1417" w:type="dxa"/>
          </w:tcPr>
          <w:p w14:paraId="2D44E0C2"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7</w:t>
            </w:r>
          </w:p>
        </w:tc>
      </w:tr>
      <w:tr w:rsidR="00ED691D" w:rsidRPr="00F14E6C" w14:paraId="3D0752D2" w14:textId="77777777" w:rsidTr="00BC4F57">
        <w:tc>
          <w:tcPr>
            <w:tcW w:w="0" w:type="auto"/>
          </w:tcPr>
          <w:p w14:paraId="341230A7"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70</w:t>
            </w:r>
          </w:p>
        </w:tc>
        <w:tc>
          <w:tcPr>
            <w:tcW w:w="2029" w:type="dxa"/>
          </w:tcPr>
          <w:p w14:paraId="38E15827"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rPr>
              <w:t>0.35 (0.31-0.38)</w:t>
            </w:r>
          </w:p>
        </w:tc>
        <w:tc>
          <w:tcPr>
            <w:tcW w:w="2268" w:type="dxa"/>
          </w:tcPr>
          <w:p w14:paraId="37FF8FB5"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0.081 (0.075-0.087)</w:t>
            </w:r>
          </w:p>
        </w:tc>
        <w:tc>
          <w:tcPr>
            <w:tcW w:w="1417" w:type="dxa"/>
          </w:tcPr>
          <w:p w14:paraId="6238EDCA"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7</w:t>
            </w:r>
          </w:p>
        </w:tc>
      </w:tr>
      <w:tr w:rsidR="00ED691D" w:rsidRPr="00F14E6C" w14:paraId="3FE1A590" w14:textId="77777777" w:rsidTr="00BC4F57">
        <w:tc>
          <w:tcPr>
            <w:tcW w:w="0" w:type="auto"/>
          </w:tcPr>
          <w:p w14:paraId="5D012677"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lastRenderedPageBreak/>
              <w:t>80</w:t>
            </w:r>
          </w:p>
        </w:tc>
        <w:tc>
          <w:tcPr>
            <w:tcW w:w="2029" w:type="dxa"/>
          </w:tcPr>
          <w:p w14:paraId="102D9DD1"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0.31 (0.29-0.33)</w:t>
            </w:r>
          </w:p>
        </w:tc>
        <w:tc>
          <w:tcPr>
            <w:tcW w:w="2268" w:type="dxa"/>
          </w:tcPr>
          <w:p w14:paraId="410C14B2"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0.12 (0.10-0.13)</w:t>
            </w:r>
          </w:p>
        </w:tc>
        <w:tc>
          <w:tcPr>
            <w:tcW w:w="1417" w:type="dxa"/>
          </w:tcPr>
          <w:p w14:paraId="0782CC3B"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3</w:t>
            </w:r>
          </w:p>
        </w:tc>
      </w:tr>
      <w:tr w:rsidR="00ED691D" w:rsidRPr="00F14E6C" w14:paraId="3C03E265" w14:textId="77777777" w:rsidTr="00BC4F57">
        <w:tc>
          <w:tcPr>
            <w:tcW w:w="0" w:type="auto"/>
          </w:tcPr>
          <w:p w14:paraId="4E994CA5"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90</w:t>
            </w:r>
          </w:p>
        </w:tc>
        <w:tc>
          <w:tcPr>
            <w:tcW w:w="2029" w:type="dxa"/>
          </w:tcPr>
          <w:p w14:paraId="6A1E2CC8"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0.25 (0.21-0.30)</w:t>
            </w:r>
          </w:p>
        </w:tc>
        <w:tc>
          <w:tcPr>
            <w:tcW w:w="2268" w:type="dxa"/>
          </w:tcPr>
          <w:p w14:paraId="22A8E281" w14:textId="77777777" w:rsidR="00ED691D" w:rsidRPr="00F14E6C" w:rsidRDefault="00ED691D" w:rsidP="00ED691D">
            <w:pPr>
              <w:spacing w:line="276" w:lineRule="auto"/>
              <w:rPr>
                <w:rFonts w:ascii="Calibri" w:eastAsia="Calibri" w:hAnsi="Calibri" w:cs="Calibri"/>
                <w:lang w:val="en-US"/>
              </w:rPr>
            </w:pPr>
            <w:r w:rsidRPr="00F14E6C">
              <w:rPr>
                <w:rFonts w:ascii="Calibri" w:eastAsia="Calibri" w:hAnsi="Calibri" w:cs="Calibri"/>
                <w:lang w:val="en-US"/>
              </w:rPr>
              <w:t>0.15 (0.13-0.17)</w:t>
            </w:r>
          </w:p>
        </w:tc>
        <w:tc>
          <w:tcPr>
            <w:tcW w:w="1417" w:type="dxa"/>
          </w:tcPr>
          <w:p w14:paraId="44062D47" w14:textId="77777777" w:rsidR="00ED691D" w:rsidRPr="00F14E6C" w:rsidRDefault="00ED691D" w:rsidP="00225144">
            <w:pPr>
              <w:spacing w:line="276" w:lineRule="auto"/>
              <w:jc w:val="center"/>
              <w:rPr>
                <w:rFonts w:ascii="Calibri" w:eastAsia="Calibri" w:hAnsi="Calibri" w:cs="Calibri"/>
                <w:lang w:val="en-US"/>
              </w:rPr>
            </w:pPr>
            <w:r w:rsidRPr="00F14E6C">
              <w:rPr>
                <w:rFonts w:ascii="Calibri" w:eastAsia="Calibri" w:hAnsi="Calibri" w:cs="Calibri"/>
                <w:lang w:val="en-US"/>
              </w:rPr>
              <w:t>2</w:t>
            </w:r>
          </w:p>
        </w:tc>
      </w:tr>
    </w:tbl>
    <w:p w14:paraId="7C112237" w14:textId="5DFC3164" w:rsidR="0018249A" w:rsidRPr="00F14E6C" w:rsidRDefault="00225144" w:rsidP="00225144">
      <w:pPr>
        <w:spacing w:after="200" w:line="276" w:lineRule="auto"/>
        <w:rPr>
          <w:rFonts w:ascii="Calibri" w:eastAsia="MS Mincho" w:hAnsi="Calibri" w:cs="Times New Roman"/>
          <w:lang w:val="en-US"/>
        </w:rPr>
      </w:pPr>
      <w:r w:rsidRPr="00F14E6C">
        <w:rPr>
          <w:rFonts w:ascii="Calibri" w:eastAsia="MS Mincho" w:hAnsi="Calibri" w:cs="Times New Roman"/>
          <w:vertAlign w:val="superscript"/>
          <w:lang w:val="en-US"/>
        </w:rPr>
        <w:t>a</w:t>
      </w:r>
      <w:r w:rsidRPr="00F14E6C">
        <w:rPr>
          <w:rFonts w:ascii="Calibri" w:eastAsia="MS Mincho" w:hAnsi="Calibri" w:cs="Times New Roman"/>
          <w:lang w:val="en-US"/>
        </w:rPr>
        <w:t>Ratios between utility loss for whole cohort and the cohorts with sentinel fracture</w:t>
      </w:r>
    </w:p>
    <w:p w14:paraId="19B9AA42" w14:textId="77777777" w:rsidR="00F14E6C" w:rsidRDefault="00F14E6C" w:rsidP="007F5A2B">
      <w:pPr>
        <w:rPr>
          <w:rFonts w:ascii="Calibri" w:eastAsia="MS Mincho" w:hAnsi="Calibri" w:cs="AdvTimes"/>
          <w:b/>
          <w:iCs/>
        </w:rPr>
      </w:pPr>
    </w:p>
    <w:p w14:paraId="6A1E572F" w14:textId="69B9D8A9" w:rsidR="00821B32" w:rsidRPr="00F14E6C" w:rsidRDefault="003800DC" w:rsidP="007F5A2B">
      <w:pPr>
        <w:rPr>
          <w:rFonts w:ascii="Calibri" w:eastAsia="MS Mincho" w:hAnsi="Calibri" w:cs="AdvTimes"/>
          <w:b/>
          <w:iCs/>
        </w:rPr>
      </w:pPr>
      <w:r w:rsidRPr="00F14E6C">
        <w:rPr>
          <w:rFonts w:ascii="Calibri" w:eastAsia="MS Mincho" w:hAnsi="Calibri" w:cs="AdvTimes"/>
          <w:b/>
          <w:iCs/>
        </w:rPr>
        <w:t xml:space="preserve">Discussion </w:t>
      </w:r>
    </w:p>
    <w:p w14:paraId="71C5096D" w14:textId="72A41978" w:rsidR="00D123C1" w:rsidRPr="00F14E6C" w:rsidRDefault="00121F39" w:rsidP="007F5A2B">
      <w:pPr>
        <w:rPr>
          <w:rFonts w:ascii="Calibri" w:eastAsia="MS Mincho" w:hAnsi="Calibri" w:cs="AdvTimes"/>
          <w:iCs/>
        </w:rPr>
      </w:pPr>
      <w:r w:rsidRPr="00F14E6C">
        <w:rPr>
          <w:rFonts w:ascii="Calibri" w:eastAsia="MS Mincho" w:hAnsi="Calibri" w:cs="AdvTimes"/>
          <w:iCs/>
        </w:rPr>
        <w:t xml:space="preserve">It is well established that a fragility fracture increases the risk of a further fracture.  </w:t>
      </w:r>
      <w:r w:rsidR="004D710C" w:rsidRPr="00F14E6C">
        <w:rPr>
          <w:rFonts w:ascii="Calibri" w:eastAsia="MS Mincho" w:hAnsi="Calibri" w:cs="AdvTimes"/>
          <w:iCs/>
        </w:rPr>
        <w:t xml:space="preserve">This </w:t>
      </w:r>
      <w:r w:rsidR="006E36E8" w:rsidRPr="00F14E6C">
        <w:rPr>
          <w:rFonts w:ascii="Calibri" w:eastAsia="MS Mincho" w:hAnsi="Calibri" w:cs="AdvTimes"/>
          <w:iCs/>
        </w:rPr>
        <w:t>paper</w:t>
      </w:r>
      <w:r w:rsidR="00815F57" w:rsidRPr="00F14E6C">
        <w:rPr>
          <w:rFonts w:ascii="Calibri" w:eastAsia="MS Mincho" w:hAnsi="Calibri" w:cs="AdvTimes"/>
          <w:iCs/>
        </w:rPr>
        <w:t xml:space="preserve"> </w:t>
      </w:r>
      <w:r w:rsidR="004D710C" w:rsidRPr="00F14E6C">
        <w:rPr>
          <w:rFonts w:ascii="Calibri" w:eastAsia="MS Mincho" w:hAnsi="Calibri" w:cs="AdvTimes"/>
          <w:iCs/>
        </w:rPr>
        <w:t>outlines the</w:t>
      </w:r>
      <w:r w:rsidRPr="00F14E6C">
        <w:rPr>
          <w:rFonts w:ascii="Calibri" w:eastAsia="MS Mincho" w:hAnsi="Calibri" w:cs="AdvTimes"/>
          <w:iCs/>
        </w:rPr>
        <w:t xml:space="preserve"> temporal consequences of the 4 fracture sites that comprise major osteoporotic fractures, namely the hip, spine, forearm and humerus. The common finding is that the increased risk of subsequent fracture is not constant with time or age.</w:t>
      </w:r>
      <w:r w:rsidR="0014420B" w:rsidRPr="00F14E6C">
        <w:rPr>
          <w:rFonts w:ascii="Calibri" w:eastAsia="MS Mincho" w:hAnsi="Calibri" w:cs="AdvTimes"/>
          <w:iCs/>
        </w:rPr>
        <w:t xml:space="preserve"> </w:t>
      </w:r>
      <w:r w:rsidR="004F017F" w:rsidRPr="00F14E6C">
        <w:rPr>
          <w:rFonts w:ascii="Calibri" w:eastAsia="MS Mincho" w:hAnsi="Calibri" w:cs="AdvTimes"/>
          <w:iCs/>
        </w:rPr>
        <w:t>In the present study, 45 % of individuals</w:t>
      </w:r>
      <w:r w:rsidR="00007C79" w:rsidRPr="00F14E6C">
        <w:rPr>
          <w:rFonts w:ascii="Calibri" w:eastAsia="MS Mincho" w:hAnsi="Calibri" w:cs="AdvTimes"/>
          <w:iCs/>
        </w:rPr>
        <w:t xml:space="preserve"> who refractured did so</w:t>
      </w:r>
      <w:r w:rsidR="004F017F" w:rsidRPr="00F14E6C">
        <w:rPr>
          <w:rFonts w:ascii="Calibri" w:eastAsia="MS Mincho" w:hAnsi="Calibri" w:cs="AdvTimes"/>
          <w:iCs/>
        </w:rPr>
        <w:t xml:space="preserve"> within one year of </w:t>
      </w:r>
      <w:r w:rsidR="0011746A" w:rsidRPr="00F14E6C">
        <w:rPr>
          <w:rFonts w:ascii="Calibri" w:eastAsia="MS Mincho" w:hAnsi="Calibri" w:cs="AdvTimes"/>
          <w:iCs/>
        </w:rPr>
        <w:t>a</w:t>
      </w:r>
      <w:r w:rsidR="004F017F" w:rsidRPr="00F14E6C">
        <w:rPr>
          <w:rFonts w:ascii="Calibri" w:eastAsia="MS Mincho" w:hAnsi="Calibri" w:cs="AdvTimes"/>
          <w:iCs/>
        </w:rPr>
        <w:t xml:space="preserve"> sentinel hip fracture.  For spine, forearm and humeral fractures, the proportion was 42, 31 and 41 %, respectively.  </w:t>
      </w:r>
      <w:r w:rsidR="00D123C1" w:rsidRPr="00F14E6C">
        <w:rPr>
          <w:rFonts w:ascii="Calibri" w:eastAsia="MS Mincho" w:hAnsi="Calibri" w:cs="AdvTimes"/>
          <w:iCs/>
        </w:rPr>
        <w:t xml:space="preserve">Thus, the </w:t>
      </w:r>
      <w:r w:rsidR="00007C79" w:rsidRPr="00F14E6C">
        <w:rPr>
          <w:rFonts w:ascii="Calibri" w:eastAsia="MS Mincho" w:hAnsi="Calibri" w:cs="AdvTimes"/>
          <w:iCs/>
        </w:rPr>
        <w:t>one-year</w:t>
      </w:r>
      <w:r w:rsidR="00D123C1" w:rsidRPr="00F14E6C">
        <w:rPr>
          <w:rFonts w:ascii="Calibri" w:eastAsia="MS Mincho" w:hAnsi="Calibri" w:cs="AdvTimes"/>
          <w:iCs/>
        </w:rPr>
        <w:t xml:space="preserve"> period following a sentinel fracture represents </w:t>
      </w:r>
      <w:r w:rsidR="005F1AB5" w:rsidRPr="00F14E6C">
        <w:rPr>
          <w:rFonts w:ascii="Calibri" w:eastAsia="MS Mincho" w:hAnsi="Calibri" w:cs="AdvTimes"/>
          <w:iCs/>
        </w:rPr>
        <w:t>an inter</w:t>
      </w:r>
      <w:r w:rsidR="0031714E" w:rsidRPr="00F14E6C">
        <w:rPr>
          <w:rFonts w:ascii="Calibri" w:eastAsia="MS Mincho" w:hAnsi="Calibri" w:cs="AdvTimes"/>
          <w:iCs/>
        </w:rPr>
        <w:t>v</w:t>
      </w:r>
      <w:r w:rsidR="005F1AB5" w:rsidRPr="00F14E6C">
        <w:rPr>
          <w:rFonts w:ascii="Calibri" w:eastAsia="MS Mincho" w:hAnsi="Calibri" w:cs="AdvTimes"/>
          <w:iCs/>
        </w:rPr>
        <w:t>al</w:t>
      </w:r>
      <w:r w:rsidR="00D123C1" w:rsidRPr="00F14E6C">
        <w:rPr>
          <w:rFonts w:ascii="Calibri" w:eastAsia="MS Mincho" w:hAnsi="Calibri" w:cs="AdvTimes"/>
          <w:iCs/>
        </w:rPr>
        <w:t xml:space="preserve"> of very high risk for fracture that can be termed imminent risk.</w:t>
      </w:r>
      <w:r w:rsidR="0023003E" w:rsidRPr="00F14E6C">
        <w:rPr>
          <w:rFonts w:ascii="Calibri" w:eastAsia="MS Mincho" w:hAnsi="Calibri" w:cs="AdvTimes"/>
          <w:iCs/>
        </w:rPr>
        <w:t xml:space="preserve"> </w:t>
      </w:r>
      <w:r w:rsidR="00093EDC" w:rsidRPr="00F14E6C">
        <w:rPr>
          <w:rFonts w:ascii="Calibri" w:eastAsia="MS Mincho" w:hAnsi="Calibri" w:cs="AdvTimes"/>
          <w:iCs/>
        </w:rPr>
        <w:t xml:space="preserve"> </w:t>
      </w:r>
      <w:r w:rsidR="0023003E" w:rsidRPr="00F14E6C">
        <w:rPr>
          <w:rFonts w:ascii="Calibri" w:eastAsia="MS Mincho" w:hAnsi="Calibri" w:cs="AdvTimes"/>
          <w:iCs/>
        </w:rPr>
        <w:t xml:space="preserve">At 10 years, the risk had decreased to </w:t>
      </w:r>
      <w:r w:rsidR="00760A61" w:rsidRPr="00F14E6C">
        <w:rPr>
          <w:rFonts w:ascii="Calibri" w:eastAsia="MS Mincho" w:hAnsi="Calibri" w:cs="AdvTimes"/>
          <w:iCs/>
        </w:rPr>
        <w:t>values</w:t>
      </w:r>
      <w:r w:rsidR="0023003E" w:rsidRPr="00F14E6C">
        <w:rPr>
          <w:rFonts w:ascii="Calibri" w:eastAsia="MS Mincho" w:hAnsi="Calibri" w:cs="AdvTimes"/>
          <w:iCs/>
        </w:rPr>
        <w:t xml:space="preserve"> consistent with meta-analyses that did not include time since fracture </w:t>
      </w:r>
      <w:r w:rsidR="001007C9" w:rsidRPr="00F14E6C">
        <w:rPr>
          <w:rFonts w:ascii="Calibri" w:eastAsia="MS Mincho" w:hAnsi="Calibri" w:cs="AdvTimes"/>
          <w:iCs/>
        </w:rPr>
        <w:t>[1, 5]</w:t>
      </w:r>
      <w:r w:rsidR="00760A61" w:rsidRPr="00F14E6C">
        <w:rPr>
          <w:rFonts w:ascii="Calibri" w:eastAsia="MS Mincho" w:hAnsi="Calibri" w:cs="AdvTimes"/>
          <w:iCs/>
        </w:rPr>
        <w:t>.</w:t>
      </w:r>
    </w:p>
    <w:p w14:paraId="03D50995" w14:textId="0C4918F2" w:rsidR="005B3792" w:rsidRPr="00F14E6C" w:rsidRDefault="005B3792" w:rsidP="007F5A2B">
      <w:pPr>
        <w:rPr>
          <w:rFonts w:ascii="Calibri" w:eastAsia="MS Mincho" w:hAnsi="Calibri" w:cs="AdvTimes"/>
          <w:iCs/>
        </w:rPr>
      </w:pPr>
      <w:r w:rsidRPr="00F14E6C">
        <w:rPr>
          <w:rFonts w:ascii="Calibri" w:eastAsia="MS Mincho" w:hAnsi="Calibri" w:cs="AdvTimes"/>
          <w:iCs/>
        </w:rPr>
        <w:t>The waning effect on refracture risk after a sentinel fracture has implications for the assessment of fracture risk with FRAX.</w:t>
      </w:r>
      <w:r w:rsidR="009278FE" w:rsidRPr="00F14E6C">
        <w:rPr>
          <w:rFonts w:ascii="Calibri" w:eastAsia="MS Mincho" w:hAnsi="Calibri" w:cs="AdvTimes"/>
          <w:iCs/>
        </w:rPr>
        <w:t xml:space="preserve"> Whereas a prior fragility fracture (without knowledge of its date) confers a 1.5-2-fold increase in fracture probability, the present study </w:t>
      </w:r>
      <w:r w:rsidR="009543B3" w:rsidRPr="00F14E6C">
        <w:rPr>
          <w:rFonts w:ascii="Calibri" w:eastAsia="MS Mincho" w:hAnsi="Calibri" w:cs="AdvTimes"/>
          <w:iCs/>
        </w:rPr>
        <w:t>suggests</w:t>
      </w:r>
      <w:r w:rsidR="009278FE" w:rsidRPr="00F14E6C">
        <w:rPr>
          <w:rFonts w:ascii="Calibri" w:eastAsia="MS Mincho" w:hAnsi="Calibri" w:cs="AdvTimes"/>
          <w:iCs/>
        </w:rPr>
        <w:t xml:space="preserve"> that, in the presence of a recent fracture, 10-year probability is underestimated in many cases by more than two-fold.  </w:t>
      </w:r>
      <w:bookmarkStart w:id="27" w:name="_Hlk500079878"/>
      <w:r w:rsidR="00C3099B" w:rsidRPr="00F14E6C">
        <w:rPr>
          <w:rFonts w:ascii="Calibri" w:eastAsia="MS Mincho" w:hAnsi="Calibri" w:cs="AdvTimes"/>
          <w:iCs/>
        </w:rPr>
        <w:t xml:space="preserve">Thus, the recency of prior fracture, at least </w:t>
      </w:r>
      <w:r w:rsidR="007127D5" w:rsidRPr="00F14E6C">
        <w:rPr>
          <w:rFonts w:ascii="Calibri" w:eastAsia="MS Mincho" w:hAnsi="Calibri" w:cs="AdvTimes"/>
          <w:iCs/>
        </w:rPr>
        <w:t xml:space="preserve">for </w:t>
      </w:r>
      <w:r w:rsidR="00C3099B" w:rsidRPr="00F14E6C">
        <w:rPr>
          <w:rFonts w:ascii="Calibri" w:eastAsia="MS Mincho" w:hAnsi="Calibri" w:cs="AdvTimes"/>
          <w:iCs/>
        </w:rPr>
        <w:t>major osteoporotic fracture</w:t>
      </w:r>
      <w:r w:rsidR="007127D5" w:rsidRPr="00F14E6C">
        <w:rPr>
          <w:rFonts w:ascii="Calibri" w:eastAsia="MS Mincho" w:hAnsi="Calibri" w:cs="AdvTimes"/>
          <w:iCs/>
        </w:rPr>
        <w:t>s</w:t>
      </w:r>
      <w:r w:rsidR="00C3099B" w:rsidRPr="00F14E6C">
        <w:rPr>
          <w:rFonts w:ascii="Calibri" w:eastAsia="MS Mincho" w:hAnsi="Calibri" w:cs="AdvTimes"/>
          <w:iCs/>
        </w:rPr>
        <w:t xml:space="preserve">, </w:t>
      </w:r>
      <w:r w:rsidR="00487715">
        <w:rPr>
          <w:rFonts w:ascii="Calibri" w:eastAsia="MS Mincho" w:hAnsi="Calibri" w:cs="AdvTimes"/>
          <w:iCs/>
        </w:rPr>
        <w:t>may</w:t>
      </w:r>
      <w:r w:rsidR="00C3099B" w:rsidRPr="00F14E6C">
        <w:rPr>
          <w:rFonts w:ascii="Calibri" w:eastAsia="MS Mincho" w:hAnsi="Calibri" w:cs="AdvTimes"/>
          <w:iCs/>
        </w:rPr>
        <w:t xml:space="preserve"> </w:t>
      </w:r>
      <w:r w:rsidR="00CE4A91">
        <w:rPr>
          <w:rFonts w:ascii="Calibri" w:eastAsia="MS Mincho" w:hAnsi="Calibri" w:cs="AdvTimes"/>
          <w:iCs/>
        </w:rPr>
        <w:t>influence</w:t>
      </w:r>
      <w:r w:rsidR="00C3099B" w:rsidRPr="00F14E6C">
        <w:rPr>
          <w:rFonts w:ascii="Calibri" w:eastAsia="MS Mincho" w:hAnsi="Calibri" w:cs="AdvTimes"/>
          <w:iCs/>
        </w:rPr>
        <w:t xml:space="preserve"> the interpretation of FRAX</w:t>
      </w:r>
      <w:r w:rsidR="00487715">
        <w:rPr>
          <w:rFonts w:ascii="Calibri" w:eastAsia="MS Mincho" w:hAnsi="Calibri" w:cs="AdvTimes"/>
          <w:iCs/>
        </w:rPr>
        <w:t xml:space="preserve"> if the phenomenon is replicated in independent cohorts</w:t>
      </w:r>
      <w:r w:rsidR="00C3099B" w:rsidRPr="00F14E6C">
        <w:rPr>
          <w:rFonts w:ascii="Calibri" w:eastAsia="MS Mincho" w:hAnsi="Calibri" w:cs="AdvTimes"/>
          <w:iCs/>
        </w:rPr>
        <w:t>.</w:t>
      </w:r>
      <w:bookmarkEnd w:id="27"/>
      <w:r w:rsidR="009278FE" w:rsidRPr="00F14E6C">
        <w:rPr>
          <w:rFonts w:ascii="Calibri" w:eastAsia="MS Mincho" w:hAnsi="Calibri" w:cs="AdvTimes"/>
          <w:iCs/>
        </w:rPr>
        <w:t xml:space="preserve">  </w:t>
      </w:r>
    </w:p>
    <w:p w14:paraId="045BA0B8" w14:textId="4C763B97" w:rsidR="003800DC" w:rsidRPr="00F14E6C" w:rsidRDefault="007210F7" w:rsidP="003800DC">
      <w:pPr>
        <w:rPr>
          <w:rFonts w:ascii="Calibri" w:eastAsia="MS Mincho" w:hAnsi="Calibri" w:cs="AdvTimes"/>
          <w:iCs/>
        </w:rPr>
      </w:pPr>
      <w:r w:rsidRPr="00F14E6C">
        <w:rPr>
          <w:rFonts w:ascii="Calibri" w:eastAsia="MS Mincho" w:hAnsi="Calibri" w:cs="AdvTimes"/>
          <w:iCs/>
        </w:rPr>
        <w:t xml:space="preserve">The phenomenon of imminent risk has other consequences of clinical and economic significance. </w:t>
      </w:r>
      <w:r w:rsidR="00C3099B" w:rsidRPr="00F14E6C">
        <w:rPr>
          <w:rFonts w:ascii="Calibri" w:eastAsia="MS Mincho" w:hAnsi="Calibri" w:cs="AdvTimes"/>
          <w:iCs/>
        </w:rPr>
        <w:t>E</w:t>
      </w:r>
      <w:r w:rsidRPr="00F14E6C">
        <w:rPr>
          <w:rFonts w:ascii="Calibri" w:eastAsia="MS Mincho" w:hAnsi="Calibri" w:cs="AdvTimes"/>
          <w:iCs/>
        </w:rPr>
        <w:t xml:space="preserve">ach fracture contributes to a loss in quality of </w:t>
      </w:r>
      <w:r w:rsidR="00A2705D" w:rsidRPr="00F14E6C">
        <w:rPr>
          <w:rFonts w:ascii="Calibri" w:eastAsia="MS Mincho" w:hAnsi="Calibri" w:cs="AdvTimes"/>
          <w:iCs/>
        </w:rPr>
        <w:t>life</w:t>
      </w:r>
      <w:r w:rsidR="00441652" w:rsidRPr="00F14E6C">
        <w:rPr>
          <w:rFonts w:ascii="Calibri" w:eastAsia="MS Mincho" w:hAnsi="Calibri" w:cs="AdvTimes"/>
          <w:iCs/>
        </w:rPr>
        <w:t xml:space="preserve">.  </w:t>
      </w:r>
      <w:r w:rsidR="00A2705D" w:rsidRPr="00F14E6C">
        <w:rPr>
          <w:rFonts w:ascii="Calibri" w:eastAsia="MS Mincho" w:hAnsi="Calibri" w:cs="AdvTimes"/>
          <w:iCs/>
        </w:rPr>
        <w:t xml:space="preserve"> The</w:t>
      </w:r>
      <w:r w:rsidR="004E3081" w:rsidRPr="00F14E6C">
        <w:rPr>
          <w:rFonts w:ascii="Calibri" w:eastAsia="MS Mincho" w:hAnsi="Calibri" w:cs="AdvTimes"/>
          <w:iCs/>
        </w:rPr>
        <w:t xml:space="preserve"> present report has characterised the </w:t>
      </w:r>
      <w:r w:rsidR="00A2705D" w:rsidRPr="00F14E6C">
        <w:rPr>
          <w:rFonts w:ascii="Calibri" w:eastAsia="MS Mincho" w:hAnsi="Calibri" w:cs="AdvTimes"/>
          <w:iCs/>
        </w:rPr>
        <w:t>disutility incurred</w:t>
      </w:r>
      <w:r w:rsidR="004E3081" w:rsidRPr="00F14E6C">
        <w:rPr>
          <w:rFonts w:ascii="Calibri" w:eastAsia="MS Mincho" w:hAnsi="Calibri" w:cs="AdvTimes"/>
          <w:iCs/>
        </w:rPr>
        <w:t xml:space="preserve"> by fractures over 10 years which </w:t>
      </w:r>
      <w:r w:rsidR="00815F57" w:rsidRPr="00F14E6C">
        <w:rPr>
          <w:rFonts w:ascii="Calibri" w:eastAsia="MS Mincho" w:hAnsi="Calibri" w:cs="AdvTimes"/>
          <w:iCs/>
        </w:rPr>
        <w:t>is</w:t>
      </w:r>
      <w:r w:rsidR="004E3081" w:rsidRPr="00F14E6C">
        <w:rPr>
          <w:rFonts w:ascii="Calibri" w:eastAsia="MS Mincho" w:hAnsi="Calibri" w:cs="AdvTimes"/>
          <w:iCs/>
        </w:rPr>
        <w:t xml:space="preserve"> substantial particularly after hip and </w:t>
      </w:r>
      <w:r w:rsidR="004E3081" w:rsidRPr="00F14E6C">
        <w:rPr>
          <w:rFonts w:ascii="Calibri" w:eastAsia="MS Mincho" w:hAnsi="Calibri" w:cs="AdvTimes"/>
          <w:iCs/>
        </w:rPr>
        <w:lastRenderedPageBreak/>
        <w:t>spine fractures – but not inconsequential following a forearm or humeral fracture.</w:t>
      </w:r>
      <w:r w:rsidR="00441652" w:rsidRPr="00F14E6C">
        <w:rPr>
          <w:rFonts w:ascii="Calibri" w:eastAsia="MS Mincho" w:hAnsi="Calibri" w:cs="AdvTimes"/>
          <w:iCs/>
        </w:rPr>
        <w:t xml:space="preserve"> In the present analysis, the utility loss </w:t>
      </w:r>
      <w:r w:rsidR="00C3099B" w:rsidRPr="00F14E6C">
        <w:rPr>
          <w:rFonts w:ascii="Calibri" w:eastAsia="MS Mincho" w:hAnsi="Calibri" w:cs="AdvTimes"/>
          <w:iCs/>
        </w:rPr>
        <w:t>was</w:t>
      </w:r>
      <w:r w:rsidR="00441652" w:rsidRPr="00F14E6C">
        <w:rPr>
          <w:rFonts w:ascii="Calibri" w:eastAsia="MS Mincho" w:hAnsi="Calibri" w:cs="AdvTimes"/>
          <w:iCs/>
        </w:rPr>
        <w:t xml:space="preserve"> much greater in an individual with a sentinel fracture than in the </w:t>
      </w:r>
      <w:r w:rsidR="006652E0" w:rsidRPr="00F14E6C">
        <w:rPr>
          <w:rFonts w:ascii="Calibri" w:eastAsia="MS Mincho" w:hAnsi="Calibri" w:cs="AdvTimes"/>
          <w:iCs/>
        </w:rPr>
        <w:t>whole cohort</w:t>
      </w:r>
      <w:r w:rsidR="00441652" w:rsidRPr="00F14E6C">
        <w:rPr>
          <w:rFonts w:ascii="Calibri" w:eastAsia="MS Mincho" w:hAnsi="Calibri" w:cs="AdvTimes"/>
          <w:iCs/>
        </w:rPr>
        <w:t xml:space="preserve">. The difference became less with increasing age </w:t>
      </w:r>
      <w:r w:rsidR="007127D5" w:rsidRPr="00F14E6C">
        <w:rPr>
          <w:rFonts w:ascii="Calibri" w:eastAsia="MS Mincho" w:hAnsi="Calibri" w:cs="AdvTimes"/>
          <w:iCs/>
        </w:rPr>
        <w:t>or</w:t>
      </w:r>
      <w:r w:rsidR="00441652" w:rsidRPr="00F14E6C">
        <w:rPr>
          <w:rFonts w:ascii="Calibri" w:eastAsia="MS Mincho" w:hAnsi="Calibri" w:cs="AdvTimes"/>
          <w:iCs/>
        </w:rPr>
        <w:t xml:space="preserve"> longer follow up. The utility loss was higher for women than for men for both sentinel fractures and in the </w:t>
      </w:r>
      <w:r w:rsidR="003B5F77" w:rsidRPr="00F14E6C">
        <w:rPr>
          <w:rFonts w:ascii="Calibri" w:eastAsia="MS Mincho" w:hAnsi="Calibri" w:cs="AdvTimes"/>
          <w:iCs/>
        </w:rPr>
        <w:t>whole cohort</w:t>
      </w:r>
      <w:r w:rsidR="00371A79" w:rsidRPr="00F14E6C">
        <w:rPr>
          <w:rFonts w:ascii="Calibri" w:eastAsia="MS Mincho" w:hAnsi="Calibri" w:cs="AdvTimes"/>
          <w:iCs/>
        </w:rPr>
        <w:t>.</w:t>
      </w:r>
      <w:r w:rsidR="00215202" w:rsidRPr="00F14E6C">
        <w:rPr>
          <w:rFonts w:ascii="Calibri" w:eastAsia="MS Mincho" w:hAnsi="Calibri" w:cs="AdvTimes"/>
          <w:iCs/>
        </w:rPr>
        <w:t xml:space="preserve"> Note, however,</w:t>
      </w:r>
      <w:r w:rsidR="003800DC" w:rsidRPr="00F14E6C">
        <w:rPr>
          <w:rFonts w:ascii="Calibri" w:eastAsia="MS Mincho" w:hAnsi="Calibri" w:cs="AdvTimes"/>
          <w:iCs/>
        </w:rPr>
        <w:t xml:space="preserve"> that the utility loss in individuals with a sentinel fracture includes </w:t>
      </w:r>
      <w:bookmarkStart w:id="28" w:name="_Hlk480020832"/>
      <w:r w:rsidR="003800DC" w:rsidRPr="00F14E6C">
        <w:rPr>
          <w:rFonts w:ascii="Calibri" w:eastAsia="MS Mincho" w:hAnsi="Calibri" w:cs="AdvTimes"/>
          <w:iCs/>
        </w:rPr>
        <w:t xml:space="preserve">the losses due to the sentinel fracture itself </w:t>
      </w:r>
      <w:bookmarkEnd w:id="28"/>
      <w:r w:rsidR="003800DC" w:rsidRPr="00F14E6C">
        <w:rPr>
          <w:rFonts w:ascii="Calibri" w:eastAsia="MS Mincho" w:hAnsi="Calibri" w:cs="AdvTimes"/>
          <w:iCs/>
        </w:rPr>
        <w:t xml:space="preserve">which would not </w:t>
      </w:r>
      <w:r w:rsidR="00FE39DE" w:rsidRPr="00F14E6C">
        <w:rPr>
          <w:rFonts w:ascii="Calibri" w:eastAsia="MS Mincho" w:hAnsi="Calibri" w:cs="AdvTimes"/>
          <w:iCs/>
        </w:rPr>
        <w:t xml:space="preserve">generally </w:t>
      </w:r>
      <w:r w:rsidR="003800DC" w:rsidRPr="00F14E6C">
        <w:rPr>
          <w:rFonts w:ascii="Calibri" w:eastAsia="MS Mincho" w:hAnsi="Calibri" w:cs="AdvTimes"/>
          <w:iCs/>
        </w:rPr>
        <w:t>be avoidable following a therapeutic intervention. When these are excluded</w:t>
      </w:r>
      <w:r w:rsidR="00FD14DC" w:rsidRPr="00F14E6C">
        <w:rPr>
          <w:rFonts w:ascii="Calibri" w:eastAsia="MS Mincho" w:hAnsi="Calibri" w:cs="AdvTimes"/>
          <w:iCs/>
        </w:rPr>
        <w:t xml:space="preserve"> (data </w:t>
      </w:r>
      <w:r w:rsidR="00C3099B" w:rsidRPr="00F14E6C">
        <w:rPr>
          <w:rFonts w:ascii="Calibri" w:eastAsia="MS Mincho" w:hAnsi="Calibri" w:cs="AdvTimes"/>
          <w:iCs/>
        </w:rPr>
        <w:t>not shown</w:t>
      </w:r>
      <w:r w:rsidR="00441652" w:rsidRPr="00F14E6C">
        <w:rPr>
          <w:rFonts w:ascii="Calibri" w:eastAsia="MS Mincho" w:hAnsi="Calibri" w:cs="AdvTimes"/>
          <w:iCs/>
        </w:rPr>
        <w:t>)</w:t>
      </w:r>
      <w:r w:rsidR="003800DC" w:rsidRPr="00F14E6C">
        <w:rPr>
          <w:rFonts w:ascii="Calibri" w:eastAsia="MS Mincho" w:hAnsi="Calibri" w:cs="AdvTimes"/>
          <w:iCs/>
        </w:rPr>
        <w:t xml:space="preserve">, the </w:t>
      </w:r>
      <w:r w:rsidR="00C3099B" w:rsidRPr="00F14E6C">
        <w:rPr>
          <w:rFonts w:ascii="Calibri" w:eastAsia="MS Mincho" w:hAnsi="Calibri" w:cs="AdvTimes"/>
          <w:iCs/>
        </w:rPr>
        <w:t>cumulative loss of utility</w:t>
      </w:r>
      <w:r w:rsidR="003800DC" w:rsidRPr="00F14E6C">
        <w:rPr>
          <w:rFonts w:ascii="Calibri" w:eastAsia="MS Mincho" w:hAnsi="Calibri" w:cs="AdvTimes"/>
          <w:iCs/>
        </w:rPr>
        <w:t xml:space="preserve"> decreased, as expected, but remained significantly higher than </w:t>
      </w:r>
      <w:r w:rsidR="00C3099B" w:rsidRPr="00F14E6C">
        <w:rPr>
          <w:rFonts w:ascii="Calibri" w:eastAsia="MS Mincho" w:hAnsi="Calibri" w:cs="AdvTimes"/>
          <w:iCs/>
        </w:rPr>
        <w:t>that of the general population</w:t>
      </w:r>
      <w:r w:rsidR="003800DC" w:rsidRPr="00F14E6C">
        <w:rPr>
          <w:rFonts w:ascii="Calibri" w:eastAsia="MS Mincho" w:hAnsi="Calibri" w:cs="AdvTimes"/>
          <w:iCs/>
        </w:rPr>
        <w:t xml:space="preserve"> at the ages of 60-80 years. At older ages for men, the utility loss </w:t>
      </w:r>
      <w:r w:rsidR="007D4D24" w:rsidRPr="00F14E6C">
        <w:rPr>
          <w:rFonts w:ascii="Calibri" w:eastAsia="MS Mincho" w:hAnsi="Calibri" w:cs="AdvTimes"/>
          <w:iCs/>
        </w:rPr>
        <w:t xml:space="preserve">for hip, </w:t>
      </w:r>
      <w:r w:rsidR="003800DC" w:rsidRPr="00F14E6C">
        <w:rPr>
          <w:rFonts w:ascii="Calibri" w:eastAsia="MS Mincho" w:hAnsi="Calibri" w:cs="AdvTimes"/>
          <w:iCs/>
        </w:rPr>
        <w:t>vertebral</w:t>
      </w:r>
      <w:r w:rsidR="007D4D24" w:rsidRPr="00F14E6C">
        <w:rPr>
          <w:rFonts w:ascii="Calibri" w:eastAsia="MS Mincho" w:hAnsi="Calibri" w:cs="AdvTimes"/>
          <w:iCs/>
        </w:rPr>
        <w:t xml:space="preserve"> and humeral fracture</w:t>
      </w:r>
      <w:r w:rsidR="00EB6CC5" w:rsidRPr="00F14E6C">
        <w:rPr>
          <w:rFonts w:ascii="Calibri" w:eastAsia="MS Mincho" w:hAnsi="Calibri" w:cs="AdvTimes"/>
          <w:iCs/>
        </w:rPr>
        <w:t>s</w:t>
      </w:r>
      <w:r w:rsidR="007D4D24" w:rsidRPr="00F14E6C">
        <w:rPr>
          <w:rFonts w:ascii="Calibri" w:eastAsia="MS Mincho" w:hAnsi="Calibri" w:cs="AdvTimes"/>
          <w:iCs/>
        </w:rPr>
        <w:t xml:space="preserve"> </w:t>
      </w:r>
      <w:r w:rsidR="003800DC" w:rsidRPr="00F14E6C">
        <w:rPr>
          <w:rFonts w:ascii="Calibri" w:eastAsia="MS Mincho" w:hAnsi="Calibri" w:cs="AdvTimes"/>
          <w:iCs/>
        </w:rPr>
        <w:t xml:space="preserve">was less than that in the </w:t>
      </w:r>
      <w:r w:rsidR="00EB6CC5" w:rsidRPr="00F14E6C">
        <w:rPr>
          <w:rFonts w:ascii="Calibri" w:eastAsia="MS Mincho" w:hAnsi="Calibri" w:cs="AdvTimes"/>
          <w:iCs/>
        </w:rPr>
        <w:t>whole</w:t>
      </w:r>
      <w:r w:rsidR="003800DC" w:rsidRPr="00F14E6C">
        <w:rPr>
          <w:rFonts w:ascii="Calibri" w:eastAsia="MS Mincho" w:hAnsi="Calibri" w:cs="AdvTimes"/>
          <w:iCs/>
        </w:rPr>
        <w:t xml:space="preserve"> population, most probably</w:t>
      </w:r>
      <w:r w:rsidR="00EB6CC5" w:rsidRPr="00F14E6C">
        <w:rPr>
          <w:rFonts w:ascii="Calibri" w:eastAsia="MS Mincho" w:hAnsi="Calibri" w:cs="AdvTimes"/>
          <w:noProof/>
        </w:rPr>
        <w:t xml:space="preserve"> due</w:t>
      </w:r>
      <w:r w:rsidR="003800DC" w:rsidRPr="00F14E6C">
        <w:rPr>
          <w:rFonts w:ascii="Calibri" w:eastAsia="MS Mincho" w:hAnsi="Calibri" w:cs="AdvTimes"/>
          <w:iCs/>
        </w:rPr>
        <w:t xml:space="preserve"> to the high mortality which is not accounted for in this </w:t>
      </w:r>
      <w:r w:rsidR="00441652" w:rsidRPr="00F14E6C">
        <w:rPr>
          <w:rFonts w:ascii="Calibri" w:eastAsia="MS Mincho" w:hAnsi="Calibri" w:cs="AdvTimes"/>
          <w:iCs/>
        </w:rPr>
        <w:t>analysis.</w:t>
      </w:r>
      <w:r w:rsidR="00215202" w:rsidRPr="00F14E6C">
        <w:rPr>
          <w:rFonts w:ascii="Calibri" w:eastAsia="MS Mincho" w:hAnsi="Calibri" w:cs="AdvTimes"/>
          <w:iCs/>
        </w:rPr>
        <w:t xml:space="preserve"> It is also important to note that the utility losses do not include deaths which were increased after hip and spine fractures. Thus, the overall QALYs lost </w:t>
      </w:r>
      <w:r w:rsidR="00371A79" w:rsidRPr="00F14E6C">
        <w:rPr>
          <w:rFonts w:ascii="Calibri" w:eastAsia="MS Mincho" w:hAnsi="Calibri" w:cs="AdvTimes"/>
          <w:iCs/>
        </w:rPr>
        <w:t>are</w:t>
      </w:r>
      <w:r w:rsidR="00215202" w:rsidRPr="00F14E6C">
        <w:rPr>
          <w:rFonts w:ascii="Calibri" w:eastAsia="MS Mincho" w:hAnsi="Calibri" w:cs="AdvTimes"/>
          <w:iCs/>
        </w:rPr>
        <w:t xml:space="preserve"> underestimated</w:t>
      </w:r>
      <w:r w:rsidR="00C3099B" w:rsidRPr="00F14E6C">
        <w:rPr>
          <w:rFonts w:ascii="Calibri" w:eastAsia="MS Mincho" w:hAnsi="Calibri" w:cs="AdvTimes"/>
          <w:iCs/>
        </w:rPr>
        <w:t>.</w:t>
      </w:r>
    </w:p>
    <w:p w14:paraId="6BD46ACC" w14:textId="4EA0B1B8" w:rsidR="00C3099B" w:rsidRPr="00F14E6C" w:rsidRDefault="00C3099B" w:rsidP="00C3099B">
      <w:pPr>
        <w:rPr>
          <w:rFonts w:ascii="Calibri" w:eastAsia="MS Mincho" w:hAnsi="Calibri" w:cs="AdvTimes"/>
          <w:iCs/>
        </w:rPr>
      </w:pPr>
      <w:r w:rsidRPr="00F14E6C">
        <w:rPr>
          <w:rFonts w:ascii="Calibri" w:eastAsia="MS Mincho" w:hAnsi="Calibri" w:cs="AdvTimes"/>
          <w:iCs/>
        </w:rPr>
        <w:t xml:space="preserve">An increased risk immediately after fracture that subsequently wanes over time is now well established </w:t>
      </w:r>
      <w:r w:rsidR="001007C9" w:rsidRPr="00F14E6C">
        <w:rPr>
          <w:rFonts w:ascii="Calibri" w:eastAsia="MS Mincho" w:hAnsi="Calibri" w:cs="AdvTimes"/>
          <w:iCs/>
        </w:rPr>
        <w:t>[1, 6, 7, 10, 11, 12, 13]</w:t>
      </w:r>
      <w:r w:rsidRPr="00F14E6C">
        <w:rPr>
          <w:rFonts w:ascii="Calibri" w:eastAsia="MS Mincho" w:hAnsi="Calibri" w:cs="AdvTimes"/>
          <w:iCs/>
        </w:rPr>
        <w:t xml:space="preserve">.  This transiency suggests that treatment given to patients immediately after fracture might avoid a higher number of new fractures compared with treatment given some time later. This provides a rationale for very early intervention immediately after fractures to avoid recurrent fractures.  Such a strategy, consistent with the aims of fracture liaison services </w:t>
      </w:r>
      <w:r w:rsidR="001007C9" w:rsidRPr="00F14E6C">
        <w:rPr>
          <w:rFonts w:ascii="Calibri" w:eastAsia="MS Mincho" w:hAnsi="Calibri" w:cs="AdvTimes"/>
          <w:iCs/>
        </w:rPr>
        <w:t>[24]</w:t>
      </w:r>
      <w:r w:rsidRPr="00F14E6C">
        <w:rPr>
          <w:rFonts w:ascii="Calibri" w:eastAsia="MS Mincho" w:hAnsi="Calibri" w:cs="AdvTimes"/>
          <w:iCs/>
        </w:rPr>
        <w:t>, has important implications for public health and health economic analysis.  The present study, drawn from a large population sample, quantifies the risk over time for each major</w:t>
      </w:r>
      <w:r w:rsidR="00EB6CC5" w:rsidRPr="00F14E6C">
        <w:rPr>
          <w:rFonts w:ascii="Calibri" w:eastAsia="MS Mincho" w:hAnsi="Calibri" w:cs="AdvTimes"/>
          <w:iCs/>
        </w:rPr>
        <w:t xml:space="preserve"> osteoporotic</w:t>
      </w:r>
      <w:r w:rsidRPr="00F14E6C">
        <w:rPr>
          <w:rFonts w:ascii="Calibri" w:eastAsia="MS Mincho" w:hAnsi="Calibri" w:cs="AdvTimes"/>
          <w:iCs/>
        </w:rPr>
        <w:t xml:space="preserve"> fracture and will permit the population of future fracture-specific health economic models with fracture-specific scenarios.  The strategy of early intervention depends on the assumption that the immediate increment in risk is amenable to therapeutic intervention.  Many randomised studies have shown the early onset of effectiveness of pharmaceutical intervention for spine fractures and in some cases for appendicular fractures </w:t>
      </w:r>
      <w:r w:rsidR="001007C9" w:rsidRPr="00F14E6C">
        <w:rPr>
          <w:rFonts w:ascii="Calibri" w:eastAsia="MS Mincho" w:hAnsi="Calibri" w:cs="AdvTimes"/>
          <w:iCs/>
        </w:rPr>
        <w:t>[25]</w:t>
      </w:r>
      <w:r w:rsidRPr="00F14E6C">
        <w:rPr>
          <w:rFonts w:ascii="Calibri" w:eastAsia="MS Mincho" w:hAnsi="Calibri" w:cs="AdvTimes"/>
          <w:iCs/>
        </w:rPr>
        <w:t xml:space="preserve">.  Although early intervention at the time of </w:t>
      </w:r>
      <w:r w:rsidRPr="00F14E6C">
        <w:rPr>
          <w:rFonts w:ascii="Calibri" w:eastAsia="MS Mincho" w:hAnsi="Calibri" w:cs="AdvTimes"/>
          <w:iCs/>
        </w:rPr>
        <w:lastRenderedPageBreak/>
        <w:t xml:space="preserve">fracture has not been widely tested, the risk of </w:t>
      </w:r>
      <w:r w:rsidR="00EB6CC5" w:rsidRPr="00F14E6C">
        <w:rPr>
          <w:rFonts w:ascii="Calibri" w:eastAsia="MS Mincho" w:hAnsi="Calibri" w:cs="AdvTimes"/>
          <w:iCs/>
        </w:rPr>
        <w:t xml:space="preserve">a </w:t>
      </w:r>
      <w:r w:rsidRPr="00F14E6C">
        <w:rPr>
          <w:rFonts w:ascii="Calibri" w:eastAsia="MS Mincho" w:hAnsi="Calibri" w:cs="AdvTimes"/>
          <w:iCs/>
        </w:rPr>
        <w:t xml:space="preserve">clinical fracture has been shown to decrease by 35% when zoledronic acid </w:t>
      </w:r>
      <w:r w:rsidR="00EB6CC5" w:rsidRPr="00F14E6C">
        <w:rPr>
          <w:rFonts w:ascii="Calibri" w:eastAsia="MS Mincho" w:hAnsi="Calibri" w:cs="AdvTimes"/>
          <w:iCs/>
        </w:rPr>
        <w:t>wa</w:t>
      </w:r>
      <w:r w:rsidRPr="00F14E6C">
        <w:rPr>
          <w:rFonts w:ascii="Calibri" w:eastAsia="MS Mincho" w:hAnsi="Calibri" w:cs="AdvTimes"/>
          <w:iCs/>
        </w:rPr>
        <w:t xml:space="preserve">s given to patients very shortly after a sentinel hip fracture </w:t>
      </w:r>
      <w:r w:rsidR="001007C9" w:rsidRPr="00F14E6C">
        <w:rPr>
          <w:rFonts w:ascii="Calibri" w:eastAsia="MS Mincho" w:hAnsi="Calibri" w:cs="AdvTimes"/>
          <w:iCs/>
        </w:rPr>
        <w:t xml:space="preserve">[26], </w:t>
      </w:r>
      <w:r w:rsidRPr="00F14E6C">
        <w:rPr>
          <w:rFonts w:ascii="Calibri" w:eastAsia="MS Mincho" w:hAnsi="Calibri" w:cs="AdvTimes"/>
          <w:iCs/>
        </w:rPr>
        <w:t>suggesting that the assumption is sound.</w:t>
      </w:r>
    </w:p>
    <w:p w14:paraId="08C954FB" w14:textId="05FF2554" w:rsidR="00265F32" w:rsidRPr="00F14E6C" w:rsidRDefault="00930895" w:rsidP="00930895">
      <w:pPr>
        <w:rPr>
          <w:rFonts w:ascii="Calibri" w:eastAsia="MS Mincho" w:hAnsi="Calibri" w:cs="AdvTimes"/>
          <w:iCs/>
        </w:rPr>
      </w:pPr>
      <w:r w:rsidRPr="00F14E6C">
        <w:rPr>
          <w:rFonts w:ascii="Calibri" w:eastAsia="MS Mincho" w:hAnsi="Calibri" w:cs="AdvTimes"/>
          <w:iCs/>
        </w:rPr>
        <w:t>The reason for the transient marked increase in risk is not known, but immobilisation and impaired coordination are potential factors</w:t>
      </w:r>
      <w:r w:rsidR="001007C9" w:rsidRPr="00F14E6C">
        <w:rPr>
          <w:rFonts w:ascii="Calibri" w:eastAsia="MS Mincho" w:hAnsi="Calibri" w:cs="AdvTimes"/>
          <w:iCs/>
        </w:rPr>
        <w:t xml:space="preserve"> [27, </w:t>
      </w:r>
      <w:r w:rsidR="00F83EFF" w:rsidRPr="00F14E6C">
        <w:rPr>
          <w:rFonts w:ascii="Calibri" w:eastAsia="MS Mincho" w:hAnsi="Calibri" w:cs="AdvTimes"/>
          <w:iCs/>
        </w:rPr>
        <w:t>28, 29]</w:t>
      </w:r>
      <w:r w:rsidR="00762A2B" w:rsidRPr="00F14E6C">
        <w:rPr>
          <w:rFonts w:ascii="Calibri" w:eastAsia="MS Mincho" w:hAnsi="Calibri" w:cs="AdvTimes"/>
          <w:iCs/>
        </w:rPr>
        <w:t>.</w:t>
      </w:r>
      <w:r w:rsidR="00215202" w:rsidRPr="00F14E6C">
        <w:rPr>
          <w:rFonts w:ascii="Calibri" w:eastAsia="MS Mincho" w:hAnsi="Calibri" w:cs="AdvTimes"/>
          <w:iCs/>
        </w:rPr>
        <w:t xml:space="preserve"> </w:t>
      </w:r>
      <w:r w:rsidRPr="00F14E6C">
        <w:rPr>
          <w:rFonts w:ascii="Calibri" w:eastAsia="MS Mincho" w:hAnsi="Calibri" w:cs="AdvTimes"/>
          <w:iCs/>
        </w:rPr>
        <w:t>Indeed, a recent study of US claim databases identified fall-related fac</w:t>
      </w:r>
      <w:r w:rsidR="00DC0085" w:rsidRPr="00F14E6C">
        <w:rPr>
          <w:rFonts w:ascii="Calibri" w:eastAsia="MS Mincho" w:hAnsi="Calibri" w:cs="AdvTimes"/>
          <w:iCs/>
        </w:rPr>
        <w:t xml:space="preserve">tors such as age, poor mobility </w:t>
      </w:r>
      <w:r w:rsidRPr="00F14E6C">
        <w:rPr>
          <w:rFonts w:ascii="Calibri" w:eastAsia="MS Mincho" w:hAnsi="Calibri" w:cs="AdvTimes"/>
          <w:iCs/>
        </w:rPr>
        <w:t>neurological comorbidity and psychoactive medication</w:t>
      </w:r>
      <w:r w:rsidR="00DC0085" w:rsidRPr="00F14E6C">
        <w:rPr>
          <w:rFonts w:ascii="Calibri" w:eastAsia="MS Mincho" w:hAnsi="Calibri" w:cs="AdvTimes"/>
          <w:iCs/>
        </w:rPr>
        <w:t xml:space="preserve"> </w:t>
      </w:r>
      <w:r w:rsidRPr="00F14E6C">
        <w:rPr>
          <w:rFonts w:ascii="Calibri" w:eastAsia="MS Mincho" w:hAnsi="Calibri" w:cs="AdvTimes"/>
          <w:iCs/>
        </w:rPr>
        <w:t xml:space="preserve">use as associated with increased risk of first fracture over 12–24 months </w:t>
      </w:r>
      <w:r w:rsidR="00F83EFF" w:rsidRPr="00F14E6C">
        <w:rPr>
          <w:rFonts w:ascii="Calibri" w:eastAsia="MS Mincho" w:hAnsi="Calibri" w:cs="AdvTimes"/>
          <w:iCs/>
        </w:rPr>
        <w:t>[29]</w:t>
      </w:r>
      <w:r w:rsidRPr="00F14E6C">
        <w:rPr>
          <w:rFonts w:ascii="Calibri" w:eastAsia="MS Mincho" w:hAnsi="Calibri" w:cs="AdvTimes"/>
          <w:iCs/>
        </w:rPr>
        <w:t>.</w:t>
      </w:r>
    </w:p>
    <w:p w14:paraId="1EB829EE" w14:textId="7BD23AEC" w:rsidR="00DC0085" w:rsidRPr="00F14E6C" w:rsidRDefault="00EB6CC5" w:rsidP="00DC0085">
      <w:pPr>
        <w:rPr>
          <w:rFonts w:ascii="Calibri" w:eastAsia="MS Mincho" w:hAnsi="Calibri" w:cs="AdvTimes"/>
          <w:iCs/>
        </w:rPr>
      </w:pPr>
      <w:r w:rsidRPr="00F14E6C">
        <w:rPr>
          <w:rFonts w:ascii="Calibri" w:eastAsia="MS Mincho" w:hAnsi="Calibri" w:cs="AdvTimes"/>
          <w:iCs/>
        </w:rPr>
        <w:t>S</w:t>
      </w:r>
      <w:r w:rsidR="00DC0085" w:rsidRPr="00F14E6C">
        <w:rPr>
          <w:rFonts w:ascii="Calibri" w:eastAsia="MS Mincho" w:hAnsi="Calibri" w:cs="AdvTimes"/>
          <w:iCs/>
        </w:rPr>
        <w:t>trengths in this study was the random sampling</w:t>
      </w:r>
      <w:r w:rsidR="00762A2B" w:rsidRPr="00F14E6C">
        <w:rPr>
          <w:rFonts w:ascii="Calibri" w:eastAsia="MS Mincho" w:hAnsi="Calibri" w:cs="AdvTimes"/>
          <w:iCs/>
        </w:rPr>
        <w:t xml:space="preserve"> </w:t>
      </w:r>
      <w:r w:rsidR="00DC0085" w:rsidRPr="00F14E6C">
        <w:rPr>
          <w:rFonts w:ascii="Calibri" w:eastAsia="MS Mincho" w:hAnsi="Calibri" w:cs="AdvTimes"/>
          <w:iCs/>
        </w:rPr>
        <w:t>of a large population and the detail placed on fracture ascertainment</w:t>
      </w:r>
      <w:r w:rsidR="00762A2B" w:rsidRPr="00F14E6C">
        <w:rPr>
          <w:rFonts w:ascii="Calibri" w:eastAsia="MS Mincho" w:hAnsi="Calibri" w:cs="AdvTimes"/>
          <w:iCs/>
        </w:rPr>
        <w:t xml:space="preserve"> </w:t>
      </w:r>
      <w:r w:rsidR="00DC0085" w:rsidRPr="00F14E6C">
        <w:rPr>
          <w:rFonts w:ascii="Calibri" w:eastAsia="MS Mincho" w:hAnsi="Calibri" w:cs="AdvTimes"/>
          <w:iCs/>
        </w:rPr>
        <w:t xml:space="preserve">and the long duration of observation. </w:t>
      </w:r>
      <w:r w:rsidR="00762A2B" w:rsidRPr="00F14E6C">
        <w:rPr>
          <w:rFonts w:ascii="Calibri" w:eastAsia="MS Mincho" w:hAnsi="Calibri" w:cs="AdvTimes"/>
          <w:iCs/>
        </w:rPr>
        <w:t>P</w:t>
      </w:r>
      <w:r w:rsidR="00DC0085" w:rsidRPr="00F14E6C">
        <w:rPr>
          <w:rFonts w:ascii="Calibri" w:eastAsia="MS Mincho" w:hAnsi="Calibri" w:cs="AdvTimes"/>
          <w:iCs/>
        </w:rPr>
        <w:t>articipants</w:t>
      </w:r>
      <w:r w:rsidR="00762A2B" w:rsidRPr="00F14E6C">
        <w:rPr>
          <w:rFonts w:ascii="Calibri" w:eastAsia="MS Mincho" w:hAnsi="Calibri" w:cs="AdvTimes"/>
          <w:iCs/>
        </w:rPr>
        <w:t xml:space="preserve"> </w:t>
      </w:r>
      <w:r w:rsidR="00DC0085" w:rsidRPr="00F14E6C">
        <w:rPr>
          <w:rFonts w:ascii="Calibri" w:eastAsia="MS Mincho" w:hAnsi="Calibri" w:cs="AdvTimes"/>
          <w:iCs/>
        </w:rPr>
        <w:t>were identified from nationwide registers representing 34% of</w:t>
      </w:r>
      <w:r w:rsidR="00762A2B" w:rsidRPr="00F14E6C">
        <w:rPr>
          <w:rFonts w:ascii="Calibri" w:eastAsia="MS Mincho" w:hAnsi="Calibri" w:cs="AdvTimes"/>
          <w:iCs/>
        </w:rPr>
        <w:t xml:space="preserve"> </w:t>
      </w:r>
      <w:r w:rsidR="00DC0085" w:rsidRPr="00F14E6C">
        <w:rPr>
          <w:rFonts w:ascii="Calibri" w:eastAsia="MS Mincho" w:hAnsi="Calibri" w:cs="AdvTimes"/>
          <w:iCs/>
        </w:rPr>
        <w:t>the midlife Icelandic population born between 1907 and 1935</w:t>
      </w:r>
      <w:r w:rsidR="00762A2B" w:rsidRPr="00F14E6C">
        <w:rPr>
          <w:rFonts w:ascii="Calibri" w:eastAsia="MS Mincho" w:hAnsi="Calibri" w:cs="AdvTimes"/>
          <w:iCs/>
        </w:rPr>
        <w:t xml:space="preserve"> </w:t>
      </w:r>
      <w:r w:rsidR="00F83EFF" w:rsidRPr="00F14E6C">
        <w:rPr>
          <w:rFonts w:ascii="Calibri" w:eastAsia="MS Mincho" w:hAnsi="Calibri" w:cs="AdvTimes"/>
          <w:iCs/>
        </w:rPr>
        <w:t>[30, 31]</w:t>
      </w:r>
      <w:r w:rsidR="00762A2B" w:rsidRPr="00F14E6C">
        <w:rPr>
          <w:rFonts w:ascii="Calibri" w:eastAsia="MS Mincho" w:hAnsi="Calibri" w:cs="AdvTimes"/>
          <w:iCs/>
        </w:rPr>
        <w:t xml:space="preserve">, so that </w:t>
      </w:r>
      <w:r w:rsidR="003D79B1" w:rsidRPr="00F14E6C">
        <w:rPr>
          <w:rFonts w:ascii="Calibri" w:eastAsia="MS Mincho" w:hAnsi="Calibri" w:cs="AdvTimes"/>
          <w:iCs/>
        </w:rPr>
        <w:t xml:space="preserve">major </w:t>
      </w:r>
      <w:r w:rsidR="00DC0085" w:rsidRPr="00F14E6C">
        <w:rPr>
          <w:rFonts w:ascii="Calibri" w:eastAsia="MS Mincho" w:hAnsi="Calibri" w:cs="AdvTimes"/>
          <w:iCs/>
        </w:rPr>
        <w:t xml:space="preserve">selection bias </w:t>
      </w:r>
      <w:r w:rsidR="003D79B1" w:rsidRPr="00F14E6C">
        <w:rPr>
          <w:rFonts w:ascii="Calibri" w:eastAsia="MS Mincho" w:hAnsi="Calibri" w:cs="AdvTimes"/>
          <w:iCs/>
        </w:rPr>
        <w:t>is</w:t>
      </w:r>
      <w:r w:rsidR="00DC0085" w:rsidRPr="00F14E6C">
        <w:rPr>
          <w:rFonts w:ascii="Calibri" w:eastAsia="MS Mincho" w:hAnsi="Calibri" w:cs="AdvTimes"/>
          <w:iCs/>
        </w:rPr>
        <w:t xml:space="preserve"> unlikely. </w:t>
      </w:r>
      <w:r w:rsidR="00762A2B" w:rsidRPr="00F14E6C">
        <w:rPr>
          <w:rFonts w:ascii="Calibri" w:eastAsia="MS Mincho" w:hAnsi="Calibri" w:cs="AdvTimes"/>
          <w:iCs/>
        </w:rPr>
        <w:t xml:space="preserve"> </w:t>
      </w:r>
      <w:r w:rsidR="00DC0085" w:rsidRPr="00F14E6C">
        <w:rPr>
          <w:rFonts w:ascii="Calibri" w:eastAsia="MS Mincho" w:hAnsi="Calibri" w:cs="AdvTimes"/>
          <w:iCs/>
        </w:rPr>
        <w:t>However, there were</w:t>
      </w:r>
      <w:r w:rsidR="00762A2B" w:rsidRPr="00F14E6C">
        <w:rPr>
          <w:rFonts w:ascii="Calibri" w:eastAsia="MS Mincho" w:hAnsi="Calibri" w:cs="AdvTimes"/>
          <w:iCs/>
        </w:rPr>
        <w:t xml:space="preserve"> also,</w:t>
      </w:r>
      <w:r w:rsidR="00DC0085" w:rsidRPr="00F14E6C">
        <w:rPr>
          <w:rFonts w:ascii="Calibri" w:eastAsia="MS Mincho" w:hAnsi="Calibri" w:cs="AdvTimes"/>
          <w:iCs/>
        </w:rPr>
        <w:t xml:space="preserve"> some limitations to this study. First, the </w:t>
      </w:r>
      <w:r w:rsidR="00FE1774" w:rsidRPr="00F14E6C">
        <w:rPr>
          <w:rFonts w:ascii="Calibri" w:eastAsia="MS Mincho" w:hAnsi="Calibri" w:cs="AdvTimes"/>
          <w:iCs/>
        </w:rPr>
        <w:t xml:space="preserve">validity of </w:t>
      </w:r>
      <w:r w:rsidR="00DC0085" w:rsidRPr="00F14E6C">
        <w:rPr>
          <w:rFonts w:ascii="Calibri" w:eastAsia="MS Mincho" w:hAnsi="Calibri" w:cs="AdvTimes"/>
          <w:iCs/>
        </w:rPr>
        <w:t>fracture ascertainment</w:t>
      </w:r>
      <w:r w:rsidR="00762A2B" w:rsidRPr="00F14E6C">
        <w:rPr>
          <w:rFonts w:ascii="Calibri" w:eastAsia="MS Mincho" w:hAnsi="Calibri" w:cs="AdvTimes"/>
          <w:iCs/>
        </w:rPr>
        <w:t xml:space="preserve"> </w:t>
      </w:r>
      <w:r w:rsidR="00DC0085" w:rsidRPr="00F14E6C">
        <w:rPr>
          <w:rFonts w:ascii="Calibri" w:eastAsia="MS Mincho" w:hAnsi="Calibri" w:cs="AdvTimes"/>
          <w:iCs/>
        </w:rPr>
        <w:t>was collected retrospectively but was based on all available</w:t>
      </w:r>
      <w:r w:rsidR="00762A2B" w:rsidRPr="00F14E6C">
        <w:rPr>
          <w:rFonts w:ascii="Calibri" w:eastAsia="MS Mincho" w:hAnsi="Calibri" w:cs="AdvTimes"/>
          <w:iCs/>
        </w:rPr>
        <w:t xml:space="preserve"> </w:t>
      </w:r>
      <w:r w:rsidR="00DC0085" w:rsidRPr="00F14E6C">
        <w:rPr>
          <w:rFonts w:ascii="Calibri" w:eastAsia="MS Mincho" w:hAnsi="Calibri" w:cs="AdvTimes"/>
          <w:iCs/>
        </w:rPr>
        <w:t>records and X-rays from the main hospitals in Iceland.</w:t>
      </w:r>
      <w:r w:rsidR="00762A2B" w:rsidRPr="00F14E6C">
        <w:rPr>
          <w:rFonts w:ascii="Calibri" w:eastAsia="MS Mincho" w:hAnsi="Calibri" w:cs="AdvTimes"/>
          <w:iCs/>
        </w:rPr>
        <w:t xml:space="preserve"> </w:t>
      </w:r>
      <w:r w:rsidR="00FE39DE" w:rsidRPr="00F14E6C">
        <w:rPr>
          <w:rFonts w:ascii="Calibri" w:eastAsia="MS Mincho" w:hAnsi="Calibri" w:cs="AdvTimes"/>
          <w:iCs/>
        </w:rPr>
        <w:t xml:space="preserve">Although the accuracy of the acquisition of hip, clinical spine and forearm fractures is high (&gt;97 %) </w:t>
      </w:r>
      <w:r w:rsidR="00F83EFF" w:rsidRPr="00F14E6C">
        <w:rPr>
          <w:rFonts w:ascii="Calibri" w:eastAsia="MS Mincho" w:hAnsi="Calibri" w:cs="AdvTimes"/>
          <w:iCs/>
        </w:rPr>
        <w:t>[14]</w:t>
      </w:r>
      <w:r w:rsidR="00FE39DE" w:rsidRPr="00F14E6C">
        <w:rPr>
          <w:rFonts w:ascii="Calibri" w:eastAsia="MS Mincho" w:hAnsi="Calibri" w:cs="AdvTimes"/>
          <w:iCs/>
        </w:rPr>
        <w:t xml:space="preserve">, </w:t>
      </w:r>
      <w:bookmarkStart w:id="29" w:name="_Hlk500081359"/>
      <w:r w:rsidRPr="00F14E6C">
        <w:rPr>
          <w:rFonts w:ascii="Calibri" w:eastAsia="MS Mincho" w:hAnsi="Calibri" w:cs="AdvTimes"/>
          <w:iCs/>
        </w:rPr>
        <w:t>the accuracy</w:t>
      </w:r>
      <w:r w:rsidR="00FE39DE" w:rsidRPr="00F14E6C">
        <w:rPr>
          <w:rFonts w:ascii="Calibri" w:eastAsia="MS Mincho" w:hAnsi="Calibri" w:cs="AdvTimes"/>
          <w:iCs/>
        </w:rPr>
        <w:t xml:space="preserve"> for other fracture sites has not been determined.</w:t>
      </w:r>
      <w:bookmarkEnd w:id="29"/>
      <w:r w:rsidR="00FE39DE" w:rsidRPr="00F14E6C">
        <w:rPr>
          <w:rFonts w:ascii="Calibri" w:eastAsia="MS Mincho" w:hAnsi="Calibri" w:cs="AdvTimes"/>
          <w:iCs/>
        </w:rPr>
        <w:t xml:space="preserve">  </w:t>
      </w:r>
      <w:r w:rsidR="00DC0085" w:rsidRPr="00F14E6C">
        <w:rPr>
          <w:rFonts w:ascii="Calibri" w:eastAsia="MS Mincho" w:hAnsi="Calibri" w:cs="AdvTimes"/>
          <w:iCs/>
        </w:rPr>
        <w:t>Second, there are known to be substantial differences in age</w:t>
      </w:r>
      <w:r w:rsidR="00762A2B" w:rsidRPr="00F14E6C">
        <w:rPr>
          <w:rFonts w:ascii="Calibri" w:eastAsia="MS Mincho" w:hAnsi="Calibri" w:cs="AdvTimes"/>
          <w:iCs/>
        </w:rPr>
        <w:t xml:space="preserve"> </w:t>
      </w:r>
      <w:r w:rsidR="00DC0085" w:rsidRPr="00F14E6C">
        <w:rPr>
          <w:rFonts w:ascii="Calibri" w:eastAsia="MS Mincho" w:hAnsi="Calibri" w:cs="AdvTimes"/>
          <w:iCs/>
        </w:rPr>
        <w:t>and</w:t>
      </w:r>
      <w:r w:rsidR="00762A2B" w:rsidRPr="00F14E6C">
        <w:rPr>
          <w:rFonts w:ascii="Calibri" w:eastAsia="MS Mincho" w:hAnsi="Calibri" w:cs="AdvTimes"/>
          <w:iCs/>
        </w:rPr>
        <w:t xml:space="preserve"> </w:t>
      </w:r>
      <w:r w:rsidR="00DC0085" w:rsidRPr="00F14E6C">
        <w:rPr>
          <w:rFonts w:ascii="Calibri" w:eastAsia="MS Mincho" w:hAnsi="Calibri" w:cs="AdvTimes"/>
          <w:iCs/>
        </w:rPr>
        <w:t xml:space="preserve">sex-specific fracture incidence </w:t>
      </w:r>
      <w:r w:rsidR="00760A61" w:rsidRPr="00F14E6C">
        <w:rPr>
          <w:rFonts w:ascii="Calibri" w:eastAsia="MS Mincho" w:hAnsi="Calibri" w:cs="AdvTimes"/>
          <w:iCs/>
        </w:rPr>
        <w:t xml:space="preserve">in different regions of the world </w:t>
      </w:r>
      <w:r w:rsidR="00F83EFF" w:rsidRPr="00F14E6C">
        <w:rPr>
          <w:rFonts w:ascii="Calibri" w:eastAsia="MS Mincho" w:hAnsi="Calibri" w:cs="AdvTimes"/>
          <w:iCs/>
        </w:rPr>
        <w:t>[32]</w:t>
      </w:r>
      <w:r w:rsidR="00DC0085" w:rsidRPr="00F14E6C">
        <w:rPr>
          <w:rFonts w:ascii="Calibri" w:eastAsia="MS Mincho" w:hAnsi="Calibri" w:cs="AdvTimes"/>
          <w:iCs/>
        </w:rPr>
        <w:t xml:space="preserve">. </w:t>
      </w:r>
      <w:r w:rsidR="00760A61" w:rsidRPr="00F14E6C">
        <w:rPr>
          <w:rFonts w:ascii="Calibri" w:eastAsia="MS Mincho" w:hAnsi="Calibri" w:cs="AdvTimes"/>
          <w:iCs/>
        </w:rPr>
        <w:t xml:space="preserve"> </w:t>
      </w:r>
      <w:r w:rsidR="00DC0085" w:rsidRPr="00F14E6C">
        <w:rPr>
          <w:rFonts w:ascii="Calibri" w:eastAsia="MS Mincho" w:hAnsi="Calibri" w:cs="AdvTimes"/>
          <w:iCs/>
        </w:rPr>
        <w:t>Although</w:t>
      </w:r>
      <w:r w:rsidR="00762A2B" w:rsidRPr="00F14E6C">
        <w:rPr>
          <w:rFonts w:ascii="Calibri" w:eastAsia="MS Mincho" w:hAnsi="Calibri" w:cs="AdvTimes"/>
          <w:iCs/>
        </w:rPr>
        <w:t xml:space="preserve"> </w:t>
      </w:r>
      <w:r w:rsidR="00DC0085" w:rsidRPr="00F14E6C">
        <w:rPr>
          <w:rFonts w:ascii="Calibri" w:eastAsia="MS Mincho" w:hAnsi="Calibri" w:cs="AdvTimes"/>
          <w:iCs/>
        </w:rPr>
        <w:t>the absolute incidence values we observed may not be representative</w:t>
      </w:r>
      <w:r w:rsidR="00762A2B" w:rsidRPr="00F14E6C">
        <w:rPr>
          <w:rFonts w:ascii="Calibri" w:eastAsia="MS Mincho" w:hAnsi="Calibri" w:cs="AdvTimes"/>
          <w:iCs/>
        </w:rPr>
        <w:t xml:space="preserve"> </w:t>
      </w:r>
      <w:r w:rsidR="00DC0085" w:rsidRPr="00F14E6C">
        <w:rPr>
          <w:rFonts w:ascii="Calibri" w:eastAsia="MS Mincho" w:hAnsi="Calibri" w:cs="AdvTimes"/>
          <w:iCs/>
        </w:rPr>
        <w:t>of other populations, there is no reason to suppose</w:t>
      </w:r>
      <w:r w:rsidR="00762A2B" w:rsidRPr="00F14E6C">
        <w:rPr>
          <w:rFonts w:ascii="Calibri" w:eastAsia="MS Mincho" w:hAnsi="Calibri" w:cs="AdvTimes"/>
          <w:iCs/>
        </w:rPr>
        <w:t xml:space="preserve"> </w:t>
      </w:r>
      <w:r w:rsidR="00DC0085" w:rsidRPr="00F14E6C">
        <w:rPr>
          <w:rFonts w:ascii="Calibri" w:eastAsia="MS Mincho" w:hAnsi="Calibri" w:cs="AdvTimes"/>
          <w:iCs/>
        </w:rPr>
        <w:t>that there would be difference</w:t>
      </w:r>
      <w:r w:rsidR="00762A2B" w:rsidRPr="00F14E6C">
        <w:rPr>
          <w:rFonts w:ascii="Calibri" w:eastAsia="MS Mincho" w:hAnsi="Calibri" w:cs="AdvTimes"/>
          <w:iCs/>
        </w:rPr>
        <w:t>s</w:t>
      </w:r>
      <w:r w:rsidR="00DC0085" w:rsidRPr="00F14E6C">
        <w:rPr>
          <w:rFonts w:ascii="Calibri" w:eastAsia="MS Mincho" w:hAnsi="Calibri" w:cs="AdvTimes"/>
          <w:iCs/>
        </w:rPr>
        <w:t xml:space="preserve"> in the </w:t>
      </w:r>
      <w:r w:rsidR="00762A2B" w:rsidRPr="00F14E6C">
        <w:rPr>
          <w:rFonts w:ascii="Calibri" w:eastAsia="MS Mincho" w:hAnsi="Calibri" w:cs="AdvTimes"/>
          <w:iCs/>
        </w:rPr>
        <w:t xml:space="preserve">hazard ratios with time. </w:t>
      </w:r>
      <w:r w:rsidR="00DC0085" w:rsidRPr="00F14E6C">
        <w:rPr>
          <w:rFonts w:ascii="Calibri" w:eastAsia="MS Mincho" w:hAnsi="Calibri" w:cs="AdvTimes"/>
          <w:iCs/>
        </w:rPr>
        <w:t>Third, radiographically</w:t>
      </w:r>
      <w:r w:rsidR="00762A2B" w:rsidRPr="00F14E6C">
        <w:rPr>
          <w:rFonts w:ascii="Calibri" w:eastAsia="MS Mincho" w:hAnsi="Calibri" w:cs="AdvTimes"/>
          <w:iCs/>
        </w:rPr>
        <w:t xml:space="preserve"> </w:t>
      </w:r>
      <w:r w:rsidR="00DC0085" w:rsidRPr="00F14E6C">
        <w:rPr>
          <w:rFonts w:ascii="Calibri" w:eastAsia="MS Mincho" w:hAnsi="Calibri" w:cs="AdvTimes"/>
          <w:iCs/>
        </w:rPr>
        <w:t>defined vertebral fractures</w:t>
      </w:r>
      <w:r w:rsidRPr="00F14E6C">
        <w:rPr>
          <w:rFonts w:ascii="Calibri" w:eastAsia="MS Mincho" w:hAnsi="Calibri" w:cs="AdvTimes"/>
          <w:iCs/>
        </w:rPr>
        <w:t xml:space="preserve"> were not included</w:t>
      </w:r>
      <w:r w:rsidR="00DC0085" w:rsidRPr="00F14E6C">
        <w:rPr>
          <w:rFonts w:ascii="Calibri" w:eastAsia="MS Mincho" w:hAnsi="Calibri" w:cs="AdvTimes"/>
          <w:iCs/>
        </w:rPr>
        <w:t>. This would have increased</w:t>
      </w:r>
      <w:r w:rsidR="00762A2B" w:rsidRPr="00F14E6C">
        <w:rPr>
          <w:rFonts w:ascii="Calibri" w:eastAsia="MS Mincho" w:hAnsi="Calibri" w:cs="AdvTimes"/>
          <w:iCs/>
        </w:rPr>
        <w:t xml:space="preserve"> </w:t>
      </w:r>
      <w:r w:rsidR="00DC0085" w:rsidRPr="00F14E6C">
        <w:rPr>
          <w:rFonts w:ascii="Calibri" w:eastAsia="MS Mincho" w:hAnsi="Calibri" w:cs="AdvTimes"/>
          <w:iCs/>
        </w:rPr>
        <w:t>the rates, but we aimed to assess clinical fractures, and temporal</w:t>
      </w:r>
      <w:r w:rsidR="00762A2B" w:rsidRPr="00F14E6C">
        <w:rPr>
          <w:rFonts w:ascii="Calibri" w:eastAsia="MS Mincho" w:hAnsi="Calibri" w:cs="AdvTimes"/>
          <w:iCs/>
        </w:rPr>
        <w:t xml:space="preserve"> </w:t>
      </w:r>
      <w:r w:rsidR="00DC0085" w:rsidRPr="00F14E6C">
        <w:rPr>
          <w:rFonts w:ascii="Calibri" w:eastAsia="MS Mincho" w:hAnsi="Calibri" w:cs="AdvTimes"/>
          <w:iCs/>
        </w:rPr>
        <w:t>evaluation of radiographic vertebral fractures would</w:t>
      </w:r>
      <w:r w:rsidR="00762A2B" w:rsidRPr="00F14E6C">
        <w:rPr>
          <w:rFonts w:ascii="Calibri" w:eastAsia="MS Mincho" w:hAnsi="Calibri" w:cs="AdvTimes"/>
          <w:iCs/>
        </w:rPr>
        <w:t xml:space="preserve"> </w:t>
      </w:r>
      <w:r w:rsidR="00DC0085" w:rsidRPr="00F14E6C">
        <w:rPr>
          <w:rFonts w:ascii="Calibri" w:eastAsia="MS Mincho" w:hAnsi="Calibri" w:cs="AdvTimes"/>
          <w:iCs/>
        </w:rPr>
        <w:t>have required multiple sequential radiographs. Fourth, as with</w:t>
      </w:r>
      <w:r w:rsidR="00762A2B" w:rsidRPr="00F14E6C">
        <w:rPr>
          <w:rFonts w:ascii="Calibri" w:eastAsia="MS Mincho" w:hAnsi="Calibri" w:cs="AdvTimes"/>
          <w:iCs/>
        </w:rPr>
        <w:t xml:space="preserve"> </w:t>
      </w:r>
      <w:r w:rsidR="00DC0085" w:rsidRPr="00F14E6C">
        <w:rPr>
          <w:rFonts w:ascii="Calibri" w:eastAsia="MS Mincho" w:hAnsi="Calibri" w:cs="AdvTimes"/>
          <w:iCs/>
        </w:rPr>
        <w:t>all such studies, the possibility of under-ascertainment and</w:t>
      </w:r>
      <w:r w:rsidR="00762A2B" w:rsidRPr="00F14E6C">
        <w:rPr>
          <w:rFonts w:ascii="Calibri" w:eastAsia="MS Mincho" w:hAnsi="Calibri" w:cs="AdvTimes"/>
          <w:iCs/>
        </w:rPr>
        <w:t xml:space="preserve"> </w:t>
      </w:r>
      <w:r w:rsidR="00DC0085" w:rsidRPr="00F14E6C">
        <w:rPr>
          <w:rFonts w:ascii="Calibri" w:eastAsia="MS Mincho" w:hAnsi="Calibri" w:cs="AdvTimes"/>
          <w:iCs/>
        </w:rPr>
        <w:t>misclassification exists, but as both capture and classification</w:t>
      </w:r>
      <w:r w:rsidR="00762A2B" w:rsidRPr="00F14E6C">
        <w:rPr>
          <w:rFonts w:ascii="Calibri" w:eastAsia="MS Mincho" w:hAnsi="Calibri" w:cs="AdvTimes"/>
          <w:iCs/>
        </w:rPr>
        <w:t xml:space="preserve"> </w:t>
      </w:r>
      <w:r w:rsidR="00DC0085" w:rsidRPr="00F14E6C">
        <w:rPr>
          <w:rFonts w:ascii="Calibri" w:eastAsia="MS Mincho" w:hAnsi="Calibri" w:cs="AdvTimes"/>
          <w:iCs/>
        </w:rPr>
        <w:t xml:space="preserve">of </w:t>
      </w:r>
      <w:r w:rsidR="00D82D1C" w:rsidRPr="00F14E6C">
        <w:rPr>
          <w:rFonts w:ascii="Calibri" w:eastAsia="MS Mincho" w:hAnsi="Calibri" w:cs="AdvTimes"/>
          <w:iCs/>
        </w:rPr>
        <w:t>several</w:t>
      </w:r>
      <w:r w:rsidR="00FE39DE" w:rsidRPr="00F14E6C">
        <w:rPr>
          <w:rFonts w:ascii="Calibri" w:eastAsia="MS Mincho" w:hAnsi="Calibri" w:cs="AdvTimes"/>
          <w:iCs/>
        </w:rPr>
        <w:t xml:space="preserve"> </w:t>
      </w:r>
      <w:r w:rsidR="00DC0085" w:rsidRPr="00F14E6C">
        <w:rPr>
          <w:rFonts w:ascii="Calibri" w:eastAsia="MS Mincho" w:hAnsi="Calibri" w:cs="AdvTimes"/>
          <w:iCs/>
        </w:rPr>
        <w:t>fractures have been shown to be highly reliable in this</w:t>
      </w:r>
      <w:r w:rsidR="00762A2B" w:rsidRPr="00F14E6C">
        <w:rPr>
          <w:rFonts w:ascii="Calibri" w:eastAsia="MS Mincho" w:hAnsi="Calibri" w:cs="AdvTimes"/>
          <w:iCs/>
        </w:rPr>
        <w:t xml:space="preserve"> </w:t>
      </w:r>
      <w:r w:rsidR="00DC0085" w:rsidRPr="00F14E6C">
        <w:rPr>
          <w:rFonts w:ascii="Calibri" w:eastAsia="MS Mincho" w:hAnsi="Calibri" w:cs="AdvTimes"/>
          <w:iCs/>
        </w:rPr>
        <w:t>cohort</w:t>
      </w:r>
      <w:r w:rsidR="00334DC0" w:rsidRPr="00F14E6C">
        <w:rPr>
          <w:rFonts w:ascii="Calibri" w:eastAsia="MS Mincho" w:hAnsi="Calibri" w:cs="AdvTimes"/>
          <w:iCs/>
        </w:rPr>
        <w:t xml:space="preserve"> </w:t>
      </w:r>
      <w:r w:rsidR="00F83EFF" w:rsidRPr="00F14E6C">
        <w:rPr>
          <w:rFonts w:ascii="Calibri" w:eastAsia="MS Mincho" w:hAnsi="Calibri" w:cs="AdvTimes"/>
          <w:iCs/>
        </w:rPr>
        <w:t>[14]</w:t>
      </w:r>
      <w:r w:rsidR="001E7821" w:rsidRPr="00F14E6C">
        <w:rPr>
          <w:rFonts w:ascii="Calibri" w:eastAsia="MS Mincho" w:hAnsi="Calibri" w:cs="AdvTimes"/>
          <w:iCs/>
        </w:rPr>
        <w:t>, it</w:t>
      </w:r>
      <w:r w:rsidR="00DC0085" w:rsidRPr="00F14E6C">
        <w:rPr>
          <w:rFonts w:ascii="Calibri" w:eastAsia="MS Mincho" w:hAnsi="Calibri" w:cs="AdvTimes"/>
          <w:iCs/>
        </w:rPr>
        <w:t xml:space="preserve"> is unlikely that this would alter the results</w:t>
      </w:r>
      <w:r w:rsidR="00762A2B" w:rsidRPr="00F14E6C">
        <w:rPr>
          <w:rFonts w:ascii="Calibri" w:eastAsia="MS Mincho" w:hAnsi="Calibri" w:cs="AdvTimes"/>
          <w:iCs/>
        </w:rPr>
        <w:t xml:space="preserve"> </w:t>
      </w:r>
      <w:r w:rsidR="00DC0085" w:rsidRPr="00F14E6C">
        <w:rPr>
          <w:rFonts w:ascii="Calibri" w:eastAsia="MS Mincho" w:hAnsi="Calibri" w:cs="AdvTimes"/>
          <w:iCs/>
        </w:rPr>
        <w:t>materially</w:t>
      </w:r>
      <w:bookmarkStart w:id="30" w:name="_Hlk500082565"/>
      <w:r w:rsidR="00DC0085" w:rsidRPr="00F14E6C">
        <w:rPr>
          <w:rFonts w:ascii="Calibri" w:eastAsia="MS Mincho" w:hAnsi="Calibri" w:cs="AdvTimes"/>
          <w:iCs/>
        </w:rPr>
        <w:t>.</w:t>
      </w:r>
      <w:r w:rsidR="00FC4B2C">
        <w:rPr>
          <w:rFonts w:ascii="Calibri" w:eastAsia="MS Mincho" w:hAnsi="Calibri" w:cs="AdvTimes"/>
          <w:iCs/>
        </w:rPr>
        <w:t xml:space="preserve">  Finally, health state </w:t>
      </w:r>
      <w:r w:rsidR="00FC4B2C">
        <w:rPr>
          <w:rFonts w:ascii="Calibri" w:eastAsia="MS Mincho" w:hAnsi="Calibri" w:cs="AdvTimes"/>
          <w:iCs/>
        </w:rPr>
        <w:lastRenderedPageBreak/>
        <w:t xml:space="preserve">values and utility losses were necessarily </w:t>
      </w:r>
      <w:bookmarkStart w:id="31" w:name="_Hlk500683532"/>
      <w:r w:rsidR="00FC4B2C">
        <w:rPr>
          <w:rFonts w:ascii="Calibri" w:eastAsia="MS Mincho" w:hAnsi="Calibri" w:cs="AdvTimes"/>
          <w:iCs/>
        </w:rPr>
        <w:t>derived from data</w:t>
      </w:r>
      <w:r w:rsidR="00AE6CDE">
        <w:rPr>
          <w:rFonts w:ascii="Calibri" w:eastAsia="MS Mincho" w:hAnsi="Calibri" w:cs="AdvTimes"/>
          <w:iCs/>
        </w:rPr>
        <w:t xml:space="preserve"> not</w:t>
      </w:r>
      <w:r w:rsidR="00FC4B2C">
        <w:rPr>
          <w:rFonts w:ascii="Calibri" w:eastAsia="MS Mincho" w:hAnsi="Calibri" w:cs="AdvTimes"/>
          <w:iCs/>
        </w:rPr>
        <w:t xml:space="preserve"> derived </w:t>
      </w:r>
      <w:r w:rsidR="00AE6CDE">
        <w:rPr>
          <w:rFonts w:ascii="Calibri" w:eastAsia="MS Mincho" w:hAnsi="Calibri" w:cs="AdvTimes"/>
          <w:iCs/>
        </w:rPr>
        <w:t>in</w:t>
      </w:r>
      <w:r w:rsidR="00FC4B2C">
        <w:rPr>
          <w:rFonts w:ascii="Calibri" w:eastAsia="MS Mincho" w:hAnsi="Calibri" w:cs="AdvTimes"/>
          <w:iCs/>
        </w:rPr>
        <w:t xml:space="preserve"> Iceland.</w:t>
      </w:r>
      <w:bookmarkEnd w:id="30"/>
      <w:bookmarkEnd w:id="31"/>
    </w:p>
    <w:p w14:paraId="0A24CEDB" w14:textId="59FFDF85" w:rsidR="00DC0085" w:rsidRPr="00F14E6C" w:rsidRDefault="00DC0085" w:rsidP="00DC0085">
      <w:pPr>
        <w:rPr>
          <w:rFonts w:ascii="Calibri" w:eastAsia="MS Mincho" w:hAnsi="Calibri" w:cs="AdvTimes"/>
          <w:iCs/>
        </w:rPr>
      </w:pPr>
      <w:r w:rsidRPr="00F14E6C">
        <w:rPr>
          <w:rFonts w:ascii="Calibri" w:eastAsia="MS Mincho" w:hAnsi="Calibri" w:cs="AdvTimes"/>
          <w:iCs/>
        </w:rPr>
        <w:t xml:space="preserve">A problem that potentially confounds most </w:t>
      </w:r>
      <w:r w:rsidR="00066F06" w:rsidRPr="00F14E6C">
        <w:rPr>
          <w:rFonts w:ascii="Calibri" w:eastAsia="MS Mincho" w:hAnsi="Calibri" w:cs="AdvTimes"/>
          <w:iCs/>
        </w:rPr>
        <w:t>long-term</w:t>
      </w:r>
      <w:r w:rsidR="00762A2B" w:rsidRPr="00F14E6C">
        <w:rPr>
          <w:rFonts w:ascii="Calibri" w:eastAsia="MS Mincho" w:hAnsi="Calibri" w:cs="AdvTimes"/>
          <w:iCs/>
        </w:rPr>
        <w:t xml:space="preserve"> </w:t>
      </w:r>
      <w:r w:rsidRPr="00F14E6C">
        <w:rPr>
          <w:rFonts w:ascii="Calibri" w:eastAsia="MS Mincho" w:hAnsi="Calibri" w:cs="AdvTimes"/>
          <w:iCs/>
        </w:rPr>
        <w:t>studies of incident</w:t>
      </w:r>
      <w:r w:rsidR="00762A2B" w:rsidRPr="00F14E6C">
        <w:rPr>
          <w:rFonts w:ascii="Calibri" w:eastAsia="MS Mincho" w:hAnsi="Calibri" w:cs="AdvTimes"/>
          <w:iCs/>
        </w:rPr>
        <w:t xml:space="preserve"> </w:t>
      </w:r>
      <w:r w:rsidRPr="00F14E6C">
        <w:rPr>
          <w:rFonts w:ascii="Calibri" w:eastAsia="MS Mincho" w:hAnsi="Calibri" w:cs="AdvTimes"/>
          <w:iCs/>
        </w:rPr>
        <w:t>fractures is the risk of double counting, and this can be of</w:t>
      </w:r>
      <w:r w:rsidR="00066F06" w:rsidRPr="00F14E6C">
        <w:rPr>
          <w:rFonts w:ascii="Calibri" w:eastAsia="MS Mincho" w:hAnsi="Calibri" w:cs="AdvTimes"/>
          <w:iCs/>
        </w:rPr>
        <w:t xml:space="preserve"> </w:t>
      </w:r>
      <w:r w:rsidRPr="00F14E6C">
        <w:rPr>
          <w:rFonts w:ascii="Calibri" w:eastAsia="MS Mincho" w:hAnsi="Calibri" w:cs="AdvTimes"/>
          <w:iCs/>
        </w:rPr>
        <w:t>major relevance in studies examining rates of re-fracture within</w:t>
      </w:r>
      <w:r w:rsidR="00066F06" w:rsidRPr="00F14E6C">
        <w:rPr>
          <w:rFonts w:ascii="Calibri" w:eastAsia="MS Mincho" w:hAnsi="Calibri" w:cs="AdvTimes"/>
          <w:iCs/>
        </w:rPr>
        <w:t xml:space="preserve"> </w:t>
      </w:r>
      <w:r w:rsidRPr="00F14E6C">
        <w:rPr>
          <w:rFonts w:ascii="Calibri" w:eastAsia="MS Mincho" w:hAnsi="Calibri" w:cs="AdvTimes"/>
          <w:iCs/>
        </w:rPr>
        <w:t>short timeframes. This is particularly problematic for vertebral</w:t>
      </w:r>
      <w:r w:rsidR="00066F06" w:rsidRPr="00F14E6C">
        <w:rPr>
          <w:rFonts w:ascii="Calibri" w:eastAsia="MS Mincho" w:hAnsi="Calibri" w:cs="AdvTimes"/>
          <w:iCs/>
        </w:rPr>
        <w:t xml:space="preserve"> </w:t>
      </w:r>
      <w:r w:rsidRPr="00F14E6C">
        <w:rPr>
          <w:rFonts w:ascii="Calibri" w:eastAsia="MS Mincho" w:hAnsi="Calibri" w:cs="AdvTimes"/>
          <w:iCs/>
        </w:rPr>
        <w:t>fractures since the diagnosis is confirmed by radiography</w:t>
      </w:r>
      <w:r w:rsidR="00066F06" w:rsidRPr="00F14E6C">
        <w:rPr>
          <w:rFonts w:ascii="Calibri" w:eastAsia="MS Mincho" w:hAnsi="Calibri" w:cs="AdvTimes"/>
          <w:iCs/>
        </w:rPr>
        <w:t xml:space="preserve"> </w:t>
      </w:r>
      <w:r w:rsidRPr="00F14E6C">
        <w:rPr>
          <w:rFonts w:ascii="Calibri" w:eastAsia="MS Mincho" w:hAnsi="Calibri" w:cs="AdvTimes"/>
          <w:iCs/>
        </w:rPr>
        <w:t>and the deformities are persistent over time, at least in adults.</w:t>
      </w:r>
      <w:r w:rsidR="00066F06" w:rsidRPr="00F14E6C">
        <w:rPr>
          <w:rFonts w:ascii="Calibri" w:eastAsia="MS Mincho" w:hAnsi="Calibri" w:cs="AdvTimes"/>
          <w:iCs/>
        </w:rPr>
        <w:t xml:space="preserve"> In a previous study, varying the interval where a second fracture at the same site was counted, had little </w:t>
      </w:r>
      <w:r w:rsidRPr="00F14E6C">
        <w:rPr>
          <w:rFonts w:ascii="Calibri" w:eastAsia="MS Mincho" w:hAnsi="Calibri" w:cs="AdvTimes"/>
          <w:iCs/>
        </w:rPr>
        <w:t>effect on</w:t>
      </w:r>
      <w:r w:rsidR="00066F06" w:rsidRPr="00F14E6C">
        <w:rPr>
          <w:rFonts w:ascii="Calibri" w:eastAsia="MS Mincho" w:hAnsi="Calibri" w:cs="AdvTimes"/>
          <w:iCs/>
        </w:rPr>
        <w:t xml:space="preserve"> </w:t>
      </w:r>
      <w:r w:rsidRPr="00F14E6C">
        <w:rPr>
          <w:rFonts w:ascii="Calibri" w:eastAsia="MS Mincho" w:hAnsi="Calibri" w:cs="AdvTimes"/>
          <w:iCs/>
        </w:rPr>
        <w:t>the pattern with time. The most robust sensitivity analysis was</w:t>
      </w:r>
      <w:r w:rsidR="00066F06" w:rsidRPr="00F14E6C">
        <w:rPr>
          <w:rFonts w:ascii="Calibri" w:eastAsia="MS Mincho" w:hAnsi="Calibri" w:cs="AdvTimes"/>
          <w:iCs/>
        </w:rPr>
        <w:t xml:space="preserve"> </w:t>
      </w:r>
      <w:r w:rsidRPr="00F14E6C">
        <w:rPr>
          <w:rFonts w:ascii="Calibri" w:eastAsia="MS Mincho" w:hAnsi="Calibri" w:cs="AdvTimes"/>
          <w:iCs/>
        </w:rPr>
        <w:t xml:space="preserve">to only count the second </w:t>
      </w:r>
      <w:r w:rsidR="00066F06" w:rsidRPr="00F14E6C">
        <w:rPr>
          <w:rFonts w:ascii="Calibri" w:eastAsia="MS Mincho" w:hAnsi="Calibri" w:cs="AdvTimes"/>
          <w:iCs/>
        </w:rPr>
        <w:t>fracture</w:t>
      </w:r>
      <w:r w:rsidRPr="00F14E6C">
        <w:rPr>
          <w:rFonts w:ascii="Calibri" w:eastAsia="MS Mincho" w:hAnsi="Calibri" w:cs="AdvTimes"/>
          <w:iCs/>
        </w:rPr>
        <w:t xml:space="preserve"> when the site of the second</w:t>
      </w:r>
      <w:r w:rsidR="00066F06" w:rsidRPr="00F14E6C">
        <w:rPr>
          <w:rFonts w:ascii="Calibri" w:eastAsia="MS Mincho" w:hAnsi="Calibri" w:cs="AdvTimes"/>
          <w:iCs/>
        </w:rPr>
        <w:t xml:space="preserve"> </w:t>
      </w:r>
      <w:r w:rsidRPr="00F14E6C">
        <w:rPr>
          <w:rFonts w:ascii="Calibri" w:eastAsia="MS Mincho" w:hAnsi="Calibri" w:cs="AdvTimes"/>
          <w:iCs/>
        </w:rPr>
        <w:t>fracture differed from the site of the first. The imminent</w:t>
      </w:r>
      <w:r w:rsidR="00066F06" w:rsidRPr="00F14E6C">
        <w:rPr>
          <w:rFonts w:ascii="Calibri" w:eastAsia="MS Mincho" w:hAnsi="Calibri" w:cs="AdvTimes"/>
          <w:iCs/>
        </w:rPr>
        <w:t xml:space="preserve"> </w:t>
      </w:r>
      <w:r w:rsidR="00B56808" w:rsidRPr="00F14E6C">
        <w:rPr>
          <w:rFonts w:ascii="Calibri" w:eastAsia="MS Mincho" w:hAnsi="Calibri" w:cs="AdvTimes"/>
          <w:iCs/>
        </w:rPr>
        <w:t xml:space="preserve">fracture </w:t>
      </w:r>
      <w:r w:rsidRPr="00F14E6C">
        <w:rPr>
          <w:rFonts w:ascii="Calibri" w:eastAsia="MS Mincho" w:hAnsi="Calibri" w:cs="AdvTimes"/>
          <w:iCs/>
        </w:rPr>
        <w:t>risk was still higher than after 5–10 years</w:t>
      </w:r>
      <w:r w:rsidR="00066F06" w:rsidRPr="00F14E6C">
        <w:rPr>
          <w:rFonts w:ascii="Calibri" w:eastAsia="MS Mincho" w:hAnsi="Calibri" w:cs="AdvTimes"/>
          <w:iCs/>
        </w:rPr>
        <w:t xml:space="preserve"> </w:t>
      </w:r>
      <w:r w:rsidR="00F83EFF" w:rsidRPr="00F14E6C">
        <w:rPr>
          <w:rFonts w:ascii="Calibri" w:eastAsia="MS Mincho" w:hAnsi="Calibri" w:cs="AdvTimes"/>
          <w:iCs/>
        </w:rPr>
        <w:t>[13]</w:t>
      </w:r>
      <w:r w:rsidRPr="00F14E6C">
        <w:rPr>
          <w:rFonts w:ascii="Calibri" w:eastAsia="MS Mincho" w:hAnsi="Calibri" w:cs="AdvTimes"/>
          <w:iCs/>
        </w:rPr>
        <w:t>. These findings</w:t>
      </w:r>
      <w:r w:rsidR="00066F06" w:rsidRPr="00F14E6C">
        <w:rPr>
          <w:rFonts w:ascii="Calibri" w:eastAsia="MS Mincho" w:hAnsi="Calibri" w:cs="AdvTimes"/>
          <w:iCs/>
        </w:rPr>
        <w:t xml:space="preserve"> </w:t>
      </w:r>
      <w:r w:rsidRPr="00F14E6C">
        <w:rPr>
          <w:rFonts w:ascii="Calibri" w:eastAsia="MS Mincho" w:hAnsi="Calibri" w:cs="AdvTimes"/>
          <w:iCs/>
        </w:rPr>
        <w:t xml:space="preserve">indicate that the concept of imminent </w:t>
      </w:r>
      <w:r w:rsidR="00B56808" w:rsidRPr="00F14E6C">
        <w:rPr>
          <w:rFonts w:ascii="Calibri" w:eastAsia="MS Mincho" w:hAnsi="Calibri" w:cs="AdvTimes"/>
          <w:iCs/>
        </w:rPr>
        <w:t xml:space="preserve">fracture </w:t>
      </w:r>
      <w:r w:rsidRPr="00F14E6C">
        <w:rPr>
          <w:rFonts w:ascii="Calibri" w:eastAsia="MS Mincho" w:hAnsi="Calibri" w:cs="AdvTimes"/>
          <w:iCs/>
        </w:rPr>
        <w:t>risk is a reality rather</w:t>
      </w:r>
      <w:r w:rsidR="00066F06" w:rsidRPr="00F14E6C">
        <w:rPr>
          <w:rFonts w:ascii="Calibri" w:eastAsia="MS Mincho" w:hAnsi="Calibri" w:cs="AdvTimes"/>
          <w:iCs/>
        </w:rPr>
        <w:t xml:space="preserve"> </w:t>
      </w:r>
      <w:r w:rsidRPr="00F14E6C">
        <w:rPr>
          <w:rFonts w:ascii="Calibri" w:eastAsia="MS Mincho" w:hAnsi="Calibri" w:cs="AdvTimes"/>
          <w:iCs/>
        </w:rPr>
        <w:t xml:space="preserve">than an </w:t>
      </w:r>
      <w:r w:rsidR="00066F06" w:rsidRPr="00F14E6C">
        <w:rPr>
          <w:rFonts w:ascii="Calibri" w:eastAsia="MS Mincho" w:hAnsi="Calibri" w:cs="AdvTimes"/>
          <w:iCs/>
        </w:rPr>
        <w:t>artefact</w:t>
      </w:r>
      <w:r w:rsidRPr="00F14E6C">
        <w:rPr>
          <w:rFonts w:ascii="Calibri" w:eastAsia="MS Mincho" w:hAnsi="Calibri" w:cs="AdvTimes"/>
          <w:iCs/>
        </w:rPr>
        <w:t xml:space="preserve"> of double counting.</w:t>
      </w:r>
    </w:p>
    <w:p w14:paraId="02EF4AED" w14:textId="2604273B" w:rsidR="00D1536B" w:rsidRPr="00F14E6C" w:rsidRDefault="00D1536B" w:rsidP="00D1536B">
      <w:pPr>
        <w:rPr>
          <w:rFonts w:ascii="Calibri" w:eastAsia="MS Mincho" w:hAnsi="Calibri" w:cs="AdvTimes"/>
          <w:iCs/>
          <w:lang w:val="en-US"/>
        </w:rPr>
      </w:pPr>
      <w:r w:rsidRPr="00F14E6C">
        <w:rPr>
          <w:rFonts w:ascii="Calibri" w:eastAsia="MS Mincho" w:hAnsi="Calibri" w:cs="AdvTimes"/>
          <w:iCs/>
          <w:lang w:val="en-US"/>
        </w:rPr>
        <w:t xml:space="preserve">The attrition of </w:t>
      </w:r>
      <w:r w:rsidR="005E6CAC" w:rsidRPr="00F14E6C">
        <w:rPr>
          <w:rFonts w:ascii="Calibri" w:eastAsia="MS Mincho" w:hAnsi="Calibri" w:cs="AdvTimes"/>
          <w:iCs/>
          <w:lang w:val="en-US"/>
        </w:rPr>
        <w:t xml:space="preserve">the rate of </w:t>
      </w:r>
      <w:r w:rsidRPr="00F14E6C">
        <w:rPr>
          <w:rFonts w:ascii="Calibri" w:eastAsia="MS Mincho" w:hAnsi="Calibri" w:cs="AdvTimes"/>
          <w:iCs/>
          <w:lang w:val="en-US"/>
        </w:rPr>
        <w:t xml:space="preserve">utility loss </w:t>
      </w:r>
      <w:r w:rsidR="003D79B1" w:rsidRPr="00F14E6C">
        <w:rPr>
          <w:rFonts w:ascii="Calibri" w:eastAsia="MS Mincho" w:hAnsi="Calibri" w:cs="AdvTimes"/>
          <w:iCs/>
          <w:lang w:val="en-US"/>
        </w:rPr>
        <w:t xml:space="preserve">with age </w:t>
      </w:r>
      <w:r w:rsidRPr="00F14E6C">
        <w:rPr>
          <w:rFonts w:ascii="Calibri" w:eastAsia="MS Mincho" w:hAnsi="Calibri" w:cs="AdvTimes"/>
          <w:iCs/>
          <w:lang w:val="en-US"/>
        </w:rPr>
        <w:t xml:space="preserve">after </w:t>
      </w:r>
      <w:r w:rsidR="005E6CAC" w:rsidRPr="00F14E6C">
        <w:rPr>
          <w:rFonts w:ascii="Calibri" w:eastAsia="MS Mincho" w:hAnsi="Calibri" w:cs="AdvTimes"/>
          <w:iCs/>
          <w:lang w:val="en-US"/>
        </w:rPr>
        <w:t>sentinel</w:t>
      </w:r>
      <w:r w:rsidRPr="00F14E6C">
        <w:rPr>
          <w:rFonts w:ascii="Calibri" w:eastAsia="MS Mincho" w:hAnsi="Calibri" w:cs="AdvTimes"/>
          <w:iCs/>
          <w:lang w:val="en-US"/>
        </w:rPr>
        <w:t xml:space="preserve"> fracture occurred for two reasons. First, the starting HSV was lower with advancing age so that the multipliers associated with incident fractures had less overall impact. Second, and more important, was the </w:t>
      </w:r>
      <w:r w:rsidR="005E6CAC" w:rsidRPr="00F14E6C">
        <w:rPr>
          <w:rFonts w:ascii="Calibri" w:eastAsia="MS Mincho" w:hAnsi="Calibri" w:cs="AdvTimes"/>
          <w:iCs/>
          <w:lang w:val="en-US"/>
        </w:rPr>
        <w:t>appreciable mortality</w:t>
      </w:r>
      <w:r w:rsidRPr="00F14E6C">
        <w:rPr>
          <w:rFonts w:ascii="Calibri" w:eastAsia="MS Mincho" w:hAnsi="Calibri" w:cs="AdvTimes"/>
          <w:iCs/>
          <w:lang w:val="en-US"/>
        </w:rPr>
        <w:t xml:space="preserve"> following </w:t>
      </w:r>
      <w:r w:rsidR="005E6CAC" w:rsidRPr="00F14E6C">
        <w:rPr>
          <w:rFonts w:ascii="Calibri" w:eastAsia="MS Mincho" w:hAnsi="Calibri" w:cs="AdvTimes"/>
          <w:iCs/>
        </w:rPr>
        <w:t xml:space="preserve">each sentinel cohort.  Indeed, in the case of hip and </w:t>
      </w:r>
      <w:r w:rsidR="00B56808" w:rsidRPr="00F14E6C">
        <w:rPr>
          <w:rFonts w:ascii="Calibri" w:eastAsia="MS Mincho" w:hAnsi="Calibri" w:cs="AdvTimes"/>
          <w:iCs/>
        </w:rPr>
        <w:t xml:space="preserve">clinical </w:t>
      </w:r>
      <w:r w:rsidR="005E6CAC" w:rsidRPr="00F14E6C">
        <w:rPr>
          <w:rFonts w:ascii="Calibri" w:eastAsia="MS Mincho" w:hAnsi="Calibri" w:cs="AdvTimes"/>
          <w:iCs/>
        </w:rPr>
        <w:t>vertebral fracture, mortality was significantly higher than that of the age-matched whole population</w:t>
      </w:r>
      <w:r w:rsidRPr="00F14E6C">
        <w:rPr>
          <w:rFonts w:ascii="Calibri" w:eastAsia="MS Mincho" w:hAnsi="Calibri" w:cs="AdvTimes"/>
          <w:iCs/>
          <w:lang w:val="en-US"/>
        </w:rPr>
        <w:t xml:space="preserve">.  Since death was not incorporated into the utility loss, progressively fewer patients were at risk – a phenomenon that increased with age. Utility losses in </w:t>
      </w:r>
      <w:r w:rsidR="005E6CAC" w:rsidRPr="00F14E6C">
        <w:rPr>
          <w:rFonts w:ascii="Calibri" w:eastAsia="MS Mincho" w:hAnsi="Calibri" w:cs="AdvTimes"/>
          <w:iCs/>
          <w:lang w:val="en-US"/>
        </w:rPr>
        <w:t xml:space="preserve">those </w:t>
      </w:r>
      <w:r w:rsidRPr="00F14E6C">
        <w:rPr>
          <w:rFonts w:ascii="Calibri" w:eastAsia="MS Mincho" w:hAnsi="Calibri" w:cs="AdvTimes"/>
          <w:iCs/>
          <w:lang w:val="en-US"/>
        </w:rPr>
        <w:t xml:space="preserve">patients that survived 10 years indicated that, after a sentinel fracture, </w:t>
      </w:r>
      <w:r w:rsidR="005E6CAC" w:rsidRPr="00F14E6C">
        <w:rPr>
          <w:rFonts w:ascii="Calibri" w:eastAsia="MS Mincho" w:hAnsi="Calibri" w:cs="AdvTimes"/>
          <w:iCs/>
          <w:lang w:val="en-US"/>
        </w:rPr>
        <w:t xml:space="preserve">the rate of </w:t>
      </w:r>
      <w:r w:rsidRPr="00F14E6C">
        <w:rPr>
          <w:rFonts w:ascii="Calibri" w:eastAsia="MS Mincho" w:hAnsi="Calibri" w:cs="AdvTimes"/>
          <w:iCs/>
          <w:lang w:val="en-US"/>
        </w:rPr>
        <w:t>utility losses due to subsequent fractures decrease</w:t>
      </w:r>
      <w:r w:rsidR="005E6CAC" w:rsidRPr="00F14E6C">
        <w:rPr>
          <w:rFonts w:ascii="Calibri" w:eastAsia="MS Mincho" w:hAnsi="Calibri" w:cs="AdvTimes"/>
          <w:iCs/>
          <w:lang w:val="en-US"/>
        </w:rPr>
        <w:t>d</w:t>
      </w:r>
      <w:r w:rsidRPr="00F14E6C">
        <w:rPr>
          <w:rFonts w:ascii="Calibri" w:eastAsia="MS Mincho" w:hAnsi="Calibri" w:cs="AdvTimes"/>
          <w:iCs/>
          <w:lang w:val="en-US"/>
        </w:rPr>
        <w:t xml:space="preserve"> </w:t>
      </w:r>
      <w:r w:rsidR="005E6CAC" w:rsidRPr="00F14E6C">
        <w:rPr>
          <w:rFonts w:ascii="Calibri" w:eastAsia="MS Mincho" w:hAnsi="Calibri" w:cs="AdvTimes"/>
          <w:iCs/>
          <w:lang w:val="en-US"/>
        </w:rPr>
        <w:t xml:space="preserve">less </w:t>
      </w:r>
      <w:r w:rsidRPr="00F14E6C">
        <w:rPr>
          <w:rFonts w:ascii="Calibri" w:eastAsia="MS Mincho" w:hAnsi="Calibri" w:cs="AdvTimes"/>
          <w:iCs/>
          <w:lang w:val="en-US"/>
        </w:rPr>
        <w:t>with age</w:t>
      </w:r>
      <w:r w:rsidR="00414C17" w:rsidRPr="00F14E6C">
        <w:rPr>
          <w:rFonts w:ascii="Calibri" w:eastAsia="MS Mincho" w:hAnsi="Calibri" w:cs="AdvTimes"/>
          <w:iCs/>
          <w:lang w:val="en-US"/>
        </w:rPr>
        <w:t xml:space="preserve"> (data not shown)</w:t>
      </w:r>
      <w:r w:rsidRPr="00F14E6C">
        <w:rPr>
          <w:rFonts w:ascii="Calibri" w:eastAsia="MS Mincho" w:hAnsi="Calibri" w:cs="AdvTimes"/>
          <w:iCs/>
          <w:lang w:val="en-US"/>
        </w:rPr>
        <w:t>.</w:t>
      </w:r>
      <w:r w:rsidR="005E6CAC" w:rsidRPr="00F14E6C">
        <w:rPr>
          <w:rFonts w:ascii="Calibri" w:eastAsia="MS Mincho" w:hAnsi="Calibri" w:cs="AdvTimes"/>
          <w:iCs/>
          <w:lang w:val="en-US"/>
        </w:rPr>
        <w:t xml:space="preserve">  It is not clear, however, whether this </w:t>
      </w:r>
      <w:r w:rsidR="00414C17" w:rsidRPr="00F14E6C">
        <w:rPr>
          <w:rFonts w:ascii="Calibri" w:eastAsia="MS Mincho" w:hAnsi="Calibri" w:cs="AdvTimes"/>
          <w:iCs/>
          <w:lang w:val="en-US"/>
        </w:rPr>
        <w:t xml:space="preserve">finding </w:t>
      </w:r>
      <w:r w:rsidR="005E6CAC" w:rsidRPr="00F14E6C">
        <w:rPr>
          <w:rFonts w:ascii="Calibri" w:eastAsia="MS Mincho" w:hAnsi="Calibri" w:cs="AdvTimes"/>
          <w:iCs/>
          <w:lang w:val="en-US"/>
        </w:rPr>
        <w:t xml:space="preserve">was due to a ‘healthy </w:t>
      </w:r>
      <w:r w:rsidR="00414C17" w:rsidRPr="00F14E6C">
        <w:rPr>
          <w:rFonts w:ascii="Calibri" w:eastAsia="MS Mincho" w:hAnsi="Calibri" w:cs="AdvTimes"/>
          <w:iCs/>
          <w:lang w:val="en-US"/>
        </w:rPr>
        <w:t>survivor bias’.</w:t>
      </w:r>
    </w:p>
    <w:p w14:paraId="5AEECD0C" w14:textId="5683CAF8" w:rsidR="00DC0085" w:rsidRPr="00F14E6C" w:rsidRDefault="006D2688" w:rsidP="006D2688">
      <w:pPr>
        <w:rPr>
          <w:rFonts w:ascii="Calibri" w:eastAsia="MS Mincho" w:hAnsi="Calibri" w:cs="AdvTimes"/>
          <w:iCs/>
        </w:rPr>
      </w:pPr>
      <w:r w:rsidRPr="00F14E6C">
        <w:rPr>
          <w:rFonts w:ascii="Calibri" w:eastAsia="MS Mincho" w:hAnsi="Calibri" w:cs="AdvTimes"/>
          <w:iCs/>
        </w:rPr>
        <w:t>We conclude that t</w:t>
      </w:r>
      <w:r w:rsidR="00DC0085" w:rsidRPr="00F14E6C">
        <w:rPr>
          <w:rFonts w:ascii="Calibri" w:eastAsia="MS Mincho" w:hAnsi="Calibri" w:cs="AdvTimes"/>
          <w:iCs/>
        </w:rPr>
        <w:t xml:space="preserve">he risk </w:t>
      </w:r>
      <w:r w:rsidRPr="00F14E6C">
        <w:rPr>
          <w:rFonts w:ascii="Calibri" w:eastAsia="MS Mincho" w:hAnsi="Calibri" w:cs="AdvTimes"/>
          <w:iCs/>
        </w:rPr>
        <w:t xml:space="preserve">of </w:t>
      </w:r>
      <w:r w:rsidR="00B56808" w:rsidRPr="00F14E6C">
        <w:rPr>
          <w:rFonts w:ascii="Calibri" w:eastAsia="MS Mincho" w:hAnsi="Calibri" w:cs="AdvTimes"/>
          <w:iCs/>
        </w:rPr>
        <w:t>additional</w:t>
      </w:r>
      <w:r w:rsidRPr="00F14E6C">
        <w:rPr>
          <w:rFonts w:ascii="Calibri" w:eastAsia="MS Mincho" w:hAnsi="Calibri" w:cs="AdvTimes"/>
          <w:iCs/>
        </w:rPr>
        <w:t xml:space="preserve"> fracture</w:t>
      </w:r>
      <w:r w:rsidR="00DC0085" w:rsidRPr="00F14E6C">
        <w:rPr>
          <w:rFonts w:ascii="Calibri" w:eastAsia="MS Mincho" w:hAnsi="Calibri" w:cs="AdvTimes"/>
          <w:iCs/>
        </w:rPr>
        <w:t xml:space="preserve"> after a first </w:t>
      </w:r>
      <w:r w:rsidRPr="00F14E6C">
        <w:rPr>
          <w:rFonts w:ascii="Calibri" w:eastAsia="MS Mincho" w:hAnsi="Calibri" w:cs="AdvTimes"/>
          <w:iCs/>
        </w:rPr>
        <w:t>major osteoporotic fracture</w:t>
      </w:r>
      <w:r w:rsidR="00DC0085" w:rsidRPr="00F14E6C">
        <w:rPr>
          <w:rFonts w:ascii="Calibri" w:eastAsia="MS Mincho" w:hAnsi="Calibri" w:cs="AdvTimes"/>
          <w:iCs/>
        </w:rPr>
        <w:t xml:space="preserve"> is increased over </w:t>
      </w:r>
      <w:r w:rsidRPr="00F14E6C">
        <w:rPr>
          <w:rFonts w:ascii="Calibri" w:eastAsia="MS Mincho" w:hAnsi="Calibri" w:cs="AdvTimes"/>
          <w:iCs/>
        </w:rPr>
        <w:t>at least 10 years</w:t>
      </w:r>
      <w:r w:rsidR="00DC0085" w:rsidRPr="00F14E6C">
        <w:rPr>
          <w:rFonts w:ascii="Calibri" w:eastAsia="MS Mincho" w:hAnsi="Calibri" w:cs="AdvTimes"/>
          <w:iCs/>
        </w:rPr>
        <w:t xml:space="preserve">, but the imminent </w:t>
      </w:r>
      <w:r w:rsidR="00B56808" w:rsidRPr="00F14E6C">
        <w:rPr>
          <w:rFonts w:ascii="Calibri" w:eastAsia="MS Mincho" w:hAnsi="Calibri" w:cs="AdvTimes"/>
          <w:iCs/>
        </w:rPr>
        <w:t xml:space="preserve">fracture </w:t>
      </w:r>
      <w:r w:rsidR="00DC0085" w:rsidRPr="00F14E6C">
        <w:rPr>
          <w:rFonts w:ascii="Calibri" w:eastAsia="MS Mincho" w:hAnsi="Calibri" w:cs="AdvTimes"/>
          <w:iCs/>
        </w:rPr>
        <w:t xml:space="preserve">risk is even higher. </w:t>
      </w:r>
      <w:r w:rsidRPr="00F14E6C">
        <w:rPr>
          <w:rFonts w:ascii="Calibri" w:eastAsia="MS Mincho" w:hAnsi="Calibri" w:cs="AdvTimes"/>
          <w:iCs/>
        </w:rPr>
        <w:t>O</w:t>
      </w:r>
      <w:r w:rsidR="00DC0085" w:rsidRPr="00F14E6C">
        <w:rPr>
          <w:rFonts w:ascii="Calibri" w:eastAsia="MS Mincho" w:hAnsi="Calibri" w:cs="AdvTimes"/>
          <w:iCs/>
        </w:rPr>
        <w:t>ur findings suggest that treatment should</w:t>
      </w:r>
      <w:r w:rsidRPr="00F14E6C">
        <w:rPr>
          <w:rFonts w:ascii="Calibri" w:eastAsia="MS Mincho" w:hAnsi="Calibri" w:cs="AdvTimes"/>
          <w:iCs/>
        </w:rPr>
        <w:t xml:space="preserve"> </w:t>
      </w:r>
      <w:r w:rsidR="00DC0085" w:rsidRPr="00F14E6C">
        <w:rPr>
          <w:rFonts w:ascii="Calibri" w:eastAsia="MS Mincho" w:hAnsi="Calibri" w:cs="AdvTimes"/>
          <w:iCs/>
        </w:rPr>
        <w:t xml:space="preserve">be </w:t>
      </w:r>
      <w:r w:rsidR="00752784" w:rsidRPr="00F14E6C">
        <w:rPr>
          <w:rFonts w:ascii="Calibri" w:eastAsia="MS Mincho" w:hAnsi="Calibri" w:cs="AdvTimes"/>
          <w:iCs/>
        </w:rPr>
        <w:t>started</w:t>
      </w:r>
      <w:r w:rsidR="00DC0085" w:rsidRPr="00F14E6C">
        <w:rPr>
          <w:rFonts w:ascii="Calibri" w:eastAsia="MS Mincho" w:hAnsi="Calibri" w:cs="AdvTimes"/>
          <w:iCs/>
        </w:rPr>
        <w:t xml:space="preserve"> immediately after</w:t>
      </w:r>
      <w:r w:rsidRPr="00F14E6C">
        <w:rPr>
          <w:rFonts w:ascii="Calibri" w:eastAsia="MS Mincho" w:hAnsi="Calibri" w:cs="AdvTimes"/>
          <w:iCs/>
        </w:rPr>
        <w:t xml:space="preserve"> a major osteoporotic fracture</w:t>
      </w:r>
      <w:r w:rsidR="00DC0085" w:rsidRPr="00F14E6C">
        <w:rPr>
          <w:rFonts w:ascii="Calibri" w:eastAsia="MS Mincho" w:hAnsi="Calibri" w:cs="AdvTimes"/>
          <w:iCs/>
        </w:rPr>
        <w:t xml:space="preserve"> to reduce the high</w:t>
      </w:r>
      <w:r w:rsidRPr="00F14E6C">
        <w:rPr>
          <w:rFonts w:ascii="Calibri" w:eastAsia="MS Mincho" w:hAnsi="Calibri" w:cs="AdvTimes"/>
          <w:iCs/>
        </w:rPr>
        <w:t xml:space="preserve"> </w:t>
      </w:r>
      <w:r w:rsidR="00DC0085" w:rsidRPr="00F14E6C">
        <w:rPr>
          <w:rFonts w:ascii="Calibri" w:eastAsia="MS Mincho" w:hAnsi="Calibri" w:cs="AdvTimes"/>
          <w:iCs/>
        </w:rPr>
        <w:t>immediate risk of fu</w:t>
      </w:r>
      <w:r w:rsidR="00B56808" w:rsidRPr="00F14E6C">
        <w:rPr>
          <w:rFonts w:ascii="Calibri" w:eastAsia="MS Mincho" w:hAnsi="Calibri" w:cs="AdvTimes"/>
          <w:iCs/>
        </w:rPr>
        <w:t>ture</w:t>
      </w:r>
      <w:r w:rsidR="00DC0085" w:rsidRPr="00F14E6C">
        <w:rPr>
          <w:rFonts w:ascii="Calibri" w:eastAsia="MS Mincho" w:hAnsi="Calibri" w:cs="AdvTimes"/>
          <w:iCs/>
        </w:rPr>
        <w:t xml:space="preserve"> fracture. </w:t>
      </w:r>
    </w:p>
    <w:p w14:paraId="20F1BFC1" w14:textId="77777777" w:rsidR="00DC0085" w:rsidRPr="00F14E6C" w:rsidRDefault="00DC0085" w:rsidP="00DC0085">
      <w:pPr>
        <w:rPr>
          <w:rFonts w:ascii="Calibri" w:eastAsia="MS Mincho" w:hAnsi="Calibri" w:cs="AdvTimes"/>
          <w:b/>
          <w:iCs/>
        </w:rPr>
      </w:pPr>
      <w:r w:rsidRPr="00F14E6C">
        <w:rPr>
          <w:rFonts w:ascii="Calibri" w:eastAsia="MS Mincho" w:hAnsi="Calibri" w:cs="AdvTimes"/>
          <w:b/>
          <w:iCs/>
        </w:rPr>
        <w:lastRenderedPageBreak/>
        <w:t>Acknowledgements</w:t>
      </w:r>
    </w:p>
    <w:p w14:paraId="41F6D84B" w14:textId="43A35737" w:rsidR="00DC0085" w:rsidRPr="00F14E6C" w:rsidRDefault="00DC0085" w:rsidP="00DC0085">
      <w:pPr>
        <w:rPr>
          <w:rFonts w:ascii="Calibri" w:eastAsia="MS Mincho" w:hAnsi="Calibri" w:cs="AdvTimes"/>
          <w:iCs/>
        </w:rPr>
      </w:pPr>
      <w:r w:rsidRPr="00F14E6C">
        <w:rPr>
          <w:rFonts w:ascii="Calibri" w:eastAsia="MS Mincho" w:hAnsi="Calibri" w:cs="AdvTimes"/>
          <w:iCs/>
        </w:rPr>
        <w:t>We thank the participants in the Reykjavik Study</w:t>
      </w:r>
      <w:r w:rsidR="00847C70" w:rsidRPr="00F14E6C">
        <w:rPr>
          <w:rFonts w:ascii="Calibri" w:eastAsia="MS Mincho" w:hAnsi="Calibri" w:cs="AdvTimes"/>
          <w:iCs/>
        </w:rPr>
        <w:t xml:space="preserve"> </w:t>
      </w:r>
      <w:r w:rsidRPr="00F14E6C">
        <w:rPr>
          <w:rFonts w:ascii="Calibri" w:eastAsia="MS Mincho" w:hAnsi="Calibri" w:cs="AdvTimes"/>
          <w:iCs/>
        </w:rPr>
        <w:t>for their valuable contribution.</w:t>
      </w:r>
    </w:p>
    <w:p w14:paraId="244F6F2D" w14:textId="77777777" w:rsidR="00DC0085" w:rsidRPr="00F14E6C" w:rsidRDefault="00DC0085" w:rsidP="00DC0085">
      <w:pPr>
        <w:rPr>
          <w:rFonts w:ascii="Calibri" w:eastAsia="MS Mincho" w:hAnsi="Calibri" w:cs="AdvTimes"/>
          <w:b/>
          <w:iCs/>
        </w:rPr>
      </w:pPr>
      <w:r w:rsidRPr="00F14E6C">
        <w:rPr>
          <w:rFonts w:ascii="Calibri" w:eastAsia="MS Mincho" w:hAnsi="Calibri" w:cs="AdvTimes"/>
          <w:b/>
          <w:iCs/>
        </w:rPr>
        <w:t>Compliance with ethical standards</w:t>
      </w:r>
    </w:p>
    <w:p w14:paraId="560E2FEB" w14:textId="6C55B4FD" w:rsidR="00DC0085" w:rsidRPr="00F14E6C" w:rsidRDefault="00DC0085" w:rsidP="00752784">
      <w:pPr>
        <w:spacing w:line="276" w:lineRule="auto"/>
        <w:rPr>
          <w:rFonts w:ascii="Calibri" w:eastAsia="MS Mincho" w:hAnsi="Calibri" w:cs="AdvTimes"/>
          <w:iCs/>
        </w:rPr>
      </w:pPr>
      <w:r w:rsidRPr="00F14E6C">
        <w:rPr>
          <w:rFonts w:ascii="Calibri" w:eastAsia="MS Mincho" w:hAnsi="Calibri" w:cs="AdvTimes"/>
          <w:iCs/>
        </w:rPr>
        <w:t>The study was approved by the</w:t>
      </w:r>
      <w:r w:rsidR="00847C70" w:rsidRPr="00F14E6C">
        <w:rPr>
          <w:rFonts w:ascii="Calibri" w:eastAsia="MS Mincho" w:hAnsi="Calibri" w:cs="AdvTimes"/>
          <w:iCs/>
        </w:rPr>
        <w:t xml:space="preserve"> </w:t>
      </w:r>
      <w:r w:rsidRPr="00F14E6C">
        <w:rPr>
          <w:rFonts w:ascii="Calibri" w:eastAsia="MS Mincho" w:hAnsi="Calibri" w:cs="AdvTimes"/>
          <w:iCs/>
        </w:rPr>
        <w:t>National Bioethics Committee and the Data Protection Authority in</w:t>
      </w:r>
      <w:r w:rsidR="00752784" w:rsidRPr="00F14E6C">
        <w:rPr>
          <w:rFonts w:ascii="Calibri" w:eastAsia="MS Mincho" w:hAnsi="Calibri" w:cs="AdvTimes"/>
          <w:iCs/>
        </w:rPr>
        <w:t xml:space="preserve"> </w:t>
      </w:r>
      <w:r w:rsidRPr="00F14E6C">
        <w:rPr>
          <w:rFonts w:ascii="Calibri" w:eastAsia="MS Mincho" w:hAnsi="Calibri" w:cs="AdvTimes"/>
          <w:iCs/>
        </w:rPr>
        <w:t>Iceland. All participants gave informed written consent.</w:t>
      </w:r>
    </w:p>
    <w:p w14:paraId="44ED6CD2" w14:textId="36465999" w:rsidR="00DC0085" w:rsidRPr="00F14E6C" w:rsidRDefault="00DC0085" w:rsidP="00DC0085">
      <w:pPr>
        <w:rPr>
          <w:rFonts w:ascii="Calibri" w:eastAsia="MS Mincho" w:hAnsi="Calibri" w:cs="AdvTimes"/>
          <w:b/>
          <w:iCs/>
        </w:rPr>
      </w:pPr>
      <w:r w:rsidRPr="00F14E6C">
        <w:rPr>
          <w:rFonts w:ascii="Calibri" w:eastAsia="MS Mincho" w:hAnsi="Calibri" w:cs="AdvTimes"/>
          <w:b/>
          <w:iCs/>
        </w:rPr>
        <w:t>Competing interest</w:t>
      </w:r>
    </w:p>
    <w:p w14:paraId="642CE305" w14:textId="0D298C71" w:rsidR="007F5A2B" w:rsidRPr="00F14E6C" w:rsidRDefault="00CA1940" w:rsidP="00DC0085">
      <w:pPr>
        <w:rPr>
          <w:rFonts w:ascii="Calibri" w:eastAsia="MS Mincho" w:hAnsi="Calibri" w:cs="AdvTimes"/>
          <w:iCs/>
          <w:lang w:val="en-US"/>
        </w:rPr>
      </w:pPr>
      <w:r w:rsidRPr="00F14E6C">
        <w:rPr>
          <w:rFonts w:ascii="Calibri" w:eastAsia="MS Mincho" w:hAnsi="Calibri" w:cs="AdvTimes"/>
          <w:iCs/>
        </w:rPr>
        <w:t>Radius Health, Inc., was the sponsor for this study and provided financial support for its completion</w:t>
      </w:r>
      <w:r w:rsidR="00DC0085" w:rsidRPr="00F14E6C">
        <w:rPr>
          <w:rFonts w:ascii="Calibri" w:eastAsia="MS Mincho" w:hAnsi="Calibri" w:cs="AdvTimes"/>
          <w:iCs/>
        </w:rPr>
        <w:t>.</w:t>
      </w:r>
      <w:r w:rsidR="00414C17" w:rsidRPr="00F14E6C">
        <w:rPr>
          <w:rFonts w:ascii="Calibri" w:eastAsia="MS Mincho" w:hAnsi="Calibri" w:cs="AdvTimes"/>
          <w:iCs/>
        </w:rPr>
        <w:t xml:space="preserve">  </w:t>
      </w:r>
      <w:r w:rsidR="00A57533">
        <w:rPr>
          <w:rFonts w:ascii="Calibri" w:eastAsia="MS Mincho" w:hAnsi="Calibri" w:cs="AdvTimes"/>
          <w:iCs/>
        </w:rPr>
        <w:t xml:space="preserve">LF is an employee of Radius Health. </w:t>
      </w:r>
      <w:r w:rsidR="00414C17" w:rsidRPr="00F14E6C">
        <w:rPr>
          <w:rFonts w:ascii="Calibri" w:eastAsia="MS Mincho" w:hAnsi="Calibri" w:cs="AdvTimes"/>
          <w:iCs/>
        </w:rPr>
        <w:t xml:space="preserve">None of the </w:t>
      </w:r>
      <w:r w:rsidR="00A57533">
        <w:rPr>
          <w:rFonts w:ascii="Calibri" w:eastAsia="MS Mincho" w:hAnsi="Calibri" w:cs="AdvTimes"/>
          <w:iCs/>
        </w:rPr>
        <w:t xml:space="preserve">other </w:t>
      </w:r>
      <w:r w:rsidR="00414C17" w:rsidRPr="00F14E6C">
        <w:rPr>
          <w:rFonts w:ascii="Calibri" w:eastAsia="MS Mincho" w:hAnsi="Calibri" w:cs="AdvTimes"/>
          <w:iCs/>
        </w:rPr>
        <w:t>authors declare competing interests with regard to this paper.</w:t>
      </w:r>
    </w:p>
    <w:p w14:paraId="732BF3CB" w14:textId="7D711374" w:rsidR="007F5A2B" w:rsidRPr="00F14E6C" w:rsidRDefault="007F5A2B" w:rsidP="007F5A2B">
      <w:pPr>
        <w:jc w:val="center"/>
        <w:rPr>
          <w:rFonts w:ascii="Calibri" w:eastAsia="MS Mincho" w:hAnsi="Calibri" w:cs="AdvTimes"/>
          <w:b/>
        </w:rPr>
      </w:pPr>
    </w:p>
    <w:p w14:paraId="307C9270" w14:textId="3236962C" w:rsidR="00123E0D" w:rsidRPr="00F14E6C" w:rsidRDefault="00123E0D" w:rsidP="00123E0D">
      <w:pPr>
        <w:rPr>
          <w:rFonts w:ascii="Calibri" w:eastAsia="MS Mincho" w:hAnsi="Calibri" w:cs="AdvTimes"/>
          <w:b/>
        </w:rPr>
      </w:pPr>
      <w:r w:rsidRPr="00F14E6C">
        <w:rPr>
          <w:rFonts w:ascii="Calibri" w:eastAsia="MS Mincho" w:hAnsi="Calibri" w:cs="AdvTimes"/>
          <w:b/>
        </w:rPr>
        <w:t>References</w:t>
      </w:r>
    </w:p>
    <w:p w14:paraId="0126B971" w14:textId="77777777" w:rsidR="007D19A5" w:rsidRPr="00F14E6C" w:rsidRDefault="007D19A5" w:rsidP="00123E0D">
      <w:pPr>
        <w:rPr>
          <w:rFonts w:ascii="Calibri" w:eastAsia="MS Mincho" w:hAnsi="Calibri" w:cs="AdvTimes"/>
        </w:rPr>
      </w:pPr>
    </w:p>
    <w:p w14:paraId="45A4C997" w14:textId="2D905BFB"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1.</w:t>
      </w:r>
      <w:r w:rsidRPr="00F14E6C">
        <w:rPr>
          <w:rFonts w:ascii="Calibri" w:eastAsia="MS Mincho" w:hAnsi="Calibri" w:cs="AdvTimes"/>
        </w:rPr>
        <w:tab/>
        <w:t>Johnell O, Kanis JA, Oden A et al (2004) Fracture risk following an osteoporotic fracture. Osteoporos Int 15: 175-179.</w:t>
      </w:r>
    </w:p>
    <w:p w14:paraId="5DD67FC5" w14:textId="5B7349F8" w:rsidR="007D19A5" w:rsidRPr="00F14E6C" w:rsidRDefault="007D19A5" w:rsidP="00150A15">
      <w:pPr>
        <w:ind w:left="567" w:hanging="567"/>
        <w:rPr>
          <w:rFonts w:ascii="Calibri" w:eastAsia="MS Mincho" w:hAnsi="Calibri" w:cs="AdvTimes"/>
          <w:lang w:val="sv-SE"/>
        </w:rPr>
      </w:pPr>
      <w:r w:rsidRPr="00F14E6C">
        <w:rPr>
          <w:rFonts w:ascii="Calibri" w:eastAsia="MS Mincho" w:hAnsi="Calibri" w:cs="AdvTimes"/>
        </w:rPr>
        <w:t>2.</w:t>
      </w:r>
      <w:r w:rsidRPr="00F14E6C">
        <w:rPr>
          <w:rFonts w:ascii="Calibri" w:eastAsia="MS Mincho" w:hAnsi="Calibri" w:cs="AdvTimes"/>
        </w:rPr>
        <w:tab/>
        <w:t xml:space="preserve">Hansen L, Petersen KD, Eriksen SA et al (2015) Subsequent fracture rates in a nationwide population-based cohort study with a 10-year perspective. Osteoporos Int </w:t>
      </w:r>
      <w:r w:rsidRPr="00F14E6C">
        <w:rPr>
          <w:rFonts w:ascii="Calibri" w:eastAsia="MS Mincho" w:hAnsi="Calibri" w:cs="AdvTimes"/>
          <w:lang w:val="sv-SE"/>
        </w:rPr>
        <w:t>26: 513-9.</w:t>
      </w:r>
    </w:p>
    <w:p w14:paraId="08F08CAD" w14:textId="3FF9A763"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3.</w:t>
      </w:r>
      <w:r w:rsidRPr="00F14E6C">
        <w:rPr>
          <w:rFonts w:ascii="Calibri" w:eastAsia="MS Mincho" w:hAnsi="Calibri" w:cs="AdvTimes"/>
        </w:rPr>
        <w:tab/>
        <w:t>Kanis JA, Johnell O, De Laet C et al  (2004) A meta-analysis of previous fracture and subsequent fracture risk. Bone; 35: 375-382</w:t>
      </w:r>
    </w:p>
    <w:p w14:paraId="0F516FBD" w14:textId="5AA44042"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4.</w:t>
      </w:r>
      <w:r w:rsidRPr="00F14E6C">
        <w:rPr>
          <w:rFonts w:ascii="Calibri" w:eastAsia="MS Mincho" w:hAnsi="Calibri" w:cs="AdvTimes"/>
        </w:rPr>
        <w:tab/>
        <w:t>Haentjens P, Johnell O, Kanis JA et al (2004) Gender-related differences in short and long-term absolute risk of hip fracture after Colles’ or spine fracture: Colles’ fracture as an early and sensitive marker of skeletal fragility in men. J Bone Miner Res 19: 1933-1944</w:t>
      </w:r>
    </w:p>
    <w:p w14:paraId="4238638D" w14:textId="77777777" w:rsidR="007D19A5" w:rsidRPr="00F14E6C" w:rsidRDefault="007D19A5" w:rsidP="00150A15">
      <w:pPr>
        <w:ind w:left="567" w:hanging="567"/>
        <w:rPr>
          <w:rFonts w:ascii="Calibri" w:eastAsia="MS Mincho" w:hAnsi="Calibri" w:cs="AdvTimes"/>
        </w:rPr>
      </w:pPr>
      <w:bookmarkStart w:id="32" w:name="_Hlk485862779"/>
      <w:bookmarkStart w:id="33" w:name="_Hlk486031585"/>
      <w:r w:rsidRPr="00F14E6C">
        <w:rPr>
          <w:rFonts w:ascii="Calibri" w:eastAsia="MS Mincho" w:hAnsi="Calibri" w:cs="AdvTimes"/>
        </w:rPr>
        <w:lastRenderedPageBreak/>
        <w:t>5.</w:t>
      </w:r>
      <w:r w:rsidRPr="00F14E6C">
        <w:rPr>
          <w:rFonts w:ascii="Calibri" w:eastAsia="MS Mincho" w:hAnsi="Calibri" w:cs="AdvTimes"/>
        </w:rPr>
        <w:tab/>
        <w:t>Klotzbuecher</w:t>
      </w:r>
      <w:bookmarkEnd w:id="32"/>
      <w:r w:rsidRPr="00F14E6C">
        <w:rPr>
          <w:rFonts w:ascii="Calibri" w:eastAsia="MS Mincho" w:hAnsi="Calibri" w:cs="AdvTimes"/>
        </w:rPr>
        <w:t xml:space="preserve"> </w:t>
      </w:r>
      <w:bookmarkEnd w:id="33"/>
      <w:r w:rsidRPr="00F14E6C">
        <w:rPr>
          <w:rFonts w:ascii="Calibri" w:eastAsia="MS Mincho" w:hAnsi="Calibri" w:cs="AdvTimes"/>
        </w:rPr>
        <w:t xml:space="preserve">CM, Ross PD, Landsman PB, Abbott TA, 3rd, Berger M (2000) Patients with prior fractures have an increased risk of future fractures: a summary of the literature and statistical synthesis. J Bone Miner Res 15: 721-739. </w:t>
      </w:r>
    </w:p>
    <w:p w14:paraId="084FF36A"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6.</w:t>
      </w:r>
      <w:r w:rsidRPr="00F14E6C">
        <w:rPr>
          <w:rFonts w:ascii="Calibri" w:eastAsia="MS Mincho" w:hAnsi="Calibri" w:cs="AdvTimes"/>
        </w:rPr>
        <w:tab/>
        <w:t xml:space="preserve">Johnell O, Oden A, Caulin F, Kanis JA (2001) Acute and long-term increase in fracture risk after hospitalization for vertebral fracture. Osteoporos Int 12: 207-214. </w:t>
      </w:r>
    </w:p>
    <w:p w14:paraId="7E39DF27" w14:textId="77777777" w:rsidR="007D19A5" w:rsidRPr="00F14E6C" w:rsidRDefault="007D19A5" w:rsidP="00150A15">
      <w:pPr>
        <w:ind w:left="567" w:hanging="567"/>
        <w:rPr>
          <w:rFonts w:ascii="Calibri" w:eastAsia="MS Mincho" w:hAnsi="Calibri" w:cs="AdvTimes"/>
          <w:lang w:val="en-US"/>
        </w:rPr>
      </w:pPr>
      <w:bookmarkStart w:id="34" w:name="_Hlk485620210"/>
      <w:r w:rsidRPr="00F14E6C">
        <w:rPr>
          <w:rFonts w:ascii="Calibri" w:eastAsia="MS Mincho" w:hAnsi="Calibri" w:cs="AdvTimes"/>
          <w:lang w:val="en-US"/>
        </w:rPr>
        <w:t>7.</w:t>
      </w:r>
      <w:r w:rsidRPr="00F14E6C">
        <w:rPr>
          <w:rFonts w:ascii="Calibri" w:eastAsia="MS Mincho" w:hAnsi="Calibri" w:cs="AdvTimes"/>
          <w:lang w:val="en-US"/>
        </w:rPr>
        <w:tab/>
        <w:t>Giangregorio</w:t>
      </w:r>
      <w:bookmarkEnd w:id="34"/>
      <w:r w:rsidRPr="00F14E6C">
        <w:rPr>
          <w:rFonts w:ascii="Calibri" w:eastAsia="MS Mincho" w:hAnsi="Calibri" w:cs="AdvTimes"/>
          <w:lang w:val="en-US"/>
        </w:rPr>
        <w:t xml:space="preserve"> LM, Leslie WD (2010) Manitoba Bone Density Program. Time since prior fracture is a risk modifier for 10-year osteoporotic fractures. J Bone Miner Res 25: 1400-5.</w:t>
      </w:r>
    </w:p>
    <w:p w14:paraId="0D32DD79"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8.</w:t>
      </w:r>
      <w:r w:rsidRPr="00F14E6C">
        <w:rPr>
          <w:rFonts w:ascii="Calibri" w:eastAsia="MS Mincho" w:hAnsi="Calibri" w:cs="AdvTimes"/>
        </w:rPr>
        <w:tab/>
        <w:t>Dretakis KE, Dretakis EK, Papakitsou EF, Psarakis S, Steriopoulos K (1998) Possible predisposing factors for the second hip fracture. Calcif Tissue Int 62: 366–369</w:t>
      </w:r>
    </w:p>
    <w:p w14:paraId="736719A2"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9.</w:t>
      </w:r>
      <w:r w:rsidRPr="00F14E6C">
        <w:rPr>
          <w:rFonts w:ascii="Calibri" w:eastAsia="MS Mincho" w:hAnsi="Calibri" w:cs="AdvTimes"/>
        </w:rPr>
        <w:tab/>
        <w:t>Nymark T, Lauritsen JM, Ovesen O, Röck ND, Jeune B (2006) Short time-frame from first to second hip fracture in the Funen County Hip Fracture Study. Osteoporos Int. 2006;17(9):1353-7.</w:t>
      </w:r>
    </w:p>
    <w:p w14:paraId="554F6246" w14:textId="08137D58"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10.</w:t>
      </w:r>
      <w:r w:rsidRPr="00F14E6C">
        <w:rPr>
          <w:rFonts w:ascii="Calibri" w:eastAsia="MS Mincho" w:hAnsi="Calibri" w:cs="AdvTimes"/>
        </w:rPr>
        <w:tab/>
        <w:t>Lindsay R, Silverman SL, Cooper C et al (2001) Risk of new vertebral fracture in the year following a fracture. JAMA 285: 320-323</w:t>
      </w:r>
    </w:p>
    <w:p w14:paraId="6179EC2C" w14:textId="34903485"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11.</w:t>
      </w:r>
      <w:r w:rsidRPr="00F14E6C">
        <w:rPr>
          <w:rFonts w:ascii="Calibri" w:eastAsia="MS Mincho" w:hAnsi="Calibri" w:cs="AdvTimes"/>
        </w:rPr>
        <w:tab/>
        <w:t>Ryg J, Rejnmark L, Overgaard S, Brixen K, Vestergaard P (2009) Hip fracture patients at risk of second hip fracture: a nationwide population-based cohort study of 169,145 cases during 1977-2001. J Bone Miner Res 24: 1299-307</w:t>
      </w:r>
    </w:p>
    <w:p w14:paraId="1D663E89"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12.</w:t>
      </w:r>
      <w:r w:rsidRPr="00F14E6C">
        <w:rPr>
          <w:rFonts w:ascii="Calibri" w:eastAsia="MS Mincho" w:hAnsi="Calibri" w:cs="AdvTimes"/>
        </w:rPr>
        <w:tab/>
        <w:t>van Geel TACM, van Helden S, Geusens PP, Winkens B, Dinant G-J (2016) Clinical subsequent fractures cluster in time after first fractures. Ann Rheum Dis 68: 99–102</w:t>
      </w:r>
    </w:p>
    <w:p w14:paraId="7679CC7B"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13.</w:t>
      </w:r>
      <w:r w:rsidRPr="00F14E6C">
        <w:rPr>
          <w:rFonts w:ascii="Calibri" w:eastAsia="MS Mincho" w:hAnsi="Calibri" w:cs="AdvTimes"/>
        </w:rPr>
        <w:tab/>
        <w:t xml:space="preserve">Johansson H, Siggeirsdóttir K, Harvey NC et al (2017) Imminent risk of fracture after fracture. Osteoporos Int </w:t>
      </w:r>
      <w:r w:rsidRPr="00F14E6C">
        <w:rPr>
          <w:rFonts w:ascii="Arial" w:hAnsi="Arial" w:cs="Arial"/>
          <w:color w:val="000000"/>
          <w:sz w:val="18"/>
          <w:szCs w:val="18"/>
          <w:shd w:val="clear" w:color="auto" w:fill="FFFFFF"/>
        </w:rPr>
        <w:t>28:775</w:t>
      </w:r>
      <w:r w:rsidRPr="00F14E6C">
        <w:rPr>
          <w:rFonts w:ascii="Calibri" w:eastAsia="MS Mincho" w:hAnsi="Calibri" w:cs="AdvTimes"/>
        </w:rPr>
        <w:t xml:space="preserve">-780 </w:t>
      </w:r>
    </w:p>
    <w:p w14:paraId="39A68C29" w14:textId="68BB4C2E" w:rsidR="007D19A5" w:rsidRPr="00F14E6C" w:rsidRDefault="007D19A5" w:rsidP="00150A15">
      <w:pPr>
        <w:ind w:left="567" w:hanging="567"/>
        <w:rPr>
          <w:rFonts w:ascii="Calibri" w:eastAsia="MS Mincho" w:hAnsi="Calibri" w:cs="AdvTimes"/>
        </w:rPr>
      </w:pPr>
      <w:bookmarkStart w:id="35" w:name="_Hlk485861886"/>
      <w:r w:rsidRPr="00F14E6C">
        <w:rPr>
          <w:rFonts w:ascii="Calibri" w:eastAsia="MS Mincho" w:hAnsi="Calibri" w:cs="AdvTimes"/>
        </w:rPr>
        <w:t>14.</w:t>
      </w:r>
      <w:r w:rsidRPr="00F14E6C">
        <w:rPr>
          <w:rFonts w:ascii="Calibri" w:eastAsia="MS Mincho" w:hAnsi="Calibri" w:cs="AdvTimes"/>
        </w:rPr>
        <w:tab/>
        <w:t>Siggeirsdottir</w:t>
      </w:r>
      <w:bookmarkEnd w:id="35"/>
      <w:r w:rsidRPr="00F14E6C">
        <w:rPr>
          <w:rFonts w:ascii="Calibri" w:eastAsia="MS Mincho" w:hAnsi="Calibri" w:cs="AdvTimes"/>
        </w:rPr>
        <w:t xml:space="preserve"> K, Aspelund T, Sigurdsson G et al (2007) Inaccuracy in self-report of fractures may underestimate association with </w:t>
      </w:r>
      <w:r w:rsidRPr="00F14E6C">
        <w:rPr>
          <w:rFonts w:ascii="Calibri" w:eastAsia="MS Mincho" w:hAnsi="Calibri" w:cs="AdvTimes"/>
        </w:rPr>
        <w:lastRenderedPageBreak/>
        <w:t xml:space="preserve">health outcomes when compared with medical record based fracture registry. Eur J Epidemiol 22: 631-639. </w:t>
      </w:r>
    </w:p>
    <w:p w14:paraId="455BD5F0" w14:textId="6F4B209F"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15.</w:t>
      </w:r>
      <w:r w:rsidRPr="00F14E6C">
        <w:rPr>
          <w:rFonts w:ascii="Calibri" w:eastAsia="MS Mincho" w:hAnsi="Calibri" w:cs="AdvTimes"/>
        </w:rPr>
        <w:tab/>
        <w:t>Kanis JA, Oden A, Johnell O, Jonsson B, de Laet C, Dawson A (2001) The burden of osteoporotic fractures: a method for setting intervention thresholds. Osteoporos Int 12: 417–427</w:t>
      </w:r>
    </w:p>
    <w:p w14:paraId="6F2B383E"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lang w:val="en-US"/>
        </w:rPr>
        <w:t>16.</w:t>
      </w:r>
      <w:r w:rsidRPr="00F14E6C">
        <w:rPr>
          <w:rFonts w:ascii="Calibri" w:eastAsia="MS Mincho" w:hAnsi="Calibri" w:cs="AdvTimes"/>
          <w:lang w:val="en-US"/>
        </w:rPr>
        <w:tab/>
        <w:t xml:space="preserve">Olerud P, Tidermark J, Ponzer S, Ahrengart L, Bergstrom G (2011) Responsiveness of the EQ-5D in patients with proximal humeral fractures. J Shoulder Elbow Surg 20: 1200-6. </w:t>
      </w:r>
    </w:p>
    <w:p w14:paraId="68199D7B"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lang w:val="en-US"/>
        </w:rPr>
        <w:t>17.</w:t>
      </w:r>
      <w:r w:rsidRPr="00F14E6C">
        <w:rPr>
          <w:rFonts w:ascii="Calibri" w:eastAsia="MS Mincho" w:hAnsi="Calibri" w:cs="AdvTimes"/>
          <w:lang w:val="en-US"/>
        </w:rPr>
        <w:tab/>
        <w:t xml:space="preserve">Tidermark J, Bergstrom G (2007) Responsiveness of the EuroQol (EQ-5D) and the Nottingham Health Profile (NHP) in elderly patients with femoral neck fractures. Qual Life Res 16: 321-30. </w:t>
      </w:r>
    </w:p>
    <w:p w14:paraId="39BB545F"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18.</w:t>
      </w:r>
      <w:r w:rsidRPr="00F14E6C">
        <w:rPr>
          <w:rFonts w:ascii="Calibri" w:eastAsia="MS Mincho" w:hAnsi="Calibri" w:cs="AdvTimes"/>
        </w:rPr>
        <w:tab/>
        <w:t>Oppe M, Devlin NJ, Szende A (2007) EQ-5D value sets: inventory, comparative review and user guide: Springer</w:t>
      </w:r>
    </w:p>
    <w:p w14:paraId="62A08E6F" w14:textId="0D5AA678"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19.</w:t>
      </w:r>
      <w:r w:rsidRPr="00F14E6C">
        <w:rPr>
          <w:rFonts w:ascii="Calibri" w:eastAsia="MS Mincho" w:hAnsi="Calibri" w:cs="AdvTimes"/>
        </w:rPr>
        <w:tab/>
        <w:t>Borgstrom F, Zethraeus N, Johnell O et al (2006) Costs and quality of life associated with osteoporosis-related fractures in Sweden. Osteoporos Int 17: 637-50.</w:t>
      </w:r>
    </w:p>
    <w:p w14:paraId="448534EE" w14:textId="31F29B64" w:rsidR="007D19A5" w:rsidRPr="00F14E6C" w:rsidRDefault="007D19A5" w:rsidP="00150A15">
      <w:pPr>
        <w:ind w:left="567" w:hanging="567"/>
        <w:rPr>
          <w:rFonts w:ascii="Calibri" w:eastAsia="MS Mincho" w:hAnsi="Calibri" w:cs="AdvTimes"/>
          <w:bCs/>
          <w:iCs/>
        </w:rPr>
      </w:pPr>
      <w:bookmarkStart w:id="36" w:name="_Hlk487869998"/>
      <w:r w:rsidRPr="00F14E6C">
        <w:rPr>
          <w:rFonts w:ascii="Calibri" w:eastAsia="MS Mincho" w:hAnsi="Calibri" w:cs="AdvTimes"/>
          <w:bCs/>
          <w:iCs/>
        </w:rPr>
        <w:t>20.</w:t>
      </w:r>
      <w:r w:rsidRPr="00F14E6C">
        <w:rPr>
          <w:rFonts w:ascii="Calibri" w:eastAsia="MS Mincho" w:hAnsi="Calibri" w:cs="AdvTimes"/>
          <w:bCs/>
          <w:iCs/>
        </w:rPr>
        <w:tab/>
        <w:t>Svedbom A, Borgstöm B, Hernlund E</w:t>
      </w:r>
      <w:r w:rsidRPr="00F14E6C">
        <w:rPr>
          <w:rFonts w:ascii="Calibri" w:eastAsia="MS Mincho" w:hAnsi="Calibri" w:cs="AdvTimes"/>
          <w:bCs/>
          <w:iCs/>
          <w:lang w:val="en-US"/>
        </w:rPr>
        <w:t xml:space="preserve"> et al</w:t>
      </w:r>
      <w:r w:rsidRPr="00F14E6C">
        <w:rPr>
          <w:rFonts w:ascii="Calibri" w:eastAsia="MS Mincho" w:hAnsi="Calibri" w:cs="AdvTimes"/>
          <w:bCs/>
          <w:iCs/>
        </w:rPr>
        <w:t xml:space="preserve"> (2017) </w:t>
      </w:r>
      <w:r w:rsidRPr="00F14E6C">
        <w:rPr>
          <w:rFonts w:ascii="Calibri" w:eastAsia="MS Mincho" w:hAnsi="Calibri" w:cs="AdvTimes"/>
          <w:bCs/>
          <w:iCs/>
          <w:lang w:val="en-US"/>
        </w:rPr>
        <w:t>Quality of life after hip, vertebral, and distal forearm fragility fractures measured using the EQ-5D-3L, EQ-VAS, and Time Trade-Off: Results from the ICUROS</w:t>
      </w:r>
      <w:r w:rsidRPr="00F14E6C">
        <w:rPr>
          <w:rFonts w:ascii="Calibri" w:eastAsia="MS Mincho" w:hAnsi="Calibri" w:cs="AdvTimes"/>
          <w:bCs/>
          <w:iCs/>
        </w:rPr>
        <w:t xml:space="preserve">. </w:t>
      </w:r>
      <w:r w:rsidRPr="00F14E6C">
        <w:rPr>
          <w:rFonts w:ascii="Calibri" w:eastAsia="MS Mincho" w:hAnsi="Calibri" w:cs="AdvTimes"/>
          <w:bCs/>
          <w:iCs/>
          <w:lang w:val="en-US"/>
        </w:rPr>
        <w:t xml:space="preserve">Quality of Life Research. </w:t>
      </w:r>
      <w:bookmarkEnd w:id="36"/>
      <w:r w:rsidRPr="00F14E6C">
        <w:rPr>
          <w:rFonts w:ascii="Calibri" w:eastAsia="MS Mincho" w:hAnsi="Calibri" w:cs="AdvTimes"/>
          <w:bCs/>
          <w:iCs/>
        </w:rPr>
        <w:t xml:space="preserve">Osteoporos Int, in press </w:t>
      </w:r>
    </w:p>
    <w:p w14:paraId="454C6AEC"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21.</w:t>
      </w:r>
      <w:r w:rsidRPr="00F14E6C">
        <w:rPr>
          <w:rFonts w:ascii="Calibri" w:eastAsia="MS Mincho" w:hAnsi="Calibri" w:cs="AdvTimes"/>
        </w:rPr>
        <w:tab/>
        <w:t>Dolan P (1997) Modeling valuations for EuroQol health states. Medical Care 35: 1095-108.</w:t>
      </w:r>
    </w:p>
    <w:p w14:paraId="1FAEBF1F"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22.</w:t>
      </w:r>
      <w:r w:rsidRPr="00F14E6C">
        <w:rPr>
          <w:rFonts w:ascii="Calibri" w:eastAsia="MS Mincho" w:hAnsi="Calibri" w:cs="AdvTimes"/>
        </w:rPr>
        <w:tab/>
        <w:t>Breslow NE, Day NE (1987) Statistical Methods in Cancer Research. IARC Scientific Publications No 32 Volume II:p 131-135</w:t>
      </w:r>
    </w:p>
    <w:p w14:paraId="0DE6C482" w14:textId="77777777" w:rsidR="007D19A5" w:rsidRPr="00F14E6C" w:rsidRDefault="007D19A5" w:rsidP="00150A15">
      <w:pPr>
        <w:ind w:left="567" w:hanging="567"/>
        <w:rPr>
          <w:rFonts w:ascii="Calibri" w:eastAsia="MS Mincho" w:hAnsi="Calibri" w:cs="AdvTimes"/>
        </w:rPr>
      </w:pPr>
      <w:bookmarkStart w:id="37" w:name="_Hlk486120927"/>
      <w:r w:rsidRPr="00F14E6C">
        <w:rPr>
          <w:rFonts w:ascii="Calibri" w:eastAsia="MS Mincho" w:hAnsi="Calibri" w:cs="AdvTimes"/>
        </w:rPr>
        <w:t>23.</w:t>
      </w:r>
      <w:r w:rsidRPr="00F14E6C">
        <w:rPr>
          <w:rFonts w:ascii="Calibri" w:eastAsia="MS Mincho" w:hAnsi="Calibri" w:cs="AdvTimes"/>
        </w:rPr>
        <w:tab/>
        <w:t>Oden A, Dawson A, Dere W, Johnell O, Jonsson B, Kanis JA (1998) Lifetime risk of hip fracture is underestimated. Osteoporos Int 8: 599-603.</w:t>
      </w:r>
    </w:p>
    <w:bookmarkEnd w:id="37"/>
    <w:p w14:paraId="690D6433" w14:textId="0E982EF3"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24.</w:t>
      </w:r>
      <w:r w:rsidRPr="00F14E6C">
        <w:rPr>
          <w:rFonts w:ascii="Calibri" w:eastAsia="MS Mincho" w:hAnsi="Calibri" w:cs="AdvTimes"/>
        </w:rPr>
        <w:tab/>
        <w:t xml:space="preserve">Javaid MK, Kyer C, Mitchell PJ et al (2015) Effective secondary fracture prevention: implementation of a global benchmarking </w:t>
      </w:r>
      <w:r w:rsidRPr="00F14E6C">
        <w:rPr>
          <w:rFonts w:ascii="Calibri" w:eastAsia="MS Mincho" w:hAnsi="Calibri" w:cs="AdvTimes"/>
        </w:rPr>
        <w:lastRenderedPageBreak/>
        <w:t>of clinical quality using the IOF Capture the Fracture® Best Practice Framework tool. Osteoporos Int 26: 2573-8.</w:t>
      </w:r>
    </w:p>
    <w:p w14:paraId="41C9E27A"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25.</w:t>
      </w:r>
      <w:r w:rsidRPr="00F14E6C">
        <w:rPr>
          <w:rFonts w:ascii="Calibri" w:eastAsia="MS Mincho" w:hAnsi="Calibri" w:cs="AdvTimes"/>
        </w:rPr>
        <w:tab/>
        <w:t>Kanis JA, McCloskey EV, Johansson H et al (2013) European guidance for the diagnosis and management of osteoporosis in postmenopausal women. Osteoporos Int 24:23–57</w:t>
      </w:r>
    </w:p>
    <w:p w14:paraId="79023603"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26.</w:t>
      </w:r>
      <w:r w:rsidRPr="00F14E6C">
        <w:rPr>
          <w:rFonts w:ascii="Calibri" w:eastAsia="MS Mincho" w:hAnsi="Calibri" w:cs="AdvTimes"/>
        </w:rPr>
        <w:tab/>
        <w:t>Lyles KW, Colón-Emeric CS, Magaziner JS et al (2007)</w:t>
      </w:r>
      <w:r w:rsidRPr="00F14E6C">
        <w:t xml:space="preserve"> </w:t>
      </w:r>
      <w:r w:rsidRPr="00F14E6C">
        <w:rPr>
          <w:rFonts w:ascii="Calibri" w:eastAsia="MS Mincho" w:hAnsi="Calibri" w:cs="AdvTimes"/>
        </w:rPr>
        <w:t>Zoledronic acid and clinical fractures and mortality after hip fracture. N Engl J Med 357: 1799-809.</w:t>
      </w:r>
    </w:p>
    <w:p w14:paraId="64DF0D2B"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27.</w:t>
      </w:r>
      <w:r w:rsidRPr="00F14E6C">
        <w:rPr>
          <w:rFonts w:ascii="Calibri" w:eastAsia="MS Mincho" w:hAnsi="Calibri" w:cs="AdvTimes"/>
        </w:rPr>
        <w:tab/>
        <w:t>Bischoff Ferrari HA, Dawson Hughes B, Willett WC et al (2004) Effect of vitamin D on falls: a meta-analysis. JAMA 291:1999–2006</w:t>
      </w:r>
    </w:p>
    <w:p w14:paraId="5C092308"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28.</w:t>
      </w:r>
      <w:r w:rsidRPr="00F14E6C">
        <w:rPr>
          <w:rFonts w:ascii="Calibri" w:eastAsia="MS Mincho" w:hAnsi="Calibri" w:cs="AdvTimes"/>
        </w:rPr>
        <w:tab/>
        <w:t>Helden van S,Wyers CE, Dagnelie PC et al (2007) Risk of falling in patients with a recent fracture. BMC Musculoskelet Disord 8:55</w:t>
      </w:r>
    </w:p>
    <w:p w14:paraId="6591BFC6"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29.</w:t>
      </w:r>
      <w:r w:rsidRPr="00F14E6C">
        <w:rPr>
          <w:rFonts w:ascii="Calibri" w:eastAsia="MS Mincho" w:hAnsi="Calibri" w:cs="AdvTimes"/>
        </w:rPr>
        <w:tab/>
        <w:t>Bonafede M, Shi N, Barron R, Li X, Crittenden DB, Chandler D (2016) Predicting imminent risk for fracture in patients aged 50 or older with osteoporosis using US claims data. Arch Osteoporos 11:26. doi:10.1007/s11657-016-0280-5</w:t>
      </w:r>
    </w:p>
    <w:p w14:paraId="2376EEEA"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30.</w:t>
      </w:r>
      <w:r w:rsidRPr="00F14E6C">
        <w:rPr>
          <w:rFonts w:ascii="Calibri" w:eastAsia="MS Mincho" w:hAnsi="Calibri" w:cs="AdvTimes"/>
        </w:rPr>
        <w:tab/>
        <w:t>Bjornsson G, Bjornsson OJ, Davidsson D et al (1982) Report abc XXIV. Health survey in the Reykjavik area—women. Stages I-III, 1968–1969, 1971–1972 and 1976–1978. Participants, invitation, response etc. The Icelandic Heart Association, Reykjavík</w:t>
      </w:r>
    </w:p>
    <w:p w14:paraId="24B854A3"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rPr>
        <w:t>31.</w:t>
      </w:r>
      <w:r w:rsidRPr="00F14E6C">
        <w:rPr>
          <w:rFonts w:ascii="Calibri" w:eastAsia="MS Mincho" w:hAnsi="Calibri" w:cs="AdvTimes"/>
        </w:rPr>
        <w:tab/>
        <w:t>Bjornsson OJ, Davidsson D., Olafsson H et al. (1979) Report XVIII. Health survey in the Reykjavik area—men. Stages I–III, 1967–1968, 1970–1971 and 1974–1975. Participants, invitation, response etc. The Icelandic Heart Association, Reykjavík</w:t>
      </w:r>
    </w:p>
    <w:p w14:paraId="4E93AB95" w14:textId="77777777" w:rsidR="007D19A5" w:rsidRPr="00F14E6C" w:rsidRDefault="007D19A5" w:rsidP="00150A15">
      <w:pPr>
        <w:ind w:left="567" w:hanging="567"/>
        <w:rPr>
          <w:rFonts w:ascii="Calibri" w:eastAsia="MS Mincho" w:hAnsi="Calibri" w:cs="AdvTimes"/>
        </w:rPr>
      </w:pPr>
      <w:r w:rsidRPr="00F14E6C">
        <w:rPr>
          <w:rFonts w:ascii="Calibri" w:eastAsia="MS Mincho" w:hAnsi="Calibri" w:cs="AdvTimes"/>
          <w:bCs/>
        </w:rPr>
        <w:t>32.</w:t>
      </w:r>
      <w:r w:rsidRPr="00F14E6C">
        <w:rPr>
          <w:rFonts w:ascii="Calibri" w:eastAsia="MS Mincho" w:hAnsi="Calibri" w:cs="AdvTimes"/>
          <w:bCs/>
        </w:rPr>
        <w:tab/>
        <w:t>Kanis JA</w:t>
      </w:r>
      <w:r w:rsidRPr="00F14E6C">
        <w:rPr>
          <w:rFonts w:ascii="Calibri" w:eastAsia="MS Mincho" w:hAnsi="Calibri" w:cs="AdvTimes"/>
        </w:rPr>
        <w:t>, Odén A, McCloskey EV, Johansson H, Wahl D, Cyrus Cooper C on behalf of the IOF Working Group on Epidemiology and Quality of Life (2012) A systematic review of hip fracture incidence and probability of fracture worldwide. Osteoporos Int 23: 2239-2256.</w:t>
      </w:r>
    </w:p>
    <w:p w14:paraId="7C29A309" w14:textId="77777777" w:rsidR="00722793" w:rsidRPr="00F14E6C" w:rsidRDefault="00722793" w:rsidP="002B0F85">
      <w:pPr>
        <w:rPr>
          <w:b/>
          <w:lang w:val="en-US"/>
        </w:rPr>
      </w:pPr>
    </w:p>
    <w:p w14:paraId="70D81507" w14:textId="5A15757B" w:rsidR="002B0F85" w:rsidRPr="00F14E6C" w:rsidRDefault="002B0F85" w:rsidP="002B0F85">
      <w:pPr>
        <w:rPr>
          <w:b/>
          <w:lang w:val="en-US"/>
        </w:rPr>
      </w:pPr>
      <w:r w:rsidRPr="00F14E6C">
        <w:rPr>
          <w:b/>
          <w:lang w:val="en-US"/>
        </w:rPr>
        <w:t>Supplementary tables</w:t>
      </w:r>
    </w:p>
    <w:p w14:paraId="143209E6" w14:textId="2BD44FA2" w:rsidR="002B0F85" w:rsidRPr="00F14E6C" w:rsidRDefault="002B0F85" w:rsidP="002B0F85">
      <w:pPr>
        <w:rPr>
          <w:lang w:val="en-US"/>
        </w:rPr>
      </w:pPr>
      <w:r w:rsidRPr="00F14E6C">
        <w:rPr>
          <w:b/>
          <w:lang w:val="en-US"/>
        </w:rPr>
        <w:t xml:space="preserve">Table </w:t>
      </w:r>
      <w:r w:rsidR="000C48FF" w:rsidRPr="00F14E6C">
        <w:rPr>
          <w:b/>
          <w:lang w:val="en-US"/>
        </w:rPr>
        <w:t>S</w:t>
      </w:r>
      <w:r w:rsidRPr="00F14E6C">
        <w:rPr>
          <w:b/>
          <w:lang w:val="en-US"/>
        </w:rPr>
        <w:t>1.</w:t>
      </w:r>
      <w:r w:rsidRPr="00F14E6C">
        <w:rPr>
          <w:lang w:val="en-US"/>
        </w:rPr>
        <w:t xml:space="preserve"> Utility loss associated with different osteoporotic fractures</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518"/>
        <w:gridCol w:w="1134"/>
        <w:gridCol w:w="1134"/>
        <w:gridCol w:w="1701"/>
        <w:gridCol w:w="2529"/>
      </w:tblGrid>
      <w:tr w:rsidR="002B0F85" w:rsidRPr="00F14E6C" w14:paraId="30480243" w14:textId="77777777" w:rsidTr="003B6C9F">
        <w:tc>
          <w:tcPr>
            <w:tcW w:w="2518" w:type="dxa"/>
            <w:tcBorders>
              <w:top w:val="single" w:sz="4" w:space="0" w:color="auto"/>
              <w:bottom w:val="single" w:sz="4" w:space="0" w:color="auto"/>
            </w:tcBorders>
            <w:shd w:val="clear" w:color="auto" w:fill="FFFFFF" w:themeFill="background1"/>
          </w:tcPr>
          <w:p w14:paraId="5EB27EB7" w14:textId="77777777" w:rsidR="002B0F85" w:rsidRPr="00F14E6C" w:rsidRDefault="002B0F85" w:rsidP="002B0F85">
            <w:pPr>
              <w:rPr>
                <w:b/>
              </w:rPr>
            </w:pPr>
            <w:r w:rsidRPr="00F14E6C">
              <w:rPr>
                <w:b/>
              </w:rPr>
              <w:t>Fracture site</w:t>
            </w:r>
          </w:p>
        </w:tc>
        <w:tc>
          <w:tcPr>
            <w:tcW w:w="1134" w:type="dxa"/>
            <w:tcBorders>
              <w:top w:val="single" w:sz="4" w:space="0" w:color="auto"/>
              <w:bottom w:val="single" w:sz="4" w:space="0" w:color="auto"/>
            </w:tcBorders>
            <w:shd w:val="clear" w:color="auto" w:fill="FFFFFF" w:themeFill="background1"/>
          </w:tcPr>
          <w:p w14:paraId="00B41B3C" w14:textId="77777777" w:rsidR="002B0F85" w:rsidRPr="00F14E6C" w:rsidRDefault="002B0F85" w:rsidP="002B0F85">
            <w:pPr>
              <w:rPr>
                <w:b/>
              </w:rPr>
            </w:pPr>
            <w:r w:rsidRPr="00F14E6C">
              <w:rPr>
                <w:b/>
              </w:rPr>
              <w:t>1</w:t>
            </w:r>
            <w:r w:rsidRPr="00F14E6C">
              <w:rPr>
                <w:b/>
                <w:vertAlign w:val="superscript"/>
              </w:rPr>
              <w:t>st</w:t>
            </w:r>
            <w:r w:rsidRPr="00F14E6C">
              <w:rPr>
                <w:b/>
              </w:rPr>
              <w:t xml:space="preserve"> year</w:t>
            </w:r>
          </w:p>
        </w:tc>
        <w:tc>
          <w:tcPr>
            <w:tcW w:w="1134" w:type="dxa"/>
            <w:tcBorders>
              <w:top w:val="single" w:sz="4" w:space="0" w:color="auto"/>
              <w:bottom w:val="single" w:sz="4" w:space="0" w:color="auto"/>
            </w:tcBorders>
            <w:shd w:val="clear" w:color="auto" w:fill="FFFFFF" w:themeFill="background1"/>
          </w:tcPr>
          <w:p w14:paraId="18857DBA" w14:textId="77777777" w:rsidR="002B0F85" w:rsidRPr="00F14E6C" w:rsidRDefault="002B0F85" w:rsidP="002B0F85">
            <w:pPr>
              <w:rPr>
                <w:b/>
              </w:rPr>
            </w:pPr>
            <w:r w:rsidRPr="00F14E6C">
              <w:rPr>
                <w:b/>
              </w:rPr>
              <w:t>2</w:t>
            </w:r>
            <w:r w:rsidRPr="00F14E6C">
              <w:rPr>
                <w:b/>
                <w:vertAlign w:val="superscript"/>
              </w:rPr>
              <w:t>nd</w:t>
            </w:r>
            <w:r w:rsidRPr="00F14E6C">
              <w:rPr>
                <w:b/>
              </w:rPr>
              <w:t xml:space="preserve"> year</w:t>
            </w:r>
          </w:p>
        </w:tc>
        <w:tc>
          <w:tcPr>
            <w:tcW w:w="1701" w:type="dxa"/>
            <w:tcBorders>
              <w:top w:val="single" w:sz="4" w:space="0" w:color="auto"/>
              <w:bottom w:val="single" w:sz="4" w:space="0" w:color="auto"/>
            </w:tcBorders>
            <w:shd w:val="clear" w:color="auto" w:fill="FFFFFF" w:themeFill="background1"/>
          </w:tcPr>
          <w:p w14:paraId="54351380" w14:textId="77777777" w:rsidR="002B0F85" w:rsidRPr="00F14E6C" w:rsidRDefault="002B0F85" w:rsidP="002B0F85">
            <w:pPr>
              <w:rPr>
                <w:b/>
              </w:rPr>
            </w:pPr>
            <w:r w:rsidRPr="00F14E6C">
              <w:rPr>
                <w:b/>
              </w:rPr>
              <w:t>subsequent years</w:t>
            </w:r>
          </w:p>
        </w:tc>
        <w:tc>
          <w:tcPr>
            <w:tcW w:w="2529" w:type="dxa"/>
            <w:tcBorders>
              <w:top w:val="single" w:sz="4" w:space="0" w:color="auto"/>
              <w:bottom w:val="single" w:sz="4" w:space="0" w:color="auto"/>
            </w:tcBorders>
            <w:shd w:val="clear" w:color="auto" w:fill="FFFFFF" w:themeFill="background1"/>
          </w:tcPr>
          <w:p w14:paraId="1339ED0F" w14:textId="77777777" w:rsidR="002B0F85" w:rsidRPr="00F14E6C" w:rsidRDefault="002B0F85" w:rsidP="002B0F85">
            <w:pPr>
              <w:rPr>
                <w:b/>
              </w:rPr>
            </w:pPr>
            <w:r w:rsidRPr="00F14E6C">
              <w:rPr>
                <w:b/>
              </w:rPr>
              <w:t>notes</w:t>
            </w:r>
          </w:p>
        </w:tc>
      </w:tr>
      <w:tr w:rsidR="002B0F85" w:rsidRPr="00F14E6C" w14:paraId="7538EE76" w14:textId="77777777" w:rsidTr="003B6C9F">
        <w:tc>
          <w:tcPr>
            <w:tcW w:w="2518" w:type="dxa"/>
            <w:shd w:val="clear" w:color="auto" w:fill="FFFFFF" w:themeFill="background1"/>
          </w:tcPr>
          <w:p w14:paraId="558B8574" w14:textId="77777777" w:rsidR="002B0F85" w:rsidRPr="00F14E6C" w:rsidRDefault="002B0F85" w:rsidP="002B0F85">
            <w:pPr>
              <w:rPr>
                <w:b/>
              </w:rPr>
            </w:pPr>
            <w:r w:rsidRPr="00F14E6C">
              <w:t>Tibia/fibula</w:t>
            </w:r>
          </w:p>
        </w:tc>
        <w:tc>
          <w:tcPr>
            <w:tcW w:w="1134" w:type="dxa"/>
            <w:shd w:val="clear" w:color="auto" w:fill="FFFFFF" w:themeFill="background1"/>
          </w:tcPr>
          <w:p w14:paraId="648B870F" w14:textId="77777777" w:rsidR="002B0F85" w:rsidRPr="00F14E6C" w:rsidRDefault="002B0F85" w:rsidP="002B0F85">
            <w:pPr>
              <w:rPr>
                <w:b/>
              </w:rPr>
            </w:pPr>
            <w:r w:rsidRPr="00F14E6C">
              <w:t>0.37</w:t>
            </w:r>
          </w:p>
        </w:tc>
        <w:tc>
          <w:tcPr>
            <w:tcW w:w="1134" w:type="dxa"/>
            <w:shd w:val="clear" w:color="auto" w:fill="FFFFFF" w:themeFill="background1"/>
          </w:tcPr>
          <w:p w14:paraId="57C93512" w14:textId="77777777" w:rsidR="002B0F85" w:rsidRPr="00F14E6C" w:rsidRDefault="002B0F85" w:rsidP="002B0F85">
            <w:pPr>
              <w:rPr>
                <w:b/>
              </w:rPr>
            </w:pPr>
            <w:r w:rsidRPr="00F14E6C">
              <w:t>0.16</w:t>
            </w:r>
          </w:p>
        </w:tc>
        <w:tc>
          <w:tcPr>
            <w:tcW w:w="1701" w:type="dxa"/>
            <w:shd w:val="clear" w:color="auto" w:fill="FFFFFF" w:themeFill="background1"/>
          </w:tcPr>
          <w:p w14:paraId="5D05DF96" w14:textId="77777777" w:rsidR="002B0F85" w:rsidRPr="00F14E6C" w:rsidRDefault="002B0F85" w:rsidP="002B0F85">
            <w:pPr>
              <w:rPr>
                <w:b/>
              </w:rPr>
            </w:pPr>
            <w:r w:rsidRPr="00F14E6C">
              <w:t>0.15</w:t>
            </w:r>
          </w:p>
        </w:tc>
        <w:tc>
          <w:tcPr>
            <w:tcW w:w="2529" w:type="dxa"/>
            <w:shd w:val="clear" w:color="auto" w:fill="FFFFFF" w:themeFill="background1"/>
          </w:tcPr>
          <w:p w14:paraId="455F547C" w14:textId="77777777" w:rsidR="002B0F85" w:rsidRPr="00F14E6C" w:rsidRDefault="002B0F85" w:rsidP="002B0F85">
            <w:pPr>
              <w:rPr>
                <w:b/>
              </w:rPr>
            </w:pPr>
            <w:r w:rsidRPr="00F14E6C">
              <w:t>ICUROS*</w:t>
            </w:r>
          </w:p>
        </w:tc>
      </w:tr>
      <w:tr w:rsidR="002B0F85" w:rsidRPr="00F14E6C" w14:paraId="2082BEAC" w14:textId="77777777" w:rsidTr="003B6C9F">
        <w:tc>
          <w:tcPr>
            <w:tcW w:w="2518" w:type="dxa"/>
            <w:tcBorders>
              <w:bottom w:val="nil"/>
            </w:tcBorders>
            <w:shd w:val="clear" w:color="auto" w:fill="FFFFFF" w:themeFill="background1"/>
          </w:tcPr>
          <w:p w14:paraId="242127C5" w14:textId="77777777" w:rsidR="002B0F85" w:rsidRPr="00F14E6C" w:rsidRDefault="002B0F85" w:rsidP="002B0F85">
            <w:pPr>
              <w:rPr>
                <w:b/>
              </w:rPr>
            </w:pPr>
            <w:r w:rsidRPr="00F14E6C">
              <w:t xml:space="preserve">Hip </w:t>
            </w:r>
          </w:p>
        </w:tc>
        <w:tc>
          <w:tcPr>
            <w:tcW w:w="1134" w:type="dxa"/>
            <w:tcBorders>
              <w:bottom w:val="nil"/>
            </w:tcBorders>
            <w:shd w:val="clear" w:color="auto" w:fill="FFFFFF" w:themeFill="background1"/>
          </w:tcPr>
          <w:p w14:paraId="26FF70A2" w14:textId="77777777" w:rsidR="002B0F85" w:rsidRPr="00F14E6C" w:rsidRDefault="002B0F85" w:rsidP="002B0F85">
            <w:pPr>
              <w:rPr>
                <w:b/>
              </w:rPr>
            </w:pPr>
            <w:r w:rsidRPr="00F14E6C">
              <w:t>0.35</w:t>
            </w:r>
          </w:p>
        </w:tc>
        <w:tc>
          <w:tcPr>
            <w:tcW w:w="1134" w:type="dxa"/>
            <w:tcBorders>
              <w:bottom w:val="nil"/>
            </w:tcBorders>
            <w:shd w:val="clear" w:color="auto" w:fill="FFFFFF" w:themeFill="background1"/>
          </w:tcPr>
          <w:p w14:paraId="3090B5F1" w14:textId="77777777" w:rsidR="002B0F85" w:rsidRPr="00F14E6C" w:rsidRDefault="002B0F85" w:rsidP="002B0F85">
            <w:pPr>
              <w:rPr>
                <w:b/>
              </w:rPr>
            </w:pPr>
            <w:r w:rsidRPr="00F14E6C">
              <w:t>0.12</w:t>
            </w:r>
          </w:p>
        </w:tc>
        <w:tc>
          <w:tcPr>
            <w:tcW w:w="1701" w:type="dxa"/>
            <w:tcBorders>
              <w:bottom w:val="nil"/>
            </w:tcBorders>
            <w:shd w:val="clear" w:color="auto" w:fill="FFFFFF" w:themeFill="background1"/>
          </w:tcPr>
          <w:p w14:paraId="3AA0B625" w14:textId="77777777" w:rsidR="002B0F85" w:rsidRPr="00F14E6C" w:rsidRDefault="002B0F85" w:rsidP="002B0F85">
            <w:pPr>
              <w:rPr>
                <w:b/>
              </w:rPr>
            </w:pPr>
            <w:r w:rsidRPr="00F14E6C">
              <w:t>0.11</w:t>
            </w:r>
          </w:p>
        </w:tc>
        <w:tc>
          <w:tcPr>
            <w:tcW w:w="2529" w:type="dxa"/>
            <w:tcBorders>
              <w:bottom w:val="nil"/>
            </w:tcBorders>
            <w:shd w:val="clear" w:color="auto" w:fill="FFFFFF" w:themeFill="background1"/>
          </w:tcPr>
          <w:p w14:paraId="427869E1" w14:textId="77777777" w:rsidR="002B0F85" w:rsidRPr="00F14E6C" w:rsidRDefault="002B0F85" w:rsidP="002B0F85">
            <w:pPr>
              <w:rPr>
                <w:b/>
              </w:rPr>
            </w:pPr>
            <w:r w:rsidRPr="00F14E6C">
              <w:t>ICUROS</w:t>
            </w:r>
          </w:p>
        </w:tc>
      </w:tr>
      <w:tr w:rsidR="002B0F85" w:rsidRPr="00F14E6C" w14:paraId="44942D61" w14:textId="77777777" w:rsidTr="003B6C9F">
        <w:tc>
          <w:tcPr>
            <w:tcW w:w="2518" w:type="dxa"/>
            <w:tcBorders>
              <w:top w:val="nil"/>
              <w:bottom w:val="nil"/>
            </w:tcBorders>
            <w:shd w:val="clear" w:color="auto" w:fill="FFFFFF" w:themeFill="background1"/>
          </w:tcPr>
          <w:p w14:paraId="52D98F78" w14:textId="77777777" w:rsidR="002B0F85" w:rsidRPr="00F14E6C" w:rsidRDefault="002B0F85" w:rsidP="002B0F85">
            <w:pPr>
              <w:rPr>
                <w:b/>
              </w:rPr>
            </w:pPr>
            <w:r w:rsidRPr="00F14E6C">
              <w:t xml:space="preserve">Other femoral fractures </w:t>
            </w:r>
          </w:p>
        </w:tc>
        <w:tc>
          <w:tcPr>
            <w:tcW w:w="1134" w:type="dxa"/>
            <w:tcBorders>
              <w:top w:val="nil"/>
              <w:bottom w:val="nil"/>
            </w:tcBorders>
            <w:shd w:val="clear" w:color="auto" w:fill="FFFFFF" w:themeFill="background1"/>
          </w:tcPr>
          <w:p w14:paraId="7F61D744" w14:textId="77777777" w:rsidR="002B0F85" w:rsidRPr="00F14E6C" w:rsidRDefault="002B0F85" w:rsidP="002B0F85">
            <w:pPr>
              <w:rPr>
                <w:b/>
              </w:rPr>
            </w:pPr>
            <w:r w:rsidRPr="00F14E6C">
              <w:t>0.35</w:t>
            </w:r>
          </w:p>
        </w:tc>
        <w:tc>
          <w:tcPr>
            <w:tcW w:w="1134" w:type="dxa"/>
            <w:tcBorders>
              <w:top w:val="nil"/>
              <w:bottom w:val="nil"/>
            </w:tcBorders>
            <w:shd w:val="clear" w:color="auto" w:fill="FFFFFF" w:themeFill="background1"/>
          </w:tcPr>
          <w:p w14:paraId="678C4263" w14:textId="77777777" w:rsidR="002B0F85" w:rsidRPr="00F14E6C" w:rsidRDefault="002B0F85" w:rsidP="002B0F85">
            <w:pPr>
              <w:rPr>
                <w:b/>
              </w:rPr>
            </w:pPr>
            <w:r w:rsidRPr="00F14E6C">
              <w:t>0.12</w:t>
            </w:r>
          </w:p>
        </w:tc>
        <w:tc>
          <w:tcPr>
            <w:tcW w:w="1701" w:type="dxa"/>
            <w:tcBorders>
              <w:top w:val="nil"/>
              <w:bottom w:val="nil"/>
            </w:tcBorders>
            <w:shd w:val="clear" w:color="auto" w:fill="FFFFFF" w:themeFill="background1"/>
          </w:tcPr>
          <w:p w14:paraId="0ADBC562" w14:textId="77777777" w:rsidR="002B0F85" w:rsidRPr="00F14E6C" w:rsidRDefault="002B0F85" w:rsidP="002B0F85">
            <w:pPr>
              <w:rPr>
                <w:b/>
              </w:rPr>
            </w:pPr>
            <w:r w:rsidRPr="00F14E6C">
              <w:t>0.11</w:t>
            </w:r>
          </w:p>
        </w:tc>
        <w:tc>
          <w:tcPr>
            <w:tcW w:w="2529" w:type="dxa"/>
            <w:tcBorders>
              <w:top w:val="nil"/>
              <w:bottom w:val="nil"/>
            </w:tcBorders>
            <w:shd w:val="clear" w:color="auto" w:fill="FFFFFF" w:themeFill="background1"/>
          </w:tcPr>
          <w:p w14:paraId="2C2FE5EB" w14:textId="77777777" w:rsidR="002B0F85" w:rsidRPr="00F14E6C" w:rsidRDefault="002B0F85" w:rsidP="002B0F85">
            <w:pPr>
              <w:rPr>
                <w:b/>
              </w:rPr>
            </w:pPr>
            <w:r w:rsidRPr="00F14E6C">
              <w:t xml:space="preserve">ICUROS – assumed to = hip </w:t>
            </w:r>
          </w:p>
        </w:tc>
      </w:tr>
      <w:tr w:rsidR="002B0F85" w:rsidRPr="00F14E6C" w14:paraId="199EB496" w14:textId="77777777" w:rsidTr="003B6C9F">
        <w:tc>
          <w:tcPr>
            <w:tcW w:w="2518" w:type="dxa"/>
            <w:tcBorders>
              <w:top w:val="nil"/>
            </w:tcBorders>
            <w:shd w:val="clear" w:color="auto" w:fill="FFFFFF" w:themeFill="background1"/>
          </w:tcPr>
          <w:p w14:paraId="039DC73F" w14:textId="77777777" w:rsidR="002B0F85" w:rsidRPr="00F14E6C" w:rsidRDefault="002B0F85" w:rsidP="002B0F85">
            <w:r w:rsidRPr="00F14E6C">
              <w:t xml:space="preserve">Vertebra (clinical) </w:t>
            </w:r>
          </w:p>
        </w:tc>
        <w:tc>
          <w:tcPr>
            <w:tcW w:w="1134" w:type="dxa"/>
            <w:tcBorders>
              <w:top w:val="nil"/>
            </w:tcBorders>
            <w:shd w:val="clear" w:color="auto" w:fill="FFFFFF" w:themeFill="background1"/>
          </w:tcPr>
          <w:p w14:paraId="56F169AB" w14:textId="77777777" w:rsidR="002B0F85" w:rsidRPr="00F14E6C" w:rsidRDefault="002B0F85" w:rsidP="002B0F85">
            <w:r w:rsidRPr="00F14E6C">
              <w:t xml:space="preserve">0.27                                                                     </w:t>
            </w:r>
          </w:p>
        </w:tc>
        <w:tc>
          <w:tcPr>
            <w:tcW w:w="1134" w:type="dxa"/>
            <w:tcBorders>
              <w:top w:val="nil"/>
            </w:tcBorders>
            <w:shd w:val="clear" w:color="auto" w:fill="FFFFFF" w:themeFill="background1"/>
          </w:tcPr>
          <w:p w14:paraId="066F9E4A" w14:textId="77777777" w:rsidR="002B0F85" w:rsidRPr="00F14E6C" w:rsidRDefault="002B0F85" w:rsidP="002B0F85">
            <w:r w:rsidRPr="00F14E6C">
              <w:t>0.13</w:t>
            </w:r>
          </w:p>
        </w:tc>
        <w:tc>
          <w:tcPr>
            <w:tcW w:w="1701" w:type="dxa"/>
            <w:tcBorders>
              <w:top w:val="nil"/>
            </w:tcBorders>
            <w:shd w:val="clear" w:color="auto" w:fill="FFFFFF" w:themeFill="background1"/>
          </w:tcPr>
          <w:p w14:paraId="03183635" w14:textId="77777777" w:rsidR="002B0F85" w:rsidRPr="00F14E6C" w:rsidRDefault="002B0F85" w:rsidP="002B0F85">
            <w:r w:rsidRPr="00F14E6C">
              <w:t>0.13</w:t>
            </w:r>
          </w:p>
        </w:tc>
        <w:tc>
          <w:tcPr>
            <w:tcW w:w="2529" w:type="dxa"/>
            <w:tcBorders>
              <w:top w:val="nil"/>
            </w:tcBorders>
            <w:shd w:val="clear" w:color="auto" w:fill="FFFFFF" w:themeFill="background1"/>
          </w:tcPr>
          <w:p w14:paraId="52E44101" w14:textId="77777777" w:rsidR="002B0F85" w:rsidRPr="00F14E6C" w:rsidRDefault="002B0F85" w:rsidP="002B0F85">
            <w:r w:rsidRPr="00F14E6C">
              <w:t>ICUROS</w:t>
            </w:r>
          </w:p>
        </w:tc>
      </w:tr>
      <w:tr w:rsidR="002B0F85" w:rsidRPr="00F14E6C" w14:paraId="7BFB0ECA" w14:textId="77777777" w:rsidTr="003B6C9F">
        <w:tc>
          <w:tcPr>
            <w:tcW w:w="2518" w:type="dxa"/>
            <w:shd w:val="clear" w:color="auto" w:fill="FFFFFF" w:themeFill="background1"/>
          </w:tcPr>
          <w:p w14:paraId="78829436" w14:textId="77777777" w:rsidR="002B0F85" w:rsidRPr="00F14E6C" w:rsidRDefault="002B0F85" w:rsidP="002B0F85">
            <w:r w:rsidRPr="00F14E6C">
              <w:t xml:space="preserve">Pelvis </w:t>
            </w:r>
          </w:p>
        </w:tc>
        <w:tc>
          <w:tcPr>
            <w:tcW w:w="1134" w:type="dxa"/>
            <w:shd w:val="clear" w:color="auto" w:fill="FFFFFF" w:themeFill="background1"/>
            <w:vAlign w:val="bottom"/>
          </w:tcPr>
          <w:p w14:paraId="447CE4E3" w14:textId="77777777" w:rsidR="002B0F85" w:rsidRPr="00F14E6C" w:rsidRDefault="002B0F85" w:rsidP="002B0F85">
            <w:r w:rsidRPr="00F14E6C">
              <w:rPr>
                <w:lang w:val="en-US"/>
              </w:rPr>
              <w:t>0.20</w:t>
            </w:r>
          </w:p>
        </w:tc>
        <w:tc>
          <w:tcPr>
            <w:tcW w:w="1134" w:type="dxa"/>
            <w:shd w:val="clear" w:color="auto" w:fill="FFFFFF" w:themeFill="background1"/>
            <w:vAlign w:val="bottom"/>
          </w:tcPr>
          <w:p w14:paraId="0665A951" w14:textId="77777777" w:rsidR="002B0F85" w:rsidRPr="00F14E6C" w:rsidRDefault="002B0F85" w:rsidP="002B0F85">
            <w:r w:rsidRPr="00F14E6C">
              <w:rPr>
                <w:lang w:val="en-US"/>
              </w:rPr>
              <w:t>0.05</w:t>
            </w:r>
          </w:p>
        </w:tc>
        <w:tc>
          <w:tcPr>
            <w:tcW w:w="1701" w:type="dxa"/>
            <w:shd w:val="clear" w:color="auto" w:fill="FFFFFF" w:themeFill="background1"/>
            <w:vAlign w:val="bottom"/>
          </w:tcPr>
          <w:p w14:paraId="051D3B88" w14:textId="77777777" w:rsidR="002B0F85" w:rsidRPr="00F14E6C" w:rsidRDefault="002B0F85" w:rsidP="002B0F85">
            <w:r w:rsidRPr="00F14E6C">
              <w:rPr>
                <w:lang w:val="en-US"/>
              </w:rPr>
              <w:t>0.04</w:t>
            </w:r>
          </w:p>
        </w:tc>
        <w:tc>
          <w:tcPr>
            <w:tcW w:w="2529" w:type="dxa"/>
            <w:shd w:val="clear" w:color="auto" w:fill="FFFFFF" w:themeFill="background1"/>
          </w:tcPr>
          <w:p w14:paraId="4D817F3C" w14:textId="77777777" w:rsidR="002B0F85" w:rsidRPr="00F14E6C" w:rsidRDefault="002B0F85" w:rsidP="002B0F85">
            <w:r w:rsidRPr="00F14E6C">
              <w:t>ICUROS*</w:t>
            </w:r>
          </w:p>
        </w:tc>
      </w:tr>
      <w:tr w:rsidR="002B0F85" w:rsidRPr="00F14E6C" w14:paraId="2917B315" w14:textId="77777777" w:rsidTr="003B6C9F">
        <w:tc>
          <w:tcPr>
            <w:tcW w:w="2518" w:type="dxa"/>
            <w:shd w:val="clear" w:color="auto" w:fill="FFFFFF" w:themeFill="background1"/>
          </w:tcPr>
          <w:p w14:paraId="69734E19" w14:textId="77777777" w:rsidR="002B0F85" w:rsidRPr="00F14E6C" w:rsidRDefault="002B0F85" w:rsidP="002B0F85">
            <w:r w:rsidRPr="00F14E6C">
              <w:t xml:space="preserve">Humerus </w:t>
            </w:r>
          </w:p>
        </w:tc>
        <w:tc>
          <w:tcPr>
            <w:tcW w:w="1134" w:type="dxa"/>
            <w:shd w:val="clear" w:color="auto" w:fill="FFFFFF" w:themeFill="background1"/>
          </w:tcPr>
          <w:p w14:paraId="0787F285" w14:textId="77777777" w:rsidR="002B0F85" w:rsidRPr="00F14E6C" w:rsidRDefault="002B0F85" w:rsidP="002B0F85">
            <w:r w:rsidRPr="00F14E6C">
              <w:t>0.19</w:t>
            </w:r>
          </w:p>
        </w:tc>
        <w:tc>
          <w:tcPr>
            <w:tcW w:w="1134" w:type="dxa"/>
            <w:shd w:val="clear" w:color="auto" w:fill="FFFFFF" w:themeFill="background1"/>
          </w:tcPr>
          <w:p w14:paraId="056F9F34" w14:textId="77777777" w:rsidR="002B0F85" w:rsidRPr="00F14E6C" w:rsidRDefault="002B0F85" w:rsidP="002B0F85">
            <w:r w:rsidRPr="00F14E6C">
              <w:t>0.05</w:t>
            </w:r>
          </w:p>
        </w:tc>
        <w:tc>
          <w:tcPr>
            <w:tcW w:w="1701" w:type="dxa"/>
            <w:shd w:val="clear" w:color="auto" w:fill="FFFFFF" w:themeFill="background1"/>
          </w:tcPr>
          <w:p w14:paraId="263B3AED" w14:textId="77777777" w:rsidR="002B0F85" w:rsidRPr="00F14E6C" w:rsidRDefault="002B0F85" w:rsidP="002B0F85">
            <w:r w:rsidRPr="00F14E6C">
              <w:t>0.04</w:t>
            </w:r>
          </w:p>
        </w:tc>
        <w:tc>
          <w:tcPr>
            <w:tcW w:w="2529" w:type="dxa"/>
            <w:shd w:val="clear" w:color="auto" w:fill="FFFFFF" w:themeFill="background1"/>
          </w:tcPr>
          <w:p w14:paraId="49504FF1" w14:textId="77777777" w:rsidR="002B0F85" w:rsidRPr="00F14E6C" w:rsidRDefault="002B0F85" w:rsidP="002B0F85">
            <w:r w:rsidRPr="00F14E6C">
              <w:t>ICUROS*</w:t>
            </w:r>
          </w:p>
        </w:tc>
      </w:tr>
      <w:tr w:rsidR="002B0F85" w:rsidRPr="00F14E6C" w14:paraId="64EEFDED" w14:textId="77777777" w:rsidTr="003B6C9F">
        <w:tc>
          <w:tcPr>
            <w:tcW w:w="2518" w:type="dxa"/>
            <w:shd w:val="clear" w:color="auto" w:fill="FFFFFF" w:themeFill="background1"/>
            <w:vAlign w:val="bottom"/>
          </w:tcPr>
          <w:p w14:paraId="0D3E0100" w14:textId="77777777" w:rsidR="002B0F85" w:rsidRPr="00F14E6C" w:rsidRDefault="002B0F85" w:rsidP="002B0F85">
            <w:r w:rsidRPr="00F14E6C">
              <w:rPr>
                <w:lang w:val="en-US"/>
              </w:rPr>
              <w:t>Ribs</w:t>
            </w:r>
          </w:p>
        </w:tc>
        <w:tc>
          <w:tcPr>
            <w:tcW w:w="1134" w:type="dxa"/>
            <w:shd w:val="clear" w:color="auto" w:fill="FFFFFF" w:themeFill="background1"/>
            <w:vAlign w:val="bottom"/>
          </w:tcPr>
          <w:p w14:paraId="1EB924B5" w14:textId="77777777" w:rsidR="002B0F85" w:rsidRPr="00F14E6C" w:rsidRDefault="002B0F85" w:rsidP="002B0F85">
            <w:r w:rsidRPr="00F14E6C">
              <w:rPr>
                <w:lang w:val="en-US"/>
              </w:rPr>
              <w:t>0.18</w:t>
            </w:r>
          </w:p>
        </w:tc>
        <w:tc>
          <w:tcPr>
            <w:tcW w:w="1134" w:type="dxa"/>
            <w:shd w:val="clear" w:color="auto" w:fill="FFFFFF" w:themeFill="background1"/>
            <w:vAlign w:val="bottom"/>
          </w:tcPr>
          <w:p w14:paraId="3FC20713" w14:textId="77777777" w:rsidR="002B0F85" w:rsidRPr="00F14E6C" w:rsidRDefault="002B0F85" w:rsidP="002B0F85">
            <w:r w:rsidRPr="00F14E6C">
              <w:rPr>
                <w:lang w:val="en-US"/>
              </w:rPr>
              <w:t>0.04</w:t>
            </w:r>
          </w:p>
        </w:tc>
        <w:tc>
          <w:tcPr>
            <w:tcW w:w="1701" w:type="dxa"/>
            <w:shd w:val="clear" w:color="auto" w:fill="FFFFFF" w:themeFill="background1"/>
            <w:vAlign w:val="bottom"/>
          </w:tcPr>
          <w:p w14:paraId="11963D25" w14:textId="77777777" w:rsidR="002B0F85" w:rsidRPr="00F14E6C" w:rsidRDefault="002B0F85" w:rsidP="002B0F85">
            <w:r w:rsidRPr="00F14E6C">
              <w:rPr>
                <w:lang w:val="en-US"/>
              </w:rPr>
              <w:t>0.01</w:t>
            </w:r>
          </w:p>
        </w:tc>
        <w:tc>
          <w:tcPr>
            <w:tcW w:w="2529" w:type="dxa"/>
            <w:shd w:val="clear" w:color="auto" w:fill="FFFFFF" w:themeFill="background1"/>
          </w:tcPr>
          <w:p w14:paraId="4BB474BB" w14:textId="77777777" w:rsidR="002B0F85" w:rsidRPr="00F14E6C" w:rsidRDefault="002B0F85" w:rsidP="002B0F85">
            <w:r w:rsidRPr="00F14E6C">
              <w:t>ICUROS*</w:t>
            </w:r>
          </w:p>
        </w:tc>
      </w:tr>
      <w:tr w:rsidR="002B0F85" w:rsidRPr="00F14E6C" w14:paraId="77C99A67" w14:textId="77777777" w:rsidTr="003B6C9F">
        <w:tc>
          <w:tcPr>
            <w:tcW w:w="2518" w:type="dxa"/>
            <w:shd w:val="clear" w:color="auto" w:fill="FFFFFF" w:themeFill="background1"/>
          </w:tcPr>
          <w:p w14:paraId="3F905EB0" w14:textId="77777777" w:rsidR="002B0F85" w:rsidRPr="00F14E6C" w:rsidRDefault="002B0F85" w:rsidP="002B0F85">
            <w:r w:rsidRPr="00F14E6C">
              <w:t>Distal forearm</w:t>
            </w:r>
          </w:p>
        </w:tc>
        <w:tc>
          <w:tcPr>
            <w:tcW w:w="1134" w:type="dxa"/>
            <w:shd w:val="clear" w:color="auto" w:fill="FFFFFF" w:themeFill="background1"/>
          </w:tcPr>
          <w:p w14:paraId="208D6DDE" w14:textId="77777777" w:rsidR="002B0F85" w:rsidRPr="00F14E6C" w:rsidRDefault="002B0F85" w:rsidP="002B0F85">
            <w:r w:rsidRPr="00F14E6C">
              <w:t>0.15</w:t>
            </w:r>
          </w:p>
        </w:tc>
        <w:tc>
          <w:tcPr>
            <w:tcW w:w="1134" w:type="dxa"/>
            <w:shd w:val="clear" w:color="auto" w:fill="FFFFFF" w:themeFill="background1"/>
          </w:tcPr>
          <w:p w14:paraId="6CBC8EA6" w14:textId="77777777" w:rsidR="002B0F85" w:rsidRPr="00F14E6C" w:rsidRDefault="002B0F85" w:rsidP="002B0F85">
            <w:r w:rsidRPr="00F14E6C">
              <w:t>0.02</w:t>
            </w:r>
          </w:p>
        </w:tc>
        <w:tc>
          <w:tcPr>
            <w:tcW w:w="1701" w:type="dxa"/>
            <w:shd w:val="clear" w:color="auto" w:fill="FFFFFF" w:themeFill="background1"/>
          </w:tcPr>
          <w:p w14:paraId="18B96E91" w14:textId="77777777" w:rsidR="002B0F85" w:rsidRPr="00F14E6C" w:rsidRDefault="002B0F85" w:rsidP="002B0F85">
            <w:r w:rsidRPr="00F14E6C">
              <w:t>0.01</w:t>
            </w:r>
          </w:p>
        </w:tc>
        <w:tc>
          <w:tcPr>
            <w:tcW w:w="2529" w:type="dxa"/>
            <w:shd w:val="clear" w:color="auto" w:fill="FFFFFF" w:themeFill="background1"/>
          </w:tcPr>
          <w:p w14:paraId="1CD378AF" w14:textId="77777777" w:rsidR="002B0F85" w:rsidRPr="00F14E6C" w:rsidRDefault="002B0F85" w:rsidP="002B0F85">
            <w:r w:rsidRPr="00F14E6C">
              <w:t>ICUROS</w:t>
            </w:r>
          </w:p>
        </w:tc>
      </w:tr>
      <w:tr w:rsidR="002B0F85" w:rsidRPr="00F14E6C" w14:paraId="7FA42DAF" w14:textId="77777777" w:rsidTr="003B6C9F">
        <w:tc>
          <w:tcPr>
            <w:tcW w:w="2518" w:type="dxa"/>
            <w:shd w:val="clear" w:color="auto" w:fill="FFFFFF" w:themeFill="background1"/>
          </w:tcPr>
          <w:p w14:paraId="0C35508A" w14:textId="77777777" w:rsidR="002B0F85" w:rsidRPr="00F14E6C" w:rsidRDefault="002B0F85" w:rsidP="002B0F85">
            <w:bookmarkStart w:id="38" w:name="_Hlk484618481"/>
            <w:r w:rsidRPr="00F14E6C">
              <w:t xml:space="preserve">Clavicle, scapula, sternum </w:t>
            </w:r>
            <w:bookmarkEnd w:id="38"/>
          </w:p>
        </w:tc>
        <w:tc>
          <w:tcPr>
            <w:tcW w:w="1134" w:type="dxa"/>
            <w:shd w:val="clear" w:color="auto" w:fill="FFFFFF" w:themeFill="background1"/>
          </w:tcPr>
          <w:p w14:paraId="745F7FFE" w14:textId="77777777" w:rsidR="002B0F85" w:rsidRPr="00F14E6C" w:rsidRDefault="002B0F85" w:rsidP="002B0F85">
            <w:r w:rsidRPr="00F14E6C">
              <w:t>0.0464</w:t>
            </w:r>
          </w:p>
        </w:tc>
        <w:tc>
          <w:tcPr>
            <w:tcW w:w="1134" w:type="dxa"/>
            <w:shd w:val="clear" w:color="auto" w:fill="FFFFFF" w:themeFill="background1"/>
          </w:tcPr>
          <w:p w14:paraId="0EBE2684" w14:textId="77777777" w:rsidR="002B0F85" w:rsidRPr="00F14E6C" w:rsidRDefault="002B0F85" w:rsidP="002B0F85">
            <w:r w:rsidRPr="00F14E6C">
              <w:t>0.006</w:t>
            </w:r>
          </w:p>
        </w:tc>
        <w:tc>
          <w:tcPr>
            <w:tcW w:w="1701" w:type="dxa"/>
            <w:shd w:val="clear" w:color="auto" w:fill="FFFFFF" w:themeFill="background1"/>
          </w:tcPr>
          <w:p w14:paraId="2FD85784" w14:textId="77777777" w:rsidR="002B0F85" w:rsidRPr="00F14E6C" w:rsidRDefault="002B0F85" w:rsidP="002B0F85">
            <w:r w:rsidRPr="00F14E6C">
              <w:t>-</w:t>
            </w:r>
          </w:p>
        </w:tc>
        <w:tc>
          <w:tcPr>
            <w:tcW w:w="2529" w:type="dxa"/>
            <w:shd w:val="clear" w:color="auto" w:fill="FFFFFF" w:themeFill="background1"/>
          </w:tcPr>
          <w:p w14:paraId="19A23A52" w14:textId="77777777" w:rsidR="002B0F85" w:rsidRPr="00F14E6C" w:rsidRDefault="002B0F85" w:rsidP="002B0F85">
            <w:r w:rsidRPr="00F14E6C">
              <w:t>Kanis 2001b</w:t>
            </w:r>
          </w:p>
        </w:tc>
      </w:tr>
    </w:tbl>
    <w:p w14:paraId="587980DE" w14:textId="77777777" w:rsidR="002B0F85" w:rsidRPr="00F14E6C" w:rsidRDefault="002B0F85" w:rsidP="002B0F85">
      <w:pPr>
        <w:rPr>
          <w:lang w:val="en-US"/>
        </w:rPr>
      </w:pPr>
      <w:r w:rsidRPr="00F14E6C">
        <w:rPr>
          <w:lang w:val="en-US"/>
        </w:rPr>
        <w:t>*Unpublished data from ICUROS,</w:t>
      </w:r>
      <w:r w:rsidRPr="00F14E6C">
        <w:rPr>
          <w:bCs/>
          <w:iCs/>
          <w:lang w:val="en-US"/>
        </w:rPr>
        <w:t xml:space="preserve"> International Costs and Utilities Related to Osteoporotic Fractures Study</w:t>
      </w:r>
    </w:p>
    <w:p w14:paraId="4851ACE0" w14:textId="77777777" w:rsidR="002B0F85" w:rsidRPr="00F14E6C" w:rsidRDefault="002B0F85" w:rsidP="002B0F85">
      <w:pPr>
        <w:rPr>
          <w:lang w:val="en-US"/>
        </w:rPr>
      </w:pPr>
    </w:p>
    <w:p w14:paraId="5DC92293" w14:textId="77777777" w:rsidR="00722793" w:rsidRPr="00F14E6C" w:rsidRDefault="00722793" w:rsidP="002B0F85">
      <w:pPr>
        <w:rPr>
          <w:b/>
        </w:rPr>
      </w:pPr>
    </w:p>
    <w:p w14:paraId="0F9A3066" w14:textId="4A486089" w:rsidR="002B0F85" w:rsidRPr="00F14E6C" w:rsidRDefault="002B0F85" w:rsidP="002B0F85">
      <w:pPr>
        <w:rPr>
          <w:b/>
        </w:rPr>
      </w:pPr>
      <w:r w:rsidRPr="00F14E6C">
        <w:rPr>
          <w:b/>
        </w:rPr>
        <w:t xml:space="preserve">Table </w:t>
      </w:r>
      <w:r w:rsidR="000C48FF" w:rsidRPr="00F14E6C">
        <w:rPr>
          <w:b/>
        </w:rPr>
        <w:t>S</w:t>
      </w:r>
      <w:r w:rsidRPr="00F14E6C">
        <w:rPr>
          <w:b/>
        </w:rPr>
        <w:t xml:space="preserve">2. </w:t>
      </w:r>
      <w:r w:rsidRPr="00F14E6C">
        <w:t>Characteristics of men and women studied at entry to the study and over 10 years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75"/>
        <w:gridCol w:w="1276"/>
        <w:gridCol w:w="1276"/>
        <w:gridCol w:w="1360"/>
        <w:gridCol w:w="1191"/>
      </w:tblGrid>
      <w:tr w:rsidR="002B0F85" w:rsidRPr="00F14E6C" w14:paraId="3001743B" w14:textId="77777777" w:rsidTr="003B6C9F">
        <w:tc>
          <w:tcPr>
            <w:tcW w:w="2694" w:type="dxa"/>
            <w:tcBorders>
              <w:top w:val="single" w:sz="4" w:space="0" w:color="auto"/>
            </w:tcBorders>
          </w:tcPr>
          <w:p w14:paraId="293F7C0B" w14:textId="77777777" w:rsidR="002B0F85" w:rsidRPr="00F14E6C" w:rsidRDefault="002B0F85" w:rsidP="002B0F85"/>
        </w:tc>
        <w:tc>
          <w:tcPr>
            <w:tcW w:w="5187" w:type="dxa"/>
            <w:gridSpan w:val="4"/>
            <w:tcBorders>
              <w:top w:val="single" w:sz="4" w:space="0" w:color="auto"/>
              <w:bottom w:val="single" w:sz="4" w:space="0" w:color="auto"/>
            </w:tcBorders>
          </w:tcPr>
          <w:p w14:paraId="03867450" w14:textId="77777777" w:rsidR="002B0F85" w:rsidRPr="00F14E6C" w:rsidRDefault="002B0F85" w:rsidP="002B0F85">
            <w:r w:rsidRPr="00F14E6C">
              <w:t>Sentinel fracture</w:t>
            </w:r>
          </w:p>
        </w:tc>
        <w:tc>
          <w:tcPr>
            <w:tcW w:w="1191" w:type="dxa"/>
            <w:vMerge w:val="restart"/>
            <w:tcBorders>
              <w:top w:val="single" w:sz="4" w:space="0" w:color="auto"/>
            </w:tcBorders>
          </w:tcPr>
          <w:p w14:paraId="5828CB05" w14:textId="77777777" w:rsidR="002B0F85" w:rsidRPr="00F14E6C" w:rsidRDefault="002B0F85" w:rsidP="002B0F85">
            <w:r w:rsidRPr="00F14E6C">
              <w:t>Whole cohort</w:t>
            </w:r>
          </w:p>
        </w:tc>
      </w:tr>
      <w:tr w:rsidR="002B0F85" w:rsidRPr="00F14E6C" w14:paraId="56F0DEE3" w14:textId="77777777" w:rsidTr="008B57C2">
        <w:tc>
          <w:tcPr>
            <w:tcW w:w="2694" w:type="dxa"/>
            <w:tcBorders>
              <w:bottom w:val="single" w:sz="4" w:space="0" w:color="auto"/>
            </w:tcBorders>
          </w:tcPr>
          <w:p w14:paraId="42D4C71C" w14:textId="77777777" w:rsidR="002B0F85" w:rsidRPr="00F14E6C" w:rsidRDefault="002B0F85" w:rsidP="002B0F85"/>
        </w:tc>
        <w:tc>
          <w:tcPr>
            <w:tcW w:w="1275" w:type="dxa"/>
            <w:tcBorders>
              <w:top w:val="single" w:sz="4" w:space="0" w:color="auto"/>
              <w:bottom w:val="single" w:sz="4" w:space="0" w:color="auto"/>
            </w:tcBorders>
          </w:tcPr>
          <w:p w14:paraId="77E7688B" w14:textId="77777777" w:rsidR="002B0F85" w:rsidRPr="00F14E6C" w:rsidRDefault="002B0F85" w:rsidP="002B0F85">
            <w:r w:rsidRPr="00F14E6C">
              <w:t>Hip</w:t>
            </w:r>
          </w:p>
        </w:tc>
        <w:tc>
          <w:tcPr>
            <w:tcW w:w="1276" w:type="dxa"/>
            <w:tcBorders>
              <w:top w:val="single" w:sz="4" w:space="0" w:color="auto"/>
              <w:bottom w:val="single" w:sz="4" w:space="0" w:color="auto"/>
            </w:tcBorders>
          </w:tcPr>
          <w:p w14:paraId="03A28181" w14:textId="77777777" w:rsidR="002B0F85" w:rsidRPr="00F14E6C" w:rsidRDefault="002B0F85" w:rsidP="002B0F85">
            <w:r w:rsidRPr="00F14E6C">
              <w:t>Spine</w:t>
            </w:r>
          </w:p>
        </w:tc>
        <w:tc>
          <w:tcPr>
            <w:tcW w:w="1276" w:type="dxa"/>
            <w:tcBorders>
              <w:top w:val="single" w:sz="4" w:space="0" w:color="auto"/>
              <w:bottom w:val="single" w:sz="4" w:space="0" w:color="auto"/>
            </w:tcBorders>
          </w:tcPr>
          <w:p w14:paraId="0C4EDFA6" w14:textId="77777777" w:rsidR="002B0F85" w:rsidRPr="00F14E6C" w:rsidRDefault="002B0F85" w:rsidP="002B0F85">
            <w:r w:rsidRPr="00F14E6C">
              <w:t>Forearm</w:t>
            </w:r>
          </w:p>
        </w:tc>
        <w:tc>
          <w:tcPr>
            <w:tcW w:w="1360" w:type="dxa"/>
            <w:tcBorders>
              <w:top w:val="single" w:sz="4" w:space="0" w:color="auto"/>
              <w:bottom w:val="single" w:sz="4" w:space="0" w:color="auto"/>
            </w:tcBorders>
          </w:tcPr>
          <w:p w14:paraId="48E6961B" w14:textId="77777777" w:rsidR="002B0F85" w:rsidRPr="00F14E6C" w:rsidRDefault="002B0F85" w:rsidP="002B0F85">
            <w:r w:rsidRPr="00F14E6C">
              <w:t>Humerus</w:t>
            </w:r>
          </w:p>
        </w:tc>
        <w:tc>
          <w:tcPr>
            <w:tcW w:w="1191" w:type="dxa"/>
            <w:vMerge/>
            <w:tcBorders>
              <w:bottom w:val="single" w:sz="4" w:space="0" w:color="auto"/>
            </w:tcBorders>
          </w:tcPr>
          <w:p w14:paraId="5119697E" w14:textId="77777777" w:rsidR="002B0F85" w:rsidRPr="00F14E6C" w:rsidRDefault="002B0F85" w:rsidP="002B0F85"/>
        </w:tc>
      </w:tr>
      <w:tr w:rsidR="002B0F85" w:rsidRPr="00F14E6C" w14:paraId="135C32CB" w14:textId="77777777" w:rsidTr="008B57C2">
        <w:tc>
          <w:tcPr>
            <w:tcW w:w="2694" w:type="dxa"/>
            <w:tcBorders>
              <w:top w:val="single" w:sz="4" w:space="0" w:color="auto"/>
            </w:tcBorders>
          </w:tcPr>
          <w:p w14:paraId="71A39BAE" w14:textId="77777777" w:rsidR="002B0F85" w:rsidRPr="00F14E6C" w:rsidRDefault="002B0F85" w:rsidP="002B0F85">
            <w:pPr>
              <w:rPr>
                <w:i/>
              </w:rPr>
            </w:pPr>
            <w:r w:rsidRPr="00F14E6C">
              <w:rPr>
                <w:i/>
              </w:rPr>
              <w:t>Men</w:t>
            </w:r>
          </w:p>
        </w:tc>
        <w:tc>
          <w:tcPr>
            <w:tcW w:w="1275" w:type="dxa"/>
            <w:tcBorders>
              <w:top w:val="single" w:sz="4" w:space="0" w:color="auto"/>
            </w:tcBorders>
          </w:tcPr>
          <w:p w14:paraId="2C984DA9" w14:textId="77777777" w:rsidR="002B0F85" w:rsidRPr="00F14E6C" w:rsidRDefault="002B0F85" w:rsidP="002B0F85"/>
        </w:tc>
        <w:tc>
          <w:tcPr>
            <w:tcW w:w="1276" w:type="dxa"/>
            <w:tcBorders>
              <w:top w:val="single" w:sz="4" w:space="0" w:color="auto"/>
            </w:tcBorders>
          </w:tcPr>
          <w:p w14:paraId="69E81227" w14:textId="77777777" w:rsidR="002B0F85" w:rsidRPr="00F14E6C" w:rsidRDefault="002B0F85" w:rsidP="002B0F85"/>
        </w:tc>
        <w:tc>
          <w:tcPr>
            <w:tcW w:w="1276" w:type="dxa"/>
            <w:tcBorders>
              <w:top w:val="single" w:sz="4" w:space="0" w:color="auto"/>
            </w:tcBorders>
          </w:tcPr>
          <w:p w14:paraId="070D4022" w14:textId="77777777" w:rsidR="002B0F85" w:rsidRPr="00F14E6C" w:rsidRDefault="002B0F85" w:rsidP="002B0F85"/>
        </w:tc>
        <w:tc>
          <w:tcPr>
            <w:tcW w:w="1360" w:type="dxa"/>
            <w:tcBorders>
              <w:top w:val="single" w:sz="4" w:space="0" w:color="auto"/>
            </w:tcBorders>
          </w:tcPr>
          <w:p w14:paraId="2262034A" w14:textId="77777777" w:rsidR="002B0F85" w:rsidRPr="00F14E6C" w:rsidRDefault="002B0F85" w:rsidP="002B0F85"/>
        </w:tc>
        <w:tc>
          <w:tcPr>
            <w:tcW w:w="1191" w:type="dxa"/>
            <w:tcBorders>
              <w:top w:val="single" w:sz="4" w:space="0" w:color="auto"/>
            </w:tcBorders>
          </w:tcPr>
          <w:p w14:paraId="2524E46F" w14:textId="77777777" w:rsidR="002B0F85" w:rsidRPr="00F14E6C" w:rsidRDefault="002B0F85" w:rsidP="002B0F85"/>
        </w:tc>
      </w:tr>
      <w:tr w:rsidR="002B0F85" w:rsidRPr="00F14E6C" w14:paraId="4C44ACBC" w14:textId="77777777" w:rsidTr="008B57C2">
        <w:tc>
          <w:tcPr>
            <w:tcW w:w="2694" w:type="dxa"/>
          </w:tcPr>
          <w:p w14:paraId="53155FA0" w14:textId="77777777" w:rsidR="002B0F85" w:rsidRPr="00F14E6C" w:rsidRDefault="002B0F85" w:rsidP="002B0F85">
            <w:r w:rsidRPr="00F14E6C">
              <w:t>Number</w:t>
            </w:r>
          </w:p>
        </w:tc>
        <w:tc>
          <w:tcPr>
            <w:tcW w:w="1275" w:type="dxa"/>
          </w:tcPr>
          <w:p w14:paraId="76025AB5" w14:textId="77777777" w:rsidR="002B0F85" w:rsidRPr="00F14E6C" w:rsidRDefault="002B0F85" w:rsidP="002B0F85">
            <w:r w:rsidRPr="00F14E6C">
              <w:t>576</w:t>
            </w:r>
          </w:p>
        </w:tc>
        <w:tc>
          <w:tcPr>
            <w:tcW w:w="1276" w:type="dxa"/>
          </w:tcPr>
          <w:p w14:paraId="535ECCEF" w14:textId="77777777" w:rsidR="002B0F85" w:rsidRPr="00F14E6C" w:rsidRDefault="002B0F85" w:rsidP="002B0F85">
            <w:r w:rsidRPr="00F14E6C">
              <w:t>362</w:t>
            </w:r>
          </w:p>
        </w:tc>
        <w:tc>
          <w:tcPr>
            <w:tcW w:w="1276" w:type="dxa"/>
          </w:tcPr>
          <w:p w14:paraId="76E8DE56" w14:textId="77777777" w:rsidR="002B0F85" w:rsidRPr="00F14E6C" w:rsidRDefault="002B0F85" w:rsidP="002B0F85">
            <w:r w:rsidRPr="00F14E6C">
              <w:t>393</w:t>
            </w:r>
          </w:p>
        </w:tc>
        <w:tc>
          <w:tcPr>
            <w:tcW w:w="1360" w:type="dxa"/>
          </w:tcPr>
          <w:p w14:paraId="5EA69090" w14:textId="77777777" w:rsidR="002B0F85" w:rsidRPr="00F14E6C" w:rsidRDefault="002B0F85" w:rsidP="002B0F85">
            <w:r w:rsidRPr="00F14E6C">
              <w:t>248</w:t>
            </w:r>
          </w:p>
        </w:tc>
        <w:tc>
          <w:tcPr>
            <w:tcW w:w="1191" w:type="dxa"/>
          </w:tcPr>
          <w:p w14:paraId="3704BFF3" w14:textId="77777777" w:rsidR="002B0F85" w:rsidRPr="00F14E6C" w:rsidRDefault="002B0F85" w:rsidP="002B0F85">
            <w:r w:rsidRPr="00F14E6C">
              <w:t>9116</w:t>
            </w:r>
          </w:p>
        </w:tc>
      </w:tr>
      <w:tr w:rsidR="00826158" w:rsidRPr="00F14E6C" w14:paraId="633A6716" w14:textId="77777777" w:rsidTr="008B57C2">
        <w:tc>
          <w:tcPr>
            <w:tcW w:w="2694" w:type="dxa"/>
          </w:tcPr>
          <w:p w14:paraId="3440E779" w14:textId="493F2FFA" w:rsidR="00826158" w:rsidRPr="00F14E6C" w:rsidRDefault="00826158" w:rsidP="00826158">
            <w:r w:rsidRPr="00F14E6C">
              <w:t>Age at fracture (</w:t>
            </w:r>
            <w:r w:rsidR="008B57C2" w:rsidRPr="00F14E6C">
              <w:t>SD</w:t>
            </w:r>
            <w:r w:rsidRPr="00F14E6C">
              <w:t>)</w:t>
            </w:r>
          </w:p>
        </w:tc>
        <w:tc>
          <w:tcPr>
            <w:tcW w:w="1275" w:type="dxa"/>
          </w:tcPr>
          <w:p w14:paraId="38FCE838" w14:textId="334E910F" w:rsidR="00826158" w:rsidRPr="00F14E6C" w:rsidRDefault="00826158" w:rsidP="00826158">
            <w:r w:rsidRPr="00F14E6C">
              <w:t>79.5 (8.6)</w:t>
            </w:r>
          </w:p>
        </w:tc>
        <w:tc>
          <w:tcPr>
            <w:tcW w:w="1276" w:type="dxa"/>
          </w:tcPr>
          <w:p w14:paraId="59658F53" w14:textId="681FC683" w:rsidR="00826158" w:rsidRPr="00F14E6C" w:rsidRDefault="00826158" w:rsidP="00826158">
            <w:r w:rsidRPr="00F14E6C">
              <w:t>74.0 (11.1)</w:t>
            </w:r>
          </w:p>
        </w:tc>
        <w:tc>
          <w:tcPr>
            <w:tcW w:w="1276" w:type="dxa"/>
          </w:tcPr>
          <w:p w14:paraId="28383AF8" w14:textId="260F762B" w:rsidR="00826158" w:rsidRPr="00F14E6C" w:rsidRDefault="00826158" w:rsidP="00826158">
            <w:r w:rsidRPr="00F14E6C">
              <w:t>70.5 (10.8)</w:t>
            </w:r>
          </w:p>
        </w:tc>
        <w:tc>
          <w:tcPr>
            <w:tcW w:w="1360" w:type="dxa"/>
          </w:tcPr>
          <w:p w14:paraId="103B1171" w14:textId="3A351CA6" w:rsidR="00826158" w:rsidRPr="00F14E6C" w:rsidRDefault="00826158" w:rsidP="00826158">
            <w:r w:rsidRPr="00F14E6C">
              <w:t>72.6 (10.6)</w:t>
            </w:r>
          </w:p>
        </w:tc>
        <w:tc>
          <w:tcPr>
            <w:tcW w:w="1191" w:type="dxa"/>
          </w:tcPr>
          <w:p w14:paraId="4518CB41" w14:textId="77777777" w:rsidR="00826158" w:rsidRPr="00F14E6C" w:rsidRDefault="00826158" w:rsidP="00826158"/>
        </w:tc>
      </w:tr>
      <w:tr w:rsidR="002B0F85" w:rsidRPr="00F14E6C" w14:paraId="63FF05D9" w14:textId="77777777" w:rsidTr="008B57C2">
        <w:tc>
          <w:tcPr>
            <w:tcW w:w="2694" w:type="dxa"/>
          </w:tcPr>
          <w:p w14:paraId="5291951A" w14:textId="77777777" w:rsidR="002B0F85" w:rsidRPr="00F14E6C" w:rsidRDefault="002B0F85" w:rsidP="002B0F85">
            <w:bookmarkStart w:id="39" w:name="_Hlk493524761"/>
            <w:r w:rsidRPr="00F14E6C">
              <w:t xml:space="preserve">Deaths within 10 years </w:t>
            </w:r>
          </w:p>
        </w:tc>
        <w:tc>
          <w:tcPr>
            <w:tcW w:w="1275" w:type="dxa"/>
          </w:tcPr>
          <w:p w14:paraId="3611E5AE" w14:textId="77777777" w:rsidR="002B0F85" w:rsidRPr="00F14E6C" w:rsidRDefault="002B0F85" w:rsidP="002B0F85">
            <w:r w:rsidRPr="00F14E6C">
              <w:t>429 (74%)</w:t>
            </w:r>
          </w:p>
        </w:tc>
        <w:tc>
          <w:tcPr>
            <w:tcW w:w="1276" w:type="dxa"/>
          </w:tcPr>
          <w:p w14:paraId="67A518E1" w14:textId="77777777" w:rsidR="002B0F85" w:rsidRPr="00F14E6C" w:rsidRDefault="002B0F85" w:rsidP="002B0F85">
            <w:r w:rsidRPr="00F14E6C">
              <w:t>188 (52%)</w:t>
            </w:r>
          </w:p>
        </w:tc>
        <w:tc>
          <w:tcPr>
            <w:tcW w:w="1276" w:type="dxa"/>
          </w:tcPr>
          <w:p w14:paraId="43B85351" w14:textId="77777777" w:rsidR="002B0F85" w:rsidRPr="00F14E6C" w:rsidRDefault="002B0F85" w:rsidP="002B0F85">
            <w:r w:rsidRPr="00F14E6C">
              <w:t>132 (34%)</w:t>
            </w:r>
          </w:p>
        </w:tc>
        <w:tc>
          <w:tcPr>
            <w:tcW w:w="1360" w:type="dxa"/>
          </w:tcPr>
          <w:p w14:paraId="116133A1" w14:textId="77777777" w:rsidR="002B0F85" w:rsidRPr="00F14E6C" w:rsidRDefault="002B0F85" w:rsidP="002B0F85">
            <w:r w:rsidRPr="00F14E6C">
              <w:t>117 (47%)</w:t>
            </w:r>
          </w:p>
        </w:tc>
        <w:tc>
          <w:tcPr>
            <w:tcW w:w="1191" w:type="dxa"/>
          </w:tcPr>
          <w:p w14:paraId="59065BDD" w14:textId="77777777" w:rsidR="002B0F85" w:rsidRPr="00F14E6C" w:rsidRDefault="002B0F85" w:rsidP="002B0F85">
            <w:r w:rsidRPr="00F14E6C">
              <w:t>1086</w:t>
            </w:r>
          </w:p>
        </w:tc>
      </w:tr>
      <w:bookmarkEnd w:id="39"/>
      <w:tr w:rsidR="002B0F85" w:rsidRPr="00F14E6C" w14:paraId="75042756" w14:textId="77777777" w:rsidTr="008B57C2">
        <w:tc>
          <w:tcPr>
            <w:tcW w:w="2694" w:type="dxa"/>
          </w:tcPr>
          <w:p w14:paraId="49904A7F" w14:textId="77777777" w:rsidR="002B0F85" w:rsidRPr="00F14E6C" w:rsidRDefault="002B0F85" w:rsidP="002B0F85">
            <w:r w:rsidRPr="00F14E6C">
              <w:t xml:space="preserve">Subsequent fracture </w:t>
            </w:r>
          </w:p>
        </w:tc>
        <w:tc>
          <w:tcPr>
            <w:tcW w:w="1275" w:type="dxa"/>
          </w:tcPr>
          <w:p w14:paraId="3F86BCDC" w14:textId="77777777" w:rsidR="002B0F85" w:rsidRPr="00F14E6C" w:rsidRDefault="002B0F85" w:rsidP="002B0F85">
            <w:r w:rsidRPr="00F14E6C">
              <w:t>159 (28%)</w:t>
            </w:r>
          </w:p>
        </w:tc>
        <w:tc>
          <w:tcPr>
            <w:tcW w:w="1276" w:type="dxa"/>
          </w:tcPr>
          <w:p w14:paraId="2F080BC8" w14:textId="77777777" w:rsidR="002B0F85" w:rsidRPr="00F14E6C" w:rsidRDefault="002B0F85" w:rsidP="002B0F85">
            <w:r w:rsidRPr="00F14E6C">
              <w:t>137 (38%)</w:t>
            </w:r>
          </w:p>
        </w:tc>
        <w:tc>
          <w:tcPr>
            <w:tcW w:w="1276" w:type="dxa"/>
          </w:tcPr>
          <w:p w14:paraId="62B8B28C" w14:textId="77777777" w:rsidR="002B0F85" w:rsidRPr="00F14E6C" w:rsidRDefault="002B0F85" w:rsidP="002B0F85">
            <w:r w:rsidRPr="00F14E6C">
              <w:t>136 (35%)</w:t>
            </w:r>
          </w:p>
        </w:tc>
        <w:tc>
          <w:tcPr>
            <w:tcW w:w="1360" w:type="dxa"/>
          </w:tcPr>
          <w:p w14:paraId="62A69C38" w14:textId="77777777" w:rsidR="002B0F85" w:rsidRPr="00F14E6C" w:rsidRDefault="002B0F85" w:rsidP="002B0F85">
            <w:r w:rsidRPr="00F14E6C">
              <w:t>89 (36%)</w:t>
            </w:r>
          </w:p>
        </w:tc>
        <w:tc>
          <w:tcPr>
            <w:tcW w:w="1191" w:type="dxa"/>
          </w:tcPr>
          <w:p w14:paraId="2CC3F7BF" w14:textId="77777777" w:rsidR="002B0F85" w:rsidRPr="00F14E6C" w:rsidRDefault="002B0F85" w:rsidP="002B0F85"/>
        </w:tc>
      </w:tr>
      <w:tr w:rsidR="002B0F85" w:rsidRPr="00F14E6C" w14:paraId="36F11D18" w14:textId="77777777" w:rsidTr="008B57C2">
        <w:tc>
          <w:tcPr>
            <w:tcW w:w="2694" w:type="dxa"/>
          </w:tcPr>
          <w:p w14:paraId="3B65FCFD" w14:textId="77777777" w:rsidR="002B0F85" w:rsidRPr="00F14E6C" w:rsidRDefault="002B0F85" w:rsidP="002B0F85">
            <w:r w:rsidRPr="00F14E6C">
              <w:t xml:space="preserve">N of subsequent fractures </w:t>
            </w:r>
          </w:p>
        </w:tc>
        <w:tc>
          <w:tcPr>
            <w:tcW w:w="1275" w:type="dxa"/>
          </w:tcPr>
          <w:p w14:paraId="52A73B5E" w14:textId="77777777" w:rsidR="002B0F85" w:rsidRPr="00F14E6C" w:rsidRDefault="002B0F85" w:rsidP="002B0F85">
            <w:r w:rsidRPr="00F14E6C">
              <w:t>237</w:t>
            </w:r>
          </w:p>
        </w:tc>
        <w:tc>
          <w:tcPr>
            <w:tcW w:w="1276" w:type="dxa"/>
          </w:tcPr>
          <w:p w14:paraId="749D6D98" w14:textId="77777777" w:rsidR="002B0F85" w:rsidRPr="00F14E6C" w:rsidRDefault="002B0F85" w:rsidP="002B0F85">
            <w:r w:rsidRPr="00F14E6C">
              <w:t>211</w:t>
            </w:r>
          </w:p>
        </w:tc>
        <w:tc>
          <w:tcPr>
            <w:tcW w:w="1276" w:type="dxa"/>
          </w:tcPr>
          <w:p w14:paraId="5682685D" w14:textId="77777777" w:rsidR="002B0F85" w:rsidRPr="00F14E6C" w:rsidRDefault="002B0F85" w:rsidP="002B0F85">
            <w:r w:rsidRPr="00F14E6C">
              <w:t>199</w:t>
            </w:r>
          </w:p>
        </w:tc>
        <w:tc>
          <w:tcPr>
            <w:tcW w:w="1360" w:type="dxa"/>
          </w:tcPr>
          <w:p w14:paraId="63EA9345" w14:textId="77777777" w:rsidR="002B0F85" w:rsidRPr="00F14E6C" w:rsidRDefault="002B0F85" w:rsidP="002B0F85">
            <w:r w:rsidRPr="00F14E6C">
              <w:t>129</w:t>
            </w:r>
          </w:p>
        </w:tc>
        <w:tc>
          <w:tcPr>
            <w:tcW w:w="1191" w:type="dxa"/>
          </w:tcPr>
          <w:p w14:paraId="3920B5F4" w14:textId="77777777" w:rsidR="002B0F85" w:rsidRPr="00F14E6C" w:rsidRDefault="002B0F85" w:rsidP="002B0F85"/>
        </w:tc>
      </w:tr>
      <w:tr w:rsidR="002B0F85" w:rsidRPr="00F14E6C" w14:paraId="5B286C26" w14:textId="77777777" w:rsidTr="008B57C2">
        <w:tc>
          <w:tcPr>
            <w:tcW w:w="2694" w:type="dxa"/>
          </w:tcPr>
          <w:p w14:paraId="5AF5F82F" w14:textId="77777777" w:rsidR="002B0F85" w:rsidRPr="00F14E6C" w:rsidRDefault="002B0F85" w:rsidP="002B0F85"/>
        </w:tc>
        <w:tc>
          <w:tcPr>
            <w:tcW w:w="1275" w:type="dxa"/>
          </w:tcPr>
          <w:p w14:paraId="293F1471" w14:textId="77777777" w:rsidR="002B0F85" w:rsidRPr="00F14E6C" w:rsidRDefault="002B0F85" w:rsidP="002B0F85"/>
        </w:tc>
        <w:tc>
          <w:tcPr>
            <w:tcW w:w="1276" w:type="dxa"/>
          </w:tcPr>
          <w:p w14:paraId="74000612" w14:textId="77777777" w:rsidR="002B0F85" w:rsidRPr="00F14E6C" w:rsidRDefault="002B0F85" w:rsidP="002B0F85"/>
        </w:tc>
        <w:tc>
          <w:tcPr>
            <w:tcW w:w="1276" w:type="dxa"/>
          </w:tcPr>
          <w:p w14:paraId="3FF5C445" w14:textId="77777777" w:rsidR="002B0F85" w:rsidRPr="00F14E6C" w:rsidRDefault="002B0F85" w:rsidP="002B0F85"/>
        </w:tc>
        <w:tc>
          <w:tcPr>
            <w:tcW w:w="1360" w:type="dxa"/>
          </w:tcPr>
          <w:p w14:paraId="52775BEA" w14:textId="77777777" w:rsidR="002B0F85" w:rsidRPr="00F14E6C" w:rsidRDefault="002B0F85" w:rsidP="002B0F85"/>
        </w:tc>
        <w:tc>
          <w:tcPr>
            <w:tcW w:w="1191" w:type="dxa"/>
          </w:tcPr>
          <w:p w14:paraId="480DF979" w14:textId="77777777" w:rsidR="002B0F85" w:rsidRPr="00F14E6C" w:rsidRDefault="002B0F85" w:rsidP="002B0F85"/>
        </w:tc>
      </w:tr>
      <w:tr w:rsidR="002B0F85" w:rsidRPr="00F14E6C" w14:paraId="218AEACD" w14:textId="77777777" w:rsidTr="008B57C2">
        <w:tc>
          <w:tcPr>
            <w:tcW w:w="2694" w:type="dxa"/>
          </w:tcPr>
          <w:p w14:paraId="38C9DBCD" w14:textId="77777777" w:rsidR="002B0F85" w:rsidRPr="00F14E6C" w:rsidRDefault="002B0F85" w:rsidP="002B0F85">
            <w:pPr>
              <w:rPr>
                <w:i/>
              </w:rPr>
            </w:pPr>
            <w:r w:rsidRPr="00F14E6C">
              <w:rPr>
                <w:i/>
              </w:rPr>
              <w:t>Women</w:t>
            </w:r>
          </w:p>
        </w:tc>
        <w:tc>
          <w:tcPr>
            <w:tcW w:w="1275" w:type="dxa"/>
          </w:tcPr>
          <w:p w14:paraId="330213D3" w14:textId="77777777" w:rsidR="002B0F85" w:rsidRPr="00F14E6C" w:rsidRDefault="002B0F85" w:rsidP="002B0F85"/>
        </w:tc>
        <w:tc>
          <w:tcPr>
            <w:tcW w:w="1276" w:type="dxa"/>
          </w:tcPr>
          <w:p w14:paraId="71BF6303" w14:textId="77777777" w:rsidR="002B0F85" w:rsidRPr="00F14E6C" w:rsidRDefault="002B0F85" w:rsidP="002B0F85"/>
        </w:tc>
        <w:tc>
          <w:tcPr>
            <w:tcW w:w="1276" w:type="dxa"/>
          </w:tcPr>
          <w:p w14:paraId="5646505E" w14:textId="77777777" w:rsidR="002B0F85" w:rsidRPr="00F14E6C" w:rsidRDefault="002B0F85" w:rsidP="002B0F85"/>
        </w:tc>
        <w:tc>
          <w:tcPr>
            <w:tcW w:w="1360" w:type="dxa"/>
          </w:tcPr>
          <w:p w14:paraId="6285FDBD" w14:textId="77777777" w:rsidR="002B0F85" w:rsidRPr="00F14E6C" w:rsidRDefault="002B0F85" w:rsidP="002B0F85"/>
        </w:tc>
        <w:tc>
          <w:tcPr>
            <w:tcW w:w="1191" w:type="dxa"/>
          </w:tcPr>
          <w:p w14:paraId="49642276" w14:textId="77777777" w:rsidR="002B0F85" w:rsidRPr="00F14E6C" w:rsidRDefault="002B0F85" w:rsidP="002B0F85"/>
        </w:tc>
      </w:tr>
      <w:tr w:rsidR="002B0F85" w:rsidRPr="00F14E6C" w14:paraId="786794F2" w14:textId="77777777" w:rsidTr="008B57C2">
        <w:tc>
          <w:tcPr>
            <w:tcW w:w="2694" w:type="dxa"/>
          </w:tcPr>
          <w:p w14:paraId="695E7D75" w14:textId="77777777" w:rsidR="002B0F85" w:rsidRPr="00F14E6C" w:rsidRDefault="002B0F85" w:rsidP="002B0F85">
            <w:r w:rsidRPr="00F14E6C">
              <w:t>Number</w:t>
            </w:r>
          </w:p>
        </w:tc>
        <w:tc>
          <w:tcPr>
            <w:tcW w:w="1275" w:type="dxa"/>
          </w:tcPr>
          <w:p w14:paraId="68FFDA2D" w14:textId="77777777" w:rsidR="002B0F85" w:rsidRPr="00F14E6C" w:rsidRDefault="002B0F85" w:rsidP="002B0F85">
            <w:r w:rsidRPr="00F14E6C">
              <w:t>1498</w:t>
            </w:r>
          </w:p>
        </w:tc>
        <w:tc>
          <w:tcPr>
            <w:tcW w:w="1276" w:type="dxa"/>
          </w:tcPr>
          <w:p w14:paraId="3A61E709" w14:textId="77777777" w:rsidR="002B0F85" w:rsidRPr="00F14E6C" w:rsidRDefault="002B0F85" w:rsidP="002B0F85">
            <w:r w:rsidRPr="00F14E6C">
              <w:t>1003</w:t>
            </w:r>
          </w:p>
        </w:tc>
        <w:tc>
          <w:tcPr>
            <w:tcW w:w="1276" w:type="dxa"/>
          </w:tcPr>
          <w:p w14:paraId="58E91351" w14:textId="77777777" w:rsidR="002B0F85" w:rsidRPr="00F14E6C" w:rsidRDefault="002B0F85" w:rsidP="002B0F85">
            <w:r w:rsidRPr="00F14E6C">
              <w:t>1971</w:t>
            </w:r>
          </w:p>
        </w:tc>
        <w:tc>
          <w:tcPr>
            <w:tcW w:w="1360" w:type="dxa"/>
          </w:tcPr>
          <w:p w14:paraId="0096FC79" w14:textId="77777777" w:rsidR="002B0F85" w:rsidRPr="00F14E6C" w:rsidRDefault="002B0F85" w:rsidP="002B0F85">
            <w:r w:rsidRPr="00F14E6C">
              <w:t>844</w:t>
            </w:r>
          </w:p>
        </w:tc>
        <w:tc>
          <w:tcPr>
            <w:tcW w:w="1191" w:type="dxa"/>
          </w:tcPr>
          <w:p w14:paraId="3B604C9A" w14:textId="77777777" w:rsidR="002B0F85" w:rsidRPr="00F14E6C" w:rsidRDefault="002B0F85" w:rsidP="002B0F85">
            <w:r w:rsidRPr="00F14E6C">
              <w:t>9756</w:t>
            </w:r>
          </w:p>
        </w:tc>
      </w:tr>
      <w:tr w:rsidR="00826158" w:rsidRPr="00F14E6C" w14:paraId="02F9FF13" w14:textId="77777777" w:rsidTr="008B57C2">
        <w:tc>
          <w:tcPr>
            <w:tcW w:w="2694" w:type="dxa"/>
          </w:tcPr>
          <w:p w14:paraId="38CA0DE3" w14:textId="1D282887" w:rsidR="00826158" w:rsidRPr="00F14E6C" w:rsidRDefault="00826158" w:rsidP="00826158">
            <w:r w:rsidRPr="00F14E6C">
              <w:t>Age at fracture (</w:t>
            </w:r>
            <w:r w:rsidR="008B57C2" w:rsidRPr="00F14E6C">
              <w:t>SD</w:t>
            </w:r>
            <w:r w:rsidRPr="00F14E6C">
              <w:t>)</w:t>
            </w:r>
          </w:p>
        </w:tc>
        <w:tc>
          <w:tcPr>
            <w:tcW w:w="1275" w:type="dxa"/>
          </w:tcPr>
          <w:p w14:paraId="3A838E9D" w14:textId="25592C44" w:rsidR="00826158" w:rsidRPr="00F14E6C" w:rsidRDefault="00826158" w:rsidP="00826158">
            <w:r w:rsidRPr="00F14E6C">
              <w:t>79.6 (8.8)</w:t>
            </w:r>
          </w:p>
        </w:tc>
        <w:tc>
          <w:tcPr>
            <w:tcW w:w="1276" w:type="dxa"/>
          </w:tcPr>
          <w:p w14:paraId="6402EC02" w14:textId="69040258" w:rsidR="00826158" w:rsidRPr="00F14E6C" w:rsidRDefault="00826158" w:rsidP="00826158">
            <w:r w:rsidRPr="00F14E6C">
              <w:t>74.7 (9.7)</w:t>
            </w:r>
          </w:p>
        </w:tc>
        <w:tc>
          <w:tcPr>
            <w:tcW w:w="1276" w:type="dxa"/>
          </w:tcPr>
          <w:p w14:paraId="5F24F3CC" w14:textId="59DADB69" w:rsidR="00826158" w:rsidRPr="00F14E6C" w:rsidRDefault="00826158" w:rsidP="00826158">
            <w:r w:rsidRPr="00F14E6C">
              <w:t>69.5 (10.3)</w:t>
            </w:r>
          </w:p>
        </w:tc>
        <w:tc>
          <w:tcPr>
            <w:tcW w:w="1360" w:type="dxa"/>
          </w:tcPr>
          <w:p w14:paraId="27A9C89B" w14:textId="3C202522" w:rsidR="00826158" w:rsidRPr="00F14E6C" w:rsidRDefault="00826158" w:rsidP="00826158">
            <w:r w:rsidRPr="00F14E6C">
              <w:t>74.2 (9.9)</w:t>
            </w:r>
          </w:p>
        </w:tc>
        <w:tc>
          <w:tcPr>
            <w:tcW w:w="1191" w:type="dxa"/>
          </w:tcPr>
          <w:p w14:paraId="3781A093" w14:textId="77777777" w:rsidR="00826158" w:rsidRPr="00F14E6C" w:rsidRDefault="00826158" w:rsidP="00826158"/>
        </w:tc>
      </w:tr>
      <w:tr w:rsidR="002B0F85" w:rsidRPr="00F14E6C" w14:paraId="48A8D0BF" w14:textId="77777777" w:rsidTr="008B57C2">
        <w:tc>
          <w:tcPr>
            <w:tcW w:w="2694" w:type="dxa"/>
          </w:tcPr>
          <w:p w14:paraId="3EFC108F" w14:textId="77777777" w:rsidR="002B0F85" w:rsidRPr="00F14E6C" w:rsidRDefault="002B0F85" w:rsidP="002B0F85">
            <w:r w:rsidRPr="00F14E6C">
              <w:t xml:space="preserve">Deaths within 10 years </w:t>
            </w:r>
          </w:p>
        </w:tc>
        <w:tc>
          <w:tcPr>
            <w:tcW w:w="1275" w:type="dxa"/>
          </w:tcPr>
          <w:p w14:paraId="67140594" w14:textId="77777777" w:rsidR="002B0F85" w:rsidRPr="00F14E6C" w:rsidRDefault="002B0F85" w:rsidP="002B0F85">
            <w:r w:rsidRPr="00F14E6C">
              <w:t>906 (60%)</w:t>
            </w:r>
          </w:p>
        </w:tc>
        <w:tc>
          <w:tcPr>
            <w:tcW w:w="1276" w:type="dxa"/>
          </w:tcPr>
          <w:p w14:paraId="0626F17C" w14:textId="77777777" w:rsidR="002B0F85" w:rsidRPr="00F14E6C" w:rsidRDefault="002B0F85" w:rsidP="002B0F85">
            <w:r w:rsidRPr="00F14E6C">
              <w:t>464 (46%)</w:t>
            </w:r>
          </w:p>
        </w:tc>
        <w:tc>
          <w:tcPr>
            <w:tcW w:w="1276" w:type="dxa"/>
          </w:tcPr>
          <w:p w14:paraId="1F0AD90C" w14:textId="77777777" w:rsidR="002B0F85" w:rsidRPr="00F14E6C" w:rsidRDefault="002B0F85" w:rsidP="002B0F85">
            <w:r w:rsidRPr="00F14E6C">
              <w:t>390 (20%)</w:t>
            </w:r>
          </w:p>
        </w:tc>
        <w:tc>
          <w:tcPr>
            <w:tcW w:w="1360" w:type="dxa"/>
          </w:tcPr>
          <w:p w14:paraId="7E356145" w14:textId="77777777" w:rsidR="002B0F85" w:rsidRPr="00F14E6C" w:rsidRDefault="002B0F85" w:rsidP="002B0F85">
            <w:r w:rsidRPr="00F14E6C">
              <w:t>268 (32%)</w:t>
            </w:r>
          </w:p>
        </w:tc>
        <w:tc>
          <w:tcPr>
            <w:tcW w:w="1191" w:type="dxa"/>
          </w:tcPr>
          <w:p w14:paraId="60E191F2" w14:textId="77777777" w:rsidR="002B0F85" w:rsidRPr="00F14E6C" w:rsidRDefault="002B0F85" w:rsidP="002B0F85">
            <w:r w:rsidRPr="00F14E6C">
              <w:t>682</w:t>
            </w:r>
          </w:p>
        </w:tc>
      </w:tr>
      <w:tr w:rsidR="002B0F85" w:rsidRPr="00F14E6C" w14:paraId="0CD5B15C" w14:textId="77777777" w:rsidTr="008B57C2">
        <w:tc>
          <w:tcPr>
            <w:tcW w:w="2694" w:type="dxa"/>
          </w:tcPr>
          <w:p w14:paraId="0F5D1571" w14:textId="77777777" w:rsidR="002B0F85" w:rsidRPr="00F14E6C" w:rsidRDefault="002B0F85" w:rsidP="002B0F85">
            <w:r w:rsidRPr="00F14E6C">
              <w:t xml:space="preserve">Subsequent fracture </w:t>
            </w:r>
          </w:p>
        </w:tc>
        <w:tc>
          <w:tcPr>
            <w:tcW w:w="1275" w:type="dxa"/>
          </w:tcPr>
          <w:p w14:paraId="010C52AB" w14:textId="77777777" w:rsidR="002B0F85" w:rsidRPr="00F14E6C" w:rsidRDefault="002B0F85" w:rsidP="002B0F85">
            <w:r w:rsidRPr="00F14E6C">
              <w:t>566 (38%)</w:t>
            </w:r>
          </w:p>
        </w:tc>
        <w:tc>
          <w:tcPr>
            <w:tcW w:w="1276" w:type="dxa"/>
          </w:tcPr>
          <w:p w14:paraId="50CC0997" w14:textId="77777777" w:rsidR="002B0F85" w:rsidRPr="00F14E6C" w:rsidRDefault="002B0F85" w:rsidP="002B0F85">
            <w:r w:rsidRPr="00F14E6C">
              <w:t>526 (52%)</w:t>
            </w:r>
          </w:p>
        </w:tc>
        <w:tc>
          <w:tcPr>
            <w:tcW w:w="1276" w:type="dxa"/>
          </w:tcPr>
          <w:p w14:paraId="3E98CAC9" w14:textId="77777777" w:rsidR="002B0F85" w:rsidRPr="00F14E6C" w:rsidRDefault="002B0F85" w:rsidP="002B0F85">
            <w:r w:rsidRPr="00F14E6C">
              <w:t>730 (37%)</w:t>
            </w:r>
          </w:p>
        </w:tc>
        <w:tc>
          <w:tcPr>
            <w:tcW w:w="1360" w:type="dxa"/>
          </w:tcPr>
          <w:p w14:paraId="06A859AA" w14:textId="77777777" w:rsidR="002B0F85" w:rsidRPr="00F14E6C" w:rsidRDefault="002B0F85" w:rsidP="002B0F85">
            <w:r w:rsidRPr="00F14E6C">
              <w:t>401 (48%)</w:t>
            </w:r>
          </w:p>
        </w:tc>
        <w:tc>
          <w:tcPr>
            <w:tcW w:w="1191" w:type="dxa"/>
          </w:tcPr>
          <w:p w14:paraId="03847DAB" w14:textId="77777777" w:rsidR="002B0F85" w:rsidRPr="00F14E6C" w:rsidRDefault="002B0F85" w:rsidP="002B0F85"/>
        </w:tc>
      </w:tr>
      <w:tr w:rsidR="002B0F85" w:rsidRPr="00F14E6C" w14:paraId="35A041BB" w14:textId="77777777" w:rsidTr="008B57C2">
        <w:tc>
          <w:tcPr>
            <w:tcW w:w="2694" w:type="dxa"/>
            <w:tcBorders>
              <w:bottom w:val="single" w:sz="4" w:space="0" w:color="auto"/>
            </w:tcBorders>
          </w:tcPr>
          <w:p w14:paraId="7D01DEA6" w14:textId="77777777" w:rsidR="002B0F85" w:rsidRPr="00F14E6C" w:rsidRDefault="002B0F85" w:rsidP="002B0F85">
            <w:r w:rsidRPr="00F14E6C">
              <w:t xml:space="preserve">N of subsequent fractures </w:t>
            </w:r>
          </w:p>
        </w:tc>
        <w:tc>
          <w:tcPr>
            <w:tcW w:w="1275" w:type="dxa"/>
            <w:tcBorders>
              <w:bottom w:val="single" w:sz="4" w:space="0" w:color="auto"/>
            </w:tcBorders>
          </w:tcPr>
          <w:p w14:paraId="4BC78A67" w14:textId="77777777" w:rsidR="002B0F85" w:rsidRPr="00F14E6C" w:rsidRDefault="002B0F85" w:rsidP="002B0F85">
            <w:r w:rsidRPr="00F14E6C">
              <w:t>984</w:t>
            </w:r>
          </w:p>
        </w:tc>
        <w:tc>
          <w:tcPr>
            <w:tcW w:w="1276" w:type="dxa"/>
            <w:tcBorders>
              <w:bottom w:val="single" w:sz="4" w:space="0" w:color="auto"/>
            </w:tcBorders>
          </w:tcPr>
          <w:p w14:paraId="41157440" w14:textId="77777777" w:rsidR="002B0F85" w:rsidRPr="00F14E6C" w:rsidRDefault="002B0F85" w:rsidP="002B0F85">
            <w:r w:rsidRPr="00F14E6C">
              <w:t>977</w:t>
            </w:r>
          </w:p>
        </w:tc>
        <w:tc>
          <w:tcPr>
            <w:tcW w:w="1276" w:type="dxa"/>
            <w:tcBorders>
              <w:bottom w:val="single" w:sz="4" w:space="0" w:color="auto"/>
            </w:tcBorders>
          </w:tcPr>
          <w:p w14:paraId="6F198520" w14:textId="77777777" w:rsidR="002B0F85" w:rsidRPr="00F14E6C" w:rsidRDefault="002B0F85" w:rsidP="002B0F85">
            <w:r w:rsidRPr="00F14E6C">
              <w:t>1093</w:t>
            </w:r>
          </w:p>
        </w:tc>
        <w:tc>
          <w:tcPr>
            <w:tcW w:w="1360" w:type="dxa"/>
            <w:tcBorders>
              <w:bottom w:val="single" w:sz="4" w:space="0" w:color="auto"/>
            </w:tcBorders>
          </w:tcPr>
          <w:p w14:paraId="41152093" w14:textId="77777777" w:rsidR="002B0F85" w:rsidRPr="00F14E6C" w:rsidRDefault="002B0F85" w:rsidP="002B0F85">
            <w:r w:rsidRPr="00F14E6C">
              <w:t>673</w:t>
            </w:r>
          </w:p>
        </w:tc>
        <w:tc>
          <w:tcPr>
            <w:tcW w:w="1191" w:type="dxa"/>
            <w:tcBorders>
              <w:bottom w:val="single" w:sz="4" w:space="0" w:color="auto"/>
            </w:tcBorders>
          </w:tcPr>
          <w:p w14:paraId="628F7C4B" w14:textId="77777777" w:rsidR="002B0F85" w:rsidRPr="00F14E6C" w:rsidRDefault="002B0F85" w:rsidP="002B0F85"/>
        </w:tc>
      </w:tr>
    </w:tbl>
    <w:p w14:paraId="60067FC5" w14:textId="0568C4E7" w:rsidR="002B0F85" w:rsidRPr="00F14E6C" w:rsidRDefault="000C48FF" w:rsidP="002B0F85">
      <w:r w:rsidRPr="00F14E6C">
        <w:t>SD=standard deviation</w:t>
      </w:r>
    </w:p>
    <w:p w14:paraId="7F8E7103" w14:textId="77777777" w:rsidR="00722793" w:rsidRPr="00F14E6C" w:rsidRDefault="00722793" w:rsidP="00F9797B">
      <w:pPr>
        <w:rPr>
          <w:b/>
        </w:rPr>
      </w:pPr>
    </w:p>
    <w:p w14:paraId="0D723735" w14:textId="77777777" w:rsidR="00722793" w:rsidRPr="00F14E6C" w:rsidRDefault="00722793" w:rsidP="00F9797B">
      <w:pPr>
        <w:rPr>
          <w:b/>
        </w:rPr>
      </w:pPr>
    </w:p>
    <w:p w14:paraId="389494BB" w14:textId="77777777" w:rsidR="00722793" w:rsidRPr="00F14E6C" w:rsidRDefault="00722793" w:rsidP="00F9797B">
      <w:pPr>
        <w:rPr>
          <w:b/>
        </w:rPr>
      </w:pPr>
    </w:p>
    <w:p w14:paraId="5FA7B0D3" w14:textId="77777777" w:rsidR="00722793" w:rsidRPr="00F14E6C" w:rsidRDefault="00722793" w:rsidP="00F9797B">
      <w:pPr>
        <w:rPr>
          <w:b/>
        </w:rPr>
      </w:pPr>
    </w:p>
    <w:p w14:paraId="505E4575" w14:textId="77777777" w:rsidR="00722793" w:rsidRPr="00F14E6C" w:rsidRDefault="00722793" w:rsidP="00F9797B">
      <w:pPr>
        <w:rPr>
          <w:b/>
        </w:rPr>
      </w:pPr>
    </w:p>
    <w:p w14:paraId="7F49BB14" w14:textId="2DE9BB7D" w:rsidR="00F9797B" w:rsidRPr="00F14E6C" w:rsidRDefault="00F9797B" w:rsidP="00F9797B">
      <w:r w:rsidRPr="00F14E6C">
        <w:rPr>
          <w:b/>
        </w:rPr>
        <w:t xml:space="preserve">Table </w:t>
      </w:r>
      <w:r w:rsidR="000C48FF" w:rsidRPr="00F14E6C">
        <w:rPr>
          <w:b/>
        </w:rPr>
        <w:t>S</w:t>
      </w:r>
      <w:r w:rsidRPr="00F14E6C">
        <w:rPr>
          <w:b/>
        </w:rPr>
        <w:t>3</w:t>
      </w:r>
      <w:r w:rsidRPr="00F14E6C">
        <w:t>.  Number and site of first subsequent osteoporotic fractures following a sentinel fracture within 10 years after the fracture</w:t>
      </w:r>
    </w:p>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560"/>
        <w:gridCol w:w="1559"/>
        <w:gridCol w:w="1559"/>
        <w:gridCol w:w="1508"/>
      </w:tblGrid>
      <w:tr w:rsidR="00F9797B" w:rsidRPr="00F14E6C" w14:paraId="733BA4FF" w14:textId="77777777" w:rsidTr="003B6C9F">
        <w:tc>
          <w:tcPr>
            <w:tcW w:w="2830" w:type="dxa"/>
          </w:tcPr>
          <w:p w14:paraId="4A9AF968" w14:textId="77777777" w:rsidR="00F9797B" w:rsidRPr="00F14E6C" w:rsidRDefault="00F9797B" w:rsidP="00F9797B"/>
        </w:tc>
        <w:tc>
          <w:tcPr>
            <w:tcW w:w="6186" w:type="dxa"/>
            <w:gridSpan w:val="4"/>
          </w:tcPr>
          <w:p w14:paraId="365EF076" w14:textId="77777777" w:rsidR="00F9797B" w:rsidRPr="00F14E6C" w:rsidRDefault="00F9797B" w:rsidP="00F9797B">
            <w:r w:rsidRPr="00F14E6C">
              <w:t>Sentinel fracture</w:t>
            </w:r>
          </w:p>
        </w:tc>
      </w:tr>
      <w:tr w:rsidR="00F9797B" w:rsidRPr="00F14E6C" w14:paraId="15A06474" w14:textId="77777777" w:rsidTr="003B6C9F">
        <w:tc>
          <w:tcPr>
            <w:tcW w:w="2830" w:type="dxa"/>
            <w:tcBorders>
              <w:bottom w:val="nil"/>
            </w:tcBorders>
          </w:tcPr>
          <w:p w14:paraId="5235CB70" w14:textId="77777777" w:rsidR="00F9797B" w:rsidRPr="00F14E6C" w:rsidRDefault="00F9797B" w:rsidP="00F9797B"/>
        </w:tc>
        <w:tc>
          <w:tcPr>
            <w:tcW w:w="1560" w:type="dxa"/>
            <w:tcBorders>
              <w:bottom w:val="nil"/>
            </w:tcBorders>
          </w:tcPr>
          <w:p w14:paraId="74CA6AD1" w14:textId="77777777" w:rsidR="00F9797B" w:rsidRPr="00F14E6C" w:rsidRDefault="00F9797B" w:rsidP="00F9797B">
            <w:r w:rsidRPr="00F14E6C">
              <w:t>Hip</w:t>
            </w:r>
          </w:p>
        </w:tc>
        <w:tc>
          <w:tcPr>
            <w:tcW w:w="1559" w:type="dxa"/>
            <w:tcBorders>
              <w:bottom w:val="nil"/>
            </w:tcBorders>
          </w:tcPr>
          <w:p w14:paraId="1470B9AE" w14:textId="77777777" w:rsidR="00F9797B" w:rsidRPr="00F14E6C" w:rsidRDefault="00F9797B" w:rsidP="00F9797B">
            <w:r w:rsidRPr="00F14E6C">
              <w:t>Spine</w:t>
            </w:r>
          </w:p>
        </w:tc>
        <w:tc>
          <w:tcPr>
            <w:tcW w:w="1559" w:type="dxa"/>
            <w:tcBorders>
              <w:bottom w:val="nil"/>
            </w:tcBorders>
          </w:tcPr>
          <w:p w14:paraId="43901576" w14:textId="77777777" w:rsidR="00F9797B" w:rsidRPr="00F14E6C" w:rsidRDefault="00F9797B" w:rsidP="00F9797B">
            <w:r w:rsidRPr="00F14E6C">
              <w:t>Forearm</w:t>
            </w:r>
          </w:p>
        </w:tc>
        <w:tc>
          <w:tcPr>
            <w:tcW w:w="1508" w:type="dxa"/>
            <w:tcBorders>
              <w:bottom w:val="nil"/>
            </w:tcBorders>
          </w:tcPr>
          <w:p w14:paraId="09943420" w14:textId="77777777" w:rsidR="00F9797B" w:rsidRPr="00F14E6C" w:rsidRDefault="00F9797B" w:rsidP="00F9797B">
            <w:r w:rsidRPr="00F14E6C">
              <w:t>Humerus</w:t>
            </w:r>
          </w:p>
        </w:tc>
      </w:tr>
      <w:tr w:rsidR="00F9797B" w:rsidRPr="00F14E6C" w14:paraId="51862C58" w14:textId="77777777" w:rsidTr="003B6C9F">
        <w:tc>
          <w:tcPr>
            <w:tcW w:w="2830" w:type="dxa"/>
            <w:tcBorders>
              <w:top w:val="nil"/>
              <w:bottom w:val="single" w:sz="4" w:space="0" w:color="auto"/>
            </w:tcBorders>
          </w:tcPr>
          <w:p w14:paraId="453A6BCA" w14:textId="77777777" w:rsidR="00F9797B" w:rsidRPr="00F14E6C" w:rsidRDefault="00F9797B" w:rsidP="00F9797B">
            <w:r w:rsidRPr="00F14E6C">
              <w:t>Site of subsequent fracture</w:t>
            </w:r>
          </w:p>
        </w:tc>
        <w:tc>
          <w:tcPr>
            <w:tcW w:w="1560" w:type="dxa"/>
            <w:tcBorders>
              <w:top w:val="nil"/>
              <w:bottom w:val="single" w:sz="4" w:space="0" w:color="auto"/>
            </w:tcBorders>
          </w:tcPr>
          <w:p w14:paraId="6D460051" w14:textId="77777777" w:rsidR="00F9797B" w:rsidRPr="00F14E6C" w:rsidRDefault="00F9797B" w:rsidP="00F9797B">
            <w:r w:rsidRPr="00F14E6C">
              <w:t>N=2074</w:t>
            </w:r>
          </w:p>
        </w:tc>
        <w:tc>
          <w:tcPr>
            <w:tcW w:w="1559" w:type="dxa"/>
            <w:tcBorders>
              <w:top w:val="nil"/>
              <w:bottom w:val="single" w:sz="4" w:space="0" w:color="auto"/>
            </w:tcBorders>
          </w:tcPr>
          <w:p w14:paraId="31871EC2" w14:textId="77777777" w:rsidR="00F9797B" w:rsidRPr="00F14E6C" w:rsidRDefault="00F9797B" w:rsidP="00F9797B">
            <w:r w:rsidRPr="00F14E6C">
              <w:t>N=1365</w:t>
            </w:r>
          </w:p>
        </w:tc>
        <w:tc>
          <w:tcPr>
            <w:tcW w:w="1559" w:type="dxa"/>
            <w:tcBorders>
              <w:top w:val="nil"/>
              <w:bottom w:val="single" w:sz="4" w:space="0" w:color="auto"/>
            </w:tcBorders>
          </w:tcPr>
          <w:p w14:paraId="27B3D1B8" w14:textId="77777777" w:rsidR="00F9797B" w:rsidRPr="00F14E6C" w:rsidRDefault="00F9797B" w:rsidP="00F9797B">
            <w:r w:rsidRPr="00F14E6C">
              <w:t>N=2364</w:t>
            </w:r>
          </w:p>
        </w:tc>
        <w:tc>
          <w:tcPr>
            <w:tcW w:w="1508" w:type="dxa"/>
            <w:tcBorders>
              <w:top w:val="nil"/>
              <w:bottom w:val="single" w:sz="4" w:space="0" w:color="auto"/>
            </w:tcBorders>
          </w:tcPr>
          <w:p w14:paraId="38814022" w14:textId="77777777" w:rsidR="00F9797B" w:rsidRPr="00F14E6C" w:rsidRDefault="00F9797B" w:rsidP="00F9797B">
            <w:r w:rsidRPr="00F14E6C">
              <w:t>N=1092</w:t>
            </w:r>
          </w:p>
        </w:tc>
      </w:tr>
      <w:tr w:rsidR="00F9797B" w:rsidRPr="00F14E6C" w14:paraId="49DB12DA" w14:textId="77777777" w:rsidTr="003B6C9F">
        <w:tc>
          <w:tcPr>
            <w:tcW w:w="2830" w:type="dxa"/>
            <w:tcBorders>
              <w:top w:val="single" w:sz="4" w:space="0" w:color="auto"/>
            </w:tcBorders>
          </w:tcPr>
          <w:p w14:paraId="23601D90" w14:textId="77777777" w:rsidR="00F9797B" w:rsidRPr="00F14E6C" w:rsidRDefault="00F9797B" w:rsidP="00F9797B">
            <w:r w:rsidRPr="00F14E6C">
              <w:t>Hip</w:t>
            </w:r>
          </w:p>
        </w:tc>
        <w:tc>
          <w:tcPr>
            <w:tcW w:w="1560" w:type="dxa"/>
            <w:tcBorders>
              <w:top w:val="single" w:sz="4" w:space="0" w:color="auto"/>
            </w:tcBorders>
          </w:tcPr>
          <w:p w14:paraId="395ADEE0" w14:textId="77777777" w:rsidR="00F9797B" w:rsidRPr="00F14E6C" w:rsidRDefault="00F9797B" w:rsidP="00F9797B">
            <w:pPr>
              <w:rPr>
                <w:b/>
              </w:rPr>
            </w:pPr>
            <w:r w:rsidRPr="00F14E6C">
              <w:rPr>
                <w:b/>
              </w:rPr>
              <w:t xml:space="preserve">189 (9%) </w:t>
            </w:r>
          </w:p>
        </w:tc>
        <w:tc>
          <w:tcPr>
            <w:tcW w:w="1559" w:type="dxa"/>
            <w:tcBorders>
              <w:top w:val="single" w:sz="4" w:space="0" w:color="auto"/>
            </w:tcBorders>
          </w:tcPr>
          <w:p w14:paraId="6E250EBD" w14:textId="77777777" w:rsidR="00F9797B" w:rsidRPr="00F14E6C" w:rsidRDefault="00F9797B" w:rsidP="00F9797B">
            <w:r w:rsidRPr="00F14E6C">
              <w:t>129 (9%)</w:t>
            </w:r>
          </w:p>
        </w:tc>
        <w:tc>
          <w:tcPr>
            <w:tcW w:w="1559" w:type="dxa"/>
            <w:tcBorders>
              <w:top w:val="single" w:sz="4" w:space="0" w:color="auto"/>
            </w:tcBorders>
          </w:tcPr>
          <w:p w14:paraId="1EB360EC" w14:textId="77777777" w:rsidR="00F9797B" w:rsidRPr="00F14E6C" w:rsidRDefault="00F9797B" w:rsidP="00F9797B">
            <w:r w:rsidRPr="00F14E6C">
              <w:t>181 (8%)</w:t>
            </w:r>
          </w:p>
        </w:tc>
        <w:tc>
          <w:tcPr>
            <w:tcW w:w="1508" w:type="dxa"/>
            <w:tcBorders>
              <w:top w:val="single" w:sz="4" w:space="0" w:color="auto"/>
            </w:tcBorders>
          </w:tcPr>
          <w:p w14:paraId="629A05BD" w14:textId="77777777" w:rsidR="00F9797B" w:rsidRPr="00F14E6C" w:rsidRDefault="00F9797B" w:rsidP="00F9797B">
            <w:r w:rsidRPr="00F14E6C">
              <w:t>134(12%)</w:t>
            </w:r>
          </w:p>
        </w:tc>
      </w:tr>
      <w:tr w:rsidR="00F9797B" w:rsidRPr="00F14E6C" w14:paraId="106615EA" w14:textId="77777777" w:rsidTr="003B6C9F">
        <w:tc>
          <w:tcPr>
            <w:tcW w:w="2830" w:type="dxa"/>
          </w:tcPr>
          <w:p w14:paraId="746F2450" w14:textId="77777777" w:rsidR="00F9797B" w:rsidRPr="00F14E6C" w:rsidRDefault="00F9797B" w:rsidP="00F9797B">
            <w:r w:rsidRPr="00F14E6C">
              <w:t>Vertebra</w:t>
            </w:r>
          </w:p>
        </w:tc>
        <w:tc>
          <w:tcPr>
            <w:tcW w:w="1560" w:type="dxa"/>
          </w:tcPr>
          <w:p w14:paraId="66D0F936" w14:textId="77777777" w:rsidR="00F9797B" w:rsidRPr="00F14E6C" w:rsidRDefault="00F9797B" w:rsidP="00F9797B">
            <w:r w:rsidRPr="00F14E6C">
              <w:t xml:space="preserve">98 (5%) </w:t>
            </w:r>
          </w:p>
        </w:tc>
        <w:tc>
          <w:tcPr>
            <w:tcW w:w="1559" w:type="dxa"/>
          </w:tcPr>
          <w:p w14:paraId="79F57909" w14:textId="77777777" w:rsidR="00F9797B" w:rsidRPr="00F14E6C" w:rsidRDefault="00F9797B" w:rsidP="00F9797B">
            <w:pPr>
              <w:rPr>
                <w:b/>
              </w:rPr>
            </w:pPr>
            <w:r w:rsidRPr="00F14E6C">
              <w:rPr>
                <w:b/>
              </w:rPr>
              <w:t>156 (11%)</w:t>
            </w:r>
          </w:p>
        </w:tc>
        <w:tc>
          <w:tcPr>
            <w:tcW w:w="1559" w:type="dxa"/>
          </w:tcPr>
          <w:p w14:paraId="5931481A" w14:textId="77777777" w:rsidR="00F9797B" w:rsidRPr="00F14E6C" w:rsidRDefault="00F9797B" w:rsidP="00F9797B">
            <w:r w:rsidRPr="00F14E6C">
              <w:t>96 (4%)</w:t>
            </w:r>
          </w:p>
        </w:tc>
        <w:tc>
          <w:tcPr>
            <w:tcW w:w="1508" w:type="dxa"/>
          </w:tcPr>
          <w:p w14:paraId="52A7F4C5" w14:textId="77777777" w:rsidR="00F9797B" w:rsidRPr="00F14E6C" w:rsidRDefault="00F9797B" w:rsidP="00F9797B">
            <w:r w:rsidRPr="00F14E6C">
              <w:t>65 (6%)</w:t>
            </w:r>
          </w:p>
        </w:tc>
      </w:tr>
      <w:tr w:rsidR="00F9797B" w:rsidRPr="00F14E6C" w14:paraId="7CE1AD71" w14:textId="77777777" w:rsidTr="003B6C9F">
        <w:tc>
          <w:tcPr>
            <w:tcW w:w="2830" w:type="dxa"/>
          </w:tcPr>
          <w:p w14:paraId="37637E83" w14:textId="77777777" w:rsidR="00F9797B" w:rsidRPr="00F14E6C" w:rsidRDefault="00F9797B" w:rsidP="00F9797B">
            <w:r w:rsidRPr="00F14E6C">
              <w:t>Distal forearm</w:t>
            </w:r>
          </w:p>
        </w:tc>
        <w:tc>
          <w:tcPr>
            <w:tcW w:w="1560" w:type="dxa"/>
          </w:tcPr>
          <w:p w14:paraId="7EF92C85" w14:textId="77777777" w:rsidR="00F9797B" w:rsidRPr="00F14E6C" w:rsidRDefault="00F9797B" w:rsidP="00F9797B">
            <w:r w:rsidRPr="00F14E6C">
              <w:t xml:space="preserve">136 (7%) </w:t>
            </w:r>
          </w:p>
        </w:tc>
        <w:tc>
          <w:tcPr>
            <w:tcW w:w="1559" w:type="dxa"/>
          </w:tcPr>
          <w:p w14:paraId="382DEEB7" w14:textId="77777777" w:rsidR="00F9797B" w:rsidRPr="00F14E6C" w:rsidRDefault="00F9797B" w:rsidP="00F9797B">
            <w:r w:rsidRPr="00F14E6C">
              <w:t>109 (8%)</w:t>
            </w:r>
          </w:p>
        </w:tc>
        <w:tc>
          <w:tcPr>
            <w:tcW w:w="1559" w:type="dxa"/>
          </w:tcPr>
          <w:p w14:paraId="552BBAD2" w14:textId="77777777" w:rsidR="00F9797B" w:rsidRPr="00F14E6C" w:rsidRDefault="00F9797B" w:rsidP="00F9797B">
            <w:pPr>
              <w:rPr>
                <w:b/>
              </w:rPr>
            </w:pPr>
            <w:r w:rsidRPr="00F14E6C">
              <w:rPr>
                <w:b/>
              </w:rPr>
              <w:t>250 (11%)</w:t>
            </w:r>
          </w:p>
        </w:tc>
        <w:tc>
          <w:tcPr>
            <w:tcW w:w="1508" w:type="dxa"/>
          </w:tcPr>
          <w:p w14:paraId="09AAEA0D" w14:textId="77777777" w:rsidR="00F9797B" w:rsidRPr="00F14E6C" w:rsidRDefault="00F9797B" w:rsidP="00F9797B">
            <w:r w:rsidRPr="00F14E6C">
              <w:t>114 (10%)</w:t>
            </w:r>
          </w:p>
        </w:tc>
      </w:tr>
      <w:tr w:rsidR="00F9797B" w:rsidRPr="00F14E6C" w14:paraId="68037FFB" w14:textId="77777777" w:rsidTr="003B6C9F">
        <w:tc>
          <w:tcPr>
            <w:tcW w:w="2830" w:type="dxa"/>
          </w:tcPr>
          <w:p w14:paraId="78C7B525" w14:textId="77777777" w:rsidR="00F9797B" w:rsidRPr="00F14E6C" w:rsidRDefault="00F9797B" w:rsidP="00F9797B">
            <w:r w:rsidRPr="00F14E6C">
              <w:t>Humerus</w:t>
            </w:r>
          </w:p>
        </w:tc>
        <w:tc>
          <w:tcPr>
            <w:tcW w:w="1560" w:type="dxa"/>
          </w:tcPr>
          <w:p w14:paraId="207D3844" w14:textId="77777777" w:rsidR="00F9797B" w:rsidRPr="00F14E6C" w:rsidRDefault="00F9797B" w:rsidP="00F9797B">
            <w:r w:rsidRPr="00F14E6C">
              <w:t xml:space="preserve">106 (5%) </w:t>
            </w:r>
          </w:p>
        </w:tc>
        <w:tc>
          <w:tcPr>
            <w:tcW w:w="1559" w:type="dxa"/>
          </w:tcPr>
          <w:p w14:paraId="7EE44ADC" w14:textId="77777777" w:rsidR="00F9797B" w:rsidRPr="00F14E6C" w:rsidRDefault="00F9797B" w:rsidP="00F9797B">
            <w:r w:rsidRPr="00F14E6C">
              <w:t>65 (5%)</w:t>
            </w:r>
          </w:p>
        </w:tc>
        <w:tc>
          <w:tcPr>
            <w:tcW w:w="1559" w:type="dxa"/>
          </w:tcPr>
          <w:p w14:paraId="1718E90A" w14:textId="77777777" w:rsidR="00F9797B" w:rsidRPr="00F14E6C" w:rsidRDefault="00F9797B" w:rsidP="00F9797B">
            <w:r w:rsidRPr="00F14E6C">
              <w:t>148 (6%)</w:t>
            </w:r>
          </w:p>
        </w:tc>
        <w:tc>
          <w:tcPr>
            <w:tcW w:w="1508" w:type="dxa"/>
          </w:tcPr>
          <w:p w14:paraId="31B0D5B6" w14:textId="77777777" w:rsidR="00F9797B" w:rsidRPr="00F14E6C" w:rsidRDefault="00F9797B" w:rsidP="00F9797B">
            <w:r w:rsidRPr="00F14E6C">
              <w:t>82(8%)</w:t>
            </w:r>
          </w:p>
        </w:tc>
      </w:tr>
      <w:tr w:rsidR="00F9797B" w:rsidRPr="00F14E6C" w14:paraId="1673580F" w14:textId="77777777" w:rsidTr="003B6C9F">
        <w:tc>
          <w:tcPr>
            <w:tcW w:w="2830" w:type="dxa"/>
          </w:tcPr>
          <w:p w14:paraId="6951AA5B" w14:textId="77777777" w:rsidR="00F9797B" w:rsidRPr="00F14E6C" w:rsidRDefault="00F9797B" w:rsidP="00F9797B">
            <w:r w:rsidRPr="00F14E6C">
              <w:t>Clavicle, scapula, sternum</w:t>
            </w:r>
          </w:p>
        </w:tc>
        <w:tc>
          <w:tcPr>
            <w:tcW w:w="1560" w:type="dxa"/>
          </w:tcPr>
          <w:p w14:paraId="7D014DA8" w14:textId="77777777" w:rsidR="00F9797B" w:rsidRPr="00F14E6C" w:rsidRDefault="00F9797B" w:rsidP="00F9797B">
            <w:r w:rsidRPr="00F14E6C">
              <w:t xml:space="preserve">19 (1%) </w:t>
            </w:r>
          </w:p>
        </w:tc>
        <w:tc>
          <w:tcPr>
            <w:tcW w:w="1559" w:type="dxa"/>
          </w:tcPr>
          <w:p w14:paraId="360D15C0" w14:textId="77777777" w:rsidR="00F9797B" w:rsidRPr="00F14E6C" w:rsidRDefault="00F9797B" w:rsidP="00F9797B">
            <w:r w:rsidRPr="00F14E6C">
              <w:t>29 (2%)</w:t>
            </w:r>
          </w:p>
        </w:tc>
        <w:tc>
          <w:tcPr>
            <w:tcW w:w="1559" w:type="dxa"/>
          </w:tcPr>
          <w:p w14:paraId="2F0839FF" w14:textId="77777777" w:rsidR="00F9797B" w:rsidRPr="00F14E6C" w:rsidRDefault="00F9797B" w:rsidP="00F9797B">
            <w:r w:rsidRPr="00F14E6C">
              <w:t>26 (1%)</w:t>
            </w:r>
          </w:p>
        </w:tc>
        <w:tc>
          <w:tcPr>
            <w:tcW w:w="1508" w:type="dxa"/>
          </w:tcPr>
          <w:p w14:paraId="69A5BDE8" w14:textId="77777777" w:rsidR="00F9797B" w:rsidRPr="00F14E6C" w:rsidRDefault="00F9797B" w:rsidP="00F9797B">
            <w:r w:rsidRPr="00F14E6C">
              <w:t>17 (2%)</w:t>
            </w:r>
          </w:p>
        </w:tc>
      </w:tr>
      <w:tr w:rsidR="00F9797B" w:rsidRPr="00F14E6C" w14:paraId="564ACD2E" w14:textId="77777777" w:rsidTr="003B6C9F">
        <w:tc>
          <w:tcPr>
            <w:tcW w:w="2830" w:type="dxa"/>
          </w:tcPr>
          <w:p w14:paraId="6205E4B4" w14:textId="77777777" w:rsidR="00F9797B" w:rsidRPr="00F14E6C" w:rsidRDefault="00F9797B" w:rsidP="00F9797B">
            <w:r w:rsidRPr="00F14E6C">
              <w:t>Other femoral fractures</w:t>
            </w:r>
          </w:p>
        </w:tc>
        <w:tc>
          <w:tcPr>
            <w:tcW w:w="1560" w:type="dxa"/>
          </w:tcPr>
          <w:p w14:paraId="1723C282" w14:textId="77777777" w:rsidR="00F9797B" w:rsidRPr="00F14E6C" w:rsidRDefault="00F9797B" w:rsidP="00F9797B">
            <w:r w:rsidRPr="00F14E6C">
              <w:t xml:space="preserve">34 (2%) </w:t>
            </w:r>
          </w:p>
        </w:tc>
        <w:tc>
          <w:tcPr>
            <w:tcW w:w="1559" w:type="dxa"/>
          </w:tcPr>
          <w:p w14:paraId="51E9A508" w14:textId="77777777" w:rsidR="00F9797B" w:rsidRPr="00F14E6C" w:rsidRDefault="00F9797B" w:rsidP="00F9797B">
            <w:r w:rsidRPr="00F14E6C">
              <w:t>7 (1%)</w:t>
            </w:r>
          </w:p>
        </w:tc>
        <w:tc>
          <w:tcPr>
            <w:tcW w:w="1559" w:type="dxa"/>
          </w:tcPr>
          <w:p w14:paraId="0B6CF967" w14:textId="77777777" w:rsidR="00F9797B" w:rsidRPr="00F14E6C" w:rsidRDefault="00F9797B" w:rsidP="00F9797B">
            <w:r w:rsidRPr="00F14E6C">
              <w:t>15 (1%)</w:t>
            </w:r>
          </w:p>
        </w:tc>
        <w:tc>
          <w:tcPr>
            <w:tcW w:w="1508" w:type="dxa"/>
          </w:tcPr>
          <w:p w14:paraId="6EA8A18F" w14:textId="77777777" w:rsidR="00F9797B" w:rsidRPr="00F14E6C" w:rsidRDefault="00F9797B" w:rsidP="00F9797B">
            <w:r w:rsidRPr="00F14E6C">
              <w:t>7 (1%)</w:t>
            </w:r>
          </w:p>
        </w:tc>
      </w:tr>
      <w:tr w:rsidR="00F9797B" w:rsidRPr="00F14E6C" w14:paraId="2F70B42E" w14:textId="77777777" w:rsidTr="003B6C9F">
        <w:tc>
          <w:tcPr>
            <w:tcW w:w="2830" w:type="dxa"/>
          </w:tcPr>
          <w:p w14:paraId="0EAE3CA6" w14:textId="77777777" w:rsidR="00F9797B" w:rsidRPr="00F14E6C" w:rsidRDefault="00F9797B" w:rsidP="00F9797B">
            <w:r w:rsidRPr="00F14E6C">
              <w:t xml:space="preserve">Tibia </w:t>
            </w:r>
            <w:r w:rsidRPr="00F14E6C">
              <w:rPr>
                <w:vertAlign w:val="superscript"/>
              </w:rPr>
              <w:t>a</w:t>
            </w:r>
          </w:p>
        </w:tc>
        <w:tc>
          <w:tcPr>
            <w:tcW w:w="1560" w:type="dxa"/>
          </w:tcPr>
          <w:p w14:paraId="4D59651A" w14:textId="77777777" w:rsidR="00F9797B" w:rsidRPr="00F14E6C" w:rsidRDefault="00F9797B" w:rsidP="00F9797B">
            <w:r w:rsidRPr="00F14E6C">
              <w:t>15 (1% of 1498)</w:t>
            </w:r>
          </w:p>
        </w:tc>
        <w:tc>
          <w:tcPr>
            <w:tcW w:w="1559" w:type="dxa"/>
          </w:tcPr>
          <w:p w14:paraId="79886425" w14:textId="77777777" w:rsidR="00F9797B" w:rsidRPr="00F14E6C" w:rsidRDefault="00F9797B" w:rsidP="00F9797B">
            <w:r w:rsidRPr="00F14E6C">
              <w:t>11 (1% of 1003)</w:t>
            </w:r>
          </w:p>
        </w:tc>
        <w:tc>
          <w:tcPr>
            <w:tcW w:w="1559" w:type="dxa"/>
          </w:tcPr>
          <w:p w14:paraId="0076C725" w14:textId="77777777" w:rsidR="00F9797B" w:rsidRPr="00F14E6C" w:rsidRDefault="00F9797B" w:rsidP="00F9797B">
            <w:r w:rsidRPr="00F14E6C">
              <w:t>30 (2% of 1971)</w:t>
            </w:r>
          </w:p>
        </w:tc>
        <w:tc>
          <w:tcPr>
            <w:tcW w:w="1508" w:type="dxa"/>
          </w:tcPr>
          <w:p w14:paraId="67C298E7" w14:textId="77777777" w:rsidR="00F9797B" w:rsidRPr="00F14E6C" w:rsidRDefault="00F9797B" w:rsidP="00F9797B">
            <w:r w:rsidRPr="00F14E6C">
              <w:t>16 (2% of 844)</w:t>
            </w:r>
          </w:p>
        </w:tc>
      </w:tr>
      <w:tr w:rsidR="00F9797B" w:rsidRPr="00F14E6C" w14:paraId="6754F7DC" w14:textId="77777777" w:rsidTr="003B6C9F">
        <w:tc>
          <w:tcPr>
            <w:tcW w:w="2830" w:type="dxa"/>
            <w:tcBorders>
              <w:bottom w:val="nil"/>
            </w:tcBorders>
          </w:tcPr>
          <w:p w14:paraId="11BD1AFC" w14:textId="77777777" w:rsidR="00F9797B" w:rsidRPr="00F14E6C" w:rsidRDefault="00F9797B" w:rsidP="00F9797B">
            <w:r w:rsidRPr="00F14E6C">
              <w:t>Pelvis</w:t>
            </w:r>
          </w:p>
        </w:tc>
        <w:tc>
          <w:tcPr>
            <w:tcW w:w="1560" w:type="dxa"/>
            <w:tcBorders>
              <w:bottom w:val="nil"/>
            </w:tcBorders>
          </w:tcPr>
          <w:p w14:paraId="1EC0F9F5" w14:textId="77777777" w:rsidR="00F9797B" w:rsidRPr="00F14E6C" w:rsidRDefault="00F9797B" w:rsidP="00F9797B">
            <w:r w:rsidRPr="00F14E6C">
              <w:t>93 (4%)</w:t>
            </w:r>
          </w:p>
        </w:tc>
        <w:tc>
          <w:tcPr>
            <w:tcW w:w="1559" w:type="dxa"/>
            <w:tcBorders>
              <w:bottom w:val="nil"/>
            </w:tcBorders>
          </w:tcPr>
          <w:p w14:paraId="6C41FF9F" w14:textId="77777777" w:rsidR="00F9797B" w:rsidRPr="00F14E6C" w:rsidRDefault="00F9797B" w:rsidP="00F9797B">
            <w:r w:rsidRPr="00F14E6C">
              <w:t>67 (5%)</w:t>
            </w:r>
          </w:p>
        </w:tc>
        <w:tc>
          <w:tcPr>
            <w:tcW w:w="1559" w:type="dxa"/>
            <w:tcBorders>
              <w:bottom w:val="nil"/>
            </w:tcBorders>
          </w:tcPr>
          <w:p w14:paraId="3AF86BE0" w14:textId="77777777" w:rsidR="00F9797B" w:rsidRPr="00F14E6C" w:rsidRDefault="00F9797B" w:rsidP="00F9797B">
            <w:r w:rsidRPr="00F14E6C">
              <w:t>49 (2%)</w:t>
            </w:r>
          </w:p>
        </w:tc>
        <w:tc>
          <w:tcPr>
            <w:tcW w:w="1508" w:type="dxa"/>
            <w:tcBorders>
              <w:bottom w:val="nil"/>
            </w:tcBorders>
          </w:tcPr>
          <w:p w14:paraId="674F469E" w14:textId="77777777" w:rsidR="00F9797B" w:rsidRPr="00F14E6C" w:rsidRDefault="00F9797B" w:rsidP="00F9797B">
            <w:r w:rsidRPr="00F14E6C">
              <w:t>31 (3%)</w:t>
            </w:r>
          </w:p>
        </w:tc>
      </w:tr>
      <w:tr w:rsidR="00F9797B" w:rsidRPr="00F14E6C" w14:paraId="112E3A81" w14:textId="77777777" w:rsidTr="003B6C9F">
        <w:tc>
          <w:tcPr>
            <w:tcW w:w="2830" w:type="dxa"/>
            <w:tcBorders>
              <w:top w:val="nil"/>
              <w:bottom w:val="single" w:sz="4" w:space="0" w:color="auto"/>
            </w:tcBorders>
          </w:tcPr>
          <w:p w14:paraId="41B5924E" w14:textId="77777777" w:rsidR="00F9797B" w:rsidRPr="00F14E6C" w:rsidRDefault="00F9797B" w:rsidP="00F9797B">
            <w:r w:rsidRPr="00F14E6C">
              <w:t>Ribs</w:t>
            </w:r>
          </w:p>
        </w:tc>
        <w:tc>
          <w:tcPr>
            <w:tcW w:w="1560" w:type="dxa"/>
            <w:tcBorders>
              <w:top w:val="nil"/>
              <w:bottom w:val="single" w:sz="4" w:space="0" w:color="auto"/>
            </w:tcBorders>
          </w:tcPr>
          <w:p w14:paraId="6DBA9CF0" w14:textId="77777777" w:rsidR="00F9797B" w:rsidRPr="00F14E6C" w:rsidRDefault="00F9797B" w:rsidP="00F9797B">
            <w:r w:rsidRPr="00F14E6C">
              <w:t xml:space="preserve">35 (2%)  </w:t>
            </w:r>
          </w:p>
        </w:tc>
        <w:tc>
          <w:tcPr>
            <w:tcW w:w="1559" w:type="dxa"/>
            <w:tcBorders>
              <w:top w:val="nil"/>
              <w:bottom w:val="single" w:sz="4" w:space="0" w:color="auto"/>
            </w:tcBorders>
          </w:tcPr>
          <w:p w14:paraId="2B23A4E4" w14:textId="77777777" w:rsidR="00F9797B" w:rsidRPr="00F14E6C" w:rsidRDefault="00F9797B" w:rsidP="00F9797B">
            <w:r w:rsidRPr="00F14E6C">
              <w:t>90 (7%)</w:t>
            </w:r>
          </w:p>
        </w:tc>
        <w:tc>
          <w:tcPr>
            <w:tcW w:w="1559" w:type="dxa"/>
            <w:tcBorders>
              <w:top w:val="nil"/>
              <w:bottom w:val="single" w:sz="4" w:space="0" w:color="auto"/>
            </w:tcBorders>
          </w:tcPr>
          <w:p w14:paraId="1179827E" w14:textId="77777777" w:rsidR="00F9797B" w:rsidRPr="00F14E6C" w:rsidRDefault="00F9797B" w:rsidP="00F9797B">
            <w:r w:rsidRPr="00F14E6C">
              <w:t>71 (3%)</w:t>
            </w:r>
          </w:p>
        </w:tc>
        <w:tc>
          <w:tcPr>
            <w:tcW w:w="1508" w:type="dxa"/>
            <w:tcBorders>
              <w:top w:val="nil"/>
              <w:bottom w:val="single" w:sz="4" w:space="0" w:color="auto"/>
            </w:tcBorders>
          </w:tcPr>
          <w:p w14:paraId="7D8FD012" w14:textId="77777777" w:rsidR="00F9797B" w:rsidRPr="00F14E6C" w:rsidRDefault="00F9797B" w:rsidP="00F9797B">
            <w:r w:rsidRPr="00F14E6C">
              <w:t>24 (2%)</w:t>
            </w:r>
          </w:p>
        </w:tc>
      </w:tr>
    </w:tbl>
    <w:p w14:paraId="358712FF" w14:textId="77777777" w:rsidR="00F9797B" w:rsidRPr="00F14E6C" w:rsidRDefault="00F9797B" w:rsidP="00F9797B">
      <w:r w:rsidRPr="00F14E6C">
        <w:rPr>
          <w:vertAlign w:val="superscript"/>
        </w:rPr>
        <w:t>a</w:t>
      </w:r>
      <w:r w:rsidRPr="00F14E6C">
        <w:t xml:space="preserve"> Not considered an osteoporotic fracture in men</w:t>
      </w:r>
    </w:p>
    <w:p w14:paraId="19F099F4" w14:textId="77777777" w:rsidR="00F9797B" w:rsidRPr="00F14E6C" w:rsidRDefault="00F9797B" w:rsidP="00F9797B">
      <w:pPr>
        <w:rPr>
          <w:i/>
        </w:rPr>
      </w:pPr>
    </w:p>
    <w:p w14:paraId="4009C45D" w14:textId="05E33FF6" w:rsidR="00F9797B" w:rsidRPr="00F14E6C" w:rsidRDefault="00F9797B" w:rsidP="00F9797B">
      <w:r w:rsidRPr="00F14E6C">
        <w:rPr>
          <w:b/>
        </w:rPr>
        <w:t xml:space="preserve">Table </w:t>
      </w:r>
      <w:r w:rsidR="000C48FF" w:rsidRPr="00F14E6C">
        <w:rPr>
          <w:b/>
        </w:rPr>
        <w:t>S</w:t>
      </w:r>
      <w:r w:rsidRPr="00F14E6C">
        <w:rPr>
          <w:b/>
        </w:rPr>
        <w:t>4.</w:t>
      </w:r>
      <w:r w:rsidRPr="00F14E6C">
        <w:t xml:space="preserve">  Cumulative number of deaths that occurred following a sentinel fracture at the sites shown.  Values in parentheses indicate the crude death rate associated with each sentinel fracture.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114"/>
        <w:gridCol w:w="1114"/>
        <w:gridCol w:w="1114"/>
        <w:gridCol w:w="1114"/>
        <w:gridCol w:w="1114"/>
        <w:gridCol w:w="1226"/>
      </w:tblGrid>
      <w:tr w:rsidR="00F9797B" w:rsidRPr="00F14E6C" w14:paraId="4AE17143" w14:textId="77777777" w:rsidTr="003B6C9F">
        <w:tc>
          <w:tcPr>
            <w:tcW w:w="0" w:type="auto"/>
            <w:tcBorders>
              <w:top w:val="single" w:sz="4" w:space="0" w:color="auto"/>
            </w:tcBorders>
          </w:tcPr>
          <w:p w14:paraId="51BEF84E" w14:textId="77777777" w:rsidR="00F9797B" w:rsidRPr="00F14E6C" w:rsidRDefault="00F9797B" w:rsidP="00F9797B">
            <w:r w:rsidRPr="00F14E6C">
              <w:t>Sentinel fracture</w:t>
            </w:r>
          </w:p>
        </w:tc>
        <w:tc>
          <w:tcPr>
            <w:tcW w:w="0" w:type="auto"/>
            <w:gridSpan w:val="6"/>
            <w:tcBorders>
              <w:top w:val="single" w:sz="4" w:space="0" w:color="auto"/>
            </w:tcBorders>
          </w:tcPr>
          <w:p w14:paraId="26489DFB" w14:textId="77777777" w:rsidR="00F9797B" w:rsidRPr="00F14E6C" w:rsidRDefault="00F9797B" w:rsidP="00F9797B">
            <w:r w:rsidRPr="00F14E6C">
              <w:t>Years</w:t>
            </w:r>
          </w:p>
        </w:tc>
      </w:tr>
      <w:tr w:rsidR="00F9797B" w:rsidRPr="00F14E6C" w14:paraId="34C0EBEB" w14:textId="77777777" w:rsidTr="003B6C9F">
        <w:tc>
          <w:tcPr>
            <w:tcW w:w="0" w:type="auto"/>
            <w:tcBorders>
              <w:top w:val="nil"/>
              <w:bottom w:val="single" w:sz="4" w:space="0" w:color="auto"/>
            </w:tcBorders>
          </w:tcPr>
          <w:p w14:paraId="45C2F154" w14:textId="77777777" w:rsidR="00F9797B" w:rsidRPr="00F14E6C" w:rsidRDefault="00F9797B" w:rsidP="00F9797B"/>
        </w:tc>
        <w:tc>
          <w:tcPr>
            <w:tcW w:w="0" w:type="auto"/>
            <w:tcBorders>
              <w:top w:val="nil"/>
              <w:bottom w:val="single" w:sz="4" w:space="0" w:color="auto"/>
            </w:tcBorders>
          </w:tcPr>
          <w:p w14:paraId="62B1031F" w14:textId="77777777" w:rsidR="00F9797B" w:rsidRPr="00F14E6C" w:rsidRDefault="00F9797B" w:rsidP="00F9797B">
            <w:r w:rsidRPr="00F14E6C">
              <w:t>1</w:t>
            </w:r>
          </w:p>
        </w:tc>
        <w:tc>
          <w:tcPr>
            <w:tcW w:w="0" w:type="auto"/>
            <w:tcBorders>
              <w:top w:val="nil"/>
              <w:bottom w:val="single" w:sz="4" w:space="0" w:color="auto"/>
            </w:tcBorders>
          </w:tcPr>
          <w:p w14:paraId="3BD1B3C6" w14:textId="77777777" w:rsidR="00F9797B" w:rsidRPr="00F14E6C" w:rsidRDefault="00F9797B" w:rsidP="00F9797B">
            <w:r w:rsidRPr="00F14E6C">
              <w:t>2</w:t>
            </w:r>
          </w:p>
        </w:tc>
        <w:tc>
          <w:tcPr>
            <w:tcW w:w="0" w:type="auto"/>
            <w:tcBorders>
              <w:top w:val="nil"/>
              <w:bottom w:val="single" w:sz="4" w:space="0" w:color="auto"/>
            </w:tcBorders>
          </w:tcPr>
          <w:p w14:paraId="76EA81E7" w14:textId="77777777" w:rsidR="00F9797B" w:rsidRPr="00F14E6C" w:rsidRDefault="00F9797B" w:rsidP="00F9797B">
            <w:r w:rsidRPr="00F14E6C">
              <w:t>3</w:t>
            </w:r>
          </w:p>
        </w:tc>
        <w:tc>
          <w:tcPr>
            <w:tcW w:w="0" w:type="auto"/>
            <w:tcBorders>
              <w:top w:val="nil"/>
              <w:bottom w:val="single" w:sz="4" w:space="0" w:color="auto"/>
            </w:tcBorders>
          </w:tcPr>
          <w:p w14:paraId="1D8665FE" w14:textId="77777777" w:rsidR="00F9797B" w:rsidRPr="00F14E6C" w:rsidRDefault="00F9797B" w:rsidP="00F9797B">
            <w:r w:rsidRPr="00F14E6C">
              <w:t>4</w:t>
            </w:r>
          </w:p>
        </w:tc>
        <w:tc>
          <w:tcPr>
            <w:tcW w:w="0" w:type="auto"/>
            <w:tcBorders>
              <w:top w:val="nil"/>
              <w:bottom w:val="single" w:sz="4" w:space="0" w:color="auto"/>
            </w:tcBorders>
          </w:tcPr>
          <w:p w14:paraId="48038A7A" w14:textId="77777777" w:rsidR="00F9797B" w:rsidRPr="00F14E6C" w:rsidRDefault="00F9797B" w:rsidP="00F9797B">
            <w:r w:rsidRPr="00F14E6C">
              <w:t>5</w:t>
            </w:r>
          </w:p>
        </w:tc>
        <w:tc>
          <w:tcPr>
            <w:tcW w:w="0" w:type="auto"/>
            <w:tcBorders>
              <w:top w:val="nil"/>
              <w:bottom w:val="single" w:sz="4" w:space="0" w:color="auto"/>
            </w:tcBorders>
          </w:tcPr>
          <w:p w14:paraId="4AE455EB" w14:textId="77777777" w:rsidR="00F9797B" w:rsidRPr="00F14E6C" w:rsidRDefault="00F9797B" w:rsidP="00F9797B">
            <w:r w:rsidRPr="00F14E6C">
              <w:t>10</w:t>
            </w:r>
          </w:p>
        </w:tc>
      </w:tr>
      <w:tr w:rsidR="00F9797B" w:rsidRPr="00F14E6C" w14:paraId="280E213D" w14:textId="77777777" w:rsidTr="003B6C9F">
        <w:trPr>
          <w:trHeight w:val="340"/>
        </w:trPr>
        <w:tc>
          <w:tcPr>
            <w:tcW w:w="0" w:type="auto"/>
            <w:tcBorders>
              <w:top w:val="single" w:sz="4" w:space="0" w:color="auto"/>
            </w:tcBorders>
          </w:tcPr>
          <w:p w14:paraId="68275E26" w14:textId="77777777" w:rsidR="00F9797B" w:rsidRPr="00F14E6C" w:rsidRDefault="00F9797B" w:rsidP="00F9797B">
            <w:r w:rsidRPr="00F14E6C">
              <w:t>Hip</w:t>
            </w:r>
          </w:p>
        </w:tc>
        <w:tc>
          <w:tcPr>
            <w:tcW w:w="0" w:type="auto"/>
            <w:tcBorders>
              <w:top w:val="single" w:sz="4" w:space="0" w:color="auto"/>
            </w:tcBorders>
          </w:tcPr>
          <w:p w14:paraId="4953D875" w14:textId="77777777" w:rsidR="00F9797B" w:rsidRPr="00F14E6C" w:rsidRDefault="00F9797B" w:rsidP="00F9797B">
            <w:r w:rsidRPr="00F14E6C">
              <w:t>417 (20%)</w:t>
            </w:r>
          </w:p>
        </w:tc>
        <w:tc>
          <w:tcPr>
            <w:tcW w:w="0" w:type="auto"/>
            <w:tcBorders>
              <w:top w:val="single" w:sz="4" w:space="0" w:color="auto"/>
            </w:tcBorders>
          </w:tcPr>
          <w:p w14:paraId="30A3D5A0" w14:textId="77777777" w:rsidR="00F9797B" w:rsidRPr="00F14E6C" w:rsidRDefault="00F9797B" w:rsidP="00F9797B">
            <w:r w:rsidRPr="00F14E6C">
              <w:t>584 (28%)</w:t>
            </w:r>
          </w:p>
        </w:tc>
        <w:tc>
          <w:tcPr>
            <w:tcW w:w="0" w:type="auto"/>
            <w:tcBorders>
              <w:top w:val="single" w:sz="4" w:space="0" w:color="auto"/>
            </w:tcBorders>
          </w:tcPr>
          <w:p w14:paraId="18471BCA" w14:textId="77777777" w:rsidR="00F9797B" w:rsidRPr="00F14E6C" w:rsidRDefault="00F9797B" w:rsidP="00F9797B">
            <w:r w:rsidRPr="00F14E6C">
              <w:t>759 (37%)</w:t>
            </w:r>
          </w:p>
        </w:tc>
        <w:tc>
          <w:tcPr>
            <w:tcW w:w="0" w:type="auto"/>
            <w:tcBorders>
              <w:top w:val="single" w:sz="4" w:space="0" w:color="auto"/>
            </w:tcBorders>
          </w:tcPr>
          <w:p w14:paraId="7B01E4DA" w14:textId="77777777" w:rsidR="00F9797B" w:rsidRPr="00F14E6C" w:rsidRDefault="00F9797B" w:rsidP="00F9797B">
            <w:r w:rsidRPr="00F14E6C">
              <w:t>876 (42%)</w:t>
            </w:r>
          </w:p>
        </w:tc>
        <w:tc>
          <w:tcPr>
            <w:tcW w:w="0" w:type="auto"/>
            <w:tcBorders>
              <w:top w:val="single" w:sz="4" w:space="0" w:color="auto"/>
            </w:tcBorders>
          </w:tcPr>
          <w:p w14:paraId="12B5828C" w14:textId="77777777" w:rsidR="00F9797B" w:rsidRPr="00F14E6C" w:rsidRDefault="00F9797B" w:rsidP="00F9797B">
            <w:r w:rsidRPr="00F14E6C">
              <w:t>993 (48%)</w:t>
            </w:r>
          </w:p>
        </w:tc>
        <w:tc>
          <w:tcPr>
            <w:tcW w:w="0" w:type="auto"/>
            <w:tcBorders>
              <w:top w:val="single" w:sz="4" w:space="0" w:color="auto"/>
            </w:tcBorders>
          </w:tcPr>
          <w:p w14:paraId="585DF85E" w14:textId="77777777" w:rsidR="00F9797B" w:rsidRPr="00F14E6C" w:rsidRDefault="00F9797B" w:rsidP="00F9797B">
            <w:r w:rsidRPr="00F14E6C">
              <w:t>1335 (64%)</w:t>
            </w:r>
          </w:p>
        </w:tc>
      </w:tr>
      <w:tr w:rsidR="00F9797B" w:rsidRPr="00F14E6C" w14:paraId="71DAC467" w14:textId="77777777" w:rsidTr="003B6C9F">
        <w:trPr>
          <w:trHeight w:val="340"/>
        </w:trPr>
        <w:tc>
          <w:tcPr>
            <w:tcW w:w="0" w:type="auto"/>
          </w:tcPr>
          <w:p w14:paraId="411DFB00" w14:textId="77777777" w:rsidR="00F9797B" w:rsidRPr="00F14E6C" w:rsidRDefault="00F9797B" w:rsidP="00F9797B">
            <w:r w:rsidRPr="00F14E6C">
              <w:t>Spine</w:t>
            </w:r>
          </w:p>
        </w:tc>
        <w:tc>
          <w:tcPr>
            <w:tcW w:w="0" w:type="auto"/>
          </w:tcPr>
          <w:p w14:paraId="363300AC" w14:textId="77777777" w:rsidR="00F9797B" w:rsidRPr="00F14E6C" w:rsidRDefault="00F9797B" w:rsidP="00F9797B">
            <w:r w:rsidRPr="00F14E6C">
              <w:t>135 (10%)</w:t>
            </w:r>
          </w:p>
        </w:tc>
        <w:tc>
          <w:tcPr>
            <w:tcW w:w="0" w:type="auto"/>
          </w:tcPr>
          <w:p w14:paraId="5DAD9FDF" w14:textId="77777777" w:rsidR="00F9797B" w:rsidRPr="00F14E6C" w:rsidRDefault="00F9797B" w:rsidP="00F9797B">
            <w:r w:rsidRPr="00F14E6C">
              <w:t>214 (16%)</w:t>
            </w:r>
          </w:p>
        </w:tc>
        <w:tc>
          <w:tcPr>
            <w:tcW w:w="0" w:type="auto"/>
          </w:tcPr>
          <w:p w14:paraId="68DB2299" w14:textId="77777777" w:rsidR="00F9797B" w:rsidRPr="00F14E6C" w:rsidRDefault="00F9797B" w:rsidP="00F9797B">
            <w:r w:rsidRPr="00F14E6C">
              <w:t>294 (22%)</w:t>
            </w:r>
          </w:p>
        </w:tc>
        <w:tc>
          <w:tcPr>
            <w:tcW w:w="0" w:type="auto"/>
          </w:tcPr>
          <w:p w14:paraId="39CB39B3" w14:textId="77777777" w:rsidR="00F9797B" w:rsidRPr="00F14E6C" w:rsidRDefault="00F9797B" w:rsidP="00F9797B">
            <w:r w:rsidRPr="00F14E6C">
              <w:t>364 (27%)</w:t>
            </w:r>
          </w:p>
        </w:tc>
        <w:tc>
          <w:tcPr>
            <w:tcW w:w="0" w:type="auto"/>
          </w:tcPr>
          <w:p w14:paraId="44715401" w14:textId="77777777" w:rsidR="00F9797B" w:rsidRPr="00F14E6C" w:rsidRDefault="00F9797B" w:rsidP="00F9797B">
            <w:r w:rsidRPr="00F14E6C">
              <w:t>422 (31%)</w:t>
            </w:r>
          </w:p>
        </w:tc>
        <w:tc>
          <w:tcPr>
            <w:tcW w:w="0" w:type="auto"/>
          </w:tcPr>
          <w:p w14:paraId="4AB08B3F" w14:textId="77777777" w:rsidR="00F9797B" w:rsidRPr="00F14E6C" w:rsidRDefault="00F9797B" w:rsidP="00F9797B">
            <w:r w:rsidRPr="00F14E6C">
              <w:t>652 (48%)</w:t>
            </w:r>
          </w:p>
        </w:tc>
      </w:tr>
      <w:tr w:rsidR="00F9797B" w:rsidRPr="00F14E6C" w14:paraId="4C39D9E4" w14:textId="77777777" w:rsidTr="003B6C9F">
        <w:trPr>
          <w:trHeight w:val="340"/>
        </w:trPr>
        <w:tc>
          <w:tcPr>
            <w:tcW w:w="0" w:type="auto"/>
          </w:tcPr>
          <w:p w14:paraId="70AD9F6C" w14:textId="77777777" w:rsidR="00F9797B" w:rsidRPr="00F14E6C" w:rsidRDefault="00F9797B" w:rsidP="00F9797B">
            <w:r w:rsidRPr="00F14E6C">
              <w:t>Forearm</w:t>
            </w:r>
          </w:p>
        </w:tc>
        <w:tc>
          <w:tcPr>
            <w:tcW w:w="0" w:type="auto"/>
          </w:tcPr>
          <w:p w14:paraId="4FC9E3C0" w14:textId="77777777" w:rsidR="00F9797B" w:rsidRPr="00F14E6C" w:rsidRDefault="00F9797B" w:rsidP="00F9797B">
            <w:r w:rsidRPr="00F14E6C">
              <w:t>59 (2%)</w:t>
            </w:r>
          </w:p>
        </w:tc>
        <w:tc>
          <w:tcPr>
            <w:tcW w:w="0" w:type="auto"/>
          </w:tcPr>
          <w:p w14:paraId="0F331DC9" w14:textId="77777777" w:rsidR="00F9797B" w:rsidRPr="00F14E6C" w:rsidRDefault="00F9797B" w:rsidP="00F9797B">
            <w:r w:rsidRPr="00F14E6C">
              <w:t>101 (4%)</w:t>
            </w:r>
          </w:p>
        </w:tc>
        <w:tc>
          <w:tcPr>
            <w:tcW w:w="0" w:type="auto"/>
          </w:tcPr>
          <w:p w14:paraId="370A641D" w14:textId="77777777" w:rsidR="00F9797B" w:rsidRPr="00F14E6C" w:rsidRDefault="00F9797B" w:rsidP="00F9797B">
            <w:r w:rsidRPr="00F14E6C">
              <w:t>165 (7%)</w:t>
            </w:r>
          </w:p>
        </w:tc>
        <w:tc>
          <w:tcPr>
            <w:tcW w:w="0" w:type="auto"/>
          </w:tcPr>
          <w:p w14:paraId="24AF79F0" w14:textId="77777777" w:rsidR="00F9797B" w:rsidRPr="00F14E6C" w:rsidRDefault="00F9797B" w:rsidP="00F9797B">
            <w:r w:rsidRPr="00F14E6C">
              <w:t>226 (10%)</w:t>
            </w:r>
          </w:p>
        </w:tc>
        <w:tc>
          <w:tcPr>
            <w:tcW w:w="0" w:type="auto"/>
          </w:tcPr>
          <w:p w14:paraId="7AE5B803" w14:textId="77777777" w:rsidR="00F9797B" w:rsidRPr="00F14E6C" w:rsidRDefault="00F9797B" w:rsidP="00F9797B">
            <w:r w:rsidRPr="00F14E6C">
              <w:t>270 (11%)</w:t>
            </w:r>
          </w:p>
        </w:tc>
        <w:tc>
          <w:tcPr>
            <w:tcW w:w="0" w:type="auto"/>
          </w:tcPr>
          <w:p w14:paraId="59D14466" w14:textId="77777777" w:rsidR="00F9797B" w:rsidRPr="00F14E6C" w:rsidRDefault="00F9797B" w:rsidP="00F9797B">
            <w:r w:rsidRPr="00F14E6C">
              <w:t>522 (22%)</w:t>
            </w:r>
          </w:p>
        </w:tc>
      </w:tr>
      <w:tr w:rsidR="00F9797B" w:rsidRPr="00F14E6C" w14:paraId="476CBE15" w14:textId="77777777" w:rsidTr="003B6C9F">
        <w:trPr>
          <w:trHeight w:val="340"/>
        </w:trPr>
        <w:tc>
          <w:tcPr>
            <w:tcW w:w="0" w:type="auto"/>
          </w:tcPr>
          <w:p w14:paraId="6268DBB0" w14:textId="77777777" w:rsidR="00F9797B" w:rsidRPr="00F14E6C" w:rsidRDefault="00F9797B" w:rsidP="00F9797B">
            <w:r w:rsidRPr="00F14E6C">
              <w:t>Humerus</w:t>
            </w:r>
          </w:p>
        </w:tc>
        <w:tc>
          <w:tcPr>
            <w:tcW w:w="0" w:type="auto"/>
          </w:tcPr>
          <w:p w14:paraId="6BC0E34C" w14:textId="77777777" w:rsidR="00F9797B" w:rsidRPr="00F14E6C" w:rsidRDefault="00F9797B" w:rsidP="00F9797B">
            <w:r w:rsidRPr="00F14E6C">
              <w:t>70 (6%)</w:t>
            </w:r>
          </w:p>
        </w:tc>
        <w:tc>
          <w:tcPr>
            <w:tcW w:w="0" w:type="auto"/>
          </w:tcPr>
          <w:p w14:paraId="61DCDE2F" w14:textId="77777777" w:rsidR="00F9797B" w:rsidRPr="00F14E6C" w:rsidRDefault="00F9797B" w:rsidP="00F9797B">
            <w:r w:rsidRPr="00F14E6C">
              <w:t xml:space="preserve">117 (11%) </w:t>
            </w:r>
          </w:p>
        </w:tc>
        <w:tc>
          <w:tcPr>
            <w:tcW w:w="0" w:type="auto"/>
          </w:tcPr>
          <w:p w14:paraId="71448969" w14:textId="77777777" w:rsidR="00F9797B" w:rsidRPr="00F14E6C" w:rsidRDefault="00F9797B" w:rsidP="00F9797B">
            <w:r w:rsidRPr="00F14E6C">
              <w:t>166 (15%)</w:t>
            </w:r>
          </w:p>
        </w:tc>
        <w:tc>
          <w:tcPr>
            <w:tcW w:w="0" w:type="auto"/>
          </w:tcPr>
          <w:p w14:paraId="6D588744" w14:textId="77777777" w:rsidR="00F9797B" w:rsidRPr="00F14E6C" w:rsidRDefault="00F9797B" w:rsidP="00F9797B">
            <w:r w:rsidRPr="00F14E6C">
              <w:t>204 (19%)</w:t>
            </w:r>
          </w:p>
        </w:tc>
        <w:tc>
          <w:tcPr>
            <w:tcW w:w="0" w:type="auto"/>
          </w:tcPr>
          <w:p w14:paraId="784A1AEF" w14:textId="77777777" w:rsidR="00F9797B" w:rsidRPr="00F14E6C" w:rsidRDefault="00F9797B" w:rsidP="00F9797B">
            <w:r w:rsidRPr="00F14E6C">
              <w:t>359 (33%)</w:t>
            </w:r>
          </w:p>
        </w:tc>
        <w:tc>
          <w:tcPr>
            <w:tcW w:w="0" w:type="auto"/>
          </w:tcPr>
          <w:p w14:paraId="4DF83DEE" w14:textId="77777777" w:rsidR="00F9797B" w:rsidRPr="00F14E6C" w:rsidRDefault="00F9797B" w:rsidP="00F9797B">
            <w:r w:rsidRPr="00F14E6C">
              <w:t>385 (35%)</w:t>
            </w:r>
          </w:p>
        </w:tc>
      </w:tr>
      <w:tr w:rsidR="00F9797B" w:rsidRPr="00F14E6C" w14:paraId="61406687" w14:textId="77777777" w:rsidTr="003B6C9F">
        <w:trPr>
          <w:trHeight w:val="340"/>
        </w:trPr>
        <w:tc>
          <w:tcPr>
            <w:tcW w:w="0" w:type="auto"/>
            <w:tcBorders>
              <w:bottom w:val="nil"/>
            </w:tcBorders>
          </w:tcPr>
          <w:p w14:paraId="31C517AD" w14:textId="77777777" w:rsidR="00F9797B" w:rsidRPr="00F14E6C" w:rsidRDefault="00F9797B" w:rsidP="00F9797B"/>
        </w:tc>
        <w:tc>
          <w:tcPr>
            <w:tcW w:w="0" w:type="auto"/>
            <w:tcBorders>
              <w:bottom w:val="nil"/>
            </w:tcBorders>
          </w:tcPr>
          <w:p w14:paraId="712A1ED6" w14:textId="77777777" w:rsidR="00F9797B" w:rsidRPr="00F14E6C" w:rsidRDefault="00F9797B" w:rsidP="00F9797B"/>
        </w:tc>
        <w:tc>
          <w:tcPr>
            <w:tcW w:w="0" w:type="auto"/>
            <w:tcBorders>
              <w:bottom w:val="nil"/>
            </w:tcBorders>
          </w:tcPr>
          <w:p w14:paraId="77EDF385" w14:textId="77777777" w:rsidR="00F9797B" w:rsidRPr="00F14E6C" w:rsidRDefault="00F9797B" w:rsidP="00F9797B"/>
        </w:tc>
        <w:tc>
          <w:tcPr>
            <w:tcW w:w="0" w:type="auto"/>
            <w:tcBorders>
              <w:bottom w:val="nil"/>
            </w:tcBorders>
          </w:tcPr>
          <w:p w14:paraId="7EA43836" w14:textId="77777777" w:rsidR="00F9797B" w:rsidRPr="00F14E6C" w:rsidRDefault="00F9797B" w:rsidP="00F9797B"/>
        </w:tc>
        <w:tc>
          <w:tcPr>
            <w:tcW w:w="0" w:type="auto"/>
            <w:tcBorders>
              <w:bottom w:val="nil"/>
            </w:tcBorders>
          </w:tcPr>
          <w:p w14:paraId="7D0D7C67" w14:textId="77777777" w:rsidR="00F9797B" w:rsidRPr="00F14E6C" w:rsidRDefault="00F9797B" w:rsidP="00F9797B"/>
        </w:tc>
        <w:tc>
          <w:tcPr>
            <w:tcW w:w="0" w:type="auto"/>
            <w:tcBorders>
              <w:bottom w:val="nil"/>
            </w:tcBorders>
          </w:tcPr>
          <w:p w14:paraId="096A8750" w14:textId="77777777" w:rsidR="00F9797B" w:rsidRPr="00F14E6C" w:rsidRDefault="00F9797B" w:rsidP="00F9797B"/>
        </w:tc>
        <w:tc>
          <w:tcPr>
            <w:tcW w:w="0" w:type="auto"/>
            <w:tcBorders>
              <w:bottom w:val="nil"/>
            </w:tcBorders>
          </w:tcPr>
          <w:p w14:paraId="56D5C055" w14:textId="77777777" w:rsidR="00F9797B" w:rsidRPr="00F14E6C" w:rsidRDefault="00F9797B" w:rsidP="00F9797B"/>
        </w:tc>
      </w:tr>
      <w:tr w:rsidR="00F9797B" w:rsidRPr="00F14E6C" w14:paraId="6335F57C" w14:textId="77777777" w:rsidTr="003B6C9F">
        <w:trPr>
          <w:trHeight w:val="340"/>
        </w:trPr>
        <w:tc>
          <w:tcPr>
            <w:tcW w:w="0" w:type="auto"/>
            <w:tcBorders>
              <w:top w:val="nil"/>
              <w:bottom w:val="single" w:sz="4" w:space="0" w:color="auto"/>
            </w:tcBorders>
          </w:tcPr>
          <w:p w14:paraId="7EAA2739" w14:textId="77777777" w:rsidR="00F9797B" w:rsidRPr="00F14E6C" w:rsidRDefault="00F9797B" w:rsidP="00F9797B">
            <w:r w:rsidRPr="00F14E6C">
              <w:t>Whole cohort</w:t>
            </w:r>
          </w:p>
        </w:tc>
        <w:tc>
          <w:tcPr>
            <w:tcW w:w="0" w:type="auto"/>
            <w:tcBorders>
              <w:top w:val="nil"/>
              <w:bottom w:val="single" w:sz="4" w:space="0" w:color="auto"/>
            </w:tcBorders>
          </w:tcPr>
          <w:p w14:paraId="60AFC245" w14:textId="77777777" w:rsidR="00F9797B" w:rsidRPr="00F14E6C" w:rsidRDefault="00F9797B" w:rsidP="00F9797B">
            <w:r w:rsidRPr="00F14E6C">
              <w:t>106 (1%)</w:t>
            </w:r>
          </w:p>
        </w:tc>
        <w:tc>
          <w:tcPr>
            <w:tcW w:w="0" w:type="auto"/>
            <w:tcBorders>
              <w:top w:val="nil"/>
              <w:bottom w:val="single" w:sz="4" w:space="0" w:color="auto"/>
            </w:tcBorders>
          </w:tcPr>
          <w:p w14:paraId="51BCC7FA" w14:textId="77777777" w:rsidR="00F9797B" w:rsidRPr="00F14E6C" w:rsidRDefault="00F9797B" w:rsidP="00F9797B">
            <w:r w:rsidRPr="00F14E6C">
              <w:t>247 (1%)</w:t>
            </w:r>
          </w:p>
        </w:tc>
        <w:tc>
          <w:tcPr>
            <w:tcW w:w="0" w:type="auto"/>
            <w:tcBorders>
              <w:top w:val="nil"/>
              <w:bottom w:val="single" w:sz="4" w:space="0" w:color="auto"/>
            </w:tcBorders>
          </w:tcPr>
          <w:p w14:paraId="5250A5C6" w14:textId="77777777" w:rsidR="00F9797B" w:rsidRPr="00F14E6C" w:rsidRDefault="00F9797B" w:rsidP="00F9797B">
            <w:r w:rsidRPr="00F14E6C">
              <w:t>401 (2%)</w:t>
            </w:r>
          </w:p>
        </w:tc>
        <w:tc>
          <w:tcPr>
            <w:tcW w:w="0" w:type="auto"/>
            <w:tcBorders>
              <w:top w:val="nil"/>
              <w:bottom w:val="single" w:sz="4" w:space="0" w:color="auto"/>
            </w:tcBorders>
          </w:tcPr>
          <w:p w14:paraId="7AF4829B" w14:textId="77777777" w:rsidR="00F9797B" w:rsidRPr="00F14E6C" w:rsidRDefault="00F9797B" w:rsidP="00F9797B">
            <w:r w:rsidRPr="00F14E6C">
              <w:t>557 (3%)</w:t>
            </w:r>
          </w:p>
        </w:tc>
        <w:tc>
          <w:tcPr>
            <w:tcW w:w="0" w:type="auto"/>
            <w:tcBorders>
              <w:top w:val="nil"/>
              <w:bottom w:val="single" w:sz="4" w:space="0" w:color="auto"/>
            </w:tcBorders>
          </w:tcPr>
          <w:p w14:paraId="114360CF" w14:textId="77777777" w:rsidR="00F9797B" w:rsidRPr="00F14E6C" w:rsidRDefault="00F9797B" w:rsidP="00F9797B">
            <w:r w:rsidRPr="00F14E6C">
              <w:t>707 (4%)</w:t>
            </w:r>
          </w:p>
        </w:tc>
        <w:tc>
          <w:tcPr>
            <w:tcW w:w="0" w:type="auto"/>
            <w:tcBorders>
              <w:top w:val="nil"/>
              <w:bottom w:val="single" w:sz="4" w:space="0" w:color="auto"/>
            </w:tcBorders>
          </w:tcPr>
          <w:p w14:paraId="60E59946" w14:textId="77777777" w:rsidR="00F9797B" w:rsidRPr="00F14E6C" w:rsidRDefault="00F9797B" w:rsidP="00F9797B">
            <w:r w:rsidRPr="00F14E6C">
              <w:t>1768 (9%)</w:t>
            </w:r>
          </w:p>
        </w:tc>
      </w:tr>
    </w:tbl>
    <w:p w14:paraId="281774D5" w14:textId="77777777" w:rsidR="00F9797B" w:rsidRPr="00F14E6C" w:rsidRDefault="00F9797B" w:rsidP="00F9797B"/>
    <w:p w14:paraId="5E6B265C" w14:textId="227C9E06" w:rsidR="005B3792" w:rsidRPr="00F14E6C" w:rsidRDefault="005B3792" w:rsidP="005B3792">
      <w:pPr>
        <w:rPr>
          <w:lang w:val="sv-SE"/>
        </w:rPr>
      </w:pPr>
      <w:r w:rsidRPr="00F14E6C">
        <w:rPr>
          <w:b/>
        </w:rPr>
        <w:lastRenderedPageBreak/>
        <w:t xml:space="preserve">Table </w:t>
      </w:r>
      <w:r w:rsidR="000C48FF" w:rsidRPr="00F14E6C">
        <w:rPr>
          <w:b/>
        </w:rPr>
        <w:t>S</w:t>
      </w:r>
      <w:r w:rsidRPr="00F14E6C">
        <w:rPr>
          <w:b/>
        </w:rPr>
        <w:t>5</w:t>
      </w:r>
      <w:r w:rsidRPr="00F14E6C">
        <w:t xml:space="preserve">.  </w:t>
      </w:r>
      <w:r w:rsidRPr="00F14E6C">
        <w:rPr>
          <w:lang w:val="en-US"/>
        </w:rPr>
        <w:t xml:space="preserve">Ratio between 10-year probabilities of a major osteoporotic fracture for the population with sentinel fracture and the whole cohort in men and women at the ages shown.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tblGrid>
      <w:tr w:rsidR="005B3792" w:rsidRPr="00F14E6C" w14:paraId="33F5040D" w14:textId="77777777" w:rsidTr="006B1DD7">
        <w:tc>
          <w:tcPr>
            <w:tcW w:w="1502" w:type="dxa"/>
            <w:tcBorders>
              <w:top w:val="single" w:sz="4" w:space="0" w:color="auto"/>
            </w:tcBorders>
          </w:tcPr>
          <w:p w14:paraId="4FAB7FF2" w14:textId="77777777" w:rsidR="005B3792" w:rsidRPr="00F14E6C" w:rsidRDefault="005B3792" w:rsidP="005B3792"/>
        </w:tc>
        <w:tc>
          <w:tcPr>
            <w:tcW w:w="6011" w:type="dxa"/>
            <w:gridSpan w:val="4"/>
            <w:tcBorders>
              <w:top w:val="single" w:sz="4" w:space="0" w:color="auto"/>
            </w:tcBorders>
            <w:shd w:val="clear" w:color="auto" w:fill="auto"/>
          </w:tcPr>
          <w:p w14:paraId="01584FAB" w14:textId="77777777" w:rsidR="005B3792" w:rsidRPr="00F14E6C" w:rsidRDefault="005B3792" w:rsidP="005B3792">
            <w:pPr>
              <w:rPr>
                <w:lang w:val="sv-SE"/>
              </w:rPr>
            </w:pPr>
            <w:bookmarkStart w:id="40" w:name="_Hlk485035987"/>
            <w:r w:rsidRPr="00F14E6C">
              <w:rPr>
                <w:lang w:val="en-US"/>
              </w:rPr>
              <w:t>Ratio between probabilities</w:t>
            </w:r>
            <w:bookmarkEnd w:id="40"/>
          </w:p>
        </w:tc>
      </w:tr>
      <w:tr w:rsidR="005B3792" w:rsidRPr="00F14E6C" w14:paraId="0FF2A30D" w14:textId="77777777" w:rsidTr="006B1DD7">
        <w:tc>
          <w:tcPr>
            <w:tcW w:w="1502" w:type="dxa"/>
            <w:tcBorders>
              <w:bottom w:val="single" w:sz="4" w:space="0" w:color="auto"/>
            </w:tcBorders>
          </w:tcPr>
          <w:p w14:paraId="59A931A7" w14:textId="77777777" w:rsidR="005B3792" w:rsidRPr="00F14E6C" w:rsidRDefault="005B3792" w:rsidP="005B3792">
            <w:r w:rsidRPr="00F14E6C">
              <w:rPr>
                <w:lang w:val="en-US"/>
              </w:rPr>
              <w:t>Age (years)</w:t>
            </w:r>
          </w:p>
        </w:tc>
        <w:tc>
          <w:tcPr>
            <w:tcW w:w="1502" w:type="dxa"/>
            <w:tcBorders>
              <w:bottom w:val="single" w:sz="4" w:space="0" w:color="auto"/>
            </w:tcBorders>
          </w:tcPr>
          <w:p w14:paraId="4AE2AB39" w14:textId="77777777" w:rsidR="005B3792" w:rsidRPr="00F14E6C" w:rsidRDefault="005B3792" w:rsidP="005B3792">
            <w:r w:rsidRPr="00F14E6C">
              <w:t>Hip</w:t>
            </w:r>
          </w:p>
        </w:tc>
        <w:tc>
          <w:tcPr>
            <w:tcW w:w="1503" w:type="dxa"/>
            <w:tcBorders>
              <w:bottom w:val="single" w:sz="4" w:space="0" w:color="auto"/>
            </w:tcBorders>
          </w:tcPr>
          <w:p w14:paraId="74CF79E1" w14:textId="77777777" w:rsidR="005B3792" w:rsidRPr="00F14E6C" w:rsidRDefault="005B3792" w:rsidP="005B3792">
            <w:r w:rsidRPr="00F14E6C">
              <w:t>Spine</w:t>
            </w:r>
          </w:p>
        </w:tc>
        <w:tc>
          <w:tcPr>
            <w:tcW w:w="1503" w:type="dxa"/>
            <w:tcBorders>
              <w:bottom w:val="single" w:sz="4" w:space="0" w:color="auto"/>
            </w:tcBorders>
          </w:tcPr>
          <w:p w14:paraId="56839437" w14:textId="77777777" w:rsidR="005B3792" w:rsidRPr="00F14E6C" w:rsidRDefault="005B3792" w:rsidP="005B3792">
            <w:r w:rsidRPr="00F14E6C">
              <w:t>Forearm</w:t>
            </w:r>
          </w:p>
        </w:tc>
        <w:tc>
          <w:tcPr>
            <w:tcW w:w="1503" w:type="dxa"/>
            <w:tcBorders>
              <w:bottom w:val="single" w:sz="4" w:space="0" w:color="auto"/>
            </w:tcBorders>
          </w:tcPr>
          <w:p w14:paraId="10D9D5FA" w14:textId="77777777" w:rsidR="005B3792" w:rsidRPr="00F14E6C" w:rsidRDefault="005B3792" w:rsidP="005B3792">
            <w:r w:rsidRPr="00F14E6C">
              <w:t>Humerus</w:t>
            </w:r>
          </w:p>
        </w:tc>
      </w:tr>
      <w:tr w:rsidR="005B3792" w:rsidRPr="00F14E6C" w14:paraId="22DE53A2" w14:textId="77777777" w:rsidTr="006B1DD7">
        <w:tc>
          <w:tcPr>
            <w:tcW w:w="1502" w:type="dxa"/>
            <w:tcBorders>
              <w:top w:val="single" w:sz="4" w:space="0" w:color="auto"/>
            </w:tcBorders>
          </w:tcPr>
          <w:p w14:paraId="6A65EB48" w14:textId="77777777" w:rsidR="005B3792" w:rsidRPr="00F14E6C" w:rsidRDefault="005B3792" w:rsidP="005B3792">
            <w:r w:rsidRPr="00F14E6C">
              <w:rPr>
                <w:lang w:val="en-US"/>
              </w:rPr>
              <w:t>Men</w:t>
            </w:r>
          </w:p>
        </w:tc>
        <w:tc>
          <w:tcPr>
            <w:tcW w:w="1502" w:type="dxa"/>
            <w:tcBorders>
              <w:top w:val="single" w:sz="4" w:space="0" w:color="auto"/>
            </w:tcBorders>
          </w:tcPr>
          <w:p w14:paraId="630026E2" w14:textId="77777777" w:rsidR="005B3792" w:rsidRPr="00F14E6C" w:rsidRDefault="005B3792" w:rsidP="005B3792"/>
        </w:tc>
        <w:tc>
          <w:tcPr>
            <w:tcW w:w="1503" w:type="dxa"/>
            <w:tcBorders>
              <w:top w:val="single" w:sz="4" w:space="0" w:color="auto"/>
            </w:tcBorders>
          </w:tcPr>
          <w:p w14:paraId="17E0A45D" w14:textId="77777777" w:rsidR="005B3792" w:rsidRPr="00F14E6C" w:rsidRDefault="005B3792" w:rsidP="005B3792"/>
        </w:tc>
        <w:tc>
          <w:tcPr>
            <w:tcW w:w="1503" w:type="dxa"/>
            <w:tcBorders>
              <w:top w:val="single" w:sz="4" w:space="0" w:color="auto"/>
            </w:tcBorders>
          </w:tcPr>
          <w:p w14:paraId="200E4BB8" w14:textId="77777777" w:rsidR="005B3792" w:rsidRPr="00F14E6C" w:rsidRDefault="005B3792" w:rsidP="005B3792"/>
        </w:tc>
        <w:tc>
          <w:tcPr>
            <w:tcW w:w="1503" w:type="dxa"/>
            <w:tcBorders>
              <w:top w:val="single" w:sz="4" w:space="0" w:color="auto"/>
            </w:tcBorders>
          </w:tcPr>
          <w:p w14:paraId="5F7B93B4" w14:textId="77777777" w:rsidR="005B3792" w:rsidRPr="00F14E6C" w:rsidRDefault="005B3792" w:rsidP="005B3792"/>
        </w:tc>
      </w:tr>
      <w:tr w:rsidR="005B3792" w:rsidRPr="00F14E6C" w14:paraId="63F81C5E" w14:textId="77777777" w:rsidTr="006B1DD7">
        <w:tc>
          <w:tcPr>
            <w:tcW w:w="1502" w:type="dxa"/>
          </w:tcPr>
          <w:p w14:paraId="463B2F44" w14:textId="77777777" w:rsidR="005B3792" w:rsidRPr="00F14E6C" w:rsidRDefault="005B3792" w:rsidP="005B3792">
            <w:r w:rsidRPr="00F14E6C">
              <w:rPr>
                <w:lang w:val="en-US"/>
              </w:rPr>
              <w:t>60</w:t>
            </w:r>
          </w:p>
        </w:tc>
        <w:tc>
          <w:tcPr>
            <w:tcW w:w="1502" w:type="dxa"/>
          </w:tcPr>
          <w:p w14:paraId="67910D21" w14:textId="77777777" w:rsidR="005B3792" w:rsidRPr="00F14E6C" w:rsidRDefault="005B3792" w:rsidP="005B3792">
            <w:r w:rsidRPr="00F14E6C">
              <w:rPr>
                <w:lang w:val="en-US"/>
              </w:rPr>
              <w:t>7</w:t>
            </w:r>
          </w:p>
        </w:tc>
        <w:tc>
          <w:tcPr>
            <w:tcW w:w="1503" w:type="dxa"/>
          </w:tcPr>
          <w:p w14:paraId="42B1AB7E" w14:textId="77777777" w:rsidR="005B3792" w:rsidRPr="00F14E6C" w:rsidRDefault="005B3792" w:rsidP="005B3792">
            <w:r w:rsidRPr="00F14E6C">
              <w:rPr>
                <w:lang w:val="en-US"/>
              </w:rPr>
              <w:t>6</w:t>
            </w:r>
          </w:p>
        </w:tc>
        <w:tc>
          <w:tcPr>
            <w:tcW w:w="1503" w:type="dxa"/>
          </w:tcPr>
          <w:p w14:paraId="350CC7F5" w14:textId="77777777" w:rsidR="005B3792" w:rsidRPr="00F14E6C" w:rsidRDefault="005B3792" w:rsidP="005B3792">
            <w:r w:rsidRPr="00F14E6C">
              <w:rPr>
                <w:lang w:val="en-US"/>
              </w:rPr>
              <w:t>5</w:t>
            </w:r>
          </w:p>
        </w:tc>
        <w:tc>
          <w:tcPr>
            <w:tcW w:w="1503" w:type="dxa"/>
          </w:tcPr>
          <w:p w14:paraId="465FCAE9" w14:textId="77777777" w:rsidR="005B3792" w:rsidRPr="00F14E6C" w:rsidRDefault="005B3792" w:rsidP="005B3792">
            <w:r w:rsidRPr="00F14E6C">
              <w:rPr>
                <w:lang w:val="en-US"/>
              </w:rPr>
              <w:t>5</w:t>
            </w:r>
          </w:p>
        </w:tc>
      </w:tr>
      <w:tr w:rsidR="005B3792" w:rsidRPr="00F14E6C" w14:paraId="74CE3580" w14:textId="77777777" w:rsidTr="006B1DD7">
        <w:tc>
          <w:tcPr>
            <w:tcW w:w="1502" w:type="dxa"/>
          </w:tcPr>
          <w:p w14:paraId="4065262E" w14:textId="77777777" w:rsidR="005B3792" w:rsidRPr="00F14E6C" w:rsidRDefault="005B3792" w:rsidP="005B3792">
            <w:r w:rsidRPr="00F14E6C">
              <w:rPr>
                <w:lang w:val="en-US"/>
              </w:rPr>
              <w:t>70</w:t>
            </w:r>
          </w:p>
        </w:tc>
        <w:tc>
          <w:tcPr>
            <w:tcW w:w="1502" w:type="dxa"/>
          </w:tcPr>
          <w:p w14:paraId="037678FF" w14:textId="77777777" w:rsidR="005B3792" w:rsidRPr="00F14E6C" w:rsidRDefault="005B3792" w:rsidP="005B3792">
            <w:r w:rsidRPr="00F14E6C">
              <w:rPr>
                <w:lang w:val="en-US"/>
              </w:rPr>
              <w:t>4</w:t>
            </w:r>
          </w:p>
        </w:tc>
        <w:tc>
          <w:tcPr>
            <w:tcW w:w="1503" w:type="dxa"/>
          </w:tcPr>
          <w:p w14:paraId="730C90A5" w14:textId="77777777" w:rsidR="005B3792" w:rsidRPr="00F14E6C" w:rsidRDefault="005B3792" w:rsidP="005B3792">
            <w:r w:rsidRPr="00F14E6C">
              <w:rPr>
                <w:lang w:val="en-US"/>
              </w:rPr>
              <w:t>5</w:t>
            </w:r>
          </w:p>
        </w:tc>
        <w:tc>
          <w:tcPr>
            <w:tcW w:w="1503" w:type="dxa"/>
          </w:tcPr>
          <w:p w14:paraId="44160B1E" w14:textId="77777777" w:rsidR="005B3792" w:rsidRPr="00F14E6C" w:rsidRDefault="005B3792" w:rsidP="005B3792">
            <w:r w:rsidRPr="00F14E6C">
              <w:rPr>
                <w:lang w:val="en-US"/>
              </w:rPr>
              <w:t>4</w:t>
            </w:r>
          </w:p>
        </w:tc>
        <w:tc>
          <w:tcPr>
            <w:tcW w:w="1503" w:type="dxa"/>
          </w:tcPr>
          <w:p w14:paraId="1CB55D6F" w14:textId="77777777" w:rsidR="005B3792" w:rsidRPr="00F14E6C" w:rsidRDefault="005B3792" w:rsidP="005B3792">
            <w:r w:rsidRPr="00F14E6C">
              <w:rPr>
                <w:lang w:val="en-US"/>
              </w:rPr>
              <w:t>4</w:t>
            </w:r>
          </w:p>
        </w:tc>
      </w:tr>
      <w:tr w:rsidR="005B3792" w:rsidRPr="00F14E6C" w14:paraId="1DABE070" w14:textId="77777777" w:rsidTr="006B1DD7">
        <w:tc>
          <w:tcPr>
            <w:tcW w:w="1502" w:type="dxa"/>
          </w:tcPr>
          <w:p w14:paraId="25E768F6" w14:textId="77777777" w:rsidR="005B3792" w:rsidRPr="00F14E6C" w:rsidRDefault="005B3792" w:rsidP="005B3792">
            <w:r w:rsidRPr="00F14E6C">
              <w:rPr>
                <w:lang w:val="en-US"/>
              </w:rPr>
              <w:t>80</w:t>
            </w:r>
          </w:p>
        </w:tc>
        <w:tc>
          <w:tcPr>
            <w:tcW w:w="1502" w:type="dxa"/>
          </w:tcPr>
          <w:p w14:paraId="39B269C7" w14:textId="77777777" w:rsidR="005B3792" w:rsidRPr="00F14E6C" w:rsidRDefault="005B3792" w:rsidP="005B3792">
            <w:r w:rsidRPr="00F14E6C">
              <w:rPr>
                <w:lang w:val="en-US"/>
              </w:rPr>
              <w:t>2</w:t>
            </w:r>
          </w:p>
        </w:tc>
        <w:tc>
          <w:tcPr>
            <w:tcW w:w="1503" w:type="dxa"/>
          </w:tcPr>
          <w:p w14:paraId="0C90CAEB" w14:textId="77777777" w:rsidR="005B3792" w:rsidRPr="00F14E6C" w:rsidRDefault="005B3792" w:rsidP="005B3792">
            <w:r w:rsidRPr="00F14E6C">
              <w:rPr>
                <w:lang w:val="en-US"/>
              </w:rPr>
              <w:t>3</w:t>
            </w:r>
          </w:p>
        </w:tc>
        <w:tc>
          <w:tcPr>
            <w:tcW w:w="1503" w:type="dxa"/>
          </w:tcPr>
          <w:p w14:paraId="29C541C2" w14:textId="77777777" w:rsidR="005B3792" w:rsidRPr="00F14E6C" w:rsidRDefault="005B3792" w:rsidP="005B3792">
            <w:r w:rsidRPr="00F14E6C">
              <w:rPr>
                <w:lang w:val="en-US"/>
              </w:rPr>
              <w:t>3</w:t>
            </w:r>
          </w:p>
        </w:tc>
        <w:tc>
          <w:tcPr>
            <w:tcW w:w="1503" w:type="dxa"/>
          </w:tcPr>
          <w:p w14:paraId="0F7885A6" w14:textId="77777777" w:rsidR="005B3792" w:rsidRPr="00F14E6C" w:rsidRDefault="005B3792" w:rsidP="005B3792">
            <w:r w:rsidRPr="00F14E6C">
              <w:rPr>
                <w:lang w:val="en-US"/>
              </w:rPr>
              <w:t>3</w:t>
            </w:r>
          </w:p>
        </w:tc>
      </w:tr>
      <w:tr w:rsidR="005B3792" w:rsidRPr="00F14E6C" w14:paraId="14B356D2" w14:textId="77777777" w:rsidTr="006B1DD7">
        <w:tc>
          <w:tcPr>
            <w:tcW w:w="1502" w:type="dxa"/>
          </w:tcPr>
          <w:p w14:paraId="65CDE5D4" w14:textId="77777777" w:rsidR="005B3792" w:rsidRPr="00F14E6C" w:rsidRDefault="005B3792" w:rsidP="005B3792">
            <w:r w:rsidRPr="00F14E6C">
              <w:rPr>
                <w:lang w:val="en-US"/>
              </w:rPr>
              <w:t>90</w:t>
            </w:r>
          </w:p>
        </w:tc>
        <w:tc>
          <w:tcPr>
            <w:tcW w:w="1502" w:type="dxa"/>
          </w:tcPr>
          <w:p w14:paraId="26F6D840" w14:textId="77777777" w:rsidR="005B3792" w:rsidRPr="00F14E6C" w:rsidRDefault="005B3792" w:rsidP="005B3792">
            <w:r w:rsidRPr="00F14E6C">
              <w:rPr>
                <w:lang w:val="en-US"/>
              </w:rPr>
              <w:t>2</w:t>
            </w:r>
          </w:p>
        </w:tc>
        <w:tc>
          <w:tcPr>
            <w:tcW w:w="1503" w:type="dxa"/>
          </w:tcPr>
          <w:p w14:paraId="66D2C7BE" w14:textId="77777777" w:rsidR="005B3792" w:rsidRPr="00F14E6C" w:rsidRDefault="005B3792" w:rsidP="005B3792">
            <w:r w:rsidRPr="00F14E6C">
              <w:rPr>
                <w:lang w:val="en-US"/>
              </w:rPr>
              <w:t>3</w:t>
            </w:r>
          </w:p>
        </w:tc>
        <w:tc>
          <w:tcPr>
            <w:tcW w:w="1503" w:type="dxa"/>
          </w:tcPr>
          <w:p w14:paraId="3F45C294" w14:textId="77777777" w:rsidR="005B3792" w:rsidRPr="00F14E6C" w:rsidRDefault="005B3792" w:rsidP="005B3792">
            <w:r w:rsidRPr="00F14E6C">
              <w:rPr>
                <w:lang w:val="en-US"/>
              </w:rPr>
              <w:t>3</w:t>
            </w:r>
          </w:p>
        </w:tc>
        <w:tc>
          <w:tcPr>
            <w:tcW w:w="1503" w:type="dxa"/>
          </w:tcPr>
          <w:p w14:paraId="72467996" w14:textId="77777777" w:rsidR="005B3792" w:rsidRPr="00F14E6C" w:rsidRDefault="005B3792" w:rsidP="005B3792">
            <w:r w:rsidRPr="00F14E6C">
              <w:rPr>
                <w:lang w:val="en-US"/>
              </w:rPr>
              <w:t>3</w:t>
            </w:r>
          </w:p>
        </w:tc>
      </w:tr>
      <w:tr w:rsidR="005B3792" w:rsidRPr="00F14E6C" w14:paraId="0510A042" w14:textId="77777777" w:rsidTr="006B1DD7">
        <w:tc>
          <w:tcPr>
            <w:tcW w:w="1502" w:type="dxa"/>
          </w:tcPr>
          <w:p w14:paraId="3F167C59" w14:textId="77777777" w:rsidR="005B3792" w:rsidRPr="00F14E6C" w:rsidRDefault="005B3792" w:rsidP="005B3792">
            <w:r w:rsidRPr="00F14E6C">
              <w:rPr>
                <w:lang w:val="en-US"/>
              </w:rPr>
              <w:t>Women</w:t>
            </w:r>
          </w:p>
        </w:tc>
        <w:tc>
          <w:tcPr>
            <w:tcW w:w="1502" w:type="dxa"/>
          </w:tcPr>
          <w:p w14:paraId="5CAD35CD" w14:textId="77777777" w:rsidR="005B3792" w:rsidRPr="00F14E6C" w:rsidRDefault="005B3792" w:rsidP="005B3792"/>
        </w:tc>
        <w:tc>
          <w:tcPr>
            <w:tcW w:w="1503" w:type="dxa"/>
          </w:tcPr>
          <w:p w14:paraId="7BF5E0A5" w14:textId="77777777" w:rsidR="005B3792" w:rsidRPr="00F14E6C" w:rsidRDefault="005B3792" w:rsidP="005B3792"/>
        </w:tc>
        <w:tc>
          <w:tcPr>
            <w:tcW w:w="1503" w:type="dxa"/>
          </w:tcPr>
          <w:p w14:paraId="22B81EB7" w14:textId="77777777" w:rsidR="005B3792" w:rsidRPr="00F14E6C" w:rsidRDefault="005B3792" w:rsidP="005B3792"/>
        </w:tc>
        <w:tc>
          <w:tcPr>
            <w:tcW w:w="1503" w:type="dxa"/>
          </w:tcPr>
          <w:p w14:paraId="0C7F273A" w14:textId="77777777" w:rsidR="005B3792" w:rsidRPr="00F14E6C" w:rsidRDefault="005B3792" w:rsidP="005B3792"/>
        </w:tc>
      </w:tr>
      <w:tr w:rsidR="005B3792" w:rsidRPr="00F14E6C" w14:paraId="68289940" w14:textId="77777777" w:rsidTr="006B1DD7">
        <w:tc>
          <w:tcPr>
            <w:tcW w:w="1502" w:type="dxa"/>
          </w:tcPr>
          <w:p w14:paraId="69E0C2B0" w14:textId="77777777" w:rsidR="005B3792" w:rsidRPr="00F14E6C" w:rsidRDefault="005B3792" w:rsidP="005B3792">
            <w:r w:rsidRPr="00F14E6C">
              <w:rPr>
                <w:lang w:val="en-US"/>
              </w:rPr>
              <w:t>60</w:t>
            </w:r>
          </w:p>
        </w:tc>
        <w:tc>
          <w:tcPr>
            <w:tcW w:w="1502" w:type="dxa"/>
          </w:tcPr>
          <w:p w14:paraId="6E99DB69" w14:textId="77777777" w:rsidR="005B3792" w:rsidRPr="00F14E6C" w:rsidRDefault="005B3792" w:rsidP="005B3792">
            <w:r w:rsidRPr="00F14E6C">
              <w:rPr>
                <w:lang w:val="en-US"/>
              </w:rPr>
              <w:t>3</w:t>
            </w:r>
          </w:p>
        </w:tc>
        <w:tc>
          <w:tcPr>
            <w:tcW w:w="1503" w:type="dxa"/>
          </w:tcPr>
          <w:p w14:paraId="1F83468E" w14:textId="77777777" w:rsidR="005B3792" w:rsidRPr="00F14E6C" w:rsidRDefault="005B3792" w:rsidP="005B3792">
            <w:r w:rsidRPr="00F14E6C">
              <w:rPr>
                <w:lang w:val="en-US"/>
              </w:rPr>
              <w:t>3</w:t>
            </w:r>
          </w:p>
        </w:tc>
        <w:tc>
          <w:tcPr>
            <w:tcW w:w="1503" w:type="dxa"/>
          </w:tcPr>
          <w:p w14:paraId="0A366F5C" w14:textId="77777777" w:rsidR="005B3792" w:rsidRPr="00F14E6C" w:rsidRDefault="005B3792" w:rsidP="005B3792">
            <w:r w:rsidRPr="00F14E6C">
              <w:rPr>
                <w:lang w:val="en-US"/>
              </w:rPr>
              <w:t>2</w:t>
            </w:r>
          </w:p>
        </w:tc>
        <w:tc>
          <w:tcPr>
            <w:tcW w:w="1503" w:type="dxa"/>
          </w:tcPr>
          <w:p w14:paraId="655AD19E" w14:textId="77777777" w:rsidR="005B3792" w:rsidRPr="00F14E6C" w:rsidRDefault="005B3792" w:rsidP="005B3792">
            <w:r w:rsidRPr="00F14E6C">
              <w:rPr>
                <w:lang w:val="en-US"/>
              </w:rPr>
              <w:t>3</w:t>
            </w:r>
          </w:p>
        </w:tc>
      </w:tr>
      <w:tr w:rsidR="005B3792" w:rsidRPr="00F14E6C" w14:paraId="3B401A36" w14:textId="77777777" w:rsidTr="006B1DD7">
        <w:tc>
          <w:tcPr>
            <w:tcW w:w="1502" w:type="dxa"/>
          </w:tcPr>
          <w:p w14:paraId="788C19F1" w14:textId="77777777" w:rsidR="005B3792" w:rsidRPr="00F14E6C" w:rsidRDefault="005B3792" w:rsidP="005B3792">
            <w:r w:rsidRPr="00F14E6C">
              <w:rPr>
                <w:lang w:val="en-US"/>
              </w:rPr>
              <w:t>70</w:t>
            </w:r>
          </w:p>
        </w:tc>
        <w:tc>
          <w:tcPr>
            <w:tcW w:w="1502" w:type="dxa"/>
          </w:tcPr>
          <w:p w14:paraId="31CC2FC2" w14:textId="77777777" w:rsidR="005B3792" w:rsidRPr="00F14E6C" w:rsidRDefault="005B3792" w:rsidP="005B3792">
            <w:r w:rsidRPr="00F14E6C">
              <w:rPr>
                <w:lang w:val="en-US"/>
              </w:rPr>
              <w:t>2</w:t>
            </w:r>
          </w:p>
        </w:tc>
        <w:tc>
          <w:tcPr>
            <w:tcW w:w="1503" w:type="dxa"/>
          </w:tcPr>
          <w:p w14:paraId="0150ED0A" w14:textId="77777777" w:rsidR="005B3792" w:rsidRPr="00F14E6C" w:rsidRDefault="005B3792" w:rsidP="005B3792">
            <w:r w:rsidRPr="00F14E6C">
              <w:rPr>
                <w:lang w:val="en-US"/>
              </w:rPr>
              <w:t>3</w:t>
            </w:r>
          </w:p>
        </w:tc>
        <w:tc>
          <w:tcPr>
            <w:tcW w:w="1503" w:type="dxa"/>
          </w:tcPr>
          <w:p w14:paraId="18A237A8" w14:textId="77777777" w:rsidR="005B3792" w:rsidRPr="00F14E6C" w:rsidRDefault="005B3792" w:rsidP="005B3792">
            <w:r w:rsidRPr="00F14E6C">
              <w:rPr>
                <w:lang w:val="en-US"/>
              </w:rPr>
              <w:t>1.8</w:t>
            </w:r>
          </w:p>
        </w:tc>
        <w:tc>
          <w:tcPr>
            <w:tcW w:w="1503" w:type="dxa"/>
          </w:tcPr>
          <w:p w14:paraId="223DE327" w14:textId="77777777" w:rsidR="005B3792" w:rsidRPr="00F14E6C" w:rsidRDefault="005B3792" w:rsidP="005B3792">
            <w:r w:rsidRPr="00F14E6C">
              <w:rPr>
                <w:lang w:val="en-US"/>
              </w:rPr>
              <w:t>2</w:t>
            </w:r>
          </w:p>
        </w:tc>
      </w:tr>
      <w:tr w:rsidR="005B3792" w:rsidRPr="00F14E6C" w14:paraId="0B40D6A0" w14:textId="77777777" w:rsidTr="006B1DD7">
        <w:tc>
          <w:tcPr>
            <w:tcW w:w="1502" w:type="dxa"/>
          </w:tcPr>
          <w:p w14:paraId="253A4CF1" w14:textId="77777777" w:rsidR="005B3792" w:rsidRPr="00F14E6C" w:rsidRDefault="005B3792" w:rsidP="005B3792">
            <w:r w:rsidRPr="00F14E6C">
              <w:rPr>
                <w:lang w:val="en-US"/>
              </w:rPr>
              <w:t>80</w:t>
            </w:r>
          </w:p>
        </w:tc>
        <w:tc>
          <w:tcPr>
            <w:tcW w:w="1502" w:type="dxa"/>
          </w:tcPr>
          <w:p w14:paraId="48A68813" w14:textId="77777777" w:rsidR="005B3792" w:rsidRPr="00F14E6C" w:rsidRDefault="005B3792" w:rsidP="005B3792">
            <w:r w:rsidRPr="00F14E6C">
              <w:rPr>
                <w:lang w:val="en-US"/>
              </w:rPr>
              <w:t>1.3</w:t>
            </w:r>
          </w:p>
        </w:tc>
        <w:tc>
          <w:tcPr>
            <w:tcW w:w="1503" w:type="dxa"/>
          </w:tcPr>
          <w:p w14:paraId="37BF2887" w14:textId="77777777" w:rsidR="005B3792" w:rsidRPr="00F14E6C" w:rsidRDefault="005B3792" w:rsidP="005B3792">
            <w:r w:rsidRPr="00F14E6C">
              <w:rPr>
                <w:lang w:val="en-US"/>
              </w:rPr>
              <w:t>1.9</w:t>
            </w:r>
          </w:p>
        </w:tc>
        <w:tc>
          <w:tcPr>
            <w:tcW w:w="1503" w:type="dxa"/>
          </w:tcPr>
          <w:p w14:paraId="3B82A4E6" w14:textId="77777777" w:rsidR="005B3792" w:rsidRPr="00F14E6C" w:rsidRDefault="005B3792" w:rsidP="005B3792">
            <w:r w:rsidRPr="00F14E6C">
              <w:rPr>
                <w:lang w:val="en-US"/>
              </w:rPr>
              <w:t>1.5</w:t>
            </w:r>
          </w:p>
        </w:tc>
        <w:tc>
          <w:tcPr>
            <w:tcW w:w="1503" w:type="dxa"/>
          </w:tcPr>
          <w:p w14:paraId="1DFCEDF0" w14:textId="77777777" w:rsidR="005B3792" w:rsidRPr="00F14E6C" w:rsidRDefault="005B3792" w:rsidP="005B3792">
            <w:r w:rsidRPr="00F14E6C">
              <w:rPr>
                <w:lang w:val="en-US"/>
              </w:rPr>
              <w:t>1.9</w:t>
            </w:r>
          </w:p>
        </w:tc>
      </w:tr>
      <w:tr w:rsidR="005B3792" w:rsidRPr="005B3792" w14:paraId="26F42AED" w14:textId="77777777" w:rsidTr="006B1DD7">
        <w:tc>
          <w:tcPr>
            <w:tcW w:w="1502" w:type="dxa"/>
            <w:tcBorders>
              <w:bottom w:val="single" w:sz="4" w:space="0" w:color="auto"/>
            </w:tcBorders>
          </w:tcPr>
          <w:p w14:paraId="517661B6" w14:textId="77777777" w:rsidR="005B3792" w:rsidRPr="00F14E6C" w:rsidRDefault="005B3792" w:rsidP="005B3792">
            <w:r w:rsidRPr="00F14E6C">
              <w:rPr>
                <w:lang w:val="en-US"/>
              </w:rPr>
              <w:t>90</w:t>
            </w:r>
          </w:p>
        </w:tc>
        <w:tc>
          <w:tcPr>
            <w:tcW w:w="1502" w:type="dxa"/>
            <w:tcBorders>
              <w:bottom w:val="single" w:sz="4" w:space="0" w:color="auto"/>
            </w:tcBorders>
          </w:tcPr>
          <w:p w14:paraId="458F55B0" w14:textId="77777777" w:rsidR="005B3792" w:rsidRPr="00F14E6C" w:rsidRDefault="005B3792" w:rsidP="005B3792">
            <w:r w:rsidRPr="00F14E6C">
              <w:rPr>
                <w:lang w:val="en-US"/>
              </w:rPr>
              <w:t>0.8</w:t>
            </w:r>
          </w:p>
        </w:tc>
        <w:tc>
          <w:tcPr>
            <w:tcW w:w="1503" w:type="dxa"/>
            <w:tcBorders>
              <w:bottom w:val="single" w:sz="4" w:space="0" w:color="auto"/>
            </w:tcBorders>
          </w:tcPr>
          <w:p w14:paraId="26D72139" w14:textId="77777777" w:rsidR="005B3792" w:rsidRPr="00F14E6C" w:rsidRDefault="005B3792" w:rsidP="005B3792">
            <w:r w:rsidRPr="00F14E6C">
              <w:rPr>
                <w:lang w:val="en-US"/>
              </w:rPr>
              <w:t>1.4</w:t>
            </w:r>
          </w:p>
        </w:tc>
        <w:tc>
          <w:tcPr>
            <w:tcW w:w="1503" w:type="dxa"/>
            <w:tcBorders>
              <w:bottom w:val="single" w:sz="4" w:space="0" w:color="auto"/>
            </w:tcBorders>
          </w:tcPr>
          <w:p w14:paraId="26224AD8" w14:textId="77777777" w:rsidR="005B3792" w:rsidRPr="00F14E6C" w:rsidRDefault="005B3792" w:rsidP="005B3792">
            <w:r w:rsidRPr="00F14E6C">
              <w:rPr>
                <w:lang w:val="en-US"/>
              </w:rPr>
              <w:t>1.4</w:t>
            </w:r>
          </w:p>
        </w:tc>
        <w:tc>
          <w:tcPr>
            <w:tcW w:w="1503" w:type="dxa"/>
            <w:tcBorders>
              <w:bottom w:val="single" w:sz="4" w:space="0" w:color="auto"/>
            </w:tcBorders>
          </w:tcPr>
          <w:p w14:paraId="0C9E10B8" w14:textId="77777777" w:rsidR="005B3792" w:rsidRPr="005B3792" w:rsidRDefault="005B3792" w:rsidP="005B3792">
            <w:r w:rsidRPr="00F14E6C">
              <w:rPr>
                <w:lang w:val="en-US"/>
              </w:rPr>
              <w:t>1.7</w:t>
            </w:r>
          </w:p>
        </w:tc>
      </w:tr>
    </w:tbl>
    <w:p w14:paraId="001F95E7" w14:textId="77777777" w:rsidR="005B3792" w:rsidRPr="005B3792" w:rsidRDefault="005B3792" w:rsidP="005B3792">
      <w:pPr>
        <w:rPr>
          <w:i/>
        </w:rPr>
      </w:pPr>
    </w:p>
    <w:p w14:paraId="28B848DD" w14:textId="77777777" w:rsidR="00123E0D" w:rsidRPr="00F9797B" w:rsidRDefault="00123E0D" w:rsidP="005271B8"/>
    <w:sectPr w:rsidR="00123E0D" w:rsidRPr="00F9797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6BF7D" w14:textId="77777777" w:rsidR="00A71723" w:rsidRDefault="00A71723" w:rsidP="00F47070">
      <w:pPr>
        <w:spacing w:after="0" w:line="240" w:lineRule="auto"/>
      </w:pPr>
      <w:r>
        <w:separator/>
      </w:r>
    </w:p>
  </w:endnote>
  <w:endnote w:type="continuationSeparator" w:id="0">
    <w:p w14:paraId="54A3F1DD" w14:textId="77777777" w:rsidR="00A71723" w:rsidRDefault="00A71723" w:rsidP="00F4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in-bold">
    <w:altName w:val="Cambria"/>
    <w:panose1 w:val="00000000000000000000"/>
    <w:charset w:val="00"/>
    <w:family w:val="roman"/>
    <w:notTrueType/>
    <w:pitch w:val="default"/>
  </w:font>
  <w:font w:name="AdvTimes">
    <w:panose1 w:val="00000000000000000000"/>
    <w:charset w:val="00"/>
    <w:family w:val="auto"/>
    <w:notTrueType/>
    <w:pitch w:val="default"/>
    <w:sig w:usb0="00000003" w:usb1="00000000" w:usb2="00000000" w:usb3="00000000" w:csb0="00000001"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PS2B41">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547508"/>
      <w:docPartObj>
        <w:docPartGallery w:val="Page Numbers (Bottom of Page)"/>
        <w:docPartUnique/>
      </w:docPartObj>
    </w:sdtPr>
    <w:sdtEndPr>
      <w:rPr>
        <w:noProof/>
      </w:rPr>
    </w:sdtEndPr>
    <w:sdtContent>
      <w:p w14:paraId="64E46A44" w14:textId="6EA103FB" w:rsidR="00C35533" w:rsidRDefault="00C35533">
        <w:pPr>
          <w:pStyle w:val="Footer"/>
          <w:jc w:val="right"/>
        </w:pPr>
        <w:r>
          <w:fldChar w:fldCharType="begin"/>
        </w:r>
        <w:r>
          <w:instrText xml:space="preserve"> PAGE   \* MERGEFORMAT </w:instrText>
        </w:r>
        <w:r>
          <w:fldChar w:fldCharType="separate"/>
        </w:r>
        <w:r w:rsidR="000175CF">
          <w:rPr>
            <w:noProof/>
          </w:rPr>
          <w:t>2</w:t>
        </w:r>
        <w:r>
          <w:rPr>
            <w:noProof/>
          </w:rPr>
          <w:fldChar w:fldCharType="end"/>
        </w:r>
      </w:p>
    </w:sdtContent>
  </w:sdt>
  <w:p w14:paraId="7C073E42" w14:textId="77777777" w:rsidR="00C35533" w:rsidRDefault="00C35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0DA3A" w14:textId="77777777" w:rsidR="00A71723" w:rsidRDefault="00A71723" w:rsidP="00F47070">
      <w:pPr>
        <w:spacing w:after="0" w:line="240" w:lineRule="auto"/>
      </w:pPr>
      <w:r>
        <w:separator/>
      </w:r>
    </w:p>
  </w:footnote>
  <w:footnote w:type="continuationSeparator" w:id="0">
    <w:p w14:paraId="55C9EB4A" w14:textId="77777777" w:rsidR="00A71723" w:rsidRDefault="00A71723" w:rsidP="00F470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0A02E2"/>
    <w:multiLevelType w:val="singleLevel"/>
    <w:tmpl w:val="8990E896"/>
    <w:lvl w:ilvl="0">
      <w:start w:val="380"/>
      <w:numFmt w:val="decimal"/>
      <w:lvlText w:val="%1."/>
      <w:lvlJc w:val="left"/>
      <w:pPr>
        <w:tabs>
          <w:tab w:val="num" w:pos="783"/>
        </w:tabs>
        <w:ind w:left="783" w:hanging="70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B8"/>
    <w:rsid w:val="00000832"/>
    <w:rsid w:val="00007C79"/>
    <w:rsid w:val="00011C43"/>
    <w:rsid w:val="00016805"/>
    <w:rsid w:val="000175CF"/>
    <w:rsid w:val="000248D6"/>
    <w:rsid w:val="00031EEA"/>
    <w:rsid w:val="00032123"/>
    <w:rsid w:val="00034F1F"/>
    <w:rsid w:val="00066A17"/>
    <w:rsid w:val="00066F06"/>
    <w:rsid w:val="00093E60"/>
    <w:rsid w:val="00093EDC"/>
    <w:rsid w:val="0009749E"/>
    <w:rsid w:val="000A7B08"/>
    <w:rsid w:val="000B074F"/>
    <w:rsid w:val="000C2D1E"/>
    <w:rsid w:val="000C48FF"/>
    <w:rsid w:val="000E2BC9"/>
    <w:rsid w:val="000E4F31"/>
    <w:rsid w:val="000E5F2A"/>
    <w:rsid w:val="00100279"/>
    <w:rsid w:val="001007C9"/>
    <w:rsid w:val="0010538B"/>
    <w:rsid w:val="00110DF1"/>
    <w:rsid w:val="00114B52"/>
    <w:rsid w:val="0011746A"/>
    <w:rsid w:val="00121F39"/>
    <w:rsid w:val="00123E0D"/>
    <w:rsid w:val="00123FA0"/>
    <w:rsid w:val="00126137"/>
    <w:rsid w:val="0014420B"/>
    <w:rsid w:val="00144755"/>
    <w:rsid w:val="00150A15"/>
    <w:rsid w:val="00154727"/>
    <w:rsid w:val="001565C9"/>
    <w:rsid w:val="00164ADE"/>
    <w:rsid w:val="00167CA1"/>
    <w:rsid w:val="0018249A"/>
    <w:rsid w:val="001859EC"/>
    <w:rsid w:val="0018755B"/>
    <w:rsid w:val="001A0C09"/>
    <w:rsid w:val="001C71BB"/>
    <w:rsid w:val="001D5B60"/>
    <w:rsid w:val="001E7821"/>
    <w:rsid w:val="001F28A2"/>
    <w:rsid w:val="00203C2D"/>
    <w:rsid w:val="00204CDC"/>
    <w:rsid w:val="002062BA"/>
    <w:rsid w:val="002110FC"/>
    <w:rsid w:val="00215202"/>
    <w:rsid w:val="00225144"/>
    <w:rsid w:val="00225FAD"/>
    <w:rsid w:val="0023003E"/>
    <w:rsid w:val="00233B7B"/>
    <w:rsid w:val="00235E23"/>
    <w:rsid w:val="00237365"/>
    <w:rsid w:val="0024160B"/>
    <w:rsid w:val="0025559C"/>
    <w:rsid w:val="00257D2B"/>
    <w:rsid w:val="00265E05"/>
    <w:rsid w:val="00265F32"/>
    <w:rsid w:val="00271192"/>
    <w:rsid w:val="00284527"/>
    <w:rsid w:val="0029183C"/>
    <w:rsid w:val="002918D1"/>
    <w:rsid w:val="002B06B9"/>
    <w:rsid w:val="002B0F85"/>
    <w:rsid w:val="002B172C"/>
    <w:rsid w:val="002B1892"/>
    <w:rsid w:val="002C76B3"/>
    <w:rsid w:val="002D2347"/>
    <w:rsid w:val="002D682D"/>
    <w:rsid w:val="002F0286"/>
    <w:rsid w:val="002F79DB"/>
    <w:rsid w:val="003067BB"/>
    <w:rsid w:val="00307E86"/>
    <w:rsid w:val="00311CCC"/>
    <w:rsid w:val="003142FB"/>
    <w:rsid w:val="00316828"/>
    <w:rsid w:val="0031714E"/>
    <w:rsid w:val="00324A21"/>
    <w:rsid w:val="00325884"/>
    <w:rsid w:val="00326AB8"/>
    <w:rsid w:val="00334DC0"/>
    <w:rsid w:val="00343254"/>
    <w:rsid w:val="00345B2E"/>
    <w:rsid w:val="003568C1"/>
    <w:rsid w:val="0036786D"/>
    <w:rsid w:val="00371A79"/>
    <w:rsid w:val="00377F72"/>
    <w:rsid w:val="003800DC"/>
    <w:rsid w:val="00394039"/>
    <w:rsid w:val="003A2341"/>
    <w:rsid w:val="003A6771"/>
    <w:rsid w:val="003B2419"/>
    <w:rsid w:val="003B31C7"/>
    <w:rsid w:val="003B44ED"/>
    <w:rsid w:val="003B5F77"/>
    <w:rsid w:val="003B6C9F"/>
    <w:rsid w:val="003C78C0"/>
    <w:rsid w:val="003C7B36"/>
    <w:rsid w:val="003C7E64"/>
    <w:rsid w:val="003D79B1"/>
    <w:rsid w:val="003E3AE3"/>
    <w:rsid w:val="003E6F5C"/>
    <w:rsid w:val="0040390B"/>
    <w:rsid w:val="004054D0"/>
    <w:rsid w:val="0040608F"/>
    <w:rsid w:val="0041202D"/>
    <w:rsid w:val="004120A6"/>
    <w:rsid w:val="0041387C"/>
    <w:rsid w:val="00414C17"/>
    <w:rsid w:val="00416DE9"/>
    <w:rsid w:val="004350E0"/>
    <w:rsid w:val="00441652"/>
    <w:rsid w:val="00453AA1"/>
    <w:rsid w:val="00466C43"/>
    <w:rsid w:val="004720F5"/>
    <w:rsid w:val="0047687C"/>
    <w:rsid w:val="00487715"/>
    <w:rsid w:val="00494327"/>
    <w:rsid w:val="004B376A"/>
    <w:rsid w:val="004B4F5C"/>
    <w:rsid w:val="004B7467"/>
    <w:rsid w:val="004C1E0B"/>
    <w:rsid w:val="004C2092"/>
    <w:rsid w:val="004C3227"/>
    <w:rsid w:val="004C6507"/>
    <w:rsid w:val="004D710C"/>
    <w:rsid w:val="004E3081"/>
    <w:rsid w:val="004F017F"/>
    <w:rsid w:val="004F1DD8"/>
    <w:rsid w:val="004F28CD"/>
    <w:rsid w:val="005018B5"/>
    <w:rsid w:val="00512478"/>
    <w:rsid w:val="005127D7"/>
    <w:rsid w:val="005271B8"/>
    <w:rsid w:val="005275D8"/>
    <w:rsid w:val="00542767"/>
    <w:rsid w:val="00554109"/>
    <w:rsid w:val="00557ED0"/>
    <w:rsid w:val="005639F9"/>
    <w:rsid w:val="00584A76"/>
    <w:rsid w:val="0058575A"/>
    <w:rsid w:val="005932B3"/>
    <w:rsid w:val="005A6122"/>
    <w:rsid w:val="005A7B5F"/>
    <w:rsid w:val="005B3792"/>
    <w:rsid w:val="005C2EC4"/>
    <w:rsid w:val="005C339B"/>
    <w:rsid w:val="005C41DC"/>
    <w:rsid w:val="005E19E3"/>
    <w:rsid w:val="005E573D"/>
    <w:rsid w:val="005E6CAC"/>
    <w:rsid w:val="005F0415"/>
    <w:rsid w:val="005F1AB5"/>
    <w:rsid w:val="0060143C"/>
    <w:rsid w:val="00601C78"/>
    <w:rsid w:val="006150F0"/>
    <w:rsid w:val="00626571"/>
    <w:rsid w:val="00627885"/>
    <w:rsid w:val="00631F79"/>
    <w:rsid w:val="00656D45"/>
    <w:rsid w:val="0066388C"/>
    <w:rsid w:val="006652E0"/>
    <w:rsid w:val="00676B45"/>
    <w:rsid w:val="00681683"/>
    <w:rsid w:val="00682516"/>
    <w:rsid w:val="00682CD6"/>
    <w:rsid w:val="0068562E"/>
    <w:rsid w:val="006908FF"/>
    <w:rsid w:val="006924CF"/>
    <w:rsid w:val="006A0617"/>
    <w:rsid w:val="006A0E00"/>
    <w:rsid w:val="006B0A38"/>
    <w:rsid w:val="006B1DD7"/>
    <w:rsid w:val="006B5888"/>
    <w:rsid w:val="006C126C"/>
    <w:rsid w:val="006C65C9"/>
    <w:rsid w:val="006D2688"/>
    <w:rsid w:val="006D57B1"/>
    <w:rsid w:val="006E068E"/>
    <w:rsid w:val="006E18E6"/>
    <w:rsid w:val="006E29FB"/>
    <w:rsid w:val="006E2FDA"/>
    <w:rsid w:val="006E36E8"/>
    <w:rsid w:val="006F2DB1"/>
    <w:rsid w:val="006F5BC3"/>
    <w:rsid w:val="006F6F6D"/>
    <w:rsid w:val="00704AAB"/>
    <w:rsid w:val="0070569F"/>
    <w:rsid w:val="007127D5"/>
    <w:rsid w:val="007207AE"/>
    <w:rsid w:val="007210F7"/>
    <w:rsid w:val="00722793"/>
    <w:rsid w:val="00752784"/>
    <w:rsid w:val="00760A61"/>
    <w:rsid w:val="00762A2B"/>
    <w:rsid w:val="0078281A"/>
    <w:rsid w:val="00783FE7"/>
    <w:rsid w:val="007939DF"/>
    <w:rsid w:val="007A12A7"/>
    <w:rsid w:val="007A2475"/>
    <w:rsid w:val="007B3F42"/>
    <w:rsid w:val="007C04FD"/>
    <w:rsid w:val="007C2325"/>
    <w:rsid w:val="007D19A5"/>
    <w:rsid w:val="007D4D24"/>
    <w:rsid w:val="007D785F"/>
    <w:rsid w:val="007F5A2B"/>
    <w:rsid w:val="00802149"/>
    <w:rsid w:val="0080235B"/>
    <w:rsid w:val="00815F57"/>
    <w:rsid w:val="00820AB1"/>
    <w:rsid w:val="00821B32"/>
    <w:rsid w:val="00826158"/>
    <w:rsid w:val="00847C70"/>
    <w:rsid w:val="0087097C"/>
    <w:rsid w:val="00872E8E"/>
    <w:rsid w:val="008A6053"/>
    <w:rsid w:val="008B27D6"/>
    <w:rsid w:val="008B57C2"/>
    <w:rsid w:val="008D0E0D"/>
    <w:rsid w:val="008D19B9"/>
    <w:rsid w:val="008E000F"/>
    <w:rsid w:val="008F0873"/>
    <w:rsid w:val="008F6902"/>
    <w:rsid w:val="009221B8"/>
    <w:rsid w:val="00926BFA"/>
    <w:rsid w:val="009278FE"/>
    <w:rsid w:val="00930836"/>
    <w:rsid w:val="00930895"/>
    <w:rsid w:val="00930BA9"/>
    <w:rsid w:val="009347B5"/>
    <w:rsid w:val="00940E04"/>
    <w:rsid w:val="00942CC7"/>
    <w:rsid w:val="00947D0D"/>
    <w:rsid w:val="00951E0F"/>
    <w:rsid w:val="009543B3"/>
    <w:rsid w:val="009550E8"/>
    <w:rsid w:val="00966C97"/>
    <w:rsid w:val="009D043E"/>
    <w:rsid w:val="009D33BC"/>
    <w:rsid w:val="009F1223"/>
    <w:rsid w:val="00A108E4"/>
    <w:rsid w:val="00A14AC1"/>
    <w:rsid w:val="00A2705D"/>
    <w:rsid w:val="00A31FD0"/>
    <w:rsid w:val="00A3255F"/>
    <w:rsid w:val="00A36A81"/>
    <w:rsid w:val="00A46263"/>
    <w:rsid w:val="00A5191E"/>
    <w:rsid w:val="00A519BB"/>
    <w:rsid w:val="00A53029"/>
    <w:rsid w:val="00A55EE5"/>
    <w:rsid w:val="00A57533"/>
    <w:rsid w:val="00A62A77"/>
    <w:rsid w:val="00A71723"/>
    <w:rsid w:val="00A74ECA"/>
    <w:rsid w:val="00A75251"/>
    <w:rsid w:val="00A76DFA"/>
    <w:rsid w:val="00A87542"/>
    <w:rsid w:val="00A876DF"/>
    <w:rsid w:val="00A91EC6"/>
    <w:rsid w:val="00AB3A6C"/>
    <w:rsid w:val="00AB4050"/>
    <w:rsid w:val="00AC6380"/>
    <w:rsid w:val="00AC645D"/>
    <w:rsid w:val="00AC768F"/>
    <w:rsid w:val="00AD0038"/>
    <w:rsid w:val="00AD2133"/>
    <w:rsid w:val="00AE63CD"/>
    <w:rsid w:val="00AE6CDE"/>
    <w:rsid w:val="00AF5674"/>
    <w:rsid w:val="00AF74F9"/>
    <w:rsid w:val="00B04BDB"/>
    <w:rsid w:val="00B075A0"/>
    <w:rsid w:val="00B11730"/>
    <w:rsid w:val="00B16C17"/>
    <w:rsid w:val="00B20062"/>
    <w:rsid w:val="00B23E77"/>
    <w:rsid w:val="00B26C14"/>
    <w:rsid w:val="00B26DB8"/>
    <w:rsid w:val="00B362B3"/>
    <w:rsid w:val="00B36C3A"/>
    <w:rsid w:val="00B42DCC"/>
    <w:rsid w:val="00B50095"/>
    <w:rsid w:val="00B55B2A"/>
    <w:rsid w:val="00B56808"/>
    <w:rsid w:val="00B65C19"/>
    <w:rsid w:val="00B752D5"/>
    <w:rsid w:val="00B75E0B"/>
    <w:rsid w:val="00B90EF1"/>
    <w:rsid w:val="00BA0FAE"/>
    <w:rsid w:val="00BA5E01"/>
    <w:rsid w:val="00BB234F"/>
    <w:rsid w:val="00BB60F9"/>
    <w:rsid w:val="00BC207D"/>
    <w:rsid w:val="00BC4F57"/>
    <w:rsid w:val="00BC7382"/>
    <w:rsid w:val="00BE3A5F"/>
    <w:rsid w:val="00BE572B"/>
    <w:rsid w:val="00C0206C"/>
    <w:rsid w:val="00C200AF"/>
    <w:rsid w:val="00C25602"/>
    <w:rsid w:val="00C3099B"/>
    <w:rsid w:val="00C35533"/>
    <w:rsid w:val="00C358AE"/>
    <w:rsid w:val="00C41410"/>
    <w:rsid w:val="00C414C1"/>
    <w:rsid w:val="00C437A0"/>
    <w:rsid w:val="00C5277B"/>
    <w:rsid w:val="00C63BC6"/>
    <w:rsid w:val="00C6520C"/>
    <w:rsid w:val="00C73C66"/>
    <w:rsid w:val="00C83852"/>
    <w:rsid w:val="00C91A36"/>
    <w:rsid w:val="00CA1940"/>
    <w:rsid w:val="00CA2E10"/>
    <w:rsid w:val="00CB0D4F"/>
    <w:rsid w:val="00CC2141"/>
    <w:rsid w:val="00CC4060"/>
    <w:rsid w:val="00CE4A91"/>
    <w:rsid w:val="00CF70F5"/>
    <w:rsid w:val="00CF76AD"/>
    <w:rsid w:val="00CF7A08"/>
    <w:rsid w:val="00CF7FD9"/>
    <w:rsid w:val="00D04660"/>
    <w:rsid w:val="00D123C1"/>
    <w:rsid w:val="00D14C8C"/>
    <w:rsid w:val="00D1536B"/>
    <w:rsid w:val="00D200B1"/>
    <w:rsid w:val="00D21CF6"/>
    <w:rsid w:val="00D273D2"/>
    <w:rsid w:val="00D373A2"/>
    <w:rsid w:val="00D44C56"/>
    <w:rsid w:val="00D5399E"/>
    <w:rsid w:val="00D729E2"/>
    <w:rsid w:val="00D775B9"/>
    <w:rsid w:val="00D80802"/>
    <w:rsid w:val="00D82D1C"/>
    <w:rsid w:val="00DB6600"/>
    <w:rsid w:val="00DB735E"/>
    <w:rsid w:val="00DC0085"/>
    <w:rsid w:val="00DD6615"/>
    <w:rsid w:val="00DE06C5"/>
    <w:rsid w:val="00DE1DA4"/>
    <w:rsid w:val="00DF0B22"/>
    <w:rsid w:val="00DF5FD7"/>
    <w:rsid w:val="00E0195D"/>
    <w:rsid w:val="00E24783"/>
    <w:rsid w:val="00E25797"/>
    <w:rsid w:val="00E4335A"/>
    <w:rsid w:val="00E44B23"/>
    <w:rsid w:val="00E45F31"/>
    <w:rsid w:val="00E4698C"/>
    <w:rsid w:val="00E51F05"/>
    <w:rsid w:val="00E5316B"/>
    <w:rsid w:val="00E71D08"/>
    <w:rsid w:val="00E80512"/>
    <w:rsid w:val="00E81256"/>
    <w:rsid w:val="00E814BF"/>
    <w:rsid w:val="00E90BCF"/>
    <w:rsid w:val="00EA3882"/>
    <w:rsid w:val="00EA5089"/>
    <w:rsid w:val="00EA5D90"/>
    <w:rsid w:val="00EA605A"/>
    <w:rsid w:val="00EB692A"/>
    <w:rsid w:val="00EB6CC5"/>
    <w:rsid w:val="00EB7B25"/>
    <w:rsid w:val="00EC08C5"/>
    <w:rsid w:val="00ED0999"/>
    <w:rsid w:val="00ED691D"/>
    <w:rsid w:val="00ED7E38"/>
    <w:rsid w:val="00EE0BE3"/>
    <w:rsid w:val="00EE1D4D"/>
    <w:rsid w:val="00EE2122"/>
    <w:rsid w:val="00F06280"/>
    <w:rsid w:val="00F07ABD"/>
    <w:rsid w:val="00F10132"/>
    <w:rsid w:val="00F14E6C"/>
    <w:rsid w:val="00F2332F"/>
    <w:rsid w:val="00F25AC9"/>
    <w:rsid w:val="00F4664D"/>
    <w:rsid w:val="00F47070"/>
    <w:rsid w:val="00F4758B"/>
    <w:rsid w:val="00F47C36"/>
    <w:rsid w:val="00F621DE"/>
    <w:rsid w:val="00F724E2"/>
    <w:rsid w:val="00F76042"/>
    <w:rsid w:val="00F83EFF"/>
    <w:rsid w:val="00F90248"/>
    <w:rsid w:val="00F9060E"/>
    <w:rsid w:val="00F924B5"/>
    <w:rsid w:val="00F94B58"/>
    <w:rsid w:val="00F95D0E"/>
    <w:rsid w:val="00F9797B"/>
    <w:rsid w:val="00FA66C9"/>
    <w:rsid w:val="00FB3477"/>
    <w:rsid w:val="00FC4B2C"/>
    <w:rsid w:val="00FC736A"/>
    <w:rsid w:val="00FC7BB6"/>
    <w:rsid w:val="00FD14DC"/>
    <w:rsid w:val="00FD549D"/>
    <w:rsid w:val="00FE1774"/>
    <w:rsid w:val="00FE39DE"/>
    <w:rsid w:val="00FE51C0"/>
    <w:rsid w:val="00FF08FC"/>
    <w:rsid w:val="00FF358B"/>
    <w:rsid w:val="00FF6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7393"/>
  <w15:docId w15:val="{FF968BE4-7176-430A-B14C-7409A2F2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1B8"/>
    <w:rPr>
      <w:color w:val="0563C1" w:themeColor="hyperlink"/>
      <w:u w:val="single"/>
    </w:rPr>
  </w:style>
  <w:style w:type="character" w:customStyle="1" w:styleId="Mention1">
    <w:name w:val="Mention1"/>
    <w:basedOn w:val="DefaultParagraphFont"/>
    <w:uiPriority w:val="99"/>
    <w:semiHidden/>
    <w:unhideWhenUsed/>
    <w:rsid w:val="005271B8"/>
    <w:rPr>
      <w:color w:val="2B579A"/>
      <w:shd w:val="clear" w:color="auto" w:fill="E6E6E6"/>
    </w:rPr>
  </w:style>
  <w:style w:type="table" w:styleId="TableGrid">
    <w:name w:val="Table Grid"/>
    <w:basedOn w:val="TableNormal"/>
    <w:uiPriority w:val="59"/>
    <w:rsid w:val="00B26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F7FD9"/>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6DE9"/>
    <w:rPr>
      <w:sz w:val="16"/>
      <w:szCs w:val="16"/>
    </w:rPr>
  </w:style>
  <w:style w:type="paragraph" w:styleId="CommentText">
    <w:name w:val="annotation text"/>
    <w:basedOn w:val="Normal"/>
    <w:link w:val="CommentTextChar"/>
    <w:uiPriority w:val="99"/>
    <w:unhideWhenUsed/>
    <w:rsid w:val="00416DE9"/>
    <w:pPr>
      <w:spacing w:line="240" w:lineRule="auto"/>
    </w:pPr>
    <w:rPr>
      <w:sz w:val="20"/>
      <w:szCs w:val="20"/>
    </w:rPr>
  </w:style>
  <w:style w:type="character" w:customStyle="1" w:styleId="CommentTextChar">
    <w:name w:val="Comment Text Char"/>
    <w:basedOn w:val="DefaultParagraphFont"/>
    <w:link w:val="CommentText"/>
    <w:uiPriority w:val="99"/>
    <w:rsid w:val="00416DE9"/>
    <w:rPr>
      <w:sz w:val="20"/>
      <w:szCs w:val="20"/>
    </w:rPr>
  </w:style>
  <w:style w:type="paragraph" w:styleId="CommentSubject">
    <w:name w:val="annotation subject"/>
    <w:basedOn w:val="CommentText"/>
    <w:next w:val="CommentText"/>
    <w:link w:val="CommentSubjectChar"/>
    <w:uiPriority w:val="99"/>
    <w:semiHidden/>
    <w:unhideWhenUsed/>
    <w:rsid w:val="00416DE9"/>
    <w:rPr>
      <w:b/>
      <w:bCs/>
    </w:rPr>
  </w:style>
  <w:style w:type="character" w:customStyle="1" w:styleId="CommentSubjectChar">
    <w:name w:val="Comment Subject Char"/>
    <w:basedOn w:val="CommentTextChar"/>
    <w:link w:val="CommentSubject"/>
    <w:uiPriority w:val="99"/>
    <w:semiHidden/>
    <w:rsid w:val="00416DE9"/>
    <w:rPr>
      <w:b/>
      <w:bCs/>
      <w:sz w:val="20"/>
      <w:szCs w:val="20"/>
    </w:rPr>
  </w:style>
  <w:style w:type="paragraph" w:styleId="BalloonText">
    <w:name w:val="Balloon Text"/>
    <w:basedOn w:val="Normal"/>
    <w:link w:val="BalloonTextChar"/>
    <w:uiPriority w:val="99"/>
    <w:semiHidden/>
    <w:unhideWhenUsed/>
    <w:rsid w:val="00416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DE9"/>
    <w:rPr>
      <w:rFonts w:ascii="Segoe UI" w:hAnsi="Segoe UI" w:cs="Segoe UI"/>
      <w:sz w:val="18"/>
      <w:szCs w:val="18"/>
    </w:rPr>
  </w:style>
  <w:style w:type="paragraph" w:styleId="PlainText">
    <w:name w:val="Plain Text"/>
    <w:basedOn w:val="Normal"/>
    <w:link w:val="PlainTextChar"/>
    <w:uiPriority w:val="99"/>
    <w:unhideWhenUsed/>
    <w:rsid w:val="004120A6"/>
    <w:pPr>
      <w:spacing w:after="0" w:line="240" w:lineRule="auto"/>
    </w:pPr>
    <w:rPr>
      <w:rFonts w:ascii="Consolas" w:hAnsi="Consolas" w:cs="Consolas"/>
      <w:sz w:val="21"/>
      <w:szCs w:val="21"/>
      <w:lang w:val="sv-SE"/>
    </w:rPr>
  </w:style>
  <w:style w:type="character" w:customStyle="1" w:styleId="PlainTextChar">
    <w:name w:val="Plain Text Char"/>
    <w:basedOn w:val="DefaultParagraphFont"/>
    <w:link w:val="PlainText"/>
    <w:uiPriority w:val="99"/>
    <w:rsid w:val="004120A6"/>
    <w:rPr>
      <w:rFonts w:ascii="Consolas" w:hAnsi="Consolas" w:cs="Consolas"/>
      <w:sz w:val="21"/>
      <w:szCs w:val="21"/>
      <w:lang w:val="sv-SE"/>
    </w:rPr>
  </w:style>
  <w:style w:type="paragraph" w:styleId="Header">
    <w:name w:val="header"/>
    <w:basedOn w:val="Normal"/>
    <w:link w:val="HeaderChar"/>
    <w:uiPriority w:val="99"/>
    <w:unhideWhenUsed/>
    <w:rsid w:val="00F47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070"/>
  </w:style>
  <w:style w:type="paragraph" w:styleId="Footer">
    <w:name w:val="footer"/>
    <w:basedOn w:val="Normal"/>
    <w:link w:val="FooterChar"/>
    <w:uiPriority w:val="99"/>
    <w:unhideWhenUsed/>
    <w:rsid w:val="00F47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070"/>
  </w:style>
  <w:style w:type="character" w:customStyle="1" w:styleId="Mention">
    <w:name w:val="Mention"/>
    <w:basedOn w:val="DefaultParagraphFont"/>
    <w:uiPriority w:val="99"/>
    <w:semiHidden/>
    <w:unhideWhenUsed/>
    <w:rsid w:val="00BC7382"/>
    <w:rPr>
      <w:color w:val="2B579A"/>
      <w:shd w:val="clear" w:color="auto" w:fill="E6E6E6"/>
    </w:rPr>
  </w:style>
  <w:style w:type="paragraph" w:styleId="BodyTextIndent">
    <w:name w:val="Body Text Indent"/>
    <w:basedOn w:val="Normal"/>
    <w:link w:val="BodyTextIndentChar"/>
    <w:uiPriority w:val="99"/>
    <w:semiHidden/>
    <w:unhideWhenUsed/>
    <w:rsid w:val="00A91EC6"/>
    <w:pPr>
      <w:spacing w:after="120"/>
      <w:ind w:left="283"/>
    </w:pPr>
  </w:style>
  <w:style w:type="character" w:customStyle="1" w:styleId="BodyTextIndentChar">
    <w:name w:val="Body Text Indent Char"/>
    <w:basedOn w:val="DefaultParagraphFont"/>
    <w:link w:val="BodyTextIndent"/>
    <w:uiPriority w:val="99"/>
    <w:semiHidden/>
    <w:rsid w:val="00A91EC6"/>
  </w:style>
  <w:style w:type="table" w:customStyle="1" w:styleId="TableGrid2">
    <w:name w:val="Table Grid2"/>
    <w:basedOn w:val="TableNormal"/>
    <w:next w:val="TableGrid"/>
    <w:uiPriority w:val="59"/>
    <w:rsid w:val="0018249A"/>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38189">
      <w:bodyDiv w:val="1"/>
      <w:marLeft w:val="0"/>
      <w:marRight w:val="0"/>
      <w:marTop w:val="0"/>
      <w:marBottom w:val="0"/>
      <w:divBdr>
        <w:top w:val="none" w:sz="0" w:space="0" w:color="auto"/>
        <w:left w:val="none" w:sz="0" w:space="0" w:color="auto"/>
        <w:bottom w:val="none" w:sz="0" w:space="0" w:color="auto"/>
        <w:right w:val="none" w:sz="0" w:space="0" w:color="auto"/>
      </w:divBdr>
    </w:div>
    <w:div w:id="882909781">
      <w:bodyDiv w:val="1"/>
      <w:marLeft w:val="0"/>
      <w:marRight w:val="0"/>
      <w:marTop w:val="0"/>
      <w:marBottom w:val="0"/>
      <w:divBdr>
        <w:top w:val="none" w:sz="0" w:space="0" w:color="auto"/>
        <w:left w:val="none" w:sz="0" w:space="0" w:color="auto"/>
        <w:bottom w:val="none" w:sz="0" w:space="0" w:color="auto"/>
        <w:right w:val="none" w:sz="0" w:space="0" w:color="auto"/>
      </w:divBdr>
    </w:div>
    <w:div w:id="1075709307">
      <w:bodyDiv w:val="1"/>
      <w:marLeft w:val="0"/>
      <w:marRight w:val="0"/>
      <w:marTop w:val="0"/>
      <w:marBottom w:val="0"/>
      <w:divBdr>
        <w:top w:val="none" w:sz="0" w:space="0" w:color="auto"/>
        <w:left w:val="none" w:sz="0" w:space="0" w:color="auto"/>
        <w:bottom w:val="none" w:sz="0" w:space="0" w:color="auto"/>
        <w:right w:val="none" w:sz="0" w:space="0" w:color="auto"/>
      </w:divBdr>
    </w:div>
    <w:div w:id="2098362690">
      <w:bodyDiv w:val="1"/>
      <w:marLeft w:val="0"/>
      <w:marRight w:val="0"/>
      <w:marTop w:val="0"/>
      <w:marBottom w:val="0"/>
      <w:divBdr>
        <w:top w:val="none" w:sz="0" w:space="0" w:color="auto"/>
        <w:left w:val="none" w:sz="0" w:space="0" w:color="auto"/>
        <w:bottom w:val="none" w:sz="0" w:space="0" w:color="auto"/>
        <w:right w:val="none" w:sz="0" w:space="0" w:color="auto"/>
      </w:divBdr>
      <w:divsChild>
        <w:div w:id="894316631">
          <w:marLeft w:val="0"/>
          <w:marRight w:val="0"/>
          <w:marTop w:val="34"/>
          <w:marBottom w:val="34"/>
          <w:divBdr>
            <w:top w:val="none" w:sz="0" w:space="0" w:color="auto"/>
            <w:left w:val="none" w:sz="0" w:space="0" w:color="auto"/>
            <w:bottom w:val="none" w:sz="0" w:space="0" w:color="auto"/>
            <w:right w:val="none" w:sz="0" w:space="0" w:color="auto"/>
          </w:divBdr>
        </w:div>
      </w:divsChild>
    </w:div>
    <w:div w:id="21399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pontefract@sheffield.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A34B7-D838-4568-8CAF-5398F9FB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6124</Words>
  <Characters>34907</Characters>
  <Application>Microsoft Office Word</Application>
  <DocSecurity>4</DocSecurity>
  <Lines>290</Lines>
  <Paragraphs>81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Karen Drake</cp:lastModifiedBy>
  <cp:revision>2</cp:revision>
  <cp:lastPrinted>2018-07-04T08:28:00Z</cp:lastPrinted>
  <dcterms:created xsi:type="dcterms:W3CDTF">2018-07-04T08:32:00Z</dcterms:created>
  <dcterms:modified xsi:type="dcterms:W3CDTF">2018-07-04T08:32:00Z</dcterms:modified>
</cp:coreProperties>
</file>