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FA5A5" w14:textId="1CB861EC" w:rsidR="007002FE" w:rsidRPr="00EB778E" w:rsidRDefault="007002FE" w:rsidP="007002FE">
      <w:pPr>
        <w:jc w:val="center"/>
        <w:rPr>
          <w:rFonts w:asciiTheme="minorHAnsi" w:eastAsia="Times New Roman" w:hAnsiTheme="minorHAnsi"/>
          <w:b/>
          <w:sz w:val="32"/>
          <w:szCs w:val="32"/>
        </w:rPr>
      </w:pPr>
      <w:r w:rsidRPr="00EB778E">
        <w:rPr>
          <w:rFonts w:asciiTheme="minorHAnsi" w:eastAsia="Times New Roman" w:hAnsiTheme="minorHAnsi"/>
          <w:b/>
          <w:color w:val="000000"/>
          <w:sz w:val="32"/>
          <w:szCs w:val="32"/>
          <w:shd w:val="clear" w:color="auto" w:fill="FFFFFF"/>
        </w:rPr>
        <w:t xml:space="preserve">Optimal vs </w:t>
      </w:r>
      <w:r w:rsidR="001812BB" w:rsidRPr="00EB778E">
        <w:rPr>
          <w:rFonts w:asciiTheme="minorHAnsi" w:hAnsiTheme="minorHAnsi"/>
          <w:b/>
          <w:sz w:val="32"/>
          <w:szCs w:val="32"/>
        </w:rPr>
        <w:t>Naïve</w:t>
      </w:r>
      <w:r w:rsidRPr="00EB778E">
        <w:rPr>
          <w:rFonts w:asciiTheme="minorHAnsi" w:eastAsia="Times New Roman" w:hAnsiTheme="minorHAnsi"/>
          <w:b/>
          <w:color w:val="000000"/>
          <w:sz w:val="32"/>
          <w:szCs w:val="32"/>
          <w:shd w:val="clear" w:color="auto" w:fill="FFFFFF"/>
        </w:rPr>
        <w:t xml:space="preserve"> Diversification in Cryptocurrencies</w:t>
      </w:r>
    </w:p>
    <w:p w14:paraId="30929258" w14:textId="77777777" w:rsidR="001E4C3F" w:rsidRPr="00EB778E" w:rsidRDefault="001E4C3F">
      <w:pPr>
        <w:rPr>
          <w:rFonts w:asciiTheme="minorHAnsi" w:hAnsiTheme="minorHAnsi"/>
        </w:rPr>
      </w:pPr>
    </w:p>
    <w:p w14:paraId="13E3E4DE" w14:textId="77777777" w:rsidR="00006F35" w:rsidRPr="00EB778E" w:rsidRDefault="00006F35">
      <w:pPr>
        <w:rPr>
          <w:rFonts w:asciiTheme="minorHAnsi" w:hAnsiTheme="minorHAnsi"/>
        </w:rPr>
      </w:pPr>
    </w:p>
    <w:p w14:paraId="28CFD26B" w14:textId="47C82E6F" w:rsidR="00006F35" w:rsidRPr="00EB778E" w:rsidRDefault="00006F35" w:rsidP="00006F35">
      <w:pPr>
        <w:jc w:val="center"/>
        <w:rPr>
          <w:rFonts w:asciiTheme="minorHAnsi" w:hAnsiTheme="minorHAnsi"/>
          <w:b/>
        </w:rPr>
      </w:pPr>
      <w:r w:rsidRPr="00EB778E">
        <w:rPr>
          <w:rFonts w:asciiTheme="minorHAnsi" w:hAnsiTheme="minorHAnsi"/>
          <w:b/>
        </w:rPr>
        <w:t>Abstract</w:t>
      </w:r>
    </w:p>
    <w:p w14:paraId="65AA30D0" w14:textId="77777777" w:rsidR="00006F35" w:rsidRPr="00EB778E" w:rsidRDefault="00006F35" w:rsidP="00006F35">
      <w:pPr>
        <w:jc w:val="center"/>
        <w:rPr>
          <w:rFonts w:asciiTheme="minorHAnsi" w:hAnsiTheme="minorHAnsi"/>
        </w:rPr>
      </w:pPr>
    </w:p>
    <w:p w14:paraId="4D1F8942" w14:textId="77777777" w:rsidR="00006F35" w:rsidRPr="00EB778E" w:rsidRDefault="00006F35" w:rsidP="00006F35">
      <w:pPr>
        <w:jc w:val="center"/>
        <w:rPr>
          <w:rFonts w:asciiTheme="minorHAnsi" w:hAnsiTheme="minorHAnsi"/>
        </w:rPr>
      </w:pPr>
    </w:p>
    <w:p w14:paraId="4DE17FD1" w14:textId="2951FE82" w:rsidR="00006F35" w:rsidRPr="00EB778E" w:rsidRDefault="006246F5" w:rsidP="000639DE">
      <w:pPr>
        <w:spacing w:line="360" w:lineRule="auto"/>
        <w:jc w:val="both"/>
        <w:rPr>
          <w:rFonts w:asciiTheme="minorHAnsi" w:hAnsiTheme="minorHAnsi"/>
        </w:rPr>
      </w:pPr>
      <w:r w:rsidRPr="00EB778E">
        <w:rPr>
          <w:rFonts w:asciiTheme="minorHAnsi" w:hAnsiTheme="minorHAnsi"/>
        </w:rPr>
        <w:t>This paper</w:t>
      </w:r>
      <w:r w:rsidR="001812BB" w:rsidRPr="00EB778E">
        <w:rPr>
          <w:rFonts w:asciiTheme="minorHAnsi" w:hAnsiTheme="minorHAnsi"/>
        </w:rPr>
        <w:t xml:space="preserve"> contribute</w:t>
      </w:r>
      <w:r w:rsidRPr="00EB778E">
        <w:rPr>
          <w:rFonts w:asciiTheme="minorHAnsi" w:hAnsiTheme="minorHAnsi"/>
        </w:rPr>
        <w:t>s</w:t>
      </w:r>
      <w:r w:rsidR="001812BB" w:rsidRPr="00EB778E">
        <w:rPr>
          <w:rFonts w:asciiTheme="minorHAnsi" w:hAnsiTheme="minorHAnsi"/>
        </w:rPr>
        <w:t xml:space="preserve"> to the literature on cryptocurrencies by examining </w:t>
      </w:r>
      <w:r w:rsidR="00E762EF" w:rsidRPr="00EB778E">
        <w:rPr>
          <w:rFonts w:asciiTheme="minorHAnsi" w:hAnsiTheme="minorHAnsi"/>
        </w:rPr>
        <w:t>the performance of</w:t>
      </w:r>
      <w:r w:rsidR="001812BB" w:rsidRPr="00EB778E">
        <w:rPr>
          <w:rFonts w:asciiTheme="minorHAnsi" w:hAnsiTheme="minorHAnsi"/>
        </w:rPr>
        <w:t xml:space="preserve"> naïve </w:t>
      </w:r>
      <w:r w:rsidR="00E762EF" w:rsidRPr="00EB778E">
        <w:rPr>
          <w:rFonts w:asciiTheme="minorHAnsi" w:hAnsiTheme="minorHAnsi"/>
        </w:rPr>
        <w:t>(1/N) and</w:t>
      </w:r>
      <w:r w:rsidR="00F163A2" w:rsidRPr="00EB778E">
        <w:rPr>
          <w:rFonts w:asciiTheme="minorHAnsi" w:hAnsiTheme="minorHAnsi"/>
        </w:rPr>
        <w:t xml:space="preserve"> optimal (Markowitz) </w:t>
      </w:r>
      <w:r w:rsidR="001812BB" w:rsidRPr="00EB778E">
        <w:rPr>
          <w:rFonts w:asciiTheme="minorHAnsi" w:hAnsiTheme="minorHAnsi"/>
        </w:rPr>
        <w:t xml:space="preserve">diversification in a </w:t>
      </w:r>
      <w:r w:rsidR="00E762EF" w:rsidRPr="00EB778E">
        <w:rPr>
          <w:rFonts w:asciiTheme="minorHAnsi" w:hAnsiTheme="minorHAnsi"/>
        </w:rPr>
        <w:t xml:space="preserve">portfolio </w:t>
      </w:r>
      <w:r w:rsidR="00F163A2" w:rsidRPr="00EB778E">
        <w:rPr>
          <w:rFonts w:asciiTheme="minorHAnsi" w:hAnsiTheme="minorHAnsi"/>
        </w:rPr>
        <w:t>of four popular cryptocurrencies</w:t>
      </w:r>
      <w:r w:rsidR="001812BB" w:rsidRPr="00EB778E">
        <w:rPr>
          <w:rFonts w:asciiTheme="minorHAnsi" w:hAnsiTheme="minorHAnsi"/>
        </w:rPr>
        <w:t xml:space="preserve">.  We employ weekly data </w:t>
      </w:r>
      <w:r w:rsidR="00F163A2" w:rsidRPr="00EB778E">
        <w:rPr>
          <w:rFonts w:asciiTheme="minorHAnsi" w:hAnsiTheme="minorHAnsi"/>
        </w:rPr>
        <w:t>with weekly rebalancing and</w:t>
      </w:r>
      <w:r w:rsidR="00AD29CF" w:rsidRPr="00EB778E">
        <w:rPr>
          <w:rFonts w:asciiTheme="minorHAnsi" w:hAnsiTheme="minorHAnsi"/>
        </w:rPr>
        <w:t xml:space="preserve"> show there is very little </w:t>
      </w:r>
      <w:r w:rsidR="009D5852">
        <w:rPr>
          <w:rFonts w:asciiTheme="minorHAnsi" w:hAnsiTheme="minorHAnsi"/>
        </w:rPr>
        <w:t>to select</w:t>
      </w:r>
      <w:r w:rsidR="00AD29CF" w:rsidRPr="00EB778E">
        <w:rPr>
          <w:rFonts w:asciiTheme="minorHAnsi" w:hAnsiTheme="minorHAnsi"/>
        </w:rPr>
        <w:t xml:space="preserve"> between </w:t>
      </w:r>
      <w:r w:rsidR="00F163A2" w:rsidRPr="00EB778E">
        <w:rPr>
          <w:rFonts w:asciiTheme="minorHAnsi" w:hAnsiTheme="minorHAnsi"/>
        </w:rPr>
        <w:t>naïve diversification</w:t>
      </w:r>
      <w:r w:rsidR="009D5852">
        <w:rPr>
          <w:rFonts w:asciiTheme="minorHAnsi" w:hAnsiTheme="minorHAnsi"/>
        </w:rPr>
        <w:t xml:space="preserve"> </w:t>
      </w:r>
      <w:r w:rsidR="00AD29CF" w:rsidRPr="00EB778E">
        <w:rPr>
          <w:rFonts w:asciiTheme="minorHAnsi" w:hAnsiTheme="minorHAnsi"/>
        </w:rPr>
        <w:t xml:space="preserve">and </w:t>
      </w:r>
      <w:r w:rsidR="00F163A2" w:rsidRPr="00EB778E">
        <w:rPr>
          <w:rFonts w:asciiTheme="minorHAnsi" w:hAnsiTheme="minorHAnsi"/>
        </w:rPr>
        <w:t>optimal diversification</w:t>
      </w:r>
      <w:r w:rsidR="009D5852">
        <w:rPr>
          <w:rFonts w:asciiTheme="minorHAnsi" w:hAnsiTheme="minorHAnsi"/>
        </w:rPr>
        <w:t>.</w:t>
      </w:r>
      <w:r w:rsidR="00F163A2" w:rsidRPr="00EB778E">
        <w:rPr>
          <w:rFonts w:asciiTheme="minorHAnsi" w:hAnsiTheme="minorHAnsi"/>
        </w:rPr>
        <w:t xml:space="preserve"> </w:t>
      </w:r>
      <w:r w:rsidR="001812BB" w:rsidRPr="00EB778E">
        <w:rPr>
          <w:rFonts w:asciiTheme="minorHAnsi" w:hAnsiTheme="minorHAnsi"/>
        </w:rPr>
        <w:t xml:space="preserve">Our results hold for different </w:t>
      </w:r>
      <w:r w:rsidR="00F163A2" w:rsidRPr="00EB778E">
        <w:rPr>
          <w:rFonts w:asciiTheme="minorHAnsi" w:hAnsiTheme="minorHAnsi"/>
        </w:rPr>
        <w:t xml:space="preserve">levels </w:t>
      </w:r>
      <w:r w:rsidR="00744187">
        <w:rPr>
          <w:rFonts w:asciiTheme="minorHAnsi" w:hAnsiTheme="minorHAnsi"/>
        </w:rPr>
        <w:t xml:space="preserve">of </w:t>
      </w:r>
      <w:r w:rsidR="001812BB" w:rsidRPr="00EB778E">
        <w:rPr>
          <w:rFonts w:asciiTheme="minorHAnsi" w:hAnsiTheme="minorHAnsi"/>
        </w:rPr>
        <w:t>risk-aversion</w:t>
      </w:r>
      <w:r w:rsidR="00AD29CF" w:rsidRPr="00EB778E">
        <w:rPr>
          <w:rFonts w:asciiTheme="minorHAnsi" w:hAnsiTheme="minorHAnsi"/>
        </w:rPr>
        <w:t xml:space="preserve"> and</w:t>
      </w:r>
      <w:r w:rsidR="001812BB" w:rsidRPr="00EB778E">
        <w:rPr>
          <w:rFonts w:asciiTheme="minorHAnsi" w:hAnsiTheme="minorHAnsi"/>
        </w:rPr>
        <w:t xml:space="preserve"> </w:t>
      </w:r>
      <w:r w:rsidR="00F163A2" w:rsidRPr="00EB778E">
        <w:rPr>
          <w:rFonts w:asciiTheme="minorHAnsi" w:hAnsiTheme="minorHAnsi"/>
        </w:rPr>
        <w:t xml:space="preserve">an alternative estimation window.  </w:t>
      </w:r>
    </w:p>
    <w:p w14:paraId="67611D5B" w14:textId="77777777" w:rsidR="00006F35" w:rsidRPr="00FB63E8" w:rsidRDefault="00006F35" w:rsidP="000639DE">
      <w:pPr>
        <w:spacing w:line="360" w:lineRule="auto"/>
      </w:pPr>
      <w:r w:rsidRPr="00FB63E8">
        <w:br w:type="page"/>
      </w:r>
    </w:p>
    <w:p w14:paraId="19F43875" w14:textId="6615FAAD" w:rsidR="00006F35" w:rsidRPr="00EB778E" w:rsidRDefault="00006F35" w:rsidP="000639DE">
      <w:pPr>
        <w:pStyle w:val="ListParagraph"/>
        <w:pageBreakBefore/>
        <w:numPr>
          <w:ilvl w:val="0"/>
          <w:numId w:val="1"/>
        </w:numPr>
        <w:spacing w:line="360" w:lineRule="auto"/>
        <w:rPr>
          <w:rFonts w:cs="Times New Roman"/>
          <w:b/>
        </w:rPr>
      </w:pPr>
      <w:r w:rsidRPr="00EB778E">
        <w:rPr>
          <w:rFonts w:cs="Times New Roman"/>
          <w:b/>
        </w:rPr>
        <w:lastRenderedPageBreak/>
        <w:t>Introduction</w:t>
      </w:r>
    </w:p>
    <w:p w14:paraId="25AC8278" w14:textId="77777777" w:rsidR="00006F35" w:rsidRPr="00FB63E8" w:rsidRDefault="00006F35" w:rsidP="000639DE">
      <w:pPr>
        <w:spacing w:line="360" w:lineRule="auto"/>
      </w:pPr>
    </w:p>
    <w:p w14:paraId="5BC18F0A" w14:textId="7A6EC05E" w:rsidR="00006F35" w:rsidRPr="00EB778E" w:rsidRDefault="0033173A" w:rsidP="000639DE">
      <w:pPr>
        <w:spacing w:line="360" w:lineRule="auto"/>
        <w:jc w:val="both"/>
        <w:rPr>
          <w:rFonts w:asciiTheme="minorHAnsi" w:hAnsiTheme="minorHAnsi"/>
          <w:color w:val="000000" w:themeColor="text1"/>
        </w:rPr>
      </w:pPr>
      <w:r w:rsidRPr="00EB778E">
        <w:rPr>
          <w:rFonts w:asciiTheme="minorHAnsi" w:hAnsiTheme="minorHAnsi"/>
          <w:color w:val="000000" w:themeColor="text1"/>
        </w:rPr>
        <w:t xml:space="preserve">Since the seminal work by Nobel Prize winner Harry Markowitz on mean-variance portfolio construction, a large literature has examined whether this method </w:t>
      </w:r>
      <w:r w:rsidR="00E762EF" w:rsidRPr="00EB778E">
        <w:rPr>
          <w:rFonts w:asciiTheme="minorHAnsi" w:hAnsiTheme="minorHAnsi"/>
          <w:color w:val="000000" w:themeColor="text1"/>
        </w:rPr>
        <w:t>of optimal diversification</w:t>
      </w:r>
      <w:r w:rsidRPr="00EB778E">
        <w:rPr>
          <w:rFonts w:asciiTheme="minorHAnsi" w:hAnsiTheme="minorHAnsi"/>
          <w:color w:val="000000" w:themeColor="text1"/>
        </w:rPr>
        <w:t xml:space="preserve"> outperforms naïve diversification. Black and Litterman (1992) and Kan and Zhou (2007) show that mean-variance struggles with estimation errors in the parameters of the model, while DeMiguel et al (2009) show that </w:t>
      </w:r>
      <w:r w:rsidR="0078696A" w:rsidRPr="00EB778E">
        <w:rPr>
          <w:rFonts w:asciiTheme="minorHAnsi" w:hAnsiTheme="minorHAnsi"/>
          <w:color w:val="000000" w:themeColor="text1"/>
        </w:rPr>
        <w:t xml:space="preserve">employing </w:t>
      </w:r>
      <w:r w:rsidRPr="00EB778E">
        <w:rPr>
          <w:rFonts w:asciiTheme="minorHAnsi" w:hAnsiTheme="minorHAnsi"/>
          <w:color w:val="000000" w:themeColor="text1"/>
        </w:rPr>
        <w:t>estimated means and variances performs worse than a naïve strategy of simply holding equal positions in every asset</w:t>
      </w:r>
      <w:r w:rsidR="00E762EF" w:rsidRPr="00EB778E">
        <w:rPr>
          <w:rFonts w:asciiTheme="minorHAnsi" w:hAnsiTheme="minorHAnsi"/>
          <w:color w:val="000000" w:themeColor="text1"/>
        </w:rPr>
        <w:t xml:space="preserve"> (1/N</w:t>
      </w:r>
      <w:r w:rsidR="008811AC" w:rsidRPr="00EB778E">
        <w:rPr>
          <w:rFonts w:asciiTheme="minorHAnsi" w:hAnsiTheme="minorHAnsi"/>
          <w:color w:val="000000" w:themeColor="text1"/>
        </w:rPr>
        <w:t>)</w:t>
      </w:r>
      <w:r w:rsidRPr="00EB778E">
        <w:rPr>
          <w:rFonts w:asciiTheme="minorHAnsi" w:hAnsiTheme="minorHAnsi"/>
          <w:color w:val="000000" w:themeColor="text1"/>
        </w:rPr>
        <w:t>.</w:t>
      </w:r>
      <w:r w:rsidR="008811AC" w:rsidRPr="00EB778E">
        <w:rPr>
          <w:rFonts w:asciiTheme="minorHAnsi" w:hAnsiTheme="minorHAnsi"/>
          <w:color w:val="000000" w:themeColor="text1"/>
        </w:rPr>
        <w:t xml:space="preserve"> However recently, Ackermann et al (2017) show that mean-variance analys</w:t>
      </w:r>
      <w:r w:rsidR="00F163A2" w:rsidRPr="00EB778E">
        <w:rPr>
          <w:rFonts w:asciiTheme="minorHAnsi" w:hAnsiTheme="minorHAnsi"/>
          <w:color w:val="000000" w:themeColor="text1"/>
        </w:rPr>
        <w:t>is does outperform the naïve 1/N</w:t>
      </w:r>
      <w:r w:rsidR="008811AC" w:rsidRPr="00EB778E">
        <w:rPr>
          <w:rFonts w:asciiTheme="minorHAnsi" w:hAnsiTheme="minorHAnsi"/>
          <w:color w:val="000000" w:themeColor="text1"/>
        </w:rPr>
        <w:t xml:space="preserve"> strategy in currency markets</w:t>
      </w:r>
      <w:r w:rsidR="007E1FFF">
        <w:rPr>
          <w:rFonts w:asciiTheme="minorHAnsi" w:hAnsiTheme="minorHAnsi"/>
          <w:color w:val="000000" w:themeColor="text1"/>
        </w:rPr>
        <w:t>,</w:t>
      </w:r>
      <w:r w:rsidR="008811AC" w:rsidRPr="00EB778E">
        <w:rPr>
          <w:rFonts w:asciiTheme="minorHAnsi" w:hAnsiTheme="minorHAnsi"/>
          <w:color w:val="000000" w:themeColor="text1"/>
        </w:rPr>
        <w:t xml:space="preserve"> since interest rates provide a pre</w:t>
      </w:r>
      <w:r w:rsidR="00E762EF" w:rsidRPr="00EB778E">
        <w:rPr>
          <w:rFonts w:asciiTheme="minorHAnsi" w:hAnsiTheme="minorHAnsi"/>
          <w:color w:val="000000" w:themeColor="text1"/>
        </w:rPr>
        <w:t>dictor of future returns that are</w:t>
      </w:r>
      <w:r w:rsidR="008811AC" w:rsidRPr="00EB778E">
        <w:rPr>
          <w:rFonts w:asciiTheme="minorHAnsi" w:hAnsiTheme="minorHAnsi"/>
          <w:color w:val="000000" w:themeColor="text1"/>
        </w:rPr>
        <w:t xml:space="preserve"> free of estimation error.  </w:t>
      </w:r>
    </w:p>
    <w:p w14:paraId="52E8DF86" w14:textId="77777777" w:rsidR="001812BB" w:rsidRPr="002F1743" w:rsidRDefault="001812BB" w:rsidP="000639DE">
      <w:pPr>
        <w:spacing w:line="360" w:lineRule="auto"/>
        <w:jc w:val="both"/>
        <w:rPr>
          <w:color w:val="000000" w:themeColor="text1"/>
        </w:rPr>
      </w:pPr>
    </w:p>
    <w:p w14:paraId="614BAA36" w14:textId="02A4F848" w:rsidR="007E1FFF" w:rsidRDefault="0078696A" w:rsidP="000639DE">
      <w:pPr>
        <w:spacing w:line="360" w:lineRule="auto"/>
        <w:jc w:val="both"/>
        <w:rPr>
          <w:rFonts w:asciiTheme="minorHAnsi" w:hAnsiTheme="minorHAnsi"/>
          <w:color w:val="000000" w:themeColor="text1"/>
        </w:rPr>
      </w:pPr>
      <w:r w:rsidRPr="00EB778E">
        <w:rPr>
          <w:rFonts w:asciiTheme="minorHAnsi" w:hAnsiTheme="minorHAnsi"/>
          <w:color w:val="000000" w:themeColor="text1"/>
        </w:rPr>
        <w:t xml:space="preserve">We add to the debate by examining </w:t>
      </w:r>
      <w:r w:rsidR="00C14188" w:rsidRPr="00EB778E">
        <w:rPr>
          <w:rFonts w:asciiTheme="minorHAnsi" w:hAnsiTheme="minorHAnsi"/>
          <w:color w:val="000000" w:themeColor="text1"/>
        </w:rPr>
        <w:t>the performance of optimal and</w:t>
      </w:r>
      <w:r w:rsidRPr="00EB778E">
        <w:rPr>
          <w:rFonts w:asciiTheme="minorHAnsi" w:hAnsiTheme="minorHAnsi"/>
          <w:color w:val="000000" w:themeColor="text1"/>
        </w:rPr>
        <w:t xml:space="preserve"> naïve diversification in cryptocurrency markets.  </w:t>
      </w:r>
      <w:r w:rsidR="00532BBF" w:rsidRPr="00EB778E">
        <w:rPr>
          <w:rFonts w:asciiTheme="minorHAnsi" w:hAnsiTheme="minorHAnsi"/>
          <w:color w:val="000000" w:themeColor="text1"/>
        </w:rPr>
        <w:t>Cryptocurrencies have attracted a lot of attention</w:t>
      </w:r>
      <w:r w:rsidR="00592688" w:rsidRPr="00EB778E">
        <w:rPr>
          <w:rFonts w:asciiTheme="minorHAnsi" w:hAnsiTheme="minorHAnsi"/>
          <w:color w:val="000000" w:themeColor="text1"/>
        </w:rPr>
        <w:t xml:space="preserve"> from investors, regulators and the media since the first cryptocurrency, Bitcoin, was proposed by Nakamoto (2008).</w:t>
      </w:r>
      <w:r w:rsidRPr="00EB778E">
        <w:rPr>
          <w:rFonts w:asciiTheme="minorHAnsi" w:hAnsiTheme="minorHAnsi"/>
          <w:color w:val="000000" w:themeColor="text1"/>
        </w:rPr>
        <w:t xml:space="preserve"> </w:t>
      </w:r>
      <w:r w:rsidR="00592688" w:rsidRPr="00EB778E">
        <w:rPr>
          <w:rFonts w:asciiTheme="minorHAnsi" w:hAnsiTheme="minorHAnsi"/>
          <w:color w:val="000000" w:themeColor="text1"/>
        </w:rPr>
        <w:t xml:space="preserve"> For example, from </w:t>
      </w:r>
      <w:r w:rsidR="00DC7DA7">
        <w:rPr>
          <w:rFonts w:asciiTheme="minorHAnsi" w:hAnsiTheme="minorHAnsi"/>
          <w:color w:val="000000" w:themeColor="text1"/>
        </w:rPr>
        <w:t>December</w:t>
      </w:r>
      <w:r w:rsidR="00DC7DA7" w:rsidRPr="00EB778E">
        <w:rPr>
          <w:rFonts w:asciiTheme="minorHAnsi" w:hAnsiTheme="minorHAnsi"/>
          <w:color w:val="000000" w:themeColor="text1"/>
        </w:rPr>
        <w:t xml:space="preserve"> </w:t>
      </w:r>
      <w:r w:rsidR="00592688" w:rsidRPr="00EB778E">
        <w:rPr>
          <w:rFonts w:asciiTheme="minorHAnsi" w:hAnsiTheme="minorHAnsi"/>
          <w:color w:val="000000" w:themeColor="text1"/>
        </w:rPr>
        <w:t xml:space="preserve">2016 to </w:t>
      </w:r>
      <w:r w:rsidR="00DC7DA7">
        <w:rPr>
          <w:rFonts w:asciiTheme="minorHAnsi" w:hAnsiTheme="minorHAnsi"/>
          <w:color w:val="000000" w:themeColor="text1"/>
        </w:rPr>
        <w:t>December</w:t>
      </w:r>
      <w:r w:rsidR="00DC7DA7" w:rsidRPr="00EB778E">
        <w:rPr>
          <w:rFonts w:asciiTheme="minorHAnsi" w:hAnsiTheme="minorHAnsi"/>
          <w:color w:val="000000" w:themeColor="text1"/>
        </w:rPr>
        <w:t xml:space="preserve"> </w:t>
      </w:r>
      <w:r w:rsidR="00592688" w:rsidRPr="00EB778E">
        <w:rPr>
          <w:rFonts w:asciiTheme="minorHAnsi" w:hAnsiTheme="minorHAnsi"/>
          <w:color w:val="000000" w:themeColor="text1"/>
        </w:rPr>
        <w:t xml:space="preserve">2017 the </w:t>
      </w:r>
      <w:r w:rsidR="00DC7DA7">
        <w:rPr>
          <w:rFonts w:asciiTheme="minorHAnsi" w:hAnsiTheme="minorHAnsi"/>
          <w:color w:val="000000" w:themeColor="text1"/>
        </w:rPr>
        <w:t>price</w:t>
      </w:r>
      <w:r w:rsidR="00592688" w:rsidRPr="00EB778E">
        <w:rPr>
          <w:rFonts w:asciiTheme="minorHAnsi" w:hAnsiTheme="minorHAnsi"/>
          <w:color w:val="000000" w:themeColor="text1"/>
        </w:rPr>
        <w:t xml:space="preserve"> of Bitcoin grew by </w:t>
      </w:r>
      <w:r w:rsidR="00DC7DA7">
        <w:rPr>
          <w:rFonts w:asciiTheme="minorHAnsi" w:hAnsiTheme="minorHAnsi"/>
          <w:color w:val="000000" w:themeColor="text1"/>
        </w:rPr>
        <w:t>1300</w:t>
      </w:r>
      <w:r w:rsidR="00592688" w:rsidRPr="00EB778E">
        <w:rPr>
          <w:rFonts w:asciiTheme="minorHAnsi" w:hAnsiTheme="minorHAnsi"/>
          <w:color w:val="000000" w:themeColor="text1"/>
        </w:rPr>
        <w:t xml:space="preserve">%, while the total market capitalization of all cryptocurrencies </w:t>
      </w:r>
      <w:r w:rsidR="007E1FFF">
        <w:rPr>
          <w:rFonts w:asciiTheme="minorHAnsi" w:hAnsiTheme="minorHAnsi"/>
          <w:color w:val="000000" w:themeColor="text1"/>
        </w:rPr>
        <w:t xml:space="preserve">was </w:t>
      </w:r>
      <w:r w:rsidR="00DC7DA7">
        <w:rPr>
          <w:rFonts w:asciiTheme="minorHAnsi" w:hAnsiTheme="minorHAnsi"/>
          <w:color w:val="000000" w:themeColor="text1"/>
        </w:rPr>
        <w:t>over</w:t>
      </w:r>
      <w:r w:rsidR="00DC7DA7" w:rsidRPr="00EB778E">
        <w:rPr>
          <w:rFonts w:asciiTheme="minorHAnsi" w:hAnsiTheme="minorHAnsi"/>
          <w:color w:val="000000" w:themeColor="text1"/>
        </w:rPr>
        <w:t xml:space="preserve"> </w:t>
      </w:r>
      <w:r w:rsidR="00592688" w:rsidRPr="00EB778E">
        <w:rPr>
          <w:rFonts w:asciiTheme="minorHAnsi" w:hAnsiTheme="minorHAnsi"/>
          <w:color w:val="000000" w:themeColor="text1"/>
        </w:rPr>
        <w:t>$</w:t>
      </w:r>
      <w:r w:rsidR="00DC7DA7">
        <w:rPr>
          <w:rFonts w:asciiTheme="minorHAnsi" w:hAnsiTheme="minorHAnsi"/>
          <w:color w:val="000000" w:themeColor="text1"/>
        </w:rPr>
        <w:t>230</w:t>
      </w:r>
      <w:r w:rsidR="00DC7DA7" w:rsidRPr="00EB778E">
        <w:rPr>
          <w:rFonts w:asciiTheme="minorHAnsi" w:hAnsiTheme="minorHAnsi"/>
          <w:color w:val="000000" w:themeColor="text1"/>
        </w:rPr>
        <w:t xml:space="preserve"> </w:t>
      </w:r>
      <w:r w:rsidR="00592688" w:rsidRPr="00EB778E">
        <w:rPr>
          <w:rFonts w:asciiTheme="minorHAnsi" w:hAnsiTheme="minorHAnsi"/>
          <w:color w:val="000000" w:themeColor="text1"/>
        </w:rPr>
        <w:t>billion</w:t>
      </w:r>
      <w:r w:rsidR="007E1FFF">
        <w:rPr>
          <w:rFonts w:asciiTheme="minorHAnsi" w:hAnsiTheme="minorHAnsi"/>
          <w:color w:val="000000" w:themeColor="text1"/>
        </w:rPr>
        <w:t xml:space="preserve"> </w:t>
      </w:r>
      <w:r w:rsidR="00D66917">
        <w:rPr>
          <w:rFonts w:asciiTheme="minorHAnsi" w:hAnsiTheme="minorHAnsi"/>
          <w:color w:val="000000" w:themeColor="text1"/>
        </w:rPr>
        <w:t xml:space="preserve">in </w:t>
      </w:r>
      <w:bookmarkStart w:id="0" w:name="_GoBack"/>
      <w:bookmarkEnd w:id="0"/>
      <w:r w:rsidR="00DC7DA7">
        <w:rPr>
          <w:rFonts w:asciiTheme="minorHAnsi" w:hAnsiTheme="minorHAnsi"/>
          <w:color w:val="000000" w:themeColor="text1"/>
        </w:rPr>
        <w:t>December 2017.</w:t>
      </w:r>
      <w:r w:rsidR="00592688" w:rsidRPr="00EB778E">
        <w:rPr>
          <w:rFonts w:asciiTheme="minorHAnsi" w:hAnsiTheme="minorHAnsi"/>
          <w:color w:val="000000" w:themeColor="text1"/>
        </w:rPr>
        <w:t xml:space="preserve"> </w:t>
      </w:r>
      <w:r w:rsidR="00B92A1B" w:rsidRPr="00EB778E">
        <w:rPr>
          <w:rFonts w:asciiTheme="minorHAnsi" w:hAnsiTheme="minorHAnsi"/>
          <w:color w:val="000000" w:themeColor="text1"/>
        </w:rPr>
        <w:t>Given this surge of</w:t>
      </w:r>
      <w:r w:rsidR="00DF650C" w:rsidRPr="00EB778E">
        <w:rPr>
          <w:rFonts w:asciiTheme="minorHAnsi" w:hAnsiTheme="minorHAnsi"/>
          <w:color w:val="000000" w:themeColor="text1"/>
        </w:rPr>
        <w:t xml:space="preserve"> interest, there has consequently been a stream of literature examining the properties of cryptocurrencies, </w:t>
      </w:r>
      <w:r w:rsidR="00DE339C" w:rsidRPr="00EB778E">
        <w:rPr>
          <w:rFonts w:asciiTheme="minorHAnsi" w:hAnsiTheme="minorHAnsi"/>
          <w:color w:val="000000" w:themeColor="text1"/>
        </w:rPr>
        <w:t>documenting</w:t>
      </w:r>
      <w:r w:rsidR="00B92A1B" w:rsidRPr="00EB778E">
        <w:rPr>
          <w:rFonts w:asciiTheme="minorHAnsi" w:hAnsiTheme="minorHAnsi"/>
          <w:color w:val="000000" w:themeColor="text1"/>
        </w:rPr>
        <w:t xml:space="preserve"> bubbles in Bitcoin (Cheah</w:t>
      </w:r>
      <w:r w:rsidR="00D64C4D" w:rsidRPr="00EB778E">
        <w:rPr>
          <w:rFonts w:asciiTheme="minorHAnsi" w:hAnsiTheme="minorHAnsi"/>
          <w:color w:val="000000" w:themeColor="text1"/>
        </w:rPr>
        <w:t xml:space="preserve"> and Fry 2015; Corbet et al 2017</w:t>
      </w:r>
      <w:r w:rsidR="00B92A1B" w:rsidRPr="00EB778E">
        <w:rPr>
          <w:rFonts w:asciiTheme="minorHAnsi" w:hAnsiTheme="minorHAnsi"/>
          <w:color w:val="000000" w:themeColor="text1"/>
        </w:rPr>
        <w:t xml:space="preserve">), the </w:t>
      </w:r>
      <w:r w:rsidR="00E762EF" w:rsidRPr="00EB778E">
        <w:rPr>
          <w:rFonts w:asciiTheme="minorHAnsi" w:hAnsiTheme="minorHAnsi"/>
          <w:color w:val="000000" w:themeColor="text1"/>
        </w:rPr>
        <w:t xml:space="preserve">market </w:t>
      </w:r>
      <w:r w:rsidR="00B92A1B" w:rsidRPr="00EB778E">
        <w:rPr>
          <w:rFonts w:asciiTheme="minorHAnsi" w:hAnsiTheme="minorHAnsi"/>
          <w:color w:val="000000" w:themeColor="text1"/>
        </w:rPr>
        <w:t>efficiency of Bitcoin (Urquhart 2016;</w:t>
      </w:r>
      <w:r w:rsidR="009409B8" w:rsidRPr="00EB778E">
        <w:rPr>
          <w:rFonts w:asciiTheme="minorHAnsi" w:hAnsiTheme="minorHAnsi"/>
          <w:color w:val="000000" w:themeColor="text1"/>
        </w:rPr>
        <w:t xml:space="preserve"> Nadarajah</w:t>
      </w:r>
      <w:r w:rsidR="00B92A1B" w:rsidRPr="00EB778E">
        <w:rPr>
          <w:rFonts w:asciiTheme="minorHAnsi" w:hAnsiTheme="minorHAnsi"/>
          <w:color w:val="000000" w:themeColor="text1"/>
        </w:rPr>
        <w:t xml:space="preserve"> and Chu 2017; Tiwari et al 2017</w:t>
      </w:r>
      <w:r w:rsidR="003977B5" w:rsidRPr="00EB778E">
        <w:rPr>
          <w:rFonts w:asciiTheme="minorHAnsi" w:hAnsiTheme="minorHAnsi"/>
          <w:color w:val="000000" w:themeColor="text1"/>
        </w:rPr>
        <w:t>; Khuntia and Pattanayak 2018</w:t>
      </w:r>
      <w:r w:rsidR="00B92A1B" w:rsidRPr="00EB778E">
        <w:rPr>
          <w:rFonts w:asciiTheme="minorHAnsi" w:hAnsiTheme="minorHAnsi"/>
          <w:color w:val="000000" w:themeColor="text1"/>
        </w:rPr>
        <w:t>),</w:t>
      </w:r>
      <w:r w:rsidR="00DE339C" w:rsidRPr="00EB778E">
        <w:rPr>
          <w:rFonts w:asciiTheme="minorHAnsi" w:hAnsiTheme="minorHAnsi"/>
          <w:color w:val="000000" w:themeColor="text1"/>
        </w:rPr>
        <w:t xml:space="preserve"> the hedging and diversification benefits of Bitcoin (Bouri </w:t>
      </w:r>
      <w:r w:rsidR="00D64C4D" w:rsidRPr="00EB778E">
        <w:rPr>
          <w:rFonts w:asciiTheme="minorHAnsi" w:hAnsiTheme="minorHAnsi"/>
          <w:color w:val="000000" w:themeColor="text1"/>
        </w:rPr>
        <w:t>et al 2017a; Corbet et al 2018a), the unique features of cryptocurrencies (Gkillas and Katsiampa 2018; Phillip et al 2018)</w:t>
      </w:r>
      <w:r w:rsidR="003977B5" w:rsidRPr="00EB778E">
        <w:rPr>
          <w:rFonts w:asciiTheme="minorHAnsi" w:hAnsiTheme="minorHAnsi"/>
          <w:color w:val="000000" w:themeColor="text1"/>
        </w:rPr>
        <w:t>, the relationship between transaction activity and Bitcoin returns (Koutmos 2018)</w:t>
      </w:r>
      <w:r w:rsidR="00D64C4D" w:rsidRPr="00EB778E">
        <w:rPr>
          <w:rFonts w:asciiTheme="minorHAnsi" w:hAnsiTheme="minorHAnsi"/>
          <w:color w:val="000000" w:themeColor="text1"/>
        </w:rPr>
        <w:t xml:space="preserve"> a</w:t>
      </w:r>
      <w:r w:rsidR="007E1FFF">
        <w:rPr>
          <w:rFonts w:asciiTheme="minorHAnsi" w:hAnsiTheme="minorHAnsi"/>
          <w:color w:val="000000" w:themeColor="text1"/>
        </w:rPr>
        <w:t>nd</w:t>
      </w:r>
      <w:r w:rsidR="00D64C4D" w:rsidRPr="00EB778E">
        <w:rPr>
          <w:rFonts w:asciiTheme="minorHAnsi" w:hAnsiTheme="minorHAnsi"/>
          <w:color w:val="000000" w:themeColor="text1"/>
        </w:rPr>
        <w:t xml:space="preserve"> price clustering within Bitcoin prices (Urquhart 2017).</w:t>
      </w:r>
      <w:r w:rsidR="00D64C4D" w:rsidRPr="00EB778E">
        <w:rPr>
          <w:rStyle w:val="FootnoteReference"/>
          <w:rFonts w:asciiTheme="minorHAnsi" w:hAnsiTheme="minorHAnsi"/>
          <w:color w:val="000000" w:themeColor="text1"/>
        </w:rPr>
        <w:footnoteReference w:id="1"/>
      </w:r>
      <w:r w:rsidR="00E345A0" w:rsidRPr="00EB778E">
        <w:rPr>
          <w:rFonts w:asciiTheme="minorHAnsi" w:hAnsiTheme="minorHAnsi"/>
          <w:color w:val="000000" w:themeColor="text1"/>
        </w:rPr>
        <w:t xml:space="preserve"> </w:t>
      </w:r>
    </w:p>
    <w:p w14:paraId="54580AF0" w14:textId="77777777" w:rsidR="007E1FFF" w:rsidRDefault="007E1FFF" w:rsidP="000639DE">
      <w:pPr>
        <w:spacing w:line="360" w:lineRule="auto"/>
        <w:jc w:val="both"/>
        <w:rPr>
          <w:rFonts w:asciiTheme="minorHAnsi" w:hAnsiTheme="minorHAnsi"/>
          <w:color w:val="000000" w:themeColor="text1"/>
        </w:rPr>
      </w:pPr>
    </w:p>
    <w:p w14:paraId="4AD3EF0C" w14:textId="37E9DEDC" w:rsidR="001812BB" w:rsidRPr="00EB778E" w:rsidRDefault="00592688" w:rsidP="000639DE">
      <w:pPr>
        <w:spacing w:line="360" w:lineRule="auto"/>
        <w:jc w:val="both"/>
        <w:rPr>
          <w:rFonts w:asciiTheme="minorHAnsi" w:eastAsia="Times New Roman" w:hAnsiTheme="minorHAnsi"/>
          <w:color w:val="000000" w:themeColor="text1"/>
        </w:rPr>
      </w:pPr>
      <w:r w:rsidRPr="00EB778E">
        <w:rPr>
          <w:rFonts w:asciiTheme="minorHAnsi" w:hAnsiTheme="minorHAnsi"/>
          <w:color w:val="000000" w:themeColor="text1"/>
        </w:rPr>
        <w:t>Given</w:t>
      </w:r>
      <w:r w:rsidR="00CF5ED0" w:rsidRPr="00EB778E">
        <w:rPr>
          <w:rFonts w:asciiTheme="minorHAnsi" w:hAnsiTheme="minorHAnsi"/>
          <w:color w:val="000000" w:themeColor="text1"/>
        </w:rPr>
        <w:t xml:space="preserve"> the huge surge of interest by investors in cryptocurrencies, </w:t>
      </w:r>
      <w:r w:rsidR="00D64C4D" w:rsidRPr="00EB778E">
        <w:rPr>
          <w:rFonts w:asciiTheme="minorHAnsi" w:hAnsiTheme="minorHAnsi"/>
          <w:color w:val="000000" w:themeColor="text1"/>
        </w:rPr>
        <w:t>this is the first paper to examine whether forming a portfolio of the four main cryptocurrencies is worthwhile</w:t>
      </w:r>
      <w:r w:rsidR="007E1FFF">
        <w:rPr>
          <w:rFonts w:asciiTheme="minorHAnsi" w:hAnsiTheme="minorHAnsi"/>
          <w:color w:val="000000" w:themeColor="text1"/>
        </w:rPr>
        <w:t>,</w:t>
      </w:r>
      <w:r w:rsidR="00D64C4D" w:rsidRPr="00EB778E">
        <w:rPr>
          <w:rFonts w:asciiTheme="minorHAnsi" w:hAnsiTheme="minorHAnsi"/>
          <w:color w:val="000000" w:themeColor="text1"/>
        </w:rPr>
        <w:t xml:space="preserve"> and whether </w:t>
      </w:r>
      <w:r w:rsidR="009409B8" w:rsidRPr="00EB778E">
        <w:rPr>
          <w:rFonts w:asciiTheme="minorHAnsi" w:hAnsiTheme="minorHAnsi"/>
          <w:color w:val="000000" w:themeColor="text1"/>
        </w:rPr>
        <w:t xml:space="preserve">optimal or </w:t>
      </w:r>
      <w:r w:rsidR="00D64C4D" w:rsidRPr="00EB778E">
        <w:rPr>
          <w:rFonts w:asciiTheme="minorHAnsi" w:hAnsiTheme="minorHAnsi"/>
          <w:color w:val="000000" w:themeColor="text1"/>
        </w:rPr>
        <w:t xml:space="preserve">naïve </w:t>
      </w:r>
      <w:r w:rsidR="009409B8" w:rsidRPr="00EB778E">
        <w:rPr>
          <w:rFonts w:asciiTheme="minorHAnsi" w:hAnsiTheme="minorHAnsi"/>
          <w:color w:val="000000" w:themeColor="text1"/>
        </w:rPr>
        <w:t xml:space="preserve">diversification generates </w:t>
      </w:r>
      <w:r w:rsidR="007E1FFF">
        <w:rPr>
          <w:rFonts w:asciiTheme="minorHAnsi" w:hAnsiTheme="minorHAnsi"/>
          <w:color w:val="000000" w:themeColor="text1"/>
        </w:rPr>
        <w:t>better</w:t>
      </w:r>
      <w:r w:rsidR="009409B8" w:rsidRPr="00EB778E">
        <w:rPr>
          <w:rFonts w:asciiTheme="minorHAnsi" w:hAnsiTheme="minorHAnsi"/>
          <w:color w:val="000000" w:themeColor="text1"/>
        </w:rPr>
        <w:t xml:space="preserve"> performance for investors.  </w:t>
      </w:r>
      <w:r w:rsidR="00FB63E8" w:rsidRPr="00EB778E">
        <w:rPr>
          <w:rFonts w:asciiTheme="minorHAnsi" w:hAnsiTheme="minorHAnsi"/>
          <w:color w:val="000000" w:themeColor="text1"/>
        </w:rPr>
        <w:t xml:space="preserve">Cryptocurrencies have been shown to be held by investors as </w:t>
      </w:r>
      <w:r w:rsidR="002F1743" w:rsidRPr="00EB778E">
        <w:rPr>
          <w:rFonts w:asciiTheme="minorHAnsi" w:hAnsiTheme="minorHAnsi"/>
          <w:color w:val="000000" w:themeColor="text1"/>
        </w:rPr>
        <w:t xml:space="preserve">speculative assets (Baur et al </w:t>
      </w:r>
      <w:r w:rsidR="002F1743" w:rsidRPr="00EB778E">
        <w:rPr>
          <w:rFonts w:asciiTheme="minorHAnsi" w:hAnsiTheme="minorHAnsi"/>
          <w:color w:val="000000" w:themeColor="text1"/>
        </w:rPr>
        <w:lastRenderedPageBreak/>
        <w:t>2018)</w:t>
      </w:r>
      <w:r w:rsidR="007E1FFF">
        <w:rPr>
          <w:rFonts w:asciiTheme="minorHAnsi" w:hAnsiTheme="minorHAnsi"/>
          <w:color w:val="000000" w:themeColor="text1"/>
        </w:rPr>
        <w:t>,</w:t>
      </w:r>
      <w:r w:rsidR="002F1743" w:rsidRPr="00EB778E">
        <w:rPr>
          <w:rFonts w:asciiTheme="minorHAnsi" w:hAnsiTheme="minorHAnsi"/>
          <w:color w:val="000000" w:themeColor="text1"/>
        </w:rPr>
        <w:t xml:space="preserve"> rather than used </w:t>
      </w:r>
      <w:r w:rsidR="007E1FFF">
        <w:rPr>
          <w:rFonts w:asciiTheme="minorHAnsi" w:hAnsiTheme="minorHAnsi"/>
          <w:color w:val="000000" w:themeColor="text1"/>
        </w:rPr>
        <w:t xml:space="preserve">as a </w:t>
      </w:r>
      <w:r w:rsidR="002F1743" w:rsidRPr="00EB778E">
        <w:rPr>
          <w:rFonts w:asciiTheme="minorHAnsi" w:eastAsia="Times New Roman" w:hAnsiTheme="minorHAnsi"/>
          <w:color w:val="000000" w:themeColor="text1"/>
        </w:rPr>
        <w:t>medium of exchange. Therefore</w:t>
      </w:r>
      <w:r w:rsidR="00B54D54">
        <w:rPr>
          <w:rFonts w:asciiTheme="minorHAnsi" w:eastAsia="Times New Roman" w:hAnsiTheme="minorHAnsi"/>
          <w:color w:val="000000" w:themeColor="text1"/>
        </w:rPr>
        <w:t>,</w:t>
      </w:r>
      <w:r w:rsidR="002F1743" w:rsidRPr="00EB778E">
        <w:rPr>
          <w:rFonts w:asciiTheme="minorHAnsi" w:eastAsia="Times New Roman" w:hAnsiTheme="minorHAnsi"/>
          <w:color w:val="000000" w:themeColor="text1"/>
        </w:rPr>
        <w:t xml:space="preserve"> investors </w:t>
      </w:r>
      <w:r w:rsidR="007E1FFF">
        <w:rPr>
          <w:rFonts w:asciiTheme="minorHAnsi" w:eastAsia="Times New Roman" w:hAnsiTheme="minorHAnsi"/>
          <w:color w:val="000000" w:themeColor="text1"/>
        </w:rPr>
        <w:t xml:space="preserve">hold portfolios of </w:t>
      </w:r>
      <w:r w:rsidR="002F1743" w:rsidRPr="00EB778E">
        <w:rPr>
          <w:rFonts w:asciiTheme="minorHAnsi" w:eastAsia="Times New Roman" w:hAnsiTheme="minorHAnsi"/>
          <w:color w:val="000000" w:themeColor="text1"/>
        </w:rPr>
        <w:t>cryptocurrencies</w:t>
      </w:r>
      <w:r w:rsidR="007E1FFF">
        <w:rPr>
          <w:rFonts w:asciiTheme="minorHAnsi" w:eastAsia="Times New Roman" w:hAnsiTheme="minorHAnsi"/>
          <w:color w:val="000000" w:themeColor="text1"/>
        </w:rPr>
        <w:t>,</w:t>
      </w:r>
      <w:r w:rsidR="002F1743" w:rsidRPr="00EB778E">
        <w:rPr>
          <w:rFonts w:asciiTheme="minorHAnsi" w:eastAsia="Times New Roman" w:hAnsiTheme="minorHAnsi"/>
          <w:color w:val="000000" w:themeColor="text1"/>
        </w:rPr>
        <w:t xml:space="preserve"> and we examine whether naïve or optimal diversification produces the best performance for investors.  </w:t>
      </w:r>
      <w:r w:rsidR="009409B8" w:rsidRPr="00EB778E">
        <w:rPr>
          <w:rFonts w:asciiTheme="minorHAnsi" w:hAnsiTheme="minorHAnsi"/>
        </w:rPr>
        <w:t xml:space="preserve">We find </w:t>
      </w:r>
      <w:r w:rsidR="00AD29CF" w:rsidRPr="00EB778E">
        <w:rPr>
          <w:rFonts w:asciiTheme="minorHAnsi" w:hAnsiTheme="minorHAnsi"/>
        </w:rPr>
        <w:t xml:space="preserve">very little difference in terms of expected returns, Sharpe ratio and Omega ratio between </w:t>
      </w:r>
      <w:r w:rsidR="00E762EF" w:rsidRPr="00EB778E">
        <w:rPr>
          <w:rFonts w:asciiTheme="minorHAnsi" w:hAnsiTheme="minorHAnsi"/>
        </w:rPr>
        <w:t>naïve diversification</w:t>
      </w:r>
      <w:r w:rsidR="00F163A2" w:rsidRPr="00EB778E">
        <w:rPr>
          <w:rFonts w:asciiTheme="minorHAnsi" w:hAnsiTheme="minorHAnsi"/>
        </w:rPr>
        <w:t xml:space="preserve"> </w:t>
      </w:r>
      <w:r w:rsidR="00AD29CF" w:rsidRPr="00EB778E">
        <w:rPr>
          <w:rFonts w:asciiTheme="minorHAnsi" w:hAnsiTheme="minorHAnsi"/>
        </w:rPr>
        <w:t>and optimal diversification</w:t>
      </w:r>
      <w:r w:rsidR="00005DCD" w:rsidRPr="00EB778E">
        <w:rPr>
          <w:rFonts w:asciiTheme="minorHAnsi" w:hAnsiTheme="minorHAnsi"/>
        </w:rPr>
        <w:t xml:space="preserve"> indicating that the gain from optimal diversification is more than offset by estimation error, consistent with the findings of DeMiguel et al (2009) for equities.</w:t>
      </w:r>
    </w:p>
    <w:p w14:paraId="0C82243C" w14:textId="0C134115" w:rsidR="007C06E4" w:rsidRPr="00EB778E" w:rsidRDefault="007C06E4" w:rsidP="000639DE">
      <w:pPr>
        <w:spacing w:line="360" w:lineRule="auto"/>
        <w:jc w:val="both"/>
        <w:rPr>
          <w:rFonts w:asciiTheme="minorHAnsi" w:hAnsiTheme="minorHAnsi"/>
        </w:rPr>
      </w:pPr>
    </w:p>
    <w:p w14:paraId="77B4B7DB" w14:textId="3BBF3A85" w:rsidR="007C06E4" w:rsidRPr="00EB778E" w:rsidRDefault="007C06E4" w:rsidP="000639DE">
      <w:pPr>
        <w:pStyle w:val="ListParagraph"/>
        <w:numPr>
          <w:ilvl w:val="0"/>
          <w:numId w:val="1"/>
        </w:numPr>
        <w:spacing w:line="360" w:lineRule="auto"/>
        <w:jc w:val="both"/>
        <w:rPr>
          <w:rFonts w:cs="Times New Roman"/>
          <w:b/>
        </w:rPr>
      </w:pPr>
      <w:r w:rsidRPr="00EB778E">
        <w:rPr>
          <w:rFonts w:cs="Times New Roman"/>
          <w:b/>
        </w:rPr>
        <w:t>Data and Methodology</w:t>
      </w:r>
    </w:p>
    <w:p w14:paraId="12B86340" w14:textId="77777777" w:rsidR="007C06E4" w:rsidRPr="00EB778E" w:rsidRDefault="007C06E4" w:rsidP="000639DE">
      <w:pPr>
        <w:spacing w:line="360" w:lineRule="auto"/>
        <w:jc w:val="both"/>
        <w:rPr>
          <w:rFonts w:asciiTheme="minorHAnsi" w:hAnsiTheme="minorHAnsi"/>
        </w:rPr>
      </w:pPr>
    </w:p>
    <w:p w14:paraId="3B828C00" w14:textId="69E53EB4" w:rsidR="00DF2226" w:rsidRPr="00EB778E" w:rsidRDefault="00822607" w:rsidP="000639DE">
      <w:pPr>
        <w:spacing w:line="360" w:lineRule="auto"/>
        <w:jc w:val="both"/>
        <w:rPr>
          <w:rFonts w:asciiTheme="minorHAnsi" w:hAnsiTheme="minorHAnsi"/>
        </w:rPr>
      </w:pPr>
      <w:r w:rsidRPr="00EB778E">
        <w:rPr>
          <w:rFonts w:asciiTheme="minorHAnsi" w:hAnsiTheme="minorHAnsi"/>
        </w:rPr>
        <w:t>We collect</w:t>
      </w:r>
      <w:r w:rsidR="006E18E4">
        <w:rPr>
          <w:rFonts w:asciiTheme="minorHAnsi" w:hAnsiTheme="minorHAnsi"/>
        </w:rPr>
        <w:t>ed</w:t>
      </w:r>
      <w:r w:rsidRPr="00EB778E">
        <w:rPr>
          <w:rFonts w:asciiTheme="minorHAnsi" w:hAnsiTheme="minorHAnsi"/>
        </w:rPr>
        <w:t xml:space="preserve"> weekly data </w:t>
      </w:r>
      <w:r w:rsidR="00577523" w:rsidRPr="00EB778E">
        <w:rPr>
          <w:rFonts w:asciiTheme="minorHAnsi" w:hAnsiTheme="minorHAnsi"/>
        </w:rPr>
        <w:t xml:space="preserve">on the four most liquid and long-standing cryptocurrencies, namely Bitcoin, Litecoin, Ripple and Dash from </w:t>
      </w:r>
      <w:hyperlink r:id="rId8" w:history="1">
        <w:r w:rsidRPr="00EB778E">
          <w:rPr>
            <w:rStyle w:val="Hyperlink"/>
            <w:rFonts w:asciiTheme="minorHAnsi" w:hAnsiTheme="minorHAnsi"/>
          </w:rPr>
          <w:t>www.coinmarketcap.com</w:t>
        </w:r>
      </w:hyperlink>
      <w:r w:rsidRPr="00EB778E">
        <w:rPr>
          <w:rFonts w:asciiTheme="minorHAnsi" w:hAnsiTheme="minorHAnsi"/>
        </w:rPr>
        <w:t xml:space="preserve"> </w:t>
      </w:r>
      <w:r w:rsidR="00577523" w:rsidRPr="00EB778E">
        <w:rPr>
          <w:rFonts w:asciiTheme="minorHAnsi" w:hAnsiTheme="minorHAnsi"/>
        </w:rPr>
        <w:t>over the period 21</w:t>
      </w:r>
      <w:r w:rsidR="00577523" w:rsidRPr="00EB778E">
        <w:rPr>
          <w:rFonts w:asciiTheme="minorHAnsi" w:hAnsiTheme="minorHAnsi"/>
          <w:vertAlign w:val="superscript"/>
        </w:rPr>
        <w:t>st</w:t>
      </w:r>
      <w:r w:rsidR="00577523" w:rsidRPr="00EB778E">
        <w:rPr>
          <w:rFonts w:asciiTheme="minorHAnsi" w:hAnsiTheme="minorHAnsi"/>
        </w:rPr>
        <w:t xml:space="preserve"> February 2014 to 26</w:t>
      </w:r>
      <w:r w:rsidR="00577523" w:rsidRPr="00EB778E">
        <w:rPr>
          <w:rFonts w:asciiTheme="minorHAnsi" w:hAnsiTheme="minorHAnsi"/>
          <w:vertAlign w:val="superscript"/>
        </w:rPr>
        <w:t>th</w:t>
      </w:r>
      <w:r w:rsidR="00577523" w:rsidRPr="00EB778E">
        <w:rPr>
          <w:rFonts w:asciiTheme="minorHAnsi" w:hAnsiTheme="minorHAnsi"/>
        </w:rPr>
        <w:t xml:space="preserve"> January 2018.</w:t>
      </w:r>
      <w:r w:rsidR="00577523" w:rsidRPr="00EB778E">
        <w:rPr>
          <w:rStyle w:val="FootnoteReference"/>
          <w:rFonts w:asciiTheme="minorHAnsi" w:hAnsiTheme="minorHAnsi"/>
        </w:rPr>
        <w:footnoteReference w:id="2"/>
      </w:r>
      <w:r w:rsidR="00577523" w:rsidRPr="00EB778E">
        <w:rPr>
          <w:rFonts w:asciiTheme="minorHAnsi" w:hAnsiTheme="minorHAnsi"/>
        </w:rPr>
        <w:t xml:space="preserve"> We also collect</w:t>
      </w:r>
      <w:r w:rsidR="006E18E4">
        <w:rPr>
          <w:rFonts w:asciiTheme="minorHAnsi" w:hAnsiTheme="minorHAnsi"/>
        </w:rPr>
        <w:t>ed</w:t>
      </w:r>
      <w:r w:rsidR="00577523" w:rsidRPr="00EB778E">
        <w:rPr>
          <w:rFonts w:asciiTheme="minorHAnsi" w:hAnsiTheme="minorHAnsi"/>
        </w:rPr>
        <w:t xml:space="preserve"> the risk-free rate the Kenneth French database.</w:t>
      </w:r>
      <w:r w:rsidR="00577523" w:rsidRPr="00EB778E">
        <w:rPr>
          <w:rStyle w:val="FootnoteReference"/>
          <w:rFonts w:asciiTheme="minorHAnsi" w:hAnsiTheme="minorHAnsi"/>
        </w:rPr>
        <w:footnoteReference w:id="3"/>
      </w:r>
      <w:r w:rsidR="00577523" w:rsidRPr="00EB778E">
        <w:rPr>
          <w:rFonts w:asciiTheme="minorHAnsi" w:hAnsiTheme="minorHAnsi"/>
        </w:rPr>
        <w:t xml:space="preserve"> </w:t>
      </w:r>
      <w:r w:rsidR="00C110BA">
        <w:rPr>
          <w:rFonts w:asciiTheme="minorHAnsi" w:hAnsiTheme="minorHAnsi"/>
        </w:rPr>
        <w:t>D</w:t>
      </w:r>
      <w:r w:rsidR="00577576" w:rsidRPr="00EB778E">
        <w:rPr>
          <w:rFonts w:asciiTheme="minorHAnsi" w:hAnsiTheme="minorHAnsi"/>
        </w:rPr>
        <w:t xml:space="preserve">escriptive statistics of the </w:t>
      </w:r>
      <w:r w:rsidR="00DF2226" w:rsidRPr="00EB778E">
        <w:rPr>
          <w:rFonts w:asciiTheme="minorHAnsi" w:hAnsiTheme="minorHAnsi"/>
        </w:rPr>
        <w:t xml:space="preserve">simple returns </w:t>
      </w:r>
      <w:r w:rsidR="00C110BA">
        <w:rPr>
          <w:rFonts w:asciiTheme="minorHAnsi" w:hAnsiTheme="minorHAnsi"/>
        </w:rPr>
        <w:t xml:space="preserve">on the four </w:t>
      </w:r>
      <w:r w:rsidR="00577576" w:rsidRPr="00EB778E">
        <w:rPr>
          <w:rFonts w:asciiTheme="minorHAnsi" w:hAnsiTheme="minorHAnsi"/>
        </w:rPr>
        <w:t xml:space="preserve">cryptocurrencies </w:t>
      </w:r>
      <w:r w:rsidR="00C110BA">
        <w:rPr>
          <w:rFonts w:asciiTheme="minorHAnsi" w:hAnsiTheme="minorHAnsi"/>
        </w:rPr>
        <w:t>i</w:t>
      </w:r>
      <w:r w:rsidR="00577576" w:rsidRPr="00EB778E">
        <w:rPr>
          <w:rFonts w:asciiTheme="minorHAnsi" w:hAnsiTheme="minorHAnsi"/>
        </w:rPr>
        <w:t>n this study are reported in Table 1.</w:t>
      </w:r>
      <w:r w:rsidR="00DF2226" w:rsidRPr="00EB778E">
        <w:rPr>
          <w:rFonts w:asciiTheme="minorHAnsi" w:hAnsiTheme="minorHAnsi"/>
        </w:rPr>
        <w:t xml:space="preserve">  Dash has the highest mean return and standard deviation, while Bitcoin has the smallest mean return and standard deviation.  Bitcoin has slight positive skewness and a normal distribution (according to the kurtosis)</w:t>
      </w:r>
      <w:r w:rsidR="00C110BA">
        <w:rPr>
          <w:rFonts w:asciiTheme="minorHAnsi" w:hAnsiTheme="minorHAnsi"/>
        </w:rPr>
        <w:t>,</w:t>
      </w:r>
      <w:r w:rsidR="00DF2226" w:rsidRPr="00EB778E">
        <w:rPr>
          <w:rFonts w:asciiTheme="minorHAnsi" w:hAnsiTheme="minorHAnsi"/>
        </w:rPr>
        <w:t xml:space="preserve"> while the other cryptocurrencies exhibit strong positive skewness and excess kurtosis, indicating a leptokurtic distribution.</w:t>
      </w:r>
      <w:r w:rsidR="00FB63E8" w:rsidRPr="00EB778E">
        <w:rPr>
          <w:rFonts w:asciiTheme="minorHAnsi" w:hAnsiTheme="minorHAnsi"/>
        </w:rPr>
        <w:t xml:space="preserve"> Panel B of Table 1 reports the correlation matrix between the cryptocurrencies</w:t>
      </w:r>
      <w:r w:rsidR="00E13B15">
        <w:rPr>
          <w:rFonts w:asciiTheme="minorHAnsi" w:hAnsiTheme="minorHAnsi"/>
        </w:rPr>
        <w:t>.</w:t>
      </w:r>
      <w:r w:rsidR="00FB63E8" w:rsidRPr="00EB778E">
        <w:rPr>
          <w:rFonts w:asciiTheme="minorHAnsi" w:hAnsiTheme="minorHAnsi"/>
        </w:rPr>
        <w:t xml:space="preserve"> </w:t>
      </w:r>
      <w:r w:rsidR="00E13B15">
        <w:rPr>
          <w:rFonts w:asciiTheme="minorHAnsi" w:hAnsiTheme="minorHAnsi"/>
        </w:rPr>
        <w:t>W</w:t>
      </w:r>
      <w:r w:rsidR="00FB63E8" w:rsidRPr="00EB778E">
        <w:rPr>
          <w:rFonts w:asciiTheme="minorHAnsi" w:hAnsiTheme="minorHAnsi"/>
        </w:rPr>
        <w:t>e find that most pairs are positively correlated, with a correlation coefficient between 0.</w:t>
      </w:r>
      <w:r w:rsidR="00E13B15">
        <w:rPr>
          <w:rFonts w:asciiTheme="minorHAnsi" w:hAnsiTheme="minorHAnsi"/>
        </w:rPr>
        <w:t>1125 and</w:t>
      </w:r>
      <w:r w:rsidR="00FB63E8" w:rsidRPr="00EB778E">
        <w:rPr>
          <w:rFonts w:asciiTheme="minorHAnsi" w:hAnsiTheme="minorHAnsi"/>
        </w:rPr>
        <w:t xml:space="preserve"> 0.547</w:t>
      </w:r>
      <w:r w:rsidR="00E13B15">
        <w:rPr>
          <w:rFonts w:asciiTheme="minorHAnsi" w:hAnsiTheme="minorHAnsi"/>
        </w:rPr>
        <w:t xml:space="preserve">3, while </w:t>
      </w:r>
      <w:r w:rsidR="00FB63E8" w:rsidRPr="00EB778E">
        <w:rPr>
          <w:rFonts w:asciiTheme="minorHAnsi" w:hAnsiTheme="minorHAnsi"/>
        </w:rPr>
        <w:t xml:space="preserve">Ripple and Dash have a negative correlation of -0.0001. Therefore, </w:t>
      </w:r>
      <w:r w:rsidR="00E13B15">
        <w:rPr>
          <w:rFonts w:asciiTheme="minorHAnsi" w:hAnsiTheme="minorHAnsi"/>
        </w:rPr>
        <w:t xml:space="preserve">since </w:t>
      </w:r>
      <w:r w:rsidR="00FB63E8" w:rsidRPr="00EB778E">
        <w:rPr>
          <w:rFonts w:asciiTheme="minorHAnsi" w:hAnsiTheme="minorHAnsi"/>
        </w:rPr>
        <w:t xml:space="preserve">the correlation between these cryptocurrencies is not highly positive, it is plausible that investing in a </w:t>
      </w:r>
      <w:r w:rsidR="00E13B15">
        <w:rPr>
          <w:rFonts w:asciiTheme="minorHAnsi" w:hAnsiTheme="minorHAnsi"/>
        </w:rPr>
        <w:t xml:space="preserve">portfolio of </w:t>
      </w:r>
      <w:r w:rsidR="00FB63E8" w:rsidRPr="00EB778E">
        <w:rPr>
          <w:rFonts w:asciiTheme="minorHAnsi" w:hAnsiTheme="minorHAnsi"/>
        </w:rPr>
        <w:t>cryptocurrenc</w:t>
      </w:r>
      <w:r w:rsidR="00E13B15">
        <w:rPr>
          <w:rFonts w:asciiTheme="minorHAnsi" w:hAnsiTheme="minorHAnsi"/>
        </w:rPr>
        <w:t>ies</w:t>
      </w:r>
      <w:r w:rsidR="00FB63E8" w:rsidRPr="00EB778E">
        <w:rPr>
          <w:rFonts w:asciiTheme="minorHAnsi" w:hAnsiTheme="minorHAnsi"/>
        </w:rPr>
        <w:t xml:space="preserve"> </w:t>
      </w:r>
      <w:r w:rsidR="00C85C4F">
        <w:rPr>
          <w:rFonts w:asciiTheme="minorHAnsi" w:hAnsiTheme="minorHAnsi"/>
        </w:rPr>
        <w:t>provides</w:t>
      </w:r>
      <w:r w:rsidR="00E13B15">
        <w:rPr>
          <w:rFonts w:asciiTheme="minorHAnsi" w:hAnsiTheme="minorHAnsi"/>
        </w:rPr>
        <w:t xml:space="preserve"> meaningful diversification benefits.</w:t>
      </w:r>
    </w:p>
    <w:p w14:paraId="664B2A5E" w14:textId="77777777" w:rsidR="00DF2226" w:rsidRPr="00EB778E" w:rsidRDefault="00DF2226" w:rsidP="000639DE">
      <w:pPr>
        <w:spacing w:line="360" w:lineRule="auto"/>
        <w:jc w:val="both"/>
        <w:rPr>
          <w:rFonts w:asciiTheme="minorHAnsi" w:hAnsiTheme="minorHAnsi"/>
        </w:rPr>
      </w:pPr>
    </w:p>
    <w:p w14:paraId="526F88B1" w14:textId="4AA7B029" w:rsidR="00AD29CF" w:rsidRPr="00EB778E" w:rsidRDefault="008E5D38" w:rsidP="000639DE">
      <w:pPr>
        <w:pStyle w:val="ListParagraph"/>
        <w:spacing w:line="360" w:lineRule="auto"/>
        <w:ind w:left="0"/>
        <w:jc w:val="both"/>
        <w:rPr>
          <w:rFonts w:cs="Times New Roman"/>
          <w:i/>
        </w:rPr>
      </w:pPr>
      <w:r>
        <w:rPr>
          <w:rFonts w:cs="Times New Roman"/>
          <w:i/>
        </w:rPr>
        <w:t xml:space="preserve">2A. </w:t>
      </w:r>
      <w:r w:rsidR="00AD29CF" w:rsidRPr="00EB778E">
        <w:rPr>
          <w:rFonts w:cs="Times New Roman"/>
          <w:i/>
        </w:rPr>
        <w:t>Mean-Variance Portfolio Optimization (Optimal Diversification)</w:t>
      </w:r>
    </w:p>
    <w:p w14:paraId="1BDBC765" w14:textId="77777777" w:rsidR="00AD29CF" w:rsidRPr="00EB778E" w:rsidRDefault="00AD29CF" w:rsidP="000639DE">
      <w:pPr>
        <w:spacing w:line="360" w:lineRule="auto"/>
        <w:jc w:val="both"/>
        <w:rPr>
          <w:rFonts w:asciiTheme="minorHAnsi" w:eastAsia="Times New Roman" w:hAnsiTheme="minorHAnsi"/>
          <w:lang w:eastAsia="el-GR"/>
        </w:rPr>
      </w:pPr>
    </w:p>
    <w:p w14:paraId="3043223C" w14:textId="5AE811D3" w:rsidR="00AD29CF" w:rsidRPr="00EB778E" w:rsidRDefault="00AD29CF" w:rsidP="000639DE">
      <w:pPr>
        <w:spacing w:line="360" w:lineRule="auto"/>
        <w:jc w:val="both"/>
        <w:rPr>
          <w:rFonts w:asciiTheme="minorHAnsi" w:eastAsia="Times New Roman" w:hAnsiTheme="minorHAnsi"/>
          <w:lang w:val="en-US" w:eastAsia="el-GR"/>
        </w:rPr>
      </w:pPr>
      <w:r w:rsidRPr="00EB778E">
        <w:rPr>
          <w:rFonts w:asciiTheme="minorHAnsi" w:eastAsia="Times New Roman" w:hAnsiTheme="minorHAnsi"/>
          <w:lang w:val="en-US" w:eastAsia="el-GR"/>
        </w:rPr>
        <w:t xml:space="preserve">Investors optimize the trade-off between the mean and variance of returns in the mean-variance portfolio optimization model of Markowitz (1952). </w:t>
      </w:r>
      <w:r w:rsidR="008E5D38">
        <w:rPr>
          <w:rFonts w:asciiTheme="minorHAnsi" w:eastAsia="Times New Roman" w:hAnsiTheme="minorHAnsi"/>
          <w:lang w:val="en-US" w:eastAsia="el-GR"/>
        </w:rPr>
        <w:t>W</w:t>
      </w:r>
      <w:r w:rsidRPr="00EB778E">
        <w:rPr>
          <w:rFonts w:asciiTheme="minorHAnsi" w:eastAsia="Times New Roman" w:hAnsiTheme="minorHAnsi"/>
          <w:lang w:val="en-US" w:eastAsia="el-GR"/>
        </w:rPr>
        <w:t xml:space="preserve">e estimate the vector of portfolio weights (decision variables), denoted by </w:t>
      </w:r>
      <w:r w:rsidR="00405C32" w:rsidRPr="00405C32">
        <w:rPr>
          <w:rFonts w:asciiTheme="minorHAnsi" w:eastAsia="Times New Roman" w:hAnsiTheme="minorHAnsi"/>
          <w:noProof/>
          <w:position w:val="-4"/>
          <w:lang w:val="en-US" w:eastAsia="el-GR"/>
        </w:rPr>
        <w:object w:dxaOrig="200" w:dyaOrig="200" w14:anchorId="3112F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0.4pt;height:10.4pt;mso-width-percent:0;mso-height-percent:0;mso-width-percent:0;mso-height-percent:0" o:ole="">
            <v:imagedata r:id="rId9" o:title=""/>
          </v:shape>
          <o:OLEObject Type="Embed" ProgID="Equation.DSMT4" ShapeID="_x0000_i1039" DrawAspect="Content" ObjectID="_1592317559" r:id="rId10"/>
        </w:object>
      </w:r>
      <w:r w:rsidRPr="00EB778E">
        <w:rPr>
          <w:rFonts w:asciiTheme="minorHAnsi" w:eastAsia="Times New Roman" w:hAnsiTheme="minorHAnsi"/>
          <w:lang w:val="en-US" w:eastAsia="el-GR"/>
        </w:rPr>
        <w:t xml:space="preserve">, by maximizing the following quadratic utility function with respect to the vector of asset weights </w:t>
      </w:r>
      <w:r w:rsidR="00405C32" w:rsidRPr="00405C32">
        <w:rPr>
          <w:rFonts w:asciiTheme="minorHAnsi" w:eastAsia="Times New Roman" w:hAnsiTheme="minorHAnsi"/>
          <w:noProof/>
          <w:position w:val="-14"/>
          <w:lang w:val="en-US" w:eastAsia="el-GR"/>
        </w:rPr>
        <w:object w:dxaOrig="380" w:dyaOrig="400" w14:anchorId="3F72D727">
          <v:shape id="_x0000_i1038" type="#_x0000_t75" alt="" style="width:18.95pt;height:18.95pt;mso-width-percent:0;mso-height-percent:0;mso-width-percent:0;mso-height-percent:0" o:ole="">
            <v:imagedata r:id="rId11" o:title=""/>
          </v:shape>
          <o:OLEObject Type="Embed" ProgID="Equation.DSMT4" ShapeID="_x0000_i1038" DrawAspect="Content" ObjectID="_1592317560" r:id="rId12"/>
        </w:object>
      </w:r>
      <w:r w:rsidRPr="00EB778E">
        <w:rPr>
          <w:rFonts w:asciiTheme="minorHAnsi" w:eastAsia="Times New Roman" w:hAnsiTheme="minorHAnsi"/>
          <w:lang w:val="en-US" w:eastAsia="el-GR"/>
        </w:rPr>
        <w:t xml:space="preserve">:- </w:t>
      </w:r>
    </w:p>
    <w:p w14:paraId="1A852247" w14:textId="020ADA4F" w:rsidR="00AD29CF" w:rsidRPr="00EB778E" w:rsidRDefault="00DB7F7C" w:rsidP="000639DE">
      <w:pPr>
        <w:spacing w:line="360" w:lineRule="auto"/>
        <w:jc w:val="center"/>
        <w:rPr>
          <w:rFonts w:asciiTheme="minorHAnsi" w:eastAsia="Times New Roman" w:hAnsiTheme="minorHAnsi"/>
          <w:lang w:val="en-US" w:eastAsia="el-GR"/>
        </w:rPr>
      </w:pPr>
      <w:r w:rsidRPr="00EB778E">
        <w:rPr>
          <w:rFonts w:asciiTheme="minorHAnsi" w:eastAsia="Times New Roman" w:hAnsiTheme="minorHAnsi"/>
          <w:lang w:val="en-US" w:eastAsia="el-GR"/>
        </w:rPr>
        <w:lastRenderedPageBreak/>
        <w:t xml:space="preserve">                                                        </w:t>
      </w:r>
      <w:r w:rsidR="00EB778E">
        <w:rPr>
          <w:rFonts w:asciiTheme="minorHAnsi" w:eastAsia="Times New Roman" w:hAnsiTheme="minorHAnsi"/>
          <w:lang w:val="en-US" w:eastAsia="el-GR"/>
        </w:rPr>
        <w:t xml:space="preserve">         </w:t>
      </w:r>
      <w:r w:rsidRPr="00EB778E">
        <w:rPr>
          <w:rFonts w:asciiTheme="minorHAnsi" w:eastAsia="Times New Roman" w:hAnsiTheme="minorHAnsi"/>
          <w:lang w:val="en-US" w:eastAsia="el-GR"/>
        </w:rPr>
        <w:t xml:space="preserve">   </w:t>
      </w:r>
      <w:r w:rsidR="00405C32" w:rsidRPr="00405C32">
        <w:rPr>
          <w:rFonts w:asciiTheme="minorHAnsi" w:eastAsia="Times New Roman" w:hAnsiTheme="minorHAnsi"/>
          <w:noProof/>
          <w:position w:val="-24"/>
          <w:lang w:val="en-US" w:eastAsia="el-GR"/>
        </w:rPr>
        <w:object w:dxaOrig="1740" w:dyaOrig="620" w14:anchorId="33B4C584">
          <v:shape id="_x0000_i1037" type="#_x0000_t75" alt="" style="width:88.1pt;height:31.25pt;mso-width-percent:0;mso-height-percent:0;mso-width-percent:0;mso-height-percent:0" o:ole="">
            <v:imagedata r:id="rId13" o:title=""/>
          </v:shape>
          <o:OLEObject Type="Embed" ProgID="Equation.DSMT4" ShapeID="_x0000_i1037" DrawAspect="Content" ObjectID="_1592317561" r:id="rId14"/>
        </w:object>
      </w:r>
      <w:r w:rsidRPr="00EB778E">
        <w:rPr>
          <w:rFonts w:asciiTheme="minorHAnsi" w:eastAsia="Times New Roman" w:hAnsiTheme="minorHAnsi"/>
          <w:lang w:val="en-US" w:eastAsia="el-GR"/>
        </w:rPr>
        <w:t xml:space="preserve">             </w:t>
      </w:r>
      <w:r w:rsidR="00AD29CF" w:rsidRPr="00EB778E">
        <w:rPr>
          <w:rFonts w:asciiTheme="minorHAnsi" w:eastAsia="Times New Roman" w:hAnsiTheme="minorHAnsi"/>
          <w:lang w:val="en-US" w:eastAsia="el-GR"/>
        </w:rPr>
        <w:t xml:space="preserve">   </w:t>
      </w:r>
      <w:r w:rsidRPr="00EB778E">
        <w:rPr>
          <w:rFonts w:asciiTheme="minorHAnsi" w:eastAsia="Times New Roman" w:hAnsiTheme="minorHAnsi"/>
          <w:lang w:val="en-US" w:eastAsia="el-GR"/>
        </w:rPr>
        <w:t xml:space="preserve">               </w:t>
      </w:r>
      <w:r w:rsidR="00EB778E">
        <w:rPr>
          <w:rFonts w:asciiTheme="minorHAnsi" w:eastAsia="Times New Roman" w:hAnsiTheme="minorHAnsi"/>
          <w:lang w:val="en-US" w:eastAsia="el-GR"/>
        </w:rPr>
        <w:t xml:space="preserve">   </w:t>
      </w:r>
      <w:r w:rsidRPr="00EB778E">
        <w:rPr>
          <w:rFonts w:asciiTheme="minorHAnsi" w:eastAsia="Times New Roman" w:hAnsiTheme="minorHAnsi"/>
          <w:lang w:val="en-US" w:eastAsia="el-GR"/>
        </w:rPr>
        <w:t xml:space="preserve">     </w:t>
      </w:r>
      <w:r w:rsidR="00AD29CF" w:rsidRPr="00EB778E">
        <w:rPr>
          <w:rFonts w:asciiTheme="minorHAnsi" w:eastAsia="Times New Roman" w:hAnsiTheme="minorHAnsi"/>
          <w:lang w:val="en-US" w:eastAsia="el-GR"/>
        </w:rPr>
        <w:t xml:space="preserve">                     (1)</w:t>
      </w:r>
    </w:p>
    <w:p w14:paraId="0080C667" w14:textId="77777777" w:rsidR="00AD29CF" w:rsidRPr="00EB778E" w:rsidRDefault="00AD29CF" w:rsidP="000639DE">
      <w:pPr>
        <w:spacing w:line="360" w:lineRule="auto"/>
        <w:jc w:val="both"/>
        <w:rPr>
          <w:rFonts w:asciiTheme="minorHAnsi" w:eastAsia="Times New Roman" w:hAnsiTheme="minorHAnsi"/>
          <w:lang w:val="en-US" w:eastAsia="el-GR"/>
        </w:rPr>
      </w:pPr>
    </w:p>
    <w:p w14:paraId="67481144" w14:textId="1400BD79" w:rsidR="00AD29CF" w:rsidRPr="00EB778E" w:rsidRDefault="00AD29CF" w:rsidP="000639DE">
      <w:pPr>
        <w:spacing w:line="360" w:lineRule="auto"/>
        <w:jc w:val="both"/>
        <w:rPr>
          <w:rFonts w:asciiTheme="minorHAnsi" w:eastAsia="Times New Roman" w:hAnsiTheme="minorHAnsi"/>
          <w:lang w:val="en-US" w:eastAsia="el-GR"/>
        </w:rPr>
      </w:pPr>
      <w:r w:rsidRPr="00EB778E">
        <w:rPr>
          <w:rFonts w:asciiTheme="minorHAnsi" w:eastAsia="Times New Roman" w:hAnsiTheme="minorHAnsi"/>
          <w:lang w:val="en-US" w:eastAsia="el-GR"/>
        </w:rPr>
        <w:t xml:space="preserve">We use sample (historical) estimates for the mean </w:t>
      </w:r>
      <w:r w:rsidR="00405C32" w:rsidRPr="00405C32">
        <w:rPr>
          <w:rFonts w:asciiTheme="minorHAnsi" w:eastAsia="Times New Roman" w:hAnsiTheme="minorHAnsi"/>
          <w:noProof/>
          <w:position w:val="-14"/>
          <w:lang w:val="en-US" w:eastAsia="el-GR"/>
        </w:rPr>
        <w:object w:dxaOrig="400" w:dyaOrig="400" w14:anchorId="390A2455">
          <v:shape id="_x0000_i1036" type="#_x0000_t75" alt="" style="width:20.85pt;height:20.85pt;mso-width-percent:0;mso-height-percent:0;mso-width-percent:0;mso-height-percent:0" o:ole="">
            <v:imagedata r:id="rId15" o:title=""/>
          </v:shape>
          <o:OLEObject Type="Embed" ProgID="Equation.DSMT4" ShapeID="_x0000_i1036" DrawAspect="Content" ObjectID="_1592317562" r:id="rId16"/>
        </w:object>
      </w:r>
      <w:r w:rsidRPr="00EB778E">
        <w:rPr>
          <w:rFonts w:asciiTheme="minorHAnsi" w:eastAsia="Times New Roman" w:hAnsiTheme="minorHAnsi"/>
          <w:lang w:val="en-US" w:eastAsia="el-GR"/>
        </w:rPr>
        <w:t xml:space="preserve"> and covariance matrix </w:t>
      </w:r>
      <w:r w:rsidR="00405C32" w:rsidRPr="00405C32">
        <w:rPr>
          <w:rFonts w:asciiTheme="minorHAnsi" w:eastAsia="Times New Roman" w:hAnsiTheme="minorHAnsi"/>
          <w:noProof/>
          <w:position w:val="-14"/>
          <w:lang w:val="en-US" w:eastAsia="el-GR"/>
        </w:rPr>
        <w:object w:dxaOrig="400" w:dyaOrig="400" w14:anchorId="5520A060">
          <v:shape id="_x0000_i1035" type="#_x0000_t75" alt="" style="width:20.85pt;height:20.85pt;mso-width-percent:0;mso-height-percent:0;mso-width-percent:0;mso-height-percent:0" o:ole="">
            <v:imagedata r:id="rId17" o:title=""/>
          </v:shape>
          <o:OLEObject Type="Embed" ProgID="Equation.DSMT4" ShapeID="_x0000_i1035" DrawAspect="Content" ObjectID="_1592317563" r:id="rId18"/>
        </w:object>
      </w:r>
      <w:r w:rsidRPr="00EB778E">
        <w:rPr>
          <w:rFonts w:asciiTheme="minorHAnsi" w:eastAsia="Times New Roman" w:hAnsiTheme="minorHAnsi"/>
          <w:lang w:val="en-US" w:eastAsia="el-GR"/>
        </w:rPr>
        <w:t xml:space="preserve">, while the parameter </w:t>
      </w:r>
      <w:r w:rsidRPr="00EB778E">
        <w:rPr>
          <w:rFonts w:asciiTheme="minorHAnsi" w:eastAsia="Times New Roman" w:hAnsiTheme="minorHAnsi"/>
          <w:lang w:val="el-GR" w:eastAsia="el-GR"/>
        </w:rPr>
        <w:t>λ</w:t>
      </w:r>
      <w:r w:rsidRPr="00EB778E">
        <w:rPr>
          <w:rFonts w:asciiTheme="minorHAnsi" w:eastAsia="Times New Roman" w:hAnsiTheme="minorHAnsi"/>
          <w:lang w:val="en-US" w:eastAsia="el-GR"/>
        </w:rPr>
        <w:t xml:space="preserve"> denotes the investor’s risk aversion. We additionally impose non-short selling constraints</w:t>
      </w:r>
      <w:r w:rsidR="00B904FB">
        <w:rPr>
          <w:rFonts w:asciiTheme="minorHAnsi" w:eastAsia="Times New Roman" w:hAnsiTheme="minorHAnsi"/>
          <w:lang w:val="en-US" w:eastAsia="el-GR"/>
        </w:rPr>
        <w:t>,</w:t>
      </w:r>
      <w:r w:rsidRPr="00EB778E">
        <w:rPr>
          <w:rFonts w:asciiTheme="minorHAnsi" w:eastAsia="Times New Roman" w:hAnsiTheme="minorHAnsi"/>
          <w:lang w:val="en-US" w:eastAsia="el-GR"/>
        </w:rPr>
        <w:t xml:space="preserve"> as well as normalization of </w:t>
      </w:r>
      <w:r w:rsidR="00B904FB">
        <w:rPr>
          <w:rFonts w:asciiTheme="minorHAnsi" w:eastAsia="Times New Roman" w:hAnsiTheme="minorHAnsi"/>
          <w:lang w:val="en-US" w:eastAsia="el-GR"/>
        </w:rPr>
        <w:t xml:space="preserve">the </w:t>
      </w:r>
      <w:r w:rsidRPr="00EB778E">
        <w:rPr>
          <w:rFonts w:asciiTheme="minorHAnsi" w:eastAsia="Times New Roman" w:hAnsiTheme="minorHAnsi"/>
          <w:lang w:val="en-US" w:eastAsia="el-GR"/>
        </w:rPr>
        <w:t>portfolio weights. Hence, the optimization problem for the mean-variance diversification can be described as follows:</w:t>
      </w:r>
    </w:p>
    <w:p w14:paraId="5D1DFE97" w14:textId="46171844" w:rsidR="00AD29CF" w:rsidRPr="00EB778E" w:rsidRDefault="00405C32" w:rsidP="000639DE">
      <w:pPr>
        <w:spacing w:line="360" w:lineRule="auto"/>
        <w:jc w:val="right"/>
        <w:rPr>
          <w:rFonts w:asciiTheme="minorHAnsi" w:eastAsia="Times New Roman" w:hAnsiTheme="minorHAnsi"/>
          <w:lang w:val="en-US" w:eastAsia="el-GR"/>
        </w:rPr>
      </w:pPr>
      <w:r w:rsidRPr="00405C32">
        <w:rPr>
          <w:rFonts w:asciiTheme="minorHAnsi" w:eastAsia="Times New Roman" w:hAnsiTheme="minorHAnsi"/>
          <w:noProof/>
          <w:position w:val="-82"/>
          <w:lang w:val="en-US" w:eastAsia="el-GR"/>
        </w:rPr>
        <w:object w:dxaOrig="2040" w:dyaOrig="1760" w14:anchorId="5FB5785C">
          <v:shape id="_x0000_i1034" type="#_x0000_t75" alt="" style="width:102.3pt;height:89.05pt;mso-width-percent:0;mso-height-percent:0;mso-width-percent:0;mso-height-percent:0" o:ole="">
            <v:imagedata r:id="rId19" o:title=""/>
          </v:shape>
          <o:OLEObject Type="Embed" ProgID="Equation.DSMT4" ShapeID="_x0000_i1034" DrawAspect="Content" ObjectID="_1592317564" r:id="rId20"/>
        </w:object>
      </w:r>
      <w:r w:rsidR="00DB7F7C" w:rsidRPr="00EB778E">
        <w:rPr>
          <w:rFonts w:asciiTheme="minorHAnsi" w:eastAsia="Times New Roman" w:hAnsiTheme="minorHAnsi"/>
          <w:lang w:val="en-US" w:eastAsia="el-GR"/>
        </w:rPr>
        <w:t xml:space="preserve">                                </w:t>
      </w:r>
      <w:r w:rsidR="00EB778E">
        <w:rPr>
          <w:rFonts w:asciiTheme="minorHAnsi" w:eastAsia="Times New Roman" w:hAnsiTheme="minorHAnsi"/>
          <w:lang w:val="en-US" w:eastAsia="el-GR"/>
        </w:rPr>
        <w:t xml:space="preserve">      </w:t>
      </w:r>
      <w:r w:rsidR="00DB7F7C" w:rsidRPr="00EB778E">
        <w:rPr>
          <w:rFonts w:asciiTheme="minorHAnsi" w:eastAsia="Times New Roman" w:hAnsiTheme="minorHAnsi"/>
          <w:lang w:val="en-US" w:eastAsia="el-GR"/>
        </w:rPr>
        <w:t xml:space="preserve">      </w:t>
      </w:r>
      <w:r w:rsidR="00AD29CF" w:rsidRPr="00EB778E">
        <w:rPr>
          <w:rFonts w:asciiTheme="minorHAnsi" w:eastAsia="Times New Roman" w:hAnsiTheme="minorHAnsi"/>
          <w:lang w:val="en-US" w:eastAsia="el-GR"/>
        </w:rPr>
        <w:t xml:space="preserve">              (2)</w:t>
      </w:r>
    </w:p>
    <w:p w14:paraId="36589E73" w14:textId="6A177B8B" w:rsidR="00CC6039" w:rsidRPr="00EB778E" w:rsidRDefault="00CC6039" w:rsidP="000639DE">
      <w:pPr>
        <w:spacing w:line="360" w:lineRule="auto"/>
        <w:jc w:val="both"/>
        <w:rPr>
          <w:rFonts w:asciiTheme="minorHAnsi" w:eastAsia="Times New Roman" w:hAnsiTheme="minorHAnsi"/>
          <w:lang w:val="en-US" w:eastAsia="el-GR"/>
        </w:rPr>
      </w:pPr>
    </w:p>
    <w:p w14:paraId="6ABD0290" w14:textId="44255105" w:rsidR="00AD29CF" w:rsidRPr="00EB778E" w:rsidRDefault="003F41F1" w:rsidP="000639DE">
      <w:pPr>
        <w:spacing w:line="360" w:lineRule="auto"/>
        <w:jc w:val="both"/>
        <w:rPr>
          <w:rFonts w:asciiTheme="minorHAnsi" w:eastAsia="Times New Roman" w:hAnsiTheme="minorHAnsi"/>
          <w:i/>
          <w:lang w:val="en-US" w:eastAsia="el-GR"/>
        </w:rPr>
      </w:pPr>
      <w:r>
        <w:rPr>
          <w:rFonts w:asciiTheme="minorHAnsi" w:eastAsia="Times New Roman" w:hAnsiTheme="minorHAnsi"/>
          <w:i/>
          <w:lang w:val="en-US" w:eastAsia="el-GR"/>
        </w:rPr>
        <w:t xml:space="preserve">2B. </w:t>
      </w:r>
      <w:r w:rsidR="00AD29CF" w:rsidRPr="00EB778E">
        <w:rPr>
          <w:rFonts w:asciiTheme="minorHAnsi" w:eastAsia="Times New Roman" w:hAnsiTheme="minorHAnsi"/>
          <w:i/>
          <w:lang w:val="en-US" w:eastAsia="el-GR"/>
        </w:rPr>
        <w:t>Equally Weighted Portfolio (Naïve Diversification)</w:t>
      </w:r>
    </w:p>
    <w:p w14:paraId="701836D6" w14:textId="77777777" w:rsidR="00AD29CF" w:rsidRPr="00EB778E" w:rsidRDefault="00AD29CF" w:rsidP="000639DE">
      <w:pPr>
        <w:spacing w:line="360" w:lineRule="auto"/>
        <w:jc w:val="both"/>
        <w:rPr>
          <w:rFonts w:asciiTheme="minorHAnsi" w:eastAsia="Times New Roman" w:hAnsiTheme="minorHAnsi"/>
          <w:lang w:val="en-US" w:eastAsia="el-GR"/>
        </w:rPr>
      </w:pPr>
    </w:p>
    <w:p w14:paraId="6BFCA3F4" w14:textId="7B717B0F" w:rsidR="00AD29CF" w:rsidRPr="00EB778E" w:rsidRDefault="00AD29CF" w:rsidP="000639DE">
      <w:pPr>
        <w:spacing w:line="360" w:lineRule="auto"/>
        <w:jc w:val="both"/>
        <w:rPr>
          <w:rFonts w:asciiTheme="minorHAnsi" w:eastAsia="Times New Roman" w:hAnsiTheme="minorHAnsi"/>
          <w:lang w:val="en-US" w:eastAsia="el-GR"/>
        </w:rPr>
      </w:pPr>
      <w:r w:rsidRPr="00EB778E">
        <w:rPr>
          <w:rFonts w:asciiTheme="minorHAnsi" w:eastAsia="Times New Roman" w:hAnsiTheme="minorHAnsi"/>
          <w:lang w:val="en-US" w:eastAsia="el-GR"/>
        </w:rPr>
        <w:t>A portfolio weight of 1/N is assigned to each asset in our portfolio</w:t>
      </w:r>
      <w:r w:rsidR="003F41F1">
        <w:rPr>
          <w:rFonts w:asciiTheme="minorHAnsi" w:eastAsia="Times New Roman" w:hAnsiTheme="minorHAnsi"/>
          <w:lang w:val="en-US" w:eastAsia="el-GR"/>
        </w:rPr>
        <w:t>,</w:t>
      </w:r>
      <w:r w:rsidRPr="00EB778E">
        <w:rPr>
          <w:rFonts w:asciiTheme="minorHAnsi" w:eastAsia="Times New Roman" w:hAnsiTheme="minorHAnsi"/>
          <w:lang w:val="en-US" w:eastAsia="el-GR"/>
        </w:rPr>
        <w:t xml:space="preserve"> and we use 1/N with re-balancing as in DeMiguel et al (2009), e.g. </w:t>
      </w:r>
      <w:r w:rsidR="00405C32" w:rsidRPr="00405C32">
        <w:rPr>
          <w:rFonts w:asciiTheme="minorHAnsi" w:eastAsia="Times New Roman" w:hAnsiTheme="minorHAnsi"/>
          <w:noProof/>
          <w:position w:val="-24"/>
          <w:lang w:val="en-US" w:eastAsia="el-GR"/>
        </w:rPr>
        <w:object w:dxaOrig="740" w:dyaOrig="620" w14:anchorId="4FD75A6E">
          <v:shape id="_x0000_i1033" type="#_x0000_t75" alt="" style="width:36pt;height:30.3pt;mso-width-percent:0;mso-height-percent:0;mso-width-percent:0;mso-height-percent:0" o:ole="">
            <v:imagedata r:id="rId21" o:title=""/>
          </v:shape>
          <o:OLEObject Type="Embed" ProgID="Equation.DSMT4" ShapeID="_x0000_i1033" DrawAspect="Content" ObjectID="_1592317565" r:id="rId22"/>
        </w:object>
      </w:r>
      <w:r w:rsidRPr="00EB778E">
        <w:rPr>
          <w:rFonts w:asciiTheme="minorHAnsi" w:eastAsia="Times New Roman" w:hAnsiTheme="minorHAnsi"/>
          <w:lang w:val="en-US" w:eastAsia="el-GR"/>
        </w:rPr>
        <w:t xml:space="preserve"> </w:t>
      </w:r>
      <w:r w:rsidR="00405C32" w:rsidRPr="00405C32">
        <w:rPr>
          <w:rFonts w:asciiTheme="minorHAnsi" w:hAnsiTheme="minorHAnsi"/>
          <w:noProof/>
          <w:position w:val="-6"/>
        </w:rPr>
        <w:object w:dxaOrig="320" w:dyaOrig="279" w14:anchorId="13B51537">
          <v:shape id="_x0000_i1032" type="#_x0000_t75" alt="" style="width:16.1pt;height:14.2pt;mso-width-percent:0;mso-height-percent:0;mso-width-percent:0;mso-height-percent:0" o:ole="">
            <v:imagedata r:id="rId23" o:title=""/>
          </v:shape>
          <o:OLEObject Type="Embed" ProgID="Equation.DSMT4" ShapeID="_x0000_i1032" DrawAspect="Content" ObjectID="_1592317566" r:id="rId24"/>
        </w:object>
      </w:r>
      <w:r w:rsidRPr="00EB778E">
        <w:rPr>
          <w:rFonts w:asciiTheme="minorHAnsi" w:hAnsiTheme="minorHAnsi"/>
        </w:rPr>
        <w:t>.</w:t>
      </w:r>
      <w:r w:rsidRPr="00EB778E">
        <w:rPr>
          <w:rFonts w:asciiTheme="minorHAnsi" w:eastAsia="Times New Roman" w:hAnsiTheme="minorHAnsi"/>
          <w:lang w:val="en-US" w:eastAsia="el-GR"/>
        </w:rPr>
        <w:t xml:space="preserve"> Hence, the asset weights are independent of the value of </w:t>
      </w:r>
      <w:r w:rsidRPr="00EB778E">
        <w:rPr>
          <w:rFonts w:asciiTheme="minorHAnsi" w:eastAsia="Times New Roman" w:hAnsiTheme="minorHAnsi"/>
          <w:lang w:val="el-GR" w:eastAsia="el-GR"/>
        </w:rPr>
        <w:t>λ</w:t>
      </w:r>
      <w:r w:rsidRPr="00EB778E">
        <w:rPr>
          <w:rFonts w:asciiTheme="minorHAnsi" w:eastAsia="Times New Roman" w:hAnsiTheme="minorHAnsi"/>
          <w:lang w:eastAsia="el-GR"/>
        </w:rPr>
        <w:t>.</w:t>
      </w:r>
    </w:p>
    <w:p w14:paraId="5DCF25EC" w14:textId="77777777" w:rsidR="00DF2226" w:rsidRPr="00EB778E" w:rsidRDefault="00DF2226" w:rsidP="000639DE">
      <w:pPr>
        <w:spacing w:line="360" w:lineRule="auto"/>
        <w:jc w:val="both"/>
        <w:rPr>
          <w:rFonts w:asciiTheme="minorHAnsi" w:hAnsiTheme="minorHAnsi"/>
          <w:color w:val="FF0000"/>
        </w:rPr>
      </w:pPr>
    </w:p>
    <w:p w14:paraId="37E7D170" w14:textId="4B8ADFD1" w:rsidR="00CC6039" w:rsidRPr="00EB778E" w:rsidRDefault="003F41F1" w:rsidP="000639DE">
      <w:pPr>
        <w:pStyle w:val="ListParagraph"/>
        <w:spacing w:line="360" w:lineRule="auto"/>
        <w:ind w:left="0"/>
        <w:jc w:val="both"/>
        <w:rPr>
          <w:rFonts w:cs="Times New Roman"/>
          <w:i/>
        </w:rPr>
      </w:pPr>
      <w:r>
        <w:rPr>
          <w:rFonts w:cs="Times New Roman"/>
          <w:i/>
        </w:rPr>
        <w:t xml:space="preserve">2C. </w:t>
      </w:r>
      <w:r w:rsidR="00CC6039" w:rsidRPr="00EB778E">
        <w:rPr>
          <w:rFonts w:cs="Times New Roman"/>
          <w:i/>
        </w:rPr>
        <w:t xml:space="preserve">Performance </w:t>
      </w:r>
      <w:r>
        <w:rPr>
          <w:rFonts w:cs="Times New Roman"/>
          <w:i/>
        </w:rPr>
        <w:t>M</w:t>
      </w:r>
      <w:r w:rsidR="00CC6039" w:rsidRPr="00EB778E">
        <w:rPr>
          <w:rFonts w:cs="Times New Roman"/>
          <w:i/>
        </w:rPr>
        <w:t>etrics</w:t>
      </w:r>
    </w:p>
    <w:p w14:paraId="0A3B2B13" w14:textId="77777777" w:rsidR="00CC6039" w:rsidRPr="00EB778E" w:rsidRDefault="00CC6039" w:rsidP="000639DE">
      <w:pPr>
        <w:pStyle w:val="ListParagraph"/>
        <w:spacing w:line="360" w:lineRule="auto"/>
        <w:ind w:left="0"/>
        <w:jc w:val="both"/>
        <w:rPr>
          <w:rFonts w:cs="Times New Roman"/>
        </w:rPr>
      </w:pPr>
    </w:p>
    <w:p w14:paraId="22504A2B" w14:textId="5EF4F53E" w:rsidR="00CC6039" w:rsidRPr="00EB778E" w:rsidRDefault="007F2869" w:rsidP="000639DE">
      <w:pPr>
        <w:pStyle w:val="ListParagraph"/>
        <w:spacing w:line="360" w:lineRule="auto"/>
        <w:ind w:left="0"/>
        <w:jc w:val="both"/>
        <w:rPr>
          <w:rFonts w:cs="Times New Roman"/>
        </w:rPr>
      </w:pPr>
      <w:r w:rsidRPr="00EB778E">
        <w:rPr>
          <w:rFonts w:cs="Times New Roman"/>
        </w:rPr>
        <w:t>The Sharpe ratio (Sharpe 1966), which is a</w:t>
      </w:r>
      <w:r w:rsidR="00CC6039" w:rsidRPr="00EB778E">
        <w:rPr>
          <w:rFonts w:cs="Times New Roman"/>
        </w:rPr>
        <w:t xml:space="preserve"> standard metric </w:t>
      </w:r>
      <w:r w:rsidRPr="00EB778E">
        <w:rPr>
          <w:rFonts w:cs="Times New Roman"/>
        </w:rPr>
        <w:t xml:space="preserve">for measuring risk-adjusted performance, is defined as </w:t>
      </w:r>
      <w:r w:rsidR="00CC6039" w:rsidRPr="00EB778E">
        <w:rPr>
          <w:rFonts w:cs="Times New Roman"/>
        </w:rPr>
        <w:t>the average excess return above the risk-free rate per unit of risk</w:t>
      </w:r>
      <w:r w:rsidRPr="00EB778E">
        <w:rPr>
          <w:rFonts w:cs="Times New Roman"/>
        </w:rPr>
        <w:t xml:space="preserve"> (standard deviation)</w:t>
      </w:r>
      <w:r w:rsidR="000639DE" w:rsidRPr="00EB778E">
        <w:rPr>
          <w:rFonts w:cs="Times New Roman"/>
        </w:rPr>
        <w:t xml:space="preserve"> and is computed as follows:-</w:t>
      </w:r>
    </w:p>
    <w:p w14:paraId="391D5A00" w14:textId="78999EC1" w:rsidR="00CC6039" w:rsidRPr="00EB778E" w:rsidRDefault="00405C32" w:rsidP="000639DE">
      <w:pPr>
        <w:spacing w:line="360" w:lineRule="auto"/>
        <w:jc w:val="right"/>
        <w:rPr>
          <w:rFonts w:asciiTheme="minorHAnsi" w:hAnsiTheme="minorHAnsi"/>
          <w:lang w:val="en-CA"/>
        </w:rPr>
      </w:pPr>
      <w:r w:rsidRPr="00405C32">
        <w:rPr>
          <w:rFonts w:asciiTheme="minorHAnsi" w:hAnsiTheme="minorHAnsi"/>
          <w:noProof/>
          <w:position w:val="-32"/>
        </w:rPr>
        <w:object w:dxaOrig="1460" w:dyaOrig="760" w14:anchorId="0F248B9F">
          <v:shape id="_x0000_i1031" type="#_x0000_t75" alt="" style="width:72.95pt;height:36.95pt;mso-width-percent:0;mso-height-percent:0;mso-width-percent:0;mso-height-percent:0" o:ole="">
            <v:imagedata r:id="rId25" o:title=""/>
          </v:shape>
          <o:OLEObject Type="Embed" ProgID="Equation.DSMT4" ShapeID="_x0000_i1031" DrawAspect="Content" ObjectID="_1592317567" r:id="rId26"/>
        </w:object>
      </w:r>
      <w:r w:rsidR="00CC6039" w:rsidRPr="00EB778E">
        <w:rPr>
          <w:rFonts w:asciiTheme="minorHAnsi" w:hAnsiTheme="minorHAnsi"/>
          <w:lang w:val="en-CA"/>
        </w:rPr>
        <w:t xml:space="preserve">                                         </w:t>
      </w:r>
      <w:r w:rsidR="00184E25" w:rsidRPr="00EB778E">
        <w:rPr>
          <w:rFonts w:asciiTheme="minorHAnsi" w:hAnsiTheme="minorHAnsi"/>
          <w:lang w:val="en-CA"/>
        </w:rPr>
        <w:t xml:space="preserve">                  (3</w:t>
      </w:r>
      <w:r w:rsidR="00CC6039" w:rsidRPr="00EB778E">
        <w:rPr>
          <w:rFonts w:asciiTheme="minorHAnsi" w:hAnsiTheme="minorHAnsi"/>
          <w:lang w:val="en-CA"/>
        </w:rPr>
        <w:t>)</w:t>
      </w:r>
    </w:p>
    <w:p w14:paraId="36128A0B" w14:textId="77777777" w:rsidR="00CC6039" w:rsidRPr="00EB778E" w:rsidRDefault="00CC6039" w:rsidP="000639DE">
      <w:pPr>
        <w:pStyle w:val="ListParagraph"/>
        <w:spacing w:line="360" w:lineRule="auto"/>
        <w:ind w:left="0"/>
        <w:jc w:val="both"/>
        <w:rPr>
          <w:rFonts w:cs="Times New Roman"/>
        </w:rPr>
      </w:pPr>
    </w:p>
    <w:p w14:paraId="32085EB0" w14:textId="3F413284" w:rsidR="000639DE" w:rsidRPr="00EB778E" w:rsidRDefault="00CC6039" w:rsidP="000639DE">
      <w:pPr>
        <w:spacing w:line="360" w:lineRule="auto"/>
        <w:jc w:val="both"/>
        <w:rPr>
          <w:rFonts w:asciiTheme="minorHAnsi" w:eastAsia="Times New Roman" w:hAnsiTheme="minorHAnsi"/>
        </w:rPr>
      </w:pPr>
      <w:r w:rsidRPr="00EB778E">
        <w:rPr>
          <w:rFonts w:asciiTheme="minorHAnsi" w:eastAsia="Times New Roman" w:hAnsiTheme="minorHAnsi"/>
        </w:rPr>
        <w:t xml:space="preserve">where </w:t>
      </w:r>
      <w:r w:rsidR="00405C32" w:rsidRPr="00405C32">
        <w:rPr>
          <w:rFonts w:asciiTheme="minorHAnsi" w:hAnsiTheme="minorHAnsi"/>
          <w:noProof/>
          <w:position w:val="-14"/>
        </w:rPr>
        <w:object w:dxaOrig="800" w:dyaOrig="400" w14:anchorId="080D08F0">
          <v:shape id="_x0000_i1030" type="#_x0000_t75" alt="" style="width:39.8pt;height:20.85pt;mso-width-percent:0;mso-height-percent:0;mso-width-percent:0;mso-height-percent:0" o:ole="">
            <v:imagedata r:id="rId27" o:title=""/>
          </v:shape>
          <o:OLEObject Type="Embed" ProgID="Equation.DSMT4" ShapeID="_x0000_i1030" DrawAspect="Content" ObjectID="_1592317568" r:id="rId28"/>
        </w:object>
      </w:r>
      <w:r w:rsidRPr="00EB778E">
        <w:rPr>
          <w:rFonts w:asciiTheme="minorHAnsi" w:hAnsiTheme="minorHAnsi"/>
        </w:rPr>
        <w:t xml:space="preserve"> </w:t>
      </w:r>
      <w:r w:rsidR="000639DE" w:rsidRPr="00EB778E">
        <w:rPr>
          <w:rFonts w:asciiTheme="minorHAnsi" w:hAnsiTheme="minorHAnsi"/>
        </w:rPr>
        <w:t>is</w:t>
      </w:r>
      <w:r w:rsidRPr="00EB778E">
        <w:rPr>
          <w:rFonts w:asciiTheme="minorHAnsi" w:hAnsiTheme="minorHAnsi"/>
        </w:rPr>
        <w:t xml:space="preserve"> the average </w:t>
      </w:r>
      <w:r w:rsidR="003F41F1">
        <w:rPr>
          <w:rFonts w:asciiTheme="minorHAnsi" w:hAnsiTheme="minorHAnsi"/>
        </w:rPr>
        <w:t xml:space="preserve">portfolio return </w:t>
      </w:r>
      <w:r w:rsidR="000639DE" w:rsidRPr="00EB778E">
        <w:rPr>
          <w:rFonts w:asciiTheme="minorHAnsi" w:hAnsiTheme="minorHAnsi"/>
        </w:rPr>
        <w:t xml:space="preserve">in </w:t>
      </w:r>
      <w:r w:rsidR="006F7354" w:rsidRPr="00EB778E">
        <w:rPr>
          <w:rFonts w:asciiTheme="minorHAnsi" w:hAnsiTheme="minorHAnsi"/>
        </w:rPr>
        <w:t>excess of</w:t>
      </w:r>
      <w:r w:rsidR="000639DE" w:rsidRPr="00EB778E">
        <w:rPr>
          <w:rFonts w:asciiTheme="minorHAnsi" w:hAnsiTheme="minorHAnsi"/>
        </w:rPr>
        <w:t xml:space="preserve"> the risk-free rate </w:t>
      </w:r>
      <w:r w:rsidR="000639DE" w:rsidRPr="00EB778E">
        <w:rPr>
          <w:rFonts w:asciiTheme="minorHAnsi" w:eastAsia="Times New Roman" w:hAnsiTheme="minorHAnsi"/>
        </w:rPr>
        <w:t xml:space="preserve">computed </w:t>
      </w:r>
      <w:r w:rsidRPr="00EB778E">
        <w:rPr>
          <w:rFonts w:asciiTheme="minorHAnsi" w:eastAsia="Times New Roman" w:hAnsiTheme="minorHAnsi"/>
        </w:rPr>
        <w:t xml:space="preserve">over the entire out-of-sample period, and </w:t>
      </w:r>
      <w:r w:rsidR="00405C32" w:rsidRPr="00405C32">
        <w:rPr>
          <w:rFonts w:asciiTheme="minorHAnsi" w:hAnsiTheme="minorHAnsi"/>
          <w:noProof/>
          <w:position w:val="-14"/>
        </w:rPr>
        <w:object w:dxaOrig="320" w:dyaOrig="380" w14:anchorId="771C9F2C">
          <v:shape id="_x0000_i1029" type="#_x0000_t75" alt="" style="width:17.05pt;height:18.95pt;mso-width-percent:0;mso-height-percent:0;mso-width-percent:0;mso-height-percent:0" o:ole="">
            <v:imagedata r:id="rId29" o:title=""/>
          </v:shape>
          <o:OLEObject Type="Embed" ProgID="Equation.DSMT4" ShapeID="_x0000_i1029" DrawAspect="Content" ObjectID="_1592317569" r:id="rId30"/>
        </w:object>
      </w:r>
      <w:r w:rsidR="000639DE" w:rsidRPr="00EB778E">
        <w:rPr>
          <w:rFonts w:asciiTheme="minorHAnsi" w:hAnsiTheme="minorHAnsi"/>
        </w:rPr>
        <w:t xml:space="preserve"> represents</w:t>
      </w:r>
      <w:r w:rsidRPr="00EB778E">
        <w:rPr>
          <w:rFonts w:asciiTheme="minorHAnsi" w:hAnsiTheme="minorHAnsi"/>
        </w:rPr>
        <w:t xml:space="preserve"> the </w:t>
      </w:r>
      <w:r w:rsidR="000639DE" w:rsidRPr="00EB778E">
        <w:rPr>
          <w:rFonts w:asciiTheme="minorHAnsi" w:hAnsiTheme="minorHAnsi"/>
        </w:rPr>
        <w:t>p</w:t>
      </w:r>
      <w:r w:rsidRPr="00EB778E">
        <w:rPr>
          <w:rFonts w:asciiTheme="minorHAnsi" w:hAnsiTheme="minorHAnsi"/>
        </w:rPr>
        <w:t xml:space="preserve">ortfolio standard deviation estimated over the same </w:t>
      </w:r>
      <w:r w:rsidR="000639DE" w:rsidRPr="00EB778E">
        <w:rPr>
          <w:rFonts w:asciiTheme="minorHAnsi" w:hAnsiTheme="minorHAnsi"/>
        </w:rPr>
        <w:t>out-of-sample</w:t>
      </w:r>
      <w:r w:rsidRPr="00EB778E">
        <w:rPr>
          <w:rFonts w:asciiTheme="minorHAnsi" w:hAnsiTheme="minorHAnsi"/>
        </w:rPr>
        <w:t xml:space="preserve"> period.</w:t>
      </w:r>
      <w:r w:rsidRPr="00EB778E">
        <w:rPr>
          <w:rFonts w:asciiTheme="minorHAnsi" w:eastAsia="Times New Roman" w:hAnsiTheme="minorHAnsi"/>
        </w:rPr>
        <w:t xml:space="preserve"> </w:t>
      </w:r>
    </w:p>
    <w:p w14:paraId="0F03389E" w14:textId="77777777" w:rsidR="000639DE" w:rsidRPr="00EB778E" w:rsidRDefault="000639DE" w:rsidP="000639DE">
      <w:pPr>
        <w:spacing w:line="360" w:lineRule="auto"/>
        <w:jc w:val="both"/>
        <w:rPr>
          <w:rFonts w:asciiTheme="minorHAnsi" w:eastAsia="Times New Roman" w:hAnsiTheme="minorHAnsi"/>
        </w:rPr>
      </w:pPr>
    </w:p>
    <w:p w14:paraId="00468BE3" w14:textId="5E1B0137" w:rsidR="00CC6039" w:rsidRPr="00EB778E" w:rsidRDefault="00CC6039" w:rsidP="006F7354">
      <w:pPr>
        <w:spacing w:line="360" w:lineRule="auto"/>
        <w:jc w:val="both"/>
        <w:rPr>
          <w:rFonts w:asciiTheme="minorHAnsi" w:eastAsia="Times New Roman" w:hAnsiTheme="minorHAnsi"/>
        </w:rPr>
      </w:pPr>
      <w:r w:rsidRPr="00EB778E">
        <w:rPr>
          <w:rFonts w:asciiTheme="minorHAnsi" w:eastAsia="Times New Roman" w:hAnsiTheme="minorHAnsi"/>
        </w:rPr>
        <w:lastRenderedPageBreak/>
        <w:t>However</w:t>
      </w:r>
      <w:r w:rsidR="00EB778E">
        <w:rPr>
          <w:rFonts w:asciiTheme="minorHAnsi" w:eastAsia="Times New Roman" w:hAnsiTheme="minorHAnsi"/>
        </w:rPr>
        <w:t>,</w:t>
      </w:r>
      <w:r w:rsidRPr="00EB778E">
        <w:rPr>
          <w:rFonts w:asciiTheme="minorHAnsi" w:eastAsia="Times New Roman" w:hAnsiTheme="minorHAnsi"/>
        </w:rPr>
        <w:t xml:space="preserve"> the Sharpe ratio has its limitations since it depe</w:t>
      </w:r>
      <w:r w:rsidR="000639DE" w:rsidRPr="00EB778E">
        <w:rPr>
          <w:rFonts w:asciiTheme="minorHAnsi" w:eastAsia="Times New Roman" w:hAnsiTheme="minorHAnsi"/>
        </w:rPr>
        <w:t xml:space="preserve">nds on </w:t>
      </w:r>
      <w:r w:rsidR="00BE7325">
        <w:rPr>
          <w:rFonts w:asciiTheme="minorHAnsi" w:eastAsia="Times New Roman" w:hAnsiTheme="minorHAnsi"/>
        </w:rPr>
        <w:t xml:space="preserve">only </w:t>
      </w:r>
      <w:r w:rsidR="000639DE" w:rsidRPr="00EB778E">
        <w:rPr>
          <w:rFonts w:asciiTheme="minorHAnsi" w:eastAsia="Times New Roman" w:hAnsiTheme="minorHAnsi"/>
        </w:rPr>
        <w:t>the first two</w:t>
      </w:r>
      <w:r w:rsidRPr="00EB778E">
        <w:rPr>
          <w:rFonts w:asciiTheme="minorHAnsi" w:eastAsia="Times New Roman" w:hAnsiTheme="minorHAnsi"/>
        </w:rPr>
        <w:t xml:space="preserve"> moments</w:t>
      </w:r>
      <w:r w:rsidR="001766C2">
        <w:rPr>
          <w:rFonts w:asciiTheme="minorHAnsi" w:eastAsia="Times New Roman" w:hAnsiTheme="minorHAnsi"/>
        </w:rPr>
        <w:t xml:space="preserve">, </w:t>
      </w:r>
      <w:r w:rsidR="00BE7325">
        <w:rPr>
          <w:rFonts w:asciiTheme="minorHAnsi" w:eastAsia="Times New Roman" w:hAnsiTheme="minorHAnsi"/>
        </w:rPr>
        <w:t>(</w:t>
      </w:r>
      <w:r w:rsidR="001766C2">
        <w:rPr>
          <w:rFonts w:asciiTheme="minorHAnsi" w:eastAsia="Times New Roman" w:hAnsiTheme="minorHAnsi"/>
        </w:rPr>
        <w:t>see</w:t>
      </w:r>
      <w:r w:rsidR="00BE7325">
        <w:rPr>
          <w:rFonts w:asciiTheme="minorHAnsi" w:eastAsia="Times New Roman" w:hAnsiTheme="minorHAnsi"/>
        </w:rPr>
        <w:t>,</w:t>
      </w:r>
      <w:r w:rsidR="001766C2">
        <w:rPr>
          <w:rFonts w:asciiTheme="minorHAnsi" w:eastAsia="Times New Roman" w:hAnsiTheme="minorHAnsi"/>
        </w:rPr>
        <w:t xml:space="preserve"> for instance</w:t>
      </w:r>
      <w:r w:rsidR="00BE7325">
        <w:rPr>
          <w:rFonts w:asciiTheme="minorHAnsi" w:eastAsia="Times New Roman" w:hAnsiTheme="minorHAnsi"/>
        </w:rPr>
        <w:t>,</w:t>
      </w:r>
      <w:r w:rsidR="001766C2">
        <w:rPr>
          <w:rFonts w:asciiTheme="minorHAnsi" w:eastAsia="Times New Roman" w:hAnsiTheme="minorHAnsi"/>
        </w:rPr>
        <w:t xml:space="preserve"> </w:t>
      </w:r>
      <w:r w:rsidR="00BE7325">
        <w:rPr>
          <w:rFonts w:asciiTheme="minorHAnsi" w:eastAsia="Times New Roman" w:hAnsiTheme="minorHAnsi"/>
        </w:rPr>
        <w:t xml:space="preserve">the </w:t>
      </w:r>
      <w:r w:rsidR="001766C2">
        <w:rPr>
          <w:rFonts w:asciiTheme="minorHAnsi" w:eastAsia="Times New Roman" w:hAnsiTheme="minorHAnsi"/>
        </w:rPr>
        <w:t>discussion i</w:t>
      </w:r>
      <w:r w:rsidR="002B07BA">
        <w:rPr>
          <w:rFonts w:asciiTheme="minorHAnsi" w:eastAsia="Times New Roman" w:hAnsiTheme="minorHAnsi"/>
        </w:rPr>
        <w:t>n Oikonomou el al.</w:t>
      </w:r>
      <w:r w:rsidR="00BE7325">
        <w:rPr>
          <w:rFonts w:asciiTheme="minorHAnsi" w:eastAsia="Times New Roman" w:hAnsiTheme="minorHAnsi"/>
        </w:rPr>
        <w:t>,</w:t>
      </w:r>
      <w:r w:rsidR="002B07BA">
        <w:rPr>
          <w:rFonts w:asciiTheme="minorHAnsi" w:eastAsia="Times New Roman" w:hAnsiTheme="minorHAnsi"/>
        </w:rPr>
        <w:t xml:space="preserve"> 2018</w:t>
      </w:r>
      <w:r w:rsidR="00FC5AFD">
        <w:rPr>
          <w:rFonts w:asciiTheme="minorHAnsi" w:eastAsia="Times New Roman" w:hAnsiTheme="minorHAnsi"/>
        </w:rPr>
        <w:t>;</w:t>
      </w:r>
      <w:r w:rsidR="002B07BA">
        <w:rPr>
          <w:rFonts w:asciiTheme="minorHAnsi" w:eastAsia="Times New Roman" w:hAnsiTheme="minorHAnsi"/>
        </w:rPr>
        <w:t xml:space="preserve"> Platanakis and Sutcliffe</w:t>
      </w:r>
      <w:r w:rsidR="00FC5AFD">
        <w:rPr>
          <w:rFonts w:asciiTheme="minorHAnsi" w:eastAsia="Times New Roman" w:hAnsiTheme="minorHAnsi"/>
        </w:rPr>
        <w:t>,</w:t>
      </w:r>
      <w:r w:rsidR="002B07BA">
        <w:rPr>
          <w:rFonts w:asciiTheme="minorHAnsi" w:eastAsia="Times New Roman" w:hAnsiTheme="minorHAnsi"/>
        </w:rPr>
        <w:t xml:space="preserve"> 2017</w:t>
      </w:r>
      <w:r w:rsidR="006121D8">
        <w:rPr>
          <w:rFonts w:asciiTheme="minorHAnsi" w:eastAsia="Times New Roman" w:hAnsiTheme="minorHAnsi"/>
        </w:rPr>
        <w:t>b</w:t>
      </w:r>
      <w:r w:rsidR="00FC5AFD">
        <w:rPr>
          <w:rFonts w:asciiTheme="minorHAnsi" w:eastAsia="Times New Roman" w:hAnsiTheme="minorHAnsi"/>
        </w:rPr>
        <w:t>;</w:t>
      </w:r>
      <w:r w:rsidR="002B07BA">
        <w:rPr>
          <w:rFonts w:asciiTheme="minorHAnsi" w:eastAsia="Times New Roman" w:hAnsiTheme="minorHAnsi"/>
        </w:rPr>
        <w:t xml:space="preserve"> and Platanakis et al.</w:t>
      </w:r>
      <w:r w:rsidR="00FC5AFD">
        <w:rPr>
          <w:rFonts w:asciiTheme="minorHAnsi" w:eastAsia="Times New Roman" w:hAnsiTheme="minorHAnsi"/>
        </w:rPr>
        <w:t>,</w:t>
      </w:r>
      <w:r w:rsidR="002B07BA">
        <w:rPr>
          <w:rFonts w:asciiTheme="minorHAnsi" w:eastAsia="Times New Roman" w:hAnsiTheme="minorHAnsi"/>
        </w:rPr>
        <w:t xml:space="preserve"> 201</w:t>
      </w:r>
      <w:r w:rsidR="00FC5AFD">
        <w:rPr>
          <w:rFonts w:asciiTheme="minorHAnsi" w:eastAsia="Times New Roman" w:hAnsiTheme="minorHAnsi"/>
        </w:rPr>
        <w:t>7</w:t>
      </w:r>
      <w:r w:rsidR="006121D8">
        <w:rPr>
          <w:rFonts w:asciiTheme="minorHAnsi" w:eastAsia="Times New Roman" w:hAnsiTheme="minorHAnsi"/>
        </w:rPr>
        <w:t>a</w:t>
      </w:r>
      <w:r w:rsidR="00FC5AFD">
        <w:rPr>
          <w:rFonts w:asciiTheme="minorHAnsi" w:eastAsia="Times New Roman" w:hAnsiTheme="minorHAnsi"/>
        </w:rPr>
        <w:t>,</w:t>
      </w:r>
      <w:r w:rsidR="002B07BA">
        <w:rPr>
          <w:rFonts w:asciiTheme="minorHAnsi" w:eastAsia="Times New Roman" w:hAnsiTheme="minorHAnsi"/>
        </w:rPr>
        <w:t xml:space="preserve"> </w:t>
      </w:r>
      <w:r w:rsidR="001766C2">
        <w:rPr>
          <w:rFonts w:asciiTheme="minorHAnsi" w:eastAsia="Times New Roman" w:hAnsiTheme="minorHAnsi"/>
        </w:rPr>
        <w:t>for alternative performance m</w:t>
      </w:r>
      <w:r w:rsidR="002B07BA">
        <w:rPr>
          <w:rFonts w:asciiTheme="minorHAnsi" w:eastAsia="Times New Roman" w:hAnsiTheme="minorHAnsi"/>
        </w:rPr>
        <w:t>e</w:t>
      </w:r>
      <w:r w:rsidR="001766C2">
        <w:rPr>
          <w:rFonts w:asciiTheme="minorHAnsi" w:eastAsia="Times New Roman" w:hAnsiTheme="minorHAnsi"/>
        </w:rPr>
        <w:t>trics</w:t>
      </w:r>
      <w:r w:rsidR="00FC5AFD">
        <w:rPr>
          <w:rFonts w:asciiTheme="minorHAnsi" w:eastAsia="Times New Roman" w:hAnsiTheme="minorHAnsi"/>
        </w:rPr>
        <w:t>).</w:t>
      </w:r>
      <w:r w:rsidRPr="00EB778E">
        <w:rPr>
          <w:rFonts w:asciiTheme="minorHAnsi" w:eastAsia="Times New Roman" w:hAnsiTheme="minorHAnsi"/>
        </w:rPr>
        <w:t xml:space="preserve"> </w:t>
      </w:r>
      <w:r w:rsidR="00FC5AFD">
        <w:rPr>
          <w:rFonts w:asciiTheme="minorHAnsi" w:eastAsia="Times New Roman" w:hAnsiTheme="minorHAnsi"/>
        </w:rPr>
        <w:t>F</w:t>
      </w:r>
      <w:r w:rsidR="000639DE" w:rsidRPr="00EB778E">
        <w:rPr>
          <w:rFonts w:asciiTheme="minorHAnsi" w:eastAsia="Times New Roman" w:hAnsiTheme="minorHAnsi"/>
        </w:rPr>
        <w:t>or this reason we also use the Omega ratio</w:t>
      </w:r>
      <w:r w:rsidR="00F977D0" w:rsidRPr="00EB778E">
        <w:rPr>
          <w:rFonts w:asciiTheme="minorHAnsi" w:eastAsia="Times New Roman" w:hAnsiTheme="minorHAnsi"/>
        </w:rPr>
        <w:t xml:space="preserve"> </w:t>
      </w:r>
      <w:r w:rsidR="00F977D0" w:rsidRPr="00EB778E">
        <w:rPr>
          <w:rFonts w:asciiTheme="minorHAnsi" w:hAnsiTheme="minorHAnsi"/>
        </w:rPr>
        <w:t>(Shadwick and Keating</w:t>
      </w:r>
      <w:r w:rsidR="00FC5AFD">
        <w:rPr>
          <w:rFonts w:asciiTheme="minorHAnsi" w:hAnsiTheme="minorHAnsi"/>
        </w:rPr>
        <w:t>,</w:t>
      </w:r>
      <w:r w:rsidR="00F977D0" w:rsidRPr="00EB778E">
        <w:rPr>
          <w:rFonts w:asciiTheme="minorHAnsi" w:hAnsiTheme="minorHAnsi"/>
        </w:rPr>
        <w:t xml:space="preserve"> 2002)</w:t>
      </w:r>
      <w:r w:rsidR="000639DE" w:rsidRPr="00EB778E">
        <w:rPr>
          <w:rFonts w:asciiTheme="minorHAnsi" w:eastAsia="Times New Roman" w:hAnsiTheme="minorHAnsi"/>
        </w:rPr>
        <w:t xml:space="preserve"> </w:t>
      </w:r>
      <w:r w:rsidR="001A61D9" w:rsidRPr="00EB778E">
        <w:rPr>
          <w:rFonts w:asciiTheme="minorHAnsi" w:eastAsia="Times New Roman" w:hAnsiTheme="minorHAnsi"/>
        </w:rPr>
        <w:t xml:space="preserve">as an additional risk-adjusted measure. </w:t>
      </w:r>
      <w:r w:rsidR="00F977D0" w:rsidRPr="00EB778E">
        <w:rPr>
          <w:rFonts w:asciiTheme="minorHAnsi" w:hAnsiTheme="minorHAnsi"/>
        </w:rPr>
        <w:t>The Omega ratio is also known as the gain-loss ratio</w:t>
      </w:r>
      <w:r w:rsidR="006F7354" w:rsidRPr="00EB778E">
        <w:rPr>
          <w:rFonts w:asciiTheme="minorHAnsi" w:hAnsiTheme="minorHAnsi"/>
        </w:rPr>
        <w:t xml:space="preserve"> since </w:t>
      </w:r>
      <w:r w:rsidR="00FC5AFD">
        <w:rPr>
          <w:rFonts w:asciiTheme="minorHAnsi" w:hAnsiTheme="minorHAnsi"/>
        </w:rPr>
        <w:t>it</w:t>
      </w:r>
      <w:r w:rsidR="006F7354" w:rsidRPr="00EB778E">
        <w:rPr>
          <w:rFonts w:asciiTheme="minorHAnsi" w:hAnsiTheme="minorHAnsi"/>
        </w:rPr>
        <w:t xml:space="preserve"> is defined as the ratio of the average gain to the average loss</w:t>
      </w:r>
      <w:r w:rsidR="00F977D0" w:rsidRPr="00EB778E">
        <w:rPr>
          <w:rFonts w:asciiTheme="minorHAnsi" w:hAnsiTheme="minorHAnsi"/>
        </w:rPr>
        <w:t xml:space="preserve">, </w:t>
      </w:r>
      <w:r w:rsidR="00FC5AFD">
        <w:rPr>
          <w:rFonts w:asciiTheme="minorHAnsi" w:hAnsiTheme="minorHAnsi"/>
        </w:rPr>
        <w:t xml:space="preserve">and </w:t>
      </w:r>
      <w:r w:rsidR="00F977D0" w:rsidRPr="00EB778E">
        <w:rPr>
          <w:rFonts w:asciiTheme="minorHAnsi" w:hAnsiTheme="minorHAnsi"/>
        </w:rPr>
        <w:t>is computed as follows:-</w:t>
      </w:r>
    </w:p>
    <w:p w14:paraId="44BA8719" w14:textId="2AB4FA17" w:rsidR="00F977D0" w:rsidRPr="00EB778E" w:rsidRDefault="00405C32" w:rsidP="006F7354">
      <w:pPr>
        <w:spacing w:line="360" w:lineRule="auto"/>
        <w:jc w:val="right"/>
        <w:rPr>
          <w:rFonts w:asciiTheme="minorHAnsi" w:hAnsiTheme="minorHAnsi"/>
        </w:rPr>
      </w:pPr>
      <w:r w:rsidRPr="00405C32">
        <w:rPr>
          <w:rFonts w:asciiTheme="minorHAnsi" w:hAnsiTheme="minorHAnsi"/>
          <w:noProof/>
          <w:position w:val="-60"/>
        </w:rPr>
        <w:object w:dxaOrig="2940" w:dyaOrig="1320" w14:anchorId="71DCF547">
          <v:shape id="_x0000_i1028" type="#_x0000_t75" alt="" style="width:146.85pt;height:65.35pt;mso-width-percent:0;mso-height-percent:0;mso-width-percent:0;mso-height-percent:0" o:ole="">
            <v:imagedata r:id="rId31" o:title=""/>
          </v:shape>
          <o:OLEObject Type="Embed" ProgID="Equation.DSMT4" ShapeID="_x0000_i1028" DrawAspect="Content" ObjectID="_1592317570" r:id="rId32"/>
        </w:object>
      </w:r>
      <w:r w:rsidR="00F977D0" w:rsidRPr="00EB778E">
        <w:rPr>
          <w:rFonts w:asciiTheme="minorHAnsi" w:hAnsiTheme="minorHAnsi"/>
          <w:lang w:val="en-CA"/>
        </w:rPr>
        <w:t xml:space="preserve">                       </w:t>
      </w:r>
      <w:r w:rsidR="00184E25" w:rsidRPr="00EB778E">
        <w:rPr>
          <w:rFonts w:asciiTheme="minorHAnsi" w:hAnsiTheme="minorHAnsi"/>
          <w:lang w:val="en-CA"/>
        </w:rPr>
        <w:t xml:space="preserve">                        (</w:t>
      </w:r>
      <w:r w:rsidR="00F977D0" w:rsidRPr="00EB778E">
        <w:rPr>
          <w:rFonts w:asciiTheme="minorHAnsi" w:hAnsiTheme="minorHAnsi"/>
          <w:lang w:val="en-CA"/>
        </w:rPr>
        <w:t>4)</w:t>
      </w:r>
    </w:p>
    <w:p w14:paraId="2AF600DC" w14:textId="79D6DACC" w:rsidR="00F977D0" w:rsidRPr="00EB778E" w:rsidRDefault="00F977D0" w:rsidP="006F7354">
      <w:pPr>
        <w:pStyle w:val="ListParagraph"/>
        <w:spacing w:line="360" w:lineRule="auto"/>
        <w:ind w:left="0"/>
        <w:jc w:val="both"/>
        <w:rPr>
          <w:rFonts w:cs="Times New Roman"/>
        </w:rPr>
      </w:pPr>
    </w:p>
    <w:p w14:paraId="169EE4A6" w14:textId="1FFB4D79" w:rsidR="00AD29CF" w:rsidRPr="00EB778E" w:rsidRDefault="00CC6039" w:rsidP="006F7354">
      <w:pPr>
        <w:spacing w:line="360" w:lineRule="auto"/>
        <w:jc w:val="both"/>
        <w:rPr>
          <w:rFonts w:asciiTheme="minorHAnsi" w:hAnsiTheme="minorHAnsi"/>
          <w:color w:val="FF0000"/>
        </w:rPr>
      </w:pPr>
      <w:r w:rsidRPr="00EB778E">
        <w:rPr>
          <w:rFonts w:asciiTheme="minorHAnsi" w:hAnsiTheme="minorHAnsi"/>
        </w:rPr>
        <w:t xml:space="preserve">The main advantage of the Omega ratio is </w:t>
      </w:r>
      <w:r w:rsidR="00863C70">
        <w:rPr>
          <w:rFonts w:asciiTheme="minorHAnsi" w:hAnsiTheme="minorHAnsi"/>
        </w:rPr>
        <w:t xml:space="preserve">that </w:t>
      </w:r>
      <w:r w:rsidRPr="00EB778E">
        <w:rPr>
          <w:rFonts w:asciiTheme="minorHAnsi" w:hAnsiTheme="minorHAnsi"/>
        </w:rPr>
        <w:t xml:space="preserve">it does not require any assumption about the underlying distribution of returns.  </w:t>
      </w:r>
    </w:p>
    <w:p w14:paraId="437569B4" w14:textId="77777777" w:rsidR="00184E25" w:rsidRPr="00EB778E" w:rsidRDefault="00184E25" w:rsidP="00184E25">
      <w:pPr>
        <w:pStyle w:val="ListParagraph"/>
        <w:spacing w:line="360" w:lineRule="auto"/>
        <w:ind w:left="0"/>
        <w:jc w:val="both"/>
        <w:rPr>
          <w:rFonts w:cs="Times New Roman"/>
          <w:i/>
        </w:rPr>
      </w:pPr>
    </w:p>
    <w:p w14:paraId="5EC29D73" w14:textId="323BCD2C" w:rsidR="00184E25" w:rsidRPr="00EB778E" w:rsidRDefault="005B0D3A" w:rsidP="00184E25">
      <w:pPr>
        <w:pStyle w:val="ListParagraph"/>
        <w:spacing w:line="360" w:lineRule="auto"/>
        <w:ind w:left="0"/>
        <w:jc w:val="both"/>
        <w:rPr>
          <w:rFonts w:cs="Times New Roman"/>
          <w:i/>
        </w:rPr>
      </w:pPr>
      <w:r>
        <w:rPr>
          <w:rFonts w:cs="Times New Roman"/>
          <w:i/>
        </w:rPr>
        <w:t xml:space="preserve">2D. </w:t>
      </w:r>
      <w:r w:rsidR="00184E25" w:rsidRPr="00EB778E">
        <w:rPr>
          <w:rFonts w:cs="Times New Roman"/>
          <w:i/>
        </w:rPr>
        <w:t>Transaction Costs</w:t>
      </w:r>
    </w:p>
    <w:p w14:paraId="52C9957D" w14:textId="77777777" w:rsidR="00323D14" w:rsidRDefault="00323D14" w:rsidP="00D57D40">
      <w:pPr>
        <w:spacing w:line="276" w:lineRule="auto"/>
        <w:jc w:val="both"/>
        <w:rPr>
          <w:rFonts w:asciiTheme="minorHAnsi" w:hAnsiTheme="minorHAnsi"/>
        </w:rPr>
      </w:pPr>
    </w:p>
    <w:p w14:paraId="737EE2C0" w14:textId="6FC32EF7" w:rsidR="00184E25" w:rsidRPr="00EB778E" w:rsidRDefault="00323D14" w:rsidP="00DC7DA7">
      <w:pPr>
        <w:spacing w:line="360" w:lineRule="auto"/>
        <w:jc w:val="both"/>
        <w:rPr>
          <w:rFonts w:asciiTheme="minorHAnsi" w:hAnsiTheme="minorHAnsi"/>
        </w:rPr>
      </w:pPr>
      <w:r w:rsidRPr="00EB778E">
        <w:rPr>
          <w:rFonts w:asciiTheme="minorHAnsi" w:hAnsiTheme="minorHAnsi"/>
        </w:rPr>
        <w:t xml:space="preserve">When examining any investment strategy transaction costs are vital since any profit gained may be extinguished by the inclusion of appropriate transaction costs.  Therefore we include transaction costs of 50 basis points </w:t>
      </w:r>
      <w:r>
        <w:rPr>
          <w:rFonts w:asciiTheme="minorHAnsi" w:hAnsiTheme="minorHAnsi"/>
        </w:rPr>
        <w:t>for</w:t>
      </w:r>
      <w:r w:rsidRPr="00EB778E">
        <w:rPr>
          <w:rFonts w:asciiTheme="minorHAnsi" w:hAnsiTheme="minorHAnsi"/>
        </w:rPr>
        <w:t xml:space="preserve"> all cryptocurrencies, consistent with </w:t>
      </w:r>
      <w:r w:rsidRPr="00EB778E">
        <w:rPr>
          <w:rFonts w:asciiTheme="minorHAnsi" w:hAnsiTheme="minorHAnsi"/>
          <w:color w:val="000000"/>
          <w:lang w:eastAsia="en-US"/>
        </w:rPr>
        <w:t>Lintilhac and Tourin (2017).</w:t>
      </w:r>
      <w:r>
        <w:rPr>
          <w:rFonts w:asciiTheme="minorHAnsi" w:hAnsiTheme="minorHAnsi"/>
          <w:color w:val="000000"/>
          <w:lang w:eastAsia="en-US"/>
        </w:rPr>
        <w:t xml:space="preserve"> </w:t>
      </w:r>
      <w:r w:rsidR="00E345A0" w:rsidRPr="00EB778E">
        <w:rPr>
          <w:rFonts w:asciiTheme="minorHAnsi" w:hAnsiTheme="minorHAnsi"/>
        </w:rPr>
        <w:t>We incorporate transaction costs by</w:t>
      </w:r>
      <w:r w:rsidR="00184E25" w:rsidRPr="00EB778E">
        <w:rPr>
          <w:rFonts w:asciiTheme="minorHAnsi" w:hAnsiTheme="minorHAnsi"/>
        </w:rPr>
        <w:t xml:space="preserve"> subtract</w:t>
      </w:r>
      <w:r w:rsidR="00E345A0" w:rsidRPr="00EB778E">
        <w:rPr>
          <w:rFonts w:asciiTheme="minorHAnsi" w:hAnsiTheme="minorHAnsi"/>
        </w:rPr>
        <w:t>ing</w:t>
      </w:r>
      <w:r w:rsidR="00184E25" w:rsidRPr="00EB778E">
        <w:rPr>
          <w:rFonts w:asciiTheme="minorHAnsi" w:hAnsiTheme="minorHAnsi"/>
        </w:rPr>
        <w:t xml:space="preserve"> the total transaction costs </w:t>
      </w:r>
      <w:r w:rsidR="00FC0CF9" w:rsidRPr="00EB778E">
        <w:rPr>
          <w:rFonts w:asciiTheme="minorHAnsi" w:hAnsiTheme="minorHAnsi"/>
        </w:rPr>
        <w:t>from the portfolio returns</w:t>
      </w:r>
      <w:r w:rsidR="00E345A0" w:rsidRPr="00EB778E">
        <w:rPr>
          <w:rFonts w:asciiTheme="minorHAnsi" w:hAnsiTheme="minorHAnsi"/>
        </w:rPr>
        <w:t xml:space="preserve">. Total transaction costs </w:t>
      </w:r>
      <w:r w:rsidR="00405C32" w:rsidRPr="00405C32">
        <w:rPr>
          <w:rFonts w:asciiTheme="minorHAnsi" w:hAnsiTheme="minorHAnsi"/>
          <w:noProof/>
          <w:position w:val="-14"/>
        </w:rPr>
        <w:object w:dxaOrig="639" w:dyaOrig="400" w14:anchorId="4DFA4B6C">
          <v:shape id="_x0000_i1027" type="#_x0000_t75" alt="" style="width:32.2pt;height:19.9pt;mso-width-percent:0;mso-height-percent:0;mso-width-percent:0;mso-height-percent:0" o:ole="">
            <v:imagedata r:id="rId33" o:title=""/>
          </v:shape>
          <o:OLEObject Type="Embed" ProgID="Equation.DSMT4" ShapeID="_x0000_i1027" DrawAspect="Content" ObjectID="_1592317571" r:id="rId34"/>
        </w:object>
      </w:r>
      <w:r w:rsidR="00E345A0" w:rsidRPr="00EB778E">
        <w:rPr>
          <w:rFonts w:asciiTheme="minorHAnsi" w:hAnsiTheme="minorHAnsi"/>
        </w:rPr>
        <w:t xml:space="preserve"> at time t are computed as follows:-</w:t>
      </w:r>
    </w:p>
    <w:p w14:paraId="568DF7D4" w14:textId="77777777" w:rsidR="00D57D40" w:rsidRPr="00EB778E" w:rsidRDefault="00405C32" w:rsidP="00D57D40">
      <w:pPr>
        <w:autoSpaceDE w:val="0"/>
        <w:autoSpaceDN w:val="0"/>
        <w:adjustRightInd w:val="0"/>
        <w:spacing w:line="276" w:lineRule="auto"/>
        <w:jc w:val="right"/>
        <w:rPr>
          <w:rFonts w:asciiTheme="minorHAnsi" w:hAnsiTheme="minorHAnsi"/>
          <w:sz w:val="22"/>
          <w:szCs w:val="22"/>
        </w:rPr>
      </w:pPr>
      <w:r w:rsidRPr="00405C32">
        <w:rPr>
          <w:rFonts w:asciiTheme="minorHAnsi" w:hAnsiTheme="minorHAnsi"/>
          <w:noProof/>
          <w:position w:val="-28"/>
          <w:sz w:val="22"/>
          <w:szCs w:val="22"/>
        </w:rPr>
        <w:object w:dxaOrig="2600" w:dyaOrig="680" w14:anchorId="4AB04693">
          <v:shape id="_x0000_i1026" type="#_x0000_t75" alt="" style="width:129.8pt;height:35.05pt;mso-width-percent:0;mso-height-percent:0;mso-width-percent:0;mso-height-percent:0" o:ole="">
            <v:imagedata r:id="rId35" o:title=""/>
          </v:shape>
          <o:OLEObject Type="Embed" ProgID="Equation.DSMT4" ShapeID="_x0000_i1026" DrawAspect="Content" ObjectID="_1592317572" r:id="rId36"/>
        </w:object>
      </w:r>
      <w:r w:rsidR="00D57D40" w:rsidRPr="00EB778E">
        <w:rPr>
          <w:rFonts w:asciiTheme="minorHAnsi" w:hAnsiTheme="minorHAnsi"/>
          <w:sz w:val="22"/>
          <w:szCs w:val="22"/>
          <w:lang w:val="en-CA"/>
        </w:rPr>
        <w:t xml:space="preserve">                                                           (16)</w:t>
      </w:r>
    </w:p>
    <w:p w14:paraId="3C04D5C5" w14:textId="57A1BD5C" w:rsidR="00505338" w:rsidRPr="00EB778E" w:rsidRDefault="00D57D40" w:rsidP="00D57D40">
      <w:pPr>
        <w:spacing w:line="360" w:lineRule="auto"/>
        <w:jc w:val="both"/>
        <w:rPr>
          <w:rFonts w:asciiTheme="minorHAnsi" w:hAnsiTheme="minorHAnsi"/>
        </w:rPr>
      </w:pPr>
      <w:r w:rsidRPr="00EB778E">
        <w:rPr>
          <w:rFonts w:asciiTheme="minorHAnsi" w:hAnsiTheme="minorHAnsi"/>
        </w:rPr>
        <w:t xml:space="preserve">where </w:t>
      </w:r>
      <w:r w:rsidR="00405C32" w:rsidRPr="00405C32">
        <w:rPr>
          <w:rFonts w:asciiTheme="minorHAnsi" w:hAnsiTheme="minorHAnsi"/>
          <w:noProof/>
          <w:position w:val="-14"/>
        </w:rPr>
        <w:object w:dxaOrig="480" w:dyaOrig="400" w14:anchorId="67905529">
          <v:shape id="_x0000_i1025" type="#_x0000_t75" alt="" style="width:23.7pt;height:20.85pt;mso-width-percent:0;mso-height-percent:0;mso-width-percent:0;mso-height-percent:0" o:ole="">
            <v:imagedata r:id="rId37" o:title=""/>
          </v:shape>
          <o:OLEObject Type="Embed" ProgID="Equation.DSMT4" ShapeID="_x0000_i1025" DrawAspect="Content" ObjectID="_1592317573" r:id="rId38"/>
        </w:object>
      </w:r>
      <w:r w:rsidRPr="00EB778E">
        <w:rPr>
          <w:rFonts w:asciiTheme="minorHAnsi" w:hAnsiTheme="minorHAnsi"/>
          <w:lang w:val="en-CA"/>
        </w:rPr>
        <w:t xml:space="preserve"> denotes the weight of the </w:t>
      </w:r>
      <w:r w:rsidRPr="00EB778E">
        <w:rPr>
          <w:rFonts w:asciiTheme="minorHAnsi" w:hAnsiTheme="minorHAnsi"/>
          <w:i/>
        </w:rPr>
        <w:t>i</w:t>
      </w:r>
      <w:r w:rsidRPr="00EB778E">
        <w:rPr>
          <w:rFonts w:asciiTheme="minorHAnsi" w:hAnsiTheme="minorHAnsi"/>
          <w:vertAlign w:val="superscript"/>
        </w:rPr>
        <w:t>th</w:t>
      </w:r>
      <w:r w:rsidRPr="00EB778E">
        <w:rPr>
          <w:rFonts w:asciiTheme="minorHAnsi" w:hAnsiTheme="minorHAnsi"/>
        </w:rPr>
        <w:t xml:space="preserve"> asset</w:t>
      </w:r>
      <w:r w:rsidRPr="00EB778E">
        <w:rPr>
          <w:rFonts w:asciiTheme="minorHAnsi" w:hAnsiTheme="minorHAnsi"/>
          <w:lang w:val="en-CA"/>
        </w:rPr>
        <w:t xml:space="preserve"> at the end of the period </w:t>
      </w:r>
      <w:r w:rsidRPr="00EB778E">
        <w:rPr>
          <w:rFonts w:asciiTheme="minorHAnsi" w:hAnsiTheme="minorHAnsi"/>
          <w:i/>
          <w:lang w:val="en-CA"/>
        </w:rPr>
        <w:t>t-1</w:t>
      </w:r>
      <w:r w:rsidR="00323D14">
        <w:rPr>
          <w:rFonts w:asciiTheme="minorHAnsi" w:hAnsiTheme="minorHAnsi"/>
          <w:lang w:val="en-CA"/>
        </w:rPr>
        <w:t xml:space="preserve">, and </w:t>
      </w:r>
      <w:r w:rsidR="00323D14" w:rsidRPr="00EB778E">
        <w:rPr>
          <w:rFonts w:asciiTheme="minorHAnsi" w:hAnsiTheme="minorHAnsi"/>
        </w:rPr>
        <w:t>T</w:t>
      </w:r>
      <w:r w:rsidR="00323D14" w:rsidRPr="00EB778E">
        <w:rPr>
          <w:rFonts w:asciiTheme="minorHAnsi" w:hAnsiTheme="minorHAnsi"/>
          <w:vertAlign w:val="subscript"/>
        </w:rPr>
        <w:t>i</w:t>
      </w:r>
      <w:r w:rsidR="00323D14" w:rsidRPr="00EB778E">
        <w:rPr>
          <w:rFonts w:asciiTheme="minorHAnsi" w:hAnsiTheme="minorHAnsi"/>
        </w:rPr>
        <w:t xml:space="preserve"> </w:t>
      </w:r>
      <w:r w:rsidR="00323D14">
        <w:rPr>
          <w:rFonts w:asciiTheme="minorHAnsi" w:hAnsiTheme="minorHAnsi"/>
        </w:rPr>
        <w:t xml:space="preserve">is </w:t>
      </w:r>
      <w:r w:rsidRPr="00EB778E">
        <w:rPr>
          <w:rFonts w:asciiTheme="minorHAnsi" w:hAnsiTheme="minorHAnsi"/>
          <w:lang w:val="en-CA"/>
        </w:rPr>
        <w:t xml:space="preserve">the </w:t>
      </w:r>
      <w:r w:rsidRPr="00EB778E">
        <w:rPr>
          <w:rFonts w:asciiTheme="minorHAnsi" w:hAnsiTheme="minorHAnsi"/>
        </w:rPr>
        <w:t xml:space="preserve">proportionate transaction cost of trading </w:t>
      </w:r>
      <w:r w:rsidR="00323D14">
        <w:rPr>
          <w:rFonts w:asciiTheme="minorHAnsi" w:hAnsiTheme="minorHAnsi"/>
        </w:rPr>
        <w:t xml:space="preserve">the </w:t>
      </w:r>
      <w:r w:rsidR="00323D14" w:rsidRPr="00DC7DA7">
        <w:rPr>
          <w:rFonts w:asciiTheme="minorHAnsi" w:hAnsiTheme="minorHAnsi"/>
          <w:i/>
        </w:rPr>
        <w:t>i</w:t>
      </w:r>
      <w:r w:rsidR="00323D14" w:rsidRPr="00DC7DA7">
        <w:rPr>
          <w:rFonts w:asciiTheme="minorHAnsi" w:hAnsiTheme="minorHAnsi"/>
          <w:i/>
          <w:vertAlign w:val="superscript"/>
        </w:rPr>
        <w:t>th</w:t>
      </w:r>
      <w:r w:rsidR="00323D14">
        <w:rPr>
          <w:rFonts w:asciiTheme="minorHAnsi" w:hAnsiTheme="minorHAnsi"/>
        </w:rPr>
        <w:t xml:space="preserve"> </w:t>
      </w:r>
      <w:r w:rsidR="00505338" w:rsidRPr="00EB778E">
        <w:rPr>
          <w:rFonts w:asciiTheme="minorHAnsi" w:hAnsiTheme="minorHAnsi"/>
        </w:rPr>
        <w:t>cryptocurrenc</w:t>
      </w:r>
      <w:r w:rsidR="00323D14">
        <w:rPr>
          <w:rFonts w:asciiTheme="minorHAnsi" w:hAnsiTheme="minorHAnsi"/>
        </w:rPr>
        <w:t>y.</w:t>
      </w:r>
    </w:p>
    <w:p w14:paraId="2B827A81" w14:textId="06A8F332" w:rsidR="007C06E4" w:rsidRDefault="007C06E4" w:rsidP="00505338">
      <w:pPr>
        <w:spacing w:line="360" w:lineRule="auto"/>
        <w:jc w:val="both"/>
        <w:rPr>
          <w:rFonts w:asciiTheme="minorHAnsi" w:hAnsiTheme="minorHAnsi"/>
        </w:rPr>
      </w:pPr>
    </w:p>
    <w:p w14:paraId="1A868B73" w14:textId="2F99A9B1" w:rsidR="00EB778E" w:rsidRDefault="00EB778E" w:rsidP="00505338">
      <w:pPr>
        <w:spacing w:line="360" w:lineRule="auto"/>
        <w:jc w:val="both"/>
        <w:rPr>
          <w:rFonts w:asciiTheme="minorHAnsi" w:hAnsiTheme="minorHAnsi"/>
        </w:rPr>
      </w:pPr>
    </w:p>
    <w:p w14:paraId="350FA54C" w14:textId="77777777" w:rsidR="00EB778E" w:rsidRPr="00EB778E" w:rsidRDefault="00EB778E" w:rsidP="00505338">
      <w:pPr>
        <w:spacing w:line="360" w:lineRule="auto"/>
        <w:jc w:val="both"/>
        <w:rPr>
          <w:rFonts w:asciiTheme="minorHAnsi" w:hAnsiTheme="minorHAnsi"/>
        </w:rPr>
      </w:pPr>
    </w:p>
    <w:p w14:paraId="0DA2DB2E" w14:textId="7C40AA15" w:rsidR="007C06E4" w:rsidRPr="00EB778E" w:rsidRDefault="007C06E4" w:rsidP="000639DE">
      <w:pPr>
        <w:pStyle w:val="ListParagraph"/>
        <w:numPr>
          <w:ilvl w:val="0"/>
          <w:numId w:val="1"/>
        </w:numPr>
        <w:spacing w:line="360" w:lineRule="auto"/>
        <w:jc w:val="both"/>
        <w:rPr>
          <w:rFonts w:cs="Times New Roman"/>
          <w:b/>
        </w:rPr>
      </w:pPr>
      <w:r w:rsidRPr="00EB778E">
        <w:rPr>
          <w:rFonts w:cs="Times New Roman"/>
          <w:b/>
        </w:rPr>
        <w:t>Empirical Results</w:t>
      </w:r>
    </w:p>
    <w:p w14:paraId="1A10C92B" w14:textId="77777777" w:rsidR="007C06E4" w:rsidRPr="00EB778E" w:rsidRDefault="007C06E4" w:rsidP="000639DE">
      <w:pPr>
        <w:spacing w:line="360" w:lineRule="auto"/>
        <w:jc w:val="both"/>
        <w:rPr>
          <w:rFonts w:asciiTheme="minorHAnsi" w:hAnsiTheme="minorHAnsi"/>
        </w:rPr>
      </w:pPr>
    </w:p>
    <w:p w14:paraId="4052C983" w14:textId="12F6B223" w:rsidR="007C06E4" w:rsidRPr="00EB778E" w:rsidRDefault="00AD29CF" w:rsidP="000639DE">
      <w:pPr>
        <w:spacing w:line="360" w:lineRule="auto"/>
        <w:jc w:val="both"/>
        <w:rPr>
          <w:rFonts w:asciiTheme="minorHAnsi" w:hAnsiTheme="minorHAnsi"/>
        </w:rPr>
      </w:pPr>
      <w:r w:rsidRPr="00EB778E">
        <w:rPr>
          <w:rFonts w:asciiTheme="minorHAnsi" w:hAnsiTheme="minorHAnsi"/>
        </w:rPr>
        <w:t>Figure</w:t>
      </w:r>
      <w:r w:rsidR="009B2237">
        <w:rPr>
          <w:rFonts w:asciiTheme="minorHAnsi" w:hAnsiTheme="minorHAnsi"/>
        </w:rPr>
        <w:t>s</w:t>
      </w:r>
      <w:r w:rsidRPr="00EB778E">
        <w:rPr>
          <w:rFonts w:asciiTheme="minorHAnsi" w:hAnsiTheme="minorHAnsi"/>
        </w:rPr>
        <w:t xml:space="preserve"> </w:t>
      </w:r>
      <w:r w:rsidR="00FB63E8" w:rsidRPr="00EB778E">
        <w:rPr>
          <w:rFonts w:asciiTheme="minorHAnsi" w:hAnsiTheme="minorHAnsi"/>
        </w:rPr>
        <w:t>1</w:t>
      </w:r>
      <w:r w:rsidR="00695D77" w:rsidRPr="00EB778E">
        <w:rPr>
          <w:rFonts w:asciiTheme="minorHAnsi" w:hAnsiTheme="minorHAnsi"/>
        </w:rPr>
        <w:t xml:space="preserve"> </w:t>
      </w:r>
      <w:r w:rsidR="00FB08B5">
        <w:rPr>
          <w:rFonts w:asciiTheme="minorHAnsi" w:hAnsiTheme="minorHAnsi"/>
        </w:rPr>
        <w:t xml:space="preserve">and 2 </w:t>
      </w:r>
      <w:r w:rsidR="001E4E40">
        <w:rPr>
          <w:rFonts w:asciiTheme="minorHAnsi" w:hAnsiTheme="minorHAnsi"/>
        </w:rPr>
        <w:t>report</w:t>
      </w:r>
      <w:r w:rsidR="00695D77" w:rsidRPr="00EB778E">
        <w:rPr>
          <w:rFonts w:asciiTheme="minorHAnsi" w:hAnsiTheme="minorHAnsi"/>
        </w:rPr>
        <w:t xml:space="preserve"> </w:t>
      </w:r>
      <w:r w:rsidR="00FB08B5">
        <w:rPr>
          <w:rFonts w:asciiTheme="minorHAnsi" w:hAnsiTheme="minorHAnsi"/>
        </w:rPr>
        <w:t xml:space="preserve">the </w:t>
      </w:r>
      <w:r w:rsidRPr="00EB778E">
        <w:rPr>
          <w:rFonts w:asciiTheme="minorHAnsi" w:hAnsiTheme="minorHAnsi"/>
        </w:rPr>
        <w:t>Sharpe and Omega ratio</w:t>
      </w:r>
      <w:r w:rsidR="00FF13C6">
        <w:rPr>
          <w:rFonts w:asciiTheme="minorHAnsi" w:hAnsiTheme="minorHAnsi"/>
        </w:rPr>
        <w:t>s</w:t>
      </w:r>
      <w:r w:rsidR="00FB08B5">
        <w:rPr>
          <w:rFonts w:asciiTheme="minorHAnsi" w:hAnsiTheme="minorHAnsi"/>
        </w:rPr>
        <w:t xml:space="preserve"> respectively for a 26-week</w:t>
      </w:r>
      <w:r w:rsidR="00695D77" w:rsidRPr="00EB778E">
        <w:rPr>
          <w:rFonts w:asciiTheme="minorHAnsi" w:hAnsiTheme="minorHAnsi"/>
        </w:rPr>
        <w:t xml:space="preserve"> expanding </w:t>
      </w:r>
      <w:r w:rsidR="00FB08B5">
        <w:rPr>
          <w:rFonts w:asciiTheme="minorHAnsi" w:hAnsiTheme="minorHAnsi"/>
        </w:rPr>
        <w:t xml:space="preserve">estimation </w:t>
      </w:r>
      <w:r w:rsidR="00695D77" w:rsidRPr="00EB778E">
        <w:rPr>
          <w:rFonts w:asciiTheme="minorHAnsi" w:hAnsiTheme="minorHAnsi"/>
        </w:rPr>
        <w:t>window</w:t>
      </w:r>
      <w:r w:rsidR="00FF13C6">
        <w:rPr>
          <w:rFonts w:asciiTheme="minorHAnsi" w:hAnsiTheme="minorHAnsi"/>
        </w:rPr>
        <w:t>,</w:t>
      </w:r>
      <w:r w:rsidR="00695D77" w:rsidRPr="00EB778E">
        <w:rPr>
          <w:rFonts w:asciiTheme="minorHAnsi" w:hAnsiTheme="minorHAnsi"/>
        </w:rPr>
        <w:t xml:space="preserve"> </w:t>
      </w:r>
      <w:r w:rsidR="002A503A" w:rsidRPr="00EB778E">
        <w:rPr>
          <w:rFonts w:asciiTheme="minorHAnsi" w:hAnsiTheme="minorHAnsi"/>
        </w:rPr>
        <w:t>rebalanced every week</w:t>
      </w:r>
      <w:r w:rsidR="00296268">
        <w:rPr>
          <w:rFonts w:asciiTheme="minorHAnsi" w:hAnsiTheme="minorHAnsi"/>
        </w:rPr>
        <w:t>.</w:t>
      </w:r>
      <w:r w:rsidR="002A503A" w:rsidRPr="00EB778E">
        <w:rPr>
          <w:rFonts w:asciiTheme="minorHAnsi" w:hAnsiTheme="minorHAnsi"/>
        </w:rPr>
        <w:t xml:space="preserve"> </w:t>
      </w:r>
      <w:r w:rsidR="00FB08B5">
        <w:rPr>
          <w:rFonts w:asciiTheme="minorHAnsi" w:hAnsiTheme="minorHAnsi"/>
        </w:rPr>
        <w:t xml:space="preserve">The difference between naïve diversification </w:t>
      </w:r>
      <w:r w:rsidR="00FB08B5">
        <w:rPr>
          <w:rFonts w:asciiTheme="minorHAnsi" w:hAnsiTheme="minorHAnsi"/>
        </w:rPr>
        <w:lastRenderedPageBreak/>
        <w:t xml:space="preserve">(1/N) and optimal diversification (Markowitz) is very small </w:t>
      </w:r>
      <w:r w:rsidR="00FB08B5" w:rsidRPr="00EB778E">
        <w:rPr>
          <w:rFonts w:asciiTheme="minorHAnsi" w:hAnsiTheme="minorHAnsi"/>
        </w:rPr>
        <w:t>and statistically insignificant</w:t>
      </w:r>
      <w:r w:rsidR="008634EB">
        <w:rPr>
          <w:rFonts w:asciiTheme="minorHAnsi" w:hAnsiTheme="minorHAnsi"/>
        </w:rPr>
        <w:t>,</w:t>
      </w:r>
      <w:r w:rsidR="00FB08B5" w:rsidRPr="00EB778E">
        <w:rPr>
          <w:rFonts w:asciiTheme="minorHAnsi" w:hAnsiTheme="minorHAnsi"/>
        </w:rPr>
        <w:t xml:space="preserve"> indicating that</w:t>
      </w:r>
      <w:r w:rsidR="00FB08B5">
        <w:rPr>
          <w:rFonts w:asciiTheme="minorHAnsi" w:hAnsiTheme="minorHAnsi"/>
        </w:rPr>
        <w:t xml:space="preserve"> there is very little to select between these two methods of diversification. </w:t>
      </w:r>
      <w:r w:rsidR="00D231E5">
        <w:rPr>
          <w:rFonts w:asciiTheme="minorHAnsi" w:hAnsiTheme="minorHAnsi"/>
        </w:rPr>
        <w:t xml:space="preserve">These figures also show that risk-adjusted performance is insensitive to λ. </w:t>
      </w:r>
      <w:r w:rsidR="00FB08B5">
        <w:rPr>
          <w:rFonts w:asciiTheme="minorHAnsi" w:hAnsiTheme="minorHAnsi"/>
        </w:rPr>
        <w:t>T</w:t>
      </w:r>
      <w:r w:rsidR="006D5A9C" w:rsidRPr="00EB778E">
        <w:rPr>
          <w:rFonts w:asciiTheme="minorHAnsi" w:hAnsiTheme="minorHAnsi"/>
        </w:rPr>
        <w:t xml:space="preserve">o add robustness to our findings, </w:t>
      </w:r>
      <w:r w:rsidRPr="00EB778E">
        <w:rPr>
          <w:rFonts w:asciiTheme="minorHAnsi" w:hAnsiTheme="minorHAnsi"/>
        </w:rPr>
        <w:t>Figure</w:t>
      </w:r>
      <w:r w:rsidR="00FB08B5">
        <w:rPr>
          <w:rFonts w:asciiTheme="minorHAnsi" w:hAnsiTheme="minorHAnsi"/>
        </w:rPr>
        <w:t>s</w:t>
      </w:r>
      <w:r w:rsidRPr="00EB778E">
        <w:rPr>
          <w:rFonts w:asciiTheme="minorHAnsi" w:hAnsiTheme="minorHAnsi"/>
        </w:rPr>
        <w:t xml:space="preserve"> </w:t>
      </w:r>
      <w:r w:rsidR="00FB08B5">
        <w:rPr>
          <w:rFonts w:asciiTheme="minorHAnsi" w:hAnsiTheme="minorHAnsi"/>
        </w:rPr>
        <w:t>3 and 4</w:t>
      </w:r>
      <w:r w:rsidR="009B2237">
        <w:rPr>
          <w:rFonts w:asciiTheme="minorHAnsi" w:hAnsiTheme="minorHAnsi"/>
        </w:rPr>
        <w:t xml:space="preserve"> report</w:t>
      </w:r>
      <w:r w:rsidR="002F0C21" w:rsidRPr="00EB778E">
        <w:rPr>
          <w:rFonts w:asciiTheme="minorHAnsi" w:hAnsiTheme="minorHAnsi"/>
        </w:rPr>
        <w:t xml:space="preserve"> the re-estimation of </w:t>
      </w:r>
      <w:r w:rsidR="006D5A9C" w:rsidRPr="00EB778E">
        <w:rPr>
          <w:rFonts w:asciiTheme="minorHAnsi" w:hAnsiTheme="minorHAnsi"/>
        </w:rPr>
        <w:t xml:space="preserve">our models </w:t>
      </w:r>
      <w:r w:rsidR="002F0C21" w:rsidRPr="00EB778E">
        <w:rPr>
          <w:rFonts w:asciiTheme="minorHAnsi" w:hAnsiTheme="minorHAnsi"/>
        </w:rPr>
        <w:t>w</w:t>
      </w:r>
      <w:r w:rsidR="00614AB7">
        <w:rPr>
          <w:rFonts w:asciiTheme="minorHAnsi" w:hAnsiTheme="minorHAnsi"/>
        </w:rPr>
        <w:t>ith</w:t>
      </w:r>
      <w:r w:rsidR="006D5A9C" w:rsidRPr="00EB778E">
        <w:rPr>
          <w:rFonts w:asciiTheme="minorHAnsi" w:hAnsiTheme="minorHAnsi"/>
        </w:rPr>
        <w:t xml:space="preserve"> a 52-week expanding window</w:t>
      </w:r>
      <w:r w:rsidR="00614AB7">
        <w:rPr>
          <w:rFonts w:asciiTheme="minorHAnsi" w:hAnsiTheme="minorHAnsi"/>
        </w:rPr>
        <w:t>,</w:t>
      </w:r>
      <w:r w:rsidR="006D5A9C" w:rsidRPr="00EB778E">
        <w:rPr>
          <w:rFonts w:asciiTheme="minorHAnsi" w:hAnsiTheme="minorHAnsi"/>
        </w:rPr>
        <w:t xml:space="preserve"> rather than a 26-week expanding window</w:t>
      </w:r>
      <w:r w:rsidR="008634EB">
        <w:rPr>
          <w:rFonts w:asciiTheme="minorHAnsi" w:hAnsiTheme="minorHAnsi"/>
        </w:rPr>
        <w:t xml:space="preserve">. </w:t>
      </w:r>
      <w:r w:rsidR="00614AB7">
        <w:rPr>
          <w:rFonts w:asciiTheme="minorHAnsi" w:hAnsiTheme="minorHAnsi"/>
        </w:rPr>
        <w:t xml:space="preserve">These </w:t>
      </w:r>
      <w:r w:rsidR="002F0C21" w:rsidRPr="00EB778E">
        <w:rPr>
          <w:rFonts w:asciiTheme="minorHAnsi" w:hAnsiTheme="minorHAnsi"/>
        </w:rPr>
        <w:t xml:space="preserve">results are </w:t>
      </w:r>
      <w:r w:rsidR="00F163A2" w:rsidRPr="00EB778E">
        <w:rPr>
          <w:rFonts w:asciiTheme="minorHAnsi" w:hAnsiTheme="minorHAnsi"/>
        </w:rPr>
        <w:t xml:space="preserve">consistent </w:t>
      </w:r>
      <w:r w:rsidR="00614AB7">
        <w:rPr>
          <w:rFonts w:asciiTheme="minorHAnsi" w:hAnsiTheme="minorHAnsi"/>
        </w:rPr>
        <w:t xml:space="preserve">with those for a 26-week expanding window. </w:t>
      </w:r>
    </w:p>
    <w:p w14:paraId="47A2819A" w14:textId="77777777" w:rsidR="007C06E4" w:rsidRPr="00EB778E" w:rsidRDefault="007C06E4" w:rsidP="000639DE">
      <w:pPr>
        <w:pStyle w:val="ListParagraph"/>
        <w:spacing w:line="360" w:lineRule="auto"/>
        <w:jc w:val="both"/>
        <w:rPr>
          <w:rFonts w:cs="Times New Roman"/>
        </w:rPr>
      </w:pPr>
    </w:p>
    <w:p w14:paraId="36FF53DA" w14:textId="782E83C8" w:rsidR="007C06E4" w:rsidRPr="00EB778E" w:rsidRDefault="007C06E4" w:rsidP="000639DE">
      <w:pPr>
        <w:pStyle w:val="ListParagraph"/>
        <w:numPr>
          <w:ilvl w:val="0"/>
          <w:numId w:val="1"/>
        </w:numPr>
        <w:spacing w:line="360" w:lineRule="auto"/>
        <w:jc w:val="both"/>
        <w:rPr>
          <w:rFonts w:cs="Times New Roman"/>
          <w:b/>
        </w:rPr>
      </w:pPr>
      <w:r w:rsidRPr="00EB778E">
        <w:rPr>
          <w:rFonts w:cs="Times New Roman"/>
          <w:b/>
        </w:rPr>
        <w:t>Conclusions</w:t>
      </w:r>
    </w:p>
    <w:p w14:paraId="57C9EA4D" w14:textId="77777777" w:rsidR="007C06E4" w:rsidRPr="00EB778E" w:rsidRDefault="007C06E4" w:rsidP="000639DE">
      <w:pPr>
        <w:pStyle w:val="ListParagraph"/>
        <w:spacing w:line="360" w:lineRule="auto"/>
        <w:jc w:val="both"/>
        <w:rPr>
          <w:rFonts w:cs="Times New Roman"/>
        </w:rPr>
      </w:pPr>
    </w:p>
    <w:p w14:paraId="02B2FF35" w14:textId="36C1B814" w:rsidR="006B4B91" w:rsidRDefault="002F1743" w:rsidP="000639DE">
      <w:pPr>
        <w:spacing w:line="360" w:lineRule="auto"/>
        <w:jc w:val="both"/>
        <w:rPr>
          <w:rFonts w:asciiTheme="minorHAnsi" w:hAnsiTheme="minorHAnsi"/>
        </w:rPr>
      </w:pPr>
      <w:r w:rsidRPr="00EB778E">
        <w:rPr>
          <w:rFonts w:asciiTheme="minorHAnsi" w:hAnsiTheme="minorHAnsi"/>
        </w:rPr>
        <w:t>We add to the literature on cryptocurrencies and portfolio management by examining</w:t>
      </w:r>
      <w:r w:rsidR="00F163A2" w:rsidRPr="00EB778E">
        <w:rPr>
          <w:rFonts w:asciiTheme="minorHAnsi" w:hAnsiTheme="minorHAnsi"/>
        </w:rPr>
        <w:t xml:space="preserve"> the performance of naïve diversification (1/N) and optimal diversification (Markowitz) in the context of a portfolio consisting of four popular cryptocurrencies. We find </w:t>
      </w:r>
      <w:r w:rsidR="00AD29CF" w:rsidRPr="00EB778E">
        <w:rPr>
          <w:rFonts w:asciiTheme="minorHAnsi" w:hAnsiTheme="minorHAnsi"/>
        </w:rPr>
        <w:t>very little difference in performance between the two construction techniques, supporting the fi</w:t>
      </w:r>
      <w:r w:rsidRPr="00EB778E">
        <w:rPr>
          <w:rFonts w:asciiTheme="minorHAnsi" w:hAnsiTheme="minorHAnsi"/>
        </w:rPr>
        <w:t xml:space="preserve">ndings of DeMiguel et al (2009) that naïve diversification is as good, if not better, than optimal diversification. </w:t>
      </w:r>
    </w:p>
    <w:p w14:paraId="37210ED6" w14:textId="77777777" w:rsidR="006B4B91" w:rsidRDefault="006B4B91">
      <w:pPr>
        <w:rPr>
          <w:rFonts w:asciiTheme="minorHAnsi" w:hAnsiTheme="minorHAnsi"/>
        </w:rPr>
      </w:pPr>
      <w:r>
        <w:rPr>
          <w:rFonts w:asciiTheme="minorHAnsi" w:hAnsiTheme="minorHAnsi"/>
        </w:rPr>
        <w:br w:type="page"/>
      </w:r>
    </w:p>
    <w:p w14:paraId="73AB5A74" w14:textId="77777777" w:rsidR="00EB778E" w:rsidRPr="00EB778E" w:rsidRDefault="00EB778E" w:rsidP="000639DE">
      <w:pPr>
        <w:spacing w:line="360" w:lineRule="auto"/>
        <w:jc w:val="both"/>
        <w:rPr>
          <w:rFonts w:asciiTheme="minorHAnsi" w:hAnsiTheme="minorHAnsi"/>
        </w:rPr>
      </w:pPr>
    </w:p>
    <w:p w14:paraId="68812358" w14:textId="465CABCE" w:rsidR="006F7354" w:rsidRPr="00EB778E" w:rsidRDefault="006F7354" w:rsidP="000639DE">
      <w:pPr>
        <w:spacing w:line="360" w:lineRule="auto"/>
        <w:jc w:val="both"/>
        <w:rPr>
          <w:rFonts w:asciiTheme="minorHAnsi" w:hAnsiTheme="minorHAnsi"/>
        </w:rPr>
      </w:pPr>
      <w:r w:rsidRPr="00EB778E">
        <w:rPr>
          <w:rFonts w:asciiTheme="minorHAnsi" w:hAnsiTheme="minorHAnsi"/>
          <w:b/>
        </w:rPr>
        <w:t>Tables</w:t>
      </w:r>
    </w:p>
    <w:p w14:paraId="6C37C923" w14:textId="40BFB932" w:rsidR="006F7354" w:rsidRPr="00EB778E" w:rsidRDefault="00EB778E" w:rsidP="00EB778E">
      <w:pPr>
        <w:jc w:val="both"/>
        <w:rPr>
          <w:rFonts w:asciiTheme="minorHAnsi" w:hAnsiTheme="minorHAnsi"/>
          <w:sz w:val="20"/>
        </w:rPr>
      </w:pPr>
      <w:r w:rsidRPr="00EB778E">
        <w:rPr>
          <w:rFonts w:asciiTheme="minorHAnsi" w:hAnsiTheme="minorHAnsi"/>
          <w:b/>
          <w:sz w:val="20"/>
        </w:rPr>
        <w:t>Table 1</w:t>
      </w:r>
      <w:r w:rsidRPr="00EB778E">
        <w:rPr>
          <w:rFonts w:asciiTheme="minorHAnsi" w:hAnsiTheme="minorHAnsi"/>
          <w:sz w:val="20"/>
        </w:rPr>
        <w:t>: Descriptive statistics of the returns of the cryptocurrencies employed in this study</w:t>
      </w:r>
      <w:r w:rsidR="00C110BA">
        <w:rPr>
          <w:rFonts w:asciiTheme="minorHAnsi" w:hAnsiTheme="minorHAnsi"/>
          <w:sz w:val="20"/>
        </w:rPr>
        <w:t>,</w:t>
      </w:r>
      <w:r w:rsidRPr="00EB778E">
        <w:rPr>
          <w:rFonts w:asciiTheme="minorHAnsi" w:hAnsiTheme="minorHAnsi"/>
          <w:sz w:val="20"/>
        </w:rPr>
        <w:t xml:space="preserve"> </w:t>
      </w:r>
      <w:r w:rsidR="00C110BA">
        <w:rPr>
          <w:rFonts w:asciiTheme="minorHAnsi" w:hAnsiTheme="minorHAnsi"/>
          <w:sz w:val="20"/>
        </w:rPr>
        <w:t xml:space="preserve">and their </w:t>
      </w:r>
      <w:r w:rsidRPr="00EB778E">
        <w:rPr>
          <w:rFonts w:asciiTheme="minorHAnsi" w:hAnsiTheme="minorHAnsi"/>
          <w:sz w:val="20"/>
        </w:rPr>
        <w:t>correlation matrix.</w:t>
      </w:r>
    </w:p>
    <w:p w14:paraId="651B3446" w14:textId="08A7237A" w:rsidR="006F7354" w:rsidRDefault="006F7354" w:rsidP="00DF2226">
      <w:pPr>
        <w:jc w:val="both"/>
        <w:rPr>
          <w:rFonts w:ascii="Garamond" w:hAnsi="Garamond"/>
          <w:b/>
        </w:rPr>
      </w:pPr>
    </w:p>
    <w:tbl>
      <w:tblPr>
        <w:tblpPr w:leftFromText="180" w:rightFromText="180" w:vertAnchor="text" w:horzAnchor="margin" w:tblpY="94"/>
        <w:tblW w:w="489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619"/>
        <w:gridCol w:w="1620"/>
        <w:gridCol w:w="1620"/>
        <w:gridCol w:w="1625"/>
      </w:tblGrid>
      <w:tr w:rsidR="00EB778E" w:rsidRPr="00EB778E" w14:paraId="5831B54A" w14:textId="77777777" w:rsidTr="00EB778E">
        <w:trPr>
          <w:trHeight w:val="320"/>
        </w:trPr>
        <w:tc>
          <w:tcPr>
            <w:tcW w:w="1325" w:type="pct"/>
            <w:tcBorders>
              <w:bottom w:val="single" w:sz="4" w:space="0" w:color="auto"/>
            </w:tcBorders>
            <w:shd w:val="clear" w:color="auto" w:fill="auto"/>
            <w:noWrap/>
            <w:vAlign w:val="bottom"/>
            <w:hideMark/>
          </w:tcPr>
          <w:p w14:paraId="68720FE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 </w:t>
            </w:r>
          </w:p>
        </w:tc>
        <w:tc>
          <w:tcPr>
            <w:tcW w:w="918" w:type="pct"/>
            <w:tcBorders>
              <w:bottom w:val="single" w:sz="4" w:space="0" w:color="auto"/>
            </w:tcBorders>
            <w:shd w:val="clear" w:color="auto" w:fill="auto"/>
            <w:noWrap/>
            <w:vAlign w:val="bottom"/>
            <w:hideMark/>
          </w:tcPr>
          <w:p w14:paraId="7AD86262" w14:textId="77777777" w:rsidR="00EB778E" w:rsidRPr="00EB778E" w:rsidRDefault="00EB778E" w:rsidP="00EB778E">
            <w:pPr>
              <w:jc w:val="center"/>
              <w:rPr>
                <w:rFonts w:asciiTheme="minorHAnsi" w:eastAsia="Times New Roman" w:hAnsiTheme="minorHAnsi"/>
                <w:bCs/>
                <w:color w:val="000000"/>
                <w:sz w:val="20"/>
                <w:szCs w:val="20"/>
              </w:rPr>
            </w:pPr>
            <w:r w:rsidRPr="00EB778E">
              <w:rPr>
                <w:rFonts w:asciiTheme="minorHAnsi" w:eastAsia="Times New Roman" w:hAnsiTheme="minorHAnsi"/>
                <w:bCs/>
                <w:color w:val="000000"/>
                <w:sz w:val="20"/>
                <w:szCs w:val="20"/>
              </w:rPr>
              <w:t>Bitcoin</w:t>
            </w:r>
          </w:p>
        </w:tc>
        <w:tc>
          <w:tcPr>
            <w:tcW w:w="918" w:type="pct"/>
            <w:tcBorders>
              <w:bottom w:val="single" w:sz="4" w:space="0" w:color="auto"/>
            </w:tcBorders>
            <w:shd w:val="clear" w:color="auto" w:fill="auto"/>
            <w:noWrap/>
            <w:vAlign w:val="bottom"/>
            <w:hideMark/>
          </w:tcPr>
          <w:p w14:paraId="5A435185" w14:textId="77777777" w:rsidR="00EB778E" w:rsidRPr="00EB778E" w:rsidRDefault="00EB778E" w:rsidP="00EB778E">
            <w:pPr>
              <w:jc w:val="center"/>
              <w:rPr>
                <w:rFonts w:asciiTheme="minorHAnsi" w:eastAsia="Times New Roman" w:hAnsiTheme="minorHAnsi"/>
                <w:bCs/>
                <w:color w:val="000000"/>
                <w:sz w:val="20"/>
                <w:szCs w:val="20"/>
              </w:rPr>
            </w:pPr>
            <w:r w:rsidRPr="00EB778E">
              <w:rPr>
                <w:rFonts w:asciiTheme="minorHAnsi" w:eastAsia="Times New Roman" w:hAnsiTheme="minorHAnsi"/>
                <w:bCs/>
                <w:color w:val="000000"/>
                <w:sz w:val="20"/>
                <w:szCs w:val="20"/>
              </w:rPr>
              <w:t>Litecoin</w:t>
            </w:r>
          </w:p>
        </w:tc>
        <w:tc>
          <w:tcPr>
            <w:tcW w:w="918" w:type="pct"/>
            <w:tcBorders>
              <w:bottom w:val="single" w:sz="4" w:space="0" w:color="auto"/>
            </w:tcBorders>
            <w:shd w:val="clear" w:color="auto" w:fill="auto"/>
            <w:noWrap/>
            <w:vAlign w:val="bottom"/>
            <w:hideMark/>
          </w:tcPr>
          <w:p w14:paraId="639B4856" w14:textId="77777777" w:rsidR="00EB778E" w:rsidRPr="00EB778E" w:rsidRDefault="00EB778E" w:rsidP="00EB778E">
            <w:pPr>
              <w:jc w:val="center"/>
              <w:rPr>
                <w:rFonts w:asciiTheme="minorHAnsi" w:eastAsia="Times New Roman" w:hAnsiTheme="minorHAnsi"/>
                <w:bCs/>
                <w:color w:val="000000"/>
                <w:sz w:val="20"/>
                <w:szCs w:val="20"/>
              </w:rPr>
            </w:pPr>
            <w:r w:rsidRPr="00EB778E">
              <w:rPr>
                <w:rFonts w:asciiTheme="minorHAnsi" w:eastAsia="Times New Roman" w:hAnsiTheme="minorHAnsi"/>
                <w:bCs/>
                <w:color w:val="000000"/>
                <w:sz w:val="20"/>
                <w:szCs w:val="20"/>
              </w:rPr>
              <w:t xml:space="preserve">Ripple </w:t>
            </w:r>
          </w:p>
        </w:tc>
        <w:tc>
          <w:tcPr>
            <w:tcW w:w="921" w:type="pct"/>
            <w:tcBorders>
              <w:bottom w:val="single" w:sz="4" w:space="0" w:color="auto"/>
            </w:tcBorders>
            <w:shd w:val="clear" w:color="auto" w:fill="auto"/>
            <w:noWrap/>
            <w:vAlign w:val="bottom"/>
            <w:hideMark/>
          </w:tcPr>
          <w:p w14:paraId="5732F018" w14:textId="77777777" w:rsidR="00EB778E" w:rsidRPr="00EB778E" w:rsidRDefault="00EB778E" w:rsidP="00EB778E">
            <w:pPr>
              <w:jc w:val="center"/>
              <w:rPr>
                <w:rFonts w:asciiTheme="minorHAnsi" w:eastAsia="Times New Roman" w:hAnsiTheme="minorHAnsi"/>
                <w:bCs/>
                <w:color w:val="000000"/>
                <w:sz w:val="20"/>
                <w:szCs w:val="20"/>
              </w:rPr>
            </w:pPr>
            <w:r w:rsidRPr="00EB778E">
              <w:rPr>
                <w:rFonts w:asciiTheme="minorHAnsi" w:eastAsia="Times New Roman" w:hAnsiTheme="minorHAnsi"/>
                <w:bCs/>
                <w:color w:val="000000"/>
                <w:sz w:val="20"/>
                <w:szCs w:val="20"/>
              </w:rPr>
              <w:t>Dash</w:t>
            </w:r>
          </w:p>
        </w:tc>
      </w:tr>
      <w:tr w:rsidR="00EB778E" w:rsidRPr="00EB778E" w14:paraId="7E452AD0" w14:textId="77777777" w:rsidTr="00EB778E">
        <w:trPr>
          <w:trHeight w:val="334"/>
        </w:trPr>
        <w:tc>
          <w:tcPr>
            <w:tcW w:w="5000" w:type="pct"/>
            <w:gridSpan w:val="5"/>
            <w:tcBorders>
              <w:top w:val="single" w:sz="4" w:space="0" w:color="auto"/>
              <w:bottom w:val="nil"/>
            </w:tcBorders>
            <w:shd w:val="clear" w:color="auto" w:fill="auto"/>
            <w:noWrap/>
            <w:vAlign w:val="bottom"/>
          </w:tcPr>
          <w:p w14:paraId="0604B94B" w14:textId="77777777" w:rsidR="00EB778E" w:rsidRPr="00EB778E" w:rsidRDefault="00EB778E" w:rsidP="00EB778E">
            <w:pP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Panel A: Descriptive Statistics</w:t>
            </w:r>
          </w:p>
        </w:tc>
      </w:tr>
      <w:tr w:rsidR="00EB778E" w:rsidRPr="00EB778E" w14:paraId="731EA06C" w14:textId="77777777" w:rsidTr="00EB778E">
        <w:trPr>
          <w:trHeight w:val="334"/>
        </w:trPr>
        <w:tc>
          <w:tcPr>
            <w:tcW w:w="1325" w:type="pct"/>
            <w:tcBorders>
              <w:top w:val="nil"/>
            </w:tcBorders>
            <w:shd w:val="clear" w:color="auto" w:fill="auto"/>
            <w:noWrap/>
            <w:vAlign w:val="bottom"/>
            <w:hideMark/>
          </w:tcPr>
          <w:p w14:paraId="3E887316"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Mean</w:t>
            </w:r>
          </w:p>
        </w:tc>
        <w:tc>
          <w:tcPr>
            <w:tcW w:w="918" w:type="pct"/>
            <w:tcBorders>
              <w:top w:val="nil"/>
            </w:tcBorders>
            <w:shd w:val="clear" w:color="auto" w:fill="auto"/>
            <w:noWrap/>
            <w:vAlign w:val="bottom"/>
            <w:hideMark/>
          </w:tcPr>
          <w:p w14:paraId="13B3E0D9"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0.01866</w:t>
            </w:r>
          </w:p>
        </w:tc>
        <w:tc>
          <w:tcPr>
            <w:tcW w:w="918" w:type="pct"/>
            <w:tcBorders>
              <w:top w:val="nil"/>
            </w:tcBorders>
            <w:shd w:val="clear" w:color="auto" w:fill="auto"/>
            <w:noWrap/>
            <w:vAlign w:val="bottom"/>
            <w:hideMark/>
          </w:tcPr>
          <w:p w14:paraId="76C58DBD"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0.02352</w:t>
            </w:r>
          </w:p>
        </w:tc>
        <w:tc>
          <w:tcPr>
            <w:tcW w:w="918" w:type="pct"/>
            <w:tcBorders>
              <w:top w:val="nil"/>
            </w:tcBorders>
            <w:shd w:val="clear" w:color="auto" w:fill="auto"/>
            <w:noWrap/>
            <w:vAlign w:val="bottom"/>
            <w:hideMark/>
          </w:tcPr>
          <w:p w14:paraId="13DB929C"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0.04656</w:t>
            </w:r>
          </w:p>
        </w:tc>
        <w:tc>
          <w:tcPr>
            <w:tcW w:w="921" w:type="pct"/>
            <w:tcBorders>
              <w:top w:val="nil"/>
            </w:tcBorders>
            <w:shd w:val="clear" w:color="auto" w:fill="auto"/>
            <w:noWrap/>
            <w:vAlign w:val="bottom"/>
            <w:hideMark/>
          </w:tcPr>
          <w:p w14:paraId="69942364"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0.06352</w:t>
            </w:r>
          </w:p>
        </w:tc>
      </w:tr>
      <w:tr w:rsidR="00EB778E" w:rsidRPr="00EB778E" w14:paraId="719AD0B6" w14:textId="77777777" w:rsidTr="00EB778E">
        <w:trPr>
          <w:trHeight w:val="320"/>
        </w:trPr>
        <w:tc>
          <w:tcPr>
            <w:tcW w:w="1325" w:type="pct"/>
            <w:shd w:val="clear" w:color="auto" w:fill="auto"/>
            <w:noWrap/>
            <w:vAlign w:val="bottom"/>
            <w:hideMark/>
          </w:tcPr>
          <w:p w14:paraId="78FD3B0E"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Std.Dev.</w:t>
            </w:r>
          </w:p>
        </w:tc>
        <w:tc>
          <w:tcPr>
            <w:tcW w:w="918" w:type="pct"/>
            <w:shd w:val="clear" w:color="auto" w:fill="auto"/>
            <w:noWrap/>
            <w:vAlign w:val="bottom"/>
            <w:hideMark/>
          </w:tcPr>
          <w:p w14:paraId="25CF709D"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0.10098</w:t>
            </w:r>
          </w:p>
        </w:tc>
        <w:tc>
          <w:tcPr>
            <w:tcW w:w="918" w:type="pct"/>
            <w:shd w:val="clear" w:color="auto" w:fill="auto"/>
            <w:noWrap/>
            <w:vAlign w:val="bottom"/>
            <w:hideMark/>
          </w:tcPr>
          <w:p w14:paraId="221FF980"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0.17652</w:t>
            </w:r>
          </w:p>
        </w:tc>
        <w:tc>
          <w:tcPr>
            <w:tcW w:w="918" w:type="pct"/>
            <w:shd w:val="clear" w:color="auto" w:fill="auto"/>
            <w:noWrap/>
            <w:vAlign w:val="bottom"/>
            <w:hideMark/>
          </w:tcPr>
          <w:p w14:paraId="3FB35B66"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0.27585</w:t>
            </w:r>
          </w:p>
        </w:tc>
        <w:tc>
          <w:tcPr>
            <w:tcW w:w="921" w:type="pct"/>
            <w:shd w:val="clear" w:color="auto" w:fill="auto"/>
            <w:noWrap/>
            <w:vAlign w:val="bottom"/>
            <w:hideMark/>
          </w:tcPr>
          <w:p w14:paraId="5EC61EDC"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0.27900</w:t>
            </w:r>
          </w:p>
        </w:tc>
      </w:tr>
      <w:tr w:rsidR="00EB778E" w:rsidRPr="00EB778E" w14:paraId="762B3517" w14:textId="77777777" w:rsidTr="00EB778E">
        <w:trPr>
          <w:trHeight w:val="320"/>
        </w:trPr>
        <w:tc>
          <w:tcPr>
            <w:tcW w:w="1325" w:type="pct"/>
            <w:shd w:val="clear" w:color="auto" w:fill="auto"/>
            <w:noWrap/>
            <w:vAlign w:val="bottom"/>
            <w:hideMark/>
          </w:tcPr>
          <w:p w14:paraId="5B45BA72"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Min</w:t>
            </w:r>
          </w:p>
        </w:tc>
        <w:tc>
          <w:tcPr>
            <w:tcW w:w="918" w:type="pct"/>
            <w:shd w:val="clear" w:color="auto" w:fill="auto"/>
            <w:noWrap/>
            <w:vAlign w:val="bottom"/>
            <w:hideMark/>
          </w:tcPr>
          <w:p w14:paraId="1D0E89A6"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-0.28343</w:t>
            </w:r>
          </w:p>
        </w:tc>
        <w:tc>
          <w:tcPr>
            <w:tcW w:w="918" w:type="pct"/>
            <w:shd w:val="clear" w:color="auto" w:fill="auto"/>
            <w:noWrap/>
            <w:vAlign w:val="bottom"/>
            <w:hideMark/>
          </w:tcPr>
          <w:p w14:paraId="51C35DCD"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-0.29293</w:t>
            </w:r>
          </w:p>
        </w:tc>
        <w:tc>
          <w:tcPr>
            <w:tcW w:w="918" w:type="pct"/>
            <w:shd w:val="clear" w:color="auto" w:fill="auto"/>
            <w:noWrap/>
            <w:vAlign w:val="bottom"/>
            <w:hideMark/>
          </w:tcPr>
          <w:p w14:paraId="4EF259AA"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-0.52026</w:t>
            </w:r>
          </w:p>
        </w:tc>
        <w:tc>
          <w:tcPr>
            <w:tcW w:w="921" w:type="pct"/>
            <w:shd w:val="clear" w:color="auto" w:fill="auto"/>
            <w:noWrap/>
            <w:vAlign w:val="bottom"/>
            <w:hideMark/>
          </w:tcPr>
          <w:p w14:paraId="4266A094"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-0.51269</w:t>
            </w:r>
          </w:p>
        </w:tc>
      </w:tr>
      <w:tr w:rsidR="00EB778E" w:rsidRPr="00EB778E" w14:paraId="78E3F11F" w14:textId="77777777" w:rsidTr="00EB778E">
        <w:trPr>
          <w:trHeight w:val="320"/>
        </w:trPr>
        <w:tc>
          <w:tcPr>
            <w:tcW w:w="1325" w:type="pct"/>
            <w:shd w:val="clear" w:color="auto" w:fill="auto"/>
            <w:noWrap/>
            <w:vAlign w:val="bottom"/>
            <w:hideMark/>
          </w:tcPr>
          <w:p w14:paraId="72A09FB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Max</w:t>
            </w:r>
          </w:p>
        </w:tc>
        <w:tc>
          <w:tcPr>
            <w:tcW w:w="918" w:type="pct"/>
            <w:shd w:val="clear" w:color="auto" w:fill="auto"/>
            <w:noWrap/>
            <w:vAlign w:val="bottom"/>
            <w:hideMark/>
          </w:tcPr>
          <w:p w14:paraId="171B890C"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0.50966</w:t>
            </w:r>
          </w:p>
        </w:tc>
        <w:tc>
          <w:tcPr>
            <w:tcW w:w="918" w:type="pct"/>
            <w:shd w:val="clear" w:color="auto" w:fill="auto"/>
            <w:noWrap/>
            <w:vAlign w:val="bottom"/>
            <w:hideMark/>
          </w:tcPr>
          <w:p w14:paraId="16653DF2"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1.40112</w:t>
            </w:r>
          </w:p>
        </w:tc>
        <w:tc>
          <w:tcPr>
            <w:tcW w:w="918" w:type="pct"/>
            <w:shd w:val="clear" w:color="auto" w:fill="auto"/>
            <w:noWrap/>
            <w:vAlign w:val="bottom"/>
            <w:hideMark/>
          </w:tcPr>
          <w:p w14:paraId="45062350"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1.99923</w:t>
            </w:r>
          </w:p>
        </w:tc>
        <w:tc>
          <w:tcPr>
            <w:tcW w:w="921" w:type="pct"/>
            <w:shd w:val="clear" w:color="auto" w:fill="auto"/>
            <w:noWrap/>
            <w:vAlign w:val="bottom"/>
            <w:hideMark/>
          </w:tcPr>
          <w:p w14:paraId="178588F6"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2.02120</w:t>
            </w:r>
          </w:p>
        </w:tc>
      </w:tr>
      <w:tr w:rsidR="00EB778E" w:rsidRPr="00EB778E" w14:paraId="1DC55CCD" w14:textId="77777777" w:rsidTr="00EB778E">
        <w:trPr>
          <w:trHeight w:val="320"/>
        </w:trPr>
        <w:tc>
          <w:tcPr>
            <w:tcW w:w="1325" w:type="pct"/>
            <w:shd w:val="clear" w:color="auto" w:fill="auto"/>
            <w:noWrap/>
            <w:vAlign w:val="bottom"/>
            <w:hideMark/>
          </w:tcPr>
          <w:p w14:paraId="5BA63576"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Skew</w:t>
            </w:r>
          </w:p>
        </w:tc>
        <w:tc>
          <w:tcPr>
            <w:tcW w:w="918" w:type="pct"/>
            <w:shd w:val="clear" w:color="auto" w:fill="auto"/>
            <w:noWrap/>
            <w:vAlign w:val="bottom"/>
            <w:hideMark/>
          </w:tcPr>
          <w:p w14:paraId="125DCBCF"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0.75464</w:t>
            </w:r>
          </w:p>
        </w:tc>
        <w:tc>
          <w:tcPr>
            <w:tcW w:w="918" w:type="pct"/>
            <w:shd w:val="clear" w:color="auto" w:fill="auto"/>
            <w:noWrap/>
            <w:vAlign w:val="bottom"/>
            <w:hideMark/>
          </w:tcPr>
          <w:p w14:paraId="336072CE"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3.44920</w:t>
            </w:r>
          </w:p>
        </w:tc>
        <w:tc>
          <w:tcPr>
            <w:tcW w:w="918" w:type="pct"/>
            <w:shd w:val="clear" w:color="auto" w:fill="auto"/>
            <w:noWrap/>
            <w:vAlign w:val="bottom"/>
            <w:hideMark/>
          </w:tcPr>
          <w:p w14:paraId="162121EE"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3.46105</w:t>
            </w:r>
          </w:p>
        </w:tc>
        <w:tc>
          <w:tcPr>
            <w:tcW w:w="921" w:type="pct"/>
            <w:shd w:val="clear" w:color="auto" w:fill="auto"/>
            <w:noWrap/>
            <w:vAlign w:val="bottom"/>
            <w:hideMark/>
          </w:tcPr>
          <w:p w14:paraId="101F59D1"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3.60369</w:t>
            </w:r>
          </w:p>
        </w:tc>
      </w:tr>
      <w:tr w:rsidR="00EB778E" w:rsidRPr="00EB778E" w14:paraId="5BA7913F" w14:textId="77777777" w:rsidTr="00EB778E">
        <w:trPr>
          <w:trHeight w:val="320"/>
        </w:trPr>
        <w:tc>
          <w:tcPr>
            <w:tcW w:w="1325" w:type="pct"/>
            <w:tcBorders>
              <w:bottom w:val="single" w:sz="4" w:space="0" w:color="auto"/>
            </w:tcBorders>
            <w:shd w:val="clear" w:color="auto" w:fill="auto"/>
            <w:noWrap/>
            <w:vAlign w:val="bottom"/>
            <w:hideMark/>
          </w:tcPr>
          <w:p w14:paraId="3785EEF4"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Kurt</w:t>
            </w:r>
          </w:p>
        </w:tc>
        <w:tc>
          <w:tcPr>
            <w:tcW w:w="918" w:type="pct"/>
            <w:tcBorders>
              <w:bottom w:val="single" w:sz="4" w:space="0" w:color="auto"/>
            </w:tcBorders>
            <w:shd w:val="clear" w:color="auto" w:fill="auto"/>
            <w:noWrap/>
            <w:vAlign w:val="bottom"/>
            <w:hideMark/>
          </w:tcPr>
          <w:p w14:paraId="282CCF3F"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3.00297</w:t>
            </w:r>
          </w:p>
        </w:tc>
        <w:tc>
          <w:tcPr>
            <w:tcW w:w="918" w:type="pct"/>
            <w:tcBorders>
              <w:bottom w:val="single" w:sz="4" w:space="0" w:color="auto"/>
            </w:tcBorders>
            <w:shd w:val="clear" w:color="auto" w:fill="auto"/>
            <w:noWrap/>
            <w:vAlign w:val="bottom"/>
            <w:hideMark/>
          </w:tcPr>
          <w:p w14:paraId="5A177E19"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20.79265</w:t>
            </w:r>
          </w:p>
        </w:tc>
        <w:tc>
          <w:tcPr>
            <w:tcW w:w="918" w:type="pct"/>
            <w:tcBorders>
              <w:bottom w:val="single" w:sz="4" w:space="0" w:color="auto"/>
            </w:tcBorders>
            <w:shd w:val="clear" w:color="auto" w:fill="auto"/>
            <w:noWrap/>
            <w:vAlign w:val="bottom"/>
            <w:hideMark/>
          </w:tcPr>
          <w:p w14:paraId="524D7998"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16.61553</w:t>
            </w:r>
          </w:p>
        </w:tc>
        <w:tc>
          <w:tcPr>
            <w:tcW w:w="921" w:type="pct"/>
            <w:tcBorders>
              <w:bottom w:val="single" w:sz="4" w:space="0" w:color="auto"/>
            </w:tcBorders>
            <w:shd w:val="clear" w:color="auto" w:fill="auto"/>
            <w:noWrap/>
            <w:vAlign w:val="bottom"/>
            <w:hideMark/>
          </w:tcPr>
          <w:p w14:paraId="013EA75F"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18.75829</w:t>
            </w:r>
          </w:p>
        </w:tc>
      </w:tr>
      <w:tr w:rsidR="00EB778E" w:rsidRPr="00EB778E" w14:paraId="1DDB4C33" w14:textId="77777777" w:rsidTr="00EB778E">
        <w:trPr>
          <w:trHeight w:val="320"/>
        </w:trPr>
        <w:tc>
          <w:tcPr>
            <w:tcW w:w="5000" w:type="pct"/>
            <w:gridSpan w:val="5"/>
            <w:tcBorders>
              <w:top w:val="single" w:sz="4" w:space="0" w:color="auto"/>
              <w:bottom w:val="nil"/>
            </w:tcBorders>
            <w:shd w:val="clear" w:color="auto" w:fill="auto"/>
            <w:noWrap/>
            <w:vAlign w:val="bottom"/>
          </w:tcPr>
          <w:p w14:paraId="467BFE65" w14:textId="77777777" w:rsidR="00EB778E" w:rsidRPr="00EB778E" w:rsidRDefault="00EB778E" w:rsidP="00EB778E">
            <w:pP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Panel B: Correlation Matrix</w:t>
            </w:r>
          </w:p>
        </w:tc>
      </w:tr>
      <w:tr w:rsidR="00EB778E" w:rsidRPr="00EB778E" w14:paraId="4ABC2110" w14:textId="77777777" w:rsidTr="00EB778E">
        <w:trPr>
          <w:trHeight w:val="320"/>
        </w:trPr>
        <w:tc>
          <w:tcPr>
            <w:tcW w:w="1325" w:type="pct"/>
            <w:tcBorders>
              <w:top w:val="nil"/>
            </w:tcBorders>
            <w:shd w:val="clear" w:color="auto" w:fill="auto"/>
            <w:noWrap/>
            <w:vAlign w:val="bottom"/>
          </w:tcPr>
          <w:p w14:paraId="0106FC66" w14:textId="77777777" w:rsidR="00EB778E" w:rsidRPr="00EB778E" w:rsidRDefault="00EB778E" w:rsidP="00EB778E">
            <w:pPr>
              <w:jc w:val="center"/>
              <w:rPr>
                <w:rFonts w:asciiTheme="minorHAnsi" w:eastAsia="Times New Roman" w:hAnsiTheme="minorHAnsi"/>
                <w:color w:val="000000"/>
                <w:sz w:val="20"/>
                <w:szCs w:val="20"/>
              </w:rPr>
            </w:pPr>
          </w:p>
        </w:tc>
        <w:tc>
          <w:tcPr>
            <w:tcW w:w="918" w:type="pct"/>
            <w:tcBorders>
              <w:top w:val="nil"/>
            </w:tcBorders>
            <w:shd w:val="clear" w:color="auto" w:fill="auto"/>
            <w:noWrap/>
            <w:vAlign w:val="bottom"/>
          </w:tcPr>
          <w:p w14:paraId="040D8D8E"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Bitcoin</w:t>
            </w:r>
          </w:p>
        </w:tc>
        <w:tc>
          <w:tcPr>
            <w:tcW w:w="918" w:type="pct"/>
            <w:tcBorders>
              <w:top w:val="nil"/>
            </w:tcBorders>
            <w:shd w:val="clear" w:color="auto" w:fill="auto"/>
            <w:noWrap/>
            <w:vAlign w:val="bottom"/>
          </w:tcPr>
          <w:p w14:paraId="16FC326B"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Litecoin</w:t>
            </w:r>
          </w:p>
        </w:tc>
        <w:tc>
          <w:tcPr>
            <w:tcW w:w="918" w:type="pct"/>
            <w:tcBorders>
              <w:top w:val="nil"/>
            </w:tcBorders>
            <w:shd w:val="clear" w:color="auto" w:fill="auto"/>
            <w:noWrap/>
            <w:vAlign w:val="bottom"/>
          </w:tcPr>
          <w:p w14:paraId="6426E9D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 xml:space="preserve">Ripple </w:t>
            </w:r>
          </w:p>
        </w:tc>
        <w:tc>
          <w:tcPr>
            <w:tcW w:w="921" w:type="pct"/>
            <w:tcBorders>
              <w:top w:val="nil"/>
            </w:tcBorders>
            <w:shd w:val="clear" w:color="auto" w:fill="auto"/>
            <w:noWrap/>
            <w:vAlign w:val="bottom"/>
          </w:tcPr>
          <w:p w14:paraId="43E53201"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Dash</w:t>
            </w:r>
          </w:p>
        </w:tc>
      </w:tr>
      <w:tr w:rsidR="00EB778E" w:rsidRPr="00EB778E" w14:paraId="0FA0B46E" w14:textId="77777777" w:rsidTr="00EB778E">
        <w:trPr>
          <w:trHeight w:val="320"/>
        </w:trPr>
        <w:tc>
          <w:tcPr>
            <w:tcW w:w="1325" w:type="pct"/>
            <w:shd w:val="clear" w:color="auto" w:fill="auto"/>
            <w:noWrap/>
            <w:vAlign w:val="bottom"/>
          </w:tcPr>
          <w:p w14:paraId="2E4D2E57"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Bitcoin</w:t>
            </w:r>
          </w:p>
        </w:tc>
        <w:tc>
          <w:tcPr>
            <w:tcW w:w="918" w:type="pct"/>
            <w:shd w:val="clear" w:color="auto" w:fill="auto"/>
            <w:noWrap/>
            <w:vAlign w:val="bottom"/>
          </w:tcPr>
          <w:p w14:paraId="61F79D0A"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w:t>
            </w:r>
          </w:p>
        </w:tc>
        <w:tc>
          <w:tcPr>
            <w:tcW w:w="918" w:type="pct"/>
            <w:shd w:val="clear" w:color="auto" w:fill="auto"/>
            <w:noWrap/>
            <w:vAlign w:val="bottom"/>
          </w:tcPr>
          <w:p w14:paraId="735075E0" w14:textId="77777777" w:rsidR="00EB778E" w:rsidRPr="00EB778E" w:rsidRDefault="00EB778E" w:rsidP="00EB778E">
            <w:pPr>
              <w:jc w:val="center"/>
              <w:rPr>
                <w:rFonts w:asciiTheme="minorHAnsi" w:eastAsia="Times New Roman" w:hAnsiTheme="minorHAnsi"/>
                <w:color w:val="000000"/>
                <w:sz w:val="20"/>
                <w:szCs w:val="20"/>
              </w:rPr>
            </w:pPr>
          </w:p>
        </w:tc>
        <w:tc>
          <w:tcPr>
            <w:tcW w:w="918" w:type="pct"/>
            <w:shd w:val="clear" w:color="auto" w:fill="auto"/>
            <w:noWrap/>
            <w:vAlign w:val="bottom"/>
          </w:tcPr>
          <w:p w14:paraId="70C70C21" w14:textId="77777777" w:rsidR="00EB778E" w:rsidRPr="00EB778E" w:rsidRDefault="00EB778E" w:rsidP="00EB778E">
            <w:pPr>
              <w:jc w:val="center"/>
              <w:rPr>
                <w:rFonts w:asciiTheme="minorHAnsi" w:eastAsia="Times New Roman" w:hAnsiTheme="minorHAnsi"/>
                <w:color w:val="000000"/>
                <w:sz w:val="20"/>
                <w:szCs w:val="20"/>
              </w:rPr>
            </w:pPr>
          </w:p>
        </w:tc>
        <w:tc>
          <w:tcPr>
            <w:tcW w:w="921" w:type="pct"/>
            <w:shd w:val="clear" w:color="auto" w:fill="auto"/>
            <w:noWrap/>
            <w:vAlign w:val="bottom"/>
          </w:tcPr>
          <w:p w14:paraId="1F2954A3" w14:textId="77777777" w:rsidR="00EB778E" w:rsidRPr="00EB778E" w:rsidRDefault="00EB778E" w:rsidP="00EB778E">
            <w:pPr>
              <w:jc w:val="center"/>
              <w:rPr>
                <w:rFonts w:asciiTheme="minorHAnsi" w:eastAsia="Times New Roman" w:hAnsiTheme="minorHAnsi"/>
                <w:color w:val="000000"/>
                <w:sz w:val="20"/>
                <w:szCs w:val="20"/>
              </w:rPr>
            </w:pPr>
          </w:p>
        </w:tc>
      </w:tr>
      <w:tr w:rsidR="00EB778E" w:rsidRPr="00EB778E" w14:paraId="27DA61E6" w14:textId="77777777" w:rsidTr="00EB778E">
        <w:trPr>
          <w:trHeight w:val="320"/>
        </w:trPr>
        <w:tc>
          <w:tcPr>
            <w:tcW w:w="1325" w:type="pct"/>
            <w:shd w:val="clear" w:color="auto" w:fill="auto"/>
            <w:noWrap/>
            <w:vAlign w:val="bottom"/>
          </w:tcPr>
          <w:p w14:paraId="233690D1"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Litecoin</w:t>
            </w:r>
          </w:p>
        </w:tc>
        <w:tc>
          <w:tcPr>
            <w:tcW w:w="918" w:type="pct"/>
            <w:shd w:val="clear" w:color="auto" w:fill="auto"/>
            <w:noWrap/>
            <w:vAlign w:val="bottom"/>
          </w:tcPr>
          <w:p w14:paraId="7F5E65E2"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0.4922</w:t>
            </w:r>
          </w:p>
        </w:tc>
        <w:tc>
          <w:tcPr>
            <w:tcW w:w="918" w:type="pct"/>
            <w:shd w:val="clear" w:color="auto" w:fill="auto"/>
            <w:noWrap/>
            <w:vAlign w:val="bottom"/>
          </w:tcPr>
          <w:p w14:paraId="637785A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w:t>
            </w:r>
          </w:p>
        </w:tc>
        <w:tc>
          <w:tcPr>
            <w:tcW w:w="918" w:type="pct"/>
            <w:shd w:val="clear" w:color="auto" w:fill="auto"/>
            <w:noWrap/>
            <w:vAlign w:val="bottom"/>
          </w:tcPr>
          <w:p w14:paraId="7B4EA5D6" w14:textId="77777777" w:rsidR="00EB778E" w:rsidRPr="00EB778E" w:rsidRDefault="00EB778E" w:rsidP="00EB778E">
            <w:pPr>
              <w:jc w:val="center"/>
              <w:rPr>
                <w:rFonts w:asciiTheme="minorHAnsi" w:eastAsia="Times New Roman" w:hAnsiTheme="minorHAnsi"/>
                <w:color w:val="000000"/>
                <w:sz w:val="20"/>
                <w:szCs w:val="20"/>
              </w:rPr>
            </w:pPr>
          </w:p>
        </w:tc>
        <w:tc>
          <w:tcPr>
            <w:tcW w:w="921" w:type="pct"/>
            <w:shd w:val="clear" w:color="auto" w:fill="auto"/>
            <w:noWrap/>
            <w:vAlign w:val="bottom"/>
          </w:tcPr>
          <w:p w14:paraId="133D0AF7" w14:textId="77777777" w:rsidR="00EB778E" w:rsidRPr="00EB778E" w:rsidRDefault="00EB778E" w:rsidP="00EB778E">
            <w:pPr>
              <w:jc w:val="center"/>
              <w:rPr>
                <w:rFonts w:asciiTheme="minorHAnsi" w:eastAsia="Times New Roman" w:hAnsiTheme="minorHAnsi"/>
                <w:color w:val="000000"/>
                <w:sz w:val="20"/>
                <w:szCs w:val="20"/>
              </w:rPr>
            </w:pPr>
          </w:p>
        </w:tc>
      </w:tr>
      <w:tr w:rsidR="00EB778E" w:rsidRPr="00EB778E" w14:paraId="55DD308A" w14:textId="77777777" w:rsidTr="00EB778E">
        <w:trPr>
          <w:trHeight w:val="320"/>
        </w:trPr>
        <w:tc>
          <w:tcPr>
            <w:tcW w:w="1325" w:type="pct"/>
            <w:shd w:val="clear" w:color="auto" w:fill="auto"/>
            <w:noWrap/>
            <w:vAlign w:val="bottom"/>
          </w:tcPr>
          <w:p w14:paraId="7FEA88EC"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Ripple</w:t>
            </w:r>
          </w:p>
        </w:tc>
        <w:tc>
          <w:tcPr>
            <w:tcW w:w="918" w:type="pct"/>
            <w:shd w:val="clear" w:color="auto" w:fill="auto"/>
            <w:noWrap/>
            <w:vAlign w:val="bottom"/>
          </w:tcPr>
          <w:p w14:paraId="6393B3CD"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0.2132</w:t>
            </w:r>
          </w:p>
        </w:tc>
        <w:tc>
          <w:tcPr>
            <w:tcW w:w="918" w:type="pct"/>
            <w:shd w:val="clear" w:color="auto" w:fill="auto"/>
            <w:noWrap/>
            <w:vAlign w:val="bottom"/>
          </w:tcPr>
          <w:p w14:paraId="3465B93B"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0.5473</w:t>
            </w:r>
          </w:p>
        </w:tc>
        <w:tc>
          <w:tcPr>
            <w:tcW w:w="918" w:type="pct"/>
            <w:shd w:val="clear" w:color="auto" w:fill="auto"/>
            <w:noWrap/>
            <w:vAlign w:val="bottom"/>
          </w:tcPr>
          <w:p w14:paraId="3D7FECA4"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w:t>
            </w:r>
          </w:p>
        </w:tc>
        <w:tc>
          <w:tcPr>
            <w:tcW w:w="921" w:type="pct"/>
            <w:shd w:val="clear" w:color="auto" w:fill="auto"/>
            <w:noWrap/>
            <w:vAlign w:val="bottom"/>
          </w:tcPr>
          <w:p w14:paraId="6FA6321B" w14:textId="77777777" w:rsidR="00EB778E" w:rsidRPr="00EB778E" w:rsidRDefault="00EB778E" w:rsidP="00EB778E">
            <w:pPr>
              <w:jc w:val="center"/>
              <w:rPr>
                <w:rFonts w:asciiTheme="minorHAnsi" w:eastAsia="Times New Roman" w:hAnsiTheme="minorHAnsi"/>
                <w:color w:val="000000"/>
                <w:sz w:val="20"/>
                <w:szCs w:val="20"/>
              </w:rPr>
            </w:pPr>
          </w:p>
        </w:tc>
      </w:tr>
      <w:tr w:rsidR="00EB778E" w:rsidRPr="00EB778E" w14:paraId="2406E2F8" w14:textId="77777777" w:rsidTr="00EB778E">
        <w:trPr>
          <w:trHeight w:val="320"/>
        </w:trPr>
        <w:tc>
          <w:tcPr>
            <w:tcW w:w="1325" w:type="pct"/>
            <w:shd w:val="clear" w:color="auto" w:fill="auto"/>
            <w:noWrap/>
            <w:vAlign w:val="bottom"/>
          </w:tcPr>
          <w:p w14:paraId="219C0C5B"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bCs/>
                <w:color w:val="000000"/>
                <w:sz w:val="20"/>
                <w:szCs w:val="20"/>
              </w:rPr>
              <w:t>Dash</w:t>
            </w:r>
          </w:p>
        </w:tc>
        <w:tc>
          <w:tcPr>
            <w:tcW w:w="918" w:type="pct"/>
            <w:shd w:val="clear" w:color="auto" w:fill="auto"/>
            <w:noWrap/>
            <w:vAlign w:val="bottom"/>
          </w:tcPr>
          <w:p w14:paraId="7A92B9F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0.1293</w:t>
            </w:r>
          </w:p>
        </w:tc>
        <w:tc>
          <w:tcPr>
            <w:tcW w:w="918" w:type="pct"/>
            <w:shd w:val="clear" w:color="auto" w:fill="auto"/>
            <w:noWrap/>
            <w:vAlign w:val="bottom"/>
          </w:tcPr>
          <w:p w14:paraId="69F496A3"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0.1125</w:t>
            </w:r>
          </w:p>
        </w:tc>
        <w:tc>
          <w:tcPr>
            <w:tcW w:w="918" w:type="pct"/>
            <w:shd w:val="clear" w:color="auto" w:fill="auto"/>
            <w:noWrap/>
            <w:vAlign w:val="bottom"/>
          </w:tcPr>
          <w:p w14:paraId="6743D2B0"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-0.0001</w:t>
            </w:r>
          </w:p>
        </w:tc>
        <w:tc>
          <w:tcPr>
            <w:tcW w:w="921" w:type="pct"/>
            <w:shd w:val="clear" w:color="auto" w:fill="auto"/>
            <w:noWrap/>
            <w:vAlign w:val="bottom"/>
          </w:tcPr>
          <w:p w14:paraId="2FF6A439" w14:textId="77777777" w:rsidR="00EB778E" w:rsidRPr="00EB778E" w:rsidRDefault="00EB778E" w:rsidP="00EB778E">
            <w:pPr>
              <w:jc w:val="center"/>
              <w:rPr>
                <w:rFonts w:asciiTheme="minorHAnsi" w:eastAsia="Times New Roman" w:hAnsiTheme="minorHAnsi"/>
                <w:color w:val="000000"/>
                <w:sz w:val="20"/>
                <w:szCs w:val="20"/>
              </w:rPr>
            </w:pPr>
            <w:r w:rsidRPr="00EB778E">
              <w:rPr>
                <w:rFonts w:asciiTheme="minorHAnsi" w:eastAsia="Times New Roman" w:hAnsiTheme="minorHAnsi"/>
                <w:color w:val="000000"/>
                <w:sz w:val="20"/>
                <w:szCs w:val="20"/>
              </w:rPr>
              <w:t>1</w:t>
            </w:r>
          </w:p>
        </w:tc>
      </w:tr>
    </w:tbl>
    <w:p w14:paraId="39751596" w14:textId="77777777" w:rsidR="006F7354" w:rsidRDefault="006F7354" w:rsidP="00DF2226">
      <w:pPr>
        <w:jc w:val="both"/>
        <w:rPr>
          <w:rFonts w:ascii="Garamond" w:hAnsi="Garamond"/>
          <w:b/>
        </w:rPr>
      </w:pPr>
    </w:p>
    <w:p w14:paraId="2093B755" w14:textId="0B07B0A1" w:rsidR="006F7354" w:rsidRDefault="006F7354" w:rsidP="00DF2226">
      <w:pPr>
        <w:jc w:val="both"/>
        <w:rPr>
          <w:rFonts w:ascii="Garamond" w:hAnsi="Garamond"/>
          <w:b/>
        </w:rPr>
      </w:pPr>
    </w:p>
    <w:p w14:paraId="181ABE11" w14:textId="7D5BB4D9" w:rsidR="006357B7" w:rsidRDefault="006357B7" w:rsidP="00DF2226">
      <w:pPr>
        <w:jc w:val="both"/>
        <w:rPr>
          <w:rFonts w:ascii="Garamond" w:hAnsi="Garamond"/>
          <w:b/>
        </w:rPr>
      </w:pPr>
    </w:p>
    <w:p w14:paraId="273983F2" w14:textId="26474F69" w:rsidR="004152D1" w:rsidRDefault="004152D1" w:rsidP="00DF2226">
      <w:pPr>
        <w:jc w:val="both"/>
        <w:rPr>
          <w:rFonts w:ascii="Garamond" w:hAnsi="Garamond"/>
          <w:b/>
        </w:rPr>
      </w:pPr>
    </w:p>
    <w:p w14:paraId="18BE33DB" w14:textId="1A5B2BF3" w:rsidR="004152D1" w:rsidRDefault="004152D1" w:rsidP="00DF2226">
      <w:pPr>
        <w:jc w:val="both"/>
        <w:rPr>
          <w:rFonts w:ascii="Garamond" w:hAnsi="Garamond"/>
          <w:b/>
        </w:rPr>
      </w:pPr>
    </w:p>
    <w:p w14:paraId="36B1DAF3" w14:textId="0F829446" w:rsidR="004152D1" w:rsidRDefault="004152D1" w:rsidP="00DF2226">
      <w:pPr>
        <w:jc w:val="both"/>
        <w:rPr>
          <w:rFonts w:ascii="Garamond" w:hAnsi="Garamond"/>
          <w:b/>
        </w:rPr>
      </w:pPr>
    </w:p>
    <w:p w14:paraId="6A83DA26" w14:textId="6E14FA34" w:rsidR="004152D1" w:rsidRDefault="004152D1" w:rsidP="00DF2226">
      <w:pPr>
        <w:jc w:val="both"/>
        <w:rPr>
          <w:rFonts w:ascii="Garamond" w:hAnsi="Garamond"/>
          <w:b/>
        </w:rPr>
      </w:pPr>
    </w:p>
    <w:p w14:paraId="35CF8B56" w14:textId="636CAA3E" w:rsidR="004152D1" w:rsidRDefault="004152D1" w:rsidP="00DF2226">
      <w:pPr>
        <w:jc w:val="both"/>
        <w:rPr>
          <w:rFonts w:ascii="Garamond" w:hAnsi="Garamond"/>
          <w:b/>
        </w:rPr>
      </w:pPr>
    </w:p>
    <w:p w14:paraId="5ACBF280" w14:textId="5D788E76" w:rsidR="004152D1" w:rsidRDefault="004152D1" w:rsidP="00DF2226">
      <w:pPr>
        <w:jc w:val="both"/>
        <w:rPr>
          <w:rFonts w:ascii="Garamond" w:hAnsi="Garamond"/>
          <w:b/>
        </w:rPr>
      </w:pPr>
    </w:p>
    <w:p w14:paraId="69D30A31" w14:textId="4434BF7D" w:rsidR="004152D1" w:rsidRDefault="004152D1" w:rsidP="00DF2226">
      <w:pPr>
        <w:jc w:val="both"/>
        <w:rPr>
          <w:rFonts w:ascii="Garamond" w:hAnsi="Garamond"/>
          <w:b/>
        </w:rPr>
      </w:pPr>
    </w:p>
    <w:p w14:paraId="36A2ECDC" w14:textId="2F0CAA4C" w:rsidR="004152D1" w:rsidRDefault="004152D1" w:rsidP="00DF2226">
      <w:pPr>
        <w:jc w:val="both"/>
        <w:rPr>
          <w:rFonts w:ascii="Garamond" w:hAnsi="Garamond"/>
          <w:b/>
        </w:rPr>
      </w:pPr>
    </w:p>
    <w:p w14:paraId="5F2988AD" w14:textId="428A0508" w:rsidR="006357B7" w:rsidRDefault="006357B7" w:rsidP="00DF2226">
      <w:pPr>
        <w:jc w:val="both"/>
        <w:rPr>
          <w:rFonts w:ascii="Garamond" w:hAnsi="Garamond"/>
          <w:b/>
        </w:rPr>
      </w:pPr>
    </w:p>
    <w:p w14:paraId="43EFE144" w14:textId="6B10A6A2" w:rsidR="006357B7" w:rsidRDefault="006357B7" w:rsidP="00DF2226">
      <w:pPr>
        <w:jc w:val="both"/>
        <w:rPr>
          <w:rFonts w:ascii="Garamond" w:hAnsi="Garamond"/>
          <w:b/>
        </w:rPr>
      </w:pPr>
    </w:p>
    <w:p w14:paraId="78D57F06" w14:textId="427327E6" w:rsidR="0049508D" w:rsidRDefault="0049508D" w:rsidP="00DF2226">
      <w:pPr>
        <w:jc w:val="both"/>
        <w:rPr>
          <w:rFonts w:ascii="Garamond" w:hAnsi="Garamond"/>
          <w:b/>
        </w:rPr>
      </w:pPr>
    </w:p>
    <w:p w14:paraId="56CE6BE9" w14:textId="480E9CD1" w:rsidR="0049508D" w:rsidRDefault="0049508D" w:rsidP="00DF2226">
      <w:pPr>
        <w:jc w:val="both"/>
        <w:rPr>
          <w:rFonts w:ascii="Garamond" w:hAnsi="Garamond"/>
          <w:b/>
        </w:rPr>
      </w:pPr>
    </w:p>
    <w:p w14:paraId="73A2C93A" w14:textId="470EA4F7" w:rsidR="0049508D" w:rsidRDefault="0049508D" w:rsidP="00DF2226">
      <w:pPr>
        <w:jc w:val="both"/>
        <w:rPr>
          <w:rFonts w:ascii="Garamond" w:hAnsi="Garamond"/>
          <w:b/>
        </w:rPr>
      </w:pPr>
    </w:p>
    <w:p w14:paraId="17DB6AFB" w14:textId="57A3CB17" w:rsidR="0049508D" w:rsidRDefault="0049508D" w:rsidP="00DF2226">
      <w:pPr>
        <w:jc w:val="both"/>
        <w:rPr>
          <w:rFonts w:ascii="Garamond" w:hAnsi="Garamond"/>
          <w:b/>
        </w:rPr>
      </w:pPr>
    </w:p>
    <w:p w14:paraId="41B31C21" w14:textId="77777777" w:rsidR="0049508D" w:rsidRDefault="0049508D" w:rsidP="00DF2226">
      <w:pPr>
        <w:jc w:val="both"/>
        <w:rPr>
          <w:rFonts w:ascii="Garamond" w:hAnsi="Garamond"/>
          <w:b/>
        </w:rPr>
      </w:pPr>
    </w:p>
    <w:p w14:paraId="5047BAF9" w14:textId="05FE75ED" w:rsidR="006357B7" w:rsidRDefault="006357B7" w:rsidP="00DF2226">
      <w:pPr>
        <w:jc w:val="both"/>
        <w:rPr>
          <w:rFonts w:ascii="Garamond" w:hAnsi="Garamond"/>
          <w:b/>
        </w:rPr>
      </w:pPr>
    </w:p>
    <w:p w14:paraId="0DFEA71E" w14:textId="1E064B62" w:rsidR="00905090" w:rsidRDefault="00905090" w:rsidP="00DF2226">
      <w:pPr>
        <w:jc w:val="both"/>
        <w:rPr>
          <w:rFonts w:ascii="Garamond" w:hAnsi="Garamond"/>
          <w:b/>
        </w:rPr>
      </w:pPr>
    </w:p>
    <w:p w14:paraId="7286B9FB" w14:textId="200A7C90" w:rsidR="00905090" w:rsidRDefault="00905090" w:rsidP="00DF2226">
      <w:pPr>
        <w:jc w:val="both"/>
        <w:rPr>
          <w:rFonts w:ascii="Garamond" w:hAnsi="Garamond"/>
          <w:b/>
        </w:rPr>
      </w:pPr>
    </w:p>
    <w:p w14:paraId="4D595151" w14:textId="48878857" w:rsidR="00905090" w:rsidRDefault="00905090" w:rsidP="00DF2226">
      <w:pPr>
        <w:jc w:val="both"/>
        <w:rPr>
          <w:rFonts w:ascii="Garamond" w:hAnsi="Garamond"/>
          <w:b/>
        </w:rPr>
      </w:pPr>
    </w:p>
    <w:p w14:paraId="0F1EB68D" w14:textId="77777777" w:rsidR="00905090" w:rsidRDefault="00905090" w:rsidP="00DF2226">
      <w:pPr>
        <w:jc w:val="both"/>
        <w:rPr>
          <w:rFonts w:ascii="Garamond" w:hAnsi="Garamond"/>
          <w:b/>
        </w:rPr>
      </w:pPr>
    </w:p>
    <w:p w14:paraId="2E72302F" w14:textId="77777777" w:rsidR="006121D8" w:rsidRDefault="006121D8" w:rsidP="00DF2226">
      <w:pPr>
        <w:jc w:val="both"/>
        <w:rPr>
          <w:rFonts w:asciiTheme="minorHAnsi" w:hAnsiTheme="minorHAnsi"/>
          <w:b/>
        </w:rPr>
      </w:pPr>
    </w:p>
    <w:p w14:paraId="6DAF585C" w14:textId="77777777" w:rsidR="006121D8" w:rsidRDefault="006121D8" w:rsidP="00DF2226">
      <w:pPr>
        <w:jc w:val="both"/>
        <w:rPr>
          <w:rFonts w:asciiTheme="minorHAnsi" w:hAnsiTheme="minorHAnsi"/>
          <w:b/>
        </w:rPr>
      </w:pPr>
    </w:p>
    <w:p w14:paraId="7ADDA0BA" w14:textId="77777777" w:rsidR="006121D8" w:rsidRDefault="006121D8" w:rsidP="00DF2226">
      <w:pPr>
        <w:jc w:val="both"/>
        <w:rPr>
          <w:rFonts w:asciiTheme="minorHAnsi" w:hAnsiTheme="minorHAnsi"/>
          <w:b/>
        </w:rPr>
      </w:pPr>
    </w:p>
    <w:p w14:paraId="236C0193" w14:textId="77777777" w:rsidR="006121D8" w:rsidRDefault="006121D8" w:rsidP="00DF2226">
      <w:pPr>
        <w:jc w:val="both"/>
        <w:rPr>
          <w:rFonts w:asciiTheme="minorHAnsi" w:hAnsiTheme="minorHAnsi"/>
          <w:b/>
        </w:rPr>
      </w:pPr>
    </w:p>
    <w:p w14:paraId="01851D94" w14:textId="77777777" w:rsidR="006121D8" w:rsidRDefault="006121D8" w:rsidP="00DF2226">
      <w:pPr>
        <w:jc w:val="both"/>
        <w:rPr>
          <w:rFonts w:asciiTheme="minorHAnsi" w:hAnsiTheme="minorHAnsi"/>
          <w:b/>
        </w:rPr>
      </w:pPr>
    </w:p>
    <w:p w14:paraId="6B6BAF72" w14:textId="29700667" w:rsidR="00905090" w:rsidRPr="00905090" w:rsidRDefault="00905090" w:rsidP="00DF2226">
      <w:pPr>
        <w:jc w:val="both"/>
        <w:rPr>
          <w:rFonts w:asciiTheme="minorHAnsi" w:hAnsiTheme="minorHAnsi"/>
          <w:b/>
        </w:rPr>
      </w:pPr>
      <w:r w:rsidRPr="00905090">
        <w:rPr>
          <w:rFonts w:asciiTheme="minorHAnsi" w:hAnsiTheme="minorHAnsi"/>
          <w:b/>
        </w:rPr>
        <w:lastRenderedPageBreak/>
        <w:t>Figures</w:t>
      </w:r>
    </w:p>
    <w:p w14:paraId="399FAB0E" w14:textId="77777777" w:rsidR="00905090" w:rsidRPr="00905090" w:rsidRDefault="00905090" w:rsidP="00DF2226">
      <w:pPr>
        <w:jc w:val="both"/>
        <w:rPr>
          <w:rFonts w:asciiTheme="minorHAnsi" w:hAnsiTheme="minorHAnsi"/>
          <w:b/>
          <w:sz w:val="20"/>
        </w:rPr>
      </w:pPr>
    </w:p>
    <w:p w14:paraId="77B38369" w14:textId="5F27FA02" w:rsidR="00905090" w:rsidRPr="00905090" w:rsidRDefault="00905090" w:rsidP="00DF2226">
      <w:pPr>
        <w:jc w:val="both"/>
        <w:rPr>
          <w:rFonts w:asciiTheme="minorHAnsi" w:hAnsiTheme="minorHAnsi"/>
          <w:sz w:val="20"/>
        </w:rPr>
      </w:pPr>
      <w:r w:rsidRPr="00905090">
        <w:rPr>
          <w:rFonts w:asciiTheme="minorHAnsi" w:hAnsiTheme="minorHAnsi"/>
          <w:b/>
          <w:sz w:val="20"/>
        </w:rPr>
        <w:t>Figure 1</w:t>
      </w:r>
      <w:r w:rsidRPr="00905090">
        <w:rPr>
          <w:rFonts w:asciiTheme="minorHAnsi" w:hAnsiTheme="minorHAnsi"/>
          <w:sz w:val="20"/>
        </w:rPr>
        <w:t xml:space="preserve">: The Sharpe ratio of the naïve diversification (1/N) and optimal diversification (Markowitz) </w:t>
      </w:r>
      <w:r w:rsidR="006B4B91">
        <w:rPr>
          <w:rFonts w:asciiTheme="minorHAnsi" w:hAnsiTheme="minorHAnsi"/>
          <w:sz w:val="20"/>
        </w:rPr>
        <w:t xml:space="preserve">portfolios </w:t>
      </w:r>
      <w:r w:rsidRPr="00905090">
        <w:rPr>
          <w:rFonts w:asciiTheme="minorHAnsi" w:hAnsiTheme="minorHAnsi"/>
          <w:sz w:val="20"/>
        </w:rPr>
        <w:t>at different levels of risk-aversion</w:t>
      </w:r>
      <w:r w:rsidR="006B4B91">
        <w:rPr>
          <w:rFonts w:asciiTheme="minorHAnsi" w:hAnsiTheme="minorHAnsi"/>
          <w:sz w:val="20"/>
        </w:rPr>
        <w:t>,</w:t>
      </w:r>
      <w:r w:rsidRPr="00905090">
        <w:rPr>
          <w:rFonts w:asciiTheme="minorHAnsi" w:hAnsiTheme="minorHAnsi"/>
          <w:sz w:val="20"/>
        </w:rPr>
        <w:t xml:space="preserve"> inclusive of transaction costs</w:t>
      </w:r>
      <w:r w:rsidR="006B4B91">
        <w:rPr>
          <w:rFonts w:asciiTheme="minorHAnsi" w:hAnsiTheme="minorHAnsi"/>
          <w:sz w:val="20"/>
        </w:rPr>
        <w:t>,</w:t>
      </w:r>
      <w:r w:rsidRPr="00905090">
        <w:rPr>
          <w:rFonts w:asciiTheme="minorHAnsi" w:hAnsiTheme="minorHAnsi"/>
          <w:sz w:val="20"/>
        </w:rPr>
        <w:t xml:space="preserve"> for a 26-week expanding window.</w:t>
      </w:r>
    </w:p>
    <w:p w14:paraId="30ACBFF8" w14:textId="77777777" w:rsidR="00905090" w:rsidRDefault="00905090" w:rsidP="00DF2226">
      <w:pPr>
        <w:jc w:val="both"/>
        <w:rPr>
          <w:rFonts w:ascii="Garamond" w:hAnsi="Garamond"/>
          <w:b/>
        </w:rPr>
      </w:pPr>
    </w:p>
    <w:p w14:paraId="38020AF6" w14:textId="490437EF" w:rsidR="006357B7" w:rsidRDefault="0049508D" w:rsidP="00DF2226">
      <w:pPr>
        <w:jc w:val="both"/>
        <w:rPr>
          <w:rFonts w:ascii="Garamond" w:hAnsi="Garamond"/>
          <w:b/>
        </w:rPr>
      </w:pPr>
      <w:r>
        <w:rPr>
          <w:noProof/>
        </w:rPr>
        <w:drawing>
          <wp:inline distT="0" distB="0" distL="0" distR="0" wp14:anchorId="229C2BF2" wp14:editId="5C4E97D0">
            <wp:extent cx="5683250" cy="3450167"/>
            <wp:effectExtent l="0" t="0" r="12700" b="17145"/>
            <wp:docPr id="1" name="Chart 1">
              <a:extLst xmlns:a="http://schemas.openxmlformats.org/drawingml/2006/main">
                <a:ext uri="{FF2B5EF4-FFF2-40B4-BE49-F238E27FC236}">
                  <a16:creationId xmlns:a16="http://schemas.microsoft.com/office/drawing/2014/main" id="{9B11C802-8A67-4989-A478-D861C4B06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E2A943" w14:textId="7FF108C2" w:rsidR="0049508D" w:rsidRDefault="0049508D" w:rsidP="00DF2226">
      <w:pPr>
        <w:jc w:val="both"/>
        <w:rPr>
          <w:rFonts w:ascii="Garamond" w:hAnsi="Garamond"/>
          <w:b/>
        </w:rPr>
      </w:pPr>
    </w:p>
    <w:p w14:paraId="48980858" w14:textId="008B91A2" w:rsidR="00905090" w:rsidRDefault="00905090" w:rsidP="00DF2226">
      <w:pPr>
        <w:jc w:val="both"/>
        <w:rPr>
          <w:rFonts w:ascii="Garamond" w:hAnsi="Garamond"/>
          <w:b/>
        </w:rPr>
      </w:pPr>
    </w:p>
    <w:p w14:paraId="601B48EB" w14:textId="0BEA1738" w:rsidR="00905090" w:rsidRPr="00905090" w:rsidRDefault="00905090" w:rsidP="00905090">
      <w:pPr>
        <w:jc w:val="both"/>
        <w:rPr>
          <w:rFonts w:asciiTheme="minorHAnsi" w:hAnsiTheme="minorHAnsi"/>
          <w:sz w:val="20"/>
        </w:rPr>
      </w:pPr>
      <w:r w:rsidRPr="00905090">
        <w:rPr>
          <w:rFonts w:asciiTheme="minorHAnsi" w:hAnsiTheme="minorHAnsi"/>
          <w:b/>
          <w:sz w:val="20"/>
        </w:rPr>
        <w:t>Figure 2</w:t>
      </w:r>
      <w:r w:rsidRPr="00905090">
        <w:rPr>
          <w:rFonts w:asciiTheme="minorHAnsi" w:hAnsiTheme="minorHAnsi"/>
          <w:sz w:val="20"/>
        </w:rPr>
        <w:t xml:space="preserve">: The Omega ratio of the naïve diversification (1/N) and optimal diversification (Markowitz) </w:t>
      </w:r>
      <w:r w:rsidR="006B4B91">
        <w:rPr>
          <w:rFonts w:asciiTheme="minorHAnsi" w:hAnsiTheme="minorHAnsi"/>
          <w:sz w:val="20"/>
        </w:rPr>
        <w:t xml:space="preserve">portfolios </w:t>
      </w:r>
      <w:r w:rsidRPr="00905090">
        <w:rPr>
          <w:rFonts w:asciiTheme="minorHAnsi" w:hAnsiTheme="minorHAnsi"/>
          <w:sz w:val="20"/>
        </w:rPr>
        <w:t>at different levels of risk-aversion</w:t>
      </w:r>
      <w:r w:rsidR="006B4B91">
        <w:rPr>
          <w:rFonts w:asciiTheme="minorHAnsi" w:hAnsiTheme="minorHAnsi"/>
          <w:sz w:val="20"/>
        </w:rPr>
        <w:t>,</w:t>
      </w:r>
      <w:r w:rsidRPr="00905090">
        <w:rPr>
          <w:rFonts w:asciiTheme="minorHAnsi" w:hAnsiTheme="minorHAnsi"/>
          <w:sz w:val="20"/>
        </w:rPr>
        <w:t xml:space="preserve"> inclusive of transaction costs</w:t>
      </w:r>
      <w:r w:rsidR="006B4B91">
        <w:rPr>
          <w:rFonts w:asciiTheme="minorHAnsi" w:hAnsiTheme="minorHAnsi"/>
          <w:sz w:val="20"/>
        </w:rPr>
        <w:t>,</w:t>
      </w:r>
      <w:r w:rsidRPr="00905090">
        <w:rPr>
          <w:rFonts w:asciiTheme="minorHAnsi" w:hAnsiTheme="minorHAnsi"/>
          <w:sz w:val="20"/>
        </w:rPr>
        <w:t xml:space="preserve"> for a 26-week expanding window.</w:t>
      </w:r>
    </w:p>
    <w:p w14:paraId="055EAA1B" w14:textId="5B50A741" w:rsidR="00905090" w:rsidRDefault="00905090" w:rsidP="00DF2226">
      <w:pPr>
        <w:jc w:val="both"/>
        <w:rPr>
          <w:rFonts w:ascii="Garamond" w:hAnsi="Garamond"/>
          <w:b/>
        </w:rPr>
      </w:pPr>
    </w:p>
    <w:p w14:paraId="402D4A9F" w14:textId="2D92E8FA" w:rsidR="00905090" w:rsidRDefault="00905090" w:rsidP="00DF2226">
      <w:pPr>
        <w:jc w:val="both"/>
        <w:rPr>
          <w:rFonts w:ascii="Garamond" w:hAnsi="Garamond"/>
          <w:b/>
        </w:rPr>
      </w:pPr>
      <w:r>
        <w:rPr>
          <w:noProof/>
        </w:rPr>
        <w:drawing>
          <wp:inline distT="0" distB="0" distL="0" distR="0" wp14:anchorId="6A9C06BD" wp14:editId="2803303D">
            <wp:extent cx="5683250" cy="3400425"/>
            <wp:effectExtent l="0" t="0" r="12700" b="9525"/>
            <wp:docPr id="6" name="Chart 6">
              <a:extLst xmlns:a="http://schemas.openxmlformats.org/drawingml/2006/main">
                <a:ext uri="{FF2B5EF4-FFF2-40B4-BE49-F238E27FC236}">
                  <a16:creationId xmlns:a16="http://schemas.microsoft.com/office/drawing/2014/main" id="{C2877BF9-E94F-4642-8D3D-DBEB9AB9C1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8009C2E" w14:textId="34AD48F0" w:rsidR="00905090" w:rsidRDefault="00905090" w:rsidP="00DF2226">
      <w:pPr>
        <w:jc w:val="both"/>
        <w:rPr>
          <w:rFonts w:ascii="Garamond" w:hAnsi="Garamond"/>
          <w:b/>
        </w:rPr>
      </w:pPr>
    </w:p>
    <w:p w14:paraId="2671425B" w14:textId="443EA66B" w:rsidR="00FB08B5" w:rsidRPr="00905090" w:rsidRDefault="00FB08B5" w:rsidP="00FB08B5">
      <w:pPr>
        <w:jc w:val="both"/>
        <w:rPr>
          <w:rFonts w:asciiTheme="minorHAnsi" w:hAnsiTheme="minorHAnsi"/>
          <w:sz w:val="20"/>
        </w:rPr>
      </w:pPr>
      <w:r w:rsidRPr="00905090">
        <w:rPr>
          <w:rFonts w:asciiTheme="minorHAnsi" w:hAnsiTheme="minorHAnsi"/>
          <w:b/>
          <w:sz w:val="20"/>
        </w:rPr>
        <w:lastRenderedPageBreak/>
        <w:t xml:space="preserve">Figure </w:t>
      </w:r>
      <w:r>
        <w:rPr>
          <w:rFonts w:asciiTheme="minorHAnsi" w:hAnsiTheme="minorHAnsi"/>
          <w:b/>
          <w:sz w:val="20"/>
        </w:rPr>
        <w:t>3</w:t>
      </w:r>
      <w:r w:rsidRPr="00905090">
        <w:rPr>
          <w:rFonts w:asciiTheme="minorHAnsi" w:hAnsiTheme="minorHAnsi"/>
          <w:sz w:val="20"/>
        </w:rPr>
        <w:t xml:space="preserve">: The </w:t>
      </w:r>
      <w:r>
        <w:rPr>
          <w:rFonts w:asciiTheme="minorHAnsi" w:hAnsiTheme="minorHAnsi"/>
          <w:sz w:val="20"/>
        </w:rPr>
        <w:t>Sharpe</w:t>
      </w:r>
      <w:r w:rsidRPr="00905090">
        <w:rPr>
          <w:rFonts w:asciiTheme="minorHAnsi" w:hAnsiTheme="minorHAnsi"/>
          <w:sz w:val="20"/>
        </w:rPr>
        <w:t xml:space="preserve"> ratio of the naïve diversification (1/N) and optimal diversification (Markowitz) </w:t>
      </w:r>
      <w:r w:rsidR="006B4B91">
        <w:rPr>
          <w:rFonts w:asciiTheme="minorHAnsi" w:hAnsiTheme="minorHAnsi"/>
          <w:sz w:val="20"/>
        </w:rPr>
        <w:t xml:space="preserve">portfolios </w:t>
      </w:r>
      <w:r w:rsidRPr="00905090">
        <w:rPr>
          <w:rFonts w:asciiTheme="minorHAnsi" w:hAnsiTheme="minorHAnsi"/>
          <w:sz w:val="20"/>
        </w:rPr>
        <w:t>at different levels of risk-aversion</w:t>
      </w:r>
      <w:r w:rsidR="006B4B91">
        <w:rPr>
          <w:rFonts w:asciiTheme="minorHAnsi" w:hAnsiTheme="minorHAnsi"/>
          <w:sz w:val="20"/>
        </w:rPr>
        <w:t>,</w:t>
      </w:r>
      <w:r w:rsidRPr="00905090">
        <w:rPr>
          <w:rFonts w:asciiTheme="minorHAnsi" w:hAnsiTheme="minorHAnsi"/>
          <w:sz w:val="20"/>
        </w:rPr>
        <w:t xml:space="preserve"> inclusi</w:t>
      </w:r>
      <w:r>
        <w:rPr>
          <w:rFonts w:asciiTheme="minorHAnsi" w:hAnsiTheme="minorHAnsi"/>
          <w:sz w:val="20"/>
        </w:rPr>
        <w:t>ve of transaction costs</w:t>
      </w:r>
      <w:r w:rsidR="006B4B91">
        <w:rPr>
          <w:rFonts w:asciiTheme="minorHAnsi" w:hAnsiTheme="minorHAnsi"/>
          <w:sz w:val="20"/>
        </w:rPr>
        <w:t>,</w:t>
      </w:r>
      <w:r>
        <w:rPr>
          <w:rFonts w:asciiTheme="minorHAnsi" w:hAnsiTheme="minorHAnsi"/>
          <w:sz w:val="20"/>
        </w:rPr>
        <w:t xml:space="preserve"> for a 52</w:t>
      </w:r>
      <w:r w:rsidRPr="00905090">
        <w:rPr>
          <w:rFonts w:asciiTheme="minorHAnsi" w:hAnsiTheme="minorHAnsi"/>
          <w:sz w:val="20"/>
        </w:rPr>
        <w:t>-week expanding window.</w:t>
      </w:r>
    </w:p>
    <w:p w14:paraId="12FF1413" w14:textId="3EEC6DA5" w:rsidR="00905090" w:rsidRDefault="00905090" w:rsidP="00DF2226">
      <w:pPr>
        <w:jc w:val="both"/>
        <w:rPr>
          <w:rFonts w:ascii="Garamond" w:hAnsi="Garamond"/>
          <w:b/>
        </w:rPr>
      </w:pPr>
    </w:p>
    <w:p w14:paraId="4870CC43" w14:textId="5B15E2EA" w:rsidR="00905090" w:rsidRDefault="00FB08B5" w:rsidP="00DF2226">
      <w:pPr>
        <w:jc w:val="both"/>
        <w:rPr>
          <w:rFonts w:ascii="Garamond" w:hAnsi="Garamond"/>
          <w:b/>
        </w:rPr>
      </w:pPr>
      <w:r>
        <w:rPr>
          <w:noProof/>
        </w:rPr>
        <w:drawing>
          <wp:inline distT="0" distB="0" distL="0" distR="0" wp14:anchorId="71AF193A" wp14:editId="1F2E8E94">
            <wp:extent cx="5600700" cy="3076575"/>
            <wp:effectExtent l="0" t="0" r="0" b="9525"/>
            <wp:docPr id="11" name="Chart 11">
              <a:extLst xmlns:a="http://schemas.openxmlformats.org/drawingml/2006/main">
                <a:ext uri="{FF2B5EF4-FFF2-40B4-BE49-F238E27FC236}">
                  <a16:creationId xmlns:a16="http://schemas.microsoft.com/office/drawing/2014/main" id="{29BBA69D-8C1D-4C0E-AA90-CDF750C2E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6D8015C" w14:textId="44B41550" w:rsidR="00905090" w:rsidRDefault="00905090" w:rsidP="00DF2226">
      <w:pPr>
        <w:jc w:val="both"/>
        <w:rPr>
          <w:rFonts w:ascii="Garamond" w:hAnsi="Garamond"/>
          <w:b/>
        </w:rPr>
      </w:pPr>
    </w:p>
    <w:p w14:paraId="4BA27B33" w14:textId="5F9DBA2C" w:rsidR="00905090" w:rsidRDefault="00905090" w:rsidP="00DF2226">
      <w:pPr>
        <w:jc w:val="both"/>
        <w:rPr>
          <w:rFonts w:ascii="Garamond" w:hAnsi="Garamond"/>
          <w:b/>
        </w:rPr>
      </w:pPr>
    </w:p>
    <w:p w14:paraId="77F68CE7" w14:textId="667DE632" w:rsidR="00FB08B5" w:rsidRPr="00905090" w:rsidRDefault="00FB08B5" w:rsidP="00FB08B5">
      <w:pPr>
        <w:jc w:val="both"/>
        <w:rPr>
          <w:rFonts w:asciiTheme="minorHAnsi" w:hAnsiTheme="minorHAnsi"/>
          <w:sz w:val="20"/>
        </w:rPr>
      </w:pPr>
      <w:r w:rsidRPr="00905090">
        <w:rPr>
          <w:rFonts w:asciiTheme="minorHAnsi" w:hAnsiTheme="minorHAnsi"/>
          <w:b/>
          <w:sz w:val="20"/>
        </w:rPr>
        <w:t xml:space="preserve">Figure </w:t>
      </w:r>
      <w:r>
        <w:rPr>
          <w:rFonts w:asciiTheme="minorHAnsi" w:hAnsiTheme="minorHAnsi"/>
          <w:b/>
          <w:sz w:val="20"/>
        </w:rPr>
        <w:t>4</w:t>
      </w:r>
      <w:r w:rsidRPr="00905090">
        <w:rPr>
          <w:rFonts w:asciiTheme="minorHAnsi" w:hAnsiTheme="minorHAnsi"/>
          <w:sz w:val="20"/>
        </w:rPr>
        <w:t xml:space="preserve">: The Omega ratio of the naïve diversification (1/N) and optimal diversification (Markowitz) </w:t>
      </w:r>
      <w:r w:rsidR="006B4B91">
        <w:rPr>
          <w:rFonts w:asciiTheme="minorHAnsi" w:hAnsiTheme="minorHAnsi"/>
          <w:sz w:val="20"/>
        </w:rPr>
        <w:t xml:space="preserve">portfolios </w:t>
      </w:r>
      <w:r w:rsidRPr="00905090">
        <w:rPr>
          <w:rFonts w:asciiTheme="minorHAnsi" w:hAnsiTheme="minorHAnsi"/>
          <w:sz w:val="20"/>
        </w:rPr>
        <w:t>at different levels of risk-aversion</w:t>
      </w:r>
      <w:r w:rsidR="006B4B91">
        <w:rPr>
          <w:rFonts w:asciiTheme="minorHAnsi" w:hAnsiTheme="minorHAnsi"/>
          <w:sz w:val="20"/>
        </w:rPr>
        <w:t>,</w:t>
      </w:r>
      <w:r w:rsidRPr="00905090">
        <w:rPr>
          <w:rFonts w:asciiTheme="minorHAnsi" w:hAnsiTheme="minorHAnsi"/>
          <w:sz w:val="20"/>
        </w:rPr>
        <w:t xml:space="preserve"> inclusi</w:t>
      </w:r>
      <w:r>
        <w:rPr>
          <w:rFonts w:asciiTheme="minorHAnsi" w:hAnsiTheme="minorHAnsi"/>
          <w:sz w:val="20"/>
        </w:rPr>
        <w:t>ve of transaction costs</w:t>
      </w:r>
      <w:r w:rsidR="006B4B91">
        <w:rPr>
          <w:rFonts w:asciiTheme="minorHAnsi" w:hAnsiTheme="minorHAnsi"/>
          <w:sz w:val="20"/>
        </w:rPr>
        <w:t>,</w:t>
      </w:r>
      <w:r>
        <w:rPr>
          <w:rFonts w:asciiTheme="minorHAnsi" w:hAnsiTheme="minorHAnsi"/>
          <w:sz w:val="20"/>
        </w:rPr>
        <w:t xml:space="preserve"> for a 52</w:t>
      </w:r>
      <w:r w:rsidRPr="00905090">
        <w:rPr>
          <w:rFonts w:asciiTheme="minorHAnsi" w:hAnsiTheme="minorHAnsi"/>
          <w:sz w:val="20"/>
        </w:rPr>
        <w:t>-week expanding window.</w:t>
      </w:r>
    </w:p>
    <w:p w14:paraId="2081879D" w14:textId="296981DD" w:rsidR="00FB08B5" w:rsidRDefault="00FB08B5" w:rsidP="00DF2226">
      <w:pPr>
        <w:jc w:val="both"/>
        <w:rPr>
          <w:rFonts w:ascii="Garamond" w:hAnsi="Garamond"/>
          <w:b/>
        </w:rPr>
      </w:pPr>
    </w:p>
    <w:p w14:paraId="2F16E2CA" w14:textId="6889F9BE" w:rsidR="00905090" w:rsidRDefault="00FB08B5" w:rsidP="00DF2226">
      <w:pPr>
        <w:jc w:val="both"/>
        <w:rPr>
          <w:rFonts w:ascii="Garamond" w:hAnsi="Garamond"/>
          <w:b/>
        </w:rPr>
      </w:pPr>
      <w:r>
        <w:rPr>
          <w:noProof/>
        </w:rPr>
        <w:drawing>
          <wp:inline distT="0" distB="0" distL="0" distR="0" wp14:anchorId="103ED9C6" wp14:editId="534A2CAD">
            <wp:extent cx="5577205" cy="3152775"/>
            <wp:effectExtent l="0" t="0" r="4445" b="9525"/>
            <wp:docPr id="12" name="Chart 12">
              <a:extLst xmlns:a="http://schemas.openxmlformats.org/drawingml/2006/main">
                <a:ext uri="{FF2B5EF4-FFF2-40B4-BE49-F238E27FC236}">
                  <a16:creationId xmlns:a16="http://schemas.microsoft.com/office/drawing/2014/main" id="{D8890C07-2391-4931-959D-2CA800A124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29BD875" w14:textId="34E17F31" w:rsidR="00905090" w:rsidRDefault="00905090" w:rsidP="00DF2226">
      <w:pPr>
        <w:jc w:val="both"/>
        <w:rPr>
          <w:rFonts w:ascii="Garamond" w:hAnsi="Garamond"/>
          <w:b/>
        </w:rPr>
      </w:pPr>
    </w:p>
    <w:p w14:paraId="50F97E79" w14:textId="062703EE" w:rsidR="00905090" w:rsidRDefault="00905090" w:rsidP="00DF2226">
      <w:pPr>
        <w:jc w:val="both"/>
        <w:rPr>
          <w:rFonts w:ascii="Garamond" w:hAnsi="Garamond"/>
          <w:b/>
        </w:rPr>
      </w:pPr>
    </w:p>
    <w:p w14:paraId="21CE8772" w14:textId="2A15AD1A" w:rsidR="00905090" w:rsidRDefault="00905090" w:rsidP="00DF2226">
      <w:pPr>
        <w:jc w:val="both"/>
        <w:rPr>
          <w:rFonts w:ascii="Garamond" w:hAnsi="Garamond"/>
          <w:b/>
        </w:rPr>
      </w:pPr>
    </w:p>
    <w:p w14:paraId="76177C4E" w14:textId="715EE073" w:rsidR="00905090" w:rsidRDefault="00905090" w:rsidP="00DF2226">
      <w:pPr>
        <w:jc w:val="both"/>
        <w:rPr>
          <w:rFonts w:ascii="Garamond" w:hAnsi="Garamond"/>
          <w:b/>
        </w:rPr>
      </w:pPr>
    </w:p>
    <w:p w14:paraId="6B7B6E0C" w14:textId="052A8558" w:rsidR="006357B7" w:rsidRDefault="006357B7" w:rsidP="00DF2226">
      <w:pPr>
        <w:jc w:val="both"/>
        <w:rPr>
          <w:rFonts w:ascii="Garamond" w:hAnsi="Garamond"/>
          <w:b/>
        </w:rPr>
      </w:pPr>
    </w:p>
    <w:p w14:paraId="553BCF68" w14:textId="77777777" w:rsidR="009A5A1F" w:rsidRPr="00DC7DA7" w:rsidRDefault="009A5A1F" w:rsidP="009A5A1F">
      <w:pPr>
        <w:pageBreakBefore/>
        <w:jc w:val="both"/>
        <w:rPr>
          <w:rFonts w:asciiTheme="minorHAnsi" w:hAnsiTheme="minorHAnsi"/>
          <w:b/>
          <w:sz w:val="22"/>
          <w:szCs w:val="22"/>
        </w:rPr>
      </w:pPr>
      <w:r w:rsidRPr="00DC7DA7">
        <w:rPr>
          <w:rFonts w:asciiTheme="minorHAnsi" w:hAnsiTheme="minorHAnsi"/>
          <w:b/>
          <w:sz w:val="22"/>
          <w:szCs w:val="22"/>
        </w:rPr>
        <w:lastRenderedPageBreak/>
        <w:t>References</w:t>
      </w:r>
    </w:p>
    <w:p w14:paraId="7290A098" w14:textId="77777777" w:rsidR="009A5A1F" w:rsidRPr="00DC7DA7" w:rsidRDefault="009A5A1F" w:rsidP="009A5A1F">
      <w:pPr>
        <w:jc w:val="both"/>
        <w:rPr>
          <w:rFonts w:asciiTheme="minorHAnsi" w:hAnsiTheme="minorHAnsi"/>
          <w:sz w:val="22"/>
          <w:szCs w:val="22"/>
        </w:rPr>
      </w:pPr>
    </w:p>
    <w:p w14:paraId="7FA942E7"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Ackermann, F., Pohl, W. &amp; Schmedders, K. (2017). Optimal and naive diversification </w:t>
      </w:r>
      <w:r w:rsidRPr="00A003EB">
        <w:rPr>
          <w:rFonts w:asciiTheme="minorHAnsi" w:eastAsia="Times New Roman" w:hAnsiTheme="minorHAnsi"/>
          <w:color w:val="000000"/>
          <w:sz w:val="22"/>
          <w:szCs w:val="22"/>
        </w:rPr>
        <w:br/>
      </w:r>
      <w:r w:rsidRPr="00A003EB">
        <w:rPr>
          <w:rFonts w:asciiTheme="minorHAnsi" w:eastAsia="Times New Roman" w:hAnsiTheme="minorHAnsi"/>
          <w:color w:val="000000"/>
          <w:sz w:val="22"/>
          <w:szCs w:val="22"/>
          <w:shd w:val="clear" w:color="auto" w:fill="FFFFFF"/>
        </w:rPr>
        <w:t xml:space="preserve">in currency markets. </w:t>
      </w:r>
      <w:r w:rsidRPr="00A003EB">
        <w:rPr>
          <w:rFonts w:asciiTheme="minorHAnsi" w:eastAsia="Times New Roman" w:hAnsiTheme="minorHAnsi"/>
          <w:i/>
          <w:color w:val="000000"/>
          <w:sz w:val="22"/>
          <w:szCs w:val="22"/>
          <w:shd w:val="clear" w:color="auto" w:fill="FFFFFF"/>
        </w:rPr>
        <w:t>Management Science</w:t>
      </w:r>
      <w:r w:rsidRPr="00A003EB">
        <w:rPr>
          <w:rFonts w:asciiTheme="minorHAnsi" w:eastAsia="Times New Roman" w:hAnsiTheme="minorHAnsi"/>
          <w:color w:val="000000"/>
          <w:sz w:val="22"/>
          <w:szCs w:val="22"/>
          <w:shd w:val="clear" w:color="auto" w:fill="FFFFFF"/>
        </w:rPr>
        <w:t>, 63, 3347-3360.</w:t>
      </w:r>
    </w:p>
    <w:p w14:paraId="1B78A28A"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Baur, D. G., Hong, K., Lee, A. D. (2018). Bitcoin: Medium of exchange or speculative assets? </w:t>
      </w:r>
      <w:r w:rsidRPr="00A003EB">
        <w:rPr>
          <w:rFonts w:asciiTheme="minorHAnsi" w:eastAsia="Times New Roman" w:hAnsiTheme="minorHAnsi"/>
          <w:i/>
          <w:color w:val="000000"/>
          <w:sz w:val="22"/>
          <w:szCs w:val="22"/>
          <w:shd w:val="clear" w:color="auto" w:fill="FFFFFF"/>
        </w:rPr>
        <w:t>Journal of International Financial Markets, Institutions and Money</w:t>
      </w:r>
      <w:r w:rsidRPr="00A003EB">
        <w:rPr>
          <w:rFonts w:asciiTheme="minorHAnsi" w:eastAsia="Times New Roman" w:hAnsiTheme="minorHAnsi"/>
          <w:color w:val="000000"/>
          <w:sz w:val="22"/>
          <w:szCs w:val="22"/>
          <w:shd w:val="clear" w:color="auto" w:fill="FFFFFF"/>
        </w:rPr>
        <w:t>, forthcoming.</w:t>
      </w:r>
    </w:p>
    <w:p w14:paraId="7E003D1B" w14:textId="77777777" w:rsidR="006121D8" w:rsidRPr="00A003EB" w:rsidRDefault="006121D8" w:rsidP="006121D8">
      <w:pPr>
        <w:ind w:left="720" w:hanging="720"/>
        <w:jc w:val="both"/>
        <w:rPr>
          <w:rFonts w:asciiTheme="minorHAnsi" w:eastAsia="Times New Roman" w:hAnsiTheme="minorHAnsi"/>
          <w:sz w:val="22"/>
          <w:szCs w:val="22"/>
        </w:rPr>
      </w:pPr>
      <w:r w:rsidRPr="00A003EB">
        <w:rPr>
          <w:rFonts w:asciiTheme="minorHAnsi" w:eastAsia="Times New Roman" w:hAnsiTheme="minorHAnsi"/>
          <w:color w:val="000000"/>
          <w:sz w:val="22"/>
          <w:szCs w:val="22"/>
          <w:shd w:val="clear" w:color="auto" w:fill="FFFFFF"/>
        </w:rPr>
        <w:t xml:space="preserve">Black, F. and Litterman, R. (1992). Global Portfolio Optimization. </w:t>
      </w:r>
      <w:r w:rsidRPr="00A003EB">
        <w:rPr>
          <w:rFonts w:asciiTheme="minorHAnsi" w:eastAsia="Times New Roman" w:hAnsiTheme="minorHAnsi"/>
          <w:i/>
          <w:color w:val="000000"/>
          <w:sz w:val="22"/>
          <w:szCs w:val="22"/>
          <w:shd w:val="clear" w:color="auto" w:fill="FFFFFF"/>
        </w:rPr>
        <w:t>Financial Analysts Journal</w:t>
      </w:r>
      <w:r w:rsidRPr="00A003EB">
        <w:rPr>
          <w:rFonts w:asciiTheme="minorHAnsi" w:eastAsia="Times New Roman" w:hAnsiTheme="minorHAnsi"/>
          <w:color w:val="000000"/>
          <w:sz w:val="22"/>
          <w:szCs w:val="22"/>
          <w:shd w:val="clear" w:color="auto" w:fill="FFFFFF"/>
        </w:rPr>
        <w:t>, 48, 28-43.</w:t>
      </w:r>
    </w:p>
    <w:p w14:paraId="6A351EC1"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lang w:eastAsia="en-US"/>
        </w:rPr>
      </w:pPr>
      <w:r w:rsidRPr="00A003EB">
        <w:rPr>
          <w:rFonts w:asciiTheme="minorHAnsi" w:hAnsiTheme="minorHAnsi" w:cs="Times"/>
          <w:color w:val="000000"/>
          <w:sz w:val="22"/>
          <w:szCs w:val="22"/>
        </w:rPr>
        <w:t xml:space="preserve">Bouri, E., P. Molnár, G. Azzi, D. Roubaud, and L. I. Hagfors (2017). On the hedge and safe haven properties of bitcoin: Is it really more than a diversifier? </w:t>
      </w:r>
      <w:r w:rsidRPr="00A003EB">
        <w:rPr>
          <w:rFonts w:asciiTheme="minorHAnsi" w:hAnsiTheme="minorHAnsi" w:cs="Times"/>
          <w:i/>
          <w:color w:val="000000"/>
          <w:sz w:val="22"/>
          <w:szCs w:val="22"/>
        </w:rPr>
        <w:t>Finance Research Letters</w:t>
      </w:r>
      <w:r w:rsidRPr="00A003EB">
        <w:rPr>
          <w:rFonts w:asciiTheme="minorHAnsi" w:hAnsiTheme="minorHAnsi" w:cs="Times"/>
          <w:color w:val="000000"/>
          <w:sz w:val="22"/>
          <w:szCs w:val="22"/>
        </w:rPr>
        <w:t xml:space="preserve">, 20, 192–198. </w:t>
      </w:r>
    </w:p>
    <w:p w14:paraId="12E9CC53"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Cheah, E.-T. and J. Fry (2015). Speculative bubbles in bitcoin markets? an empirical investigation into the fundamental value of bitcoin.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xml:space="preserve">, 130, 32–36. </w:t>
      </w:r>
    </w:p>
    <w:p w14:paraId="2E504972"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Corbet, S., B. Lucey, and L. Yarovaya (2017). Datestamping the Bitcoin and Ethereum bubbles. </w:t>
      </w:r>
      <w:r w:rsidRPr="00A003EB">
        <w:rPr>
          <w:rFonts w:asciiTheme="minorHAnsi" w:hAnsiTheme="minorHAnsi" w:cs="Times"/>
          <w:i/>
          <w:color w:val="000000"/>
          <w:sz w:val="22"/>
          <w:szCs w:val="22"/>
        </w:rPr>
        <w:t>Finance Research Letters</w:t>
      </w:r>
      <w:r w:rsidRPr="00A003EB">
        <w:rPr>
          <w:rFonts w:asciiTheme="minorHAnsi" w:hAnsiTheme="minorHAnsi" w:cs="Times"/>
          <w:color w:val="000000"/>
          <w:sz w:val="22"/>
          <w:szCs w:val="22"/>
        </w:rPr>
        <w:t xml:space="preserve">, forthcoming. </w:t>
      </w:r>
    </w:p>
    <w:p w14:paraId="591E6438"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Corbet, S., C. Larkin, B. Lucey, A. Meegan, and L. Yarovaya (2018a). Exploring the dynamic relationships between cryptocurrencies and other financial assets.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xml:space="preserve">, 165(1), 28–34. </w:t>
      </w:r>
    </w:p>
    <w:p w14:paraId="7DF78EF5" w14:textId="77777777" w:rsidR="006121D8" w:rsidRPr="00A003EB" w:rsidRDefault="006121D8" w:rsidP="006121D8">
      <w:pPr>
        <w:ind w:left="720" w:hanging="720"/>
        <w:jc w:val="both"/>
        <w:rPr>
          <w:rFonts w:asciiTheme="minorHAnsi" w:eastAsia="Times New Roman" w:hAnsiTheme="minorHAnsi"/>
          <w:color w:val="000000" w:themeColor="text1"/>
          <w:sz w:val="22"/>
          <w:szCs w:val="22"/>
        </w:rPr>
      </w:pPr>
      <w:r w:rsidRPr="00A003EB">
        <w:rPr>
          <w:rFonts w:asciiTheme="minorHAnsi" w:hAnsiTheme="minorHAnsi" w:cs="Times"/>
          <w:color w:val="000000" w:themeColor="text1"/>
          <w:sz w:val="22"/>
          <w:szCs w:val="22"/>
        </w:rPr>
        <w:t xml:space="preserve">Corbet, S., B. Lucey, A. Urquhart and L. Yarovaya (2018b). Cryptocurrencies as a Financial Asset: A systematic analysis. Available at </w:t>
      </w:r>
      <w:r w:rsidRPr="00A003EB">
        <w:rPr>
          <w:rFonts w:asciiTheme="minorHAnsi" w:eastAsia="Times New Roman" w:hAnsiTheme="minorHAnsi"/>
          <w:color w:val="000000" w:themeColor="text1"/>
          <w:sz w:val="22"/>
          <w:szCs w:val="22"/>
          <w:shd w:val="clear" w:color="auto" w:fill="FFFFFF"/>
        </w:rPr>
        <w:t>SSRN: </w:t>
      </w:r>
      <w:hyperlink r:id="rId43" w:tgtFrame="_blank" w:history="1">
        <w:r w:rsidRPr="00A003EB">
          <w:rPr>
            <w:rFonts w:asciiTheme="minorHAnsi" w:eastAsia="Times New Roman" w:hAnsiTheme="minorHAnsi"/>
            <w:color w:val="000000" w:themeColor="text1"/>
            <w:sz w:val="22"/>
            <w:szCs w:val="22"/>
            <w:u w:val="single"/>
          </w:rPr>
          <w:t>https://ssrn.com/abstract=3143122</w:t>
        </w:r>
      </w:hyperlink>
      <w:r w:rsidRPr="00A003EB">
        <w:rPr>
          <w:rFonts w:asciiTheme="minorHAnsi" w:eastAsia="Times New Roman" w:hAnsiTheme="minorHAnsi"/>
          <w:color w:val="000000" w:themeColor="text1"/>
          <w:sz w:val="22"/>
          <w:szCs w:val="22"/>
        </w:rPr>
        <w:t>.</w:t>
      </w:r>
      <w:r w:rsidRPr="00A003EB">
        <w:rPr>
          <w:rFonts w:asciiTheme="minorHAnsi" w:eastAsia="Times New Roman" w:hAnsiTheme="minorHAnsi"/>
          <w:color w:val="000000" w:themeColor="text1"/>
          <w:sz w:val="22"/>
          <w:szCs w:val="22"/>
          <w:shd w:val="clear" w:color="auto" w:fill="FFFFFF"/>
        </w:rPr>
        <w:t> </w:t>
      </w:r>
      <w:r w:rsidRPr="00A003EB">
        <w:rPr>
          <w:rFonts w:asciiTheme="minorHAnsi" w:eastAsia="Times New Roman" w:hAnsiTheme="minorHAnsi"/>
          <w:color w:val="000000" w:themeColor="text1"/>
          <w:sz w:val="22"/>
          <w:szCs w:val="22"/>
        </w:rPr>
        <w:t xml:space="preserve"> </w:t>
      </w:r>
    </w:p>
    <w:p w14:paraId="1D344C4F"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DeMiguel, V., Garlappi, L. and Uppal, R. (2009). Optimal Versus Naive Diversification: </w:t>
      </w:r>
      <w:r w:rsidRPr="00A003EB">
        <w:rPr>
          <w:rFonts w:asciiTheme="minorHAnsi" w:eastAsia="Times New Roman" w:hAnsiTheme="minorHAnsi"/>
          <w:color w:val="000000"/>
          <w:sz w:val="22"/>
          <w:szCs w:val="22"/>
        </w:rPr>
        <w:br/>
      </w:r>
      <w:r w:rsidRPr="00A003EB">
        <w:rPr>
          <w:rFonts w:asciiTheme="minorHAnsi" w:eastAsia="Times New Roman" w:hAnsiTheme="minorHAnsi"/>
          <w:color w:val="000000"/>
          <w:sz w:val="22"/>
          <w:szCs w:val="22"/>
          <w:shd w:val="clear" w:color="auto" w:fill="FFFFFF"/>
        </w:rPr>
        <w:t xml:space="preserve">How Inefficient is the 1/N Portfolio Strategy? </w:t>
      </w:r>
      <w:r w:rsidRPr="00A003EB">
        <w:rPr>
          <w:rFonts w:asciiTheme="minorHAnsi" w:eastAsia="Times New Roman" w:hAnsiTheme="minorHAnsi"/>
          <w:i/>
          <w:color w:val="000000"/>
          <w:sz w:val="22"/>
          <w:szCs w:val="22"/>
          <w:shd w:val="clear" w:color="auto" w:fill="FFFFFF"/>
        </w:rPr>
        <w:t>Review of Financial Studies</w:t>
      </w:r>
      <w:r w:rsidRPr="00A003EB">
        <w:rPr>
          <w:rFonts w:asciiTheme="minorHAnsi" w:eastAsia="Times New Roman" w:hAnsiTheme="minorHAnsi"/>
          <w:color w:val="000000"/>
          <w:sz w:val="22"/>
          <w:szCs w:val="22"/>
          <w:shd w:val="clear" w:color="auto" w:fill="FFFFFF"/>
        </w:rPr>
        <w:t>, 22, 1915-1953.</w:t>
      </w:r>
    </w:p>
    <w:p w14:paraId="7A603D8D"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Gkillas, K. and Katsiampa, P. (2018) An application of extreme value theory to cryptocurrencies. </w:t>
      </w:r>
      <w:r w:rsidRPr="00A003EB">
        <w:rPr>
          <w:rFonts w:asciiTheme="minorHAnsi" w:eastAsia="Times New Roman" w:hAnsiTheme="minorHAnsi"/>
          <w:i/>
          <w:color w:val="000000"/>
          <w:sz w:val="22"/>
          <w:szCs w:val="22"/>
          <w:shd w:val="clear" w:color="auto" w:fill="FFFFFF"/>
        </w:rPr>
        <w:t>Economics Letters</w:t>
      </w:r>
      <w:r w:rsidRPr="00A003EB">
        <w:rPr>
          <w:rFonts w:asciiTheme="minorHAnsi" w:eastAsia="Times New Roman" w:hAnsiTheme="minorHAnsi"/>
          <w:color w:val="000000"/>
          <w:sz w:val="22"/>
          <w:szCs w:val="22"/>
          <w:shd w:val="clear" w:color="auto" w:fill="FFFFFF"/>
        </w:rPr>
        <w:t>, 164, 109-111.</w:t>
      </w:r>
    </w:p>
    <w:p w14:paraId="592635AB"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Kan, R., Zhou, G. (2007). Optimal Portfolio Choice with Parameter Uncertainty. </w:t>
      </w:r>
      <w:r w:rsidRPr="00A003EB">
        <w:rPr>
          <w:rFonts w:asciiTheme="minorHAnsi" w:eastAsia="Times New Roman" w:hAnsiTheme="minorHAnsi"/>
          <w:i/>
          <w:color w:val="000000"/>
          <w:sz w:val="22"/>
          <w:szCs w:val="22"/>
          <w:shd w:val="clear" w:color="auto" w:fill="FFFFFF"/>
        </w:rPr>
        <w:t>Journal of Financial and Quantitative Analysis</w:t>
      </w:r>
      <w:r w:rsidRPr="00A003EB">
        <w:rPr>
          <w:rFonts w:asciiTheme="minorHAnsi" w:eastAsia="Times New Roman" w:hAnsiTheme="minorHAnsi"/>
          <w:color w:val="000000"/>
          <w:sz w:val="22"/>
          <w:szCs w:val="22"/>
          <w:shd w:val="clear" w:color="auto" w:fill="FFFFFF"/>
        </w:rPr>
        <w:t>, 42, 621-656.</w:t>
      </w:r>
    </w:p>
    <w:p w14:paraId="29E5CD3F"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Khuntia, S. and Pattanayak, J. K. (2018). Adaptive market hypothesis and evolving predictability of bitcoin. </w:t>
      </w:r>
      <w:r w:rsidRPr="00A003EB">
        <w:rPr>
          <w:rFonts w:asciiTheme="minorHAnsi" w:eastAsia="Times New Roman" w:hAnsiTheme="minorHAnsi"/>
          <w:i/>
          <w:color w:val="000000"/>
          <w:sz w:val="22"/>
          <w:szCs w:val="22"/>
          <w:shd w:val="clear" w:color="auto" w:fill="FFFFFF"/>
        </w:rPr>
        <w:t>Economics Letters</w:t>
      </w:r>
      <w:r w:rsidRPr="00A003EB">
        <w:rPr>
          <w:rFonts w:asciiTheme="minorHAnsi" w:eastAsia="Times New Roman" w:hAnsiTheme="minorHAnsi"/>
          <w:color w:val="000000"/>
          <w:sz w:val="22"/>
          <w:szCs w:val="22"/>
          <w:shd w:val="clear" w:color="auto" w:fill="FFFFFF"/>
        </w:rPr>
        <w:t>, 167, 26-28.</w:t>
      </w:r>
    </w:p>
    <w:p w14:paraId="6FFFA17B"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Koutmos, D. (2018). Bitcoin returns and transaction activity. </w:t>
      </w:r>
      <w:r w:rsidRPr="00A003EB">
        <w:rPr>
          <w:rFonts w:asciiTheme="minorHAnsi" w:eastAsia="Times New Roman" w:hAnsiTheme="minorHAnsi"/>
          <w:i/>
          <w:color w:val="000000"/>
          <w:sz w:val="22"/>
          <w:szCs w:val="22"/>
          <w:shd w:val="clear" w:color="auto" w:fill="FFFFFF"/>
        </w:rPr>
        <w:t>Economics Letters</w:t>
      </w:r>
      <w:r w:rsidRPr="00A003EB">
        <w:rPr>
          <w:rFonts w:asciiTheme="minorHAnsi" w:eastAsia="Times New Roman" w:hAnsiTheme="minorHAnsi"/>
          <w:color w:val="000000"/>
          <w:sz w:val="22"/>
          <w:szCs w:val="22"/>
          <w:shd w:val="clear" w:color="auto" w:fill="FFFFFF"/>
        </w:rPr>
        <w:t>, 167, 81-85.</w:t>
      </w:r>
    </w:p>
    <w:p w14:paraId="3CE2E358" w14:textId="77777777"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Lintilhac, P. S., Tourin, A. (2017). Model-based pairs trading in the bitcoin market. </w:t>
      </w:r>
      <w:r w:rsidRPr="00A003EB">
        <w:rPr>
          <w:rFonts w:asciiTheme="minorHAnsi" w:eastAsia="Times New Roman" w:hAnsiTheme="minorHAnsi"/>
          <w:i/>
          <w:color w:val="000000"/>
          <w:sz w:val="22"/>
          <w:szCs w:val="22"/>
          <w:shd w:val="clear" w:color="auto" w:fill="FFFFFF"/>
        </w:rPr>
        <w:t>Quantitative Finance</w:t>
      </w:r>
      <w:r w:rsidRPr="00A003EB">
        <w:rPr>
          <w:rFonts w:asciiTheme="minorHAnsi" w:eastAsia="Times New Roman" w:hAnsiTheme="minorHAnsi"/>
          <w:color w:val="000000"/>
          <w:sz w:val="22"/>
          <w:szCs w:val="22"/>
          <w:shd w:val="clear" w:color="auto" w:fill="FFFFFF"/>
        </w:rPr>
        <w:t>, 17(5), 703-716.</w:t>
      </w:r>
    </w:p>
    <w:p w14:paraId="673883F4" w14:textId="5CA86FFA" w:rsidR="006121D8" w:rsidRPr="00A003EB" w:rsidRDefault="006121D8" w:rsidP="006121D8">
      <w:pPr>
        <w:ind w:left="720" w:hanging="720"/>
        <w:jc w:val="both"/>
        <w:rPr>
          <w:rFonts w:asciiTheme="minorHAnsi" w:eastAsia="Times New Roman" w:hAnsiTheme="minorHAnsi"/>
          <w:color w:val="000000"/>
          <w:sz w:val="22"/>
          <w:szCs w:val="22"/>
          <w:shd w:val="clear" w:color="auto" w:fill="FFFFFF"/>
        </w:rPr>
      </w:pPr>
      <w:r w:rsidRPr="00A003EB">
        <w:rPr>
          <w:rFonts w:asciiTheme="minorHAnsi" w:eastAsia="Times New Roman" w:hAnsiTheme="minorHAnsi"/>
          <w:color w:val="000000"/>
          <w:sz w:val="22"/>
          <w:szCs w:val="22"/>
          <w:shd w:val="clear" w:color="auto" w:fill="FFFFFF"/>
        </w:rPr>
        <w:t xml:space="preserve">Markowitz, H. (1952). Portfolio Selection. </w:t>
      </w:r>
      <w:r w:rsidRPr="00A003EB">
        <w:rPr>
          <w:rFonts w:asciiTheme="minorHAnsi" w:eastAsia="Times New Roman" w:hAnsiTheme="minorHAnsi"/>
          <w:i/>
          <w:color w:val="000000"/>
          <w:sz w:val="22"/>
          <w:szCs w:val="22"/>
          <w:shd w:val="clear" w:color="auto" w:fill="FFFFFF"/>
        </w:rPr>
        <w:t>The Journa</w:t>
      </w:r>
      <w:r w:rsidR="008F0A47">
        <w:rPr>
          <w:rFonts w:asciiTheme="minorHAnsi" w:eastAsia="Times New Roman" w:hAnsiTheme="minorHAnsi"/>
          <w:i/>
          <w:color w:val="000000"/>
          <w:sz w:val="22"/>
          <w:szCs w:val="22"/>
          <w:shd w:val="clear" w:color="auto" w:fill="FFFFFF"/>
        </w:rPr>
        <w:t>l</w:t>
      </w:r>
      <w:r w:rsidRPr="00A003EB">
        <w:rPr>
          <w:rFonts w:asciiTheme="minorHAnsi" w:eastAsia="Times New Roman" w:hAnsiTheme="minorHAnsi"/>
          <w:i/>
          <w:color w:val="000000"/>
          <w:sz w:val="22"/>
          <w:szCs w:val="22"/>
          <w:shd w:val="clear" w:color="auto" w:fill="FFFFFF"/>
        </w:rPr>
        <w:t xml:space="preserve"> of Finance</w:t>
      </w:r>
      <w:r w:rsidRPr="00A003EB">
        <w:rPr>
          <w:rFonts w:asciiTheme="minorHAnsi" w:eastAsia="Times New Roman" w:hAnsiTheme="minorHAnsi"/>
          <w:color w:val="000000"/>
          <w:sz w:val="22"/>
          <w:szCs w:val="22"/>
          <w:shd w:val="clear" w:color="auto" w:fill="FFFFFF"/>
        </w:rPr>
        <w:t>, 7, 77-91.</w:t>
      </w:r>
    </w:p>
    <w:p w14:paraId="7E2B1170"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Nadarajah, S. and J. Chu (2017). On the inefficiency of bitcoin. Economics Letters 150, 6–9. </w:t>
      </w:r>
    </w:p>
    <w:p w14:paraId="5548E1CF"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Nakamoto, S. (2008). Bitcoin: A peer-to-peer electronic cash system. Available at </w:t>
      </w:r>
      <w:r w:rsidRPr="00A003EB">
        <w:fldChar w:fldCharType="begin"/>
      </w:r>
      <w:r w:rsidRPr="00A003EB">
        <w:rPr>
          <w:rFonts w:asciiTheme="minorHAnsi" w:hAnsiTheme="minorHAnsi"/>
          <w:sz w:val="22"/>
          <w:szCs w:val="22"/>
        </w:rPr>
        <w:instrText xml:space="preserve"> "https://Bitcoin.org/Bitcoin.pdf" </w:instrText>
      </w:r>
      <w:r w:rsidRPr="00A003EB">
        <w:fldChar w:fldCharType="separate"/>
      </w:r>
      <w:r w:rsidRPr="00A003EB">
        <w:rPr>
          <w:rStyle w:val="Hyperlink"/>
          <w:rFonts w:asciiTheme="minorHAnsi" w:hAnsiTheme="minorHAnsi" w:cs="Times"/>
          <w:sz w:val="22"/>
          <w:szCs w:val="22"/>
        </w:rPr>
        <w:t>https://Bitcoin.org/Bitcoin.pdf</w:t>
      </w:r>
      <w:r w:rsidRPr="00A003EB">
        <w:rPr>
          <w:rStyle w:val="Hyperlink"/>
          <w:rFonts w:asciiTheme="minorHAnsi" w:hAnsiTheme="minorHAnsi" w:cs="Times"/>
          <w:sz w:val="22"/>
          <w:szCs w:val="22"/>
        </w:rPr>
        <w:fldChar w:fldCharType="end"/>
      </w:r>
      <w:r w:rsidRPr="00A003EB">
        <w:rPr>
          <w:rFonts w:asciiTheme="minorHAnsi" w:hAnsiTheme="minorHAnsi"/>
          <w:sz w:val="22"/>
          <w:szCs w:val="22"/>
        </w:rPr>
        <w:t>https://Bitcoin.org/Bitcoin.pdf"</w:t>
      </w:r>
    </w:p>
    <w:p w14:paraId="680BA03B"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Oikonomou, I., Platanakis, E. and Sutcliffe, C. (2018). Socially Responsible Investment Portfolios: Does the Optimization Process Matter? </w:t>
      </w:r>
      <w:r w:rsidRPr="00A003EB">
        <w:rPr>
          <w:rFonts w:asciiTheme="minorHAnsi" w:hAnsiTheme="minorHAnsi" w:cs="Times"/>
          <w:i/>
          <w:color w:val="000000"/>
          <w:sz w:val="22"/>
          <w:szCs w:val="22"/>
        </w:rPr>
        <w:t>The British Accounting Review</w:t>
      </w:r>
      <w:r w:rsidRPr="00A003EB">
        <w:rPr>
          <w:rFonts w:asciiTheme="minorHAnsi" w:hAnsiTheme="minorHAnsi" w:cs="Times"/>
          <w:color w:val="000000"/>
          <w:sz w:val="22"/>
          <w:szCs w:val="22"/>
        </w:rPr>
        <w:t>, forthcoming.</w:t>
      </w:r>
    </w:p>
    <w:p w14:paraId="210EF611"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Phillip, A., J. Chan, and S. Peiris (2018). A new look at cryptocurrencies.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xml:space="preserve">, 163, 6–9. </w:t>
      </w:r>
    </w:p>
    <w:p w14:paraId="56029C9A"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Platanakis, E., Sakkas, A., Sutcliffe, C. (2017a) Harmful Diversification: Evidence from Alternative Investments, ICMA Centre Discussion Paper Number: ICM-2017-09. Available at SSRN: https://ssrn.com/abstract=2911212.</w:t>
      </w:r>
    </w:p>
    <w:p w14:paraId="3D3EA327"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Platanakis, E., Sutcliffe, C. (2017b) Asset-Liability Modelling and Pension Schemes: The Application of Robust Optimization to USS. </w:t>
      </w:r>
      <w:r w:rsidRPr="00A003EB">
        <w:rPr>
          <w:rFonts w:asciiTheme="minorHAnsi" w:hAnsiTheme="minorHAnsi" w:cs="Times"/>
          <w:i/>
          <w:color w:val="000000"/>
          <w:sz w:val="22"/>
          <w:szCs w:val="22"/>
        </w:rPr>
        <w:t>The European Journal of Finance</w:t>
      </w:r>
      <w:r w:rsidRPr="00A003EB">
        <w:rPr>
          <w:rFonts w:asciiTheme="minorHAnsi" w:hAnsiTheme="minorHAnsi" w:cs="Times"/>
          <w:color w:val="000000"/>
          <w:sz w:val="22"/>
          <w:szCs w:val="22"/>
        </w:rPr>
        <w:t>, 23, 324-352.</w:t>
      </w:r>
    </w:p>
    <w:p w14:paraId="2705D587"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Shadwick, W.F., Keating, C. (2002). A Universal Performance Measure. </w:t>
      </w:r>
      <w:r w:rsidRPr="00A003EB">
        <w:rPr>
          <w:rFonts w:asciiTheme="minorHAnsi" w:hAnsiTheme="minorHAnsi" w:cs="Times"/>
          <w:i/>
          <w:color w:val="000000"/>
          <w:sz w:val="22"/>
          <w:szCs w:val="22"/>
        </w:rPr>
        <w:t>Journal of Performance Measurement</w:t>
      </w:r>
      <w:r w:rsidRPr="00A003EB">
        <w:rPr>
          <w:rFonts w:asciiTheme="minorHAnsi" w:hAnsiTheme="minorHAnsi" w:cs="Times"/>
          <w:color w:val="000000"/>
          <w:sz w:val="22"/>
          <w:szCs w:val="22"/>
        </w:rPr>
        <w:t>, 6, 59-84</w:t>
      </w:r>
    </w:p>
    <w:p w14:paraId="25DD6506"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Sharpe, W. F. (1966). Mutual fund performance. </w:t>
      </w:r>
      <w:r w:rsidRPr="00A003EB">
        <w:rPr>
          <w:rFonts w:asciiTheme="minorHAnsi" w:hAnsiTheme="minorHAnsi" w:cs="Times"/>
          <w:i/>
          <w:color w:val="000000"/>
          <w:sz w:val="22"/>
          <w:szCs w:val="22"/>
        </w:rPr>
        <w:t>Journal of Business</w:t>
      </w:r>
      <w:r w:rsidRPr="00A003EB">
        <w:rPr>
          <w:rFonts w:asciiTheme="minorHAnsi" w:hAnsiTheme="minorHAnsi" w:cs="Times"/>
          <w:color w:val="000000"/>
          <w:sz w:val="22"/>
          <w:szCs w:val="22"/>
        </w:rPr>
        <w:t>, 39, 119-138.</w:t>
      </w:r>
    </w:p>
    <w:p w14:paraId="39796DDF"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lang w:eastAsia="en-US"/>
        </w:rPr>
      </w:pPr>
      <w:r w:rsidRPr="00A003EB">
        <w:rPr>
          <w:rFonts w:asciiTheme="minorHAnsi" w:hAnsiTheme="minorHAnsi" w:cs="Times"/>
          <w:color w:val="000000"/>
          <w:sz w:val="22"/>
          <w:szCs w:val="22"/>
        </w:rPr>
        <w:t xml:space="preserve">Tiwari, A. K., R. Jana, D. Das, and D. Roubaud (2018). Informational efficiency of bitcoin - an extension.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xml:space="preserve">, 163, 106–109. </w:t>
      </w:r>
    </w:p>
    <w:p w14:paraId="0278E3ED" w14:textId="77777777" w:rsidR="006121D8" w:rsidRPr="00A003EB"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Urquhart, A. (2016). The inefficiency of bitcoin.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xml:space="preserve">, 148, 80–82. </w:t>
      </w:r>
    </w:p>
    <w:p w14:paraId="72CC9B64" w14:textId="77777777" w:rsidR="006121D8" w:rsidRPr="00DC7DA7" w:rsidRDefault="006121D8" w:rsidP="006121D8">
      <w:pPr>
        <w:widowControl w:val="0"/>
        <w:autoSpaceDE w:val="0"/>
        <w:autoSpaceDN w:val="0"/>
        <w:adjustRightInd w:val="0"/>
        <w:ind w:left="720" w:hanging="720"/>
        <w:jc w:val="both"/>
        <w:rPr>
          <w:rFonts w:asciiTheme="minorHAnsi" w:hAnsiTheme="minorHAnsi" w:cs="Times"/>
          <w:color w:val="000000"/>
          <w:sz w:val="22"/>
          <w:szCs w:val="22"/>
        </w:rPr>
      </w:pPr>
      <w:r w:rsidRPr="00A003EB">
        <w:rPr>
          <w:rFonts w:asciiTheme="minorHAnsi" w:hAnsiTheme="minorHAnsi" w:cs="Times"/>
          <w:color w:val="000000"/>
          <w:sz w:val="22"/>
          <w:szCs w:val="22"/>
        </w:rPr>
        <w:t xml:space="preserve">Urquhart, A. (2017). Price clustering in bitcoin. </w:t>
      </w:r>
      <w:r w:rsidRPr="00A003EB">
        <w:rPr>
          <w:rFonts w:asciiTheme="minorHAnsi" w:hAnsiTheme="minorHAnsi" w:cs="Times"/>
          <w:i/>
          <w:color w:val="000000"/>
          <w:sz w:val="22"/>
          <w:szCs w:val="22"/>
        </w:rPr>
        <w:t>Economics Letters</w:t>
      </w:r>
      <w:r w:rsidRPr="00A003EB">
        <w:rPr>
          <w:rFonts w:asciiTheme="minorHAnsi" w:hAnsiTheme="minorHAnsi" w:cs="Times"/>
          <w:color w:val="000000"/>
          <w:sz w:val="22"/>
          <w:szCs w:val="22"/>
        </w:rPr>
        <w:t>, 159, 145–148.</w:t>
      </w:r>
      <w:r w:rsidRPr="00DC7DA7">
        <w:rPr>
          <w:rFonts w:asciiTheme="minorHAnsi" w:hAnsiTheme="minorHAnsi" w:cs="Times"/>
          <w:color w:val="000000"/>
          <w:sz w:val="22"/>
          <w:szCs w:val="22"/>
        </w:rPr>
        <w:t xml:space="preserve"> </w:t>
      </w:r>
    </w:p>
    <w:p w14:paraId="0557F981" w14:textId="698203BC" w:rsidR="006357B7" w:rsidRDefault="006357B7" w:rsidP="00DF2226">
      <w:pPr>
        <w:jc w:val="both"/>
        <w:rPr>
          <w:rFonts w:ascii="Garamond" w:hAnsi="Garamond"/>
          <w:b/>
        </w:rPr>
      </w:pPr>
    </w:p>
    <w:p w14:paraId="22EEC0FE" w14:textId="0C1E138A" w:rsidR="006357B7" w:rsidRDefault="006357B7" w:rsidP="00DF2226">
      <w:pPr>
        <w:jc w:val="both"/>
        <w:rPr>
          <w:rFonts w:ascii="Garamond" w:hAnsi="Garamond"/>
          <w:b/>
        </w:rPr>
      </w:pPr>
    </w:p>
    <w:sectPr w:rsidR="006357B7" w:rsidSect="005C0045">
      <w:footerReference w:type="even" r:id="rId44"/>
      <w:footerReference w:type="default" r:id="rId4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256D" w14:textId="77777777" w:rsidR="00405C32" w:rsidRDefault="00405C32" w:rsidP="00006F35">
      <w:r>
        <w:separator/>
      </w:r>
    </w:p>
  </w:endnote>
  <w:endnote w:type="continuationSeparator" w:id="0">
    <w:p w14:paraId="1F35B60E" w14:textId="77777777" w:rsidR="00405C32" w:rsidRDefault="00405C32" w:rsidP="0000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DA05" w14:textId="77777777" w:rsidR="001E4C3F" w:rsidRDefault="001E4C3F" w:rsidP="001E4C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DD4C7" w14:textId="77777777" w:rsidR="001E4C3F" w:rsidRDefault="001E4C3F" w:rsidP="00006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3164" w14:textId="2422829B" w:rsidR="001E4C3F" w:rsidRPr="00006F35" w:rsidRDefault="001E4C3F" w:rsidP="001E4C3F">
    <w:pPr>
      <w:pStyle w:val="Footer"/>
      <w:framePr w:wrap="none" w:vAnchor="text" w:hAnchor="margin" w:xAlign="right" w:y="1"/>
      <w:rPr>
        <w:rStyle w:val="PageNumber"/>
        <w:rFonts w:ascii="Garamond" w:hAnsi="Garamond"/>
      </w:rPr>
    </w:pPr>
    <w:r w:rsidRPr="00006F35">
      <w:rPr>
        <w:rStyle w:val="PageNumber"/>
        <w:rFonts w:ascii="Garamond" w:hAnsi="Garamond"/>
      </w:rPr>
      <w:fldChar w:fldCharType="begin"/>
    </w:r>
    <w:r w:rsidRPr="00006F35">
      <w:rPr>
        <w:rStyle w:val="PageNumber"/>
        <w:rFonts w:ascii="Garamond" w:hAnsi="Garamond"/>
      </w:rPr>
      <w:instrText xml:space="preserve">PAGE  </w:instrText>
    </w:r>
    <w:r w:rsidRPr="00006F35">
      <w:rPr>
        <w:rStyle w:val="PageNumber"/>
        <w:rFonts w:ascii="Garamond" w:hAnsi="Garamond"/>
      </w:rPr>
      <w:fldChar w:fldCharType="separate"/>
    </w:r>
    <w:r w:rsidR="00D231E5">
      <w:rPr>
        <w:rStyle w:val="PageNumber"/>
        <w:rFonts w:ascii="Garamond" w:hAnsi="Garamond"/>
        <w:noProof/>
      </w:rPr>
      <w:t>6</w:t>
    </w:r>
    <w:r w:rsidRPr="00006F35">
      <w:rPr>
        <w:rStyle w:val="PageNumber"/>
        <w:rFonts w:ascii="Garamond" w:hAnsi="Garamond"/>
      </w:rPr>
      <w:fldChar w:fldCharType="end"/>
    </w:r>
  </w:p>
  <w:p w14:paraId="6174EA31" w14:textId="77777777" w:rsidR="001E4C3F" w:rsidRDefault="001E4C3F" w:rsidP="00006F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4CBD" w14:textId="77777777" w:rsidR="00405C32" w:rsidRDefault="00405C32" w:rsidP="00006F35">
      <w:r>
        <w:separator/>
      </w:r>
    </w:p>
  </w:footnote>
  <w:footnote w:type="continuationSeparator" w:id="0">
    <w:p w14:paraId="701712E7" w14:textId="77777777" w:rsidR="00405C32" w:rsidRDefault="00405C32" w:rsidP="00006F35">
      <w:r>
        <w:continuationSeparator/>
      </w:r>
    </w:p>
  </w:footnote>
  <w:footnote w:id="1">
    <w:p w14:paraId="6C9A98A0" w14:textId="61F13643" w:rsidR="001E4C3F" w:rsidRPr="00D64C4D" w:rsidRDefault="001E4C3F" w:rsidP="00D64C4D">
      <w:pPr>
        <w:pStyle w:val="FootnoteText"/>
        <w:jc w:val="both"/>
        <w:rPr>
          <w:rFonts w:ascii="Garamond" w:hAnsi="Garamond"/>
        </w:rPr>
      </w:pPr>
      <w:r w:rsidRPr="00D64C4D">
        <w:rPr>
          <w:rStyle w:val="FootnoteReference"/>
          <w:rFonts w:ascii="Garamond" w:hAnsi="Garamond"/>
          <w:sz w:val="20"/>
        </w:rPr>
        <w:footnoteRef/>
      </w:r>
      <w:r w:rsidRPr="00D64C4D">
        <w:rPr>
          <w:rFonts w:ascii="Garamond" w:hAnsi="Garamond"/>
          <w:sz w:val="20"/>
        </w:rPr>
        <w:t xml:space="preserve"> See Corbet et al (2018b) for a complete review of the literature o</w:t>
      </w:r>
      <w:r w:rsidR="007E1FFF">
        <w:rPr>
          <w:rFonts w:ascii="Garamond" w:hAnsi="Garamond"/>
          <w:sz w:val="20"/>
        </w:rPr>
        <w:t>n</w:t>
      </w:r>
      <w:r w:rsidRPr="00D64C4D">
        <w:rPr>
          <w:rFonts w:ascii="Garamond" w:hAnsi="Garamond"/>
          <w:sz w:val="20"/>
        </w:rPr>
        <w:t xml:space="preserve"> cryptocurrencies.</w:t>
      </w:r>
    </w:p>
  </w:footnote>
  <w:footnote w:id="2">
    <w:p w14:paraId="5977496D" w14:textId="60D988BF" w:rsidR="001E4C3F" w:rsidRPr="00577523" w:rsidRDefault="001E4C3F" w:rsidP="00577523">
      <w:pPr>
        <w:pStyle w:val="FootnoteText"/>
        <w:jc w:val="both"/>
        <w:rPr>
          <w:rFonts w:ascii="Garamond" w:hAnsi="Garamond"/>
        </w:rPr>
      </w:pPr>
      <w:r w:rsidRPr="00577523">
        <w:rPr>
          <w:rStyle w:val="FootnoteReference"/>
          <w:rFonts w:ascii="Garamond" w:hAnsi="Garamond"/>
          <w:sz w:val="20"/>
        </w:rPr>
        <w:footnoteRef/>
      </w:r>
      <w:r w:rsidRPr="00577523">
        <w:rPr>
          <w:rFonts w:ascii="Garamond" w:hAnsi="Garamond"/>
          <w:sz w:val="20"/>
        </w:rPr>
        <w:t xml:space="preserve"> The sample period start date is determined by the available of data for all four cryptocurrencies.</w:t>
      </w:r>
    </w:p>
  </w:footnote>
  <w:footnote w:id="3">
    <w:p w14:paraId="5983EE99" w14:textId="36B64043" w:rsidR="001E4C3F" w:rsidRPr="00577523" w:rsidRDefault="001E4C3F" w:rsidP="00577523">
      <w:pPr>
        <w:pStyle w:val="FootnoteText"/>
        <w:jc w:val="both"/>
        <w:rPr>
          <w:rFonts w:ascii="Garamond" w:hAnsi="Garamond"/>
        </w:rPr>
      </w:pPr>
      <w:r w:rsidRPr="00577523">
        <w:rPr>
          <w:rStyle w:val="FootnoteReference"/>
          <w:rFonts w:ascii="Garamond" w:hAnsi="Garamond"/>
          <w:sz w:val="20"/>
        </w:rPr>
        <w:footnoteRef/>
      </w:r>
      <w:r w:rsidRPr="00577523">
        <w:rPr>
          <w:rFonts w:ascii="Garamond" w:hAnsi="Garamond"/>
          <w:sz w:val="20"/>
        </w:rPr>
        <w:t xml:space="preserve"> Available at </w:t>
      </w:r>
      <w:hyperlink r:id="rId1" w:history="1">
        <w:r w:rsidRPr="00577523">
          <w:rPr>
            <w:rStyle w:val="Hyperlink"/>
            <w:rFonts w:ascii="Garamond" w:hAnsi="Garamond"/>
            <w:sz w:val="20"/>
          </w:rPr>
          <w:t>http://mba.tuck.dartmouth.edu/pages/faculty/ken.french/data_library.html</w:t>
        </w:r>
      </w:hyperlink>
      <w:r w:rsidRPr="00577523">
        <w:rPr>
          <w:rFonts w:ascii="Garamond" w:hAnsi="Garamond"/>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B532D"/>
    <w:multiLevelType w:val="hybridMultilevel"/>
    <w:tmpl w:val="9CBED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FE"/>
    <w:rsid w:val="00005DCD"/>
    <w:rsid w:val="00006F35"/>
    <w:rsid w:val="000639DE"/>
    <w:rsid w:val="0008327B"/>
    <w:rsid w:val="000A5D43"/>
    <w:rsid w:val="000F10CB"/>
    <w:rsid w:val="000F241E"/>
    <w:rsid w:val="0012540C"/>
    <w:rsid w:val="001766C2"/>
    <w:rsid w:val="001812BB"/>
    <w:rsid w:val="00184E25"/>
    <w:rsid w:val="001A61D9"/>
    <w:rsid w:val="001D27AC"/>
    <w:rsid w:val="001E4C3F"/>
    <w:rsid w:val="001E4E40"/>
    <w:rsid w:val="00213A60"/>
    <w:rsid w:val="0029159A"/>
    <w:rsid w:val="00296268"/>
    <w:rsid w:val="002A503A"/>
    <w:rsid w:val="002B07BA"/>
    <w:rsid w:val="002F0C21"/>
    <w:rsid w:val="002F1743"/>
    <w:rsid w:val="002F6DD6"/>
    <w:rsid w:val="00320A6E"/>
    <w:rsid w:val="00323D14"/>
    <w:rsid w:val="0033173A"/>
    <w:rsid w:val="00373C64"/>
    <w:rsid w:val="003977B5"/>
    <w:rsid w:val="003B6211"/>
    <w:rsid w:val="003F41F1"/>
    <w:rsid w:val="00405C32"/>
    <w:rsid w:val="004152D1"/>
    <w:rsid w:val="00431E09"/>
    <w:rsid w:val="00434779"/>
    <w:rsid w:val="0049508D"/>
    <w:rsid w:val="004A21AB"/>
    <w:rsid w:val="004D0829"/>
    <w:rsid w:val="00505338"/>
    <w:rsid w:val="00520110"/>
    <w:rsid w:val="00532258"/>
    <w:rsid w:val="00532BBF"/>
    <w:rsid w:val="00544F17"/>
    <w:rsid w:val="00546F85"/>
    <w:rsid w:val="00577523"/>
    <w:rsid w:val="00577576"/>
    <w:rsid w:val="00592688"/>
    <w:rsid w:val="005B0D3A"/>
    <w:rsid w:val="005C0045"/>
    <w:rsid w:val="005F4239"/>
    <w:rsid w:val="006121D8"/>
    <w:rsid w:val="00614AB7"/>
    <w:rsid w:val="006236D0"/>
    <w:rsid w:val="006246F5"/>
    <w:rsid w:val="006357B7"/>
    <w:rsid w:val="00640B53"/>
    <w:rsid w:val="00695D77"/>
    <w:rsid w:val="006B4B91"/>
    <w:rsid w:val="006D2715"/>
    <w:rsid w:val="006D5A9C"/>
    <w:rsid w:val="006E18E4"/>
    <w:rsid w:val="006F7354"/>
    <w:rsid w:val="007002FE"/>
    <w:rsid w:val="00744187"/>
    <w:rsid w:val="00785117"/>
    <w:rsid w:val="0078696A"/>
    <w:rsid w:val="007C06E4"/>
    <w:rsid w:val="007E1FFF"/>
    <w:rsid w:val="007F2869"/>
    <w:rsid w:val="00815A99"/>
    <w:rsid w:val="008222F1"/>
    <w:rsid w:val="00822607"/>
    <w:rsid w:val="00860AC2"/>
    <w:rsid w:val="008634EB"/>
    <w:rsid w:val="00863C70"/>
    <w:rsid w:val="00874890"/>
    <w:rsid w:val="008811AC"/>
    <w:rsid w:val="00885306"/>
    <w:rsid w:val="008E5D38"/>
    <w:rsid w:val="008E678C"/>
    <w:rsid w:val="008F0A47"/>
    <w:rsid w:val="00905090"/>
    <w:rsid w:val="009409B8"/>
    <w:rsid w:val="009A5A1F"/>
    <w:rsid w:val="009B2237"/>
    <w:rsid w:val="009D5852"/>
    <w:rsid w:val="00AA35CB"/>
    <w:rsid w:val="00AD29CF"/>
    <w:rsid w:val="00B236AC"/>
    <w:rsid w:val="00B41911"/>
    <w:rsid w:val="00B54D54"/>
    <w:rsid w:val="00B904FB"/>
    <w:rsid w:val="00B92A1B"/>
    <w:rsid w:val="00BE7325"/>
    <w:rsid w:val="00BF1023"/>
    <w:rsid w:val="00C110BA"/>
    <w:rsid w:val="00C14188"/>
    <w:rsid w:val="00C516AD"/>
    <w:rsid w:val="00C725DC"/>
    <w:rsid w:val="00C85C4F"/>
    <w:rsid w:val="00CC6039"/>
    <w:rsid w:val="00CF5ED0"/>
    <w:rsid w:val="00D16E07"/>
    <w:rsid w:val="00D231E5"/>
    <w:rsid w:val="00D23939"/>
    <w:rsid w:val="00D53BCB"/>
    <w:rsid w:val="00D57D40"/>
    <w:rsid w:val="00D64C4D"/>
    <w:rsid w:val="00D66917"/>
    <w:rsid w:val="00DB7F7C"/>
    <w:rsid w:val="00DC7DA7"/>
    <w:rsid w:val="00DE339C"/>
    <w:rsid w:val="00DF2226"/>
    <w:rsid w:val="00DF650C"/>
    <w:rsid w:val="00E13B15"/>
    <w:rsid w:val="00E345A0"/>
    <w:rsid w:val="00E526DA"/>
    <w:rsid w:val="00E71AA3"/>
    <w:rsid w:val="00E762EF"/>
    <w:rsid w:val="00EB778E"/>
    <w:rsid w:val="00EF797F"/>
    <w:rsid w:val="00F163A2"/>
    <w:rsid w:val="00F34D16"/>
    <w:rsid w:val="00F65E30"/>
    <w:rsid w:val="00F977D0"/>
    <w:rsid w:val="00FB08B5"/>
    <w:rsid w:val="00FB63E8"/>
    <w:rsid w:val="00FC0CF9"/>
    <w:rsid w:val="00FC5AFD"/>
    <w:rsid w:val="00FF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C5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4C4D"/>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02FE"/>
  </w:style>
  <w:style w:type="paragraph" w:styleId="ListParagraph">
    <w:name w:val="List Paragraph"/>
    <w:basedOn w:val="Normal"/>
    <w:uiPriority w:val="34"/>
    <w:qFormat/>
    <w:rsid w:val="00006F35"/>
    <w:pPr>
      <w:ind w:left="720"/>
      <w:contextualSpacing/>
    </w:pPr>
    <w:rPr>
      <w:rFonts w:asciiTheme="minorHAnsi" w:hAnsiTheme="minorHAnsi" w:cstheme="minorBidi"/>
      <w:lang w:eastAsia="en-US"/>
    </w:rPr>
  </w:style>
  <w:style w:type="paragraph" w:styleId="Footer">
    <w:name w:val="footer"/>
    <w:basedOn w:val="Normal"/>
    <w:link w:val="FooterChar"/>
    <w:uiPriority w:val="99"/>
    <w:unhideWhenUsed/>
    <w:rsid w:val="00006F3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06F35"/>
  </w:style>
  <w:style w:type="character" w:styleId="PageNumber">
    <w:name w:val="page number"/>
    <w:basedOn w:val="DefaultParagraphFont"/>
    <w:uiPriority w:val="99"/>
    <w:semiHidden/>
    <w:unhideWhenUsed/>
    <w:rsid w:val="00006F35"/>
  </w:style>
  <w:style w:type="paragraph" w:styleId="Header">
    <w:name w:val="header"/>
    <w:basedOn w:val="Normal"/>
    <w:link w:val="HeaderChar"/>
    <w:uiPriority w:val="99"/>
    <w:unhideWhenUsed/>
    <w:rsid w:val="00006F3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06F35"/>
  </w:style>
  <w:style w:type="character" w:styleId="Hyperlink">
    <w:name w:val="Hyperlink"/>
    <w:basedOn w:val="DefaultParagraphFont"/>
    <w:uiPriority w:val="99"/>
    <w:unhideWhenUsed/>
    <w:rsid w:val="00592688"/>
    <w:rPr>
      <w:color w:val="0563C1" w:themeColor="hyperlink"/>
      <w:u w:val="single"/>
    </w:rPr>
  </w:style>
  <w:style w:type="paragraph" w:styleId="FootnoteText">
    <w:name w:val="footnote text"/>
    <w:basedOn w:val="Normal"/>
    <w:link w:val="FootnoteTextChar"/>
    <w:uiPriority w:val="99"/>
    <w:unhideWhenUsed/>
    <w:rsid w:val="00D64C4D"/>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D64C4D"/>
  </w:style>
  <w:style w:type="character" w:styleId="FootnoteReference">
    <w:name w:val="footnote reference"/>
    <w:basedOn w:val="DefaultParagraphFont"/>
    <w:uiPriority w:val="99"/>
    <w:unhideWhenUsed/>
    <w:rsid w:val="00D64C4D"/>
    <w:rPr>
      <w:vertAlign w:val="superscript"/>
    </w:rPr>
  </w:style>
  <w:style w:type="character" w:styleId="FollowedHyperlink">
    <w:name w:val="FollowedHyperlink"/>
    <w:basedOn w:val="DefaultParagraphFont"/>
    <w:uiPriority w:val="99"/>
    <w:semiHidden/>
    <w:unhideWhenUsed/>
    <w:rsid w:val="00577523"/>
    <w:rPr>
      <w:color w:val="954F72" w:themeColor="followedHyperlink"/>
      <w:u w:val="single"/>
    </w:rPr>
  </w:style>
  <w:style w:type="paragraph" w:styleId="BalloonText">
    <w:name w:val="Balloon Text"/>
    <w:basedOn w:val="Normal"/>
    <w:link w:val="BalloonTextChar"/>
    <w:uiPriority w:val="99"/>
    <w:semiHidden/>
    <w:unhideWhenUsed/>
    <w:rsid w:val="008E6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8C"/>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4453">
      <w:bodyDiv w:val="1"/>
      <w:marLeft w:val="0"/>
      <w:marRight w:val="0"/>
      <w:marTop w:val="0"/>
      <w:marBottom w:val="0"/>
      <w:divBdr>
        <w:top w:val="none" w:sz="0" w:space="0" w:color="auto"/>
        <w:left w:val="none" w:sz="0" w:space="0" w:color="auto"/>
        <w:bottom w:val="none" w:sz="0" w:space="0" w:color="auto"/>
        <w:right w:val="none" w:sz="0" w:space="0" w:color="auto"/>
      </w:divBdr>
    </w:div>
    <w:div w:id="737901867">
      <w:bodyDiv w:val="1"/>
      <w:marLeft w:val="0"/>
      <w:marRight w:val="0"/>
      <w:marTop w:val="0"/>
      <w:marBottom w:val="0"/>
      <w:divBdr>
        <w:top w:val="none" w:sz="0" w:space="0" w:color="auto"/>
        <w:left w:val="none" w:sz="0" w:space="0" w:color="auto"/>
        <w:bottom w:val="none" w:sz="0" w:space="0" w:color="auto"/>
        <w:right w:val="none" w:sz="0" w:space="0" w:color="auto"/>
      </w:divBdr>
    </w:div>
    <w:div w:id="924922967">
      <w:bodyDiv w:val="1"/>
      <w:marLeft w:val="0"/>
      <w:marRight w:val="0"/>
      <w:marTop w:val="0"/>
      <w:marBottom w:val="0"/>
      <w:divBdr>
        <w:top w:val="none" w:sz="0" w:space="0" w:color="auto"/>
        <w:left w:val="none" w:sz="0" w:space="0" w:color="auto"/>
        <w:bottom w:val="none" w:sz="0" w:space="0" w:color="auto"/>
        <w:right w:val="none" w:sz="0" w:space="0" w:color="auto"/>
      </w:divBdr>
    </w:div>
    <w:div w:id="1181316897">
      <w:bodyDiv w:val="1"/>
      <w:marLeft w:val="0"/>
      <w:marRight w:val="0"/>
      <w:marTop w:val="0"/>
      <w:marBottom w:val="0"/>
      <w:divBdr>
        <w:top w:val="none" w:sz="0" w:space="0" w:color="auto"/>
        <w:left w:val="none" w:sz="0" w:space="0" w:color="auto"/>
        <w:bottom w:val="none" w:sz="0" w:space="0" w:color="auto"/>
        <w:right w:val="none" w:sz="0" w:space="0" w:color="auto"/>
      </w:divBdr>
    </w:div>
    <w:div w:id="1260988009">
      <w:bodyDiv w:val="1"/>
      <w:marLeft w:val="0"/>
      <w:marRight w:val="0"/>
      <w:marTop w:val="0"/>
      <w:marBottom w:val="0"/>
      <w:divBdr>
        <w:top w:val="none" w:sz="0" w:space="0" w:color="auto"/>
        <w:left w:val="none" w:sz="0" w:space="0" w:color="auto"/>
        <w:bottom w:val="none" w:sz="0" w:space="0" w:color="auto"/>
        <w:right w:val="none" w:sz="0" w:space="0" w:color="auto"/>
      </w:divBdr>
    </w:div>
    <w:div w:id="12843831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29235026">
      <w:bodyDiv w:val="1"/>
      <w:marLeft w:val="0"/>
      <w:marRight w:val="0"/>
      <w:marTop w:val="0"/>
      <w:marBottom w:val="0"/>
      <w:divBdr>
        <w:top w:val="none" w:sz="0" w:space="0" w:color="auto"/>
        <w:left w:val="none" w:sz="0" w:space="0" w:color="auto"/>
        <w:bottom w:val="none" w:sz="0" w:space="0" w:color="auto"/>
        <w:right w:val="none" w:sz="0" w:space="0" w:color="auto"/>
      </w:divBdr>
    </w:div>
    <w:div w:id="1442411905">
      <w:bodyDiv w:val="1"/>
      <w:marLeft w:val="0"/>
      <w:marRight w:val="0"/>
      <w:marTop w:val="0"/>
      <w:marBottom w:val="0"/>
      <w:divBdr>
        <w:top w:val="none" w:sz="0" w:space="0" w:color="auto"/>
        <w:left w:val="none" w:sz="0" w:space="0" w:color="auto"/>
        <w:bottom w:val="none" w:sz="0" w:space="0" w:color="auto"/>
        <w:right w:val="none" w:sz="0" w:space="0" w:color="auto"/>
      </w:divBdr>
    </w:div>
    <w:div w:id="1457286044">
      <w:bodyDiv w:val="1"/>
      <w:marLeft w:val="0"/>
      <w:marRight w:val="0"/>
      <w:marTop w:val="0"/>
      <w:marBottom w:val="0"/>
      <w:divBdr>
        <w:top w:val="none" w:sz="0" w:space="0" w:color="auto"/>
        <w:left w:val="none" w:sz="0" w:space="0" w:color="auto"/>
        <w:bottom w:val="none" w:sz="0" w:space="0" w:color="auto"/>
        <w:right w:val="none" w:sz="0" w:space="0" w:color="auto"/>
      </w:divBdr>
    </w:div>
    <w:div w:id="2049720776">
      <w:bodyDiv w:val="1"/>
      <w:marLeft w:val="0"/>
      <w:marRight w:val="0"/>
      <w:marTop w:val="0"/>
      <w:marBottom w:val="0"/>
      <w:divBdr>
        <w:top w:val="none" w:sz="0" w:space="0" w:color="auto"/>
        <w:left w:val="none" w:sz="0" w:space="0" w:color="auto"/>
        <w:bottom w:val="none" w:sz="0" w:space="0" w:color="auto"/>
        <w:right w:val="none" w:sz="0" w:space="0" w:color="auto"/>
      </w:divBdr>
    </w:div>
    <w:div w:id="208707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chart" Target="charts/chart1.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chart" Target="charts/chart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chart" Target="charts/chart2.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hyperlink" Target="https://ssrn.com/abstract=3143122" TargetMode="External"/><Relationship Id="rId8" Type="http://schemas.openxmlformats.org/officeDocument/2006/relationships/hyperlink" Target="http://www.coinmarketcap.com"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mba.tuck.dartmouth.edu/pages/faculty/ken.french/data_library.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PhD-H\Alternatives%20Paper-Platanakis%20and%20Sutcliffe\Bitcoin_Paper%20-%20EP%20and%20AU%20-%20Naive%20vs%20Optimal\Results\Results%20(Bitcoin%20-%20Naive%20vs%20Optimal)%20-%20April%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hD-H\Alternatives%20Paper-Platanakis%20and%20Sutcliffe\Bitcoin_Paper%20-%20EP%20and%20AU%20-%20Naive%20vs%20Optimal\Results\Results%20(Bitcoin%20-%20Naive%20vs%20Optimal)%20-%20April%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hD-H\Alternatives%20Paper-Platanakis%20and%20Sutcliffe\Bitcoin_Paper%20-%20EP%20and%20AU%20-%20Naive%20vs%20Optimal\Results\Results%20(Bitcoin%20-%20Naive%20vs%20Optimal)%20-%20April%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hD-H\Alternatives%20Paper-Platanakis%20and%20Sutcliffe\Bitcoin_Paper%20-%20EP%20and%20AU%20-%20Naive%20vs%20Optimal\Results\Results%20(Bitcoin%20-%20Naive%20vs%20Optimal)%20-%20April%20201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Sharpe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'Core Results (TC=full)'!$N$6</c:f>
              <c:strCache>
                <c:ptCount val="1"/>
                <c:pt idx="0">
                  <c:v>1/N</c:v>
                </c:pt>
              </c:strCache>
            </c:strRef>
          </c:tx>
          <c:spPr>
            <a:ln w="28575" cap="rnd">
              <a:solidFill>
                <a:schemeClr val="accent1"/>
              </a:solidFill>
              <a:round/>
            </a:ln>
            <a:effectLst/>
          </c:spPr>
          <c:marker>
            <c:symbol val="none"/>
          </c:marker>
          <c:cat>
            <c:numRef>
              <c:f>'Core Results (TC=full)'!$O$5:$W$5</c:f>
              <c:numCache>
                <c:formatCode>0</c:formatCode>
                <c:ptCount val="9"/>
                <c:pt idx="0">
                  <c:v>2</c:v>
                </c:pt>
                <c:pt idx="1">
                  <c:v>3</c:v>
                </c:pt>
                <c:pt idx="2">
                  <c:v>4</c:v>
                </c:pt>
                <c:pt idx="3">
                  <c:v>5</c:v>
                </c:pt>
                <c:pt idx="4">
                  <c:v>6</c:v>
                </c:pt>
                <c:pt idx="5">
                  <c:v>7</c:v>
                </c:pt>
                <c:pt idx="6">
                  <c:v>8</c:v>
                </c:pt>
                <c:pt idx="7">
                  <c:v>9</c:v>
                </c:pt>
                <c:pt idx="8">
                  <c:v>10</c:v>
                </c:pt>
              </c:numCache>
            </c:numRef>
          </c:cat>
          <c:val>
            <c:numRef>
              <c:f>'Core Results (TC=full)'!$O$6:$W$6</c:f>
              <c:numCache>
                <c:formatCode>0.0000</c:formatCode>
                <c:ptCount val="9"/>
                <c:pt idx="0">
                  <c:v>2.1053094829540102</c:v>
                </c:pt>
                <c:pt idx="1">
                  <c:v>2.1053094829540102</c:v>
                </c:pt>
                <c:pt idx="2">
                  <c:v>2.1053094829540102</c:v>
                </c:pt>
                <c:pt idx="3">
                  <c:v>2.1053094829540102</c:v>
                </c:pt>
                <c:pt idx="4">
                  <c:v>2.1053094829540102</c:v>
                </c:pt>
                <c:pt idx="5">
                  <c:v>2.1053094829540102</c:v>
                </c:pt>
                <c:pt idx="6">
                  <c:v>2.1053094829540102</c:v>
                </c:pt>
                <c:pt idx="7">
                  <c:v>2.1053094829540102</c:v>
                </c:pt>
                <c:pt idx="8">
                  <c:v>2.1053094829540102</c:v>
                </c:pt>
              </c:numCache>
            </c:numRef>
          </c:val>
          <c:smooth val="0"/>
          <c:extLst>
            <c:ext xmlns:c16="http://schemas.microsoft.com/office/drawing/2014/chart" uri="{C3380CC4-5D6E-409C-BE32-E72D297353CC}">
              <c16:uniqueId val="{00000000-8075-45F2-A1A8-7D487AB9F0D9}"/>
            </c:ext>
          </c:extLst>
        </c:ser>
        <c:ser>
          <c:idx val="1"/>
          <c:order val="1"/>
          <c:tx>
            <c:strRef>
              <c:f>'Core Results (TC=full)'!$N$7</c:f>
              <c:strCache>
                <c:ptCount val="1"/>
                <c:pt idx="0">
                  <c:v>Markowitz</c:v>
                </c:pt>
              </c:strCache>
            </c:strRef>
          </c:tx>
          <c:spPr>
            <a:ln w="28575" cap="rnd">
              <a:solidFill>
                <a:schemeClr val="accent2"/>
              </a:solidFill>
              <a:prstDash val="sysDash"/>
              <a:round/>
            </a:ln>
            <a:effectLst/>
          </c:spPr>
          <c:marker>
            <c:symbol val="none"/>
          </c:marker>
          <c:cat>
            <c:numRef>
              <c:f>'Core Results (TC=full)'!$O$5:$W$5</c:f>
              <c:numCache>
                <c:formatCode>0</c:formatCode>
                <c:ptCount val="9"/>
                <c:pt idx="0">
                  <c:v>2</c:v>
                </c:pt>
                <c:pt idx="1">
                  <c:v>3</c:v>
                </c:pt>
                <c:pt idx="2">
                  <c:v>4</c:v>
                </c:pt>
                <c:pt idx="3">
                  <c:v>5</c:v>
                </c:pt>
                <c:pt idx="4">
                  <c:v>6</c:v>
                </c:pt>
                <c:pt idx="5">
                  <c:v>7</c:v>
                </c:pt>
                <c:pt idx="6">
                  <c:v>8</c:v>
                </c:pt>
                <c:pt idx="7">
                  <c:v>9</c:v>
                </c:pt>
                <c:pt idx="8">
                  <c:v>10</c:v>
                </c:pt>
              </c:numCache>
            </c:numRef>
          </c:cat>
          <c:val>
            <c:numRef>
              <c:f>'Core Results (TC=full)'!$O$7:$W$7</c:f>
              <c:numCache>
                <c:formatCode>0.0000</c:formatCode>
                <c:ptCount val="9"/>
                <c:pt idx="0">
                  <c:v>2.1863550236157501</c:v>
                </c:pt>
                <c:pt idx="1">
                  <c:v>2.2098534865124502</c:v>
                </c:pt>
                <c:pt idx="2">
                  <c:v>2.1891341574932901</c:v>
                </c:pt>
                <c:pt idx="3">
                  <c:v>2.1634426633028498</c:v>
                </c:pt>
                <c:pt idx="4">
                  <c:v>2.1401971634516501</c:v>
                </c:pt>
                <c:pt idx="5">
                  <c:v>2.12105960572325</c:v>
                </c:pt>
                <c:pt idx="6">
                  <c:v>2.1051168594509702</c:v>
                </c:pt>
                <c:pt idx="7">
                  <c:v>2.0920228289500402</c:v>
                </c:pt>
                <c:pt idx="8">
                  <c:v>2.0805011556651798</c:v>
                </c:pt>
              </c:numCache>
            </c:numRef>
          </c:val>
          <c:smooth val="0"/>
          <c:extLst>
            <c:ext xmlns:c16="http://schemas.microsoft.com/office/drawing/2014/chart" uri="{C3380CC4-5D6E-409C-BE32-E72D297353CC}">
              <c16:uniqueId val="{00000001-8075-45F2-A1A8-7D487AB9F0D9}"/>
            </c:ext>
          </c:extLst>
        </c:ser>
        <c:dLbls>
          <c:showLegendKey val="0"/>
          <c:showVal val="0"/>
          <c:showCatName val="0"/>
          <c:showSerName val="0"/>
          <c:showPercent val="0"/>
          <c:showBubbleSize val="0"/>
        </c:dLbls>
        <c:smooth val="0"/>
        <c:axId val="468158896"/>
        <c:axId val="468157256"/>
      </c:lineChart>
      <c:catAx>
        <c:axId val="468158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λ</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57256"/>
        <c:crosses val="autoZero"/>
        <c:auto val="1"/>
        <c:lblAlgn val="ctr"/>
        <c:lblOffset val="100"/>
        <c:noMultiLvlLbl val="0"/>
      </c:catAx>
      <c:valAx>
        <c:axId val="468157256"/>
        <c:scaling>
          <c:orientation val="minMax"/>
          <c:max val="3"/>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Sharpe</a:t>
                </a:r>
                <a:r>
                  <a:rPr lang="en-GB" baseline="0"/>
                  <a:t> ratio</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5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Omega</a:t>
            </a:r>
            <a:r>
              <a:rPr lang="en-GB" baseline="0"/>
              <a:t> ratio</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'Core Results (TC=full)'!$Y$6</c:f>
              <c:strCache>
                <c:ptCount val="1"/>
                <c:pt idx="0">
                  <c:v>1/N</c:v>
                </c:pt>
              </c:strCache>
            </c:strRef>
          </c:tx>
          <c:spPr>
            <a:ln w="28575" cap="rnd">
              <a:solidFill>
                <a:schemeClr val="accent1"/>
              </a:solidFill>
              <a:round/>
            </a:ln>
            <a:effectLst/>
          </c:spPr>
          <c:marker>
            <c:symbol val="none"/>
          </c:marker>
          <c:cat>
            <c:numRef>
              <c:f>'Core Results (TC=full)'!$Z$5:$AH$5</c:f>
              <c:numCache>
                <c:formatCode>0</c:formatCode>
                <c:ptCount val="9"/>
                <c:pt idx="0">
                  <c:v>2</c:v>
                </c:pt>
                <c:pt idx="1">
                  <c:v>3</c:v>
                </c:pt>
                <c:pt idx="2">
                  <c:v>4</c:v>
                </c:pt>
                <c:pt idx="3">
                  <c:v>5</c:v>
                </c:pt>
                <c:pt idx="4">
                  <c:v>6</c:v>
                </c:pt>
                <c:pt idx="5">
                  <c:v>7</c:v>
                </c:pt>
                <c:pt idx="6">
                  <c:v>8</c:v>
                </c:pt>
                <c:pt idx="7">
                  <c:v>9</c:v>
                </c:pt>
                <c:pt idx="8">
                  <c:v>10</c:v>
                </c:pt>
              </c:numCache>
            </c:numRef>
          </c:cat>
          <c:val>
            <c:numRef>
              <c:f>'Core Results (TC=full)'!$Z$6:$AH$6</c:f>
              <c:numCache>
                <c:formatCode>0.0000</c:formatCode>
                <c:ptCount val="9"/>
                <c:pt idx="0">
                  <c:v>2.7584319381340801</c:v>
                </c:pt>
                <c:pt idx="1">
                  <c:v>2.7584319381340801</c:v>
                </c:pt>
                <c:pt idx="2">
                  <c:v>2.7584319381340801</c:v>
                </c:pt>
                <c:pt idx="3">
                  <c:v>2.7584319381340801</c:v>
                </c:pt>
                <c:pt idx="4">
                  <c:v>2.7584319381340801</c:v>
                </c:pt>
                <c:pt idx="5">
                  <c:v>2.7584319381340801</c:v>
                </c:pt>
                <c:pt idx="6">
                  <c:v>2.7584319381340801</c:v>
                </c:pt>
                <c:pt idx="7">
                  <c:v>2.7584319381340801</c:v>
                </c:pt>
                <c:pt idx="8">
                  <c:v>2.7584319381340801</c:v>
                </c:pt>
              </c:numCache>
            </c:numRef>
          </c:val>
          <c:smooth val="0"/>
          <c:extLst>
            <c:ext xmlns:c16="http://schemas.microsoft.com/office/drawing/2014/chart" uri="{C3380CC4-5D6E-409C-BE32-E72D297353CC}">
              <c16:uniqueId val="{00000000-A066-44CF-9C9A-DA8CF4E7BACA}"/>
            </c:ext>
          </c:extLst>
        </c:ser>
        <c:ser>
          <c:idx val="1"/>
          <c:order val="1"/>
          <c:tx>
            <c:strRef>
              <c:f>'Core Results (TC=full)'!$Y$7</c:f>
              <c:strCache>
                <c:ptCount val="1"/>
                <c:pt idx="0">
                  <c:v>Markowitz</c:v>
                </c:pt>
              </c:strCache>
            </c:strRef>
          </c:tx>
          <c:spPr>
            <a:ln w="28575" cap="rnd">
              <a:solidFill>
                <a:schemeClr val="accent2"/>
              </a:solidFill>
              <a:prstDash val="sysDash"/>
              <a:round/>
            </a:ln>
            <a:effectLst/>
          </c:spPr>
          <c:marker>
            <c:symbol val="none"/>
          </c:marker>
          <c:cat>
            <c:numRef>
              <c:f>'Core Results (TC=full)'!$Z$5:$AH$5</c:f>
              <c:numCache>
                <c:formatCode>0</c:formatCode>
                <c:ptCount val="9"/>
                <c:pt idx="0">
                  <c:v>2</c:v>
                </c:pt>
                <c:pt idx="1">
                  <c:v>3</c:v>
                </c:pt>
                <c:pt idx="2">
                  <c:v>4</c:v>
                </c:pt>
                <c:pt idx="3">
                  <c:v>5</c:v>
                </c:pt>
                <c:pt idx="4">
                  <c:v>6</c:v>
                </c:pt>
                <c:pt idx="5">
                  <c:v>7</c:v>
                </c:pt>
                <c:pt idx="6">
                  <c:v>8</c:v>
                </c:pt>
                <c:pt idx="7">
                  <c:v>9</c:v>
                </c:pt>
                <c:pt idx="8">
                  <c:v>10</c:v>
                </c:pt>
              </c:numCache>
            </c:numRef>
          </c:cat>
          <c:val>
            <c:numRef>
              <c:f>'Core Results (TC=full)'!$Z$7:$AH$7</c:f>
              <c:numCache>
                <c:formatCode>0.0000</c:formatCode>
                <c:ptCount val="9"/>
                <c:pt idx="0">
                  <c:v>2.5799540104525001</c:v>
                </c:pt>
                <c:pt idx="1">
                  <c:v>2.59862652408906</c:v>
                </c:pt>
                <c:pt idx="2">
                  <c:v>2.5545787489888498</c:v>
                </c:pt>
                <c:pt idx="3">
                  <c:v>2.5047521752225399</c:v>
                </c:pt>
                <c:pt idx="4">
                  <c:v>2.4640744925851998</c:v>
                </c:pt>
                <c:pt idx="5">
                  <c:v>2.43475769488425</c:v>
                </c:pt>
                <c:pt idx="6">
                  <c:v>2.4125837862469699</c:v>
                </c:pt>
                <c:pt idx="7">
                  <c:v>2.3952634078471799</c:v>
                </c:pt>
                <c:pt idx="8">
                  <c:v>2.3802849718660002</c:v>
                </c:pt>
              </c:numCache>
            </c:numRef>
          </c:val>
          <c:smooth val="0"/>
          <c:extLst>
            <c:ext xmlns:c16="http://schemas.microsoft.com/office/drawing/2014/chart" uri="{C3380CC4-5D6E-409C-BE32-E72D297353CC}">
              <c16:uniqueId val="{00000001-A066-44CF-9C9A-DA8CF4E7BACA}"/>
            </c:ext>
          </c:extLst>
        </c:ser>
        <c:dLbls>
          <c:showLegendKey val="0"/>
          <c:showVal val="0"/>
          <c:showCatName val="0"/>
          <c:showSerName val="0"/>
          <c:showPercent val="0"/>
          <c:showBubbleSize val="0"/>
        </c:dLbls>
        <c:smooth val="0"/>
        <c:axId val="468150696"/>
        <c:axId val="468123472"/>
      </c:lineChart>
      <c:catAx>
        <c:axId val="468150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λ</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23472"/>
        <c:crosses val="autoZero"/>
        <c:auto val="1"/>
        <c:lblAlgn val="ctr"/>
        <c:lblOffset val="100"/>
        <c:noMultiLvlLbl val="0"/>
      </c:catAx>
      <c:valAx>
        <c:axId val="468123472"/>
        <c:scaling>
          <c:orientation val="minMax"/>
          <c:max val="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Omega</a:t>
                </a:r>
                <a:r>
                  <a:rPr lang="en-GB" baseline="0"/>
                  <a:t> ratio</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5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Sharpe</a:t>
            </a:r>
            <a:r>
              <a:rPr lang="en-GB" baseline="0"/>
              <a:t> ratio</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'Robustness (TC=full)'!$N$6</c:f>
              <c:strCache>
                <c:ptCount val="1"/>
                <c:pt idx="0">
                  <c:v>1/N</c:v>
                </c:pt>
              </c:strCache>
            </c:strRef>
          </c:tx>
          <c:spPr>
            <a:ln w="28575" cap="rnd">
              <a:solidFill>
                <a:schemeClr val="accent1"/>
              </a:solidFill>
              <a:round/>
            </a:ln>
            <a:effectLst/>
          </c:spPr>
          <c:marker>
            <c:symbol val="none"/>
          </c:marker>
          <c:cat>
            <c:numRef>
              <c:f>'Robustness (TC=full)'!$O$5:$W$5</c:f>
              <c:numCache>
                <c:formatCode>0</c:formatCode>
                <c:ptCount val="9"/>
                <c:pt idx="0">
                  <c:v>2</c:v>
                </c:pt>
                <c:pt idx="1">
                  <c:v>3</c:v>
                </c:pt>
                <c:pt idx="2">
                  <c:v>4</c:v>
                </c:pt>
                <c:pt idx="3">
                  <c:v>5</c:v>
                </c:pt>
                <c:pt idx="4">
                  <c:v>6</c:v>
                </c:pt>
                <c:pt idx="5">
                  <c:v>7</c:v>
                </c:pt>
                <c:pt idx="6">
                  <c:v>8</c:v>
                </c:pt>
                <c:pt idx="7">
                  <c:v>9</c:v>
                </c:pt>
                <c:pt idx="8">
                  <c:v>10</c:v>
                </c:pt>
              </c:numCache>
            </c:numRef>
          </c:cat>
          <c:val>
            <c:numRef>
              <c:f>'Robustness (TC=full)'!$O$6:$W$6</c:f>
              <c:numCache>
                <c:formatCode>0.0000</c:formatCode>
                <c:ptCount val="9"/>
                <c:pt idx="0">
                  <c:v>2.38768047446943</c:v>
                </c:pt>
                <c:pt idx="1">
                  <c:v>2.38768047446943</c:v>
                </c:pt>
                <c:pt idx="2">
                  <c:v>2.38768047446943</c:v>
                </c:pt>
                <c:pt idx="3">
                  <c:v>2.38768047446943</c:v>
                </c:pt>
                <c:pt idx="4">
                  <c:v>2.38768047446943</c:v>
                </c:pt>
                <c:pt idx="5">
                  <c:v>2.38768047446943</c:v>
                </c:pt>
                <c:pt idx="6">
                  <c:v>2.38768047446943</c:v>
                </c:pt>
                <c:pt idx="7">
                  <c:v>2.38768047446943</c:v>
                </c:pt>
                <c:pt idx="8">
                  <c:v>2.38768047446943</c:v>
                </c:pt>
              </c:numCache>
            </c:numRef>
          </c:val>
          <c:smooth val="0"/>
          <c:extLst>
            <c:ext xmlns:c16="http://schemas.microsoft.com/office/drawing/2014/chart" uri="{C3380CC4-5D6E-409C-BE32-E72D297353CC}">
              <c16:uniqueId val="{00000000-7AF9-4CB1-BECA-3B18DC7791AF}"/>
            </c:ext>
          </c:extLst>
        </c:ser>
        <c:ser>
          <c:idx val="1"/>
          <c:order val="1"/>
          <c:tx>
            <c:strRef>
              <c:f>'Robustness (TC=full)'!$N$7</c:f>
              <c:strCache>
                <c:ptCount val="1"/>
                <c:pt idx="0">
                  <c:v>Markowitz</c:v>
                </c:pt>
              </c:strCache>
            </c:strRef>
          </c:tx>
          <c:spPr>
            <a:ln w="28575" cap="rnd">
              <a:solidFill>
                <a:schemeClr val="accent2"/>
              </a:solidFill>
              <a:prstDash val="sysDash"/>
              <a:round/>
            </a:ln>
            <a:effectLst/>
          </c:spPr>
          <c:marker>
            <c:symbol val="none"/>
          </c:marker>
          <c:cat>
            <c:numRef>
              <c:f>'Robustness (TC=full)'!$O$5:$W$5</c:f>
              <c:numCache>
                <c:formatCode>0</c:formatCode>
                <c:ptCount val="9"/>
                <c:pt idx="0">
                  <c:v>2</c:v>
                </c:pt>
                <c:pt idx="1">
                  <c:v>3</c:v>
                </c:pt>
                <c:pt idx="2">
                  <c:v>4</c:v>
                </c:pt>
                <c:pt idx="3">
                  <c:v>5</c:v>
                </c:pt>
                <c:pt idx="4">
                  <c:v>6</c:v>
                </c:pt>
                <c:pt idx="5">
                  <c:v>7</c:v>
                </c:pt>
                <c:pt idx="6">
                  <c:v>8</c:v>
                </c:pt>
                <c:pt idx="7">
                  <c:v>9</c:v>
                </c:pt>
                <c:pt idx="8">
                  <c:v>10</c:v>
                </c:pt>
              </c:numCache>
            </c:numRef>
          </c:cat>
          <c:val>
            <c:numRef>
              <c:f>'Robustness (TC=full)'!$O$7:$W$7</c:f>
              <c:numCache>
                <c:formatCode>0.0000</c:formatCode>
                <c:ptCount val="9"/>
                <c:pt idx="0">
                  <c:v>2.5295752096396402</c:v>
                </c:pt>
                <c:pt idx="1">
                  <c:v>2.6218214055309499</c:v>
                </c:pt>
                <c:pt idx="2">
                  <c:v>2.6281044254699601</c:v>
                </c:pt>
                <c:pt idx="3">
                  <c:v>2.6147793986004899</c:v>
                </c:pt>
                <c:pt idx="4">
                  <c:v>2.5979056445656301</c:v>
                </c:pt>
                <c:pt idx="5">
                  <c:v>2.5822682703012201</c:v>
                </c:pt>
                <c:pt idx="6">
                  <c:v>2.5685517654644698</c:v>
                </c:pt>
                <c:pt idx="7">
                  <c:v>2.5569897597848898</c:v>
                </c:pt>
                <c:pt idx="8">
                  <c:v>2.5465138804190302</c:v>
                </c:pt>
              </c:numCache>
            </c:numRef>
          </c:val>
          <c:smooth val="0"/>
          <c:extLst>
            <c:ext xmlns:c16="http://schemas.microsoft.com/office/drawing/2014/chart" uri="{C3380CC4-5D6E-409C-BE32-E72D297353CC}">
              <c16:uniqueId val="{00000001-7AF9-4CB1-BECA-3B18DC7791AF}"/>
            </c:ext>
          </c:extLst>
        </c:ser>
        <c:dLbls>
          <c:showLegendKey val="0"/>
          <c:showVal val="0"/>
          <c:showCatName val="0"/>
          <c:showSerName val="0"/>
          <c:showPercent val="0"/>
          <c:showBubbleSize val="0"/>
        </c:dLbls>
        <c:smooth val="0"/>
        <c:axId val="404770560"/>
        <c:axId val="404768264"/>
      </c:lineChart>
      <c:catAx>
        <c:axId val="404770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λ</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768264"/>
        <c:crosses val="autoZero"/>
        <c:auto val="1"/>
        <c:lblAlgn val="ctr"/>
        <c:lblOffset val="100"/>
        <c:noMultiLvlLbl val="0"/>
      </c:catAx>
      <c:valAx>
        <c:axId val="404768264"/>
        <c:scaling>
          <c:orientation val="minMax"/>
          <c:max val="3"/>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Sharpe</a:t>
                </a:r>
                <a:r>
                  <a:rPr lang="en-GB" baseline="0"/>
                  <a:t> ratio</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77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Omega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'Robustness (TC=full)'!$Y$6</c:f>
              <c:strCache>
                <c:ptCount val="1"/>
                <c:pt idx="0">
                  <c:v>1/N</c:v>
                </c:pt>
              </c:strCache>
            </c:strRef>
          </c:tx>
          <c:spPr>
            <a:ln w="28575" cap="rnd">
              <a:solidFill>
                <a:schemeClr val="accent1"/>
              </a:solidFill>
              <a:round/>
            </a:ln>
            <a:effectLst/>
          </c:spPr>
          <c:marker>
            <c:symbol val="none"/>
          </c:marker>
          <c:cat>
            <c:numRef>
              <c:f>'Robustness (TC=full)'!$Z$5:$AH$5</c:f>
              <c:numCache>
                <c:formatCode>0</c:formatCode>
                <c:ptCount val="9"/>
                <c:pt idx="0">
                  <c:v>2</c:v>
                </c:pt>
                <c:pt idx="1">
                  <c:v>3</c:v>
                </c:pt>
                <c:pt idx="2">
                  <c:v>4</c:v>
                </c:pt>
                <c:pt idx="3">
                  <c:v>5</c:v>
                </c:pt>
                <c:pt idx="4">
                  <c:v>6</c:v>
                </c:pt>
                <c:pt idx="5">
                  <c:v>7</c:v>
                </c:pt>
                <c:pt idx="6">
                  <c:v>8</c:v>
                </c:pt>
                <c:pt idx="7">
                  <c:v>9</c:v>
                </c:pt>
                <c:pt idx="8">
                  <c:v>10</c:v>
                </c:pt>
              </c:numCache>
            </c:numRef>
          </c:cat>
          <c:val>
            <c:numRef>
              <c:f>'Robustness (TC=full)'!$Z$6:$AH$6</c:f>
              <c:numCache>
                <c:formatCode>0.0000</c:formatCode>
                <c:ptCount val="9"/>
                <c:pt idx="0">
                  <c:v>3.2381587128393798</c:v>
                </c:pt>
                <c:pt idx="1">
                  <c:v>3.2381587128393798</c:v>
                </c:pt>
                <c:pt idx="2">
                  <c:v>3.2381587128393798</c:v>
                </c:pt>
                <c:pt idx="3">
                  <c:v>3.2381587128393798</c:v>
                </c:pt>
                <c:pt idx="4">
                  <c:v>3.2381587128393798</c:v>
                </c:pt>
                <c:pt idx="5">
                  <c:v>3.2381587128393798</c:v>
                </c:pt>
                <c:pt idx="6">
                  <c:v>3.2381587128393798</c:v>
                </c:pt>
                <c:pt idx="7">
                  <c:v>3.2381587128393798</c:v>
                </c:pt>
                <c:pt idx="8">
                  <c:v>3.2381587128393798</c:v>
                </c:pt>
              </c:numCache>
            </c:numRef>
          </c:val>
          <c:smooth val="0"/>
          <c:extLst>
            <c:ext xmlns:c16="http://schemas.microsoft.com/office/drawing/2014/chart" uri="{C3380CC4-5D6E-409C-BE32-E72D297353CC}">
              <c16:uniqueId val="{00000000-EAD6-4378-BEDC-35F4BBD90E1B}"/>
            </c:ext>
          </c:extLst>
        </c:ser>
        <c:ser>
          <c:idx val="1"/>
          <c:order val="1"/>
          <c:tx>
            <c:strRef>
              <c:f>'Robustness (TC=full)'!$Y$7</c:f>
              <c:strCache>
                <c:ptCount val="1"/>
                <c:pt idx="0">
                  <c:v>Markowitz</c:v>
                </c:pt>
              </c:strCache>
            </c:strRef>
          </c:tx>
          <c:spPr>
            <a:ln w="28575" cap="rnd">
              <a:solidFill>
                <a:schemeClr val="accent2"/>
              </a:solidFill>
              <a:prstDash val="sysDash"/>
              <a:round/>
            </a:ln>
            <a:effectLst/>
          </c:spPr>
          <c:marker>
            <c:symbol val="none"/>
          </c:marker>
          <c:cat>
            <c:numRef>
              <c:f>'Robustness (TC=full)'!$Z$5:$AH$5</c:f>
              <c:numCache>
                <c:formatCode>0</c:formatCode>
                <c:ptCount val="9"/>
                <c:pt idx="0">
                  <c:v>2</c:v>
                </c:pt>
                <c:pt idx="1">
                  <c:v>3</c:v>
                </c:pt>
                <c:pt idx="2">
                  <c:v>4</c:v>
                </c:pt>
                <c:pt idx="3">
                  <c:v>5</c:v>
                </c:pt>
                <c:pt idx="4">
                  <c:v>6</c:v>
                </c:pt>
                <c:pt idx="5">
                  <c:v>7</c:v>
                </c:pt>
                <c:pt idx="6">
                  <c:v>8</c:v>
                </c:pt>
                <c:pt idx="7">
                  <c:v>9</c:v>
                </c:pt>
                <c:pt idx="8">
                  <c:v>10</c:v>
                </c:pt>
              </c:numCache>
            </c:numRef>
          </c:cat>
          <c:val>
            <c:numRef>
              <c:f>'Robustness (TC=full)'!$Z$7:$AH$7</c:f>
              <c:numCache>
                <c:formatCode>0.0000</c:formatCode>
                <c:ptCount val="9"/>
                <c:pt idx="0">
                  <c:v>3.0338282714405098</c:v>
                </c:pt>
                <c:pt idx="1">
                  <c:v>3.12645001255351</c:v>
                </c:pt>
                <c:pt idx="2">
                  <c:v>3.0878762624428902</c:v>
                </c:pt>
                <c:pt idx="3">
                  <c:v>3.0267120847956099</c:v>
                </c:pt>
                <c:pt idx="4">
                  <c:v>2.9805011153563301</c:v>
                </c:pt>
                <c:pt idx="5">
                  <c:v>2.9475770012153601</c:v>
                </c:pt>
                <c:pt idx="6">
                  <c:v>2.9211915464184002</c:v>
                </c:pt>
                <c:pt idx="7">
                  <c:v>2.90047181563616</c:v>
                </c:pt>
                <c:pt idx="8">
                  <c:v>2.88256839474028</c:v>
                </c:pt>
              </c:numCache>
            </c:numRef>
          </c:val>
          <c:smooth val="0"/>
          <c:extLst>
            <c:ext xmlns:c16="http://schemas.microsoft.com/office/drawing/2014/chart" uri="{C3380CC4-5D6E-409C-BE32-E72D297353CC}">
              <c16:uniqueId val="{00000001-EAD6-4378-BEDC-35F4BBD90E1B}"/>
            </c:ext>
          </c:extLst>
        </c:ser>
        <c:dLbls>
          <c:showLegendKey val="0"/>
          <c:showVal val="0"/>
          <c:showCatName val="0"/>
          <c:showSerName val="0"/>
          <c:showPercent val="0"/>
          <c:showBubbleSize val="0"/>
        </c:dLbls>
        <c:smooth val="0"/>
        <c:axId val="493395664"/>
        <c:axId val="493394352"/>
      </c:lineChart>
      <c:catAx>
        <c:axId val="49339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λ</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94352"/>
        <c:crosses val="autoZero"/>
        <c:auto val="1"/>
        <c:lblAlgn val="ctr"/>
        <c:lblOffset val="100"/>
        <c:noMultiLvlLbl val="0"/>
      </c:catAx>
      <c:valAx>
        <c:axId val="493394352"/>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Omega</a:t>
                </a:r>
                <a:r>
                  <a:rPr lang="en-GB" baseline="0"/>
                  <a:t> ratio</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9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41E08C-332E-B847-A79D-C20D050F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2018-06-02T12:02:00Z</cp:lastPrinted>
  <dcterms:created xsi:type="dcterms:W3CDTF">2018-06-19T09:06:00Z</dcterms:created>
  <dcterms:modified xsi:type="dcterms:W3CDTF">2018-07-05T16:31:00Z</dcterms:modified>
</cp:coreProperties>
</file>