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79C01" w14:textId="77777777" w:rsidR="00C60C48" w:rsidRDefault="00C60C48" w:rsidP="00314931">
      <w:pPr>
        <w:spacing w:line="480" w:lineRule="auto"/>
        <w:rPr>
          <w:rFonts w:ascii="Times New Roman" w:hAnsi="Times New Roman" w:cs="Times New Roman"/>
          <w:b/>
          <w:sz w:val="24"/>
          <w:szCs w:val="24"/>
          <w:lang w:eastAsia="nl-BE"/>
        </w:rPr>
      </w:pPr>
      <w:bookmarkStart w:id="0" w:name="_GoBack"/>
      <w:bookmarkEnd w:id="0"/>
      <w:r>
        <w:rPr>
          <w:rFonts w:ascii="Times New Roman" w:hAnsi="Times New Roman" w:cs="Times New Roman"/>
          <w:b/>
          <w:sz w:val="24"/>
          <w:szCs w:val="24"/>
          <w:lang w:eastAsia="nl-BE"/>
        </w:rPr>
        <w:t xml:space="preserve">Incidence of subsequent fractures in the United Kingdom between 1990 and 2012 amongst individuals 50 years or older.   </w:t>
      </w:r>
    </w:p>
    <w:p w14:paraId="77C8B32B" w14:textId="1EF3A48D" w:rsidR="00C60C48" w:rsidRDefault="00C60C48" w:rsidP="00314931">
      <w:pPr>
        <w:spacing w:line="480" w:lineRule="auto"/>
        <w:rPr>
          <w:rFonts w:ascii="Times New Roman" w:hAnsi="Times New Roman" w:cs="Times New Roman"/>
          <w:sz w:val="24"/>
          <w:szCs w:val="24"/>
          <w:vertAlign w:val="superscript"/>
          <w:lang w:val="nl-NL" w:eastAsia="nl-BE"/>
        </w:rPr>
      </w:pPr>
      <w:r>
        <w:rPr>
          <w:rFonts w:ascii="Times New Roman" w:hAnsi="Times New Roman" w:cs="Times New Roman"/>
          <w:sz w:val="24"/>
          <w:szCs w:val="24"/>
          <w:lang w:val="nl-NL" w:eastAsia="nl-BE"/>
        </w:rPr>
        <w:t>R.Y. van der Velde</w:t>
      </w:r>
      <w:r w:rsidR="00EA5B34">
        <w:rPr>
          <w:rFonts w:ascii="Times New Roman" w:hAnsi="Times New Roman" w:cs="Times New Roman"/>
          <w:sz w:val="24"/>
          <w:szCs w:val="24"/>
          <w:lang w:val="nl-NL" w:eastAsia="nl-BE"/>
        </w:rPr>
        <w:t xml:space="preserve"> </w:t>
      </w:r>
      <w:r>
        <w:rPr>
          <w:rFonts w:ascii="Times New Roman" w:hAnsi="Times New Roman" w:cs="Times New Roman"/>
          <w:sz w:val="24"/>
          <w:szCs w:val="24"/>
          <w:vertAlign w:val="superscript"/>
          <w:lang w:val="nl-NL" w:eastAsia="nl-BE"/>
        </w:rPr>
        <w:t>1,2</w:t>
      </w:r>
      <w:r>
        <w:rPr>
          <w:rFonts w:ascii="Times New Roman" w:hAnsi="Times New Roman" w:cs="Times New Roman"/>
          <w:sz w:val="24"/>
          <w:szCs w:val="24"/>
          <w:lang w:val="nl-NL" w:eastAsia="nl-BE"/>
        </w:rPr>
        <w:t xml:space="preserve">, C. E. Wyers </w:t>
      </w:r>
      <w:r>
        <w:rPr>
          <w:rFonts w:ascii="Times New Roman" w:hAnsi="Times New Roman" w:cs="Times New Roman"/>
          <w:sz w:val="24"/>
          <w:szCs w:val="24"/>
          <w:vertAlign w:val="superscript"/>
          <w:lang w:val="nl-NL" w:eastAsia="nl-BE"/>
        </w:rPr>
        <w:t>1,2</w:t>
      </w:r>
      <w:r>
        <w:rPr>
          <w:rFonts w:ascii="Times New Roman" w:hAnsi="Times New Roman" w:cs="Times New Roman"/>
          <w:sz w:val="24"/>
          <w:szCs w:val="24"/>
          <w:lang w:val="nl-NL" w:eastAsia="nl-BE"/>
        </w:rPr>
        <w:t xml:space="preserve">, P. P. M. M. Geusens </w:t>
      </w:r>
      <w:r>
        <w:rPr>
          <w:rFonts w:ascii="Times New Roman" w:hAnsi="Times New Roman" w:cs="Times New Roman"/>
          <w:sz w:val="24"/>
          <w:szCs w:val="24"/>
          <w:vertAlign w:val="superscript"/>
          <w:lang w:val="nl-NL" w:eastAsia="nl-BE"/>
        </w:rPr>
        <w:t>3,4</w:t>
      </w:r>
      <w:r>
        <w:rPr>
          <w:rFonts w:ascii="Times New Roman" w:hAnsi="Times New Roman" w:cs="Times New Roman"/>
          <w:sz w:val="24"/>
          <w:szCs w:val="24"/>
          <w:lang w:val="nl-NL" w:eastAsia="nl-BE"/>
        </w:rPr>
        <w:t xml:space="preserve"> J. P. W van den Bergh </w:t>
      </w:r>
      <w:r>
        <w:rPr>
          <w:rFonts w:ascii="Times New Roman" w:hAnsi="Times New Roman" w:cs="Times New Roman"/>
          <w:sz w:val="24"/>
          <w:szCs w:val="24"/>
          <w:vertAlign w:val="superscript"/>
          <w:lang w:val="nl-NL" w:eastAsia="nl-BE"/>
        </w:rPr>
        <w:t>1,2,4</w:t>
      </w:r>
    </w:p>
    <w:p w14:paraId="698E6C88" w14:textId="37D80ABD" w:rsidR="00C60C48" w:rsidRDefault="00C60C48" w:rsidP="00314931">
      <w:pPr>
        <w:spacing w:line="480" w:lineRule="auto"/>
        <w:rPr>
          <w:rFonts w:ascii="Times New Roman" w:hAnsi="Times New Roman" w:cs="Times New Roman"/>
          <w:b/>
          <w:sz w:val="24"/>
          <w:szCs w:val="24"/>
          <w:lang w:val="nl-NL" w:eastAsia="nl-BE"/>
        </w:rPr>
      </w:pPr>
      <w:r>
        <w:rPr>
          <w:rFonts w:ascii="Times New Roman" w:hAnsi="Times New Roman" w:cs="Times New Roman"/>
          <w:sz w:val="24"/>
          <w:szCs w:val="24"/>
          <w:lang w:val="nl-NL" w:eastAsia="nl-BE"/>
        </w:rPr>
        <w:t>F. de Vries</w:t>
      </w:r>
      <w:r>
        <w:rPr>
          <w:rFonts w:ascii="Times New Roman" w:hAnsi="Times New Roman" w:cs="Times New Roman"/>
          <w:sz w:val="24"/>
          <w:szCs w:val="24"/>
          <w:vertAlign w:val="superscript"/>
          <w:lang w:val="nl-NL" w:eastAsia="nl-BE"/>
        </w:rPr>
        <w:t>5</w:t>
      </w:r>
      <w:r w:rsidR="00E4458F">
        <w:rPr>
          <w:rFonts w:ascii="Times New Roman" w:hAnsi="Times New Roman" w:cs="Times New Roman"/>
          <w:sz w:val="24"/>
          <w:szCs w:val="24"/>
          <w:vertAlign w:val="superscript"/>
          <w:lang w:val="nl-NL" w:eastAsia="nl-BE"/>
        </w:rPr>
        <w:t>,6</w:t>
      </w:r>
      <w:r>
        <w:rPr>
          <w:rFonts w:ascii="Times New Roman" w:hAnsi="Times New Roman" w:cs="Times New Roman"/>
          <w:sz w:val="24"/>
          <w:szCs w:val="24"/>
          <w:lang w:val="nl-NL" w:eastAsia="nl-BE"/>
        </w:rPr>
        <w:t xml:space="preserve">, C. Cooper </w:t>
      </w:r>
      <w:r w:rsidR="00E4458F">
        <w:rPr>
          <w:rFonts w:ascii="Times New Roman" w:hAnsi="Times New Roman" w:cs="Times New Roman"/>
          <w:sz w:val="24"/>
          <w:szCs w:val="24"/>
          <w:vertAlign w:val="superscript"/>
          <w:lang w:val="nl-NL" w:eastAsia="nl-BE"/>
        </w:rPr>
        <w:t>7</w:t>
      </w:r>
      <w:r>
        <w:rPr>
          <w:rFonts w:ascii="Times New Roman" w:hAnsi="Times New Roman" w:cs="Times New Roman"/>
          <w:sz w:val="24"/>
          <w:szCs w:val="24"/>
          <w:vertAlign w:val="superscript"/>
          <w:lang w:val="nl-NL" w:eastAsia="nl-BE"/>
        </w:rPr>
        <w:t>-</w:t>
      </w:r>
      <w:r w:rsidR="00E4458F">
        <w:rPr>
          <w:rFonts w:ascii="Times New Roman" w:hAnsi="Times New Roman" w:cs="Times New Roman"/>
          <w:sz w:val="24"/>
          <w:szCs w:val="24"/>
          <w:vertAlign w:val="superscript"/>
          <w:lang w:val="nl-NL" w:eastAsia="nl-BE"/>
        </w:rPr>
        <w:t>9</w:t>
      </w:r>
      <w:r>
        <w:rPr>
          <w:rFonts w:ascii="Times New Roman" w:hAnsi="Times New Roman" w:cs="Times New Roman"/>
          <w:sz w:val="24"/>
          <w:szCs w:val="24"/>
          <w:lang w:val="nl-NL" w:eastAsia="nl-BE"/>
        </w:rPr>
        <w:t>, T. P. van de Staa</w:t>
      </w:r>
      <w:r w:rsidR="00EA5B34">
        <w:rPr>
          <w:rFonts w:ascii="Times New Roman" w:hAnsi="Times New Roman" w:cs="Times New Roman"/>
          <w:sz w:val="24"/>
          <w:szCs w:val="24"/>
          <w:lang w:val="nl-NL" w:eastAsia="nl-BE"/>
        </w:rPr>
        <w:t xml:space="preserve"> </w:t>
      </w:r>
      <w:r w:rsidR="00E4458F">
        <w:rPr>
          <w:rFonts w:ascii="Times New Roman" w:hAnsi="Times New Roman" w:cs="Times New Roman"/>
          <w:sz w:val="24"/>
          <w:szCs w:val="24"/>
          <w:vertAlign w:val="superscript"/>
          <w:lang w:val="nl-NL" w:eastAsia="nl-BE"/>
        </w:rPr>
        <w:t>6,9</w:t>
      </w:r>
      <w:r>
        <w:rPr>
          <w:rFonts w:ascii="Times New Roman" w:hAnsi="Times New Roman" w:cs="Times New Roman"/>
          <w:sz w:val="24"/>
          <w:szCs w:val="24"/>
          <w:vertAlign w:val="superscript"/>
          <w:lang w:val="nl-NL" w:eastAsia="nl-BE"/>
        </w:rPr>
        <w:t xml:space="preserve">* </w:t>
      </w:r>
      <w:r>
        <w:rPr>
          <w:rFonts w:ascii="Times New Roman" w:hAnsi="Times New Roman" w:cs="Times New Roman"/>
          <w:sz w:val="24"/>
          <w:szCs w:val="24"/>
          <w:lang w:val="nl-NL" w:eastAsia="nl-BE"/>
        </w:rPr>
        <w:t xml:space="preserve">and N. C. Harvey </w:t>
      </w:r>
      <w:r w:rsidR="00E4458F">
        <w:rPr>
          <w:rFonts w:ascii="Times New Roman" w:hAnsi="Times New Roman" w:cs="Times New Roman"/>
          <w:sz w:val="24"/>
          <w:szCs w:val="24"/>
          <w:vertAlign w:val="superscript"/>
          <w:lang w:val="nl-NL" w:eastAsia="nl-BE"/>
        </w:rPr>
        <w:t>7</w:t>
      </w:r>
      <w:r>
        <w:rPr>
          <w:rFonts w:ascii="Times New Roman" w:hAnsi="Times New Roman" w:cs="Times New Roman"/>
          <w:sz w:val="24"/>
          <w:szCs w:val="24"/>
          <w:vertAlign w:val="superscript"/>
          <w:lang w:val="nl-NL" w:eastAsia="nl-BE"/>
        </w:rPr>
        <w:t>,</w:t>
      </w:r>
      <w:r w:rsidR="00E4458F">
        <w:rPr>
          <w:rFonts w:ascii="Times New Roman" w:hAnsi="Times New Roman" w:cs="Times New Roman"/>
          <w:sz w:val="24"/>
          <w:szCs w:val="24"/>
          <w:vertAlign w:val="superscript"/>
          <w:lang w:val="nl-NL" w:eastAsia="nl-BE"/>
        </w:rPr>
        <w:t>8</w:t>
      </w:r>
      <w:r>
        <w:rPr>
          <w:rFonts w:ascii="Times New Roman" w:hAnsi="Times New Roman" w:cs="Times New Roman"/>
          <w:sz w:val="24"/>
          <w:szCs w:val="24"/>
          <w:vertAlign w:val="superscript"/>
          <w:lang w:val="nl-NL" w:eastAsia="nl-BE"/>
        </w:rPr>
        <w:t>*</w:t>
      </w:r>
    </w:p>
    <w:p w14:paraId="05393B59" w14:textId="77777777" w:rsidR="00C60C48" w:rsidRPr="00B90D5A" w:rsidRDefault="00C60C48" w:rsidP="00314931">
      <w:pPr>
        <w:spacing w:line="480" w:lineRule="auto"/>
        <w:rPr>
          <w:rFonts w:ascii="Times New Roman" w:hAnsi="Times New Roman" w:cs="Times New Roman"/>
          <w:sz w:val="24"/>
          <w:szCs w:val="24"/>
        </w:rPr>
      </w:pPr>
      <w:r w:rsidRPr="00B90D5A">
        <w:rPr>
          <w:rFonts w:ascii="Times New Roman" w:hAnsi="Times New Roman" w:cs="Times New Roman"/>
          <w:sz w:val="24"/>
          <w:szCs w:val="24"/>
          <w:vertAlign w:val="superscript"/>
        </w:rPr>
        <w:t xml:space="preserve">1 </w:t>
      </w:r>
      <w:r w:rsidRPr="00B90D5A">
        <w:rPr>
          <w:rFonts w:ascii="Times New Roman" w:hAnsi="Times New Roman" w:cs="Times New Roman"/>
          <w:sz w:val="24"/>
          <w:szCs w:val="24"/>
        </w:rPr>
        <w:t>Department of Internal Medicine, VieCuri Medical Centre, PO Box 1926, 5900 BX Venlo, The Netherlands</w:t>
      </w:r>
    </w:p>
    <w:p w14:paraId="7FA6785B" w14:textId="77777777" w:rsidR="00C60C48" w:rsidRPr="00B90D5A" w:rsidRDefault="00C60C48" w:rsidP="00314931">
      <w:pPr>
        <w:spacing w:line="480" w:lineRule="auto"/>
        <w:rPr>
          <w:rFonts w:ascii="Times New Roman" w:hAnsi="Times New Roman" w:cs="Times New Roman"/>
          <w:sz w:val="24"/>
          <w:szCs w:val="24"/>
        </w:rPr>
      </w:pPr>
      <w:r w:rsidRPr="00B90D5A">
        <w:rPr>
          <w:rFonts w:ascii="Times New Roman" w:hAnsi="Times New Roman" w:cs="Times New Roman"/>
          <w:sz w:val="24"/>
          <w:szCs w:val="24"/>
          <w:vertAlign w:val="superscript"/>
        </w:rPr>
        <w:t xml:space="preserve">2 </w:t>
      </w:r>
      <w:r w:rsidRPr="00B90D5A">
        <w:rPr>
          <w:rFonts w:ascii="Times New Roman" w:hAnsi="Times New Roman" w:cs="Times New Roman"/>
          <w:sz w:val="24"/>
          <w:szCs w:val="24"/>
        </w:rPr>
        <w:t>Department of Internal Medicine, NUTRIM School for Nutrition, Toxicology and Metabolism, Maastricht University Medical Centre (MUMC), PO Box 616, 6200 MD Maastricht, The Netherlands</w:t>
      </w:r>
    </w:p>
    <w:p w14:paraId="30642FA6" w14:textId="77777777" w:rsidR="00C60C48" w:rsidRPr="00B90D5A" w:rsidRDefault="00C60C48" w:rsidP="00314931">
      <w:pPr>
        <w:spacing w:line="480" w:lineRule="auto"/>
        <w:rPr>
          <w:rFonts w:ascii="Times New Roman" w:hAnsi="Times New Roman" w:cs="Times New Roman"/>
          <w:sz w:val="24"/>
          <w:szCs w:val="24"/>
        </w:rPr>
      </w:pPr>
      <w:r w:rsidRPr="00B90D5A">
        <w:rPr>
          <w:rFonts w:ascii="Times New Roman" w:hAnsi="Times New Roman" w:cs="Times New Roman"/>
          <w:sz w:val="24"/>
          <w:szCs w:val="24"/>
          <w:vertAlign w:val="superscript"/>
        </w:rPr>
        <w:t xml:space="preserve">3 </w:t>
      </w:r>
      <w:r w:rsidRPr="00B90D5A">
        <w:rPr>
          <w:rFonts w:ascii="Times New Roman" w:hAnsi="Times New Roman" w:cs="Times New Roman"/>
          <w:sz w:val="24"/>
          <w:szCs w:val="24"/>
        </w:rPr>
        <w:t>Department of Internal Medicine, Subdivision Rheumatology, CAPHRI, Maastricht University Medical Centre (MUMC), PO Box 616, 6200 MD Maastricht, The Netherlands</w:t>
      </w:r>
    </w:p>
    <w:p w14:paraId="0E84BF0F" w14:textId="77777777" w:rsidR="00C60C48" w:rsidRDefault="00C60C48" w:rsidP="00314931">
      <w:pPr>
        <w:spacing w:line="480" w:lineRule="auto"/>
        <w:rPr>
          <w:rFonts w:ascii="Times New Roman" w:hAnsi="Times New Roman" w:cs="Times New Roman"/>
          <w:sz w:val="24"/>
          <w:szCs w:val="24"/>
        </w:rPr>
      </w:pPr>
      <w:r w:rsidRPr="00B90D5A">
        <w:rPr>
          <w:rFonts w:ascii="Times New Roman" w:hAnsi="Times New Roman" w:cs="Times New Roman"/>
          <w:sz w:val="24"/>
          <w:szCs w:val="24"/>
          <w:vertAlign w:val="superscript"/>
        </w:rPr>
        <w:t xml:space="preserve">4 </w:t>
      </w:r>
      <w:r w:rsidRPr="00B90D5A">
        <w:rPr>
          <w:rFonts w:ascii="Times New Roman" w:hAnsi="Times New Roman" w:cs="Times New Roman"/>
          <w:sz w:val="24"/>
          <w:szCs w:val="24"/>
        </w:rPr>
        <w:t>Biomedical Research Centre, Hasselt University, Agoralaan – gebouw D, 3590 Diepenbeek, Belgium</w:t>
      </w:r>
    </w:p>
    <w:p w14:paraId="7D0748BD" w14:textId="4D66F727" w:rsidR="00065B68" w:rsidRDefault="00065B68" w:rsidP="00065B68">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5</w:t>
      </w:r>
      <w:r w:rsidRPr="00B90D5A">
        <w:rPr>
          <w:rFonts w:ascii="Times New Roman" w:hAnsi="Times New Roman" w:cs="Times New Roman"/>
          <w:sz w:val="24"/>
          <w:szCs w:val="24"/>
          <w:vertAlign w:val="superscript"/>
        </w:rPr>
        <w:t xml:space="preserve"> </w:t>
      </w:r>
      <w:r>
        <w:rPr>
          <w:rFonts w:ascii="Times New Roman" w:hAnsi="Times New Roman" w:cs="Times New Roman"/>
          <w:sz w:val="24"/>
          <w:szCs w:val="24"/>
        </w:rPr>
        <w:t>Department of Clinical Pharmacy &amp; Toxicology, Maastricht University Medical Centre+, Maastricht, The Netherlands</w:t>
      </w:r>
    </w:p>
    <w:p w14:paraId="15A26E6E" w14:textId="6251652C" w:rsidR="00C60C48" w:rsidRDefault="00065B68" w:rsidP="00314931">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6</w:t>
      </w:r>
      <w:r w:rsidRPr="00B90D5A">
        <w:rPr>
          <w:rFonts w:ascii="Times New Roman" w:hAnsi="Times New Roman" w:cs="Times New Roman"/>
          <w:sz w:val="24"/>
          <w:szCs w:val="24"/>
          <w:vertAlign w:val="superscript"/>
        </w:rPr>
        <w:t xml:space="preserve"> </w:t>
      </w:r>
      <w:r>
        <w:rPr>
          <w:rFonts w:ascii="Times New Roman" w:hAnsi="Times New Roman" w:cs="Times New Roman"/>
          <w:sz w:val="24"/>
          <w:szCs w:val="24"/>
        </w:rPr>
        <w:t>Department of Pharmacoepidemiology &amp; Clinical Pharmacology, Utrecht Institute for Pharmaceutical Sciences, Utrecht University, The Netherlands</w:t>
      </w:r>
      <w:r w:rsidR="00E4458F">
        <w:rPr>
          <w:rFonts w:ascii="Times New Roman" w:hAnsi="Times New Roman" w:cs="Times New Roman"/>
          <w:sz w:val="24"/>
          <w:szCs w:val="24"/>
          <w:vertAlign w:val="superscript"/>
        </w:rPr>
        <w:t xml:space="preserve">7 </w:t>
      </w:r>
      <w:r w:rsidR="00C60C48">
        <w:rPr>
          <w:rFonts w:ascii="Times New Roman" w:hAnsi="Times New Roman" w:cs="Times New Roman"/>
          <w:sz w:val="24"/>
          <w:szCs w:val="24"/>
        </w:rPr>
        <w:t>MRC Lifecourse Epidemiology Unit, Southampton General Hospital, University of Southampton, Southampton, United Kingdom</w:t>
      </w:r>
    </w:p>
    <w:p w14:paraId="13732C7C" w14:textId="7B16AC51" w:rsidR="00C60C48" w:rsidRDefault="00E4458F" w:rsidP="00314931">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8</w:t>
      </w:r>
      <w:r>
        <w:rPr>
          <w:rFonts w:ascii="Times New Roman" w:hAnsi="Times New Roman" w:cs="Times New Roman"/>
          <w:sz w:val="24"/>
          <w:szCs w:val="24"/>
        </w:rPr>
        <w:t xml:space="preserve"> </w:t>
      </w:r>
      <w:r w:rsidR="00C60C48">
        <w:rPr>
          <w:rFonts w:ascii="Times New Roman" w:hAnsi="Times New Roman" w:cs="Times New Roman"/>
          <w:sz w:val="24"/>
          <w:szCs w:val="24"/>
        </w:rPr>
        <w:t>NIHR Southampton Biomedical Research Centre, University of Southampton and University Hospital Southampton NHS Foundation Trust, Tremona Road, Southampton, UK</w:t>
      </w:r>
    </w:p>
    <w:p w14:paraId="447E3F34" w14:textId="64A370D6" w:rsidR="00C60C48" w:rsidRDefault="00E4458F" w:rsidP="00314931">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lastRenderedPageBreak/>
        <w:t>9</w:t>
      </w:r>
      <w:r>
        <w:rPr>
          <w:rFonts w:ascii="Times New Roman" w:hAnsi="Times New Roman" w:cs="Times New Roman"/>
          <w:sz w:val="24"/>
          <w:szCs w:val="24"/>
        </w:rPr>
        <w:t xml:space="preserve"> </w:t>
      </w:r>
      <w:r w:rsidR="00C60C48">
        <w:rPr>
          <w:rFonts w:ascii="Times New Roman" w:hAnsi="Times New Roman" w:cs="Times New Roman"/>
          <w:sz w:val="24"/>
          <w:szCs w:val="24"/>
        </w:rPr>
        <w:t>NIHR Oxford Biomedical Research Unit, Institute of Musculoskeletal Sciences, University of Oxford, Oxford, United Kingdom</w:t>
      </w:r>
    </w:p>
    <w:p w14:paraId="3A4B8389" w14:textId="6D2CAF6F" w:rsidR="00C60C48" w:rsidRDefault="00E4458F" w:rsidP="00314931">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10 </w:t>
      </w:r>
      <w:r w:rsidR="00C60C48">
        <w:rPr>
          <w:rFonts w:ascii="Times New Roman" w:hAnsi="Times New Roman" w:cs="Times New Roman"/>
          <w:sz w:val="24"/>
          <w:szCs w:val="24"/>
        </w:rPr>
        <w:t>Health eResearch Centre, University of Manchester, Manchester, United Kingdom</w:t>
      </w:r>
    </w:p>
    <w:p w14:paraId="3C19EDBE" w14:textId="7D3878A2" w:rsidR="00F9580E" w:rsidRDefault="00F9580E" w:rsidP="00314931">
      <w:pPr>
        <w:spacing w:line="480" w:lineRule="auto"/>
        <w:rPr>
          <w:rFonts w:ascii="Times New Roman" w:hAnsi="Times New Roman" w:cs="Times New Roman"/>
          <w:b/>
          <w:sz w:val="24"/>
          <w:szCs w:val="24"/>
          <w:lang w:val="nl-NL" w:eastAsia="nl-BE"/>
        </w:rPr>
      </w:pPr>
      <w:r>
        <w:rPr>
          <w:rFonts w:ascii="Times New Roman" w:hAnsi="Times New Roman" w:cs="Times New Roman"/>
          <w:sz w:val="24"/>
          <w:szCs w:val="24"/>
          <w:vertAlign w:val="superscript"/>
          <w:lang w:val="nl-NL" w:eastAsia="nl-BE"/>
        </w:rPr>
        <w:t>*</w:t>
      </w:r>
      <w:r>
        <w:rPr>
          <w:rFonts w:ascii="Times New Roman" w:hAnsi="Times New Roman" w:cs="Times New Roman"/>
          <w:sz w:val="24"/>
          <w:szCs w:val="24"/>
          <w:lang w:val="nl-NL" w:eastAsia="nl-BE"/>
        </w:rPr>
        <w:t xml:space="preserve">T. P. van de Staa and N. C. Harvey are </w:t>
      </w:r>
      <w:r w:rsidR="008C172B">
        <w:rPr>
          <w:rFonts w:ascii="Times New Roman" w:hAnsi="Times New Roman" w:cs="Times New Roman"/>
          <w:sz w:val="24"/>
          <w:szCs w:val="24"/>
          <w:lang w:val="nl-NL" w:eastAsia="nl-BE"/>
        </w:rPr>
        <w:t xml:space="preserve">joint </w:t>
      </w:r>
      <w:r>
        <w:rPr>
          <w:rFonts w:ascii="Times New Roman" w:hAnsi="Times New Roman" w:cs="Times New Roman"/>
          <w:sz w:val="24"/>
          <w:szCs w:val="24"/>
          <w:lang w:val="nl-NL" w:eastAsia="nl-BE"/>
        </w:rPr>
        <w:t>senior author</w:t>
      </w:r>
    </w:p>
    <w:p w14:paraId="66206EF8" w14:textId="77777777" w:rsidR="00C60C48" w:rsidRPr="00B90D5A" w:rsidRDefault="00C60C48" w:rsidP="00314931">
      <w:pPr>
        <w:spacing w:line="480" w:lineRule="auto"/>
        <w:rPr>
          <w:rFonts w:ascii="Times New Roman" w:hAnsi="Times New Roman" w:cs="Times New Roman"/>
          <w:i/>
          <w:sz w:val="24"/>
          <w:szCs w:val="24"/>
          <w:lang w:val="nl-NL" w:eastAsia="nl-BE"/>
        </w:rPr>
      </w:pPr>
      <w:r w:rsidRPr="00B90D5A">
        <w:rPr>
          <w:rFonts w:ascii="Times New Roman" w:hAnsi="Times New Roman" w:cs="Times New Roman"/>
          <w:i/>
          <w:sz w:val="24"/>
          <w:szCs w:val="24"/>
          <w:lang w:val="nl-NL" w:eastAsia="nl-BE"/>
        </w:rPr>
        <w:t>Corresponding author</w:t>
      </w:r>
    </w:p>
    <w:p w14:paraId="054E1E94" w14:textId="77777777" w:rsidR="00C60C48" w:rsidRDefault="00C60C48" w:rsidP="00314931">
      <w:pPr>
        <w:spacing w:line="480" w:lineRule="auto"/>
        <w:rPr>
          <w:rFonts w:ascii="Times New Roman" w:hAnsi="Times New Roman" w:cs="Times New Roman"/>
          <w:sz w:val="24"/>
          <w:szCs w:val="24"/>
          <w:lang w:val="nl-NL" w:eastAsia="nl-BE"/>
        </w:rPr>
      </w:pPr>
      <w:r>
        <w:rPr>
          <w:rFonts w:ascii="Times New Roman" w:hAnsi="Times New Roman" w:cs="Times New Roman"/>
          <w:sz w:val="24"/>
          <w:szCs w:val="24"/>
          <w:lang w:val="nl-NL" w:eastAsia="nl-BE"/>
        </w:rPr>
        <w:t>Professor Cyrus Cooper</w:t>
      </w:r>
    </w:p>
    <w:p w14:paraId="20F7B842" w14:textId="77777777" w:rsidR="00C60C48" w:rsidRDefault="00C60C48" w:rsidP="00314931">
      <w:pPr>
        <w:spacing w:line="480" w:lineRule="auto"/>
        <w:rPr>
          <w:rFonts w:ascii="Times New Roman" w:hAnsi="Times New Roman" w:cs="Times New Roman"/>
          <w:i/>
          <w:sz w:val="24"/>
          <w:szCs w:val="24"/>
          <w:lang w:val="nl-NL" w:eastAsia="nl-BE"/>
        </w:rPr>
      </w:pPr>
      <w:r>
        <w:rPr>
          <w:rFonts w:ascii="Times New Roman" w:hAnsi="Times New Roman" w:cs="Times New Roman"/>
          <w:sz w:val="24"/>
          <w:szCs w:val="24"/>
        </w:rPr>
        <w:t>MRC Lifecourse Epidemiology Unit, Southampton General Hospital, University of Southampton, Southampton, SO16 6YD. United Kingdom</w:t>
      </w:r>
      <w:r>
        <w:rPr>
          <w:rFonts w:ascii="Times New Roman" w:hAnsi="Times New Roman" w:cs="Times New Roman"/>
          <w:i/>
          <w:sz w:val="24"/>
          <w:szCs w:val="24"/>
          <w:lang w:val="nl-NL" w:eastAsia="nl-BE"/>
        </w:rPr>
        <w:t xml:space="preserve"> </w:t>
      </w:r>
    </w:p>
    <w:p w14:paraId="5A64810F" w14:textId="77777777" w:rsidR="00C60C48" w:rsidRDefault="0018042B" w:rsidP="00314931">
      <w:pPr>
        <w:spacing w:line="480" w:lineRule="auto"/>
        <w:rPr>
          <w:rFonts w:ascii="Times New Roman" w:hAnsi="Times New Roman" w:cs="Times New Roman"/>
          <w:sz w:val="24"/>
          <w:szCs w:val="24"/>
          <w:lang w:val="en-US" w:eastAsia="nl-BE"/>
        </w:rPr>
      </w:pPr>
      <w:hyperlink r:id="rId7" w:history="1">
        <w:r w:rsidR="00C60C48">
          <w:rPr>
            <w:rStyle w:val="Hyperlink"/>
            <w:rFonts w:ascii="Times New Roman" w:hAnsi="Times New Roman" w:cs="Times New Roman"/>
            <w:sz w:val="24"/>
            <w:szCs w:val="24"/>
            <w:lang w:val="en-US" w:eastAsia="nl-BE"/>
          </w:rPr>
          <w:t>cc@mrc.soton.ac.uk</w:t>
        </w:r>
      </w:hyperlink>
    </w:p>
    <w:p w14:paraId="5CB8086B" w14:textId="77777777" w:rsidR="00C60C48" w:rsidRDefault="00C60C48" w:rsidP="00314931">
      <w:pPr>
        <w:spacing w:line="480" w:lineRule="auto"/>
        <w:rPr>
          <w:rFonts w:ascii="Times New Roman" w:hAnsi="Times New Roman" w:cs="Times New Roman"/>
          <w:sz w:val="24"/>
          <w:szCs w:val="24"/>
          <w:lang w:val="en-US" w:eastAsia="nl-BE"/>
        </w:rPr>
      </w:pPr>
      <w:r>
        <w:rPr>
          <w:rFonts w:ascii="Times New Roman" w:hAnsi="Times New Roman" w:cs="Times New Roman"/>
          <w:sz w:val="24"/>
          <w:szCs w:val="24"/>
          <w:lang w:val="en-US" w:eastAsia="nl-BE"/>
        </w:rPr>
        <w:t>023 80 777 624</w:t>
      </w:r>
    </w:p>
    <w:p w14:paraId="1B27E743" w14:textId="77777777" w:rsidR="00C60C48" w:rsidRPr="00DE1335" w:rsidRDefault="00C60C48" w:rsidP="00314931">
      <w:pPr>
        <w:spacing w:line="480" w:lineRule="auto"/>
        <w:rPr>
          <w:rFonts w:ascii="Times New Roman" w:hAnsi="Times New Roman" w:cs="Times New Roman"/>
          <w:sz w:val="24"/>
          <w:szCs w:val="24"/>
          <w:lang w:val="nl-NL" w:eastAsia="nl-BE"/>
        </w:rPr>
      </w:pPr>
    </w:p>
    <w:p w14:paraId="49575F58" w14:textId="77777777" w:rsidR="009C5A7A" w:rsidRDefault="009C5A7A" w:rsidP="00314931">
      <w:pPr>
        <w:spacing w:line="480" w:lineRule="auto"/>
        <w:rPr>
          <w:rFonts w:ascii="Times New Roman" w:hAnsi="Times New Roman"/>
          <w:b/>
          <w:sz w:val="24"/>
          <w:szCs w:val="24"/>
        </w:rPr>
      </w:pPr>
    </w:p>
    <w:p w14:paraId="06FBD754" w14:textId="77777777" w:rsidR="009C5A7A" w:rsidRDefault="009C5A7A" w:rsidP="00314931">
      <w:pPr>
        <w:spacing w:line="480" w:lineRule="auto"/>
        <w:rPr>
          <w:rFonts w:ascii="Times New Roman" w:hAnsi="Times New Roman"/>
          <w:b/>
          <w:sz w:val="24"/>
          <w:szCs w:val="24"/>
        </w:rPr>
      </w:pPr>
    </w:p>
    <w:p w14:paraId="6A0B5CC9" w14:textId="77777777" w:rsidR="009C5A7A" w:rsidRDefault="009C5A7A" w:rsidP="00314931">
      <w:pPr>
        <w:spacing w:line="480" w:lineRule="auto"/>
        <w:rPr>
          <w:rFonts w:ascii="Times New Roman" w:hAnsi="Times New Roman"/>
          <w:b/>
          <w:sz w:val="24"/>
          <w:szCs w:val="24"/>
        </w:rPr>
      </w:pPr>
    </w:p>
    <w:p w14:paraId="33C2D1FF" w14:textId="77777777" w:rsidR="009C5A7A" w:rsidRDefault="009C5A7A" w:rsidP="00314931">
      <w:pPr>
        <w:spacing w:line="480" w:lineRule="auto"/>
        <w:rPr>
          <w:rFonts w:ascii="Times New Roman" w:hAnsi="Times New Roman"/>
          <w:b/>
          <w:sz w:val="24"/>
          <w:szCs w:val="24"/>
        </w:rPr>
      </w:pPr>
    </w:p>
    <w:p w14:paraId="21EF59D7" w14:textId="77777777" w:rsidR="009C5A7A" w:rsidRDefault="009C5A7A" w:rsidP="00314931">
      <w:pPr>
        <w:spacing w:line="480" w:lineRule="auto"/>
        <w:rPr>
          <w:rFonts w:ascii="Times New Roman" w:hAnsi="Times New Roman"/>
          <w:b/>
          <w:sz w:val="24"/>
          <w:szCs w:val="24"/>
        </w:rPr>
      </w:pPr>
    </w:p>
    <w:p w14:paraId="2D4D2651" w14:textId="77777777" w:rsidR="009C5A7A" w:rsidRDefault="009C5A7A" w:rsidP="00314931">
      <w:pPr>
        <w:spacing w:line="480" w:lineRule="auto"/>
        <w:rPr>
          <w:rFonts w:ascii="Times New Roman" w:hAnsi="Times New Roman"/>
          <w:b/>
          <w:sz w:val="24"/>
          <w:szCs w:val="24"/>
        </w:rPr>
      </w:pPr>
    </w:p>
    <w:p w14:paraId="02BD685C" w14:textId="77777777" w:rsidR="009C5A7A" w:rsidRDefault="009C5A7A" w:rsidP="00314931">
      <w:pPr>
        <w:spacing w:line="480" w:lineRule="auto"/>
        <w:rPr>
          <w:rFonts w:ascii="Times New Roman" w:hAnsi="Times New Roman"/>
          <w:b/>
          <w:sz w:val="24"/>
          <w:szCs w:val="24"/>
        </w:rPr>
      </w:pPr>
    </w:p>
    <w:p w14:paraId="36A96598" w14:textId="77777777" w:rsidR="009C5A7A" w:rsidRDefault="009C5A7A" w:rsidP="00314931">
      <w:pPr>
        <w:spacing w:line="480" w:lineRule="auto"/>
        <w:rPr>
          <w:rFonts w:ascii="Times New Roman" w:hAnsi="Times New Roman"/>
          <w:b/>
          <w:sz w:val="24"/>
          <w:szCs w:val="24"/>
        </w:rPr>
      </w:pPr>
    </w:p>
    <w:p w14:paraId="07629C56" w14:textId="15D74F33" w:rsidR="00B2133E" w:rsidRPr="00EE3900" w:rsidRDefault="00C632AB">
      <w:pPr>
        <w:spacing w:after="120" w:line="480" w:lineRule="auto"/>
        <w:jc w:val="both"/>
        <w:rPr>
          <w:rFonts w:ascii="Times New Roman" w:hAnsi="Times New Roman" w:cs="Times New Roman"/>
          <w:b/>
          <w:sz w:val="24"/>
          <w:szCs w:val="24"/>
        </w:rPr>
      </w:pPr>
      <w:r w:rsidRPr="00EE3900">
        <w:rPr>
          <w:rFonts w:ascii="Times New Roman" w:hAnsi="Times New Roman" w:cs="Times New Roman"/>
          <w:b/>
          <w:sz w:val="24"/>
          <w:szCs w:val="24"/>
        </w:rPr>
        <w:lastRenderedPageBreak/>
        <w:t>M</w:t>
      </w:r>
      <w:r w:rsidR="00B2133E" w:rsidRPr="00EE3900">
        <w:rPr>
          <w:rFonts w:ascii="Times New Roman" w:hAnsi="Times New Roman" w:cs="Times New Roman"/>
          <w:b/>
          <w:sz w:val="24"/>
          <w:szCs w:val="24"/>
        </w:rPr>
        <w:t>ini abstract</w:t>
      </w:r>
    </w:p>
    <w:p w14:paraId="29837FEF" w14:textId="2F036F8D" w:rsidR="00B2133E" w:rsidRPr="002C5129" w:rsidRDefault="00B2133E">
      <w:pPr>
        <w:spacing w:after="120" w:line="480" w:lineRule="auto"/>
        <w:jc w:val="both"/>
        <w:rPr>
          <w:rFonts w:ascii="Times New Roman" w:hAnsi="Times New Roman" w:cs="Times New Roman"/>
          <w:sz w:val="24"/>
          <w:szCs w:val="24"/>
          <w:lang w:eastAsia="nl-BE"/>
        </w:rPr>
      </w:pPr>
      <w:r w:rsidRPr="00EE3900">
        <w:rPr>
          <w:rFonts w:ascii="Times New Roman" w:hAnsi="Times New Roman" w:cs="Times New Roman"/>
          <w:sz w:val="24"/>
          <w:szCs w:val="24"/>
        </w:rPr>
        <w:t>We studied the incidence of subsequent fractures in persons of 50+ years from 1990</w:t>
      </w:r>
      <w:r w:rsidR="008C172B" w:rsidRPr="00EE3900">
        <w:rPr>
          <w:rFonts w:ascii="Times New Roman" w:hAnsi="Times New Roman" w:cs="Times New Roman"/>
          <w:sz w:val="24"/>
          <w:szCs w:val="24"/>
        </w:rPr>
        <w:t xml:space="preserve"> to </w:t>
      </w:r>
      <w:r w:rsidRPr="00EE3900">
        <w:rPr>
          <w:rFonts w:ascii="Times New Roman" w:hAnsi="Times New Roman" w:cs="Times New Roman"/>
          <w:sz w:val="24"/>
          <w:szCs w:val="24"/>
        </w:rPr>
        <w:t xml:space="preserve">2012 and the Relative Risk (RR) of subsequent fractures after an index </w:t>
      </w:r>
      <w:r w:rsidR="00387EC8" w:rsidRPr="00EE3900">
        <w:rPr>
          <w:rFonts w:ascii="Times New Roman" w:hAnsi="Times New Roman" w:cs="Times New Roman"/>
          <w:sz w:val="24"/>
          <w:szCs w:val="24"/>
        </w:rPr>
        <w:t>femur/</w:t>
      </w:r>
      <w:r w:rsidRPr="005F5B1E">
        <w:rPr>
          <w:rFonts w:ascii="Times New Roman" w:hAnsi="Times New Roman" w:cs="Times New Roman"/>
          <w:sz w:val="24"/>
          <w:szCs w:val="24"/>
        </w:rPr>
        <w:t xml:space="preserve">hip fracture, stratified per 5 year age band. Patients suffering a fracture have a high incidence of a subsequent fracture; the RR of subsequent fracture after a </w:t>
      </w:r>
      <w:r w:rsidR="00387EC8" w:rsidRPr="00655509">
        <w:rPr>
          <w:rFonts w:ascii="Times New Roman" w:hAnsi="Times New Roman" w:cs="Times New Roman"/>
          <w:sz w:val="24"/>
          <w:szCs w:val="24"/>
        </w:rPr>
        <w:t>femur/</w:t>
      </w:r>
      <w:r w:rsidRPr="00655509">
        <w:rPr>
          <w:rFonts w:ascii="Times New Roman" w:hAnsi="Times New Roman" w:cs="Times New Roman"/>
          <w:sz w:val="24"/>
          <w:szCs w:val="24"/>
        </w:rPr>
        <w:t>hip fracture ranged from 2</w:t>
      </w:r>
      <w:r w:rsidR="008C172B" w:rsidRPr="00655509">
        <w:rPr>
          <w:rFonts w:ascii="Times New Roman" w:hAnsi="Times New Roman" w:cs="Times New Roman"/>
          <w:sz w:val="24"/>
          <w:szCs w:val="24"/>
        </w:rPr>
        <w:t xml:space="preserve"> to </w:t>
      </w:r>
      <w:r w:rsidRPr="00655509">
        <w:rPr>
          <w:rFonts w:ascii="Times New Roman" w:hAnsi="Times New Roman" w:cs="Times New Roman"/>
          <w:sz w:val="24"/>
          <w:szCs w:val="24"/>
        </w:rPr>
        <w:t>7.</w:t>
      </w:r>
      <w:bookmarkStart w:id="1" w:name="_Hlk491184092"/>
    </w:p>
    <w:p w14:paraId="3111F7EF" w14:textId="77777777" w:rsidR="00314931" w:rsidRPr="002C5129" w:rsidRDefault="00B2133E">
      <w:pPr>
        <w:spacing w:after="120" w:line="480" w:lineRule="auto"/>
        <w:jc w:val="both"/>
        <w:rPr>
          <w:rFonts w:ascii="Times New Roman" w:hAnsi="Times New Roman" w:cs="Times New Roman"/>
          <w:sz w:val="24"/>
          <w:szCs w:val="24"/>
          <w:lang w:eastAsia="nl-BE"/>
        </w:rPr>
      </w:pPr>
      <w:r w:rsidRPr="002C5129">
        <w:rPr>
          <w:rFonts w:ascii="Times New Roman" w:hAnsi="Times New Roman" w:cs="Times New Roman"/>
          <w:b/>
          <w:sz w:val="24"/>
          <w:szCs w:val="24"/>
          <w:lang w:eastAsia="nl-BE"/>
        </w:rPr>
        <w:t>Abstract</w:t>
      </w:r>
      <w:r w:rsidRPr="002C5129">
        <w:rPr>
          <w:rFonts w:ascii="Times New Roman" w:hAnsi="Times New Roman" w:cs="Times New Roman"/>
          <w:sz w:val="24"/>
          <w:szCs w:val="24"/>
          <w:lang w:eastAsia="nl-BE"/>
        </w:rPr>
        <w:t xml:space="preserve"> </w:t>
      </w:r>
      <w:bookmarkStart w:id="2" w:name="_Hlk495255786"/>
    </w:p>
    <w:p w14:paraId="33CCAC61" w14:textId="3B1CC69D" w:rsidR="008C172B" w:rsidRPr="002C5129" w:rsidRDefault="00B2133E">
      <w:pPr>
        <w:spacing w:after="120" w:line="480" w:lineRule="auto"/>
        <w:jc w:val="both"/>
        <w:rPr>
          <w:rFonts w:ascii="Times New Roman" w:hAnsi="Times New Roman" w:cs="Times New Roman"/>
          <w:sz w:val="24"/>
          <w:szCs w:val="24"/>
        </w:rPr>
      </w:pPr>
      <w:r w:rsidRPr="002C5129">
        <w:rPr>
          <w:rFonts w:ascii="Times New Roman" w:hAnsi="Times New Roman" w:cs="Times New Roman"/>
          <w:b/>
          <w:i/>
          <w:sz w:val="24"/>
          <w:szCs w:val="24"/>
          <w:lang w:eastAsia="nl-BE"/>
        </w:rPr>
        <w:t xml:space="preserve">Objective </w:t>
      </w:r>
      <w:r w:rsidRPr="002C5129">
        <w:rPr>
          <w:rFonts w:ascii="Times New Roman" w:hAnsi="Times New Roman" w:cs="Times New Roman"/>
          <w:sz w:val="24"/>
          <w:szCs w:val="24"/>
          <w:lang w:eastAsia="nl-BE"/>
        </w:rPr>
        <w:t>R</w:t>
      </w:r>
      <w:r w:rsidRPr="002C5129">
        <w:rPr>
          <w:rFonts w:ascii="Times New Roman" w:hAnsi="Times New Roman" w:cs="Times New Roman"/>
          <w:sz w:val="24"/>
          <w:szCs w:val="24"/>
        </w:rPr>
        <w:t>ecent information on the risk of subsequent fractures after a broad range of index fractures in the UK population is scarce. We therefore studied the rates of subsequent fractures of t</w:t>
      </w:r>
      <w:r w:rsidRPr="00EE3900">
        <w:rPr>
          <w:rFonts w:ascii="Times New Roman" w:hAnsi="Times New Roman" w:cs="Times New Roman"/>
          <w:sz w:val="24"/>
          <w:szCs w:val="24"/>
        </w:rPr>
        <w:t xml:space="preserve">he </w:t>
      </w:r>
      <w:r w:rsidR="00387EC8" w:rsidRPr="00EE3900">
        <w:rPr>
          <w:rFonts w:ascii="Times New Roman" w:hAnsi="Times New Roman" w:cs="Times New Roman"/>
          <w:sz w:val="24"/>
          <w:szCs w:val="24"/>
        </w:rPr>
        <w:t>femur/</w:t>
      </w:r>
      <w:r w:rsidRPr="00EE3900">
        <w:rPr>
          <w:rFonts w:ascii="Times New Roman" w:hAnsi="Times New Roman" w:cs="Times New Roman"/>
          <w:sz w:val="24"/>
          <w:szCs w:val="24"/>
        </w:rPr>
        <w:t xml:space="preserve">hip, humerus, radius/ulna, vertebrae, rib or pelvis </w:t>
      </w:r>
      <w:r w:rsidRPr="002C5129">
        <w:rPr>
          <w:rFonts w:ascii="Times New Roman" w:hAnsi="Times New Roman" w:cs="Times New Roman"/>
          <w:sz w:val="24"/>
          <w:szCs w:val="24"/>
        </w:rPr>
        <w:t xml:space="preserve">after fractures at one of these sites </w:t>
      </w:r>
      <w:r w:rsidR="008C172B" w:rsidRPr="002C5129">
        <w:rPr>
          <w:rFonts w:ascii="Times New Roman" w:hAnsi="Times New Roman" w:cs="Times New Roman"/>
          <w:sz w:val="24"/>
          <w:szCs w:val="24"/>
        </w:rPr>
        <w:t xml:space="preserve">from </w:t>
      </w:r>
      <w:r w:rsidRPr="002C5129">
        <w:rPr>
          <w:rFonts w:ascii="Times New Roman" w:hAnsi="Times New Roman" w:cs="Times New Roman"/>
          <w:sz w:val="24"/>
          <w:szCs w:val="24"/>
        </w:rPr>
        <w:t xml:space="preserve">1990 to 2012 in </w:t>
      </w:r>
      <w:r w:rsidR="008C172B" w:rsidRPr="002C5129">
        <w:rPr>
          <w:rFonts w:ascii="Times New Roman" w:hAnsi="Times New Roman" w:cs="Times New Roman"/>
          <w:sz w:val="24"/>
          <w:szCs w:val="24"/>
        </w:rPr>
        <w:t xml:space="preserve">UK </w:t>
      </w:r>
      <w:r w:rsidR="00342374" w:rsidRPr="002C5129">
        <w:rPr>
          <w:rFonts w:ascii="Times New Roman" w:hAnsi="Times New Roman" w:cs="Times New Roman"/>
          <w:sz w:val="24"/>
          <w:szCs w:val="24"/>
        </w:rPr>
        <w:t>3</w:t>
      </w:r>
      <w:r w:rsidR="00D457CE" w:rsidRPr="002C5129">
        <w:rPr>
          <w:rFonts w:ascii="Times New Roman" w:hAnsi="Times New Roman" w:cs="Times New Roman"/>
          <w:sz w:val="24"/>
          <w:szCs w:val="24"/>
        </w:rPr>
        <w:t>,</w:t>
      </w:r>
      <w:r w:rsidR="00342374" w:rsidRPr="002C5129">
        <w:rPr>
          <w:rFonts w:ascii="Times New Roman" w:hAnsi="Times New Roman" w:cs="Times New Roman"/>
          <w:sz w:val="24"/>
          <w:szCs w:val="24"/>
        </w:rPr>
        <w:t>1</w:t>
      </w:r>
      <w:r w:rsidR="00E26D12" w:rsidRPr="002C5129">
        <w:rPr>
          <w:rFonts w:ascii="Times New Roman" w:hAnsi="Times New Roman" w:cs="Times New Roman"/>
          <w:sz w:val="24"/>
          <w:szCs w:val="24"/>
        </w:rPr>
        <w:t>56</w:t>
      </w:r>
      <w:r w:rsidR="00D457CE" w:rsidRPr="002C5129">
        <w:rPr>
          <w:rFonts w:ascii="Times New Roman" w:hAnsi="Times New Roman" w:cs="Times New Roman"/>
          <w:sz w:val="24"/>
          <w:szCs w:val="24"/>
        </w:rPr>
        <w:t>,</w:t>
      </w:r>
      <w:r w:rsidR="00E26D12" w:rsidRPr="002C5129">
        <w:rPr>
          <w:rFonts w:ascii="Times New Roman" w:hAnsi="Times New Roman" w:cs="Times New Roman"/>
          <w:sz w:val="24"/>
          <w:szCs w:val="24"/>
        </w:rPr>
        <w:t xml:space="preserve">347 </w:t>
      </w:r>
      <w:r w:rsidRPr="002C5129">
        <w:rPr>
          <w:rFonts w:ascii="Times New Roman" w:hAnsi="Times New Roman" w:cs="Times New Roman"/>
          <w:sz w:val="24"/>
          <w:szCs w:val="24"/>
        </w:rPr>
        <w:t>men and women aged 50 years or over.</w:t>
      </w:r>
      <w:r w:rsidR="00314931" w:rsidRPr="002C5129">
        <w:rPr>
          <w:rFonts w:ascii="Times New Roman" w:hAnsi="Times New Roman" w:cs="Times New Roman"/>
          <w:sz w:val="24"/>
          <w:szCs w:val="24"/>
        </w:rPr>
        <w:t xml:space="preserve"> </w:t>
      </w:r>
    </w:p>
    <w:p w14:paraId="29E7A4D0" w14:textId="3A6A8C1B" w:rsidR="00930749" w:rsidRPr="002C5129" w:rsidRDefault="00B2133E">
      <w:pPr>
        <w:spacing w:after="120" w:line="480" w:lineRule="auto"/>
        <w:jc w:val="both"/>
        <w:rPr>
          <w:rFonts w:ascii="Times New Roman" w:hAnsi="Times New Roman" w:cs="Times New Roman"/>
          <w:sz w:val="24"/>
          <w:szCs w:val="24"/>
        </w:rPr>
      </w:pPr>
      <w:r w:rsidRPr="002C5129">
        <w:rPr>
          <w:rFonts w:ascii="Times New Roman" w:hAnsi="Times New Roman" w:cs="Times New Roman"/>
          <w:b/>
          <w:i/>
          <w:sz w:val="24"/>
          <w:szCs w:val="24"/>
        </w:rPr>
        <w:t>Methods</w:t>
      </w:r>
      <w:r w:rsidR="009C5A7A" w:rsidRPr="002C5129">
        <w:rPr>
          <w:rFonts w:ascii="Times New Roman" w:hAnsi="Times New Roman" w:cs="Times New Roman"/>
          <w:sz w:val="24"/>
          <w:szCs w:val="24"/>
        </w:rPr>
        <w:t xml:space="preserve"> </w:t>
      </w:r>
      <w:r w:rsidR="008C172B" w:rsidRPr="002C5129">
        <w:rPr>
          <w:rFonts w:ascii="Times New Roman" w:hAnsi="Times New Roman" w:cs="Times New Roman"/>
          <w:sz w:val="24"/>
          <w:szCs w:val="24"/>
        </w:rPr>
        <w:t>We undertook a r</w:t>
      </w:r>
      <w:r w:rsidRPr="002C5129">
        <w:rPr>
          <w:rFonts w:ascii="Times New Roman" w:hAnsi="Times New Roman" w:cs="Times New Roman"/>
          <w:sz w:val="24"/>
          <w:szCs w:val="24"/>
        </w:rPr>
        <w:t xml:space="preserve">etrospective observational study using the </w:t>
      </w:r>
      <w:r w:rsidR="008C172B" w:rsidRPr="002C5129">
        <w:rPr>
          <w:rFonts w:ascii="Times New Roman" w:hAnsi="Times New Roman" w:cs="Times New Roman"/>
          <w:sz w:val="24"/>
          <w:szCs w:val="24"/>
        </w:rPr>
        <w:t>UK Clinical Practice Research Datalink (</w:t>
      </w:r>
      <w:r w:rsidRPr="002C5129">
        <w:rPr>
          <w:rFonts w:ascii="Times New Roman" w:hAnsi="Times New Roman" w:cs="Times New Roman"/>
          <w:sz w:val="24"/>
          <w:szCs w:val="24"/>
        </w:rPr>
        <w:t>CPRD</w:t>
      </w:r>
      <w:r w:rsidR="008C172B" w:rsidRPr="002C5129">
        <w:rPr>
          <w:rFonts w:ascii="Times New Roman" w:hAnsi="Times New Roman" w:cs="Times New Roman"/>
          <w:sz w:val="24"/>
          <w:szCs w:val="24"/>
        </w:rPr>
        <w:t>)</w:t>
      </w:r>
      <w:r w:rsidRPr="002C5129">
        <w:rPr>
          <w:rFonts w:ascii="Times New Roman" w:hAnsi="Times New Roman" w:cs="Times New Roman"/>
          <w:sz w:val="24"/>
          <w:szCs w:val="24"/>
        </w:rPr>
        <w:t xml:space="preserve">. </w:t>
      </w:r>
      <w:r w:rsidR="009C5A7A" w:rsidRPr="002C5129">
        <w:rPr>
          <w:rFonts w:ascii="Times New Roman" w:hAnsi="Times New Roman" w:cs="Times New Roman"/>
          <w:sz w:val="24"/>
          <w:szCs w:val="24"/>
        </w:rPr>
        <w:t xml:space="preserve">The incidence of </w:t>
      </w:r>
      <w:r w:rsidRPr="002C5129">
        <w:rPr>
          <w:rFonts w:ascii="Times New Roman" w:hAnsi="Times New Roman" w:cs="Times New Roman"/>
          <w:sz w:val="24"/>
          <w:szCs w:val="24"/>
        </w:rPr>
        <w:t>subsequent fractures at a specific site was calculated by dividing the observed number of fractures by the number of person</w:t>
      </w:r>
      <w:r w:rsidR="008C172B" w:rsidRPr="002C5129">
        <w:rPr>
          <w:rFonts w:ascii="Times New Roman" w:hAnsi="Times New Roman" w:cs="Times New Roman"/>
          <w:sz w:val="24"/>
          <w:szCs w:val="24"/>
        </w:rPr>
        <w:t>-</w:t>
      </w:r>
      <w:r w:rsidRPr="002C5129">
        <w:rPr>
          <w:rFonts w:ascii="Times New Roman" w:hAnsi="Times New Roman" w:cs="Times New Roman"/>
          <w:sz w:val="24"/>
          <w:szCs w:val="24"/>
        </w:rPr>
        <w:t xml:space="preserve">years </w:t>
      </w:r>
      <w:r w:rsidR="008C172B" w:rsidRPr="002C5129">
        <w:rPr>
          <w:rFonts w:ascii="Times New Roman" w:hAnsi="Times New Roman" w:cs="Times New Roman"/>
          <w:sz w:val="24"/>
          <w:szCs w:val="24"/>
        </w:rPr>
        <w:t xml:space="preserve">(py) </w:t>
      </w:r>
      <w:r w:rsidRPr="002C5129">
        <w:rPr>
          <w:rFonts w:ascii="Times New Roman" w:hAnsi="Times New Roman" w:cs="Times New Roman"/>
          <w:sz w:val="24"/>
          <w:szCs w:val="24"/>
        </w:rPr>
        <w:t xml:space="preserve">at risk. The relative risk (RR) of subsequent fractures after a </w:t>
      </w:r>
      <w:r w:rsidR="00387EC8" w:rsidRPr="002C5129">
        <w:rPr>
          <w:rFonts w:ascii="Times New Roman" w:hAnsi="Times New Roman" w:cs="Times New Roman"/>
          <w:sz w:val="24"/>
          <w:szCs w:val="24"/>
        </w:rPr>
        <w:t>femur/</w:t>
      </w:r>
      <w:r w:rsidRPr="002C5129">
        <w:rPr>
          <w:rFonts w:ascii="Times New Roman" w:hAnsi="Times New Roman" w:cs="Times New Roman"/>
          <w:sz w:val="24"/>
          <w:szCs w:val="24"/>
        </w:rPr>
        <w:t xml:space="preserve">hip fracture, </w:t>
      </w:r>
      <w:r w:rsidR="008C172B" w:rsidRPr="00EE3900">
        <w:rPr>
          <w:rFonts w:ascii="Times New Roman" w:hAnsi="Times New Roman" w:cs="Times New Roman"/>
          <w:sz w:val="24"/>
          <w:szCs w:val="24"/>
          <w:lang w:val="en-US"/>
        </w:rPr>
        <w:t>by 5-year</w:t>
      </w:r>
      <w:r w:rsidRPr="00EE3900">
        <w:rPr>
          <w:rFonts w:ascii="Times New Roman" w:hAnsi="Times New Roman" w:cs="Times New Roman"/>
          <w:sz w:val="24"/>
          <w:szCs w:val="24"/>
          <w:lang w:val="en-US"/>
        </w:rPr>
        <w:t xml:space="preserve"> age band,</w:t>
      </w:r>
      <w:r w:rsidRPr="002C5129">
        <w:rPr>
          <w:rFonts w:ascii="Times New Roman" w:hAnsi="Times New Roman" w:cs="Times New Roman"/>
          <w:sz w:val="24"/>
          <w:szCs w:val="24"/>
        </w:rPr>
        <w:t xml:space="preserve"> was calculated by dividing the incidence of a specific subsequent fracture type by the incidence of first fractures at the same site in the same age group.</w:t>
      </w:r>
    </w:p>
    <w:p w14:paraId="6A1B734A" w14:textId="3DFCF796" w:rsidR="00060DEE" w:rsidRPr="00655509" w:rsidRDefault="00B2133E">
      <w:pPr>
        <w:spacing w:after="120" w:line="480" w:lineRule="auto"/>
        <w:jc w:val="both"/>
        <w:rPr>
          <w:rFonts w:ascii="Times New Roman" w:hAnsi="Times New Roman" w:cs="Times New Roman"/>
          <w:sz w:val="24"/>
          <w:szCs w:val="24"/>
        </w:rPr>
      </w:pPr>
      <w:r w:rsidRPr="002C5129">
        <w:rPr>
          <w:rFonts w:ascii="Times New Roman" w:hAnsi="Times New Roman" w:cs="Times New Roman"/>
          <w:b/>
          <w:i/>
          <w:sz w:val="24"/>
          <w:szCs w:val="24"/>
        </w:rPr>
        <w:t>Results</w:t>
      </w:r>
      <w:r w:rsidRPr="002C5129">
        <w:rPr>
          <w:rFonts w:ascii="Times New Roman" w:hAnsi="Times New Roman" w:cs="Times New Roman"/>
          <w:sz w:val="24"/>
          <w:szCs w:val="24"/>
        </w:rPr>
        <w:t xml:space="preserve"> </w:t>
      </w:r>
      <w:r w:rsidRPr="00EE3900">
        <w:rPr>
          <w:rFonts w:ascii="Times New Roman" w:hAnsi="Times New Roman" w:cs="Times New Roman"/>
          <w:sz w:val="24"/>
          <w:szCs w:val="24"/>
          <w:lang w:val="en-US"/>
        </w:rPr>
        <w:t xml:space="preserve">The highest </w:t>
      </w:r>
      <w:r w:rsidRPr="00EE3900">
        <w:rPr>
          <w:rFonts w:ascii="Times New Roman" w:hAnsi="Times New Roman" w:cs="Times New Roman"/>
          <w:sz w:val="24"/>
          <w:szCs w:val="24"/>
        </w:rPr>
        <w:t xml:space="preserve">subsequent fracture </w:t>
      </w:r>
      <w:r w:rsidRPr="00EE3900">
        <w:rPr>
          <w:rFonts w:ascii="Times New Roman" w:hAnsi="Times New Roman" w:cs="Times New Roman"/>
          <w:sz w:val="24"/>
          <w:szCs w:val="24"/>
          <w:lang w:val="en-US"/>
        </w:rPr>
        <w:t xml:space="preserve">incidence after a </w:t>
      </w:r>
      <w:r w:rsidR="00387EC8" w:rsidRPr="00EE3900">
        <w:rPr>
          <w:rFonts w:ascii="Times New Roman" w:hAnsi="Times New Roman" w:cs="Times New Roman"/>
          <w:sz w:val="24"/>
          <w:szCs w:val="24"/>
          <w:lang w:val="en-US"/>
        </w:rPr>
        <w:t>femur/</w:t>
      </w:r>
      <w:r w:rsidRPr="00EE3900">
        <w:rPr>
          <w:rFonts w:ascii="Times New Roman" w:hAnsi="Times New Roman" w:cs="Times New Roman"/>
          <w:sz w:val="24"/>
          <w:szCs w:val="24"/>
        </w:rPr>
        <w:t xml:space="preserve">hip </w:t>
      </w:r>
      <w:r w:rsidRPr="00EE3900">
        <w:rPr>
          <w:rFonts w:ascii="Times New Roman" w:hAnsi="Times New Roman" w:cs="Times New Roman"/>
          <w:sz w:val="24"/>
          <w:szCs w:val="24"/>
          <w:lang w:val="en-US"/>
        </w:rPr>
        <w:t xml:space="preserve">fracture </w:t>
      </w:r>
      <w:r w:rsidRPr="00EE3900">
        <w:rPr>
          <w:rFonts w:ascii="Times New Roman" w:hAnsi="Times New Roman" w:cs="Times New Roman"/>
          <w:sz w:val="24"/>
          <w:szCs w:val="24"/>
        </w:rPr>
        <w:t>w</w:t>
      </w:r>
      <w:r w:rsidRPr="00EE3900">
        <w:rPr>
          <w:rFonts w:ascii="Times New Roman" w:hAnsi="Times New Roman" w:cs="Times New Roman"/>
          <w:sz w:val="24"/>
          <w:szCs w:val="24"/>
          <w:lang w:val="en-US"/>
        </w:rPr>
        <w:t>as for</w:t>
      </w:r>
      <w:r w:rsidRPr="00EE3900">
        <w:rPr>
          <w:rFonts w:ascii="Times New Roman" w:hAnsi="Times New Roman" w:cs="Times New Roman"/>
          <w:sz w:val="24"/>
          <w:szCs w:val="24"/>
        </w:rPr>
        <w:t xml:space="preserve"> </w:t>
      </w:r>
      <w:r w:rsidRPr="00EE3900">
        <w:rPr>
          <w:rFonts w:ascii="Times New Roman" w:hAnsi="Times New Roman" w:cs="Times New Roman"/>
          <w:sz w:val="24"/>
          <w:szCs w:val="24"/>
          <w:lang w:val="en-US"/>
        </w:rPr>
        <w:t xml:space="preserve">humerus fracture </w:t>
      </w:r>
      <w:r w:rsidRPr="00EE3900">
        <w:rPr>
          <w:rFonts w:ascii="Times New Roman" w:hAnsi="Times New Roman" w:cs="Times New Roman"/>
          <w:sz w:val="24"/>
          <w:szCs w:val="24"/>
        </w:rPr>
        <w:t xml:space="preserve">in men </w:t>
      </w:r>
      <w:r w:rsidRPr="005F5B1E">
        <w:rPr>
          <w:rFonts w:ascii="Times New Roman" w:hAnsi="Times New Roman" w:cs="Times New Roman"/>
          <w:sz w:val="24"/>
          <w:szCs w:val="24"/>
          <w:lang w:val="en-US"/>
        </w:rPr>
        <w:t>(59.5</w:t>
      </w:r>
      <w:r w:rsidRPr="005F5B1E">
        <w:rPr>
          <w:rFonts w:ascii="Times New Roman" w:hAnsi="Times New Roman" w:cs="Times New Roman"/>
          <w:sz w:val="24"/>
          <w:szCs w:val="24"/>
        </w:rPr>
        <w:t>/</w:t>
      </w:r>
      <w:r w:rsidRPr="00655509">
        <w:rPr>
          <w:rFonts w:ascii="Times New Roman" w:hAnsi="Times New Roman" w:cs="Times New Roman"/>
          <w:sz w:val="24"/>
          <w:szCs w:val="24"/>
          <w:lang w:val="en-US"/>
        </w:rPr>
        <w:t>10.000 py)</w:t>
      </w:r>
      <w:r w:rsidRPr="00655509">
        <w:rPr>
          <w:rFonts w:ascii="Times New Roman" w:hAnsi="Times New Roman" w:cs="Times New Roman"/>
          <w:sz w:val="24"/>
          <w:szCs w:val="24"/>
        </w:rPr>
        <w:t xml:space="preserve"> and </w:t>
      </w:r>
      <w:r w:rsidRPr="00655509">
        <w:rPr>
          <w:rFonts w:ascii="Times New Roman" w:hAnsi="Times New Roman" w:cs="Times New Roman"/>
          <w:sz w:val="24"/>
          <w:szCs w:val="24"/>
          <w:lang w:val="en-US"/>
        </w:rPr>
        <w:t xml:space="preserve">radius/ulna </w:t>
      </w:r>
      <w:r w:rsidRPr="00655509">
        <w:rPr>
          <w:rFonts w:ascii="Times New Roman" w:hAnsi="Times New Roman" w:cs="Times New Roman"/>
          <w:sz w:val="24"/>
          <w:szCs w:val="24"/>
        </w:rPr>
        <w:t xml:space="preserve">fracture in women </w:t>
      </w:r>
      <w:r w:rsidRPr="00655509">
        <w:rPr>
          <w:rFonts w:ascii="Times New Roman" w:hAnsi="Times New Roman" w:cs="Times New Roman"/>
          <w:sz w:val="24"/>
          <w:szCs w:val="24"/>
          <w:lang w:val="en-US"/>
        </w:rPr>
        <w:t>(117.2</w:t>
      </w:r>
      <w:r w:rsidRPr="00655509">
        <w:rPr>
          <w:rFonts w:ascii="Times New Roman" w:hAnsi="Times New Roman" w:cs="Times New Roman"/>
          <w:sz w:val="24"/>
          <w:szCs w:val="24"/>
        </w:rPr>
        <w:t>/</w:t>
      </w:r>
      <w:r w:rsidRPr="00655509">
        <w:rPr>
          <w:rFonts w:ascii="Times New Roman" w:hAnsi="Times New Roman" w:cs="Times New Roman"/>
          <w:sz w:val="24"/>
          <w:szCs w:val="24"/>
          <w:lang w:val="en-US"/>
        </w:rPr>
        <w:t>10.000 py)</w:t>
      </w:r>
      <w:r w:rsidRPr="00655509">
        <w:rPr>
          <w:rFonts w:ascii="Times New Roman" w:hAnsi="Times New Roman" w:cs="Times New Roman"/>
          <w:sz w:val="24"/>
          <w:szCs w:val="24"/>
        </w:rPr>
        <w:t xml:space="preserve">. </w:t>
      </w:r>
      <w:r w:rsidRPr="00655509">
        <w:rPr>
          <w:rFonts w:ascii="Times New Roman" w:hAnsi="Times New Roman" w:cs="Times New Roman"/>
          <w:sz w:val="24"/>
          <w:szCs w:val="24"/>
          <w:lang w:val="en-US"/>
        </w:rPr>
        <w:t>After an index fracture of the radius/ulna</w:t>
      </w:r>
      <w:r w:rsidRPr="00655509">
        <w:rPr>
          <w:rFonts w:ascii="Times New Roman" w:hAnsi="Times New Roman" w:cs="Times New Roman"/>
          <w:sz w:val="24"/>
          <w:szCs w:val="24"/>
        </w:rPr>
        <w:t xml:space="preserve">, humerus fracture in men </w:t>
      </w:r>
      <w:r w:rsidRPr="00655509">
        <w:rPr>
          <w:rFonts w:ascii="Times New Roman" w:hAnsi="Times New Roman" w:cs="Times New Roman"/>
          <w:sz w:val="24"/>
          <w:szCs w:val="24"/>
          <w:lang w:val="en-US"/>
        </w:rPr>
        <w:t>(59.3</w:t>
      </w:r>
      <w:r w:rsidRPr="00655509">
        <w:rPr>
          <w:rFonts w:ascii="Times New Roman" w:hAnsi="Times New Roman" w:cs="Times New Roman"/>
          <w:sz w:val="24"/>
          <w:szCs w:val="24"/>
        </w:rPr>
        <w:t>/</w:t>
      </w:r>
      <w:r w:rsidRPr="00655509">
        <w:rPr>
          <w:rFonts w:ascii="Times New Roman" w:hAnsi="Times New Roman" w:cs="Times New Roman"/>
          <w:sz w:val="24"/>
          <w:szCs w:val="24"/>
          <w:lang w:val="en-US"/>
        </w:rPr>
        <w:t xml:space="preserve">10.000 py) </w:t>
      </w:r>
      <w:r w:rsidRPr="00655509">
        <w:rPr>
          <w:rFonts w:ascii="Times New Roman" w:hAnsi="Times New Roman" w:cs="Times New Roman"/>
          <w:sz w:val="24"/>
          <w:szCs w:val="24"/>
        </w:rPr>
        <w:t xml:space="preserve">and </w:t>
      </w:r>
      <w:r w:rsidR="00387EC8" w:rsidRPr="00655509">
        <w:rPr>
          <w:rFonts w:ascii="Times New Roman" w:hAnsi="Times New Roman" w:cs="Times New Roman"/>
          <w:sz w:val="24"/>
          <w:szCs w:val="24"/>
        </w:rPr>
        <w:t>femur/</w:t>
      </w:r>
      <w:r w:rsidRPr="00655509">
        <w:rPr>
          <w:rFonts w:ascii="Times New Roman" w:hAnsi="Times New Roman" w:cs="Times New Roman"/>
          <w:sz w:val="24"/>
          <w:szCs w:val="24"/>
        </w:rPr>
        <w:t xml:space="preserve">hip fracture in women </w:t>
      </w:r>
      <w:r w:rsidRPr="00655509">
        <w:rPr>
          <w:rFonts w:ascii="Times New Roman" w:hAnsi="Times New Roman" w:cs="Times New Roman"/>
          <w:sz w:val="24"/>
          <w:szCs w:val="24"/>
          <w:lang w:val="en-US"/>
        </w:rPr>
        <w:t>(82.4 per 10.000 py)</w:t>
      </w:r>
      <w:r w:rsidRPr="00655509">
        <w:rPr>
          <w:rFonts w:ascii="Times New Roman" w:hAnsi="Times New Roman" w:cs="Times New Roman"/>
          <w:sz w:val="24"/>
          <w:szCs w:val="24"/>
        </w:rPr>
        <w:t xml:space="preserve"> were most frequent. T</w:t>
      </w:r>
      <w:r w:rsidRPr="00655509">
        <w:rPr>
          <w:rFonts w:ascii="Times New Roman" w:hAnsi="Times New Roman" w:cs="Times New Roman"/>
          <w:sz w:val="24"/>
          <w:szCs w:val="24"/>
          <w:lang w:val="en-US"/>
        </w:rPr>
        <w:t xml:space="preserve">he RR of </w:t>
      </w:r>
      <w:r w:rsidRPr="00655509">
        <w:rPr>
          <w:rFonts w:ascii="Times New Roman" w:hAnsi="Times New Roman" w:cs="Times New Roman"/>
          <w:sz w:val="24"/>
          <w:szCs w:val="24"/>
        </w:rPr>
        <w:t>fra</w:t>
      </w:r>
      <w:r w:rsidRPr="00655509">
        <w:rPr>
          <w:rFonts w:ascii="Times New Roman" w:hAnsi="Times New Roman" w:cs="Times New Roman"/>
          <w:sz w:val="24"/>
          <w:szCs w:val="24"/>
          <w:lang w:val="en-US"/>
        </w:rPr>
        <w:t xml:space="preserve">ctures </w:t>
      </w:r>
      <w:r w:rsidRPr="00655509">
        <w:rPr>
          <w:rFonts w:ascii="Times New Roman" w:hAnsi="Times New Roman" w:cs="Times New Roman"/>
          <w:sz w:val="24"/>
          <w:szCs w:val="24"/>
        </w:rPr>
        <w:t xml:space="preserve">after a </w:t>
      </w:r>
      <w:r w:rsidR="00387EC8" w:rsidRPr="00655509">
        <w:rPr>
          <w:rFonts w:ascii="Times New Roman" w:hAnsi="Times New Roman" w:cs="Times New Roman"/>
          <w:sz w:val="24"/>
          <w:szCs w:val="24"/>
        </w:rPr>
        <w:t>femur/</w:t>
      </w:r>
      <w:r w:rsidRPr="00655509">
        <w:rPr>
          <w:rFonts w:ascii="Times New Roman" w:hAnsi="Times New Roman" w:cs="Times New Roman"/>
          <w:sz w:val="24"/>
          <w:szCs w:val="24"/>
        </w:rPr>
        <w:t>hip fracture ranged from 2-7 and were highest in men and younger age groups.</w:t>
      </w:r>
    </w:p>
    <w:p w14:paraId="75DE1741" w14:textId="3A22C12A" w:rsidR="00B2133E" w:rsidRPr="00655509" w:rsidRDefault="00B2133E">
      <w:pPr>
        <w:spacing w:after="120" w:line="480" w:lineRule="auto"/>
        <w:jc w:val="both"/>
        <w:rPr>
          <w:rFonts w:ascii="Times New Roman" w:hAnsi="Times New Roman" w:cs="Times New Roman"/>
          <w:i/>
          <w:color w:val="FF0000"/>
          <w:sz w:val="24"/>
          <w:szCs w:val="24"/>
          <w:lang w:val="nl-NL"/>
        </w:rPr>
      </w:pPr>
      <w:r w:rsidRPr="002C5129">
        <w:rPr>
          <w:rFonts w:ascii="Times New Roman" w:hAnsi="Times New Roman" w:cs="Times New Roman"/>
          <w:b/>
          <w:i/>
          <w:sz w:val="24"/>
          <w:szCs w:val="24"/>
        </w:rPr>
        <w:t>Conclusion</w:t>
      </w:r>
      <w:r w:rsidRPr="002C5129">
        <w:rPr>
          <w:rFonts w:ascii="Times New Roman" w:hAnsi="Times New Roman" w:cs="Times New Roman"/>
          <w:sz w:val="24"/>
          <w:szCs w:val="24"/>
        </w:rPr>
        <w:t xml:space="preserve">  Patients</w:t>
      </w:r>
      <w:r w:rsidRPr="00EE3900">
        <w:rPr>
          <w:rFonts w:ascii="Times New Roman" w:hAnsi="Times New Roman" w:cs="Times New Roman"/>
          <w:sz w:val="24"/>
          <w:szCs w:val="24"/>
        </w:rPr>
        <w:t xml:space="preserve"> suffering a fracture have a high incidence of a subsequent fracture. </w:t>
      </w:r>
      <w:r w:rsidR="009C5A7A" w:rsidRPr="00EE3900">
        <w:rPr>
          <w:rFonts w:ascii="Times New Roman" w:hAnsi="Times New Roman" w:cs="Times New Roman"/>
          <w:sz w:val="24"/>
          <w:szCs w:val="24"/>
        </w:rPr>
        <w:t xml:space="preserve">Our </w:t>
      </w:r>
      <w:r w:rsidRPr="00EE3900">
        <w:rPr>
          <w:rFonts w:ascii="Times New Roman" w:hAnsi="Times New Roman" w:cs="Times New Roman"/>
          <w:sz w:val="24"/>
          <w:szCs w:val="24"/>
        </w:rPr>
        <w:t xml:space="preserve">findings demonstrate the importance of fracture prevention in patients with a history of a fracture by adequate medical diagnosis and treatment.   </w:t>
      </w:r>
      <w:bookmarkEnd w:id="1"/>
      <w:bookmarkEnd w:id="2"/>
    </w:p>
    <w:p w14:paraId="6A8D438C" w14:textId="3E5624B5" w:rsidR="00EC5018" w:rsidRPr="00EE3900" w:rsidRDefault="00F04E2B">
      <w:pPr>
        <w:spacing w:after="120" w:line="480" w:lineRule="auto"/>
        <w:jc w:val="both"/>
        <w:rPr>
          <w:rFonts w:ascii="Times New Roman" w:hAnsi="Times New Roman" w:cs="Times New Roman"/>
          <w:sz w:val="24"/>
          <w:szCs w:val="24"/>
        </w:rPr>
      </w:pPr>
      <w:r w:rsidRPr="00EE3900">
        <w:rPr>
          <w:rFonts w:ascii="Times New Roman" w:hAnsi="Times New Roman" w:cs="Times New Roman"/>
          <w:b/>
          <w:sz w:val="24"/>
          <w:szCs w:val="24"/>
        </w:rPr>
        <w:lastRenderedPageBreak/>
        <w:t xml:space="preserve">Keywords </w:t>
      </w:r>
      <w:r w:rsidRPr="00EE3900">
        <w:rPr>
          <w:rFonts w:ascii="Times New Roman" w:hAnsi="Times New Roman" w:cs="Times New Roman"/>
          <w:sz w:val="24"/>
          <w:szCs w:val="24"/>
        </w:rPr>
        <w:t>Osteoporosis, epidemiology, subsequent fractures, fracture incidence.</w:t>
      </w:r>
    </w:p>
    <w:p w14:paraId="17999781" w14:textId="007E6D02" w:rsidR="00F04E2B" w:rsidRPr="00EE3900" w:rsidRDefault="00F04E2B">
      <w:pPr>
        <w:spacing w:after="120" w:line="480" w:lineRule="auto"/>
        <w:jc w:val="both"/>
        <w:rPr>
          <w:rFonts w:ascii="Times New Roman" w:hAnsi="Times New Roman" w:cs="Times New Roman"/>
          <w:b/>
          <w:sz w:val="24"/>
          <w:szCs w:val="24"/>
        </w:rPr>
      </w:pPr>
      <w:r w:rsidRPr="00EE3900">
        <w:rPr>
          <w:rFonts w:ascii="Times New Roman" w:hAnsi="Times New Roman" w:cs="Times New Roman"/>
          <w:b/>
          <w:sz w:val="24"/>
          <w:szCs w:val="24"/>
        </w:rPr>
        <w:t>Introduction</w:t>
      </w:r>
    </w:p>
    <w:p w14:paraId="4A5D4632" w14:textId="4B85268E" w:rsidR="007F1F29" w:rsidRPr="002C5129" w:rsidRDefault="00EC5018">
      <w:pPr>
        <w:spacing w:after="120" w:line="480" w:lineRule="auto"/>
        <w:jc w:val="both"/>
        <w:rPr>
          <w:rFonts w:ascii="Times New Roman" w:hAnsi="Times New Roman" w:cs="Times New Roman"/>
          <w:sz w:val="24"/>
          <w:szCs w:val="24"/>
        </w:rPr>
      </w:pPr>
      <w:r w:rsidRPr="005F5B1E">
        <w:rPr>
          <w:rFonts w:ascii="Times New Roman" w:hAnsi="Times New Roman" w:cs="Times New Roman"/>
          <w:sz w:val="24"/>
          <w:szCs w:val="24"/>
        </w:rPr>
        <w:t>The risk of an o</w:t>
      </w:r>
      <w:r w:rsidRPr="00655509">
        <w:rPr>
          <w:rFonts w:ascii="Times New Roman" w:hAnsi="Times New Roman" w:cs="Times New Roman"/>
          <w:sz w:val="24"/>
          <w:szCs w:val="24"/>
        </w:rPr>
        <w:t>steoporotic fracture can be significantly reduced by the in</w:t>
      </w:r>
      <w:r w:rsidR="006967DF" w:rsidRPr="00655509">
        <w:rPr>
          <w:rFonts w:ascii="Times New Roman" w:hAnsi="Times New Roman" w:cs="Times New Roman"/>
          <w:sz w:val="24"/>
          <w:szCs w:val="24"/>
        </w:rPr>
        <w:t xml:space="preserve">itiation </w:t>
      </w:r>
      <w:r w:rsidRPr="00655509">
        <w:rPr>
          <w:rFonts w:ascii="Times New Roman" w:hAnsi="Times New Roman" w:cs="Times New Roman"/>
          <w:sz w:val="24"/>
          <w:szCs w:val="24"/>
        </w:rPr>
        <w:t xml:space="preserve">of appropriate medical treatment in those at high risk [1]. However the identification of individuals in the general population at high risk of fracture is challenging. Although bone mineral density (BMD) is a powerful predictor of the risk of future fractures, </w:t>
      </w:r>
      <w:r w:rsidR="0078207D" w:rsidRPr="00655509">
        <w:rPr>
          <w:rFonts w:ascii="Times New Roman" w:hAnsi="Times New Roman" w:cs="Times New Roman"/>
          <w:sz w:val="24"/>
          <w:szCs w:val="24"/>
        </w:rPr>
        <w:t>there is little evidence that</w:t>
      </w:r>
      <w:r w:rsidRPr="00655509">
        <w:rPr>
          <w:rFonts w:ascii="Times New Roman" w:hAnsi="Times New Roman" w:cs="Times New Roman"/>
          <w:sz w:val="24"/>
          <w:szCs w:val="24"/>
        </w:rPr>
        <w:t xml:space="preserve"> BMD</w:t>
      </w:r>
      <w:r w:rsidR="0078207D" w:rsidRPr="00655509">
        <w:rPr>
          <w:rFonts w:ascii="Times New Roman" w:hAnsi="Times New Roman" w:cs="Times New Roman"/>
          <w:sz w:val="24"/>
          <w:szCs w:val="24"/>
        </w:rPr>
        <w:t xml:space="preserve">-based </w:t>
      </w:r>
      <w:r w:rsidRPr="00655509">
        <w:rPr>
          <w:rFonts w:ascii="Times New Roman" w:hAnsi="Times New Roman" w:cs="Times New Roman"/>
          <w:sz w:val="24"/>
          <w:szCs w:val="24"/>
        </w:rPr>
        <w:t>population</w:t>
      </w:r>
      <w:r w:rsidR="0078207D" w:rsidRPr="00655509">
        <w:rPr>
          <w:rFonts w:ascii="Times New Roman" w:hAnsi="Times New Roman" w:cs="Times New Roman"/>
          <w:sz w:val="24"/>
          <w:szCs w:val="24"/>
        </w:rPr>
        <w:t xml:space="preserve"> screening is cost-effective</w:t>
      </w:r>
      <w:r w:rsidRPr="00655509">
        <w:rPr>
          <w:rFonts w:ascii="Times New Roman" w:hAnsi="Times New Roman" w:cs="Times New Roman"/>
          <w:sz w:val="24"/>
          <w:szCs w:val="24"/>
        </w:rPr>
        <w:t xml:space="preserve"> [2</w:t>
      </w:r>
      <w:r w:rsidR="00C05F2A" w:rsidRPr="00655509">
        <w:rPr>
          <w:rFonts w:ascii="Times New Roman" w:hAnsi="Times New Roman" w:cs="Times New Roman"/>
          <w:sz w:val="24"/>
          <w:szCs w:val="24"/>
        </w:rPr>
        <w:t>,3</w:t>
      </w:r>
      <w:r w:rsidRPr="00655509">
        <w:rPr>
          <w:rFonts w:ascii="Times New Roman" w:hAnsi="Times New Roman" w:cs="Times New Roman"/>
          <w:sz w:val="24"/>
          <w:szCs w:val="24"/>
        </w:rPr>
        <w:t>]. Furthermore,</w:t>
      </w:r>
      <w:r w:rsidR="0078554B" w:rsidRPr="00655509">
        <w:rPr>
          <w:rFonts w:ascii="Times New Roman" w:hAnsi="Times New Roman" w:cs="Times New Roman"/>
          <w:sz w:val="24"/>
          <w:szCs w:val="24"/>
        </w:rPr>
        <w:t xml:space="preserve"> because densitomet</w:t>
      </w:r>
      <w:r w:rsidR="00CC675D" w:rsidRPr="00655509">
        <w:rPr>
          <w:rFonts w:ascii="Times New Roman" w:hAnsi="Times New Roman" w:cs="Times New Roman"/>
          <w:sz w:val="24"/>
          <w:szCs w:val="24"/>
        </w:rPr>
        <w:t>r</w:t>
      </w:r>
      <w:r w:rsidR="0078554B" w:rsidRPr="00655509">
        <w:rPr>
          <w:rFonts w:ascii="Times New Roman" w:hAnsi="Times New Roman" w:cs="Times New Roman"/>
          <w:sz w:val="24"/>
          <w:szCs w:val="24"/>
        </w:rPr>
        <w:t>ic osteoporosis identifies a small proportion of the population</w:t>
      </w:r>
      <w:r w:rsidR="00D457CE" w:rsidRPr="00655509">
        <w:rPr>
          <w:rFonts w:ascii="Times New Roman" w:hAnsi="Times New Roman" w:cs="Times New Roman"/>
          <w:sz w:val="24"/>
          <w:szCs w:val="24"/>
        </w:rPr>
        <w:t xml:space="preserve">, and low BMD forms just one of several risk factors for fracture (for example falls), </w:t>
      </w:r>
      <w:r w:rsidR="0078554B" w:rsidRPr="00655509">
        <w:rPr>
          <w:rFonts w:ascii="Times New Roman" w:hAnsi="Times New Roman" w:cs="Times New Roman"/>
          <w:sz w:val="24"/>
          <w:szCs w:val="24"/>
        </w:rPr>
        <w:t>the majority of</w:t>
      </w:r>
      <w:r w:rsidRPr="00655509">
        <w:rPr>
          <w:rFonts w:ascii="Times New Roman" w:hAnsi="Times New Roman" w:cs="Times New Roman"/>
          <w:sz w:val="24"/>
          <w:szCs w:val="24"/>
        </w:rPr>
        <w:t xml:space="preserve"> fragility fractures actually occur not in patients with osteoporosis but in those with osteopenia [</w:t>
      </w:r>
      <w:r w:rsidR="00E60848" w:rsidRPr="00655509">
        <w:rPr>
          <w:rFonts w:ascii="Times New Roman" w:hAnsi="Times New Roman" w:cs="Times New Roman"/>
          <w:sz w:val="24"/>
          <w:szCs w:val="24"/>
        </w:rPr>
        <w:t>4</w:t>
      </w:r>
      <w:r w:rsidRPr="00655509">
        <w:rPr>
          <w:rFonts w:ascii="Times New Roman" w:hAnsi="Times New Roman" w:cs="Times New Roman"/>
          <w:sz w:val="24"/>
          <w:szCs w:val="24"/>
        </w:rPr>
        <w:t xml:space="preserve">]. There is </w:t>
      </w:r>
      <w:r w:rsidR="008E0C83" w:rsidRPr="00655509">
        <w:rPr>
          <w:rFonts w:ascii="Times New Roman" w:hAnsi="Times New Roman" w:cs="Times New Roman"/>
          <w:sz w:val="24"/>
          <w:szCs w:val="24"/>
        </w:rPr>
        <w:t>strong</w:t>
      </w:r>
      <w:r w:rsidRPr="00655509">
        <w:rPr>
          <w:rFonts w:ascii="Times New Roman" w:hAnsi="Times New Roman" w:cs="Times New Roman"/>
          <w:sz w:val="24"/>
          <w:szCs w:val="24"/>
        </w:rPr>
        <w:t xml:space="preserve"> evidence that a history of a fragility fracture confers an increased r</w:t>
      </w:r>
      <w:r w:rsidR="004D7520" w:rsidRPr="00655509">
        <w:rPr>
          <w:rFonts w:ascii="Times New Roman" w:hAnsi="Times New Roman" w:cs="Times New Roman"/>
          <w:sz w:val="24"/>
          <w:szCs w:val="24"/>
        </w:rPr>
        <w:t>isk of a subsequent fracture [</w:t>
      </w:r>
      <w:r w:rsidR="00E60848" w:rsidRPr="00655509">
        <w:rPr>
          <w:rFonts w:ascii="Times New Roman" w:hAnsi="Times New Roman" w:cs="Times New Roman"/>
          <w:sz w:val="24"/>
          <w:szCs w:val="24"/>
        </w:rPr>
        <w:t>5</w:t>
      </w:r>
      <w:r w:rsidR="004D7520" w:rsidRPr="00655509">
        <w:rPr>
          <w:rFonts w:ascii="Times New Roman" w:hAnsi="Times New Roman" w:cs="Times New Roman"/>
          <w:sz w:val="24"/>
          <w:szCs w:val="24"/>
        </w:rPr>
        <w:t>-</w:t>
      </w:r>
      <w:r w:rsidR="00E60848" w:rsidRPr="00655509">
        <w:rPr>
          <w:rFonts w:ascii="Times New Roman" w:hAnsi="Times New Roman" w:cs="Times New Roman"/>
          <w:sz w:val="24"/>
          <w:szCs w:val="24"/>
        </w:rPr>
        <w:t>9</w:t>
      </w:r>
      <w:r w:rsidRPr="00655509">
        <w:rPr>
          <w:rFonts w:ascii="Times New Roman" w:hAnsi="Times New Roman" w:cs="Times New Roman"/>
          <w:sz w:val="24"/>
          <w:szCs w:val="24"/>
        </w:rPr>
        <w:t>]</w:t>
      </w:r>
      <w:r w:rsidR="0078207D" w:rsidRPr="00655509">
        <w:rPr>
          <w:rFonts w:ascii="Times New Roman" w:hAnsi="Times New Roman" w:cs="Times New Roman"/>
          <w:sz w:val="24"/>
          <w:szCs w:val="24"/>
        </w:rPr>
        <w:t>, and indeed the UK SCOOP trial demonstrated that screening using 10-year fracture probability calculated with the FRAX algorithm (which includes prior fracture as an input variable) leads to a reduction in the risk of hip fracture and is cost-effective [3].</w:t>
      </w:r>
      <w:r w:rsidRPr="00655509">
        <w:rPr>
          <w:rFonts w:ascii="Times New Roman" w:hAnsi="Times New Roman" w:cs="Times New Roman"/>
          <w:sz w:val="24"/>
          <w:szCs w:val="24"/>
        </w:rPr>
        <w:t xml:space="preserve"> This increased risk is not limited to prior hip and spine fractures [</w:t>
      </w:r>
      <w:r w:rsidR="00E60848" w:rsidRPr="00655509">
        <w:rPr>
          <w:rFonts w:ascii="Times New Roman" w:hAnsi="Times New Roman" w:cs="Times New Roman"/>
          <w:sz w:val="24"/>
          <w:szCs w:val="24"/>
        </w:rPr>
        <w:t>5</w:t>
      </w:r>
      <w:r w:rsidRPr="00655509">
        <w:rPr>
          <w:rFonts w:ascii="Times New Roman" w:hAnsi="Times New Roman" w:cs="Times New Roman"/>
          <w:sz w:val="24"/>
          <w:szCs w:val="24"/>
        </w:rPr>
        <w:t>] and is to some extend independent of BMD [</w:t>
      </w:r>
      <w:r w:rsidR="00E60848" w:rsidRPr="00655509">
        <w:rPr>
          <w:rFonts w:ascii="Times New Roman" w:hAnsi="Times New Roman" w:cs="Times New Roman"/>
          <w:sz w:val="24"/>
          <w:szCs w:val="24"/>
        </w:rPr>
        <w:t>5</w:t>
      </w:r>
      <w:r w:rsidRPr="00655509">
        <w:rPr>
          <w:rFonts w:ascii="Times New Roman" w:hAnsi="Times New Roman" w:cs="Times New Roman"/>
          <w:sz w:val="24"/>
          <w:szCs w:val="24"/>
        </w:rPr>
        <w:t>]. Despite the development of pharmacological interventions with proven efficacy</w:t>
      </w:r>
      <w:r w:rsidR="00A01C20" w:rsidRPr="00655509">
        <w:rPr>
          <w:rFonts w:ascii="Times New Roman" w:hAnsi="Times New Roman" w:cs="Times New Roman"/>
          <w:sz w:val="24"/>
          <w:szCs w:val="24"/>
        </w:rPr>
        <w:t xml:space="preserve"> </w:t>
      </w:r>
      <w:r w:rsidRPr="00655509">
        <w:rPr>
          <w:rFonts w:ascii="Times New Roman" w:hAnsi="Times New Roman" w:cs="Times New Roman"/>
          <w:sz w:val="24"/>
          <w:szCs w:val="24"/>
        </w:rPr>
        <w:t>[1] and the publication of practice guidelines [</w:t>
      </w:r>
      <w:r w:rsidR="00B14DF4" w:rsidRPr="00655509">
        <w:rPr>
          <w:rFonts w:ascii="Times New Roman" w:hAnsi="Times New Roman" w:cs="Times New Roman"/>
          <w:sz w:val="24"/>
          <w:szCs w:val="24"/>
        </w:rPr>
        <w:t>10,11</w:t>
      </w:r>
      <w:r w:rsidRPr="00655509">
        <w:rPr>
          <w:rFonts w:ascii="Times New Roman" w:hAnsi="Times New Roman" w:cs="Times New Roman"/>
          <w:sz w:val="24"/>
          <w:szCs w:val="24"/>
        </w:rPr>
        <w:t xml:space="preserve">] only a minority of patients with </w:t>
      </w:r>
      <w:r w:rsidRPr="002C5129">
        <w:rPr>
          <w:rFonts w:ascii="Times New Roman" w:hAnsi="Times New Roman" w:cs="Times New Roman"/>
          <w:sz w:val="24"/>
          <w:szCs w:val="24"/>
        </w:rPr>
        <w:t>an incident fragility fracture actually receive appropriate treatment [1</w:t>
      </w:r>
      <w:r w:rsidR="005506BB" w:rsidRPr="002C5129">
        <w:rPr>
          <w:rFonts w:ascii="Times New Roman" w:hAnsi="Times New Roman" w:cs="Times New Roman"/>
          <w:sz w:val="24"/>
          <w:szCs w:val="24"/>
        </w:rPr>
        <w:t>2</w:t>
      </w:r>
      <w:r w:rsidRPr="002C5129">
        <w:rPr>
          <w:rFonts w:ascii="Times New Roman" w:hAnsi="Times New Roman" w:cs="Times New Roman"/>
          <w:sz w:val="24"/>
          <w:szCs w:val="24"/>
        </w:rPr>
        <w:t>]. This treatment-gap may, at least partly, be explained by the unawareness of the importance of a prior fracture [1</w:t>
      </w:r>
      <w:r w:rsidR="00BF6991" w:rsidRPr="002C5129">
        <w:rPr>
          <w:rFonts w:ascii="Times New Roman" w:hAnsi="Times New Roman" w:cs="Times New Roman"/>
          <w:sz w:val="24"/>
          <w:szCs w:val="24"/>
        </w:rPr>
        <w:t>3</w:t>
      </w:r>
      <w:r w:rsidRPr="002C5129">
        <w:rPr>
          <w:rFonts w:ascii="Times New Roman" w:hAnsi="Times New Roman" w:cs="Times New Roman"/>
          <w:sz w:val="24"/>
          <w:szCs w:val="24"/>
        </w:rPr>
        <w:t>,1</w:t>
      </w:r>
      <w:r w:rsidR="00BF6991" w:rsidRPr="002C5129">
        <w:rPr>
          <w:rFonts w:ascii="Times New Roman" w:hAnsi="Times New Roman" w:cs="Times New Roman"/>
          <w:sz w:val="24"/>
          <w:szCs w:val="24"/>
        </w:rPr>
        <w:t>4</w:t>
      </w:r>
      <w:r w:rsidRPr="002C5129">
        <w:rPr>
          <w:rFonts w:ascii="Times New Roman" w:hAnsi="Times New Roman" w:cs="Times New Roman"/>
          <w:sz w:val="24"/>
          <w:szCs w:val="24"/>
        </w:rPr>
        <w:t xml:space="preserve">]. </w:t>
      </w:r>
      <w:bookmarkStart w:id="3" w:name="_Hlk512806186"/>
      <w:r w:rsidR="00D457CE" w:rsidRPr="00655509">
        <w:rPr>
          <w:rFonts w:ascii="Times New Roman" w:hAnsi="Times New Roman" w:cs="Times New Roman"/>
          <w:sz w:val="24"/>
          <w:szCs w:val="24"/>
        </w:rPr>
        <w:t xml:space="preserve">It is important to determine </w:t>
      </w:r>
      <w:r w:rsidR="007F1F29" w:rsidRPr="00655509">
        <w:rPr>
          <w:rFonts w:ascii="Times New Roman" w:hAnsi="Times New Roman" w:cs="Times New Roman"/>
          <w:sz w:val="24"/>
          <w:szCs w:val="24"/>
        </w:rPr>
        <w:t xml:space="preserve">the magnitude of subsequent fracture risk is important so that clinicians and patients might be better informed about the risk of a </w:t>
      </w:r>
      <w:r w:rsidR="00D457CE" w:rsidRPr="002C5129">
        <w:rPr>
          <w:rFonts w:ascii="Times New Roman" w:hAnsi="Times New Roman" w:cs="Times New Roman"/>
          <w:sz w:val="24"/>
          <w:szCs w:val="24"/>
        </w:rPr>
        <w:t>sustaining a further</w:t>
      </w:r>
      <w:r w:rsidR="007F1F29" w:rsidRPr="00655509">
        <w:rPr>
          <w:rFonts w:ascii="Times New Roman" w:hAnsi="Times New Roman" w:cs="Times New Roman"/>
          <w:sz w:val="24"/>
          <w:szCs w:val="24"/>
        </w:rPr>
        <w:t xml:space="preserve"> fracture and the potential benefit of treatments </w:t>
      </w:r>
      <w:r w:rsidR="00D457CE" w:rsidRPr="002C5129">
        <w:rPr>
          <w:rFonts w:ascii="Times New Roman" w:hAnsi="Times New Roman" w:cs="Times New Roman"/>
          <w:sz w:val="24"/>
          <w:szCs w:val="24"/>
        </w:rPr>
        <w:t>which</w:t>
      </w:r>
      <w:r w:rsidR="007F1F29" w:rsidRPr="00655509">
        <w:rPr>
          <w:rFonts w:ascii="Times New Roman" w:hAnsi="Times New Roman" w:cs="Times New Roman"/>
          <w:sz w:val="24"/>
          <w:szCs w:val="24"/>
        </w:rPr>
        <w:t xml:space="preserve"> might ameliorate </w:t>
      </w:r>
      <w:r w:rsidR="00D457CE" w:rsidRPr="002C5129">
        <w:rPr>
          <w:rFonts w:ascii="Times New Roman" w:hAnsi="Times New Roman" w:cs="Times New Roman"/>
          <w:sz w:val="24"/>
          <w:szCs w:val="24"/>
        </w:rPr>
        <w:t>this</w:t>
      </w:r>
      <w:r w:rsidR="007F1F29" w:rsidRPr="00655509">
        <w:rPr>
          <w:rFonts w:ascii="Times New Roman" w:hAnsi="Times New Roman" w:cs="Times New Roman"/>
          <w:sz w:val="24"/>
          <w:szCs w:val="24"/>
        </w:rPr>
        <w:t xml:space="preserve"> risk.</w:t>
      </w:r>
    </w:p>
    <w:bookmarkEnd w:id="3"/>
    <w:p w14:paraId="486554AF" w14:textId="2816A2B0" w:rsidR="00EC5018" w:rsidRPr="00655509" w:rsidRDefault="00EC5018">
      <w:pPr>
        <w:spacing w:after="120" w:line="480" w:lineRule="auto"/>
        <w:jc w:val="both"/>
        <w:rPr>
          <w:rFonts w:ascii="Times New Roman" w:hAnsi="Times New Roman" w:cs="Times New Roman"/>
          <w:sz w:val="24"/>
          <w:szCs w:val="24"/>
        </w:rPr>
      </w:pPr>
      <w:r w:rsidRPr="002C5129">
        <w:rPr>
          <w:rFonts w:ascii="Times New Roman" w:hAnsi="Times New Roman" w:cs="Times New Roman"/>
          <w:sz w:val="24"/>
          <w:szCs w:val="24"/>
        </w:rPr>
        <w:t>Although several studies [1</w:t>
      </w:r>
      <w:r w:rsidR="00EE5202" w:rsidRPr="002C5129">
        <w:rPr>
          <w:rFonts w:ascii="Times New Roman" w:hAnsi="Times New Roman" w:cs="Times New Roman"/>
          <w:sz w:val="24"/>
          <w:szCs w:val="24"/>
        </w:rPr>
        <w:t>5</w:t>
      </w:r>
      <w:r w:rsidRPr="002C5129">
        <w:rPr>
          <w:rFonts w:ascii="Times New Roman" w:hAnsi="Times New Roman" w:cs="Times New Roman"/>
          <w:sz w:val="24"/>
          <w:szCs w:val="24"/>
        </w:rPr>
        <w:t>-1</w:t>
      </w:r>
      <w:r w:rsidR="00EE5202" w:rsidRPr="002C5129">
        <w:rPr>
          <w:rFonts w:ascii="Times New Roman" w:hAnsi="Times New Roman" w:cs="Times New Roman"/>
          <w:sz w:val="24"/>
          <w:szCs w:val="24"/>
        </w:rPr>
        <w:t>9</w:t>
      </w:r>
      <w:r w:rsidRPr="002C5129">
        <w:rPr>
          <w:rFonts w:ascii="Times New Roman" w:hAnsi="Times New Roman" w:cs="Times New Roman"/>
          <w:sz w:val="24"/>
          <w:szCs w:val="24"/>
        </w:rPr>
        <w:t>] and meta-analyses [</w:t>
      </w:r>
      <w:r w:rsidR="00EE5202" w:rsidRPr="002C5129">
        <w:rPr>
          <w:rFonts w:ascii="Times New Roman" w:hAnsi="Times New Roman" w:cs="Times New Roman"/>
          <w:sz w:val="24"/>
          <w:szCs w:val="24"/>
        </w:rPr>
        <w:t>5</w:t>
      </w:r>
      <w:r w:rsidRPr="002C5129">
        <w:rPr>
          <w:rFonts w:ascii="Times New Roman" w:hAnsi="Times New Roman" w:cs="Times New Roman"/>
          <w:sz w:val="24"/>
          <w:szCs w:val="24"/>
        </w:rPr>
        <w:t>,</w:t>
      </w:r>
      <w:r w:rsidR="00EE5202" w:rsidRPr="00EE3900">
        <w:rPr>
          <w:rFonts w:ascii="Times New Roman" w:hAnsi="Times New Roman" w:cs="Times New Roman"/>
          <w:sz w:val="24"/>
          <w:szCs w:val="24"/>
        </w:rPr>
        <w:t>6</w:t>
      </w:r>
      <w:r w:rsidRPr="00EE3900">
        <w:rPr>
          <w:rFonts w:ascii="Times New Roman" w:hAnsi="Times New Roman" w:cs="Times New Roman"/>
          <w:sz w:val="24"/>
          <w:szCs w:val="24"/>
        </w:rPr>
        <w:t>] on the risk of subsequent fractures have been published, recent information on the risk of sub</w:t>
      </w:r>
      <w:r w:rsidR="0012100D" w:rsidRPr="00EE3900">
        <w:rPr>
          <w:rFonts w:ascii="Times New Roman" w:hAnsi="Times New Roman" w:cs="Times New Roman"/>
          <w:sz w:val="24"/>
          <w:szCs w:val="24"/>
        </w:rPr>
        <w:t>sequent fractures after a broad</w:t>
      </w:r>
      <w:r w:rsidRPr="00EE3900">
        <w:rPr>
          <w:rFonts w:ascii="Times New Roman" w:hAnsi="Times New Roman" w:cs="Times New Roman"/>
          <w:sz w:val="24"/>
          <w:szCs w:val="24"/>
        </w:rPr>
        <w:t xml:space="preserve"> range of index fracture</w:t>
      </w:r>
      <w:r w:rsidR="00A01C20" w:rsidRPr="005F5B1E">
        <w:rPr>
          <w:rFonts w:ascii="Times New Roman" w:hAnsi="Times New Roman" w:cs="Times New Roman"/>
          <w:sz w:val="24"/>
          <w:szCs w:val="24"/>
        </w:rPr>
        <w:t xml:space="preserve"> types</w:t>
      </w:r>
      <w:r w:rsidRPr="00655509">
        <w:rPr>
          <w:rFonts w:ascii="Times New Roman" w:hAnsi="Times New Roman" w:cs="Times New Roman"/>
          <w:sz w:val="24"/>
          <w:szCs w:val="24"/>
        </w:rPr>
        <w:t xml:space="preserve"> specific for the UK population are scarce [</w:t>
      </w:r>
      <w:r w:rsidR="00D425A0" w:rsidRPr="00655509">
        <w:rPr>
          <w:rFonts w:ascii="Times New Roman" w:hAnsi="Times New Roman" w:cs="Times New Roman"/>
          <w:sz w:val="24"/>
          <w:szCs w:val="24"/>
        </w:rPr>
        <w:t>20</w:t>
      </w:r>
      <w:r w:rsidRPr="00655509">
        <w:rPr>
          <w:rFonts w:ascii="Times New Roman" w:hAnsi="Times New Roman" w:cs="Times New Roman"/>
          <w:sz w:val="24"/>
          <w:szCs w:val="24"/>
        </w:rPr>
        <w:t>]. We therefore studied the rates of subsequent fractures at one of six sites (</w:t>
      </w:r>
      <w:r w:rsidR="00724A9D" w:rsidRPr="00655509">
        <w:rPr>
          <w:rFonts w:ascii="Times New Roman" w:hAnsi="Times New Roman" w:cs="Times New Roman"/>
          <w:sz w:val="24"/>
          <w:szCs w:val="24"/>
        </w:rPr>
        <w:t>femur/</w:t>
      </w:r>
      <w:r w:rsidRPr="00655509">
        <w:rPr>
          <w:rFonts w:ascii="Times New Roman" w:hAnsi="Times New Roman" w:cs="Times New Roman"/>
          <w:sz w:val="24"/>
          <w:szCs w:val="24"/>
        </w:rPr>
        <w:t xml:space="preserve">hip, humerus, radius/ulna, vertebra, rib or pelvis) after index fractures at one of the same sites </w:t>
      </w:r>
      <w:r w:rsidR="00A01C20" w:rsidRPr="00655509">
        <w:rPr>
          <w:rFonts w:ascii="Times New Roman" w:hAnsi="Times New Roman" w:cs="Times New Roman"/>
          <w:sz w:val="24"/>
          <w:szCs w:val="24"/>
        </w:rPr>
        <w:t xml:space="preserve">from </w:t>
      </w:r>
      <w:r w:rsidRPr="00655509">
        <w:rPr>
          <w:rFonts w:ascii="Times New Roman" w:hAnsi="Times New Roman" w:cs="Times New Roman"/>
          <w:sz w:val="24"/>
          <w:szCs w:val="24"/>
        </w:rPr>
        <w:t>1990 to 2012 in</w:t>
      </w:r>
      <w:r w:rsidR="00A01C20" w:rsidRPr="00655509">
        <w:rPr>
          <w:rFonts w:ascii="Times New Roman" w:hAnsi="Times New Roman" w:cs="Times New Roman"/>
          <w:sz w:val="24"/>
          <w:szCs w:val="24"/>
        </w:rPr>
        <w:t xml:space="preserve"> UK</w:t>
      </w:r>
      <w:r w:rsidRPr="00655509">
        <w:rPr>
          <w:rFonts w:ascii="Times New Roman" w:hAnsi="Times New Roman" w:cs="Times New Roman"/>
          <w:sz w:val="24"/>
          <w:szCs w:val="24"/>
        </w:rPr>
        <w:t xml:space="preserve"> men and women aged 50 years or over and stratified by age.         </w:t>
      </w:r>
    </w:p>
    <w:p w14:paraId="726E9CF5" w14:textId="77777777" w:rsidR="00EC5018" w:rsidRPr="00655509" w:rsidRDefault="00EC5018">
      <w:pPr>
        <w:spacing w:after="120" w:line="480" w:lineRule="auto"/>
        <w:jc w:val="both"/>
        <w:rPr>
          <w:rFonts w:ascii="Times New Roman" w:hAnsi="Times New Roman" w:cs="Times New Roman"/>
          <w:b/>
          <w:sz w:val="24"/>
          <w:szCs w:val="24"/>
        </w:rPr>
      </w:pPr>
    </w:p>
    <w:p w14:paraId="1888459D" w14:textId="77777777" w:rsidR="00EC5018" w:rsidRPr="00655509" w:rsidRDefault="00EC5018">
      <w:pPr>
        <w:spacing w:after="120" w:line="480" w:lineRule="auto"/>
        <w:jc w:val="both"/>
        <w:rPr>
          <w:rFonts w:ascii="Times New Roman" w:hAnsi="Times New Roman" w:cs="Times New Roman"/>
          <w:sz w:val="24"/>
          <w:szCs w:val="24"/>
        </w:rPr>
      </w:pPr>
      <w:r w:rsidRPr="00655509">
        <w:rPr>
          <w:rFonts w:ascii="Times New Roman" w:hAnsi="Times New Roman" w:cs="Times New Roman"/>
          <w:b/>
          <w:sz w:val="24"/>
          <w:szCs w:val="24"/>
        </w:rPr>
        <w:t>Methods</w:t>
      </w:r>
      <w:r w:rsidRPr="00655509">
        <w:rPr>
          <w:rFonts w:ascii="Times New Roman" w:hAnsi="Times New Roman" w:cs="Times New Roman"/>
          <w:sz w:val="24"/>
          <w:szCs w:val="24"/>
        </w:rPr>
        <w:t xml:space="preserve"> </w:t>
      </w:r>
    </w:p>
    <w:p w14:paraId="3EE34D03" w14:textId="77777777" w:rsidR="00EC5018" w:rsidRPr="00655509" w:rsidRDefault="00EC5018">
      <w:pPr>
        <w:spacing w:after="120" w:line="480" w:lineRule="auto"/>
        <w:jc w:val="both"/>
        <w:rPr>
          <w:rFonts w:ascii="Times New Roman" w:hAnsi="Times New Roman" w:cs="Times New Roman"/>
          <w:i/>
          <w:sz w:val="24"/>
          <w:szCs w:val="24"/>
        </w:rPr>
      </w:pPr>
      <w:r w:rsidRPr="00655509">
        <w:rPr>
          <w:rFonts w:ascii="Times New Roman" w:hAnsi="Times New Roman" w:cs="Times New Roman"/>
          <w:i/>
          <w:sz w:val="24"/>
          <w:szCs w:val="24"/>
        </w:rPr>
        <w:t>Data sources</w:t>
      </w:r>
    </w:p>
    <w:p w14:paraId="310E2FAD" w14:textId="1921F291" w:rsidR="00EC5018" w:rsidRPr="00655509" w:rsidRDefault="00EC5018">
      <w:pPr>
        <w:spacing w:after="120" w:line="480" w:lineRule="auto"/>
        <w:jc w:val="both"/>
        <w:rPr>
          <w:rFonts w:ascii="Times New Roman" w:hAnsi="Times New Roman" w:cs="Times New Roman"/>
          <w:sz w:val="24"/>
          <w:szCs w:val="24"/>
        </w:rPr>
      </w:pPr>
      <w:r w:rsidRPr="00655509">
        <w:rPr>
          <w:rFonts w:ascii="Times New Roman" w:hAnsi="Times New Roman" w:cs="Times New Roman"/>
          <w:sz w:val="24"/>
          <w:szCs w:val="24"/>
        </w:rPr>
        <w:t>We conducted a retrospective observational study using data from the Clinical Practice Research Data link (CPRD), formerly known as the General Practice Research Database [</w:t>
      </w:r>
      <w:r w:rsidR="00E60B06" w:rsidRPr="00655509">
        <w:rPr>
          <w:rFonts w:ascii="Times New Roman" w:hAnsi="Times New Roman" w:cs="Times New Roman"/>
          <w:sz w:val="24"/>
          <w:szCs w:val="24"/>
        </w:rPr>
        <w:t>21</w:t>
      </w:r>
      <w:r w:rsidRPr="00655509">
        <w:rPr>
          <w:rFonts w:ascii="Times New Roman" w:hAnsi="Times New Roman" w:cs="Times New Roman"/>
          <w:sz w:val="24"/>
          <w:szCs w:val="24"/>
        </w:rPr>
        <w:t>,</w:t>
      </w:r>
      <w:r w:rsidR="00FF47C4" w:rsidRPr="00655509">
        <w:rPr>
          <w:rFonts w:ascii="Times New Roman" w:hAnsi="Times New Roman" w:cs="Times New Roman"/>
          <w:sz w:val="24"/>
          <w:szCs w:val="24"/>
        </w:rPr>
        <w:t xml:space="preserve"> </w:t>
      </w:r>
      <w:r w:rsidR="00E60B06" w:rsidRPr="00655509">
        <w:rPr>
          <w:rFonts w:ascii="Times New Roman" w:hAnsi="Times New Roman" w:cs="Times New Roman"/>
          <w:sz w:val="24"/>
          <w:szCs w:val="24"/>
        </w:rPr>
        <w:t>22</w:t>
      </w:r>
      <w:r w:rsidRPr="00655509">
        <w:rPr>
          <w:rFonts w:ascii="Times New Roman" w:hAnsi="Times New Roman" w:cs="Times New Roman"/>
          <w:sz w:val="24"/>
          <w:szCs w:val="24"/>
        </w:rPr>
        <w:t>].</w:t>
      </w:r>
      <w:r w:rsidR="00DC013C" w:rsidRPr="00655509">
        <w:rPr>
          <w:rFonts w:ascii="Times New Roman" w:hAnsi="Times New Roman" w:cs="Times New Roman"/>
          <w:sz w:val="24"/>
          <w:szCs w:val="24"/>
        </w:rPr>
        <w:t xml:space="preserve"> </w:t>
      </w:r>
      <w:r w:rsidRPr="00655509">
        <w:rPr>
          <w:rFonts w:ascii="Times New Roman" w:hAnsi="Times New Roman" w:cs="Times New Roman"/>
          <w:sz w:val="24"/>
          <w:szCs w:val="24"/>
        </w:rPr>
        <w:t xml:space="preserve">In the universal health care system in the UK (the National Health </w:t>
      </w:r>
      <w:r w:rsidR="003A7A2C" w:rsidRPr="00655509">
        <w:rPr>
          <w:rFonts w:ascii="Times New Roman" w:hAnsi="Times New Roman" w:cs="Times New Roman"/>
          <w:sz w:val="24"/>
          <w:szCs w:val="24"/>
        </w:rPr>
        <w:t>Service</w:t>
      </w:r>
      <w:r w:rsidRPr="00655509">
        <w:rPr>
          <w:rFonts w:ascii="Times New Roman" w:hAnsi="Times New Roman" w:cs="Times New Roman"/>
          <w:sz w:val="24"/>
          <w:szCs w:val="24"/>
        </w:rPr>
        <w:t>, NHS) general practitioners (GPs) play a pivotal role, providing primary health care for 98% of the population and referring patients for specialist consultations or hospital admissions. The medical records of the GPs contain prospective information on demographics, prescriptions and diagnoses made by GPs and diagnoses from specialist consultations, outpatient visits and hospitalizations [</w:t>
      </w:r>
      <w:r w:rsidR="00797570" w:rsidRPr="00655509">
        <w:rPr>
          <w:rFonts w:ascii="Times New Roman" w:hAnsi="Times New Roman" w:cs="Times New Roman"/>
          <w:sz w:val="24"/>
          <w:szCs w:val="24"/>
        </w:rPr>
        <w:t>23</w:t>
      </w:r>
      <w:r w:rsidRPr="00655509">
        <w:rPr>
          <w:rFonts w:ascii="Times New Roman" w:hAnsi="Times New Roman" w:cs="Times New Roman"/>
          <w:sz w:val="24"/>
          <w:szCs w:val="24"/>
        </w:rPr>
        <w:t>,</w:t>
      </w:r>
      <w:r w:rsidR="00B24136" w:rsidRPr="00655509">
        <w:rPr>
          <w:rFonts w:ascii="Times New Roman" w:hAnsi="Times New Roman" w:cs="Times New Roman"/>
          <w:sz w:val="24"/>
          <w:szCs w:val="24"/>
        </w:rPr>
        <w:t xml:space="preserve"> </w:t>
      </w:r>
      <w:r w:rsidR="00797570" w:rsidRPr="00655509">
        <w:rPr>
          <w:rFonts w:ascii="Times New Roman" w:hAnsi="Times New Roman" w:cs="Times New Roman"/>
          <w:sz w:val="24"/>
          <w:szCs w:val="24"/>
        </w:rPr>
        <w:t>24</w:t>
      </w:r>
      <w:r w:rsidRPr="00655509">
        <w:rPr>
          <w:rFonts w:ascii="Times New Roman" w:hAnsi="Times New Roman" w:cs="Times New Roman"/>
          <w:sz w:val="24"/>
          <w:szCs w:val="24"/>
        </w:rPr>
        <w:t xml:space="preserve">]. </w:t>
      </w:r>
      <w:r w:rsidRPr="00655509">
        <w:rPr>
          <w:rFonts w:ascii="Times New Roman" w:hAnsi="Times New Roman" w:cs="Times New Roman"/>
          <w:sz w:val="24"/>
          <w:szCs w:val="24"/>
          <w:lang w:val="en-US"/>
        </w:rPr>
        <w:t>The CPRD covers over 11.3 million individuals from 674 practices in the UK. Around 4.4 million individuals are active (alive, currently registered) and meet quality criteria, accounting for approximately 6.9 % of the UK population [</w:t>
      </w:r>
      <w:r w:rsidR="00697DCD" w:rsidRPr="00655509">
        <w:rPr>
          <w:rFonts w:ascii="Times New Roman" w:hAnsi="Times New Roman" w:cs="Times New Roman"/>
          <w:sz w:val="24"/>
          <w:szCs w:val="24"/>
          <w:lang w:val="en-US"/>
        </w:rPr>
        <w:t>25</w:t>
      </w:r>
      <w:r w:rsidRPr="00655509">
        <w:rPr>
          <w:rFonts w:ascii="Times New Roman" w:hAnsi="Times New Roman" w:cs="Times New Roman"/>
          <w:sz w:val="24"/>
          <w:szCs w:val="24"/>
          <w:lang w:val="en-US"/>
        </w:rPr>
        <w:t>]</w:t>
      </w:r>
      <w:r w:rsidR="003A7A2C" w:rsidRPr="00655509">
        <w:rPr>
          <w:rFonts w:ascii="Times New Roman" w:hAnsi="Times New Roman" w:cs="Times New Roman"/>
          <w:sz w:val="24"/>
          <w:szCs w:val="24"/>
          <w:lang w:val="en-US"/>
        </w:rPr>
        <w:t>.</w:t>
      </w:r>
      <w:r w:rsidRPr="00655509">
        <w:rPr>
          <w:rFonts w:ascii="Times New Roman" w:hAnsi="Times New Roman" w:cs="Times New Roman"/>
          <w:sz w:val="24"/>
          <w:szCs w:val="24"/>
          <w:lang w:val="en-US"/>
        </w:rPr>
        <w:t xml:space="preserve"> </w:t>
      </w:r>
      <w:r w:rsidRPr="00655509">
        <w:rPr>
          <w:rFonts w:ascii="Times New Roman" w:hAnsi="Times New Roman" w:cs="Times New Roman"/>
          <w:sz w:val="24"/>
          <w:szCs w:val="24"/>
        </w:rPr>
        <w:t xml:space="preserve"> </w:t>
      </w:r>
      <w:r w:rsidRPr="00655509">
        <w:rPr>
          <w:rFonts w:ascii="Times New Roman" w:eastAsia="Times New Roman" w:hAnsi="Times New Roman" w:cs="Times New Roman"/>
          <w:color w:val="000000"/>
          <w:sz w:val="24"/>
          <w:szCs w:val="24"/>
          <w:lang w:val="en-US" w:eastAsia="nl-NL" w:bidi="nl-NL"/>
        </w:rPr>
        <w:t xml:space="preserve">The cohort </w:t>
      </w:r>
      <w:r w:rsidR="00BE5961" w:rsidRPr="00655509">
        <w:rPr>
          <w:rFonts w:ascii="Times New Roman" w:eastAsia="Times New Roman" w:hAnsi="Times New Roman" w:cs="Times New Roman"/>
          <w:color w:val="000000"/>
          <w:sz w:val="24"/>
          <w:szCs w:val="24"/>
          <w:lang w:val="en-US" w:eastAsia="nl-NL" w:bidi="nl-NL"/>
        </w:rPr>
        <w:t xml:space="preserve">as a whole </w:t>
      </w:r>
      <w:r w:rsidRPr="00655509">
        <w:rPr>
          <w:rFonts w:ascii="Times New Roman" w:eastAsia="Times New Roman" w:hAnsi="Times New Roman" w:cs="Times New Roman"/>
          <w:color w:val="000000"/>
          <w:sz w:val="24"/>
          <w:szCs w:val="24"/>
          <w:lang w:val="en-US" w:eastAsia="nl-NL" w:bidi="nl-NL"/>
        </w:rPr>
        <w:t xml:space="preserve">has been shown to be broadly representative of the UK population in terms of age, sex and ethnicity when compared with the UK census in 2011 </w:t>
      </w:r>
      <w:r w:rsidRPr="00655509">
        <w:rPr>
          <w:rFonts w:ascii="Times New Roman" w:hAnsi="Times New Roman" w:cs="Times New Roman"/>
          <w:sz w:val="24"/>
          <w:szCs w:val="24"/>
          <w:lang w:val="en-US"/>
        </w:rPr>
        <w:t>[</w:t>
      </w:r>
      <w:r w:rsidR="00D105A6" w:rsidRPr="00655509">
        <w:rPr>
          <w:rFonts w:ascii="Times New Roman" w:hAnsi="Times New Roman" w:cs="Times New Roman"/>
          <w:sz w:val="24"/>
          <w:szCs w:val="24"/>
          <w:lang w:val="en-US"/>
        </w:rPr>
        <w:t>25</w:t>
      </w:r>
      <w:r w:rsidR="004C50C4" w:rsidRPr="00655509">
        <w:rPr>
          <w:rFonts w:ascii="Times New Roman" w:hAnsi="Times New Roman" w:cs="Times New Roman"/>
          <w:sz w:val="24"/>
          <w:szCs w:val="24"/>
          <w:lang w:val="en-US"/>
        </w:rPr>
        <w:t>,</w:t>
      </w:r>
      <w:r w:rsidR="00D105A6" w:rsidRPr="00655509">
        <w:rPr>
          <w:rFonts w:ascii="Times New Roman" w:hAnsi="Times New Roman" w:cs="Times New Roman"/>
          <w:sz w:val="24"/>
          <w:szCs w:val="24"/>
          <w:lang w:val="en-US"/>
        </w:rPr>
        <w:t>26</w:t>
      </w:r>
      <w:r w:rsidRPr="00655509">
        <w:rPr>
          <w:rFonts w:ascii="Times New Roman" w:hAnsi="Times New Roman" w:cs="Times New Roman"/>
          <w:sz w:val="24"/>
          <w:szCs w:val="24"/>
          <w:lang w:val="en-US"/>
        </w:rPr>
        <w:t>]</w:t>
      </w:r>
      <w:r w:rsidRPr="00655509">
        <w:rPr>
          <w:rFonts w:ascii="Times New Roman" w:eastAsia="Times New Roman" w:hAnsi="Times New Roman" w:cs="Times New Roman"/>
          <w:color w:val="000000"/>
          <w:sz w:val="24"/>
          <w:szCs w:val="24"/>
          <w:lang w:val="en-US" w:eastAsia="nl-NL" w:bidi="nl-NL"/>
        </w:rPr>
        <w:t xml:space="preserve">. </w:t>
      </w:r>
      <w:r w:rsidRPr="00655509">
        <w:rPr>
          <w:rFonts w:ascii="Times New Roman" w:hAnsi="Times New Roman" w:cs="Times New Roman"/>
          <w:sz w:val="24"/>
          <w:szCs w:val="24"/>
          <w:lang w:val="en-US"/>
        </w:rPr>
        <w:t xml:space="preserve">Clinical data for each patient are captured and stored in CPRD using READ codes for disease or causes of morbidity or mortality, which are cross-referenced to the International Classification of Diseases 9th edition (ICD-9) </w:t>
      </w:r>
      <w:r w:rsidR="004C50C4" w:rsidRPr="00655509">
        <w:rPr>
          <w:rFonts w:ascii="Times New Roman" w:hAnsi="Times New Roman" w:cs="Times New Roman"/>
          <w:sz w:val="24"/>
          <w:szCs w:val="24"/>
          <w:lang w:val="en-US"/>
        </w:rPr>
        <w:t>[</w:t>
      </w:r>
      <w:r w:rsidR="001C5FE6" w:rsidRPr="00655509">
        <w:rPr>
          <w:rFonts w:ascii="Times New Roman" w:hAnsi="Times New Roman" w:cs="Times New Roman"/>
          <w:sz w:val="24"/>
          <w:szCs w:val="24"/>
          <w:lang w:val="en-US"/>
        </w:rPr>
        <w:t>27</w:t>
      </w:r>
      <w:r w:rsidRPr="00655509">
        <w:rPr>
          <w:rFonts w:ascii="Times New Roman" w:hAnsi="Times New Roman" w:cs="Times New Roman"/>
          <w:sz w:val="24"/>
          <w:szCs w:val="24"/>
          <w:lang w:val="en-US"/>
        </w:rPr>
        <w:t>]. The database contains information on both hospital admissions and hospital outpatient attendances, for example those at an Emergency Department. Information including date of attendance and diagnosis is passed from the hospital to the general practitioner, coded and recorded in the database. Data quality assessments are performed at the practice level [</w:t>
      </w:r>
      <w:r w:rsidR="001C5FE6" w:rsidRPr="00655509">
        <w:rPr>
          <w:rFonts w:ascii="Times New Roman" w:hAnsi="Times New Roman" w:cs="Times New Roman"/>
          <w:sz w:val="24"/>
          <w:szCs w:val="24"/>
          <w:lang w:val="en-US"/>
        </w:rPr>
        <w:t>24</w:t>
      </w:r>
      <w:r w:rsidRPr="00655509">
        <w:rPr>
          <w:rFonts w:ascii="Times New Roman" w:hAnsi="Times New Roman" w:cs="Times New Roman"/>
          <w:sz w:val="24"/>
          <w:szCs w:val="24"/>
          <w:lang w:val="en-US"/>
        </w:rPr>
        <w:t xml:space="preserve">]. Independent validation studies have reported that the clinical data in the CPRD are in general of high quality, including reliable recording of fracture events </w:t>
      </w:r>
      <w:r w:rsidR="004C50C4" w:rsidRPr="00655509">
        <w:rPr>
          <w:rFonts w:ascii="Times New Roman" w:hAnsi="Times New Roman" w:cs="Times New Roman"/>
          <w:sz w:val="24"/>
          <w:szCs w:val="24"/>
          <w:lang w:val="en-US"/>
        </w:rPr>
        <w:t>[</w:t>
      </w:r>
      <w:r w:rsidR="001C5FE6" w:rsidRPr="00655509">
        <w:rPr>
          <w:rFonts w:ascii="Times New Roman" w:hAnsi="Times New Roman" w:cs="Times New Roman"/>
          <w:sz w:val="24"/>
          <w:szCs w:val="24"/>
          <w:lang w:val="en-US"/>
        </w:rPr>
        <w:t>28</w:t>
      </w:r>
      <w:r w:rsidR="004C50C4" w:rsidRPr="00655509">
        <w:rPr>
          <w:rFonts w:ascii="Times New Roman" w:hAnsi="Times New Roman" w:cs="Times New Roman"/>
          <w:sz w:val="24"/>
          <w:szCs w:val="24"/>
          <w:lang w:val="en-US"/>
        </w:rPr>
        <w:t>-</w:t>
      </w:r>
      <w:r w:rsidR="001C5FE6" w:rsidRPr="00655509">
        <w:rPr>
          <w:rFonts w:ascii="Times New Roman" w:hAnsi="Times New Roman" w:cs="Times New Roman"/>
          <w:sz w:val="24"/>
          <w:szCs w:val="24"/>
          <w:lang w:val="en-US"/>
        </w:rPr>
        <w:t>30</w:t>
      </w:r>
      <w:r w:rsidRPr="00655509">
        <w:rPr>
          <w:rFonts w:ascii="Times New Roman" w:hAnsi="Times New Roman" w:cs="Times New Roman"/>
          <w:sz w:val="24"/>
          <w:szCs w:val="24"/>
          <w:lang w:val="en-US"/>
        </w:rPr>
        <w:t xml:space="preserve">]. </w:t>
      </w:r>
      <w:r w:rsidRPr="00655509">
        <w:rPr>
          <w:rFonts w:ascii="Times New Roman" w:hAnsi="Times New Roman" w:cs="Times New Roman"/>
          <w:sz w:val="24"/>
          <w:szCs w:val="24"/>
        </w:rPr>
        <w:t>This research was conducted in accordance with the principles of the Helsinki declaration and the protocol for this study was approved by CPRD’s Independent Scientific Advisory Committee. All data on patients were stored anonymously in CPRD and, therefore, informed consent was not required for this study.</w:t>
      </w:r>
    </w:p>
    <w:p w14:paraId="468B5137" w14:textId="77777777" w:rsidR="00EC5018" w:rsidRPr="00655509" w:rsidRDefault="00EC5018">
      <w:pPr>
        <w:spacing w:after="120" w:line="480" w:lineRule="auto"/>
        <w:jc w:val="both"/>
        <w:rPr>
          <w:rFonts w:ascii="Times New Roman" w:hAnsi="Times New Roman" w:cs="Times New Roman"/>
          <w:i/>
          <w:sz w:val="24"/>
          <w:szCs w:val="24"/>
        </w:rPr>
      </w:pPr>
      <w:r w:rsidRPr="00655509">
        <w:rPr>
          <w:rFonts w:ascii="Times New Roman" w:hAnsi="Times New Roman" w:cs="Times New Roman"/>
          <w:i/>
          <w:sz w:val="24"/>
          <w:szCs w:val="24"/>
        </w:rPr>
        <w:t>Study population</w:t>
      </w:r>
    </w:p>
    <w:p w14:paraId="35F29B73" w14:textId="4663541B" w:rsidR="009C5A7A" w:rsidRPr="00655509" w:rsidRDefault="00EC5018">
      <w:pPr>
        <w:spacing w:after="120" w:line="480" w:lineRule="auto"/>
        <w:jc w:val="both"/>
        <w:rPr>
          <w:rFonts w:ascii="Times New Roman" w:hAnsi="Times New Roman" w:cs="Times New Roman"/>
          <w:sz w:val="24"/>
          <w:szCs w:val="24"/>
        </w:rPr>
      </w:pPr>
      <w:r w:rsidRPr="00655509">
        <w:rPr>
          <w:rFonts w:ascii="Times New Roman" w:hAnsi="Times New Roman" w:cs="Times New Roman"/>
          <w:sz w:val="24"/>
          <w:szCs w:val="24"/>
        </w:rPr>
        <w:t xml:space="preserve">The study population consisted of women and men </w:t>
      </w:r>
      <w:r w:rsidR="00805E42" w:rsidRPr="00655509">
        <w:rPr>
          <w:rFonts w:ascii="Times New Roman" w:hAnsi="Times New Roman" w:cs="Times New Roman"/>
          <w:sz w:val="24"/>
          <w:szCs w:val="24"/>
        </w:rPr>
        <w:t xml:space="preserve">of 50+ years, </w:t>
      </w:r>
      <w:r w:rsidRPr="00655509">
        <w:rPr>
          <w:rFonts w:ascii="Times New Roman" w:hAnsi="Times New Roman" w:cs="Times New Roman"/>
          <w:sz w:val="24"/>
          <w:szCs w:val="24"/>
        </w:rPr>
        <w:t>who were registered at a participating GP practice</w:t>
      </w:r>
      <w:r w:rsidR="00930749" w:rsidRPr="00655509">
        <w:rPr>
          <w:rFonts w:ascii="Times New Roman" w:hAnsi="Times New Roman" w:cs="Times New Roman"/>
          <w:sz w:val="24"/>
          <w:szCs w:val="24"/>
        </w:rPr>
        <w:t xml:space="preserve"> between 1990 and 2012</w:t>
      </w:r>
      <w:r w:rsidRPr="00655509">
        <w:rPr>
          <w:rFonts w:ascii="Times New Roman" w:hAnsi="Times New Roman" w:cs="Times New Roman"/>
          <w:sz w:val="24"/>
          <w:szCs w:val="24"/>
        </w:rPr>
        <w:t xml:space="preserve">. </w:t>
      </w:r>
      <w:r w:rsidRPr="00655509">
        <w:rPr>
          <w:rFonts w:ascii="Times New Roman" w:hAnsi="Times New Roman" w:cs="Times New Roman"/>
          <w:sz w:val="24"/>
          <w:szCs w:val="24"/>
          <w:lang w:val="en-US"/>
        </w:rPr>
        <w:t>Fracture types were classified according to the ICD-9 classification including the following categories: clinical vertebra (805,806), rib (807), pelvis (808), humeru</w:t>
      </w:r>
      <w:r w:rsidR="009B765F" w:rsidRPr="00655509">
        <w:rPr>
          <w:rFonts w:ascii="Times New Roman" w:hAnsi="Times New Roman" w:cs="Times New Roman"/>
          <w:sz w:val="24"/>
          <w:szCs w:val="24"/>
          <w:lang w:val="en-US"/>
        </w:rPr>
        <w:t xml:space="preserve">s (812), radius/ulna (813) and </w:t>
      </w:r>
      <w:r w:rsidRPr="00655509">
        <w:rPr>
          <w:rFonts w:ascii="Times New Roman" w:hAnsi="Times New Roman" w:cs="Times New Roman"/>
          <w:sz w:val="24"/>
          <w:szCs w:val="24"/>
          <w:lang w:val="en-US"/>
        </w:rPr>
        <w:t>femur</w:t>
      </w:r>
      <w:r w:rsidR="00754117" w:rsidRPr="00655509">
        <w:rPr>
          <w:rFonts w:ascii="Times New Roman" w:hAnsi="Times New Roman" w:cs="Times New Roman"/>
          <w:sz w:val="24"/>
          <w:szCs w:val="24"/>
          <w:lang w:val="en-US"/>
        </w:rPr>
        <w:t>/hip</w:t>
      </w:r>
      <w:r w:rsidRPr="00655509">
        <w:rPr>
          <w:rFonts w:ascii="Times New Roman" w:hAnsi="Times New Roman" w:cs="Times New Roman"/>
          <w:sz w:val="24"/>
          <w:szCs w:val="24"/>
          <w:lang w:val="en-US"/>
        </w:rPr>
        <w:t xml:space="preserve"> (820,821).</w:t>
      </w:r>
      <w:r w:rsidR="009B765F" w:rsidRPr="00655509">
        <w:rPr>
          <w:rFonts w:ascii="Times New Roman" w:hAnsi="Times New Roman" w:cs="Times New Roman"/>
          <w:sz w:val="24"/>
          <w:szCs w:val="24"/>
          <w:lang w:val="en-US"/>
        </w:rPr>
        <w:t xml:space="preserve"> </w:t>
      </w:r>
      <w:r w:rsidRPr="00655509">
        <w:rPr>
          <w:rFonts w:ascii="Times New Roman" w:hAnsi="Times New Roman" w:cs="Times New Roman"/>
          <w:sz w:val="24"/>
          <w:szCs w:val="24"/>
          <w:lang w:val="en-US"/>
        </w:rPr>
        <w:t>For participants</w:t>
      </w:r>
      <w:r w:rsidR="003A7A2C" w:rsidRPr="00655509">
        <w:rPr>
          <w:rFonts w:ascii="Times New Roman" w:hAnsi="Times New Roman" w:cs="Times New Roman"/>
          <w:sz w:val="24"/>
          <w:szCs w:val="24"/>
          <w:lang w:val="en-US"/>
        </w:rPr>
        <w:t>,</w:t>
      </w:r>
      <w:r w:rsidRPr="00655509">
        <w:rPr>
          <w:rFonts w:ascii="Times New Roman" w:hAnsi="Times New Roman" w:cs="Times New Roman"/>
          <w:sz w:val="24"/>
          <w:szCs w:val="24"/>
        </w:rPr>
        <w:t xml:space="preserve"> the first fracture of the </w:t>
      </w:r>
      <w:r w:rsidR="003C3C62" w:rsidRPr="00655509">
        <w:rPr>
          <w:rFonts w:ascii="Times New Roman" w:hAnsi="Times New Roman" w:cs="Times New Roman"/>
          <w:sz w:val="24"/>
          <w:szCs w:val="24"/>
        </w:rPr>
        <w:t>femur/</w:t>
      </w:r>
      <w:r w:rsidRPr="00655509">
        <w:rPr>
          <w:rFonts w:ascii="Times New Roman" w:hAnsi="Times New Roman" w:cs="Times New Roman"/>
          <w:sz w:val="24"/>
          <w:szCs w:val="24"/>
        </w:rPr>
        <w:t xml:space="preserve">hip, humerus, radius/ulna, vertebra, rib or pelvis that occurred after the start of data collection was identified. From the date of this index fracture the participants were followed until occurrence of a subsequent fracture of the </w:t>
      </w:r>
      <w:r w:rsidR="003C3C62" w:rsidRPr="00655509">
        <w:rPr>
          <w:rFonts w:ascii="Times New Roman" w:hAnsi="Times New Roman" w:cs="Times New Roman"/>
          <w:sz w:val="24"/>
          <w:szCs w:val="24"/>
        </w:rPr>
        <w:t>femur/</w:t>
      </w:r>
      <w:r w:rsidRPr="00655509">
        <w:rPr>
          <w:rFonts w:ascii="Times New Roman" w:hAnsi="Times New Roman" w:cs="Times New Roman"/>
          <w:sz w:val="24"/>
          <w:szCs w:val="24"/>
        </w:rPr>
        <w:t>hip, humerus, radius</w:t>
      </w:r>
      <w:r w:rsidR="008434A7" w:rsidRPr="00655509">
        <w:rPr>
          <w:rFonts w:ascii="Times New Roman" w:hAnsi="Times New Roman" w:cs="Times New Roman"/>
          <w:sz w:val="24"/>
          <w:szCs w:val="24"/>
        </w:rPr>
        <w:t>/ulna, vertebrae, rib or pelvis</w:t>
      </w:r>
      <w:r w:rsidRPr="00655509">
        <w:rPr>
          <w:rFonts w:ascii="Times New Roman" w:hAnsi="Times New Roman" w:cs="Times New Roman"/>
          <w:sz w:val="24"/>
          <w:szCs w:val="24"/>
        </w:rPr>
        <w:t xml:space="preserve"> o</w:t>
      </w:r>
      <w:r w:rsidRPr="00655509">
        <w:rPr>
          <w:rFonts w:ascii="Times New Roman" w:hAnsi="Times New Roman" w:cs="Times New Roman"/>
          <w:sz w:val="24"/>
          <w:szCs w:val="24"/>
          <w:lang w:val="en-US"/>
        </w:rPr>
        <w:t xml:space="preserve">r censoring (death, withdrawal from the database or the end of data collection), whichever came first. </w:t>
      </w:r>
      <w:r w:rsidRPr="00655509">
        <w:rPr>
          <w:rFonts w:ascii="Times New Roman" w:hAnsi="Times New Roman" w:cs="Times New Roman"/>
          <w:sz w:val="24"/>
          <w:szCs w:val="24"/>
        </w:rPr>
        <w:t>Subsequent fractures at the same site as the index fracture were excluded from follow-up because it is not possible within the CPRD to identify whether a GP consultation refers to a new or old fracture.</w:t>
      </w:r>
      <w:bookmarkStart w:id="4" w:name="bookmark12"/>
    </w:p>
    <w:p w14:paraId="260E40D5" w14:textId="77777777" w:rsidR="009C5A7A" w:rsidRPr="00655509" w:rsidRDefault="00251501">
      <w:pPr>
        <w:spacing w:after="120" w:line="480" w:lineRule="auto"/>
        <w:jc w:val="both"/>
        <w:rPr>
          <w:rFonts w:ascii="Times New Roman" w:eastAsia="Times New Roman" w:hAnsi="Times New Roman" w:cs="Times New Roman"/>
          <w:bCs/>
          <w:i/>
          <w:color w:val="000000"/>
          <w:sz w:val="24"/>
          <w:szCs w:val="24"/>
          <w:lang w:val="en-US" w:eastAsia="nl-NL" w:bidi="nl-NL"/>
        </w:rPr>
      </w:pPr>
      <w:r w:rsidRPr="00655509">
        <w:rPr>
          <w:rFonts w:ascii="Times New Roman" w:eastAsia="Times New Roman" w:hAnsi="Times New Roman" w:cs="Times New Roman"/>
          <w:bCs/>
          <w:i/>
          <w:color w:val="000000"/>
          <w:sz w:val="24"/>
          <w:szCs w:val="24"/>
          <w:lang w:val="en-US" w:eastAsia="nl-NL" w:bidi="nl-NL"/>
        </w:rPr>
        <w:t>St</w:t>
      </w:r>
      <w:r w:rsidR="00EC5018" w:rsidRPr="00655509">
        <w:rPr>
          <w:rFonts w:ascii="Times New Roman" w:eastAsia="Times New Roman" w:hAnsi="Times New Roman" w:cs="Times New Roman"/>
          <w:bCs/>
          <w:i/>
          <w:color w:val="000000"/>
          <w:sz w:val="24"/>
          <w:szCs w:val="24"/>
          <w:lang w:val="en-US" w:eastAsia="nl-NL" w:bidi="nl-NL"/>
        </w:rPr>
        <w:t>atistical analysis</w:t>
      </w:r>
      <w:bookmarkEnd w:id="4"/>
    </w:p>
    <w:p w14:paraId="064C0905" w14:textId="3EEB7A65" w:rsidR="009C5A7A" w:rsidRPr="00655509" w:rsidRDefault="00EC5018">
      <w:pPr>
        <w:spacing w:after="120" w:line="480" w:lineRule="auto"/>
        <w:jc w:val="both"/>
        <w:rPr>
          <w:rFonts w:ascii="Times New Roman" w:hAnsi="Times New Roman" w:cs="Times New Roman"/>
          <w:sz w:val="24"/>
          <w:szCs w:val="24"/>
        </w:rPr>
      </w:pPr>
      <w:r w:rsidRPr="00655509">
        <w:rPr>
          <w:rFonts w:ascii="Times New Roman" w:eastAsia="Arial Unicode MS" w:hAnsi="Times New Roman" w:cs="Times New Roman"/>
          <w:color w:val="000000"/>
          <w:sz w:val="24"/>
          <w:szCs w:val="24"/>
          <w:lang w:val="en-US" w:eastAsia="nl-NL" w:bidi="nl-NL"/>
        </w:rPr>
        <w:t xml:space="preserve">Age- and sex-specific fracture incidence rates were calculated for all subsequent fracture types. </w:t>
      </w:r>
      <w:r w:rsidR="003A7A2C" w:rsidRPr="00655509">
        <w:rPr>
          <w:rFonts w:ascii="Times New Roman" w:eastAsia="Arial Unicode MS" w:hAnsi="Times New Roman" w:cs="Times New Roman"/>
          <w:color w:val="000000"/>
          <w:sz w:val="24"/>
          <w:szCs w:val="24"/>
          <w:lang w:val="en-US" w:eastAsia="nl-NL" w:bidi="nl-NL"/>
        </w:rPr>
        <w:t xml:space="preserve">Information </w:t>
      </w:r>
      <w:r w:rsidRPr="00655509">
        <w:rPr>
          <w:rFonts w:ascii="Times New Roman" w:eastAsia="Arial Unicode MS" w:hAnsi="Times New Roman" w:cs="Times New Roman"/>
          <w:color w:val="000000"/>
          <w:sz w:val="24"/>
          <w:szCs w:val="24"/>
          <w:lang w:val="en-US" w:eastAsia="nl-NL" w:bidi="nl-NL"/>
        </w:rPr>
        <w:t>on the dates of start and end of follow-up and the date of subsequent fracture were available for all patients in CPRD. However, the size of the database (including records of around 4.4 million individuals) prohibited the practical use of the exact person</w:t>
      </w:r>
      <w:r w:rsidR="003A7A2C" w:rsidRPr="00655509">
        <w:rPr>
          <w:rFonts w:ascii="Times New Roman" w:eastAsia="Arial Unicode MS" w:hAnsi="Times New Roman" w:cs="Times New Roman"/>
          <w:color w:val="000000"/>
          <w:sz w:val="24"/>
          <w:szCs w:val="24"/>
          <w:lang w:val="en-US" w:eastAsia="nl-NL" w:bidi="nl-NL"/>
        </w:rPr>
        <w:t>-</w:t>
      </w:r>
      <w:r w:rsidRPr="00655509">
        <w:rPr>
          <w:rFonts w:ascii="Times New Roman" w:eastAsia="Arial Unicode MS" w:hAnsi="Times New Roman" w:cs="Times New Roman"/>
          <w:color w:val="000000"/>
          <w:sz w:val="24"/>
          <w:szCs w:val="24"/>
          <w:lang w:val="en-US" w:eastAsia="nl-NL" w:bidi="nl-NL"/>
        </w:rPr>
        <w:t>time, so pragmatically, we counted the number of patients who were enrolled in CPRD at each midyear point (stratified by age and sex)</w:t>
      </w:r>
      <w:r w:rsidR="003A7A2C" w:rsidRPr="00655509">
        <w:rPr>
          <w:rFonts w:ascii="Times New Roman" w:eastAsia="Arial Unicode MS" w:hAnsi="Times New Roman" w:cs="Times New Roman"/>
          <w:color w:val="000000"/>
          <w:sz w:val="24"/>
          <w:szCs w:val="24"/>
          <w:lang w:val="en-US" w:eastAsia="nl-NL" w:bidi="nl-NL"/>
        </w:rPr>
        <w:t xml:space="preserve">, thus </w:t>
      </w:r>
      <w:r w:rsidRPr="00655509">
        <w:rPr>
          <w:rFonts w:ascii="Times New Roman" w:eastAsia="Arial Unicode MS" w:hAnsi="Times New Roman" w:cs="Times New Roman"/>
          <w:color w:val="000000"/>
          <w:sz w:val="24"/>
          <w:szCs w:val="24"/>
          <w:lang w:val="en-US" w:eastAsia="nl-NL" w:bidi="nl-NL"/>
        </w:rPr>
        <w:t xml:space="preserve">providing the sum </w:t>
      </w:r>
      <w:r w:rsidR="009C5A7A" w:rsidRPr="00655509">
        <w:rPr>
          <w:rFonts w:ascii="Times New Roman" w:eastAsia="Arial Unicode MS" w:hAnsi="Times New Roman" w:cs="Times New Roman"/>
          <w:color w:val="000000"/>
          <w:sz w:val="24"/>
          <w:szCs w:val="24"/>
          <w:lang w:val="en-US" w:eastAsia="nl-NL" w:bidi="nl-NL"/>
        </w:rPr>
        <w:t>of follow-up.</w:t>
      </w:r>
    </w:p>
    <w:p w14:paraId="30FCF526" w14:textId="30551BEB" w:rsidR="00EC5018" w:rsidRPr="00EE3900" w:rsidRDefault="00EC5018">
      <w:pPr>
        <w:keepNext/>
        <w:keepLines/>
        <w:widowControl w:val="0"/>
        <w:spacing w:after="120" w:line="480" w:lineRule="auto"/>
        <w:jc w:val="both"/>
        <w:outlineLvl w:val="2"/>
        <w:rPr>
          <w:rFonts w:ascii="Times New Roman" w:eastAsia="Arial Unicode MS" w:hAnsi="Times New Roman" w:cs="Times New Roman"/>
          <w:color w:val="000000"/>
          <w:sz w:val="24"/>
          <w:szCs w:val="24"/>
          <w:lang w:val="en-US" w:eastAsia="nl-NL" w:bidi="nl-NL"/>
        </w:rPr>
      </w:pPr>
      <w:r w:rsidRPr="00655509">
        <w:rPr>
          <w:rFonts w:ascii="Times New Roman" w:eastAsia="Arial Unicode MS" w:hAnsi="Times New Roman" w:cs="Times New Roman"/>
          <w:color w:val="000000"/>
          <w:sz w:val="24"/>
          <w:szCs w:val="24"/>
          <w:lang w:val="en-US" w:eastAsia="nl-NL" w:bidi="nl-NL"/>
        </w:rPr>
        <w:t>We counted the number of patients who suffered a subsequent fracture at a specific site. The average fracture incidence was then calculated by dividing the sum of patients with a specific</w:t>
      </w:r>
      <w:r w:rsidR="00076E12" w:rsidRPr="00655509">
        <w:rPr>
          <w:rFonts w:ascii="Times New Roman" w:eastAsia="Arial Unicode MS" w:hAnsi="Times New Roman" w:cs="Times New Roman"/>
          <w:color w:val="000000"/>
          <w:sz w:val="24"/>
          <w:szCs w:val="24"/>
          <w:lang w:val="en-US" w:eastAsia="nl-NL" w:bidi="nl-NL"/>
        </w:rPr>
        <w:t xml:space="preserve"> </w:t>
      </w:r>
      <w:r w:rsidRPr="00655509">
        <w:rPr>
          <w:rFonts w:ascii="Times New Roman" w:eastAsia="Arial Unicode MS" w:hAnsi="Times New Roman" w:cs="Times New Roman"/>
          <w:color w:val="000000"/>
          <w:sz w:val="24"/>
          <w:szCs w:val="24"/>
          <w:lang w:val="en-US" w:eastAsia="nl-NL" w:bidi="nl-NL"/>
        </w:rPr>
        <w:t xml:space="preserve">subsequent fracture by the sum of person-time follow-up for the whole period 1990-2012. </w:t>
      </w:r>
      <w:r w:rsidR="00A75861" w:rsidRPr="00655509">
        <w:rPr>
          <w:rFonts w:ascii="Times New Roman" w:eastAsia="Arial Unicode MS" w:hAnsi="Times New Roman" w:cs="Times New Roman"/>
          <w:color w:val="000000"/>
          <w:sz w:val="24"/>
          <w:szCs w:val="24"/>
          <w:lang w:val="en-US" w:eastAsia="nl-NL" w:bidi="nl-NL"/>
        </w:rPr>
        <w:t xml:space="preserve">  </w:t>
      </w:r>
      <w:r w:rsidRPr="00655509">
        <w:rPr>
          <w:rFonts w:ascii="Times New Roman" w:eastAsia="Arial Unicode MS" w:hAnsi="Times New Roman" w:cs="Times New Roman"/>
          <w:color w:val="000000"/>
          <w:sz w:val="24"/>
          <w:szCs w:val="24"/>
          <w:lang w:val="en-US" w:eastAsia="nl-NL" w:bidi="nl-NL"/>
        </w:rPr>
        <w:t xml:space="preserve">We calculated </w:t>
      </w:r>
      <w:r w:rsidRPr="00655509">
        <w:rPr>
          <w:rFonts w:ascii="Times New Roman" w:hAnsi="Times New Roman" w:cs="Times New Roman"/>
          <w:sz w:val="24"/>
          <w:szCs w:val="24"/>
        </w:rPr>
        <w:t xml:space="preserve">the relative risk (RR) of a subsequent fracture of the humerus, vertebra and radius/ulna after an index </w:t>
      </w:r>
      <w:r w:rsidR="00BB1BEF" w:rsidRPr="00655509">
        <w:rPr>
          <w:rFonts w:ascii="Times New Roman" w:hAnsi="Times New Roman" w:cs="Times New Roman"/>
          <w:sz w:val="24"/>
          <w:szCs w:val="24"/>
        </w:rPr>
        <w:t>femur/</w:t>
      </w:r>
      <w:r w:rsidRPr="00655509">
        <w:rPr>
          <w:rFonts w:ascii="Times New Roman" w:hAnsi="Times New Roman" w:cs="Times New Roman"/>
          <w:sz w:val="24"/>
          <w:szCs w:val="24"/>
        </w:rPr>
        <w:t>hip fracture by 5-year age class (the age at the time of diagnosis of the subsequent fracture)</w:t>
      </w:r>
      <w:r w:rsidRPr="00655509">
        <w:rPr>
          <w:rFonts w:ascii="Times New Roman" w:hAnsi="Times New Roman" w:cs="Times New Roman"/>
          <w:color w:val="FF0000"/>
          <w:sz w:val="24"/>
          <w:szCs w:val="24"/>
        </w:rPr>
        <w:t xml:space="preserve"> </w:t>
      </w:r>
      <w:r w:rsidRPr="00655509">
        <w:rPr>
          <w:rFonts w:ascii="Times New Roman" w:hAnsi="Times New Roman" w:cs="Times New Roman"/>
          <w:sz w:val="24"/>
          <w:szCs w:val="24"/>
        </w:rPr>
        <w:t xml:space="preserve">using data on </w:t>
      </w:r>
      <w:r w:rsidRPr="00655509">
        <w:rPr>
          <w:rFonts w:ascii="Times New Roman" w:eastAsia="Arial Unicode MS" w:hAnsi="Times New Roman" w:cs="Times New Roman"/>
          <w:color w:val="000000"/>
          <w:sz w:val="24"/>
          <w:szCs w:val="24"/>
          <w:lang w:val="en-US" w:eastAsia="nl-NL" w:bidi="nl-NL"/>
        </w:rPr>
        <w:t xml:space="preserve">the mean age- and sex-specific fracture incidence rates of </w:t>
      </w:r>
      <w:r w:rsidRPr="00655509">
        <w:rPr>
          <w:rFonts w:ascii="Times New Roman" w:hAnsi="Times New Roman" w:cs="Times New Roman"/>
          <w:sz w:val="24"/>
          <w:szCs w:val="24"/>
        </w:rPr>
        <w:t>a first fracture of the humerus, vertebra and radius/ulna in the UK in persons 50 years or older for the period 1990 until 2012 from our previously published study [</w:t>
      </w:r>
      <w:r w:rsidR="00ED1149" w:rsidRPr="00655509">
        <w:rPr>
          <w:rFonts w:ascii="Times New Roman" w:hAnsi="Times New Roman" w:cs="Times New Roman"/>
          <w:sz w:val="24"/>
          <w:szCs w:val="24"/>
        </w:rPr>
        <w:t>21</w:t>
      </w:r>
      <w:r w:rsidRPr="00655509">
        <w:rPr>
          <w:rFonts w:ascii="Times New Roman" w:hAnsi="Times New Roman" w:cs="Times New Roman"/>
          <w:sz w:val="24"/>
          <w:szCs w:val="24"/>
        </w:rPr>
        <w:t xml:space="preserve">]. The RR was calculated by dividing the </w:t>
      </w:r>
      <w:r w:rsidRPr="00655509">
        <w:rPr>
          <w:rFonts w:ascii="Times New Roman" w:eastAsia="Arial Unicode MS" w:hAnsi="Times New Roman" w:cs="Times New Roman"/>
          <w:color w:val="000000"/>
          <w:sz w:val="24"/>
          <w:szCs w:val="24"/>
          <w:lang w:val="en-US" w:eastAsia="nl-NL" w:bidi="nl-NL"/>
        </w:rPr>
        <w:t>incidence rate of a specific subsequent fracture type by the inciden</w:t>
      </w:r>
      <w:r w:rsidR="007B1D9A" w:rsidRPr="00655509">
        <w:rPr>
          <w:rFonts w:ascii="Times New Roman" w:eastAsia="Arial Unicode MS" w:hAnsi="Times New Roman" w:cs="Times New Roman"/>
          <w:color w:val="000000"/>
          <w:sz w:val="24"/>
          <w:szCs w:val="24"/>
          <w:lang w:val="en-US" w:eastAsia="nl-NL" w:bidi="nl-NL"/>
        </w:rPr>
        <w:t>ce</w:t>
      </w:r>
      <w:r w:rsidRPr="00655509">
        <w:rPr>
          <w:rFonts w:ascii="Times New Roman" w:eastAsia="Arial Unicode MS" w:hAnsi="Times New Roman" w:cs="Times New Roman"/>
          <w:color w:val="000000"/>
          <w:sz w:val="24"/>
          <w:szCs w:val="24"/>
          <w:lang w:val="en-US" w:eastAsia="nl-NL" w:bidi="nl-NL"/>
        </w:rPr>
        <w:t xml:space="preserve"> rate of a first fracture at the same site.</w:t>
      </w:r>
      <w:r w:rsidR="007B1D9A" w:rsidRPr="00655509">
        <w:rPr>
          <w:rFonts w:ascii="Times New Roman" w:eastAsia="Arial Unicode MS" w:hAnsi="Times New Roman" w:cs="Times New Roman"/>
          <w:color w:val="000000"/>
          <w:sz w:val="24"/>
          <w:szCs w:val="24"/>
          <w:lang w:val="en-US" w:eastAsia="nl-NL" w:bidi="nl-NL"/>
        </w:rPr>
        <w:t xml:space="preserve"> In order to investigate any possible secular trends in subsequent fracture risk, we calculated the mean incidences in the first 11 years of follow up and the last 11 years separately</w:t>
      </w:r>
      <w:r w:rsidR="005D5B7B">
        <w:rPr>
          <w:rFonts w:ascii="Times New Roman" w:eastAsia="Arial Unicode MS" w:hAnsi="Times New Roman" w:cs="Times New Roman"/>
          <w:color w:val="000000"/>
          <w:sz w:val="24"/>
          <w:szCs w:val="24"/>
          <w:lang w:val="en-US" w:eastAsia="nl-NL" w:bidi="nl-NL"/>
        </w:rPr>
        <w:t>, using hip/femur and radius/ulna as the index fractures</w:t>
      </w:r>
      <w:r w:rsidR="007B1D9A" w:rsidRPr="005D5B7B">
        <w:rPr>
          <w:rFonts w:ascii="Times New Roman" w:eastAsia="Arial Unicode MS" w:hAnsi="Times New Roman" w:cs="Times New Roman"/>
          <w:color w:val="000000"/>
          <w:sz w:val="24"/>
          <w:szCs w:val="24"/>
          <w:lang w:val="en-US" w:eastAsia="nl-NL" w:bidi="nl-NL"/>
        </w:rPr>
        <w:t>.</w:t>
      </w:r>
      <w:r w:rsidR="00EA7AF8" w:rsidRPr="005D5B7B">
        <w:rPr>
          <w:rFonts w:ascii="Times New Roman" w:eastAsia="Arial Unicode MS" w:hAnsi="Times New Roman" w:cs="Times New Roman"/>
          <w:color w:val="000000"/>
          <w:sz w:val="24"/>
          <w:szCs w:val="24"/>
          <w:lang w:val="en-US" w:eastAsia="nl-NL" w:bidi="nl-NL"/>
        </w:rPr>
        <w:t xml:space="preserve"> We then calculated</w:t>
      </w:r>
      <w:r w:rsidR="007B1D9A" w:rsidRPr="005D5B7B">
        <w:rPr>
          <w:rFonts w:ascii="Times New Roman" w:eastAsia="Arial Unicode MS" w:hAnsi="Times New Roman" w:cs="Times New Roman"/>
          <w:color w:val="000000"/>
          <w:sz w:val="24"/>
          <w:szCs w:val="24"/>
          <w:lang w:val="en-US" w:eastAsia="nl-NL" w:bidi="nl-NL"/>
        </w:rPr>
        <w:t xml:space="preserve"> </w:t>
      </w:r>
      <w:r w:rsidR="00EA7AF8" w:rsidRPr="005D5B7B">
        <w:rPr>
          <w:rFonts w:ascii="Times New Roman" w:eastAsia="Arial Unicode MS" w:hAnsi="Times New Roman" w:cs="Times New Roman"/>
          <w:color w:val="000000"/>
          <w:sz w:val="24"/>
          <w:szCs w:val="24"/>
          <w:lang w:val="en-US" w:eastAsia="nl-NL" w:bidi="nl-NL"/>
        </w:rPr>
        <w:t xml:space="preserve">the </w:t>
      </w:r>
      <w:r w:rsidR="004B1759">
        <w:rPr>
          <w:rFonts w:ascii="Times New Roman" w:eastAsia="Arial Unicode MS" w:hAnsi="Times New Roman" w:cs="Times New Roman"/>
          <w:color w:val="000000"/>
          <w:sz w:val="24"/>
          <w:szCs w:val="24"/>
          <w:lang w:val="en-US" w:eastAsia="nl-NL" w:bidi="nl-NL"/>
        </w:rPr>
        <w:t>incidence rate</w:t>
      </w:r>
      <w:r w:rsidR="00EA7AF8" w:rsidRPr="005D5B7B">
        <w:rPr>
          <w:rFonts w:ascii="Times New Roman" w:eastAsia="Arial Unicode MS" w:hAnsi="Times New Roman" w:cs="Times New Roman"/>
          <w:color w:val="000000"/>
          <w:sz w:val="24"/>
          <w:szCs w:val="24"/>
          <w:lang w:val="en-US" w:eastAsia="nl-NL" w:bidi="nl-NL"/>
        </w:rPr>
        <w:t xml:space="preserve"> ratio, 95% confidence interval (CI) and p value using Poisson regression. </w:t>
      </w:r>
      <w:r w:rsidRPr="00EE3900">
        <w:rPr>
          <w:rFonts w:ascii="Times New Roman" w:eastAsia="Arial Unicode MS" w:hAnsi="Times New Roman" w:cs="Times New Roman"/>
          <w:color w:val="000000"/>
          <w:sz w:val="24"/>
          <w:szCs w:val="24"/>
          <w:lang w:val="en-US" w:eastAsia="nl-NL" w:bidi="nl-NL"/>
        </w:rPr>
        <w:t>Analyses were performed using SAS 9.3 (SAS Institute Inc., Cary, North Carolina, USA) and Stata 13.1 (Statacorp, College Station, Texas, USA).</w:t>
      </w:r>
      <w:r w:rsidR="00CC675D" w:rsidRPr="00EE3900">
        <w:rPr>
          <w:rFonts w:ascii="Times New Roman" w:eastAsia="Arial Unicode MS" w:hAnsi="Times New Roman" w:cs="Times New Roman"/>
          <w:color w:val="000000"/>
          <w:sz w:val="24"/>
          <w:szCs w:val="24"/>
          <w:lang w:val="en-US" w:eastAsia="nl-NL" w:bidi="nl-NL"/>
        </w:rPr>
        <w:t xml:space="preserve"> The study was approved by the Independent Scientific Advisory Committee (ISAC) for Medicines and Healthcare products Regulatory Agency database research (ISAC approval </w:t>
      </w:r>
      <w:r w:rsidR="004C50C4" w:rsidRPr="00EE3900">
        <w:rPr>
          <w:rFonts w:ascii="Times New Roman" w:eastAsia="Arial Unicode MS" w:hAnsi="Times New Roman" w:cs="Times New Roman"/>
          <w:color w:val="000000"/>
          <w:sz w:val="24"/>
          <w:szCs w:val="24"/>
          <w:lang w:val="en-US" w:eastAsia="nl-NL" w:bidi="nl-NL"/>
        </w:rPr>
        <w:t>14_032</w:t>
      </w:r>
      <w:r w:rsidR="00CC675D" w:rsidRPr="00EE3900">
        <w:rPr>
          <w:rFonts w:ascii="Times New Roman" w:eastAsia="Arial Unicode MS" w:hAnsi="Times New Roman" w:cs="Times New Roman"/>
          <w:color w:val="000000"/>
          <w:sz w:val="24"/>
          <w:szCs w:val="24"/>
          <w:lang w:val="en-US" w:eastAsia="nl-NL" w:bidi="nl-NL"/>
        </w:rPr>
        <w:t>).</w:t>
      </w:r>
    </w:p>
    <w:p w14:paraId="364402AF" w14:textId="77777777" w:rsidR="009C5A7A" w:rsidRPr="005D5B7B" w:rsidRDefault="009C5A7A">
      <w:pPr>
        <w:keepNext/>
        <w:keepLines/>
        <w:widowControl w:val="0"/>
        <w:spacing w:after="120" w:line="480" w:lineRule="auto"/>
        <w:jc w:val="both"/>
        <w:outlineLvl w:val="2"/>
        <w:rPr>
          <w:rFonts w:ascii="Times New Roman" w:eastAsia="Arial Unicode MS" w:hAnsi="Times New Roman" w:cs="Times New Roman"/>
          <w:color w:val="000000"/>
          <w:sz w:val="24"/>
          <w:szCs w:val="24"/>
          <w:lang w:val="en-US" w:eastAsia="nl-NL" w:bidi="nl-NL"/>
        </w:rPr>
      </w:pPr>
    </w:p>
    <w:p w14:paraId="735590B0" w14:textId="77777777" w:rsidR="00EC5018" w:rsidRPr="00655509" w:rsidRDefault="00EC5018">
      <w:pPr>
        <w:spacing w:after="120" w:line="480" w:lineRule="auto"/>
        <w:jc w:val="both"/>
        <w:rPr>
          <w:rFonts w:ascii="Times New Roman" w:hAnsi="Times New Roman" w:cs="Times New Roman"/>
          <w:b/>
          <w:sz w:val="24"/>
          <w:szCs w:val="24"/>
        </w:rPr>
      </w:pPr>
      <w:r w:rsidRPr="005F5B1E">
        <w:rPr>
          <w:rFonts w:ascii="Times New Roman" w:hAnsi="Times New Roman" w:cs="Times New Roman"/>
          <w:b/>
          <w:sz w:val="24"/>
          <w:szCs w:val="24"/>
        </w:rPr>
        <w:t xml:space="preserve">Results </w:t>
      </w:r>
    </w:p>
    <w:p w14:paraId="52EAC758" w14:textId="0842E6C7" w:rsidR="00950F2F" w:rsidRPr="002C5129" w:rsidRDefault="00AB3147" w:rsidP="00655509">
      <w:pPr>
        <w:pStyle w:val="PlainText"/>
        <w:spacing w:after="120" w:line="480" w:lineRule="auto"/>
        <w:jc w:val="both"/>
        <w:rPr>
          <w:rFonts w:ascii="Times New Roman" w:hAnsi="Times New Roman" w:cs="Times New Roman"/>
          <w:sz w:val="24"/>
          <w:szCs w:val="24"/>
        </w:rPr>
      </w:pPr>
      <w:r w:rsidRPr="002C5129">
        <w:rPr>
          <w:rFonts w:ascii="Times New Roman" w:hAnsi="Times New Roman" w:cs="Times New Roman"/>
          <w:sz w:val="24"/>
          <w:szCs w:val="24"/>
        </w:rPr>
        <w:t>In total we studied data of 3</w:t>
      </w:r>
      <w:r w:rsidR="00E54C21" w:rsidRPr="002C5129">
        <w:rPr>
          <w:rFonts w:ascii="Times New Roman" w:hAnsi="Times New Roman" w:cs="Times New Roman"/>
          <w:sz w:val="24"/>
          <w:szCs w:val="24"/>
        </w:rPr>
        <w:t>,</w:t>
      </w:r>
      <w:r w:rsidRPr="002C5129">
        <w:rPr>
          <w:rFonts w:ascii="Times New Roman" w:hAnsi="Times New Roman" w:cs="Times New Roman"/>
          <w:sz w:val="24"/>
          <w:szCs w:val="24"/>
        </w:rPr>
        <w:t>156</w:t>
      </w:r>
      <w:r w:rsidR="00E54C21" w:rsidRPr="002C5129">
        <w:rPr>
          <w:rFonts w:ascii="Times New Roman" w:hAnsi="Times New Roman" w:cs="Times New Roman"/>
          <w:sz w:val="24"/>
          <w:szCs w:val="24"/>
        </w:rPr>
        <w:t>,</w:t>
      </w:r>
      <w:r w:rsidRPr="002C5129">
        <w:rPr>
          <w:rFonts w:ascii="Times New Roman" w:hAnsi="Times New Roman" w:cs="Times New Roman"/>
          <w:sz w:val="24"/>
          <w:szCs w:val="24"/>
        </w:rPr>
        <w:t>347 persons, 1</w:t>
      </w:r>
      <w:r w:rsidR="00E54C21" w:rsidRPr="002C5129">
        <w:rPr>
          <w:rFonts w:ascii="Times New Roman" w:hAnsi="Times New Roman" w:cs="Times New Roman"/>
          <w:sz w:val="24"/>
          <w:szCs w:val="24"/>
        </w:rPr>
        <w:t>,</w:t>
      </w:r>
      <w:r w:rsidRPr="002C5129">
        <w:rPr>
          <w:rFonts w:ascii="Times New Roman" w:hAnsi="Times New Roman" w:cs="Times New Roman"/>
          <w:sz w:val="24"/>
          <w:szCs w:val="24"/>
        </w:rPr>
        <w:t>457</w:t>
      </w:r>
      <w:r w:rsidR="00E54C21" w:rsidRPr="002C5129">
        <w:rPr>
          <w:rFonts w:ascii="Times New Roman" w:hAnsi="Times New Roman" w:cs="Times New Roman"/>
          <w:sz w:val="24"/>
          <w:szCs w:val="24"/>
        </w:rPr>
        <w:t>,</w:t>
      </w:r>
      <w:r w:rsidRPr="002C5129">
        <w:rPr>
          <w:rFonts w:ascii="Times New Roman" w:hAnsi="Times New Roman" w:cs="Times New Roman"/>
          <w:sz w:val="24"/>
          <w:szCs w:val="24"/>
        </w:rPr>
        <w:t xml:space="preserve">446 men and </w:t>
      </w:r>
      <w:r w:rsidR="004E1728" w:rsidRPr="002C5129">
        <w:rPr>
          <w:rFonts w:ascii="Times New Roman" w:hAnsi="Times New Roman" w:cs="Times New Roman"/>
          <w:sz w:val="24"/>
          <w:szCs w:val="24"/>
        </w:rPr>
        <w:t>1</w:t>
      </w:r>
      <w:r w:rsidR="00E54C21" w:rsidRPr="002C5129">
        <w:rPr>
          <w:rFonts w:ascii="Times New Roman" w:hAnsi="Times New Roman" w:cs="Times New Roman"/>
          <w:sz w:val="24"/>
          <w:szCs w:val="24"/>
        </w:rPr>
        <w:t>,</w:t>
      </w:r>
      <w:r w:rsidR="004E1728" w:rsidRPr="002C5129">
        <w:rPr>
          <w:rFonts w:ascii="Times New Roman" w:hAnsi="Times New Roman" w:cs="Times New Roman"/>
          <w:sz w:val="24"/>
          <w:szCs w:val="24"/>
        </w:rPr>
        <w:t>698</w:t>
      </w:r>
      <w:r w:rsidR="00E54C21" w:rsidRPr="002C5129">
        <w:rPr>
          <w:rFonts w:ascii="Times New Roman" w:hAnsi="Times New Roman" w:cs="Times New Roman"/>
          <w:sz w:val="24"/>
          <w:szCs w:val="24"/>
        </w:rPr>
        <w:t>,</w:t>
      </w:r>
      <w:r w:rsidR="004E1728" w:rsidRPr="002C5129">
        <w:rPr>
          <w:rFonts w:ascii="Times New Roman" w:hAnsi="Times New Roman" w:cs="Times New Roman"/>
          <w:sz w:val="24"/>
          <w:szCs w:val="24"/>
        </w:rPr>
        <w:t>901 women. The average age was 61,5 (SD: 12) years, in men this was 60.5 years (SD 11.2), in women 62.3 years (SD12.7).</w:t>
      </w:r>
      <w:r w:rsidR="00950F2F" w:rsidRPr="002C5129">
        <w:rPr>
          <w:rFonts w:ascii="Times New Roman" w:hAnsi="Times New Roman" w:cs="Times New Roman"/>
          <w:sz w:val="24"/>
          <w:szCs w:val="24"/>
        </w:rPr>
        <w:t xml:space="preserve"> T</w:t>
      </w:r>
      <w:r w:rsidR="00950F2F" w:rsidRPr="00655509">
        <w:rPr>
          <w:rFonts w:ascii="Times New Roman" w:hAnsi="Times New Roman" w:cs="Times New Roman"/>
          <w:sz w:val="24"/>
          <w:szCs w:val="24"/>
        </w:rPr>
        <w:t xml:space="preserve">he absolute number of each index fracture/ subsequent fracture combination, in both men and women, </w:t>
      </w:r>
      <w:r w:rsidR="00950F2F" w:rsidRPr="002C5129">
        <w:rPr>
          <w:rFonts w:ascii="Times New Roman" w:hAnsi="Times New Roman" w:cs="Times New Roman"/>
          <w:sz w:val="24"/>
          <w:szCs w:val="24"/>
        </w:rPr>
        <w:t xml:space="preserve">can be found in </w:t>
      </w:r>
      <w:r w:rsidR="00950F2F" w:rsidRPr="00655509">
        <w:rPr>
          <w:rFonts w:ascii="Times New Roman" w:hAnsi="Times New Roman" w:cs="Times New Roman"/>
          <w:sz w:val="24"/>
          <w:szCs w:val="24"/>
        </w:rPr>
        <w:t xml:space="preserve">Online </w:t>
      </w:r>
      <w:r w:rsidR="0063306E" w:rsidRPr="002C5129">
        <w:rPr>
          <w:rFonts w:ascii="Times New Roman" w:hAnsi="Times New Roman" w:cs="Times New Roman"/>
          <w:sz w:val="24"/>
          <w:szCs w:val="24"/>
        </w:rPr>
        <w:t>Supplementary Tables</w:t>
      </w:r>
      <w:r w:rsidR="00950F2F" w:rsidRPr="00655509">
        <w:rPr>
          <w:rFonts w:ascii="Times New Roman" w:hAnsi="Times New Roman" w:cs="Times New Roman"/>
          <w:sz w:val="24"/>
          <w:szCs w:val="24"/>
        </w:rPr>
        <w:t xml:space="preserve"> 1</w:t>
      </w:r>
      <w:r w:rsidR="0064642E" w:rsidRPr="002C5129">
        <w:rPr>
          <w:rFonts w:ascii="Times New Roman" w:hAnsi="Times New Roman" w:cs="Times New Roman"/>
          <w:sz w:val="24"/>
          <w:szCs w:val="24"/>
        </w:rPr>
        <w:t>A and 1B</w:t>
      </w:r>
      <w:r w:rsidR="00950F2F" w:rsidRPr="002C5129">
        <w:rPr>
          <w:rFonts w:ascii="Times New Roman" w:hAnsi="Times New Roman" w:cs="Times New Roman"/>
          <w:sz w:val="24"/>
          <w:szCs w:val="24"/>
        </w:rPr>
        <w:t xml:space="preserve">. </w:t>
      </w:r>
    </w:p>
    <w:p w14:paraId="5017027A" w14:textId="2C5BE927" w:rsidR="00A25182" w:rsidRPr="00EE3900" w:rsidRDefault="00A25182">
      <w:pPr>
        <w:spacing w:after="120" w:line="480" w:lineRule="auto"/>
        <w:jc w:val="both"/>
        <w:rPr>
          <w:rFonts w:ascii="Times New Roman" w:hAnsi="Times New Roman" w:cs="Times New Roman"/>
          <w:i/>
          <w:sz w:val="24"/>
          <w:szCs w:val="24"/>
        </w:rPr>
      </w:pPr>
      <w:r w:rsidRPr="00EE3900">
        <w:rPr>
          <w:rFonts w:ascii="Times New Roman" w:hAnsi="Times New Roman" w:cs="Times New Roman"/>
          <w:i/>
          <w:sz w:val="24"/>
          <w:szCs w:val="24"/>
        </w:rPr>
        <w:t>Incidence of subsequent fractures</w:t>
      </w:r>
    </w:p>
    <w:p w14:paraId="79CFF27A" w14:textId="2C471993" w:rsidR="00EC5018" w:rsidRPr="00655509" w:rsidRDefault="00002305">
      <w:pPr>
        <w:spacing w:after="120" w:line="480" w:lineRule="auto"/>
        <w:jc w:val="both"/>
        <w:rPr>
          <w:rFonts w:ascii="Times New Roman" w:hAnsi="Times New Roman" w:cs="Times New Roman"/>
          <w:sz w:val="24"/>
          <w:szCs w:val="24"/>
          <w:lang w:val="en-US"/>
        </w:rPr>
      </w:pPr>
      <w:r w:rsidRPr="005D5B7B">
        <w:rPr>
          <w:rFonts w:ascii="Times New Roman" w:hAnsi="Times New Roman" w:cs="Times New Roman"/>
          <w:sz w:val="24"/>
          <w:szCs w:val="24"/>
          <w:lang w:val="en-US"/>
        </w:rPr>
        <w:t xml:space="preserve">A </w:t>
      </w:r>
      <w:r w:rsidR="00EC5018" w:rsidRPr="005D5B7B">
        <w:rPr>
          <w:rFonts w:ascii="Times New Roman" w:hAnsi="Times New Roman" w:cs="Times New Roman"/>
          <w:sz w:val="24"/>
          <w:szCs w:val="24"/>
          <w:lang w:val="en-US"/>
        </w:rPr>
        <w:t xml:space="preserve">subsequent </w:t>
      </w:r>
      <w:r w:rsidR="00E040B0" w:rsidRPr="005F5B1E">
        <w:rPr>
          <w:rFonts w:ascii="Times New Roman" w:hAnsi="Times New Roman" w:cs="Times New Roman"/>
          <w:sz w:val="24"/>
          <w:szCs w:val="24"/>
          <w:lang w:val="en-US"/>
        </w:rPr>
        <w:t>femur/</w:t>
      </w:r>
      <w:r w:rsidRPr="00655509">
        <w:rPr>
          <w:rFonts w:ascii="Times New Roman" w:hAnsi="Times New Roman" w:cs="Times New Roman"/>
          <w:sz w:val="24"/>
          <w:szCs w:val="24"/>
          <w:lang w:val="en-US"/>
        </w:rPr>
        <w:t xml:space="preserve">hip </w:t>
      </w:r>
      <w:r w:rsidR="00EC5018" w:rsidRPr="00655509">
        <w:rPr>
          <w:rFonts w:ascii="Times New Roman" w:hAnsi="Times New Roman" w:cs="Times New Roman"/>
          <w:sz w:val="24"/>
          <w:szCs w:val="24"/>
          <w:lang w:val="en-US"/>
        </w:rPr>
        <w:t>fracture</w:t>
      </w:r>
      <w:r w:rsidRPr="00655509">
        <w:rPr>
          <w:rFonts w:ascii="Times New Roman" w:hAnsi="Times New Roman" w:cs="Times New Roman"/>
          <w:sz w:val="24"/>
          <w:szCs w:val="24"/>
          <w:lang w:val="en-US"/>
        </w:rPr>
        <w:t xml:space="preserve"> was most frequently observed after an </w:t>
      </w:r>
      <w:r w:rsidR="00EC5018" w:rsidRPr="00655509">
        <w:rPr>
          <w:rFonts w:ascii="Times New Roman" w:hAnsi="Times New Roman" w:cs="Times New Roman"/>
          <w:sz w:val="24"/>
          <w:szCs w:val="24"/>
          <w:lang w:val="en-US"/>
        </w:rPr>
        <w:t xml:space="preserve">index fracture of the </w:t>
      </w:r>
      <w:r w:rsidRPr="00655509">
        <w:rPr>
          <w:rFonts w:ascii="Times New Roman" w:hAnsi="Times New Roman" w:cs="Times New Roman"/>
          <w:sz w:val="24"/>
          <w:szCs w:val="24"/>
          <w:lang w:val="en-US"/>
        </w:rPr>
        <w:t xml:space="preserve">pelvis  </w:t>
      </w:r>
      <w:r w:rsidR="00E54C21" w:rsidRPr="00655509">
        <w:rPr>
          <w:rFonts w:ascii="Times New Roman" w:hAnsi="Times New Roman" w:cs="Times New Roman"/>
          <w:sz w:val="24"/>
          <w:szCs w:val="24"/>
          <w:lang w:val="en-US"/>
        </w:rPr>
        <w:t>(</w:t>
      </w:r>
      <w:r w:rsidR="00A25182" w:rsidRPr="00655509">
        <w:rPr>
          <w:rFonts w:ascii="Times New Roman" w:hAnsi="Times New Roman" w:cs="Times New Roman"/>
          <w:sz w:val="24"/>
          <w:szCs w:val="24"/>
          <w:lang w:val="en-US"/>
        </w:rPr>
        <w:t>T</w:t>
      </w:r>
      <w:r w:rsidR="00EC5018" w:rsidRPr="00655509">
        <w:rPr>
          <w:rFonts w:ascii="Times New Roman" w:hAnsi="Times New Roman" w:cs="Times New Roman"/>
          <w:sz w:val="24"/>
          <w:szCs w:val="24"/>
          <w:lang w:val="en-US"/>
        </w:rPr>
        <w:t>able 1</w:t>
      </w:r>
      <w:r w:rsidRPr="00655509">
        <w:rPr>
          <w:rFonts w:ascii="Times New Roman" w:hAnsi="Times New Roman" w:cs="Times New Roman"/>
          <w:sz w:val="24"/>
          <w:szCs w:val="24"/>
          <w:lang w:val="en-US"/>
        </w:rPr>
        <w:t>A and 1B</w:t>
      </w:r>
      <w:r w:rsidR="00E54C21" w:rsidRPr="00655509">
        <w:rPr>
          <w:rFonts w:ascii="Times New Roman" w:hAnsi="Times New Roman" w:cs="Times New Roman"/>
          <w:sz w:val="24"/>
          <w:szCs w:val="24"/>
          <w:lang w:val="en-US"/>
        </w:rPr>
        <w:t>)</w:t>
      </w:r>
      <w:r w:rsidRPr="00655509">
        <w:rPr>
          <w:rFonts w:ascii="Times New Roman" w:hAnsi="Times New Roman" w:cs="Times New Roman"/>
          <w:sz w:val="24"/>
          <w:szCs w:val="24"/>
          <w:lang w:val="en-US"/>
        </w:rPr>
        <w:t>.  The highest incidence of subsequent  vertebral</w:t>
      </w:r>
      <w:r w:rsidR="00EC5018" w:rsidRPr="00655509">
        <w:rPr>
          <w:rFonts w:ascii="Times New Roman" w:hAnsi="Times New Roman" w:cs="Times New Roman"/>
          <w:sz w:val="24"/>
          <w:szCs w:val="24"/>
          <w:lang w:val="en-US"/>
        </w:rPr>
        <w:t xml:space="preserve"> fracture </w:t>
      </w:r>
      <w:r w:rsidRPr="00655509">
        <w:rPr>
          <w:rFonts w:ascii="Times New Roman" w:hAnsi="Times New Roman" w:cs="Times New Roman"/>
          <w:sz w:val="24"/>
          <w:szCs w:val="24"/>
          <w:lang w:val="en-US"/>
        </w:rPr>
        <w:t xml:space="preserve">was </w:t>
      </w:r>
      <w:r w:rsidR="00E54C21" w:rsidRPr="00655509">
        <w:rPr>
          <w:rFonts w:ascii="Times New Roman" w:hAnsi="Times New Roman" w:cs="Times New Roman"/>
          <w:sz w:val="24"/>
          <w:szCs w:val="24"/>
          <w:lang w:val="en-US"/>
        </w:rPr>
        <w:t>observed</w:t>
      </w:r>
      <w:r w:rsidRPr="00655509">
        <w:rPr>
          <w:rFonts w:ascii="Times New Roman" w:hAnsi="Times New Roman" w:cs="Times New Roman"/>
          <w:sz w:val="24"/>
          <w:szCs w:val="24"/>
          <w:lang w:val="en-US"/>
        </w:rPr>
        <w:t xml:space="preserve"> in both </w:t>
      </w:r>
      <w:r w:rsidR="00E54C21" w:rsidRPr="00655509">
        <w:rPr>
          <w:rFonts w:ascii="Times New Roman" w:hAnsi="Times New Roman" w:cs="Times New Roman"/>
          <w:sz w:val="24"/>
          <w:szCs w:val="24"/>
          <w:lang w:val="en-US"/>
        </w:rPr>
        <w:t>sexes</w:t>
      </w:r>
      <w:r w:rsidRPr="00655509">
        <w:rPr>
          <w:rFonts w:ascii="Times New Roman" w:hAnsi="Times New Roman" w:cs="Times New Roman"/>
          <w:sz w:val="24"/>
          <w:szCs w:val="24"/>
          <w:lang w:val="en-US"/>
        </w:rPr>
        <w:t xml:space="preserve"> after an in</w:t>
      </w:r>
      <w:r w:rsidR="0011139F" w:rsidRPr="00655509">
        <w:rPr>
          <w:rFonts w:ascii="Times New Roman" w:hAnsi="Times New Roman" w:cs="Times New Roman"/>
          <w:sz w:val="24"/>
          <w:szCs w:val="24"/>
          <w:lang w:val="en-US"/>
        </w:rPr>
        <w:t>dex femu</w:t>
      </w:r>
      <w:r w:rsidR="00E040B0" w:rsidRPr="00655509">
        <w:rPr>
          <w:rFonts w:ascii="Times New Roman" w:hAnsi="Times New Roman" w:cs="Times New Roman"/>
          <w:sz w:val="24"/>
          <w:szCs w:val="24"/>
          <w:lang w:val="en-US"/>
        </w:rPr>
        <w:t>r/hip</w:t>
      </w:r>
      <w:r w:rsidR="0015578E" w:rsidRPr="00655509">
        <w:rPr>
          <w:rFonts w:ascii="Times New Roman" w:hAnsi="Times New Roman" w:cs="Times New Roman"/>
          <w:sz w:val="24"/>
          <w:szCs w:val="24"/>
          <w:lang w:val="en-US"/>
        </w:rPr>
        <w:t xml:space="preserve"> fracture.</w:t>
      </w:r>
      <w:r w:rsidR="00EC5018" w:rsidRPr="00655509">
        <w:rPr>
          <w:rFonts w:ascii="Times New Roman" w:hAnsi="Times New Roman" w:cs="Times New Roman"/>
          <w:sz w:val="24"/>
          <w:szCs w:val="24"/>
          <w:lang w:val="en-US"/>
        </w:rPr>
        <w:t xml:space="preserve">  As shown in </w:t>
      </w:r>
      <w:r w:rsidR="00E83AF0" w:rsidRPr="00655509">
        <w:rPr>
          <w:rFonts w:ascii="Times New Roman" w:hAnsi="Times New Roman" w:cs="Times New Roman"/>
          <w:sz w:val="24"/>
          <w:szCs w:val="24"/>
          <w:lang w:val="en-US"/>
        </w:rPr>
        <w:t xml:space="preserve">Online </w:t>
      </w:r>
      <w:r w:rsidR="00E54C21" w:rsidRPr="00655509">
        <w:rPr>
          <w:rFonts w:ascii="Times New Roman" w:hAnsi="Times New Roman" w:cs="Times New Roman"/>
          <w:sz w:val="24"/>
          <w:szCs w:val="24"/>
          <w:lang w:val="en-US"/>
        </w:rPr>
        <w:t>Supplementary Figure 1</w:t>
      </w:r>
      <w:r w:rsidR="00EC5018" w:rsidRPr="00655509">
        <w:rPr>
          <w:rFonts w:ascii="Times New Roman" w:hAnsi="Times New Roman" w:cs="Times New Roman"/>
          <w:sz w:val="24"/>
          <w:szCs w:val="24"/>
          <w:lang w:val="en-US"/>
        </w:rPr>
        <w:t xml:space="preserve"> the incidence of subsequent fracture after an index </w:t>
      </w:r>
      <w:r w:rsidR="00E040B0" w:rsidRPr="00655509">
        <w:rPr>
          <w:rFonts w:ascii="Times New Roman" w:hAnsi="Times New Roman" w:cs="Times New Roman"/>
          <w:sz w:val="24"/>
          <w:szCs w:val="24"/>
          <w:lang w:val="en-US"/>
        </w:rPr>
        <w:t>femur/</w:t>
      </w:r>
      <w:r w:rsidR="00EC5018" w:rsidRPr="00655509">
        <w:rPr>
          <w:rFonts w:ascii="Times New Roman" w:hAnsi="Times New Roman" w:cs="Times New Roman"/>
          <w:sz w:val="24"/>
          <w:szCs w:val="24"/>
          <w:lang w:val="en-US"/>
        </w:rPr>
        <w:t xml:space="preserve">hip fracture </w:t>
      </w:r>
      <w:r w:rsidR="00E54C21" w:rsidRPr="00655509">
        <w:rPr>
          <w:rFonts w:ascii="Times New Roman" w:hAnsi="Times New Roman" w:cs="Times New Roman"/>
          <w:sz w:val="24"/>
          <w:szCs w:val="24"/>
          <w:lang w:val="en-US"/>
        </w:rPr>
        <w:t xml:space="preserve">increased with </w:t>
      </w:r>
      <w:r w:rsidR="00EC5018" w:rsidRPr="00655509">
        <w:rPr>
          <w:rFonts w:ascii="Times New Roman" w:hAnsi="Times New Roman" w:cs="Times New Roman"/>
          <w:sz w:val="24"/>
          <w:szCs w:val="24"/>
          <w:lang w:val="en-US"/>
        </w:rPr>
        <w:t>age only for fractures of the pelvis in women of 70 years or older. After an index vertebral fracture an increase in subsequent fracture incidence was seen in hip fractures in women above 60 years and in pelvic fractures in women above 65</w:t>
      </w:r>
      <w:r w:rsidR="00A25182" w:rsidRPr="00655509">
        <w:rPr>
          <w:rFonts w:ascii="Times New Roman" w:hAnsi="Times New Roman" w:cs="Times New Roman"/>
          <w:sz w:val="24"/>
          <w:szCs w:val="24"/>
          <w:lang w:val="en-US"/>
        </w:rPr>
        <w:t xml:space="preserve"> years</w:t>
      </w:r>
      <w:r w:rsidR="00EC5018" w:rsidRPr="00655509">
        <w:rPr>
          <w:rFonts w:ascii="Times New Roman" w:hAnsi="Times New Roman" w:cs="Times New Roman"/>
          <w:sz w:val="24"/>
          <w:szCs w:val="24"/>
          <w:lang w:val="en-US"/>
        </w:rPr>
        <w:t xml:space="preserve"> and men above 75 years</w:t>
      </w:r>
      <w:r w:rsidR="00E54C21" w:rsidRPr="00655509">
        <w:rPr>
          <w:rFonts w:ascii="Times New Roman" w:hAnsi="Times New Roman" w:cs="Times New Roman"/>
          <w:sz w:val="24"/>
          <w:szCs w:val="24"/>
          <w:lang w:val="en-US"/>
        </w:rPr>
        <w:t xml:space="preserve"> (Online Supplementary Figures 2 and 3).</w:t>
      </w:r>
      <w:r w:rsidR="00EC5018" w:rsidRPr="00655509">
        <w:rPr>
          <w:rFonts w:ascii="Times New Roman" w:hAnsi="Times New Roman" w:cs="Times New Roman"/>
          <w:sz w:val="24"/>
          <w:szCs w:val="24"/>
          <w:lang w:val="en-US"/>
        </w:rPr>
        <w:t xml:space="preserve"> </w:t>
      </w:r>
    </w:p>
    <w:p w14:paraId="1EC5B5EA" w14:textId="77777777" w:rsidR="009C5A7A" w:rsidRPr="00655509" w:rsidRDefault="00EC5018">
      <w:pPr>
        <w:spacing w:after="120" w:line="480" w:lineRule="auto"/>
        <w:jc w:val="both"/>
        <w:rPr>
          <w:rFonts w:ascii="Times New Roman" w:hAnsi="Times New Roman" w:cs="Times New Roman"/>
          <w:i/>
          <w:sz w:val="24"/>
          <w:szCs w:val="24"/>
        </w:rPr>
      </w:pPr>
      <w:r w:rsidRPr="00655509">
        <w:rPr>
          <w:rFonts w:ascii="Times New Roman" w:hAnsi="Times New Roman" w:cs="Times New Roman"/>
          <w:i/>
          <w:sz w:val="24"/>
          <w:szCs w:val="24"/>
          <w:lang w:val="en-US"/>
        </w:rPr>
        <w:t>Age-</w:t>
      </w:r>
      <w:r w:rsidRPr="00655509">
        <w:rPr>
          <w:rFonts w:ascii="Times New Roman" w:hAnsi="Times New Roman" w:cs="Times New Roman"/>
          <w:i/>
          <w:sz w:val="24"/>
          <w:szCs w:val="24"/>
        </w:rPr>
        <w:t xml:space="preserve">specific incidence of subsequent fractures after an index fracture of the hip.        </w:t>
      </w:r>
    </w:p>
    <w:p w14:paraId="51C87BEF" w14:textId="466F8275" w:rsidR="00EC5018" w:rsidRPr="00655509" w:rsidRDefault="00EC5018">
      <w:pPr>
        <w:spacing w:after="120" w:line="480" w:lineRule="auto"/>
        <w:jc w:val="both"/>
        <w:rPr>
          <w:rFonts w:ascii="Times New Roman" w:hAnsi="Times New Roman" w:cs="Times New Roman"/>
          <w:sz w:val="24"/>
          <w:szCs w:val="24"/>
          <w:lang w:val="en-US"/>
        </w:rPr>
      </w:pPr>
      <w:r w:rsidRPr="00655509">
        <w:rPr>
          <w:rFonts w:ascii="Times New Roman" w:hAnsi="Times New Roman" w:cs="Times New Roman"/>
          <w:sz w:val="24"/>
          <w:szCs w:val="24"/>
        </w:rPr>
        <w:t xml:space="preserve">The </w:t>
      </w:r>
      <w:r w:rsidRPr="00655509">
        <w:rPr>
          <w:rFonts w:ascii="Times New Roman" w:hAnsi="Times New Roman" w:cs="Times New Roman"/>
          <w:sz w:val="24"/>
          <w:szCs w:val="24"/>
          <w:lang w:val="en-US"/>
        </w:rPr>
        <w:t xml:space="preserve">incidence of a subsequent vertebral fracture after an index fracture of the </w:t>
      </w:r>
      <w:r w:rsidR="00EA7BDA" w:rsidRPr="00655509">
        <w:rPr>
          <w:rFonts w:ascii="Times New Roman" w:hAnsi="Times New Roman" w:cs="Times New Roman"/>
          <w:sz w:val="24"/>
          <w:szCs w:val="24"/>
          <w:lang w:val="en-US"/>
        </w:rPr>
        <w:t>femur/</w:t>
      </w:r>
      <w:r w:rsidRPr="00655509">
        <w:rPr>
          <w:rFonts w:ascii="Times New Roman" w:hAnsi="Times New Roman" w:cs="Times New Roman"/>
          <w:sz w:val="24"/>
          <w:szCs w:val="24"/>
          <w:lang w:val="en-US"/>
        </w:rPr>
        <w:t xml:space="preserve">hip varied </w:t>
      </w:r>
      <w:bookmarkStart w:id="5" w:name="_Hlk486091783"/>
      <w:r w:rsidRPr="00655509">
        <w:rPr>
          <w:rFonts w:ascii="Times New Roman" w:hAnsi="Times New Roman" w:cs="Times New Roman"/>
          <w:sz w:val="24"/>
          <w:szCs w:val="24"/>
          <w:lang w:val="en-US"/>
        </w:rPr>
        <w:t xml:space="preserve">in men from 14.5 fractures per 10,000 py for the age class 50-54 years </w:t>
      </w:r>
      <w:bookmarkEnd w:id="5"/>
      <w:r w:rsidRPr="00655509">
        <w:rPr>
          <w:rFonts w:ascii="Times New Roman" w:hAnsi="Times New Roman" w:cs="Times New Roman"/>
          <w:sz w:val="24"/>
          <w:szCs w:val="24"/>
          <w:lang w:val="en-US"/>
        </w:rPr>
        <w:t>to 56.1 fractures per 10,000 py for those aged 60-64 years (</w:t>
      </w:r>
      <w:r w:rsidR="00A25182" w:rsidRPr="00655509">
        <w:rPr>
          <w:rFonts w:ascii="Times New Roman" w:hAnsi="Times New Roman" w:cs="Times New Roman"/>
          <w:sz w:val="24"/>
          <w:szCs w:val="24"/>
          <w:lang w:val="en-US"/>
        </w:rPr>
        <w:t>T</w:t>
      </w:r>
      <w:r w:rsidRPr="00655509">
        <w:rPr>
          <w:rFonts w:ascii="Times New Roman" w:hAnsi="Times New Roman" w:cs="Times New Roman"/>
          <w:sz w:val="24"/>
          <w:szCs w:val="24"/>
          <w:lang w:val="en-US"/>
        </w:rPr>
        <w:t xml:space="preserve">able 2). In women </w:t>
      </w:r>
      <w:r w:rsidR="00A25182" w:rsidRPr="00655509">
        <w:rPr>
          <w:rFonts w:ascii="Times New Roman" w:hAnsi="Times New Roman" w:cs="Times New Roman"/>
          <w:sz w:val="24"/>
          <w:szCs w:val="24"/>
          <w:lang w:val="en-US"/>
        </w:rPr>
        <w:t xml:space="preserve">the corresponding </w:t>
      </w:r>
      <w:r w:rsidRPr="00655509">
        <w:rPr>
          <w:rFonts w:ascii="Times New Roman" w:hAnsi="Times New Roman" w:cs="Times New Roman"/>
          <w:sz w:val="24"/>
          <w:szCs w:val="24"/>
          <w:lang w:val="en-US"/>
        </w:rPr>
        <w:t xml:space="preserve">incidence ranged from 16.0 for age 55-59 years to 56.1 for those aged 60-64 years. For subsequent fracture of the humerus </w:t>
      </w:r>
      <w:r w:rsidR="00A25182" w:rsidRPr="00655509">
        <w:rPr>
          <w:rFonts w:ascii="Times New Roman" w:hAnsi="Times New Roman" w:cs="Times New Roman"/>
          <w:sz w:val="24"/>
          <w:szCs w:val="24"/>
          <w:lang w:val="en-US"/>
        </w:rPr>
        <w:t xml:space="preserve">after </w:t>
      </w:r>
      <w:r w:rsidR="00EA7BDA" w:rsidRPr="00655509">
        <w:rPr>
          <w:rFonts w:ascii="Times New Roman" w:hAnsi="Times New Roman" w:cs="Times New Roman"/>
          <w:sz w:val="24"/>
          <w:szCs w:val="24"/>
          <w:lang w:val="en-US"/>
        </w:rPr>
        <w:t>femur/</w:t>
      </w:r>
      <w:r w:rsidR="00A25182" w:rsidRPr="00655509">
        <w:rPr>
          <w:rFonts w:ascii="Times New Roman" w:hAnsi="Times New Roman" w:cs="Times New Roman"/>
          <w:sz w:val="24"/>
          <w:szCs w:val="24"/>
          <w:lang w:val="en-US"/>
        </w:rPr>
        <w:t xml:space="preserve">hip fracture, the </w:t>
      </w:r>
      <w:r w:rsidRPr="00655509">
        <w:rPr>
          <w:rFonts w:ascii="Times New Roman" w:hAnsi="Times New Roman" w:cs="Times New Roman"/>
          <w:sz w:val="24"/>
          <w:szCs w:val="24"/>
          <w:lang w:val="en-US"/>
        </w:rPr>
        <w:t xml:space="preserve">incidence varied from 44.5 for the age class 60-64 years to 75.8 for those aged 55-59 years in men and from 61.8 for the age class 60-69 years to 106.6 for those aged 50-54 years in women. </w:t>
      </w:r>
    </w:p>
    <w:p w14:paraId="13476BCD" w14:textId="77777777" w:rsidR="00EC5018" w:rsidRPr="00655509" w:rsidRDefault="00EC5018">
      <w:pPr>
        <w:spacing w:after="120" w:line="480" w:lineRule="auto"/>
        <w:jc w:val="both"/>
        <w:rPr>
          <w:rFonts w:ascii="Times New Roman" w:hAnsi="Times New Roman" w:cs="Times New Roman"/>
          <w:i/>
          <w:sz w:val="24"/>
          <w:szCs w:val="24"/>
          <w:lang w:val="en-US"/>
        </w:rPr>
      </w:pPr>
      <w:r w:rsidRPr="00655509">
        <w:rPr>
          <w:rFonts w:ascii="Times New Roman" w:hAnsi="Times New Roman" w:cs="Times New Roman"/>
          <w:i/>
          <w:sz w:val="24"/>
          <w:szCs w:val="24"/>
          <w:lang w:val="en-US"/>
        </w:rPr>
        <w:t xml:space="preserve">Relative risk for subsequent fractures        </w:t>
      </w:r>
    </w:p>
    <w:p w14:paraId="1B7408F2" w14:textId="3EEC9081" w:rsidR="00B121D9" w:rsidRPr="00EE3900" w:rsidRDefault="00EC5018">
      <w:pPr>
        <w:spacing w:after="120" w:line="480" w:lineRule="auto"/>
        <w:jc w:val="both"/>
        <w:rPr>
          <w:rFonts w:ascii="Times New Roman" w:hAnsi="Times New Roman" w:cs="Times New Roman"/>
          <w:sz w:val="24"/>
          <w:szCs w:val="24"/>
          <w:lang w:val="en-US"/>
        </w:rPr>
      </w:pPr>
      <w:r w:rsidRPr="00655509">
        <w:rPr>
          <w:rFonts w:ascii="Times New Roman" w:hAnsi="Times New Roman" w:cs="Times New Roman"/>
          <w:sz w:val="24"/>
          <w:szCs w:val="24"/>
          <w:lang w:val="en-US"/>
        </w:rPr>
        <w:t xml:space="preserve">The highest RRs after an index </w:t>
      </w:r>
      <w:r w:rsidR="00EA7BDA" w:rsidRPr="00655509">
        <w:rPr>
          <w:rFonts w:ascii="Times New Roman" w:hAnsi="Times New Roman" w:cs="Times New Roman"/>
          <w:sz w:val="24"/>
          <w:szCs w:val="24"/>
          <w:lang w:val="en-US"/>
        </w:rPr>
        <w:t>femur/</w:t>
      </w:r>
      <w:r w:rsidRPr="00655509">
        <w:rPr>
          <w:rFonts w:ascii="Times New Roman" w:hAnsi="Times New Roman" w:cs="Times New Roman"/>
          <w:sz w:val="24"/>
          <w:szCs w:val="24"/>
          <w:lang w:val="en-US"/>
        </w:rPr>
        <w:t>hip fracture were in general found in the younger age classes while the RRs in the oldest age classes were in general the lowest (</w:t>
      </w:r>
      <w:r w:rsidR="00486F24" w:rsidRPr="00655509">
        <w:rPr>
          <w:rFonts w:ascii="Times New Roman" w:hAnsi="Times New Roman" w:cs="Times New Roman"/>
          <w:sz w:val="24"/>
          <w:szCs w:val="24"/>
          <w:lang w:val="en-US"/>
        </w:rPr>
        <w:t>T</w:t>
      </w:r>
      <w:r w:rsidRPr="00655509">
        <w:rPr>
          <w:rFonts w:ascii="Times New Roman" w:hAnsi="Times New Roman" w:cs="Times New Roman"/>
          <w:sz w:val="24"/>
          <w:szCs w:val="24"/>
          <w:lang w:val="en-US"/>
        </w:rPr>
        <w:t xml:space="preserve">able 3).  The RR of a subsequent vertebral fracture and fracture of the humerus was in general higher in men then in women. The RR of a subsequent vertebral fracture after an index fracture of the </w:t>
      </w:r>
      <w:r w:rsidR="00EA7BDA" w:rsidRPr="00655509">
        <w:rPr>
          <w:rFonts w:ascii="Times New Roman" w:hAnsi="Times New Roman" w:cs="Times New Roman"/>
          <w:sz w:val="24"/>
          <w:szCs w:val="24"/>
          <w:lang w:val="en-US"/>
        </w:rPr>
        <w:t>femur/</w:t>
      </w:r>
      <w:r w:rsidRPr="00655509">
        <w:rPr>
          <w:rFonts w:ascii="Times New Roman" w:hAnsi="Times New Roman" w:cs="Times New Roman"/>
          <w:sz w:val="24"/>
          <w:szCs w:val="24"/>
          <w:lang w:val="en-US"/>
        </w:rPr>
        <w:t>hip varied in men from 1.8 for the age class 90+ years to 17.5 for those aged 60-64 years (</w:t>
      </w:r>
      <w:r w:rsidR="00486F24" w:rsidRPr="00655509">
        <w:rPr>
          <w:rFonts w:ascii="Times New Roman" w:hAnsi="Times New Roman" w:cs="Times New Roman"/>
          <w:sz w:val="24"/>
          <w:szCs w:val="24"/>
          <w:lang w:val="en-US"/>
        </w:rPr>
        <w:t>T</w:t>
      </w:r>
      <w:r w:rsidRPr="00655509">
        <w:rPr>
          <w:rFonts w:ascii="Times New Roman" w:hAnsi="Times New Roman" w:cs="Times New Roman"/>
          <w:sz w:val="24"/>
          <w:szCs w:val="24"/>
          <w:lang w:val="en-US"/>
        </w:rPr>
        <w:t xml:space="preserve">able 3). In women this RR ranged from 1.6 for the age class 90+ to 11.5 for those aged 60-64 years. The RR of a subsequent fracture of the humerus after an index fracture of the </w:t>
      </w:r>
      <w:r w:rsidR="00EA7BDA" w:rsidRPr="00655509">
        <w:rPr>
          <w:rFonts w:ascii="Times New Roman" w:hAnsi="Times New Roman" w:cs="Times New Roman"/>
          <w:sz w:val="24"/>
          <w:szCs w:val="24"/>
          <w:lang w:val="en-US"/>
        </w:rPr>
        <w:t>femur/</w:t>
      </w:r>
      <w:r w:rsidRPr="00655509">
        <w:rPr>
          <w:rFonts w:ascii="Times New Roman" w:hAnsi="Times New Roman" w:cs="Times New Roman"/>
          <w:sz w:val="24"/>
          <w:szCs w:val="24"/>
          <w:lang w:val="en-US"/>
        </w:rPr>
        <w:t>hip in men varied from 2.7 for the age class 85-89 years to 12.9 for those aged 55-59 years (</w:t>
      </w:r>
      <w:r w:rsidR="00486F24" w:rsidRPr="00655509">
        <w:rPr>
          <w:rFonts w:ascii="Times New Roman" w:hAnsi="Times New Roman" w:cs="Times New Roman"/>
          <w:sz w:val="24"/>
          <w:szCs w:val="24"/>
          <w:lang w:val="en-US"/>
        </w:rPr>
        <w:t>T</w:t>
      </w:r>
      <w:r w:rsidRPr="00655509">
        <w:rPr>
          <w:rFonts w:ascii="Times New Roman" w:hAnsi="Times New Roman" w:cs="Times New Roman"/>
          <w:sz w:val="24"/>
          <w:szCs w:val="24"/>
          <w:lang w:val="en-US"/>
        </w:rPr>
        <w:t xml:space="preserve">able 3). In women this RR ranged from 2.2 for the age class 90+ years to 14.2 for those aged 50- 54 years. </w:t>
      </w:r>
      <w:r w:rsidR="00EE3900">
        <w:rPr>
          <w:rFonts w:ascii="Times New Roman" w:hAnsi="Times New Roman" w:cs="Times New Roman"/>
          <w:sz w:val="24"/>
          <w:szCs w:val="24"/>
          <w:lang w:val="en-US"/>
        </w:rPr>
        <w:t>There was no evidence of any statistically significant difference in incidence rates of fractures after an index hip/femur fracture or radius/ulna fracture comparing the second (2001-2012) with the first (1990-2012) half of the calendar period for men. However for women there was evidence of a secular increase in the risk of subsequent vertebral fracture after radius/ulna, a decrease in rib after hip/femur or radius/ulna index fractures, and a decrease in radius/ulna fractures after hip/femur fracture comparing the later with an earlier calendar period (Online Supplementary Tables 2A and 2B).</w:t>
      </w:r>
    </w:p>
    <w:p w14:paraId="71E09CFD" w14:textId="77777777" w:rsidR="00EC5018" w:rsidRPr="00EE3900" w:rsidRDefault="00EC5018">
      <w:pPr>
        <w:spacing w:after="120" w:line="480" w:lineRule="auto"/>
        <w:jc w:val="both"/>
        <w:rPr>
          <w:rFonts w:ascii="Times New Roman" w:hAnsi="Times New Roman" w:cs="Times New Roman"/>
          <w:sz w:val="24"/>
          <w:szCs w:val="24"/>
          <w:lang w:eastAsia="nl-BE"/>
        </w:rPr>
      </w:pPr>
      <w:r w:rsidRPr="00EE3900">
        <w:rPr>
          <w:rFonts w:ascii="Times New Roman" w:hAnsi="Times New Roman" w:cs="Times New Roman"/>
          <w:b/>
          <w:sz w:val="24"/>
          <w:szCs w:val="24"/>
          <w:lang w:eastAsia="nl-BE"/>
        </w:rPr>
        <w:t>Discussion</w:t>
      </w:r>
      <w:r w:rsidRPr="00EE3900">
        <w:rPr>
          <w:rFonts w:ascii="Times New Roman" w:hAnsi="Times New Roman" w:cs="Times New Roman"/>
          <w:sz w:val="24"/>
          <w:szCs w:val="24"/>
          <w:lang w:eastAsia="nl-BE"/>
        </w:rPr>
        <w:t xml:space="preserve"> </w:t>
      </w:r>
    </w:p>
    <w:p w14:paraId="320FEA56" w14:textId="5E5F8948" w:rsidR="004B69FE" w:rsidRPr="00655509" w:rsidRDefault="004B69FE">
      <w:pPr>
        <w:spacing w:after="120" w:line="480" w:lineRule="auto"/>
        <w:jc w:val="both"/>
        <w:rPr>
          <w:rFonts w:ascii="Times New Roman" w:hAnsi="Times New Roman" w:cs="Times New Roman"/>
          <w:sz w:val="24"/>
          <w:szCs w:val="24"/>
        </w:rPr>
      </w:pPr>
      <w:r w:rsidRPr="005F5B1E">
        <w:rPr>
          <w:rFonts w:ascii="Times New Roman" w:hAnsi="Times New Roman" w:cs="Times New Roman"/>
          <w:sz w:val="24"/>
          <w:szCs w:val="24"/>
        </w:rPr>
        <w:t>In t</w:t>
      </w:r>
      <w:r w:rsidR="00EC5018" w:rsidRPr="00655509">
        <w:rPr>
          <w:rFonts w:ascii="Times New Roman" w:hAnsi="Times New Roman" w:cs="Times New Roman"/>
          <w:sz w:val="24"/>
          <w:szCs w:val="24"/>
        </w:rPr>
        <w:t>his retrospective, observational study</w:t>
      </w:r>
      <w:r w:rsidRPr="00655509">
        <w:rPr>
          <w:rFonts w:ascii="Times New Roman" w:hAnsi="Times New Roman" w:cs="Times New Roman"/>
          <w:sz w:val="24"/>
          <w:szCs w:val="24"/>
        </w:rPr>
        <w:t>,</w:t>
      </w:r>
      <w:r w:rsidR="00EC5018" w:rsidRPr="00655509">
        <w:rPr>
          <w:rFonts w:ascii="Times New Roman" w:hAnsi="Times New Roman" w:cs="Times New Roman"/>
          <w:sz w:val="24"/>
          <w:szCs w:val="24"/>
        </w:rPr>
        <w:t xml:space="preserve"> using data from the CPRD database</w:t>
      </w:r>
      <w:r w:rsidRPr="00655509">
        <w:rPr>
          <w:rFonts w:ascii="Times New Roman" w:hAnsi="Times New Roman" w:cs="Times New Roman"/>
          <w:sz w:val="24"/>
          <w:szCs w:val="24"/>
        </w:rPr>
        <w:t>,</w:t>
      </w:r>
      <w:r w:rsidR="00EC5018" w:rsidRPr="00655509">
        <w:rPr>
          <w:rFonts w:ascii="Times New Roman" w:hAnsi="Times New Roman" w:cs="Times New Roman"/>
          <w:sz w:val="24"/>
          <w:szCs w:val="24"/>
        </w:rPr>
        <w:t xml:space="preserve"> </w:t>
      </w:r>
      <w:r w:rsidRPr="00655509">
        <w:rPr>
          <w:rFonts w:ascii="Times New Roman" w:hAnsi="Times New Roman" w:cs="Times New Roman"/>
          <w:sz w:val="24"/>
          <w:szCs w:val="24"/>
        </w:rPr>
        <w:t xml:space="preserve">we have </w:t>
      </w:r>
      <w:r w:rsidR="00EC5018" w:rsidRPr="00655509">
        <w:rPr>
          <w:rFonts w:ascii="Times New Roman" w:hAnsi="Times New Roman" w:cs="Times New Roman"/>
          <w:sz w:val="24"/>
          <w:szCs w:val="24"/>
        </w:rPr>
        <w:t>describe</w:t>
      </w:r>
      <w:r w:rsidRPr="00655509">
        <w:rPr>
          <w:rFonts w:ascii="Times New Roman" w:hAnsi="Times New Roman" w:cs="Times New Roman"/>
          <w:sz w:val="24"/>
          <w:szCs w:val="24"/>
        </w:rPr>
        <w:t>d</w:t>
      </w:r>
      <w:r w:rsidR="00EC5018" w:rsidRPr="00655509">
        <w:rPr>
          <w:rFonts w:ascii="Times New Roman" w:hAnsi="Times New Roman" w:cs="Times New Roman"/>
          <w:sz w:val="24"/>
          <w:szCs w:val="24"/>
        </w:rPr>
        <w:t xml:space="preserve"> the incidence of subsequent fractures after a first fracture of the </w:t>
      </w:r>
      <w:r w:rsidR="00EA7BDA" w:rsidRPr="00655509">
        <w:rPr>
          <w:rFonts w:ascii="Times New Roman" w:hAnsi="Times New Roman" w:cs="Times New Roman"/>
          <w:sz w:val="24"/>
          <w:szCs w:val="24"/>
        </w:rPr>
        <w:t>femur/</w:t>
      </w:r>
      <w:r w:rsidR="00EC5018" w:rsidRPr="00655509">
        <w:rPr>
          <w:rFonts w:ascii="Times New Roman" w:hAnsi="Times New Roman" w:cs="Times New Roman"/>
          <w:sz w:val="24"/>
          <w:szCs w:val="24"/>
        </w:rPr>
        <w:t xml:space="preserve">hip, humerus, radius/ulna, vertebra, rib or pelvis in the UK in persons 50 years or older for the period 1990 </w:t>
      </w:r>
      <w:r w:rsidR="00CE5AF0" w:rsidRPr="00655509">
        <w:rPr>
          <w:rFonts w:ascii="Times New Roman" w:hAnsi="Times New Roman" w:cs="Times New Roman"/>
          <w:sz w:val="24"/>
          <w:szCs w:val="24"/>
        </w:rPr>
        <w:t xml:space="preserve">to </w:t>
      </w:r>
      <w:r w:rsidR="00EC5018" w:rsidRPr="00655509">
        <w:rPr>
          <w:rFonts w:ascii="Times New Roman" w:hAnsi="Times New Roman" w:cs="Times New Roman"/>
          <w:sz w:val="24"/>
          <w:szCs w:val="24"/>
        </w:rPr>
        <w:t>2012</w:t>
      </w:r>
      <w:r w:rsidR="00CE5AF0" w:rsidRPr="00655509">
        <w:rPr>
          <w:rFonts w:ascii="Times New Roman" w:hAnsi="Times New Roman" w:cs="Times New Roman"/>
          <w:sz w:val="24"/>
          <w:szCs w:val="24"/>
        </w:rPr>
        <w:t>,</w:t>
      </w:r>
      <w:r w:rsidR="00EC5018" w:rsidRPr="00655509">
        <w:rPr>
          <w:rFonts w:ascii="Times New Roman" w:hAnsi="Times New Roman" w:cs="Times New Roman"/>
          <w:sz w:val="24"/>
          <w:szCs w:val="24"/>
        </w:rPr>
        <w:t xml:space="preserve"> </w:t>
      </w:r>
      <w:r w:rsidR="00CE5AF0" w:rsidRPr="00655509">
        <w:rPr>
          <w:rFonts w:ascii="Times New Roman" w:hAnsi="Times New Roman" w:cs="Times New Roman"/>
          <w:sz w:val="24"/>
          <w:szCs w:val="24"/>
        </w:rPr>
        <w:t>together with</w:t>
      </w:r>
      <w:r w:rsidR="00EC5018" w:rsidRPr="00655509">
        <w:rPr>
          <w:rFonts w:ascii="Times New Roman" w:hAnsi="Times New Roman" w:cs="Times New Roman"/>
          <w:sz w:val="24"/>
          <w:szCs w:val="24"/>
        </w:rPr>
        <w:t xml:space="preserve"> the RR of fractures of the humerus, radius/ulna or vertebrae after an index </w:t>
      </w:r>
      <w:r w:rsidR="00EA7BDA" w:rsidRPr="00655509">
        <w:rPr>
          <w:rFonts w:ascii="Times New Roman" w:hAnsi="Times New Roman" w:cs="Times New Roman"/>
          <w:sz w:val="24"/>
          <w:szCs w:val="24"/>
        </w:rPr>
        <w:t>femur/</w:t>
      </w:r>
      <w:r w:rsidR="00EC5018" w:rsidRPr="00655509">
        <w:rPr>
          <w:rFonts w:ascii="Times New Roman" w:hAnsi="Times New Roman" w:cs="Times New Roman"/>
          <w:sz w:val="24"/>
          <w:szCs w:val="24"/>
        </w:rPr>
        <w:t>hip fracture. We found that patients suffering a fracture in general have a high incid</w:t>
      </w:r>
      <w:r w:rsidR="00E85D5E" w:rsidRPr="00655509">
        <w:rPr>
          <w:rFonts w:ascii="Times New Roman" w:hAnsi="Times New Roman" w:cs="Times New Roman"/>
          <w:sz w:val="24"/>
          <w:szCs w:val="24"/>
        </w:rPr>
        <w:t xml:space="preserve">ence of a subsequent fracture. </w:t>
      </w:r>
      <w:r w:rsidR="00EC5018" w:rsidRPr="00655509">
        <w:rPr>
          <w:rFonts w:ascii="Times New Roman" w:hAnsi="Times New Roman" w:cs="Times New Roman"/>
          <w:sz w:val="24"/>
          <w:szCs w:val="24"/>
        </w:rPr>
        <w:t xml:space="preserve">The RR of a subsequent fracture after a </w:t>
      </w:r>
      <w:r w:rsidR="00EA7BDA" w:rsidRPr="00655509">
        <w:rPr>
          <w:rFonts w:ascii="Times New Roman" w:hAnsi="Times New Roman" w:cs="Times New Roman"/>
          <w:sz w:val="24"/>
          <w:szCs w:val="24"/>
        </w:rPr>
        <w:t>femur/</w:t>
      </w:r>
      <w:r w:rsidR="00EC5018" w:rsidRPr="00655509">
        <w:rPr>
          <w:rFonts w:ascii="Times New Roman" w:hAnsi="Times New Roman" w:cs="Times New Roman"/>
          <w:sz w:val="24"/>
          <w:szCs w:val="24"/>
        </w:rPr>
        <w:t>hip fracture (compared with a first fracture at the same site) was highest in the younger age groups and in men, and in most subgroups ranged from 3-7 for subsequent vertebral fracture and fracture of the humerus</w:t>
      </w:r>
      <w:r w:rsidRPr="00655509">
        <w:rPr>
          <w:rFonts w:ascii="Times New Roman" w:hAnsi="Times New Roman" w:cs="Times New Roman"/>
          <w:sz w:val="24"/>
          <w:szCs w:val="24"/>
        </w:rPr>
        <w:t>,</w:t>
      </w:r>
      <w:r w:rsidR="00EC5018" w:rsidRPr="00655509">
        <w:rPr>
          <w:rFonts w:ascii="Times New Roman" w:hAnsi="Times New Roman" w:cs="Times New Roman"/>
          <w:sz w:val="24"/>
          <w:szCs w:val="24"/>
        </w:rPr>
        <w:t xml:space="preserve"> and from 2-5 for subsequent fractures of the radius</w:t>
      </w:r>
      <w:r w:rsidR="00CE5AF0" w:rsidRPr="00655509">
        <w:rPr>
          <w:rFonts w:ascii="Times New Roman" w:hAnsi="Times New Roman" w:cs="Times New Roman"/>
          <w:sz w:val="24"/>
          <w:szCs w:val="24"/>
        </w:rPr>
        <w:t>/</w:t>
      </w:r>
      <w:r w:rsidR="00EC5018" w:rsidRPr="00655509">
        <w:rPr>
          <w:rFonts w:ascii="Times New Roman" w:hAnsi="Times New Roman" w:cs="Times New Roman"/>
          <w:sz w:val="24"/>
          <w:szCs w:val="24"/>
        </w:rPr>
        <w:t>ulna.</w:t>
      </w:r>
    </w:p>
    <w:p w14:paraId="4AC0E117" w14:textId="04D4CC03" w:rsidR="004B69FE" w:rsidRPr="00EE3900" w:rsidRDefault="008D5CB1">
      <w:pPr>
        <w:spacing w:after="120" w:line="480" w:lineRule="auto"/>
        <w:jc w:val="both"/>
        <w:rPr>
          <w:rFonts w:ascii="Times New Roman" w:hAnsi="Times New Roman" w:cs="Times New Roman"/>
          <w:sz w:val="24"/>
          <w:szCs w:val="24"/>
        </w:rPr>
      </w:pPr>
      <w:r w:rsidRPr="00655509">
        <w:rPr>
          <w:rFonts w:ascii="Times New Roman" w:hAnsi="Times New Roman" w:cs="Times New Roman"/>
          <w:sz w:val="24"/>
          <w:szCs w:val="24"/>
        </w:rPr>
        <w:t xml:space="preserve">In general, our results </w:t>
      </w:r>
      <w:r w:rsidR="00EC5018" w:rsidRPr="00655509">
        <w:rPr>
          <w:rFonts w:ascii="Times New Roman" w:hAnsi="Times New Roman" w:cs="Times New Roman"/>
          <w:sz w:val="24"/>
          <w:szCs w:val="24"/>
        </w:rPr>
        <w:t xml:space="preserve">are </w:t>
      </w:r>
      <w:r w:rsidR="00CE5AF0" w:rsidRPr="00655509">
        <w:rPr>
          <w:rFonts w:ascii="Times New Roman" w:hAnsi="Times New Roman" w:cs="Times New Roman"/>
          <w:sz w:val="24"/>
          <w:szCs w:val="24"/>
        </w:rPr>
        <w:t>consistent with, and extend,</w:t>
      </w:r>
      <w:r w:rsidR="00EC5018" w:rsidRPr="00655509">
        <w:rPr>
          <w:rFonts w:ascii="Times New Roman" w:hAnsi="Times New Roman" w:cs="Times New Roman"/>
          <w:sz w:val="24"/>
          <w:szCs w:val="24"/>
        </w:rPr>
        <w:t xml:space="preserve"> findings of meta-analyses and cohort studies published </w:t>
      </w:r>
      <w:r w:rsidR="00CE5AF0" w:rsidRPr="00655509">
        <w:rPr>
          <w:rFonts w:ascii="Times New Roman" w:hAnsi="Times New Roman" w:cs="Times New Roman"/>
          <w:sz w:val="24"/>
          <w:szCs w:val="24"/>
        </w:rPr>
        <w:t>previously</w:t>
      </w:r>
      <w:r w:rsidR="00EC5018" w:rsidRPr="00655509">
        <w:rPr>
          <w:rFonts w:ascii="Times New Roman" w:hAnsi="Times New Roman" w:cs="Times New Roman"/>
          <w:sz w:val="24"/>
          <w:szCs w:val="24"/>
        </w:rPr>
        <w:t>. In a study from the UK published in 2002 [</w:t>
      </w:r>
      <w:r w:rsidR="008D780E" w:rsidRPr="00655509">
        <w:rPr>
          <w:rFonts w:ascii="Times New Roman" w:hAnsi="Times New Roman" w:cs="Times New Roman"/>
          <w:sz w:val="24"/>
          <w:szCs w:val="24"/>
        </w:rPr>
        <w:t>15</w:t>
      </w:r>
      <w:r w:rsidR="00EC5018" w:rsidRPr="00655509">
        <w:rPr>
          <w:rFonts w:ascii="Times New Roman" w:hAnsi="Times New Roman" w:cs="Times New Roman"/>
          <w:sz w:val="24"/>
          <w:szCs w:val="24"/>
        </w:rPr>
        <w:t xml:space="preserve">], using the same </w:t>
      </w:r>
      <w:r w:rsidR="00CE5AF0" w:rsidRPr="00655509">
        <w:rPr>
          <w:rFonts w:ascii="Times New Roman" w:hAnsi="Times New Roman" w:cs="Times New Roman"/>
          <w:sz w:val="24"/>
          <w:szCs w:val="24"/>
        </w:rPr>
        <w:t xml:space="preserve">CPRD </w:t>
      </w:r>
      <w:r w:rsidR="00EC5018" w:rsidRPr="00655509">
        <w:rPr>
          <w:rFonts w:ascii="Times New Roman" w:hAnsi="Times New Roman" w:cs="Times New Roman"/>
          <w:sz w:val="24"/>
          <w:szCs w:val="24"/>
        </w:rPr>
        <w:t xml:space="preserve">database, there was a 2 to 3-fold increase </w:t>
      </w:r>
      <w:r w:rsidR="00CE5AF0" w:rsidRPr="00655509">
        <w:rPr>
          <w:rFonts w:ascii="Times New Roman" w:hAnsi="Times New Roman" w:cs="Times New Roman"/>
          <w:sz w:val="24"/>
          <w:szCs w:val="24"/>
        </w:rPr>
        <w:t xml:space="preserve">in the risk </w:t>
      </w:r>
      <w:r w:rsidR="00EC5018" w:rsidRPr="00655509">
        <w:rPr>
          <w:rFonts w:ascii="Times New Roman" w:hAnsi="Times New Roman" w:cs="Times New Roman"/>
          <w:sz w:val="24"/>
          <w:szCs w:val="24"/>
        </w:rPr>
        <w:t xml:space="preserve">of subsequent fractures at different skeletal sites after an index </w:t>
      </w:r>
      <w:r w:rsidR="00011CFF" w:rsidRPr="00655509">
        <w:rPr>
          <w:rFonts w:ascii="Times New Roman" w:hAnsi="Times New Roman" w:cs="Times New Roman"/>
          <w:sz w:val="24"/>
          <w:szCs w:val="24"/>
        </w:rPr>
        <w:t>femur/</w:t>
      </w:r>
      <w:r w:rsidR="00EC5018" w:rsidRPr="00655509">
        <w:rPr>
          <w:rFonts w:ascii="Times New Roman" w:hAnsi="Times New Roman" w:cs="Times New Roman"/>
          <w:sz w:val="24"/>
          <w:szCs w:val="24"/>
        </w:rPr>
        <w:t xml:space="preserve">hip fracture. This lower increase in fracture risk can be explained by the fact that in this study persons 20 years </w:t>
      </w:r>
      <w:r w:rsidR="004B69FE" w:rsidRPr="00655509">
        <w:rPr>
          <w:rFonts w:ascii="Times New Roman" w:hAnsi="Times New Roman" w:cs="Times New Roman"/>
          <w:sz w:val="24"/>
          <w:szCs w:val="24"/>
        </w:rPr>
        <w:t xml:space="preserve">or </w:t>
      </w:r>
      <w:r w:rsidR="00EC5018" w:rsidRPr="00655509">
        <w:rPr>
          <w:rFonts w:ascii="Times New Roman" w:hAnsi="Times New Roman" w:cs="Times New Roman"/>
          <w:sz w:val="24"/>
          <w:szCs w:val="24"/>
        </w:rPr>
        <w:t xml:space="preserve">older were included while we studied patients of 50 years </w:t>
      </w:r>
      <w:r w:rsidR="004B69FE" w:rsidRPr="00655509">
        <w:rPr>
          <w:rFonts w:ascii="Times New Roman" w:hAnsi="Times New Roman" w:cs="Times New Roman"/>
          <w:sz w:val="24"/>
          <w:szCs w:val="24"/>
        </w:rPr>
        <w:t xml:space="preserve">or </w:t>
      </w:r>
      <w:r w:rsidR="00EC5018" w:rsidRPr="00655509">
        <w:rPr>
          <w:rFonts w:ascii="Times New Roman" w:hAnsi="Times New Roman" w:cs="Times New Roman"/>
          <w:sz w:val="24"/>
          <w:szCs w:val="24"/>
        </w:rPr>
        <w:t xml:space="preserve">older. In the study from 2002, </w:t>
      </w:r>
      <w:r w:rsidR="00CE5AF0" w:rsidRPr="00655509">
        <w:rPr>
          <w:rFonts w:ascii="Times New Roman" w:hAnsi="Times New Roman" w:cs="Times New Roman"/>
          <w:sz w:val="24"/>
          <w:szCs w:val="24"/>
        </w:rPr>
        <w:t xml:space="preserve">the standardized incidence ratio (SIR) </w:t>
      </w:r>
      <w:r w:rsidR="00EC5018" w:rsidRPr="00655509">
        <w:rPr>
          <w:rFonts w:ascii="Times New Roman" w:hAnsi="Times New Roman" w:cs="Times New Roman"/>
          <w:sz w:val="24"/>
          <w:szCs w:val="24"/>
        </w:rPr>
        <w:t xml:space="preserve">of a subsequent vertebral fracture or fracture of radius/ulna after a </w:t>
      </w:r>
      <w:r w:rsidR="00011CFF" w:rsidRPr="00655509">
        <w:rPr>
          <w:rFonts w:ascii="Times New Roman" w:hAnsi="Times New Roman" w:cs="Times New Roman"/>
          <w:sz w:val="24"/>
          <w:szCs w:val="24"/>
        </w:rPr>
        <w:t>femur/</w:t>
      </w:r>
      <w:r w:rsidR="00EC5018" w:rsidRPr="00655509">
        <w:rPr>
          <w:rFonts w:ascii="Times New Roman" w:hAnsi="Times New Roman" w:cs="Times New Roman"/>
          <w:sz w:val="24"/>
          <w:szCs w:val="24"/>
        </w:rPr>
        <w:t>hip fracture was also determined in both men and women in the age groups 65-74 years, 75-84 years and 85+ years. In women, the SIR of fractures of the radius was lower than our RR in all three age groups, whereas the SIR of vertebral fractures was lower than the RR we found only in the age group 65-74 years, while in the other two age groups the values were similar. In men in the age group 65-74 the SIR for both vertebral fractures and fractures of radius/ulna was higher than the RR we found; in the other two ages groups the results overall were similar to our results.</w:t>
      </w:r>
      <w:r w:rsidR="004B69FE" w:rsidRPr="00655509">
        <w:rPr>
          <w:rFonts w:ascii="Times New Roman" w:hAnsi="Times New Roman" w:cs="Times New Roman"/>
          <w:sz w:val="24"/>
          <w:szCs w:val="24"/>
        </w:rPr>
        <w:t xml:space="preserve"> </w:t>
      </w:r>
      <w:r w:rsidR="00EC5018" w:rsidRPr="00655509">
        <w:rPr>
          <w:rFonts w:ascii="Times New Roman" w:hAnsi="Times New Roman" w:cs="Times New Roman"/>
          <w:sz w:val="24"/>
          <w:szCs w:val="24"/>
        </w:rPr>
        <w:t xml:space="preserve">A secular trend in subsequent fractures was recently described in a study using the same CPRD database to determine the absolute risk of fragility fractures after an index </w:t>
      </w:r>
      <w:r w:rsidR="00B01A60" w:rsidRPr="00655509">
        <w:rPr>
          <w:rFonts w:ascii="Times New Roman" w:hAnsi="Times New Roman" w:cs="Times New Roman"/>
          <w:sz w:val="24"/>
          <w:szCs w:val="24"/>
        </w:rPr>
        <w:t>femur/</w:t>
      </w:r>
      <w:r w:rsidR="00EC5018" w:rsidRPr="00655509">
        <w:rPr>
          <w:rFonts w:ascii="Times New Roman" w:hAnsi="Times New Roman" w:cs="Times New Roman"/>
          <w:sz w:val="24"/>
          <w:szCs w:val="24"/>
        </w:rPr>
        <w:t>hip fracture [</w:t>
      </w:r>
      <w:r w:rsidR="008D780E" w:rsidRPr="00655509">
        <w:rPr>
          <w:rFonts w:ascii="Times New Roman" w:hAnsi="Times New Roman" w:cs="Times New Roman"/>
          <w:sz w:val="24"/>
          <w:szCs w:val="24"/>
        </w:rPr>
        <w:t>20</w:t>
      </w:r>
      <w:r w:rsidR="00EC5018" w:rsidRPr="00655509">
        <w:rPr>
          <w:rFonts w:ascii="Times New Roman" w:hAnsi="Times New Roman" w:cs="Times New Roman"/>
          <w:sz w:val="24"/>
          <w:szCs w:val="24"/>
        </w:rPr>
        <w:t xml:space="preserve">]. In this study, the authors reported an increase in the risk of sustaining a major or any (non-hip) fracture after a </w:t>
      </w:r>
      <w:r w:rsidR="00B01A60" w:rsidRPr="00655509">
        <w:rPr>
          <w:rFonts w:ascii="Times New Roman" w:hAnsi="Times New Roman" w:cs="Times New Roman"/>
          <w:sz w:val="24"/>
          <w:szCs w:val="24"/>
        </w:rPr>
        <w:t>femur/</w:t>
      </w:r>
      <w:r w:rsidR="00EC5018" w:rsidRPr="00655509">
        <w:rPr>
          <w:rFonts w:ascii="Times New Roman" w:hAnsi="Times New Roman" w:cs="Times New Roman"/>
          <w:sz w:val="24"/>
          <w:szCs w:val="24"/>
        </w:rPr>
        <w:t>hip fracture, especially in the longer term with 32</w:t>
      </w:r>
      <w:r w:rsidR="004B69FE" w:rsidRPr="00655509">
        <w:rPr>
          <w:rFonts w:ascii="Times New Roman" w:hAnsi="Times New Roman" w:cs="Times New Roman"/>
          <w:sz w:val="24"/>
          <w:szCs w:val="24"/>
        </w:rPr>
        <w:t>.5</w:t>
      </w:r>
      <w:r w:rsidR="00EC5018" w:rsidRPr="00655509">
        <w:rPr>
          <w:rFonts w:ascii="Times New Roman" w:hAnsi="Times New Roman" w:cs="Times New Roman"/>
          <w:sz w:val="24"/>
          <w:szCs w:val="24"/>
        </w:rPr>
        <w:t xml:space="preserve">% of the patients sustaining a fracture after 5 years. </w:t>
      </w:r>
    </w:p>
    <w:p w14:paraId="244C83D2" w14:textId="7CA0CA4E" w:rsidR="000A2972" w:rsidRPr="00655509" w:rsidRDefault="004B69FE">
      <w:pPr>
        <w:spacing w:after="120" w:line="480" w:lineRule="auto"/>
        <w:jc w:val="both"/>
        <w:rPr>
          <w:rFonts w:ascii="Times New Roman" w:hAnsi="Times New Roman" w:cs="Times New Roman"/>
          <w:sz w:val="24"/>
          <w:szCs w:val="24"/>
        </w:rPr>
      </w:pPr>
      <w:r w:rsidRPr="00EE3900">
        <w:rPr>
          <w:rFonts w:ascii="Times New Roman" w:hAnsi="Times New Roman" w:cs="Times New Roman"/>
          <w:sz w:val="24"/>
          <w:szCs w:val="24"/>
        </w:rPr>
        <w:t>I</w:t>
      </w:r>
      <w:r w:rsidR="00EC5018" w:rsidRPr="00EE3900">
        <w:rPr>
          <w:rFonts w:ascii="Times New Roman" w:hAnsi="Times New Roman" w:cs="Times New Roman"/>
          <w:sz w:val="24"/>
          <w:szCs w:val="24"/>
        </w:rPr>
        <w:t>n line with the findings of van Staa et al [</w:t>
      </w:r>
      <w:r w:rsidR="00E45FEC" w:rsidRPr="00EE3900">
        <w:rPr>
          <w:rFonts w:ascii="Times New Roman" w:hAnsi="Times New Roman" w:cs="Times New Roman"/>
          <w:sz w:val="24"/>
          <w:szCs w:val="24"/>
        </w:rPr>
        <w:t>15</w:t>
      </w:r>
      <w:r w:rsidR="00EC5018" w:rsidRPr="00EE3900">
        <w:rPr>
          <w:rFonts w:ascii="Times New Roman" w:hAnsi="Times New Roman" w:cs="Times New Roman"/>
          <w:sz w:val="24"/>
          <w:szCs w:val="24"/>
        </w:rPr>
        <w:t xml:space="preserve">], </w:t>
      </w:r>
      <w:r w:rsidR="0055334E" w:rsidRPr="00EE3900">
        <w:rPr>
          <w:rFonts w:ascii="Times New Roman" w:hAnsi="Times New Roman" w:cs="Times New Roman"/>
          <w:sz w:val="24"/>
          <w:szCs w:val="24"/>
        </w:rPr>
        <w:t xml:space="preserve">our study suggests </w:t>
      </w:r>
      <w:r w:rsidR="008462BE" w:rsidRPr="00EE3900">
        <w:rPr>
          <w:rFonts w:ascii="Times New Roman" w:hAnsi="Times New Roman" w:cs="Times New Roman"/>
          <w:sz w:val="24"/>
          <w:szCs w:val="24"/>
        </w:rPr>
        <w:t xml:space="preserve">that </w:t>
      </w:r>
      <w:r w:rsidR="00EC5018" w:rsidRPr="00EE3900">
        <w:rPr>
          <w:rFonts w:ascii="Times New Roman" w:hAnsi="Times New Roman" w:cs="Times New Roman"/>
          <w:sz w:val="24"/>
          <w:szCs w:val="24"/>
        </w:rPr>
        <w:t>the RR for subsequent fractures was generally higher in men then in women</w:t>
      </w:r>
      <w:r w:rsidR="00EC5018" w:rsidRPr="005F5B1E">
        <w:rPr>
          <w:rFonts w:ascii="Times New Roman" w:hAnsi="Times New Roman" w:cs="Times New Roman"/>
          <w:sz w:val="24"/>
          <w:szCs w:val="24"/>
        </w:rPr>
        <w:t xml:space="preserve">, </w:t>
      </w:r>
      <w:r w:rsidR="0055334E" w:rsidRPr="00655509">
        <w:rPr>
          <w:rFonts w:ascii="Times New Roman" w:hAnsi="Times New Roman" w:cs="Times New Roman"/>
          <w:sz w:val="24"/>
          <w:szCs w:val="24"/>
        </w:rPr>
        <w:t xml:space="preserve">which </w:t>
      </w:r>
      <w:r w:rsidR="00CE5AF0" w:rsidRPr="00655509">
        <w:rPr>
          <w:rFonts w:ascii="Times New Roman" w:hAnsi="Times New Roman" w:cs="Times New Roman"/>
          <w:sz w:val="24"/>
          <w:szCs w:val="24"/>
        </w:rPr>
        <w:t xml:space="preserve">has </w:t>
      </w:r>
      <w:r w:rsidR="00EC5018" w:rsidRPr="00655509">
        <w:rPr>
          <w:rFonts w:ascii="Times New Roman" w:hAnsi="Times New Roman" w:cs="Times New Roman"/>
          <w:sz w:val="24"/>
          <w:szCs w:val="24"/>
        </w:rPr>
        <w:t>also</w:t>
      </w:r>
      <w:r w:rsidR="00CE5AF0" w:rsidRPr="00655509">
        <w:rPr>
          <w:rFonts w:ascii="Times New Roman" w:hAnsi="Times New Roman" w:cs="Times New Roman"/>
          <w:sz w:val="24"/>
          <w:szCs w:val="24"/>
        </w:rPr>
        <w:t xml:space="preserve"> been</w:t>
      </w:r>
      <w:r w:rsidR="00EC5018" w:rsidRPr="00655509">
        <w:rPr>
          <w:rFonts w:ascii="Times New Roman" w:hAnsi="Times New Roman" w:cs="Times New Roman"/>
          <w:sz w:val="24"/>
          <w:szCs w:val="24"/>
        </w:rPr>
        <w:t xml:space="preserve"> observed in other studies </w:t>
      </w:r>
      <w:r w:rsidR="004C50C4" w:rsidRPr="00655509">
        <w:rPr>
          <w:rFonts w:ascii="Times New Roman" w:hAnsi="Times New Roman" w:cs="Times New Roman"/>
          <w:sz w:val="24"/>
          <w:szCs w:val="24"/>
        </w:rPr>
        <w:t>[</w:t>
      </w:r>
      <w:r w:rsidR="00E45FEC" w:rsidRPr="00655509">
        <w:rPr>
          <w:rFonts w:ascii="Times New Roman" w:hAnsi="Times New Roman" w:cs="Times New Roman"/>
          <w:sz w:val="24"/>
          <w:szCs w:val="24"/>
        </w:rPr>
        <w:t>31</w:t>
      </w:r>
      <w:r w:rsidR="00EC5018" w:rsidRPr="00655509">
        <w:rPr>
          <w:rFonts w:ascii="Times New Roman" w:hAnsi="Times New Roman" w:cs="Times New Roman"/>
          <w:sz w:val="24"/>
          <w:szCs w:val="24"/>
        </w:rPr>
        <w:t xml:space="preserve">]. We found that the </w:t>
      </w:r>
      <w:r w:rsidR="00CE5AF0" w:rsidRPr="00655509">
        <w:rPr>
          <w:rFonts w:ascii="Times New Roman" w:hAnsi="Times New Roman" w:cs="Times New Roman"/>
          <w:sz w:val="24"/>
          <w:szCs w:val="24"/>
        </w:rPr>
        <w:t xml:space="preserve">RR </w:t>
      </w:r>
      <w:r w:rsidR="00EC5018" w:rsidRPr="00655509">
        <w:rPr>
          <w:rFonts w:ascii="Times New Roman" w:hAnsi="Times New Roman" w:cs="Times New Roman"/>
          <w:sz w:val="24"/>
          <w:szCs w:val="24"/>
        </w:rPr>
        <w:t xml:space="preserve">of subsequent fractures was higher among younger persons compared with older individuals, </w:t>
      </w:r>
      <w:r w:rsidR="00CE5AF0" w:rsidRPr="00655509">
        <w:rPr>
          <w:rFonts w:ascii="Times New Roman" w:hAnsi="Times New Roman" w:cs="Times New Roman"/>
          <w:sz w:val="24"/>
          <w:szCs w:val="24"/>
        </w:rPr>
        <w:t xml:space="preserve">and </w:t>
      </w:r>
      <w:r w:rsidR="00EC5018" w:rsidRPr="00655509">
        <w:rPr>
          <w:rFonts w:ascii="Times New Roman" w:hAnsi="Times New Roman" w:cs="Times New Roman"/>
          <w:sz w:val="24"/>
          <w:szCs w:val="24"/>
        </w:rPr>
        <w:t>again this is in keeping with the results from the UK study from 2002 [</w:t>
      </w:r>
      <w:r w:rsidR="00E45FEC" w:rsidRPr="00655509">
        <w:rPr>
          <w:rFonts w:ascii="Times New Roman" w:hAnsi="Times New Roman" w:cs="Times New Roman"/>
          <w:sz w:val="24"/>
          <w:szCs w:val="24"/>
        </w:rPr>
        <w:t>15</w:t>
      </w:r>
      <w:r w:rsidR="00EC5018" w:rsidRPr="00655509">
        <w:rPr>
          <w:rFonts w:ascii="Times New Roman" w:hAnsi="Times New Roman" w:cs="Times New Roman"/>
          <w:sz w:val="24"/>
          <w:szCs w:val="24"/>
        </w:rPr>
        <w:t xml:space="preserve">]. </w:t>
      </w:r>
      <w:r w:rsidR="000A2972" w:rsidRPr="00655509">
        <w:rPr>
          <w:rFonts w:ascii="Times New Roman" w:hAnsi="Times New Roman" w:cs="Times New Roman"/>
          <w:sz w:val="24"/>
          <w:szCs w:val="24"/>
        </w:rPr>
        <w:t xml:space="preserve">These findings in relation to men and younger ages probably reflect that sustaining a fracture in these situations is an uncommon event which </w:t>
      </w:r>
      <w:r w:rsidR="00CE5AF0" w:rsidRPr="00655509">
        <w:rPr>
          <w:rFonts w:ascii="Times New Roman" w:hAnsi="Times New Roman" w:cs="Times New Roman"/>
          <w:sz w:val="24"/>
          <w:szCs w:val="24"/>
        </w:rPr>
        <w:t xml:space="preserve">therefore particularly </w:t>
      </w:r>
      <w:r w:rsidR="000A2972" w:rsidRPr="00655509">
        <w:rPr>
          <w:rFonts w:ascii="Times New Roman" w:hAnsi="Times New Roman" w:cs="Times New Roman"/>
          <w:sz w:val="24"/>
          <w:szCs w:val="24"/>
        </w:rPr>
        <w:t>marks an individual out as being at high</w:t>
      </w:r>
      <w:r w:rsidR="00351C69" w:rsidRPr="00655509">
        <w:rPr>
          <w:rFonts w:ascii="Times New Roman" w:hAnsi="Times New Roman" w:cs="Times New Roman"/>
          <w:sz w:val="24"/>
          <w:szCs w:val="24"/>
        </w:rPr>
        <w:t>er</w:t>
      </w:r>
      <w:r w:rsidR="000A2972" w:rsidRPr="00655509">
        <w:rPr>
          <w:rFonts w:ascii="Times New Roman" w:hAnsi="Times New Roman" w:cs="Times New Roman"/>
          <w:sz w:val="24"/>
          <w:szCs w:val="24"/>
        </w:rPr>
        <w:t xml:space="preserve"> fracture risk than their peers (</w:t>
      </w:r>
      <w:r w:rsidR="00CE5AF0" w:rsidRPr="00655509">
        <w:rPr>
          <w:rFonts w:ascii="Times New Roman" w:hAnsi="Times New Roman" w:cs="Times New Roman"/>
          <w:sz w:val="24"/>
          <w:szCs w:val="24"/>
        </w:rPr>
        <w:t>i.e.</w:t>
      </w:r>
      <w:r w:rsidR="000A2972" w:rsidRPr="00655509">
        <w:rPr>
          <w:rFonts w:ascii="Times New Roman" w:hAnsi="Times New Roman" w:cs="Times New Roman"/>
          <w:sz w:val="24"/>
          <w:szCs w:val="24"/>
        </w:rPr>
        <w:t xml:space="preserve"> relative to the background population risk). This is consistent with the low</w:t>
      </w:r>
      <w:r w:rsidR="00351C69" w:rsidRPr="00655509">
        <w:rPr>
          <w:rFonts w:ascii="Times New Roman" w:hAnsi="Times New Roman" w:cs="Times New Roman"/>
          <w:sz w:val="24"/>
          <w:szCs w:val="24"/>
        </w:rPr>
        <w:t>er</w:t>
      </w:r>
      <w:r w:rsidR="000A2972" w:rsidRPr="00655509">
        <w:rPr>
          <w:rFonts w:ascii="Times New Roman" w:hAnsi="Times New Roman" w:cs="Times New Roman"/>
          <w:sz w:val="24"/>
          <w:szCs w:val="24"/>
        </w:rPr>
        <w:t xml:space="preserve"> absolute incidences of </w:t>
      </w:r>
      <w:r w:rsidR="008C7244" w:rsidRPr="00655509">
        <w:rPr>
          <w:rFonts w:ascii="Times New Roman" w:hAnsi="Times New Roman" w:cs="Times New Roman"/>
          <w:sz w:val="24"/>
          <w:szCs w:val="24"/>
        </w:rPr>
        <w:t>second</w:t>
      </w:r>
      <w:r w:rsidR="000A2972" w:rsidRPr="00655509">
        <w:rPr>
          <w:rFonts w:ascii="Times New Roman" w:hAnsi="Times New Roman" w:cs="Times New Roman"/>
          <w:sz w:val="24"/>
          <w:szCs w:val="24"/>
        </w:rPr>
        <w:t xml:space="preserve"> fracture in these groups compared with those in women and at older ages; in these latter situations the background population risk is higher and the occurrence of a fracture is likely to have less of a relative impact on future fracture risk.</w:t>
      </w:r>
      <w:r w:rsidR="00351C69" w:rsidRPr="00655509">
        <w:rPr>
          <w:rFonts w:ascii="Times New Roman" w:hAnsi="Times New Roman" w:cs="Times New Roman"/>
          <w:sz w:val="24"/>
          <w:szCs w:val="24"/>
        </w:rPr>
        <w:t xml:space="preserve"> The increase with age in the incidence of pelvis, vertebra and hip fractures following an index fracture is consistent with the known epidemiology of these fractures, and that changes in neuromuscular ability</w:t>
      </w:r>
      <w:r w:rsidR="00CE5AF0" w:rsidRPr="00655509">
        <w:rPr>
          <w:rFonts w:ascii="Times New Roman" w:hAnsi="Times New Roman" w:cs="Times New Roman"/>
          <w:sz w:val="24"/>
          <w:szCs w:val="24"/>
        </w:rPr>
        <w:t xml:space="preserve"> with age</w:t>
      </w:r>
      <w:r w:rsidR="00351C69" w:rsidRPr="00655509">
        <w:rPr>
          <w:rFonts w:ascii="Times New Roman" w:hAnsi="Times New Roman" w:cs="Times New Roman"/>
          <w:sz w:val="24"/>
          <w:szCs w:val="24"/>
        </w:rPr>
        <w:t xml:space="preserve">, for example the tendency to fall backward </w:t>
      </w:r>
      <w:r w:rsidR="008C7244" w:rsidRPr="00655509">
        <w:rPr>
          <w:rFonts w:ascii="Times New Roman" w:hAnsi="Times New Roman" w:cs="Times New Roman"/>
          <w:sz w:val="24"/>
          <w:szCs w:val="24"/>
        </w:rPr>
        <w:t>or sideways</w:t>
      </w:r>
      <w:r w:rsidR="00351C69" w:rsidRPr="00655509">
        <w:rPr>
          <w:rFonts w:ascii="Times New Roman" w:hAnsi="Times New Roman" w:cs="Times New Roman"/>
          <w:sz w:val="24"/>
          <w:szCs w:val="24"/>
        </w:rPr>
        <w:t xml:space="preserve"> rather than forwards</w:t>
      </w:r>
      <w:r w:rsidR="008C7244" w:rsidRPr="00655509">
        <w:rPr>
          <w:rFonts w:ascii="Times New Roman" w:hAnsi="Times New Roman" w:cs="Times New Roman"/>
          <w:sz w:val="24"/>
          <w:szCs w:val="24"/>
        </w:rPr>
        <w:t>,</w:t>
      </w:r>
      <w:r w:rsidR="00351C69" w:rsidRPr="00655509">
        <w:rPr>
          <w:rFonts w:ascii="Times New Roman" w:hAnsi="Times New Roman" w:cs="Times New Roman"/>
          <w:sz w:val="24"/>
          <w:szCs w:val="24"/>
        </w:rPr>
        <w:t xml:space="preserve"> lead to particular increases in these fracture types compared with those of the upper limb. The younger average age of radius/ulna fractures as the index fracture will permit this age-related pattern to be more visible compared with hip as the index fracture</w:t>
      </w:r>
      <w:r w:rsidR="008C7244" w:rsidRPr="00655509">
        <w:rPr>
          <w:rFonts w:ascii="Times New Roman" w:hAnsi="Times New Roman" w:cs="Times New Roman"/>
          <w:sz w:val="24"/>
          <w:szCs w:val="24"/>
        </w:rPr>
        <w:t xml:space="preserve"> (</w:t>
      </w:r>
      <w:r w:rsidR="00351C69" w:rsidRPr="00655509">
        <w:rPr>
          <w:rFonts w:ascii="Times New Roman" w:hAnsi="Times New Roman" w:cs="Times New Roman"/>
          <w:sz w:val="24"/>
          <w:szCs w:val="24"/>
        </w:rPr>
        <w:t>which</w:t>
      </w:r>
      <w:r w:rsidR="008C7244" w:rsidRPr="00655509">
        <w:rPr>
          <w:rFonts w:ascii="Times New Roman" w:hAnsi="Times New Roman" w:cs="Times New Roman"/>
          <w:sz w:val="24"/>
          <w:szCs w:val="24"/>
        </w:rPr>
        <w:t xml:space="preserve"> tend</w:t>
      </w:r>
      <w:r w:rsidR="00351C69" w:rsidRPr="00655509">
        <w:rPr>
          <w:rFonts w:ascii="Times New Roman" w:hAnsi="Times New Roman" w:cs="Times New Roman"/>
          <w:sz w:val="24"/>
          <w:szCs w:val="24"/>
        </w:rPr>
        <w:t xml:space="preserve"> to occur at older ages</w:t>
      </w:r>
      <w:r w:rsidR="008C7244" w:rsidRPr="00655509">
        <w:rPr>
          <w:rFonts w:ascii="Times New Roman" w:hAnsi="Times New Roman" w:cs="Times New Roman"/>
          <w:sz w:val="24"/>
          <w:szCs w:val="24"/>
        </w:rPr>
        <w:t>)</w:t>
      </w:r>
      <w:r w:rsidR="00351C69" w:rsidRPr="00655509">
        <w:rPr>
          <w:rFonts w:ascii="Times New Roman" w:hAnsi="Times New Roman" w:cs="Times New Roman"/>
          <w:sz w:val="24"/>
          <w:szCs w:val="24"/>
        </w:rPr>
        <w:t>.</w:t>
      </w:r>
    </w:p>
    <w:p w14:paraId="3A160B1F" w14:textId="5E7693FF" w:rsidR="004B69FE" w:rsidRPr="00137624" w:rsidRDefault="008C7244">
      <w:pPr>
        <w:spacing w:after="120" w:line="480" w:lineRule="auto"/>
        <w:jc w:val="both"/>
        <w:rPr>
          <w:rFonts w:ascii="Times New Roman" w:hAnsi="Times New Roman" w:cs="Times New Roman"/>
          <w:sz w:val="24"/>
          <w:szCs w:val="24"/>
        </w:rPr>
      </w:pPr>
      <w:r w:rsidRPr="00655509">
        <w:rPr>
          <w:rFonts w:ascii="Times New Roman" w:hAnsi="Times New Roman" w:cs="Times New Roman"/>
          <w:sz w:val="24"/>
          <w:szCs w:val="24"/>
        </w:rPr>
        <w:t xml:space="preserve">Two previous </w:t>
      </w:r>
      <w:r w:rsidR="00EC5018" w:rsidRPr="00655509">
        <w:rPr>
          <w:rFonts w:ascii="Times New Roman" w:hAnsi="Times New Roman" w:cs="Times New Roman"/>
          <w:sz w:val="24"/>
          <w:szCs w:val="24"/>
        </w:rPr>
        <w:t>meta-analys</w:t>
      </w:r>
      <w:r w:rsidRPr="00655509">
        <w:rPr>
          <w:rFonts w:ascii="Times New Roman" w:hAnsi="Times New Roman" w:cs="Times New Roman"/>
          <w:sz w:val="24"/>
          <w:szCs w:val="24"/>
        </w:rPr>
        <w:t>es have given rather lower RR for subsequent fractures:</w:t>
      </w:r>
      <w:r w:rsidR="00EC5018" w:rsidRPr="00655509">
        <w:rPr>
          <w:rFonts w:ascii="Times New Roman" w:hAnsi="Times New Roman" w:cs="Times New Roman"/>
          <w:sz w:val="24"/>
          <w:szCs w:val="24"/>
        </w:rPr>
        <w:t xml:space="preserve"> </w:t>
      </w:r>
      <w:r w:rsidR="00CE5AF0" w:rsidRPr="00655509">
        <w:rPr>
          <w:rFonts w:ascii="Times New Roman" w:hAnsi="Times New Roman" w:cs="Times New Roman"/>
          <w:sz w:val="24"/>
          <w:szCs w:val="24"/>
        </w:rPr>
        <w:t>in the first</w:t>
      </w:r>
      <w:r w:rsidR="00EC5018" w:rsidRPr="00655509">
        <w:rPr>
          <w:rFonts w:ascii="Times New Roman" w:hAnsi="Times New Roman" w:cs="Times New Roman"/>
          <w:sz w:val="24"/>
          <w:szCs w:val="24"/>
        </w:rPr>
        <w:t xml:space="preserve"> [</w:t>
      </w:r>
      <w:r w:rsidR="00E45FEC" w:rsidRPr="00655509">
        <w:rPr>
          <w:rFonts w:ascii="Times New Roman" w:hAnsi="Times New Roman" w:cs="Times New Roman"/>
          <w:sz w:val="24"/>
          <w:szCs w:val="24"/>
        </w:rPr>
        <w:t>6</w:t>
      </w:r>
      <w:r w:rsidR="00EC5018" w:rsidRPr="00655509">
        <w:rPr>
          <w:rFonts w:ascii="Times New Roman" w:hAnsi="Times New Roman" w:cs="Times New Roman"/>
          <w:sz w:val="24"/>
          <w:szCs w:val="24"/>
        </w:rPr>
        <w:t>] the RR of a subsequent fracture (any, hip, vertebral or wrist) was 2.4 for those with a prior hip fracture and approximately 2 for the other types of prior fractures. In a meta-analysis from 2004 [</w:t>
      </w:r>
      <w:r w:rsidR="00E45FEC" w:rsidRPr="00655509">
        <w:rPr>
          <w:rFonts w:ascii="Times New Roman" w:hAnsi="Times New Roman" w:cs="Times New Roman"/>
          <w:sz w:val="24"/>
          <w:szCs w:val="24"/>
        </w:rPr>
        <w:t>5</w:t>
      </w:r>
      <w:r w:rsidR="00EC5018" w:rsidRPr="00655509">
        <w:rPr>
          <w:rFonts w:ascii="Times New Roman" w:hAnsi="Times New Roman" w:cs="Times New Roman"/>
          <w:sz w:val="24"/>
          <w:szCs w:val="24"/>
        </w:rPr>
        <w:t xml:space="preserve">] the RR of a subsequent fracture in men and women combined ranged from 1.8 to 2. </w:t>
      </w:r>
      <w:r w:rsidRPr="00655509">
        <w:rPr>
          <w:rFonts w:ascii="Times New Roman" w:hAnsi="Times New Roman" w:cs="Times New Roman"/>
          <w:sz w:val="24"/>
          <w:szCs w:val="24"/>
        </w:rPr>
        <w:t>In a recent study from Denmark [16] examining subsequent fracture rates by observing a cohort of patients aged 50 years or older from 2001 to 2011, patients suffering an index fracture (especially a hip fracture) had a high incidence of subsequent fractures. Depending on the type of initial fracture, the risk of a subsequent fracture within the following 10 years in men ranged from 5-15% for forearm fractures, 8-24% for humerus fractures and 9-34% for hip fractures. For women the equivalent rates were 11-25%, 9-27% and 13-40% respectively. In a recent international, questionnaire-based study in women of 55 years or older and with a follow-up of 2 years [17] the authors found that the risk of a subsequent fracture increased with the number of prior fractures. The RR of any fracture was 1.8 in women with 1 prior fracture increasing to</w:t>
      </w:r>
      <w:r w:rsidR="00CE5AF0" w:rsidRPr="00655509">
        <w:rPr>
          <w:rFonts w:ascii="Times New Roman" w:hAnsi="Times New Roman" w:cs="Times New Roman"/>
          <w:sz w:val="24"/>
          <w:szCs w:val="24"/>
        </w:rPr>
        <w:t xml:space="preserve"> </w:t>
      </w:r>
      <w:r w:rsidRPr="00655509">
        <w:rPr>
          <w:rFonts w:ascii="Times New Roman" w:hAnsi="Times New Roman" w:cs="Times New Roman"/>
          <w:sz w:val="24"/>
          <w:szCs w:val="24"/>
        </w:rPr>
        <w:t xml:space="preserve">3 in those with 2 prior fractures and to 4.8 in women with more than 2 prior fractures. The varied RR </w:t>
      </w:r>
      <w:r w:rsidR="00CE5AF0" w:rsidRPr="00655509">
        <w:rPr>
          <w:rFonts w:ascii="Times New Roman" w:hAnsi="Times New Roman" w:cs="Times New Roman"/>
          <w:sz w:val="24"/>
          <w:szCs w:val="24"/>
        </w:rPr>
        <w:t>across</w:t>
      </w:r>
      <w:r w:rsidRPr="00655509">
        <w:rPr>
          <w:rFonts w:ascii="Times New Roman" w:hAnsi="Times New Roman" w:cs="Times New Roman"/>
          <w:sz w:val="24"/>
          <w:szCs w:val="24"/>
        </w:rPr>
        <w:t xml:space="preserve"> studies can be explained</w:t>
      </w:r>
      <w:r w:rsidR="00CE5AF0" w:rsidRPr="00655509">
        <w:rPr>
          <w:rFonts w:ascii="Times New Roman" w:hAnsi="Times New Roman" w:cs="Times New Roman"/>
          <w:sz w:val="24"/>
          <w:szCs w:val="24"/>
        </w:rPr>
        <w:t>,</w:t>
      </w:r>
      <w:r w:rsidRPr="00655509">
        <w:rPr>
          <w:rFonts w:ascii="Times New Roman" w:hAnsi="Times New Roman" w:cs="Times New Roman"/>
          <w:sz w:val="24"/>
          <w:szCs w:val="24"/>
        </w:rPr>
        <w:t xml:space="preserve"> </w:t>
      </w:r>
      <w:r w:rsidR="00EC5018" w:rsidRPr="00655509">
        <w:rPr>
          <w:rFonts w:ascii="Times New Roman" w:hAnsi="Times New Roman" w:cs="Times New Roman"/>
          <w:sz w:val="24"/>
          <w:szCs w:val="24"/>
        </w:rPr>
        <w:t>at least to some extent</w:t>
      </w:r>
      <w:r w:rsidR="004B69FE" w:rsidRPr="00655509">
        <w:rPr>
          <w:rFonts w:ascii="Times New Roman" w:hAnsi="Times New Roman" w:cs="Times New Roman"/>
          <w:sz w:val="24"/>
          <w:szCs w:val="24"/>
        </w:rPr>
        <w:t>,</w:t>
      </w:r>
      <w:r w:rsidR="00EC5018" w:rsidRPr="00655509">
        <w:rPr>
          <w:rFonts w:ascii="Times New Roman" w:hAnsi="Times New Roman" w:cs="Times New Roman"/>
          <w:sz w:val="24"/>
          <w:szCs w:val="24"/>
        </w:rPr>
        <w:t xml:space="preserve"> by </w:t>
      </w:r>
      <w:r w:rsidRPr="00655509">
        <w:rPr>
          <w:rFonts w:ascii="Times New Roman" w:hAnsi="Times New Roman" w:cs="Times New Roman"/>
          <w:sz w:val="24"/>
          <w:szCs w:val="24"/>
        </w:rPr>
        <w:t>the difference is studied</w:t>
      </w:r>
      <w:r w:rsidR="00EC5018" w:rsidRPr="00655509">
        <w:rPr>
          <w:rFonts w:ascii="Times New Roman" w:hAnsi="Times New Roman" w:cs="Times New Roman"/>
          <w:sz w:val="24"/>
          <w:szCs w:val="24"/>
        </w:rPr>
        <w:t xml:space="preserve"> populations</w:t>
      </w:r>
      <w:r w:rsidRPr="00655509">
        <w:rPr>
          <w:rFonts w:ascii="Times New Roman" w:hAnsi="Times New Roman" w:cs="Times New Roman"/>
          <w:sz w:val="24"/>
          <w:szCs w:val="24"/>
        </w:rPr>
        <w:t>, differences in fracture outcomes</w:t>
      </w:r>
      <w:r w:rsidR="00C81421" w:rsidRPr="00655509">
        <w:rPr>
          <w:rFonts w:ascii="Times New Roman" w:hAnsi="Times New Roman" w:cs="Times New Roman"/>
          <w:sz w:val="24"/>
          <w:szCs w:val="24"/>
        </w:rPr>
        <w:t xml:space="preserve"> (for example we studied hip/femur rather than hip alone)</w:t>
      </w:r>
      <w:r w:rsidR="00EC5018" w:rsidRPr="00655509">
        <w:rPr>
          <w:rFonts w:ascii="Times New Roman" w:hAnsi="Times New Roman" w:cs="Times New Roman"/>
          <w:sz w:val="24"/>
          <w:szCs w:val="24"/>
        </w:rPr>
        <w:t xml:space="preserve"> and other methodologies were used</w:t>
      </w:r>
      <w:r w:rsidR="004B69FE" w:rsidRPr="00655509">
        <w:rPr>
          <w:rFonts w:ascii="Times New Roman" w:hAnsi="Times New Roman" w:cs="Times New Roman"/>
          <w:sz w:val="24"/>
          <w:szCs w:val="24"/>
        </w:rPr>
        <w:t>.</w:t>
      </w:r>
      <w:r w:rsidR="000F424A" w:rsidRPr="00655509">
        <w:rPr>
          <w:rFonts w:ascii="Times New Roman" w:hAnsi="Times New Roman" w:cs="Times New Roman"/>
          <w:sz w:val="24"/>
          <w:szCs w:val="24"/>
        </w:rPr>
        <w:t xml:space="preserve"> Because of the long period we studied, coinciding with the introduction of several effective antiosteoporosis medications and improvements in primary and secondary prevention, we considered the possibility that subsequent fracture risk has changed during the studied 22 year period. The reduction in subsequent rib fractures in women</w:t>
      </w:r>
      <w:r w:rsidR="00137624">
        <w:rPr>
          <w:rFonts w:ascii="Times New Roman" w:hAnsi="Times New Roman" w:cs="Times New Roman"/>
          <w:sz w:val="24"/>
          <w:szCs w:val="24"/>
        </w:rPr>
        <w:t xml:space="preserve"> in the later compared with earlier period</w:t>
      </w:r>
      <w:r w:rsidR="000F424A" w:rsidRPr="00137624">
        <w:rPr>
          <w:rFonts w:ascii="Times New Roman" w:hAnsi="Times New Roman" w:cs="Times New Roman"/>
          <w:sz w:val="24"/>
          <w:szCs w:val="24"/>
        </w:rPr>
        <w:t xml:space="preserve"> corresponds well with the reduction in rib fracture incidence from 1990-2012 we observed in an earlier study [21]. This may reflect a reduction reporting of rib fractures as a result of changes to clinical assessment rather than a true secular change in incidence [21]</w:t>
      </w:r>
      <w:r w:rsidR="00137624">
        <w:rPr>
          <w:rFonts w:ascii="Times New Roman" w:hAnsi="Times New Roman" w:cs="Times New Roman"/>
          <w:sz w:val="24"/>
          <w:szCs w:val="24"/>
        </w:rPr>
        <w:t>, but with this as with the other potential secular differences we observed, other changes such as alterations to the age and ethnicity distribution of the cohort over time will also have made contributions.</w:t>
      </w:r>
    </w:p>
    <w:p w14:paraId="287A0ED3" w14:textId="77BD895E" w:rsidR="00EC5018" w:rsidRPr="00655509" w:rsidRDefault="00EC5018">
      <w:pPr>
        <w:spacing w:after="120" w:line="480" w:lineRule="auto"/>
        <w:jc w:val="both"/>
        <w:rPr>
          <w:rFonts w:ascii="Times New Roman" w:hAnsi="Times New Roman" w:cs="Times New Roman"/>
          <w:sz w:val="24"/>
          <w:szCs w:val="24"/>
        </w:rPr>
      </w:pPr>
      <w:r w:rsidRPr="005F5B1E">
        <w:rPr>
          <w:rFonts w:ascii="Times New Roman" w:hAnsi="Times New Roman" w:cs="Times New Roman"/>
          <w:sz w:val="24"/>
          <w:szCs w:val="24"/>
        </w:rPr>
        <w:t>In the meta-analysis from 2004 [</w:t>
      </w:r>
      <w:r w:rsidR="00916FE1" w:rsidRPr="00655509">
        <w:rPr>
          <w:rFonts w:ascii="Times New Roman" w:hAnsi="Times New Roman" w:cs="Times New Roman"/>
          <w:sz w:val="24"/>
          <w:szCs w:val="24"/>
        </w:rPr>
        <w:t>5</w:t>
      </w:r>
      <w:r w:rsidRPr="00655509">
        <w:rPr>
          <w:rFonts w:ascii="Times New Roman" w:hAnsi="Times New Roman" w:cs="Times New Roman"/>
          <w:sz w:val="24"/>
          <w:szCs w:val="24"/>
        </w:rPr>
        <w:t>], correction for BMD only lowered the risk of subsequent fractures by approximately 10%, emphasizing the importance of prior fractures with regards to future fracture risk, and showing that this risk is to some extend independent of BMD. In a study from Canada from 2009 [</w:t>
      </w:r>
      <w:r w:rsidR="004C6606" w:rsidRPr="00655509">
        <w:rPr>
          <w:rFonts w:ascii="Times New Roman" w:hAnsi="Times New Roman" w:cs="Times New Roman"/>
          <w:sz w:val="24"/>
          <w:szCs w:val="24"/>
        </w:rPr>
        <w:t>18</w:t>
      </w:r>
      <w:r w:rsidRPr="00655509">
        <w:rPr>
          <w:rFonts w:ascii="Times New Roman" w:hAnsi="Times New Roman" w:cs="Times New Roman"/>
          <w:sz w:val="24"/>
          <w:szCs w:val="24"/>
        </w:rPr>
        <w:t>] the RR for low-trauma fracture in persons 50-90 years of age with a prior fracture was 14.6 in men with osteoporosis and 9.2 in women with osteoporosis. In men and women with osteopenia this was 4.1 and 5.5 respectively, and in the group of individuals with a normal BMD, men had a RR of 6.4 while the RR in women was not statistically significant raised. The authors found that subsequent clinically symptomatic low-trauma fractures constitute one quarter of the overall fracture burden in men and just under one half of the fracture burden in women [</w:t>
      </w:r>
      <w:r w:rsidR="005D3FCA" w:rsidRPr="00655509">
        <w:rPr>
          <w:rFonts w:ascii="Times New Roman" w:hAnsi="Times New Roman" w:cs="Times New Roman"/>
          <w:sz w:val="24"/>
          <w:szCs w:val="24"/>
        </w:rPr>
        <w:t>18</w:t>
      </w:r>
      <w:r w:rsidRPr="00655509">
        <w:rPr>
          <w:rFonts w:ascii="Times New Roman" w:hAnsi="Times New Roman" w:cs="Times New Roman"/>
          <w:sz w:val="24"/>
          <w:szCs w:val="24"/>
        </w:rPr>
        <w:t xml:space="preserve">]. </w:t>
      </w:r>
      <w:r w:rsidR="00E03CD0" w:rsidRPr="00655509">
        <w:rPr>
          <w:rFonts w:ascii="Times New Roman" w:hAnsi="Times New Roman" w:cs="Times New Roman"/>
          <w:sz w:val="24"/>
          <w:szCs w:val="24"/>
        </w:rPr>
        <w:t>Conversely, i</w:t>
      </w:r>
      <w:r w:rsidRPr="00655509">
        <w:rPr>
          <w:rFonts w:ascii="Times New Roman" w:hAnsi="Times New Roman" w:cs="Times New Roman"/>
          <w:sz w:val="24"/>
          <w:szCs w:val="24"/>
        </w:rPr>
        <w:t>n a recent study from Australia [</w:t>
      </w:r>
      <w:r w:rsidR="00557ADA" w:rsidRPr="00655509">
        <w:rPr>
          <w:rFonts w:ascii="Times New Roman" w:hAnsi="Times New Roman" w:cs="Times New Roman"/>
          <w:sz w:val="24"/>
          <w:szCs w:val="24"/>
        </w:rPr>
        <w:t>19</w:t>
      </w:r>
      <w:r w:rsidRPr="00655509">
        <w:rPr>
          <w:rFonts w:ascii="Times New Roman" w:hAnsi="Times New Roman" w:cs="Times New Roman"/>
          <w:sz w:val="24"/>
          <w:szCs w:val="24"/>
        </w:rPr>
        <w:t xml:space="preserve">] the RR of subsequent fracture was &gt; 2.0-fold for all levels of BMD, demonstrating the high burden of subsequent fracture across all levels of BMD-score.  </w:t>
      </w:r>
    </w:p>
    <w:p w14:paraId="7A226E65" w14:textId="1C8E5792" w:rsidR="004B69FE" w:rsidRPr="00655509" w:rsidRDefault="00EC5018">
      <w:pPr>
        <w:spacing w:after="120" w:line="480" w:lineRule="auto"/>
        <w:jc w:val="both"/>
        <w:rPr>
          <w:rFonts w:ascii="Times New Roman" w:hAnsi="Times New Roman" w:cs="Times New Roman"/>
          <w:sz w:val="24"/>
          <w:szCs w:val="24"/>
          <w:lang w:val="en-US"/>
        </w:rPr>
      </w:pPr>
      <w:r w:rsidRPr="00655509">
        <w:rPr>
          <w:rFonts w:ascii="Times New Roman" w:eastAsia="Times New Roman" w:hAnsi="Times New Roman" w:cs="Times New Roman"/>
          <w:sz w:val="24"/>
          <w:szCs w:val="24"/>
          <w:lang w:val="en-US" w:eastAsia="nl-NL" w:bidi="nl-NL"/>
        </w:rPr>
        <w:t xml:space="preserve">Our study has some limitations that should be considered in the interpretation of our results. Firstly, although in general fractures recorded in CPRD have been shown to be reliably coded </w:t>
      </w:r>
      <w:r w:rsidR="004C50C4" w:rsidRPr="00655509">
        <w:rPr>
          <w:rFonts w:ascii="Times New Roman" w:eastAsia="Times New Roman" w:hAnsi="Times New Roman" w:cs="Times New Roman"/>
          <w:sz w:val="24"/>
          <w:szCs w:val="24"/>
          <w:lang w:val="en-US" w:eastAsia="nl-NL" w:bidi="nl-NL"/>
        </w:rPr>
        <w:t>[</w:t>
      </w:r>
      <w:r w:rsidR="000222A2" w:rsidRPr="00655509">
        <w:rPr>
          <w:rFonts w:ascii="Times New Roman" w:eastAsia="Times New Roman" w:hAnsi="Times New Roman" w:cs="Times New Roman"/>
          <w:sz w:val="24"/>
          <w:szCs w:val="24"/>
          <w:lang w:val="en-US" w:eastAsia="nl-NL" w:bidi="nl-NL"/>
        </w:rPr>
        <w:t>28</w:t>
      </w:r>
      <w:r w:rsidRPr="00655509">
        <w:rPr>
          <w:rFonts w:ascii="Times New Roman" w:eastAsia="Times New Roman" w:hAnsi="Times New Roman" w:cs="Times New Roman"/>
          <w:sz w:val="24"/>
          <w:szCs w:val="24"/>
          <w:lang w:val="en-US" w:eastAsia="nl-NL" w:bidi="nl-NL"/>
        </w:rPr>
        <w:t xml:space="preserve">], it is nevertheless possible that some fractures may have been misclassified as soft tissue injuries or incorrectly coded. In common with many other primary care databases, it is possible that fractures treated purely on an outpatient basis may have been less reliably captured than those necessitating hospital admission, most likely leading to an underestimation of incidence rates overall. Secondly, </w:t>
      </w:r>
      <w:r w:rsidR="00404418" w:rsidRPr="00655509">
        <w:rPr>
          <w:rFonts w:ascii="Times New Roman" w:eastAsia="Times New Roman" w:hAnsi="Times New Roman" w:cs="Times New Roman"/>
          <w:sz w:val="24"/>
          <w:szCs w:val="24"/>
          <w:lang w:val="en-US" w:eastAsia="nl-NL" w:bidi="nl-NL"/>
        </w:rPr>
        <w:t xml:space="preserve">it is </w:t>
      </w:r>
      <w:r w:rsidR="00E03CD0" w:rsidRPr="00655509">
        <w:rPr>
          <w:rFonts w:ascii="Times New Roman" w:eastAsia="Times New Roman" w:hAnsi="Times New Roman" w:cs="Times New Roman"/>
          <w:sz w:val="24"/>
          <w:szCs w:val="24"/>
          <w:lang w:val="en-US" w:eastAsia="nl-NL" w:bidi="nl-NL"/>
        </w:rPr>
        <w:t>well-established</w:t>
      </w:r>
      <w:r w:rsidR="00404418" w:rsidRPr="00655509">
        <w:rPr>
          <w:rFonts w:ascii="Times New Roman" w:eastAsia="Times New Roman" w:hAnsi="Times New Roman" w:cs="Times New Roman"/>
          <w:sz w:val="24"/>
          <w:szCs w:val="24"/>
          <w:lang w:val="en-US" w:eastAsia="nl-NL" w:bidi="nl-NL"/>
        </w:rPr>
        <w:t xml:space="preserve"> that vertebral fractures are underdiagnosed [</w:t>
      </w:r>
      <w:r w:rsidR="006D280B" w:rsidRPr="00655509">
        <w:rPr>
          <w:rFonts w:ascii="Times New Roman" w:eastAsia="Times New Roman" w:hAnsi="Times New Roman" w:cs="Times New Roman"/>
          <w:sz w:val="24"/>
          <w:szCs w:val="24"/>
          <w:lang w:val="en-US" w:eastAsia="nl-NL" w:bidi="nl-NL"/>
        </w:rPr>
        <w:t>32</w:t>
      </w:r>
      <w:r w:rsidR="00404418" w:rsidRPr="00655509">
        <w:rPr>
          <w:rFonts w:ascii="Times New Roman" w:eastAsia="Times New Roman" w:hAnsi="Times New Roman" w:cs="Times New Roman"/>
          <w:sz w:val="24"/>
          <w:szCs w:val="24"/>
          <w:lang w:val="en-US" w:eastAsia="nl-NL" w:bidi="nl-NL"/>
        </w:rPr>
        <w:t xml:space="preserve">] and this means that the incidences of subsequent vertebral fractures we found are probably an underestimation. Thirdly, </w:t>
      </w:r>
      <w:r w:rsidRPr="00655509">
        <w:rPr>
          <w:rFonts w:ascii="Times New Roman" w:eastAsia="Times New Roman" w:hAnsi="Times New Roman" w:cs="Times New Roman"/>
          <w:sz w:val="24"/>
          <w:szCs w:val="24"/>
          <w:lang w:val="en-US" w:eastAsia="nl-NL" w:bidi="nl-NL"/>
        </w:rPr>
        <w:t>owing to the difficulty in distinguishing two separate fractures of the same site</w:t>
      </w:r>
      <w:r w:rsidR="008A193E" w:rsidRPr="00655509">
        <w:rPr>
          <w:rFonts w:ascii="Times New Roman" w:eastAsia="Times New Roman" w:hAnsi="Times New Roman" w:cs="Times New Roman"/>
          <w:sz w:val="24"/>
          <w:szCs w:val="24"/>
          <w:lang w:val="en-US" w:eastAsia="nl-NL" w:bidi="nl-NL"/>
        </w:rPr>
        <w:t xml:space="preserve"> that occur </w:t>
      </w:r>
      <w:r w:rsidRPr="00655509">
        <w:rPr>
          <w:rFonts w:ascii="Times New Roman" w:eastAsia="Times New Roman" w:hAnsi="Times New Roman" w:cs="Times New Roman"/>
          <w:sz w:val="24"/>
          <w:szCs w:val="24"/>
          <w:lang w:val="en-US" w:eastAsia="nl-NL" w:bidi="nl-NL"/>
        </w:rPr>
        <w:t xml:space="preserve">close in time, from a second reporting of </w:t>
      </w:r>
      <w:r w:rsidR="008A193E" w:rsidRPr="00655509">
        <w:rPr>
          <w:rFonts w:ascii="Times New Roman" w:eastAsia="Times New Roman" w:hAnsi="Times New Roman" w:cs="Times New Roman"/>
          <w:sz w:val="24"/>
          <w:szCs w:val="24"/>
          <w:lang w:val="en-US" w:eastAsia="nl-NL" w:bidi="nl-NL"/>
        </w:rPr>
        <w:t xml:space="preserve">the </w:t>
      </w:r>
      <w:r w:rsidRPr="00655509">
        <w:rPr>
          <w:rFonts w:ascii="Times New Roman" w:eastAsia="Times New Roman" w:hAnsi="Times New Roman" w:cs="Times New Roman"/>
          <w:sz w:val="24"/>
          <w:szCs w:val="24"/>
          <w:lang w:val="en-US" w:eastAsia="nl-NL" w:bidi="nl-NL"/>
        </w:rPr>
        <w:t>first fracture, we did not include subsequent fracture</w:t>
      </w:r>
      <w:r w:rsidR="008A193E" w:rsidRPr="00655509">
        <w:rPr>
          <w:rFonts w:ascii="Times New Roman" w:eastAsia="Times New Roman" w:hAnsi="Times New Roman" w:cs="Times New Roman"/>
          <w:sz w:val="24"/>
          <w:szCs w:val="24"/>
          <w:lang w:val="en-US" w:eastAsia="nl-NL" w:bidi="nl-NL"/>
        </w:rPr>
        <w:t>s</w:t>
      </w:r>
      <w:r w:rsidRPr="00655509">
        <w:rPr>
          <w:rFonts w:ascii="Times New Roman" w:eastAsia="Times New Roman" w:hAnsi="Times New Roman" w:cs="Times New Roman"/>
          <w:sz w:val="24"/>
          <w:szCs w:val="24"/>
          <w:lang w:val="en-US" w:eastAsia="nl-NL" w:bidi="nl-NL"/>
        </w:rPr>
        <w:t xml:space="preserve"> at the same individual site, which </w:t>
      </w:r>
      <w:r w:rsidR="004B69FE" w:rsidRPr="00655509">
        <w:rPr>
          <w:rFonts w:ascii="Times New Roman" w:eastAsia="Times New Roman" w:hAnsi="Times New Roman" w:cs="Times New Roman"/>
          <w:sz w:val="24"/>
          <w:szCs w:val="24"/>
          <w:lang w:val="en-US" w:eastAsia="nl-NL" w:bidi="nl-NL"/>
        </w:rPr>
        <w:t>is likely to have resulted</w:t>
      </w:r>
      <w:r w:rsidRPr="00655509">
        <w:rPr>
          <w:rFonts w:ascii="Times New Roman" w:eastAsia="Times New Roman" w:hAnsi="Times New Roman" w:cs="Times New Roman"/>
          <w:sz w:val="24"/>
          <w:szCs w:val="24"/>
          <w:lang w:val="en-US" w:eastAsia="nl-NL" w:bidi="nl-NL"/>
        </w:rPr>
        <w:t xml:space="preserve"> in an underestimation of fracture incidence, especially because subsequent fractures at the same anatomical (ipsilateral or contralateral) site have a relative high incidence </w:t>
      </w:r>
      <w:r w:rsidR="004C50C4" w:rsidRPr="00655509">
        <w:rPr>
          <w:rFonts w:ascii="Times New Roman" w:eastAsia="Times New Roman" w:hAnsi="Times New Roman" w:cs="Times New Roman"/>
          <w:sz w:val="24"/>
          <w:szCs w:val="24"/>
          <w:lang w:val="en-US" w:eastAsia="nl-NL" w:bidi="nl-NL"/>
        </w:rPr>
        <w:t>[15,</w:t>
      </w:r>
      <w:r w:rsidR="000306DF" w:rsidRPr="00655509">
        <w:rPr>
          <w:rFonts w:ascii="Times New Roman" w:eastAsia="Times New Roman" w:hAnsi="Times New Roman" w:cs="Times New Roman"/>
          <w:sz w:val="24"/>
          <w:szCs w:val="24"/>
          <w:lang w:val="en-US" w:eastAsia="nl-NL" w:bidi="nl-NL"/>
        </w:rPr>
        <w:t>33</w:t>
      </w:r>
      <w:r w:rsidRPr="00655509">
        <w:rPr>
          <w:rFonts w:ascii="Times New Roman" w:eastAsia="Times New Roman" w:hAnsi="Times New Roman" w:cs="Times New Roman"/>
          <w:sz w:val="24"/>
          <w:szCs w:val="24"/>
          <w:lang w:val="en-US" w:eastAsia="nl-NL" w:bidi="nl-NL"/>
        </w:rPr>
        <w:t>]</w:t>
      </w:r>
      <w:r w:rsidR="00B81F9C" w:rsidRPr="00655509">
        <w:rPr>
          <w:rFonts w:ascii="Times New Roman" w:eastAsia="Times New Roman" w:hAnsi="Times New Roman" w:cs="Times New Roman"/>
          <w:sz w:val="24"/>
          <w:szCs w:val="24"/>
          <w:lang w:val="en-US" w:eastAsia="nl-NL" w:bidi="nl-NL"/>
        </w:rPr>
        <w:t>. This limitation will probably particularly affect the detection of multiple vertebral fractures.</w:t>
      </w:r>
      <w:r w:rsidRPr="00655509">
        <w:rPr>
          <w:rFonts w:ascii="Times New Roman" w:eastAsia="Times New Roman" w:hAnsi="Times New Roman" w:cs="Times New Roman"/>
          <w:sz w:val="24"/>
          <w:szCs w:val="24"/>
          <w:lang w:val="en-US" w:eastAsia="nl-NL" w:bidi="nl-NL"/>
        </w:rPr>
        <w:t xml:space="preserve"> </w:t>
      </w:r>
      <w:r w:rsidR="00060DEE" w:rsidRPr="00655509">
        <w:rPr>
          <w:rFonts w:ascii="Times New Roman" w:eastAsia="Times New Roman" w:hAnsi="Times New Roman" w:cs="Times New Roman"/>
          <w:sz w:val="24"/>
          <w:szCs w:val="24"/>
          <w:lang w:val="en-US" w:eastAsia="nl-NL" w:bidi="nl-NL"/>
        </w:rPr>
        <w:t>Furthermore, we were not able to explore the timecourse of the risk relationship, as has been undertaken elsewhere</w:t>
      </w:r>
      <w:r w:rsidR="00E03CD0" w:rsidRPr="00655509">
        <w:rPr>
          <w:rFonts w:ascii="Times New Roman" w:eastAsia="Times New Roman" w:hAnsi="Times New Roman" w:cs="Times New Roman"/>
          <w:sz w:val="24"/>
          <w:szCs w:val="24"/>
          <w:lang w:val="en-US" w:eastAsia="nl-NL" w:bidi="nl-NL"/>
        </w:rPr>
        <w:t xml:space="preserve"> </w:t>
      </w:r>
      <w:r w:rsidR="00060DEE" w:rsidRPr="00655509">
        <w:rPr>
          <w:rFonts w:ascii="Times New Roman" w:eastAsia="Times New Roman" w:hAnsi="Times New Roman" w:cs="Times New Roman"/>
          <w:sz w:val="24"/>
          <w:szCs w:val="24"/>
          <w:lang w:val="en-US" w:eastAsia="nl-NL" w:bidi="nl-NL"/>
        </w:rPr>
        <w:t>[</w:t>
      </w:r>
      <w:r w:rsidR="0089636C" w:rsidRPr="00655509">
        <w:rPr>
          <w:rFonts w:ascii="Times New Roman" w:eastAsia="Times New Roman" w:hAnsi="Times New Roman" w:cs="Times New Roman"/>
          <w:sz w:val="24"/>
          <w:szCs w:val="24"/>
          <w:lang w:val="en-US" w:eastAsia="nl-NL" w:bidi="nl-NL"/>
        </w:rPr>
        <w:t>34</w:t>
      </w:r>
      <w:r w:rsidR="00060DEE" w:rsidRPr="00655509">
        <w:rPr>
          <w:rFonts w:ascii="Times New Roman" w:eastAsia="Times New Roman" w:hAnsi="Times New Roman" w:cs="Times New Roman"/>
          <w:sz w:val="24"/>
          <w:szCs w:val="24"/>
          <w:lang w:val="en-US" w:eastAsia="nl-NL" w:bidi="nl-NL"/>
        </w:rPr>
        <w:t xml:space="preserve">]. </w:t>
      </w:r>
      <w:r w:rsidR="00404418" w:rsidRPr="00655509">
        <w:rPr>
          <w:rFonts w:ascii="Times New Roman" w:eastAsia="Times New Roman" w:hAnsi="Times New Roman" w:cs="Times New Roman"/>
          <w:sz w:val="24"/>
          <w:szCs w:val="24"/>
          <w:lang w:val="en-US" w:eastAsia="nl-NL" w:bidi="nl-NL"/>
        </w:rPr>
        <w:t xml:space="preserve">Fourthly, </w:t>
      </w:r>
      <w:r w:rsidRPr="00655509">
        <w:rPr>
          <w:rFonts w:ascii="Times New Roman" w:eastAsia="Times New Roman" w:hAnsi="Times New Roman" w:cs="Times New Roman"/>
          <w:sz w:val="24"/>
          <w:szCs w:val="24"/>
          <w:lang w:val="en-US" w:eastAsia="nl-NL" w:bidi="nl-NL"/>
        </w:rPr>
        <w:t xml:space="preserve"> because of the extremely large number of individuals in the dataset, it was not possible to readily calculate incidences on the basis of exact dates of fracture and time at risk. Although this will have led to some minor loss of resolution in the results, this factor is unlikely to have systematically changed our findings overall. F</w:t>
      </w:r>
      <w:r w:rsidR="00404418" w:rsidRPr="00655509">
        <w:rPr>
          <w:rFonts w:ascii="Times New Roman" w:eastAsia="Times New Roman" w:hAnsi="Times New Roman" w:cs="Times New Roman"/>
          <w:sz w:val="24"/>
          <w:szCs w:val="24"/>
          <w:lang w:val="en-US" w:eastAsia="nl-NL" w:bidi="nl-NL"/>
        </w:rPr>
        <w:t>i</w:t>
      </w:r>
      <w:r w:rsidR="00DD46FC" w:rsidRPr="00655509">
        <w:rPr>
          <w:rFonts w:ascii="Times New Roman" w:eastAsia="Times New Roman" w:hAnsi="Times New Roman" w:cs="Times New Roman"/>
          <w:sz w:val="24"/>
          <w:szCs w:val="24"/>
          <w:lang w:val="en-US" w:eastAsia="nl-NL" w:bidi="nl-NL"/>
        </w:rPr>
        <w:t>f</w:t>
      </w:r>
      <w:r w:rsidR="00404418" w:rsidRPr="00655509">
        <w:rPr>
          <w:rFonts w:ascii="Times New Roman" w:eastAsia="Times New Roman" w:hAnsi="Times New Roman" w:cs="Times New Roman"/>
          <w:sz w:val="24"/>
          <w:szCs w:val="24"/>
          <w:lang w:val="en-US" w:eastAsia="nl-NL" w:bidi="nl-NL"/>
        </w:rPr>
        <w:t>thly</w:t>
      </w:r>
      <w:r w:rsidRPr="00655509">
        <w:rPr>
          <w:rFonts w:ascii="Times New Roman" w:eastAsia="Times New Roman" w:hAnsi="Times New Roman" w:cs="Times New Roman"/>
          <w:sz w:val="24"/>
          <w:szCs w:val="24"/>
          <w:lang w:val="en-US" w:eastAsia="nl-NL" w:bidi="nl-NL"/>
        </w:rPr>
        <w:t xml:space="preserve"> </w:t>
      </w:r>
      <w:r w:rsidR="00AC7A58" w:rsidRPr="00655509">
        <w:rPr>
          <w:rFonts w:ascii="Times New Roman" w:eastAsia="Times New Roman" w:hAnsi="Times New Roman" w:cs="Times New Roman"/>
          <w:sz w:val="24"/>
          <w:szCs w:val="24"/>
          <w:lang w:val="en-US" w:eastAsia="nl-NL" w:bidi="nl-NL"/>
        </w:rPr>
        <w:t xml:space="preserve">due to inherent limitations of our database we were not able to provide information with regards to the duration of the time to a subsequent fracture. </w:t>
      </w:r>
      <w:r w:rsidR="00404418" w:rsidRPr="00655509">
        <w:rPr>
          <w:rFonts w:ascii="Times New Roman" w:eastAsia="Times New Roman" w:hAnsi="Times New Roman" w:cs="Times New Roman"/>
          <w:sz w:val="24"/>
          <w:szCs w:val="24"/>
          <w:lang w:val="en-US" w:eastAsia="nl-NL" w:bidi="nl-NL"/>
        </w:rPr>
        <w:t>Sixthly,</w:t>
      </w:r>
      <w:r w:rsidR="00EA0B36">
        <w:rPr>
          <w:rFonts w:ascii="Times New Roman" w:eastAsia="Times New Roman" w:hAnsi="Times New Roman" w:cs="Times New Roman"/>
          <w:sz w:val="24"/>
          <w:szCs w:val="24"/>
          <w:lang w:val="en-US" w:eastAsia="nl-NL" w:bidi="nl-NL"/>
        </w:rPr>
        <w:t xml:space="preserve"> </w:t>
      </w:r>
      <w:r w:rsidR="00404418" w:rsidRPr="00EE3900">
        <w:rPr>
          <w:rFonts w:ascii="Times New Roman" w:eastAsia="Times New Roman" w:hAnsi="Times New Roman" w:cs="Times New Roman"/>
          <w:sz w:val="24"/>
          <w:szCs w:val="24"/>
          <w:lang w:val="en-US" w:eastAsia="nl-NL" w:bidi="nl-NL"/>
        </w:rPr>
        <w:t>C</w:t>
      </w:r>
      <w:r w:rsidRPr="00EE3900">
        <w:rPr>
          <w:rFonts w:ascii="Times New Roman" w:eastAsia="Times New Roman" w:hAnsi="Times New Roman" w:cs="Times New Roman"/>
          <w:sz w:val="24"/>
          <w:szCs w:val="24"/>
          <w:lang w:val="en-US" w:eastAsia="nl-NL" w:bidi="nl-NL"/>
        </w:rPr>
        <w:t>PRD covers 7% of the UK population [</w:t>
      </w:r>
      <w:r w:rsidR="0089636C" w:rsidRPr="00EE3900">
        <w:rPr>
          <w:rFonts w:ascii="Times New Roman" w:eastAsia="Times New Roman" w:hAnsi="Times New Roman" w:cs="Times New Roman"/>
          <w:sz w:val="24"/>
          <w:szCs w:val="24"/>
          <w:lang w:val="en-US" w:eastAsia="nl-NL" w:bidi="nl-NL"/>
        </w:rPr>
        <w:t>25</w:t>
      </w:r>
      <w:r w:rsidRPr="00EE3900">
        <w:rPr>
          <w:rFonts w:ascii="Times New Roman" w:eastAsia="Times New Roman" w:hAnsi="Times New Roman" w:cs="Times New Roman"/>
          <w:sz w:val="24"/>
          <w:szCs w:val="24"/>
          <w:lang w:val="en-US" w:eastAsia="nl-NL" w:bidi="nl-NL"/>
        </w:rPr>
        <w:t>] and therefore may not fully represent fracture rates in all areas of the UK. However, the dataset has been shown to be generally representative of the UK population [</w:t>
      </w:r>
      <w:r w:rsidR="0089636C" w:rsidRPr="005F5B1E">
        <w:rPr>
          <w:rFonts w:ascii="Times New Roman" w:eastAsia="Times New Roman" w:hAnsi="Times New Roman" w:cs="Times New Roman"/>
          <w:sz w:val="24"/>
          <w:szCs w:val="24"/>
          <w:lang w:val="en-US" w:eastAsia="nl-NL" w:bidi="nl-NL"/>
        </w:rPr>
        <w:t>25</w:t>
      </w:r>
      <w:r w:rsidRPr="00655509">
        <w:rPr>
          <w:rFonts w:ascii="Times New Roman" w:eastAsia="Times New Roman" w:hAnsi="Times New Roman" w:cs="Times New Roman"/>
          <w:sz w:val="24"/>
          <w:szCs w:val="24"/>
          <w:lang w:val="en-US" w:eastAsia="nl-NL" w:bidi="nl-NL"/>
        </w:rPr>
        <w:t xml:space="preserve">]. </w:t>
      </w:r>
      <w:r w:rsidR="004B5B1D" w:rsidRPr="00655509">
        <w:rPr>
          <w:rFonts w:ascii="Times New Roman" w:eastAsia="Times New Roman" w:hAnsi="Times New Roman" w:cs="Times New Roman"/>
          <w:sz w:val="24"/>
          <w:szCs w:val="24"/>
          <w:lang w:val="en-US" w:eastAsia="nl-NL" w:bidi="nl-NL"/>
        </w:rPr>
        <w:t>Additionally we were not able to investigate wh</w:t>
      </w:r>
      <w:r w:rsidR="00512EE2" w:rsidRPr="00655509">
        <w:rPr>
          <w:rFonts w:ascii="Times New Roman" w:eastAsia="Times New Roman" w:hAnsi="Times New Roman" w:cs="Times New Roman"/>
          <w:sz w:val="24"/>
          <w:szCs w:val="24"/>
          <w:lang w:val="en-US" w:eastAsia="nl-NL" w:bidi="nl-NL"/>
        </w:rPr>
        <w:t>e</w:t>
      </w:r>
      <w:r w:rsidR="004B5B1D" w:rsidRPr="00655509">
        <w:rPr>
          <w:rFonts w:ascii="Times New Roman" w:eastAsia="Times New Roman" w:hAnsi="Times New Roman" w:cs="Times New Roman"/>
          <w:sz w:val="24"/>
          <w:szCs w:val="24"/>
          <w:lang w:val="en-US" w:eastAsia="nl-NL" w:bidi="nl-NL"/>
        </w:rPr>
        <w:t>ther fracture risks might have changed in the years subsequent to 2012.</w:t>
      </w:r>
      <w:r w:rsidR="00D40D93" w:rsidRPr="00655509">
        <w:rPr>
          <w:rFonts w:ascii="Times New Roman" w:eastAsia="Times New Roman" w:hAnsi="Times New Roman" w:cs="Times New Roman"/>
          <w:sz w:val="24"/>
          <w:szCs w:val="24"/>
          <w:lang w:val="en-US" w:eastAsia="nl-NL" w:bidi="nl-NL"/>
        </w:rPr>
        <w:t xml:space="preserve"> </w:t>
      </w:r>
      <w:r w:rsidR="00721717" w:rsidRPr="002C5129">
        <w:rPr>
          <w:rFonts w:ascii="Times New Roman" w:eastAsia="Times New Roman" w:hAnsi="Times New Roman" w:cs="Times New Roman"/>
          <w:sz w:val="24"/>
          <w:szCs w:val="24"/>
          <w:lang w:val="en-US" w:eastAsia="nl-NL" w:bidi="nl-NL"/>
        </w:rPr>
        <w:t>Finally, we did not take competing mortality risks into account, which can potentially cause an underestimation of the probability (accounting for death risk) of subsequent fractures, especially after hip and vertebral fractures [35,36]</w:t>
      </w:r>
      <w:r w:rsidR="00721717" w:rsidRPr="00EE3900">
        <w:rPr>
          <w:rFonts w:ascii="Times New Roman" w:eastAsia="Times New Roman" w:hAnsi="Times New Roman" w:cs="Times New Roman"/>
          <w:sz w:val="24"/>
          <w:szCs w:val="24"/>
          <w:lang w:val="en-US" w:eastAsia="nl-NL" w:bidi="nl-NL"/>
        </w:rPr>
        <w:t>, and potentially differential by sex, since death rates differ between men and women.</w:t>
      </w:r>
      <w:r w:rsidR="00721717" w:rsidRPr="002C5129">
        <w:rPr>
          <w:rFonts w:ascii="Times New Roman" w:eastAsia="Times New Roman" w:hAnsi="Times New Roman" w:cs="Times New Roman"/>
          <w:sz w:val="24"/>
          <w:szCs w:val="24"/>
          <w:lang w:val="en-US" w:eastAsia="nl-NL" w:bidi="nl-NL"/>
        </w:rPr>
        <w:t xml:space="preserve"> </w:t>
      </w:r>
      <w:r w:rsidR="004B5B1D" w:rsidRPr="00655509">
        <w:rPr>
          <w:rFonts w:ascii="Times New Roman" w:eastAsia="Times New Roman" w:hAnsi="Times New Roman" w:cs="Times New Roman"/>
          <w:sz w:val="24"/>
          <w:szCs w:val="24"/>
          <w:lang w:val="en-US" w:eastAsia="nl-NL" w:bidi="nl-NL"/>
        </w:rPr>
        <w:t>Importantly, the figures we report document the fractures that actually happened, rather than the theoretical incidence that might occur after accounting for death rates, and thus are likely to be the appropriate metric to inform approaches to risk assessment.</w:t>
      </w:r>
    </w:p>
    <w:p w14:paraId="6D976F18" w14:textId="1BC24B17" w:rsidR="00EC5018" w:rsidRPr="00EE3900" w:rsidRDefault="004B69FE">
      <w:pPr>
        <w:spacing w:after="120" w:line="480" w:lineRule="auto"/>
        <w:jc w:val="both"/>
        <w:rPr>
          <w:rFonts w:ascii="Times New Roman" w:hAnsi="Times New Roman" w:cs="Times New Roman"/>
          <w:sz w:val="24"/>
          <w:szCs w:val="24"/>
        </w:rPr>
      </w:pPr>
      <w:r w:rsidRPr="00655509">
        <w:rPr>
          <w:rFonts w:ascii="Times New Roman" w:hAnsi="Times New Roman" w:cs="Times New Roman"/>
          <w:sz w:val="24"/>
          <w:szCs w:val="24"/>
          <w:lang w:val="en-US"/>
        </w:rPr>
        <w:t xml:space="preserve">In </w:t>
      </w:r>
      <w:r w:rsidR="00EC5018" w:rsidRPr="00655509">
        <w:rPr>
          <w:rFonts w:ascii="Times New Roman" w:hAnsi="Times New Roman" w:cs="Times New Roman"/>
          <w:sz w:val="24"/>
          <w:szCs w:val="24"/>
          <w:lang w:val="en-US"/>
        </w:rPr>
        <w:t xml:space="preserve">conclusion, we have </w:t>
      </w:r>
      <w:r w:rsidRPr="00655509">
        <w:rPr>
          <w:rFonts w:ascii="Times New Roman" w:hAnsi="Times New Roman" w:cs="Times New Roman"/>
          <w:sz w:val="24"/>
          <w:szCs w:val="24"/>
          <w:lang w:val="en-US"/>
        </w:rPr>
        <w:t>demonstrated</w:t>
      </w:r>
      <w:r w:rsidR="00512EE2" w:rsidRPr="00655509">
        <w:rPr>
          <w:rFonts w:ascii="Times New Roman" w:hAnsi="Times New Roman" w:cs="Times New Roman"/>
          <w:sz w:val="24"/>
          <w:szCs w:val="24"/>
          <w:lang w:val="en-US"/>
        </w:rPr>
        <w:t xml:space="preserve"> </w:t>
      </w:r>
      <w:r w:rsidRPr="00655509">
        <w:rPr>
          <w:rFonts w:ascii="Times New Roman" w:hAnsi="Times New Roman" w:cs="Times New Roman"/>
          <w:sz w:val="24"/>
          <w:szCs w:val="24"/>
          <w:lang w:val="en-US"/>
        </w:rPr>
        <w:t>in the UK CPRD that an index fracture is associated with a markedly raised risk of subsequent fracture</w:t>
      </w:r>
      <w:r w:rsidR="00270560" w:rsidRPr="00655509">
        <w:rPr>
          <w:rFonts w:ascii="Times New Roman" w:hAnsi="Times New Roman" w:cs="Times New Roman"/>
          <w:sz w:val="24"/>
          <w:szCs w:val="24"/>
          <w:lang w:val="en-US"/>
        </w:rPr>
        <w:t xml:space="preserve">s, </w:t>
      </w:r>
      <w:r w:rsidR="00EC5018" w:rsidRPr="00655509">
        <w:rPr>
          <w:rFonts w:ascii="Times New Roman" w:hAnsi="Times New Roman" w:cs="Times New Roman"/>
          <w:sz w:val="24"/>
          <w:szCs w:val="24"/>
        </w:rPr>
        <w:t>with</w:t>
      </w:r>
      <w:r w:rsidR="00512EE2" w:rsidRPr="00655509">
        <w:rPr>
          <w:rFonts w:ascii="Times New Roman" w:hAnsi="Times New Roman" w:cs="Times New Roman"/>
          <w:sz w:val="24"/>
          <w:szCs w:val="24"/>
        </w:rPr>
        <w:t>,</w:t>
      </w:r>
      <w:r w:rsidR="00270560" w:rsidRPr="00655509">
        <w:rPr>
          <w:rFonts w:ascii="Times New Roman" w:hAnsi="Times New Roman" w:cs="Times New Roman"/>
          <w:sz w:val="24"/>
          <w:szCs w:val="24"/>
        </w:rPr>
        <w:t xml:space="preserve"> for example</w:t>
      </w:r>
      <w:r w:rsidR="00512EE2" w:rsidRPr="00655509">
        <w:rPr>
          <w:rFonts w:ascii="Times New Roman" w:hAnsi="Times New Roman" w:cs="Times New Roman"/>
          <w:sz w:val="24"/>
          <w:szCs w:val="24"/>
        </w:rPr>
        <w:t>,</w:t>
      </w:r>
      <w:r w:rsidR="00EC5018" w:rsidRPr="00655509">
        <w:rPr>
          <w:rFonts w:ascii="Times New Roman" w:hAnsi="Times New Roman" w:cs="Times New Roman"/>
          <w:sz w:val="24"/>
          <w:szCs w:val="24"/>
        </w:rPr>
        <w:t xml:space="preserve"> </w:t>
      </w:r>
      <w:r w:rsidR="00A93EBF" w:rsidRPr="00655509">
        <w:rPr>
          <w:rFonts w:ascii="Times New Roman" w:hAnsi="Times New Roman" w:cs="Times New Roman"/>
          <w:sz w:val="24"/>
          <w:szCs w:val="24"/>
        </w:rPr>
        <w:t xml:space="preserve">a </w:t>
      </w:r>
      <w:r w:rsidR="00EC5018" w:rsidRPr="00655509">
        <w:rPr>
          <w:rFonts w:ascii="Times New Roman" w:hAnsi="Times New Roman" w:cs="Times New Roman"/>
          <w:sz w:val="24"/>
          <w:szCs w:val="24"/>
        </w:rPr>
        <w:t>relative risk of subsequent fractures after an index hip fracture between 2 to 7 compared with the risk</w:t>
      </w:r>
      <w:r w:rsidR="00270560" w:rsidRPr="00655509">
        <w:rPr>
          <w:rFonts w:ascii="Times New Roman" w:hAnsi="Times New Roman" w:cs="Times New Roman"/>
          <w:sz w:val="24"/>
          <w:szCs w:val="24"/>
        </w:rPr>
        <w:t xml:space="preserve"> of a first fracture at these sites.</w:t>
      </w:r>
      <w:r w:rsidR="00EC5018" w:rsidRPr="00655509">
        <w:rPr>
          <w:rFonts w:ascii="Times New Roman" w:hAnsi="Times New Roman" w:cs="Times New Roman"/>
          <w:sz w:val="24"/>
          <w:szCs w:val="24"/>
        </w:rPr>
        <w:t xml:space="preserve"> </w:t>
      </w:r>
      <w:r w:rsidR="00270560" w:rsidRPr="00655509">
        <w:rPr>
          <w:rFonts w:ascii="Times New Roman" w:hAnsi="Times New Roman" w:cs="Times New Roman"/>
          <w:sz w:val="24"/>
          <w:szCs w:val="24"/>
        </w:rPr>
        <w:t>Our findings strongly support the need for prompt appropriate assessment and treatment to reduce risk of future fractures, following an index event</w:t>
      </w:r>
      <w:r w:rsidR="00471994" w:rsidRPr="00655509">
        <w:rPr>
          <w:rFonts w:ascii="Times New Roman" w:hAnsi="Times New Roman" w:cs="Times New Roman"/>
          <w:sz w:val="24"/>
          <w:szCs w:val="24"/>
        </w:rPr>
        <w:t xml:space="preserve"> </w:t>
      </w:r>
      <w:r w:rsidR="00471994" w:rsidRPr="002C5129">
        <w:rPr>
          <w:rFonts w:ascii="Times New Roman" w:eastAsia="Times New Roman" w:hAnsi="Times New Roman" w:cs="Times New Roman"/>
          <w:color w:val="000000"/>
          <w:sz w:val="24"/>
          <w:szCs w:val="24"/>
          <w:lang w:eastAsia="nl-NL"/>
        </w:rPr>
        <w:t>in persons aged 50+</w:t>
      </w:r>
      <w:r w:rsidR="00512EE2" w:rsidRPr="002C5129">
        <w:rPr>
          <w:rFonts w:ascii="Times New Roman" w:eastAsia="Times New Roman" w:hAnsi="Times New Roman" w:cs="Times New Roman"/>
          <w:color w:val="000000"/>
          <w:sz w:val="24"/>
          <w:szCs w:val="24"/>
          <w:lang w:eastAsia="nl-NL"/>
        </w:rPr>
        <w:t xml:space="preserve"> years</w:t>
      </w:r>
      <w:r w:rsidR="00471994" w:rsidRPr="00EE3900">
        <w:rPr>
          <w:rFonts w:ascii="Times New Roman" w:hAnsi="Times New Roman" w:cs="Times New Roman"/>
          <w:sz w:val="24"/>
          <w:szCs w:val="24"/>
        </w:rPr>
        <w:t xml:space="preserve"> </w:t>
      </w:r>
      <w:r w:rsidR="00270560" w:rsidRPr="00EE3900">
        <w:rPr>
          <w:rFonts w:ascii="Times New Roman" w:hAnsi="Times New Roman" w:cs="Times New Roman"/>
          <w:sz w:val="24"/>
          <w:szCs w:val="24"/>
        </w:rPr>
        <w:t>and that resource is urgently needed to close the current care gap experienced by many patients with osteoporosis worldwide.</w:t>
      </w:r>
    </w:p>
    <w:p w14:paraId="7692F1E2" w14:textId="77777777" w:rsidR="003E49F1" w:rsidRPr="005F5B1E" w:rsidRDefault="003E49F1">
      <w:pPr>
        <w:spacing w:after="120" w:line="480" w:lineRule="auto"/>
        <w:jc w:val="both"/>
        <w:rPr>
          <w:rFonts w:ascii="Times New Roman" w:eastAsiaTheme="minorEastAsia" w:hAnsi="Times New Roman" w:cs="Times New Roman"/>
          <w:b/>
          <w:sz w:val="24"/>
          <w:szCs w:val="24"/>
          <w:lang w:eastAsia="nl-NL"/>
        </w:rPr>
      </w:pPr>
    </w:p>
    <w:p w14:paraId="658DDFA1" w14:textId="77777777" w:rsidR="00EC5018" w:rsidRPr="00655509" w:rsidRDefault="00EC5018">
      <w:pPr>
        <w:spacing w:after="120" w:line="480" w:lineRule="auto"/>
        <w:jc w:val="both"/>
        <w:rPr>
          <w:rFonts w:ascii="Times New Roman" w:eastAsiaTheme="minorEastAsia" w:hAnsi="Times New Roman" w:cs="Times New Roman"/>
          <w:b/>
          <w:sz w:val="24"/>
          <w:szCs w:val="24"/>
          <w:lang w:eastAsia="nl-NL"/>
        </w:rPr>
      </w:pPr>
      <w:r w:rsidRPr="00655509">
        <w:rPr>
          <w:rFonts w:ascii="Times New Roman" w:eastAsiaTheme="minorEastAsia" w:hAnsi="Times New Roman" w:cs="Times New Roman"/>
          <w:b/>
          <w:sz w:val="24"/>
          <w:szCs w:val="24"/>
          <w:lang w:eastAsia="nl-NL"/>
        </w:rPr>
        <w:t>Acknowledgements</w:t>
      </w:r>
    </w:p>
    <w:p w14:paraId="556B0EF9" w14:textId="67FAF7F0" w:rsidR="00EC5018" w:rsidRPr="00655509" w:rsidRDefault="00F9724C">
      <w:pPr>
        <w:spacing w:after="120" w:line="480" w:lineRule="auto"/>
        <w:jc w:val="both"/>
        <w:rPr>
          <w:rFonts w:ascii="Times New Roman" w:eastAsiaTheme="minorEastAsia" w:hAnsi="Times New Roman" w:cs="Times New Roman"/>
          <w:sz w:val="24"/>
          <w:szCs w:val="24"/>
          <w:lang w:eastAsia="nl-NL"/>
        </w:rPr>
      </w:pPr>
      <w:r w:rsidRPr="00655509">
        <w:rPr>
          <w:rFonts w:ascii="Times New Roman" w:eastAsiaTheme="minorEastAsia" w:hAnsi="Times New Roman" w:cs="Times New Roman"/>
          <w:sz w:val="24"/>
          <w:szCs w:val="24"/>
          <w:lang w:eastAsia="nl-NL"/>
        </w:rPr>
        <w:t>TvS and NCH</w:t>
      </w:r>
      <w:r w:rsidR="009A4C06" w:rsidRPr="00655509">
        <w:rPr>
          <w:rFonts w:ascii="Times New Roman" w:eastAsiaTheme="minorEastAsia" w:hAnsi="Times New Roman" w:cs="Times New Roman"/>
          <w:sz w:val="24"/>
          <w:szCs w:val="24"/>
          <w:lang w:eastAsia="nl-NL"/>
        </w:rPr>
        <w:t xml:space="preserve"> are joint senior author. The work was supported by a grant from the National Osteoporosis Society. This work was further supported by the Medical Research Council, British Heart Foundation, Arthritis Research UK, </w:t>
      </w:r>
      <w:r w:rsidRPr="00655509">
        <w:rPr>
          <w:rFonts w:ascii="Times New Roman" w:eastAsiaTheme="minorEastAsia" w:hAnsi="Times New Roman" w:cs="Times New Roman"/>
          <w:sz w:val="24"/>
          <w:szCs w:val="24"/>
          <w:lang w:eastAsia="nl-NL"/>
        </w:rPr>
        <w:t xml:space="preserve">International Osteoporosis Foundation, </w:t>
      </w:r>
      <w:r w:rsidR="009A4C06" w:rsidRPr="00655509">
        <w:rPr>
          <w:rFonts w:ascii="Times New Roman" w:eastAsiaTheme="minorEastAsia" w:hAnsi="Times New Roman" w:cs="Times New Roman"/>
          <w:sz w:val="24"/>
          <w:szCs w:val="24"/>
          <w:lang w:eastAsia="nl-NL"/>
        </w:rPr>
        <w:t xml:space="preserve">National Institute for Health Research (NIHR) Southampton Biomedical Research Centre, University of Southampton and University Hospital Southampton NHS Foundation Trust, and NIHR </w:t>
      </w:r>
      <w:r w:rsidRPr="00655509">
        <w:rPr>
          <w:rFonts w:ascii="Times New Roman" w:eastAsiaTheme="minorEastAsia" w:hAnsi="Times New Roman" w:cs="Times New Roman"/>
          <w:sz w:val="24"/>
          <w:szCs w:val="24"/>
          <w:lang w:eastAsia="nl-NL"/>
        </w:rPr>
        <w:t>Oxford</w:t>
      </w:r>
      <w:r w:rsidR="009A4C06" w:rsidRPr="00655509">
        <w:rPr>
          <w:rFonts w:ascii="Times New Roman" w:eastAsiaTheme="minorEastAsia" w:hAnsi="Times New Roman" w:cs="Times New Roman"/>
          <w:sz w:val="24"/>
          <w:szCs w:val="24"/>
          <w:lang w:eastAsia="nl-NL"/>
        </w:rPr>
        <w:t xml:space="preserve"> Biomedical Research </w:t>
      </w:r>
      <w:r w:rsidRPr="00655509">
        <w:rPr>
          <w:rFonts w:ascii="Times New Roman" w:eastAsiaTheme="minorEastAsia" w:hAnsi="Times New Roman" w:cs="Times New Roman"/>
          <w:sz w:val="24"/>
          <w:szCs w:val="24"/>
          <w:lang w:eastAsia="nl-NL"/>
        </w:rPr>
        <w:t>Centre</w:t>
      </w:r>
      <w:r w:rsidR="009A4C06" w:rsidRPr="00655509">
        <w:rPr>
          <w:rFonts w:ascii="Times New Roman" w:eastAsiaTheme="minorEastAsia" w:hAnsi="Times New Roman" w:cs="Times New Roman"/>
          <w:sz w:val="24"/>
          <w:szCs w:val="24"/>
          <w:lang w:eastAsia="nl-NL"/>
        </w:rPr>
        <w:t>, University of Oxford.</w:t>
      </w:r>
    </w:p>
    <w:p w14:paraId="5F7F1FE3" w14:textId="77777777" w:rsidR="000067C3" w:rsidRPr="00655509" w:rsidRDefault="000067C3">
      <w:pPr>
        <w:spacing w:after="120" w:line="480" w:lineRule="auto"/>
        <w:jc w:val="both"/>
        <w:rPr>
          <w:rFonts w:ascii="Times New Roman" w:eastAsiaTheme="minorEastAsia" w:hAnsi="Times New Roman" w:cs="Times New Roman"/>
          <w:b/>
          <w:sz w:val="24"/>
          <w:szCs w:val="24"/>
          <w:lang w:eastAsia="nl-NL"/>
        </w:rPr>
      </w:pPr>
    </w:p>
    <w:p w14:paraId="072A3FDA" w14:textId="77777777" w:rsidR="00EC5018" w:rsidRPr="00655509" w:rsidRDefault="00EC5018">
      <w:pPr>
        <w:spacing w:after="120" w:line="480" w:lineRule="auto"/>
        <w:jc w:val="both"/>
        <w:rPr>
          <w:rFonts w:ascii="Times New Roman" w:eastAsiaTheme="minorEastAsia" w:hAnsi="Times New Roman" w:cs="Times New Roman"/>
          <w:b/>
          <w:sz w:val="24"/>
          <w:szCs w:val="24"/>
          <w:lang w:eastAsia="nl-NL"/>
        </w:rPr>
      </w:pPr>
      <w:r w:rsidRPr="00655509">
        <w:rPr>
          <w:rFonts w:ascii="Times New Roman" w:eastAsiaTheme="minorEastAsia" w:hAnsi="Times New Roman" w:cs="Times New Roman"/>
          <w:b/>
          <w:sz w:val="24"/>
          <w:szCs w:val="24"/>
          <w:lang w:eastAsia="nl-NL"/>
        </w:rPr>
        <w:t xml:space="preserve">Conflicts of Interest </w:t>
      </w:r>
    </w:p>
    <w:p w14:paraId="7AE0360E" w14:textId="77777777" w:rsidR="00EC5018" w:rsidRPr="00EE3900" w:rsidRDefault="00EC5018" w:rsidP="00655509">
      <w:pPr>
        <w:spacing w:after="120" w:line="480" w:lineRule="auto"/>
        <w:jc w:val="both"/>
        <w:rPr>
          <w:rFonts w:ascii="Times New Roman" w:hAnsi="Times New Roman" w:cs="Times New Roman"/>
          <w:sz w:val="24"/>
          <w:szCs w:val="24"/>
        </w:rPr>
      </w:pPr>
      <w:r w:rsidRPr="00655509">
        <w:rPr>
          <w:rFonts w:ascii="Times New Roman" w:eastAsiaTheme="minorEastAsia" w:hAnsi="Times New Roman" w:cs="Times New Roman"/>
          <w:sz w:val="24"/>
          <w:szCs w:val="24"/>
          <w:lang w:eastAsia="nl-NL"/>
        </w:rPr>
        <w:t>R.Y. van der Velde, C. E. Wyers, P. P. M. M. Geusens, J. P. W van den Bergh, F. de Vries, C. Cooper, T.P. van Staa and N.C. Harvey report no conflicts of interest.</w:t>
      </w:r>
    </w:p>
    <w:p w14:paraId="082A437F" w14:textId="77777777" w:rsidR="004B69FE" w:rsidRDefault="004B69FE" w:rsidP="00402C50">
      <w:pPr>
        <w:spacing w:after="120" w:line="360" w:lineRule="auto"/>
        <w:jc w:val="both"/>
        <w:rPr>
          <w:rFonts w:ascii="Times New Roman" w:hAnsi="Times New Roman" w:cs="Times New Roman"/>
          <w:b/>
          <w:sz w:val="24"/>
        </w:rPr>
      </w:pPr>
    </w:p>
    <w:p w14:paraId="4681596D" w14:textId="77777777" w:rsidR="00460E2C" w:rsidRDefault="00460E2C">
      <w:pPr>
        <w:spacing w:after="0" w:line="240" w:lineRule="auto"/>
        <w:rPr>
          <w:rFonts w:ascii="Times New Roman" w:hAnsi="Times New Roman" w:cs="Times New Roman"/>
          <w:b/>
          <w:sz w:val="24"/>
        </w:rPr>
      </w:pPr>
      <w:r>
        <w:rPr>
          <w:rFonts w:ascii="Times New Roman" w:hAnsi="Times New Roman" w:cs="Times New Roman"/>
          <w:b/>
          <w:sz w:val="24"/>
        </w:rPr>
        <w:br w:type="page"/>
      </w:r>
    </w:p>
    <w:p w14:paraId="7715FBF1" w14:textId="71B84D7B" w:rsidR="00EC5018" w:rsidRPr="005627E9" w:rsidRDefault="00EC5018" w:rsidP="00721717">
      <w:pPr>
        <w:spacing w:after="120" w:line="360" w:lineRule="auto"/>
        <w:jc w:val="both"/>
        <w:rPr>
          <w:rFonts w:ascii="Times New Roman" w:hAnsi="Times New Roman" w:cs="Times New Roman"/>
          <w:b/>
          <w:sz w:val="24"/>
        </w:rPr>
      </w:pPr>
      <w:r w:rsidRPr="00721717">
        <w:rPr>
          <w:rFonts w:ascii="Times New Roman" w:hAnsi="Times New Roman" w:cs="Times New Roman"/>
          <w:b/>
          <w:sz w:val="24"/>
        </w:rPr>
        <w:t xml:space="preserve">References </w:t>
      </w:r>
    </w:p>
    <w:p w14:paraId="216F3467" w14:textId="3DD57FC3" w:rsidR="00EC5018" w:rsidRPr="005627E9" w:rsidRDefault="00EC5018">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rPr>
        <w:t>1</w:t>
      </w:r>
      <w:r w:rsidR="005A11EE" w:rsidRPr="005627E9">
        <w:rPr>
          <w:rFonts w:ascii="Times New Roman" w:hAnsi="Times New Roman" w:cs="Times New Roman"/>
          <w:sz w:val="24"/>
        </w:rPr>
        <w:t>.</w:t>
      </w:r>
      <w:r w:rsidRPr="005627E9">
        <w:rPr>
          <w:rFonts w:ascii="Times New Roman" w:hAnsi="Times New Roman" w:cs="Times New Roman"/>
          <w:sz w:val="24"/>
        </w:rPr>
        <w:t xml:space="preserve"> Mc</w:t>
      </w:r>
      <w:r w:rsidRPr="005627E9">
        <w:rPr>
          <w:rFonts w:ascii="Times New Roman" w:hAnsi="Times New Roman" w:cs="Times New Roman"/>
          <w:sz w:val="24"/>
          <w:lang w:val="en-US"/>
        </w:rPr>
        <w:t>Clung MR, Geusens PPMM, Miller PD et al. Effect of risedronate on the risk of hip fracture in elderly women. N</w:t>
      </w:r>
      <w:r w:rsidR="005C0173" w:rsidRPr="005627E9">
        <w:rPr>
          <w:rFonts w:ascii="Times New Roman" w:hAnsi="Times New Roman" w:cs="Times New Roman"/>
          <w:sz w:val="24"/>
          <w:lang w:val="en-US"/>
        </w:rPr>
        <w:t xml:space="preserve"> </w:t>
      </w:r>
      <w:r w:rsidRPr="005627E9">
        <w:rPr>
          <w:rFonts w:ascii="Times New Roman" w:hAnsi="Times New Roman" w:cs="Times New Roman"/>
          <w:sz w:val="24"/>
          <w:lang w:val="en-US"/>
        </w:rPr>
        <w:t>E</w:t>
      </w:r>
      <w:r w:rsidR="005C0173" w:rsidRPr="005627E9">
        <w:rPr>
          <w:rFonts w:ascii="Times New Roman" w:hAnsi="Times New Roman" w:cs="Times New Roman"/>
          <w:sz w:val="24"/>
          <w:lang w:val="en-US"/>
        </w:rPr>
        <w:t xml:space="preserve">ngl </w:t>
      </w:r>
      <w:r w:rsidRPr="005627E9">
        <w:rPr>
          <w:rFonts w:ascii="Times New Roman" w:hAnsi="Times New Roman" w:cs="Times New Roman"/>
          <w:sz w:val="24"/>
          <w:lang w:val="en-US"/>
        </w:rPr>
        <w:t>J</w:t>
      </w:r>
      <w:r w:rsidR="005C0173" w:rsidRPr="005627E9">
        <w:rPr>
          <w:rFonts w:ascii="Times New Roman" w:hAnsi="Times New Roman" w:cs="Times New Roman"/>
          <w:sz w:val="24"/>
          <w:lang w:val="en-US"/>
        </w:rPr>
        <w:t xml:space="preserve"> </w:t>
      </w:r>
      <w:r w:rsidRPr="005627E9">
        <w:rPr>
          <w:rFonts w:ascii="Times New Roman" w:hAnsi="Times New Roman" w:cs="Times New Roman"/>
          <w:sz w:val="24"/>
          <w:lang w:val="en-US"/>
        </w:rPr>
        <w:t>M</w:t>
      </w:r>
      <w:r w:rsidR="005C0173" w:rsidRPr="005627E9">
        <w:rPr>
          <w:rFonts w:ascii="Times New Roman" w:hAnsi="Times New Roman" w:cs="Times New Roman"/>
          <w:sz w:val="24"/>
          <w:lang w:val="en-US"/>
        </w:rPr>
        <w:t>ed</w:t>
      </w:r>
      <w:r w:rsidRPr="005627E9">
        <w:rPr>
          <w:rFonts w:ascii="Times New Roman" w:hAnsi="Times New Roman" w:cs="Times New Roman"/>
          <w:sz w:val="24"/>
          <w:lang w:val="en-US"/>
        </w:rPr>
        <w:t xml:space="preserve"> 2001; 344:333-340. </w:t>
      </w:r>
    </w:p>
    <w:p w14:paraId="423A23F7" w14:textId="42932CD6" w:rsidR="00EC5018" w:rsidRPr="005627E9" w:rsidRDefault="00EC5018">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rPr>
        <w:t>2</w:t>
      </w:r>
      <w:r w:rsidR="005A11EE" w:rsidRPr="005627E9">
        <w:rPr>
          <w:rFonts w:ascii="Times New Roman" w:hAnsi="Times New Roman" w:cs="Times New Roman"/>
          <w:sz w:val="24"/>
        </w:rPr>
        <w:t>.</w:t>
      </w:r>
      <w:r w:rsidRPr="005627E9">
        <w:rPr>
          <w:rFonts w:ascii="Times New Roman" w:hAnsi="Times New Roman" w:cs="Times New Roman"/>
          <w:sz w:val="24"/>
        </w:rPr>
        <w:t xml:space="preserve"> Marshall </w:t>
      </w:r>
      <w:r w:rsidRPr="005627E9">
        <w:rPr>
          <w:rFonts w:ascii="Times New Roman" w:hAnsi="Times New Roman" w:cs="Times New Roman"/>
          <w:sz w:val="24"/>
          <w:lang w:val="en-US"/>
        </w:rPr>
        <w:t>D, Johnell O, Wedel H. Meta-analysis of how well measures of bone density predict occurrence of osteoporotic fractures. BMJ 1996; 312:1254-1259.</w:t>
      </w:r>
    </w:p>
    <w:p w14:paraId="0F80AA5A" w14:textId="2D9693CC" w:rsidR="005A11EE" w:rsidRPr="00EE3900" w:rsidRDefault="00D4771D" w:rsidP="00655509">
      <w:pPr>
        <w:pStyle w:val="PlainText"/>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3</w:t>
      </w:r>
      <w:r w:rsidR="005A11EE" w:rsidRPr="005627E9">
        <w:rPr>
          <w:rFonts w:ascii="Times New Roman" w:hAnsi="Times New Roman" w:cs="Times New Roman"/>
          <w:sz w:val="24"/>
          <w:lang w:val="en-US"/>
        </w:rPr>
        <w:t>.</w:t>
      </w:r>
      <w:r w:rsidRPr="005627E9">
        <w:rPr>
          <w:rFonts w:ascii="Times New Roman" w:hAnsi="Times New Roman" w:cs="Times New Roman"/>
          <w:sz w:val="24"/>
          <w:lang w:val="en-US"/>
        </w:rPr>
        <w:t xml:space="preserve"> </w:t>
      </w:r>
      <w:r w:rsidR="00F8571A">
        <w:rPr>
          <w:rFonts w:ascii="Times New Roman" w:hAnsi="Times New Roman" w:cs="Times New Roman"/>
          <w:sz w:val="24"/>
          <w:lang w:val="en-US"/>
        </w:rPr>
        <w:t>T</w:t>
      </w:r>
      <w:r w:rsidR="00F8571A" w:rsidRPr="00F8571A">
        <w:rPr>
          <w:rFonts w:ascii="Times New Roman" w:hAnsi="Times New Roman" w:cs="Times New Roman"/>
          <w:sz w:val="24"/>
          <w:lang w:val="en-US"/>
        </w:rPr>
        <w:t>urner DA, Khioe RFS, Shepstone L, Lenaghan E, Cooper C, Gittoes N, Harvey NC,</w:t>
      </w:r>
      <w:r w:rsidR="00F8571A">
        <w:rPr>
          <w:rFonts w:ascii="Times New Roman" w:hAnsi="Times New Roman" w:cs="Times New Roman"/>
          <w:sz w:val="24"/>
          <w:lang w:val="en-US"/>
        </w:rPr>
        <w:t xml:space="preserve"> </w:t>
      </w:r>
      <w:r w:rsidR="00F8571A" w:rsidRPr="00F8571A">
        <w:rPr>
          <w:rFonts w:ascii="Times New Roman" w:hAnsi="Times New Roman" w:cs="Times New Roman"/>
          <w:sz w:val="24"/>
          <w:lang w:val="en-US"/>
        </w:rPr>
        <w:t>Holland R, Howe A, McCloskey E, O'Neill TW, Torgerson D, Fordham R; SCOOP Study</w:t>
      </w:r>
      <w:r w:rsidR="00F8571A">
        <w:rPr>
          <w:rFonts w:ascii="Times New Roman" w:hAnsi="Times New Roman" w:cs="Times New Roman"/>
          <w:sz w:val="24"/>
          <w:lang w:val="en-US"/>
        </w:rPr>
        <w:t xml:space="preserve"> </w:t>
      </w:r>
      <w:r w:rsidR="00F8571A" w:rsidRPr="00F8571A">
        <w:rPr>
          <w:rFonts w:ascii="Times New Roman" w:hAnsi="Times New Roman" w:cs="Times New Roman"/>
          <w:sz w:val="24"/>
          <w:lang w:val="en-US"/>
        </w:rPr>
        <w:t>Team. The Cost-Effectiveness of Screening in the Community to Reduce Osteoporotic</w:t>
      </w:r>
      <w:r w:rsidR="00F8571A">
        <w:rPr>
          <w:rFonts w:ascii="Times New Roman" w:hAnsi="Times New Roman" w:cs="Times New Roman"/>
          <w:sz w:val="24"/>
          <w:lang w:val="en-US"/>
        </w:rPr>
        <w:t xml:space="preserve"> </w:t>
      </w:r>
      <w:r w:rsidR="00F8571A" w:rsidRPr="00F8571A">
        <w:rPr>
          <w:rFonts w:ascii="Times New Roman" w:hAnsi="Times New Roman" w:cs="Times New Roman"/>
          <w:sz w:val="24"/>
          <w:lang w:val="en-US"/>
        </w:rPr>
        <w:t>Fractures in Older Women in the UK: Economic Evaluation of the SCOOP Study. J</w:t>
      </w:r>
      <w:r w:rsidR="00F8571A">
        <w:rPr>
          <w:rFonts w:ascii="Times New Roman" w:hAnsi="Times New Roman" w:cs="Times New Roman"/>
          <w:sz w:val="24"/>
          <w:lang w:val="en-US"/>
        </w:rPr>
        <w:t xml:space="preserve"> </w:t>
      </w:r>
      <w:r w:rsidR="00F8571A" w:rsidRPr="00F8571A">
        <w:rPr>
          <w:rFonts w:ascii="Times New Roman" w:hAnsi="Times New Roman" w:cs="Times New Roman"/>
          <w:sz w:val="24"/>
          <w:lang w:val="en-US"/>
        </w:rPr>
        <w:t>Bone Miner Res. 2018 May;33(5):845-851.</w:t>
      </w:r>
    </w:p>
    <w:p w14:paraId="4B829EAF" w14:textId="04B0CD42" w:rsidR="00EC5018" w:rsidRPr="005627E9" w:rsidRDefault="002D347C" w:rsidP="00721717">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4</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Pasco JA, Seeman E, Henry MJ et al. The population burden of fractures originates in women with osteopenia, not osteoporosis. Osteoporos Int 2006; 17</w:t>
      </w:r>
      <w:r w:rsidR="005C307A" w:rsidRPr="005627E9">
        <w:rPr>
          <w:rFonts w:ascii="Times New Roman" w:hAnsi="Times New Roman" w:cs="Times New Roman"/>
          <w:sz w:val="24"/>
          <w:lang w:val="en-US"/>
        </w:rPr>
        <w:t>(9)</w:t>
      </w:r>
      <w:r w:rsidR="00EC5018" w:rsidRPr="005627E9">
        <w:rPr>
          <w:rFonts w:ascii="Times New Roman" w:hAnsi="Times New Roman" w:cs="Times New Roman"/>
          <w:sz w:val="24"/>
          <w:lang w:val="en-US"/>
        </w:rPr>
        <w:t>:1404-1409.</w:t>
      </w:r>
    </w:p>
    <w:p w14:paraId="5613EAFA" w14:textId="75CD24F9" w:rsidR="005A11EE" w:rsidRPr="005627E9" w:rsidRDefault="002D347C">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rPr>
        <w:t>5</w:t>
      </w:r>
      <w:r w:rsidR="005A11EE" w:rsidRPr="005627E9">
        <w:rPr>
          <w:rFonts w:ascii="Times New Roman" w:hAnsi="Times New Roman" w:cs="Times New Roman"/>
          <w:sz w:val="24"/>
        </w:rPr>
        <w:t>.</w:t>
      </w:r>
      <w:r w:rsidR="00EC5018" w:rsidRPr="005627E9">
        <w:rPr>
          <w:rFonts w:ascii="Times New Roman" w:hAnsi="Times New Roman" w:cs="Times New Roman"/>
          <w:sz w:val="24"/>
        </w:rPr>
        <w:t xml:space="preserve"> </w:t>
      </w:r>
      <w:r w:rsidR="00EC5018" w:rsidRPr="005627E9">
        <w:rPr>
          <w:rFonts w:ascii="Times New Roman" w:hAnsi="Times New Roman" w:cs="Times New Roman"/>
          <w:sz w:val="24"/>
          <w:lang w:val="en-US"/>
        </w:rPr>
        <w:t>Kanis JA, Johnell O, De Laet C et al. A meta-analysis of previous fracture and subsequent fracture risk. Bone 2004; 35(2):375-382.</w:t>
      </w:r>
    </w:p>
    <w:p w14:paraId="611AD4BF" w14:textId="41B05C0B" w:rsidR="00EC5018" w:rsidRPr="005627E9" w:rsidRDefault="002D347C">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rPr>
        <w:t>6</w:t>
      </w:r>
      <w:r w:rsidR="005A11EE" w:rsidRPr="005627E9">
        <w:rPr>
          <w:rFonts w:ascii="Times New Roman" w:hAnsi="Times New Roman" w:cs="Times New Roman"/>
          <w:sz w:val="24"/>
        </w:rPr>
        <w:t>. K</w:t>
      </w:r>
      <w:r w:rsidR="00EC5018" w:rsidRPr="005627E9">
        <w:rPr>
          <w:rFonts w:ascii="Times New Roman" w:hAnsi="Times New Roman" w:cs="Times New Roman"/>
          <w:sz w:val="24"/>
        </w:rPr>
        <w:t xml:space="preserve">lotzbuecher CM, </w:t>
      </w:r>
      <w:r w:rsidR="00EC5018" w:rsidRPr="005627E9">
        <w:rPr>
          <w:rFonts w:ascii="Times New Roman" w:hAnsi="Times New Roman" w:cs="Times New Roman"/>
          <w:sz w:val="24"/>
          <w:lang w:val="en-US"/>
        </w:rPr>
        <w:t>Ross Ph D, Landsman, PB et al. Patients with prior fractures have an increased risk of future fractures: a summary of the literature and statistical synthesis. JBMR 2000; 15(4):721-739.</w:t>
      </w:r>
    </w:p>
    <w:p w14:paraId="5D607DD3" w14:textId="25C7D715" w:rsidR="00EC5018" w:rsidRPr="005627E9" w:rsidRDefault="001E5455">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7</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Porthouse J, Birks YF, Torgerson DJ et al. Risk factors for fracture in a UK population: a prospective cohort study. QJM 2004;</w:t>
      </w:r>
      <w:r w:rsidR="00296750" w:rsidRPr="005627E9">
        <w:rPr>
          <w:rFonts w:ascii="Times New Roman" w:hAnsi="Times New Roman" w:cs="Times New Roman"/>
          <w:sz w:val="24"/>
          <w:lang w:val="en-US"/>
        </w:rPr>
        <w:t xml:space="preserve"> </w:t>
      </w:r>
      <w:r w:rsidR="00EC5018" w:rsidRPr="005627E9">
        <w:rPr>
          <w:rFonts w:ascii="Times New Roman" w:hAnsi="Times New Roman" w:cs="Times New Roman"/>
          <w:sz w:val="24"/>
          <w:lang w:val="en-US"/>
        </w:rPr>
        <w:t>97:569-574.</w:t>
      </w:r>
    </w:p>
    <w:p w14:paraId="59C7EAB5" w14:textId="7E93063C" w:rsidR="00EC5018" w:rsidRPr="005627E9" w:rsidRDefault="001E5455">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8</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Gehlbach S, Saag K, Flahive J et al. GLOW investigators: previous fractures increase risk for subsequent fractures at multiple sites: global longitudinal study of osteoporosis in women. Bone 2010; 47:S180.</w:t>
      </w:r>
    </w:p>
    <w:p w14:paraId="65840089" w14:textId="6963222E" w:rsidR="00EC5018" w:rsidRPr="005627E9" w:rsidRDefault="001E5455">
      <w:pPr>
        <w:spacing w:after="120" w:line="360" w:lineRule="auto"/>
        <w:ind w:left="426" w:hanging="426"/>
        <w:jc w:val="both"/>
        <w:rPr>
          <w:rFonts w:ascii="Times New Roman" w:eastAsiaTheme="minorEastAsia" w:hAnsi="Times New Roman" w:cs="Times New Roman"/>
          <w:color w:val="000000" w:themeColor="text1"/>
          <w:sz w:val="24"/>
          <w:lang w:val="en-US" w:eastAsia="nl-NL"/>
        </w:rPr>
      </w:pPr>
      <w:r w:rsidRPr="005627E9">
        <w:rPr>
          <w:rFonts w:ascii="Times New Roman" w:hAnsi="Times New Roman" w:cs="Times New Roman"/>
          <w:sz w:val="24"/>
          <w:lang w:val="en-US"/>
        </w:rPr>
        <w:t>9</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w:t>
      </w:r>
      <w:r w:rsidR="00EC5018" w:rsidRPr="005627E9">
        <w:rPr>
          <w:rFonts w:ascii="Times New Roman" w:eastAsiaTheme="minorEastAsia" w:hAnsi="Times New Roman" w:cs="Times New Roman"/>
          <w:color w:val="000000" w:themeColor="text1"/>
          <w:sz w:val="24"/>
          <w:lang w:val="en-US" w:eastAsia="nl-NL"/>
        </w:rPr>
        <w:t>Huntjens KMB, Kosar S, van Geel TACM, Geussens PP, Willems P, Kessels A, Winkens B, Brink P, van Helden S. Risk of subsequent fracture and mortality within 5 years after a non-vertebral fracture. Osteoporos Int 2010; 21(12):2075-2082.</w:t>
      </w:r>
    </w:p>
    <w:p w14:paraId="14157F5C" w14:textId="1B233E9E" w:rsidR="00EC5018" w:rsidRPr="005627E9" w:rsidRDefault="001E5455">
      <w:pPr>
        <w:spacing w:after="120" w:line="360" w:lineRule="auto"/>
        <w:ind w:left="426" w:hanging="426"/>
        <w:jc w:val="both"/>
        <w:rPr>
          <w:rFonts w:ascii="Times New Roman" w:hAnsi="Times New Roman" w:cs="Times New Roman"/>
          <w:sz w:val="24"/>
          <w:lang w:val="en-US"/>
        </w:rPr>
      </w:pPr>
      <w:r w:rsidRPr="005627E9">
        <w:rPr>
          <w:rFonts w:ascii="Times New Roman" w:eastAsiaTheme="minorEastAsia" w:hAnsi="Times New Roman" w:cs="Times New Roman"/>
          <w:color w:val="000000" w:themeColor="text1"/>
          <w:sz w:val="24"/>
          <w:lang w:val="en-US" w:eastAsia="nl-NL"/>
        </w:rPr>
        <w:t>10</w:t>
      </w:r>
      <w:r w:rsidR="005A11EE" w:rsidRPr="005627E9">
        <w:rPr>
          <w:rFonts w:ascii="Times New Roman" w:eastAsiaTheme="minorEastAsia" w:hAnsi="Times New Roman" w:cs="Times New Roman"/>
          <w:color w:val="000000" w:themeColor="text1"/>
          <w:sz w:val="24"/>
          <w:lang w:val="en-US" w:eastAsia="nl-NL"/>
        </w:rPr>
        <w:t>.</w:t>
      </w:r>
      <w:r w:rsidR="00EC5018" w:rsidRPr="005627E9">
        <w:rPr>
          <w:rFonts w:ascii="Times New Roman" w:eastAsiaTheme="minorEastAsia" w:hAnsi="Times New Roman" w:cs="Times New Roman"/>
          <w:color w:val="000000" w:themeColor="text1"/>
          <w:sz w:val="24"/>
          <w:lang w:val="en-US" w:eastAsia="nl-NL"/>
        </w:rPr>
        <w:t xml:space="preserve"> NICE (2008) </w:t>
      </w:r>
      <w:r w:rsidR="00EC5018" w:rsidRPr="005627E9">
        <w:rPr>
          <w:rFonts w:ascii="Times New Roman" w:hAnsi="Times New Roman" w:cs="Times New Roman"/>
          <w:sz w:val="24"/>
          <w:lang w:val="en-US"/>
        </w:rPr>
        <w:t>Alendronate, etidronate, risedronate, raloxifene, strontium ranelate and teriparatide for the secondary prevention of osteoporotic fragility fractures in postmenopausal women. NICE technology appraisal guidance 161.</w:t>
      </w:r>
    </w:p>
    <w:p w14:paraId="55B477EB" w14:textId="2CB1055C" w:rsidR="005A11EE" w:rsidRPr="00721717" w:rsidRDefault="00296B7D">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11</w:t>
      </w:r>
      <w:r w:rsidR="005A11EE" w:rsidRPr="005627E9">
        <w:rPr>
          <w:rFonts w:ascii="Times New Roman" w:hAnsi="Times New Roman" w:cs="Times New Roman"/>
          <w:sz w:val="24"/>
          <w:lang w:val="en-US"/>
        </w:rPr>
        <w:t>.</w:t>
      </w:r>
      <w:r w:rsidRPr="005627E9">
        <w:rPr>
          <w:rFonts w:ascii="Times New Roman" w:hAnsi="Times New Roman" w:cs="Times New Roman"/>
          <w:sz w:val="24"/>
          <w:lang w:val="en-US"/>
        </w:rPr>
        <w:t xml:space="preserve"> </w:t>
      </w:r>
      <w:r w:rsidR="00460E2C" w:rsidRPr="00460E2C">
        <w:rPr>
          <w:rFonts w:ascii="Times New Roman" w:hAnsi="Times New Roman" w:cs="Times New Roman"/>
          <w:sz w:val="24"/>
          <w:lang w:val="en-US"/>
        </w:rPr>
        <w:t>Compston J, Cooper A, Cooper C, Gittoes N, Gregson C, Harvey N, Hope S, Kanis JA, McCloskey EV, Poole KES, Reid DM, Selby P, Thompson F, Thurston A, Vine N;</w:t>
      </w:r>
      <w:r w:rsidR="00460E2C">
        <w:rPr>
          <w:rFonts w:ascii="Times New Roman" w:hAnsi="Times New Roman" w:cs="Times New Roman"/>
          <w:sz w:val="24"/>
          <w:lang w:val="en-US"/>
        </w:rPr>
        <w:t xml:space="preserve"> </w:t>
      </w:r>
      <w:r w:rsidR="00460E2C" w:rsidRPr="00460E2C">
        <w:rPr>
          <w:rFonts w:ascii="Times New Roman" w:hAnsi="Times New Roman" w:cs="Times New Roman"/>
          <w:sz w:val="24"/>
          <w:lang w:val="en-US"/>
        </w:rPr>
        <w:t>National Osteoporosis Guideline Group (NOGG). UK clinical guideline for the</w:t>
      </w:r>
      <w:r w:rsidR="00460E2C">
        <w:rPr>
          <w:rFonts w:ascii="Times New Roman" w:hAnsi="Times New Roman" w:cs="Times New Roman"/>
          <w:sz w:val="24"/>
          <w:lang w:val="en-US"/>
        </w:rPr>
        <w:t xml:space="preserve"> </w:t>
      </w:r>
      <w:r w:rsidR="00460E2C" w:rsidRPr="00460E2C">
        <w:rPr>
          <w:rFonts w:ascii="Times New Roman" w:hAnsi="Times New Roman" w:cs="Times New Roman"/>
          <w:sz w:val="24"/>
          <w:lang w:val="en-US"/>
        </w:rPr>
        <w:t xml:space="preserve">prevention </w:t>
      </w:r>
      <w:r w:rsidR="00460E2C">
        <w:rPr>
          <w:rFonts w:ascii="Times New Roman" w:hAnsi="Times New Roman" w:cs="Times New Roman"/>
          <w:sz w:val="24"/>
          <w:lang w:val="en-US"/>
        </w:rPr>
        <w:t>a</w:t>
      </w:r>
      <w:r w:rsidR="00460E2C" w:rsidRPr="00460E2C">
        <w:rPr>
          <w:rFonts w:ascii="Times New Roman" w:hAnsi="Times New Roman" w:cs="Times New Roman"/>
          <w:sz w:val="24"/>
          <w:lang w:val="en-US"/>
        </w:rPr>
        <w:t>nd treatment of osteoporosis. Arch Osteoporos. 2017 Dec;12(1):43.</w:t>
      </w:r>
    </w:p>
    <w:p w14:paraId="076942FF" w14:textId="10312E66" w:rsidR="005A11EE" w:rsidRPr="005627E9" w:rsidRDefault="00EC5018">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1</w:t>
      </w:r>
      <w:r w:rsidR="00296B7D" w:rsidRPr="005627E9">
        <w:rPr>
          <w:rFonts w:ascii="Times New Roman" w:hAnsi="Times New Roman" w:cs="Times New Roman"/>
          <w:sz w:val="24"/>
          <w:lang w:val="en-US"/>
        </w:rPr>
        <w:t>2</w:t>
      </w:r>
      <w:r w:rsidR="005A11EE" w:rsidRPr="005627E9">
        <w:rPr>
          <w:rFonts w:ascii="Times New Roman" w:hAnsi="Times New Roman" w:cs="Times New Roman"/>
          <w:sz w:val="24"/>
          <w:lang w:val="en-US"/>
        </w:rPr>
        <w:t>.</w:t>
      </w:r>
      <w:r w:rsidRPr="005627E9">
        <w:rPr>
          <w:rFonts w:ascii="Times New Roman" w:hAnsi="Times New Roman" w:cs="Times New Roman"/>
          <w:sz w:val="24"/>
          <w:lang w:val="en-US"/>
        </w:rPr>
        <w:t xml:space="preserve"> </w:t>
      </w:r>
      <w:r w:rsidR="00460E2C" w:rsidRPr="00460E2C">
        <w:rPr>
          <w:rFonts w:ascii="Times New Roman" w:hAnsi="Times New Roman" w:cs="Times New Roman"/>
          <w:sz w:val="24"/>
          <w:lang w:val="en-US"/>
        </w:rPr>
        <w:t>Harvey NC, McCloskey EV, Mitchell PJ, Dawson-Hughes B, Pierroz DD, Reginster</w:t>
      </w:r>
      <w:r w:rsidR="00460E2C">
        <w:rPr>
          <w:rFonts w:ascii="Times New Roman" w:hAnsi="Times New Roman" w:cs="Times New Roman"/>
          <w:sz w:val="24"/>
          <w:lang w:val="en-US"/>
        </w:rPr>
        <w:t xml:space="preserve"> </w:t>
      </w:r>
      <w:r w:rsidR="00460E2C" w:rsidRPr="00460E2C">
        <w:rPr>
          <w:rFonts w:ascii="Times New Roman" w:hAnsi="Times New Roman" w:cs="Times New Roman"/>
          <w:sz w:val="24"/>
          <w:lang w:val="en-US"/>
        </w:rPr>
        <w:t>JY, Rizzoli R, Cooper C, Kanis JA. Mind the (treatment) gap: a global perspective</w:t>
      </w:r>
      <w:r w:rsidR="00460E2C">
        <w:rPr>
          <w:rFonts w:ascii="Times New Roman" w:hAnsi="Times New Roman" w:cs="Times New Roman"/>
          <w:sz w:val="24"/>
          <w:lang w:val="en-US"/>
        </w:rPr>
        <w:t xml:space="preserve"> </w:t>
      </w:r>
      <w:r w:rsidR="00460E2C" w:rsidRPr="00460E2C">
        <w:rPr>
          <w:rFonts w:ascii="Times New Roman" w:hAnsi="Times New Roman" w:cs="Times New Roman"/>
          <w:sz w:val="24"/>
          <w:lang w:val="en-US"/>
        </w:rPr>
        <w:t>on current and future strategies for prevention of fragility fractures.</w:t>
      </w:r>
      <w:r w:rsidR="00460E2C">
        <w:rPr>
          <w:rFonts w:ascii="Times New Roman" w:hAnsi="Times New Roman" w:cs="Times New Roman"/>
          <w:sz w:val="24"/>
          <w:lang w:val="en-US"/>
        </w:rPr>
        <w:t xml:space="preserve"> </w:t>
      </w:r>
      <w:r w:rsidR="00460E2C" w:rsidRPr="00460E2C">
        <w:rPr>
          <w:rFonts w:ascii="Times New Roman" w:hAnsi="Times New Roman" w:cs="Times New Roman"/>
          <w:sz w:val="24"/>
          <w:lang w:val="en-US"/>
        </w:rPr>
        <w:t>Osteoporos Int. 2017 May;28(5):1507-1529.</w:t>
      </w:r>
    </w:p>
    <w:p w14:paraId="464492F4" w14:textId="49CDCB08" w:rsidR="00EC5018" w:rsidRPr="005627E9" w:rsidRDefault="00EC5018">
      <w:pPr>
        <w:spacing w:after="120" w:line="360" w:lineRule="auto"/>
        <w:ind w:left="426" w:hanging="426"/>
        <w:jc w:val="both"/>
        <w:rPr>
          <w:rFonts w:ascii="Times New Roman" w:eastAsiaTheme="minorEastAsia" w:hAnsi="Times New Roman" w:cs="Times New Roman"/>
          <w:color w:val="000000" w:themeColor="text1"/>
          <w:sz w:val="24"/>
          <w:lang w:val="en-US" w:eastAsia="nl-NL"/>
        </w:rPr>
      </w:pPr>
      <w:r w:rsidRPr="005627E9">
        <w:rPr>
          <w:rFonts w:ascii="Times New Roman" w:hAnsi="Times New Roman" w:cs="Times New Roman"/>
          <w:sz w:val="24"/>
          <w:lang w:val="en-US"/>
        </w:rPr>
        <w:t>1</w:t>
      </w:r>
      <w:r w:rsidR="00296B7D" w:rsidRPr="005627E9">
        <w:rPr>
          <w:rFonts w:ascii="Times New Roman" w:hAnsi="Times New Roman" w:cs="Times New Roman"/>
          <w:sz w:val="24"/>
          <w:lang w:val="en-US"/>
        </w:rPr>
        <w:t>3</w:t>
      </w:r>
      <w:r w:rsidR="005A11EE" w:rsidRPr="005627E9">
        <w:rPr>
          <w:rFonts w:ascii="Times New Roman" w:hAnsi="Times New Roman" w:cs="Times New Roman"/>
          <w:sz w:val="24"/>
          <w:lang w:val="en-US"/>
        </w:rPr>
        <w:t>.</w:t>
      </w:r>
      <w:r w:rsidRPr="005627E9">
        <w:rPr>
          <w:rFonts w:ascii="Times New Roman" w:hAnsi="Times New Roman" w:cs="Times New Roman"/>
          <w:sz w:val="24"/>
          <w:lang w:val="en-US"/>
        </w:rPr>
        <w:t xml:space="preserve"> </w:t>
      </w:r>
      <w:r w:rsidRPr="005627E9">
        <w:rPr>
          <w:rFonts w:ascii="Times New Roman" w:eastAsiaTheme="minorEastAsia" w:hAnsi="Times New Roman" w:cs="Times New Roman"/>
          <w:color w:val="000000" w:themeColor="text1"/>
          <w:sz w:val="24"/>
          <w:lang w:val="en-US" w:eastAsia="nl-NL"/>
        </w:rPr>
        <w:t>Papaioannou A, Kennedy CC, Ioannidis G, Gao Y et al. The osteoporosis care gap in men with fragility fractures: The Canadian Multicentre Osteoporosis Study. Osteoporos Int 2008; 19(</w:t>
      </w:r>
      <w:r w:rsidR="006903A5" w:rsidRPr="005627E9">
        <w:rPr>
          <w:rFonts w:ascii="Times New Roman" w:eastAsiaTheme="minorEastAsia" w:hAnsi="Times New Roman" w:cs="Times New Roman"/>
          <w:color w:val="000000" w:themeColor="text1"/>
          <w:sz w:val="24"/>
          <w:lang w:val="en-US" w:eastAsia="nl-NL"/>
        </w:rPr>
        <w:t>4</w:t>
      </w:r>
      <w:r w:rsidRPr="005627E9">
        <w:rPr>
          <w:rFonts w:ascii="Times New Roman" w:eastAsiaTheme="minorEastAsia" w:hAnsi="Times New Roman" w:cs="Times New Roman"/>
          <w:color w:val="000000" w:themeColor="text1"/>
          <w:sz w:val="24"/>
          <w:lang w:val="en-US" w:eastAsia="nl-NL"/>
        </w:rPr>
        <w:t>): 581-587.</w:t>
      </w:r>
      <w:r w:rsidR="006903A5" w:rsidRPr="005627E9">
        <w:rPr>
          <w:rFonts w:ascii="Times New Roman" w:eastAsiaTheme="minorEastAsia" w:hAnsi="Times New Roman" w:cs="Times New Roman"/>
          <w:color w:val="000000" w:themeColor="text1"/>
          <w:sz w:val="24"/>
          <w:lang w:val="en-US" w:eastAsia="nl-NL"/>
        </w:rPr>
        <w:t xml:space="preserve"> </w:t>
      </w:r>
    </w:p>
    <w:p w14:paraId="4FC66425" w14:textId="76F2D2C9" w:rsidR="00EC5018" w:rsidRPr="005627E9" w:rsidRDefault="00EC5018">
      <w:pPr>
        <w:spacing w:after="120" w:line="360" w:lineRule="auto"/>
        <w:ind w:left="426" w:hanging="426"/>
        <w:jc w:val="both"/>
        <w:rPr>
          <w:rFonts w:ascii="Times New Roman" w:eastAsiaTheme="minorEastAsia" w:hAnsi="Times New Roman" w:cs="Times New Roman"/>
          <w:color w:val="000000" w:themeColor="text1"/>
          <w:sz w:val="24"/>
          <w:lang w:val="en-US" w:eastAsia="nl-NL"/>
        </w:rPr>
      </w:pPr>
      <w:r w:rsidRPr="005627E9">
        <w:rPr>
          <w:rFonts w:ascii="Times New Roman" w:eastAsiaTheme="minorEastAsia" w:hAnsi="Times New Roman" w:cs="Times New Roman"/>
          <w:color w:val="000000" w:themeColor="text1"/>
          <w:sz w:val="24"/>
          <w:lang w:val="en-US" w:eastAsia="nl-NL"/>
        </w:rPr>
        <w:t>1</w:t>
      </w:r>
      <w:r w:rsidR="00C20A83" w:rsidRPr="005627E9">
        <w:rPr>
          <w:rFonts w:ascii="Times New Roman" w:eastAsiaTheme="minorEastAsia" w:hAnsi="Times New Roman" w:cs="Times New Roman"/>
          <w:color w:val="000000" w:themeColor="text1"/>
          <w:sz w:val="24"/>
          <w:lang w:val="en-US" w:eastAsia="nl-NL"/>
        </w:rPr>
        <w:t>4</w:t>
      </w:r>
      <w:r w:rsidR="005A11EE" w:rsidRPr="005627E9">
        <w:rPr>
          <w:rFonts w:ascii="Times New Roman" w:eastAsiaTheme="minorEastAsia" w:hAnsi="Times New Roman" w:cs="Times New Roman"/>
          <w:color w:val="000000" w:themeColor="text1"/>
          <w:sz w:val="24"/>
          <w:lang w:val="en-US" w:eastAsia="nl-NL"/>
        </w:rPr>
        <w:t>.</w:t>
      </w:r>
      <w:r w:rsidRPr="005627E9">
        <w:rPr>
          <w:rFonts w:ascii="Times New Roman" w:eastAsiaTheme="minorEastAsia" w:hAnsi="Times New Roman" w:cs="Times New Roman"/>
          <w:color w:val="000000" w:themeColor="text1"/>
          <w:sz w:val="24"/>
          <w:lang w:val="en-US" w:eastAsia="nl-NL"/>
        </w:rPr>
        <w:t xml:space="preserve"> de Laet CEDH, van der Klift M, Hofman A en Pols HAP. Osteoporosis in men and women: a story about bone mineral density thresholds and hip fracture risk. J Bone Miner Res 2002; 17:2231-2236.</w:t>
      </w:r>
    </w:p>
    <w:p w14:paraId="08FCC08D" w14:textId="5C8D63E7" w:rsidR="00EC5018" w:rsidRPr="005627E9" w:rsidRDefault="00EC5018">
      <w:pPr>
        <w:spacing w:after="120" w:line="360" w:lineRule="auto"/>
        <w:ind w:left="426" w:hanging="426"/>
        <w:jc w:val="both"/>
        <w:rPr>
          <w:rFonts w:ascii="Times New Roman" w:hAnsi="Times New Roman" w:cs="Times New Roman"/>
          <w:sz w:val="24"/>
          <w:lang w:val="en-US"/>
        </w:rPr>
      </w:pPr>
      <w:r w:rsidRPr="005627E9">
        <w:rPr>
          <w:rFonts w:ascii="Times New Roman" w:eastAsiaTheme="minorEastAsia" w:hAnsi="Times New Roman" w:cs="Times New Roman"/>
          <w:color w:val="000000" w:themeColor="text1"/>
          <w:sz w:val="24"/>
          <w:lang w:val="en-US" w:eastAsia="nl-NL"/>
        </w:rPr>
        <w:t>1</w:t>
      </w:r>
      <w:r w:rsidR="00C20A83" w:rsidRPr="005627E9">
        <w:rPr>
          <w:rFonts w:ascii="Times New Roman" w:eastAsiaTheme="minorEastAsia" w:hAnsi="Times New Roman" w:cs="Times New Roman"/>
          <w:color w:val="000000" w:themeColor="text1"/>
          <w:sz w:val="24"/>
          <w:lang w:val="en-US" w:eastAsia="nl-NL"/>
        </w:rPr>
        <w:t>5</w:t>
      </w:r>
      <w:r w:rsidR="005A11EE" w:rsidRPr="005627E9">
        <w:rPr>
          <w:rFonts w:ascii="Times New Roman" w:eastAsiaTheme="minorEastAsia" w:hAnsi="Times New Roman" w:cs="Times New Roman"/>
          <w:color w:val="000000" w:themeColor="text1"/>
          <w:sz w:val="24"/>
          <w:lang w:val="en-US" w:eastAsia="nl-NL"/>
        </w:rPr>
        <w:t>.</w:t>
      </w:r>
      <w:r w:rsidRPr="005627E9">
        <w:rPr>
          <w:rFonts w:ascii="Times New Roman" w:eastAsiaTheme="minorEastAsia" w:hAnsi="Times New Roman" w:cs="Times New Roman"/>
          <w:color w:val="000000" w:themeColor="text1"/>
          <w:sz w:val="24"/>
          <w:lang w:val="en-US" w:eastAsia="nl-NL"/>
        </w:rPr>
        <w:t xml:space="preserve"> van </w:t>
      </w:r>
      <w:r w:rsidRPr="005627E9">
        <w:rPr>
          <w:rFonts w:ascii="Times New Roman" w:hAnsi="Times New Roman" w:cs="Times New Roman"/>
          <w:sz w:val="24"/>
          <w:lang w:val="en-US"/>
        </w:rPr>
        <w:t>Staa TP, Leufkens and Cooper, C. Does a fracture at one site predict later fractures at other sites? A Britisch cohort study. Osteoporos Int 2002; 13</w:t>
      </w:r>
      <w:r w:rsidR="004C3442" w:rsidRPr="005627E9">
        <w:rPr>
          <w:rFonts w:ascii="Times New Roman" w:hAnsi="Times New Roman" w:cs="Times New Roman"/>
          <w:sz w:val="24"/>
          <w:lang w:val="en-US"/>
        </w:rPr>
        <w:t>(8)</w:t>
      </w:r>
      <w:r w:rsidRPr="005627E9">
        <w:rPr>
          <w:rFonts w:ascii="Times New Roman" w:hAnsi="Times New Roman" w:cs="Times New Roman"/>
          <w:sz w:val="24"/>
          <w:lang w:val="en-US"/>
        </w:rPr>
        <w:t>:624-629.</w:t>
      </w:r>
    </w:p>
    <w:p w14:paraId="6373A448" w14:textId="373E6A90" w:rsidR="00EC5018" w:rsidRPr="005627E9" w:rsidRDefault="00EC5018">
      <w:pPr>
        <w:spacing w:after="120" w:line="360" w:lineRule="auto"/>
        <w:ind w:left="426" w:hanging="426"/>
        <w:jc w:val="both"/>
        <w:rPr>
          <w:rFonts w:ascii="Times New Roman" w:hAnsi="Times New Roman" w:cs="Times New Roman"/>
          <w:sz w:val="24"/>
        </w:rPr>
      </w:pPr>
      <w:r w:rsidRPr="005627E9">
        <w:rPr>
          <w:rFonts w:ascii="Times New Roman" w:eastAsiaTheme="minorEastAsia" w:hAnsi="Times New Roman" w:cs="Times New Roman"/>
          <w:color w:val="000000" w:themeColor="text1"/>
          <w:sz w:val="24"/>
          <w:lang w:val="en-US" w:eastAsia="nl-NL"/>
        </w:rPr>
        <w:t>1</w:t>
      </w:r>
      <w:r w:rsidR="00C20A83" w:rsidRPr="005627E9">
        <w:rPr>
          <w:rFonts w:ascii="Times New Roman" w:eastAsiaTheme="minorEastAsia" w:hAnsi="Times New Roman" w:cs="Times New Roman"/>
          <w:color w:val="000000" w:themeColor="text1"/>
          <w:sz w:val="24"/>
          <w:lang w:val="en-US" w:eastAsia="nl-NL"/>
        </w:rPr>
        <w:t>6</w:t>
      </w:r>
      <w:r w:rsidR="005A11EE" w:rsidRPr="005627E9">
        <w:rPr>
          <w:rFonts w:ascii="Times New Roman" w:eastAsiaTheme="minorEastAsia" w:hAnsi="Times New Roman" w:cs="Times New Roman"/>
          <w:color w:val="000000" w:themeColor="text1"/>
          <w:sz w:val="24"/>
          <w:lang w:val="en-US" w:eastAsia="nl-NL"/>
        </w:rPr>
        <w:t>.</w:t>
      </w:r>
      <w:r w:rsidRPr="005627E9">
        <w:rPr>
          <w:rFonts w:ascii="Times New Roman" w:eastAsiaTheme="minorEastAsia" w:hAnsi="Times New Roman" w:cs="Times New Roman"/>
          <w:color w:val="000000" w:themeColor="text1"/>
          <w:sz w:val="24"/>
          <w:lang w:val="en-US" w:eastAsia="nl-NL"/>
        </w:rPr>
        <w:t xml:space="preserve"> </w:t>
      </w:r>
      <w:r w:rsidRPr="005627E9">
        <w:rPr>
          <w:rFonts w:ascii="Times New Roman" w:hAnsi="Times New Roman" w:cs="Times New Roman"/>
          <w:sz w:val="24"/>
        </w:rPr>
        <w:t>Hansen L, Petersen KD, Eriksen SA, Langdahl BL, Eiken PA, Brixen K, Abrahamsen B, Jensen J-EB, Harslof T, and Vestergaard P. Subsequent fracture rates in a nationwide population-based cohort study with a 10-year perspective. Osteoporos Int 2015</w:t>
      </w:r>
      <w:r w:rsidR="00E66637" w:rsidRPr="005627E9">
        <w:rPr>
          <w:rFonts w:ascii="Times New Roman" w:hAnsi="Times New Roman" w:cs="Times New Roman"/>
          <w:sz w:val="24"/>
        </w:rPr>
        <w:t xml:space="preserve">; </w:t>
      </w:r>
      <w:r w:rsidRPr="005627E9">
        <w:rPr>
          <w:rFonts w:ascii="Times New Roman" w:hAnsi="Times New Roman" w:cs="Times New Roman"/>
          <w:sz w:val="24"/>
        </w:rPr>
        <w:t>26</w:t>
      </w:r>
      <w:r w:rsidR="00E66637" w:rsidRPr="005627E9">
        <w:rPr>
          <w:rFonts w:ascii="Times New Roman" w:hAnsi="Times New Roman" w:cs="Times New Roman"/>
          <w:sz w:val="24"/>
        </w:rPr>
        <w:t>(2)</w:t>
      </w:r>
      <w:r w:rsidRPr="005627E9">
        <w:rPr>
          <w:rFonts w:ascii="Times New Roman" w:hAnsi="Times New Roman" w:cs="Times New Roman"/>
          <w:sz w:val="24"/>
        </w:rPr>
        <w:t>:513-519.</w:t>
      </w:r>
    </w:p>
    <w:p w14:paraId="66724DCC" w14:textId="708AE163" w:rsidR="00EC5018" w:rsidRPr="005627E9" w:rsidRDefault="00EC5018">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1</w:t>
      </w:r>
      <w:r w:rsidR="00C20A83" w:rsidRPr="005627E9">
        <w:rPr>
          <w:rFonts w:ascii="Times New Roman" w:hAnsi="Times New Roman" w:cs="Times New Roman"/>
          <w:sz w:val="24"/>
        </w:rPr>
        <w:t>7</w:t>
      </w:r>
      <w:r w:rsidR="005A11EE" w:rsidRPr="005627E9">
        <w:rPr>
          <w:rFonts w:ascii="Times New Roman" w:hAnsi="Times New Roman" w:cs="Times New Roman"/>
          <w:sz w:val="24"/>
        </w:rPr>
        <w:t>.</w:t>
      </w:r>
      <w:r w:rsidRPr="005627E9">
        <w:rPr>
          <w:rFonts w:ascii="Times New Roman" w:hAnsi="Times New Roman" w:cs="Times New Roman"/>
          <w:sz w:val="24"/>
        </w:rPr>
        <w:t xml:space="preserve"> Gehlbach S, Saag KG, Adachi JD et al. Previous fractures at multiple sites increase the risk for subsequent fractures: the global longitudinal study of osteoporopsis in women. J. Bone Miner Res 2012; 27(3):645-653.</w:t>
      </w:r>
    </w:p>
    <w:p w14:paraId="4A1F7DAD" w14:textId="1AF59352" w:rsidR="00EC5018" w:rsidRPr="005627E9" w:rsidRDefault="00EC5018">
      <w:pPr>
        <w:spacing w:after="120" w:line="360" w:lineRule="auto"/>
        <w:ind w:left="426" w:hanging="426"/>
        <w:jc w:val="both"/>
        <w:rPr>
          <w:rFonts w:ascii="Times New Roman" w:eastAsiaTheme="minorEastAsia" w:hAnsi="Times New Roman" w:cs="Times New Roman"/>
          <w:color w:val="000000" w:themeColor="text1"/>
          <w:sz w:val="24"/>
          <w:lang w:val="en-US" w:eastAsia="nl-NL"/>
        </w:rPr>
      </w:pPr>
      <w:r w:rsidRPr="005627E9">
        <w:rPr>
          <w:rFonts w:ascii="Times New Roman" w:hAnsi="Times New Roman" w:cs="Times New Roman"/>
          <w:sz w:val="24"/>
        </w:rPr>
        <w:t>1</w:t>
      </w:r>
      <w:r w:rsidR="00C20A83" w:rsidRPr="005627E9">
        <w:rPr>
          <w:rFonts w:ascii="Times New Roman" w:hAnsi="Times New Roman" w:cs="Times New Roman"/>
          <w:sz w:val="24"/>
        </w:rPr>
        <w:t>8</w:t>
      </w:r>
      <w:r w:rsidR="005A11EE" w:rsidRPr="005627E9">
        <w:rPr>
          <w:rFonts w:ascii="Times New Roman" w:hAnsi="Times New Roman" w:cs="Times New Roman"/>
          <w:sz w:val="24"/>
        </w:rPr>
        <w:t>.</w:t>
      </w:r>
      <w:r w:rsidRPr="005627E9">
        <w:rPr>
          <w:rFonts w:ascii="Times New Roman" w:hAnsi="Times New Roman" w:cs="Times New Roman"/>
          <w:sz w:val="24"/>
        </w:rPr>
        <w:t xml:space="preserve"> </w:t>
      </w:r>
      <w:r w:rsidRPr="005627E9">
        <w:rPr>
          <w:rFonts w:ascii="Times New Roman" w:eastAsiaTheme="minorEastAsia" w:hAnsi="Times New Roman" w:cs="Times New Roman"/>
          <w:color w:val="000000" w:themeColor="text1"/>
          <w:sz w:val="24"/>
          <w:lang w:val="en-US" w:eastAsia="nl-NL"/>
        </w:rPr>
        <w:t>Langsetmo L, Goltzman D, Kovacs CS et al and the CaMos Research Group. Repeat low-trauma fractures occur frequently among men and women who have osteopenic BMD. J Bone Miner Res 2009; 24(9): 1515-1522.</w:t>
      </w:r>
    </w:p>
    <w:p w14:paraId="35252546" w14:textId="5A216A1C" w:rsidR="00EC5018" w:rsidRPr="005627E9" w:rsidRDefault="00EC5018">
      <w:pPr>
        <w:spacing w:after="120" w:line="360" w:lineRule="auto"/>
        <w:ind w:left="426" w:hanging="426"/>
        <w:jc w:val="both"/>
        <w:rPr>
          <w:rFonts w:ascii="Times New Roman" w:eastAsiaTheme="minorEastAsia" w:hAnsi="Times New Roman" w:cs="Times New Roman"/>
          <w:color w:val="000000" w:themeColor="text1"/>
          <w:sz w:val="24"/>
          <w:lang w:val="en-US" w:eastAsia="nl-NL"/>
        </w:rPr>
      </w:pPr>
      <w:r w:rsidRPr="005627E9">
        <w:rPr>
          <w:rFonts w:ascii="Times New Roman" w:eastAsiaTheme="minorEastAsia" w:hAnsi="Times New Roman" w:cs="Times New Roman"/>
          <w:color w:val="000000" w:themeColor="text1"/>
          <w:sz w:val="24"/>
          <w:lang w:val="en-US" w:eastAsia="nl-NL"/>
        </w:rPr>
        <w:t>1</w:t>
      </w:r>
      <w:r w:rsidR="00C20A83" w:rsidRPr="005627E9">
        <w:rPr>
          <w:rFonts w:ascii="Times New Roman" w:eastAsiaTheme="minorEastAsia" w:hAnsi="Times New Roman" w:cs="Times New Roman"/>
          <w:color w:val="000000" w:themeColor="text1"/>
          <w:sz w:val="24"/>
          <w:lang w:val="en-US" w:eastAsia="nl-NL"/>
        </w:rPr>
        <w:t>9</w:t>
      </w:r>
      <w:r w:rsidR="005A11EE" w:rsidRPr="005627E9">
        <w:rPr>
          <w:rFonts w:ascii="Times New Roman" w:eastAsiaTheme="minorEastAsia" w:hAnsi="Times New Roman" w:cs="Times New Roman"/>
          <w:color w:val="000000" w:themeColor="text1"/>
          <w:sz w:val="24"/>
          <w:lang w:val="en-US" w:eastAsia="nl-NL"/>
        </w:rPr>
        <w:t>.</w:t>
      </w:r>
      <w:r w:rsidRPr="005627E9">
        <w:rPr>
          <w:rFonts w:ascii="Times New Roman" w:eastAsiaTheme="minorEastAsia" w:hAnsi="Times New Roman" w:cs="Times New Roman"/>
          <w:color w:val="000000" w:themeColor="text1"/>
          <w:sz w:val="24"/>
          <w:lang w:val="en-US" w:eastAsia="nl-NL"/>
        </w:rPr>
        <w:t xml:space="preserve"> Bliuc D, Alarkawi D, Nguyen TV, Eisman JA and Center JR. Risk of subsequent fractures and mortality in elderly women and men with fragility fractures with and without osteoporotic bone density: the Dubbo osteoporosis epidemiology study. J Bone Miner Res 2015; 30(4): 637-646.</w:t>
      </w:r>
    </w:p>
    <w:p w14:paraId="6D13B695" w14:textId="4EF08C49" w:rsidR="00EC5018" w:rsidRPr="005627E9" w:rsidRDefault="00C20A83">
      <w:pPr>
        <w:spacing w:after="120" w:line="360" w:lineRule="auto"/>
        <w:ind w:left="426" w:hanging="426"/>
        <w:jc w:val="both"/>
        <w:rPr>
          <w:rFonts w:ascii="Times New Roman" w:hAnsi="Times New Roman" w:cs="Times New Roman"/>
          <w:sz w:val="24"/>
          <w:lang w:val="en-US"/>
        </w:rPr>
      </w:pPr>
      <w:r w:rsidRPr="005627E9">
        <w:rPr>
          <w:rFonts w:ascii="Times New Roman" w:eastAsiaTheme="minorEastAsia" w:hAnsi="Times New Roman" w:cs="Times New Roman"/>
          <w:color w:val="000000" w:themeColor="text1"/>
          <w:sz w:val="24"/>
          <w:lang w:val="en-US" w:eastAsia="nl-NL"/>
        </w:rPr>
        <w:t>20</w:t>
      </w:r>
      <w:r w:rsidR="005A11EE" w:rsidRPr="005627E9">
        <w:rPr>
          <w:rFonts w:ascii="Times New Roman" w:eastAsiaTheme="minorEastAsia" w:hAnsi="Times New Roman" w:cs="Times New Roman"/>
          <w:color w:val="000000" w:themeColor="text1"/>
          <w:sz w:val="24"/>
          <w:lang w:val="en-US" w:eastAsia="nl-NL"/>
        </w:rPr>
        <w:t>.</w:t>
      </w:r>
      <w:r w:rsidR="00EC5018" w:rsidRPr="005627E9">
        <w:rPr>
          <w:rFonts w:ascii="Times New Roman" w:eastAsiaTheme="minorEastAsia" w:hAnsi="Times New Roman" w:cs="Times New Roman"/>
          <w:color w:val="000000" w:themeColor="text1"/>
          <w:sz w:val="24"/>
          <w:lang w:val="en-US" w:eastAsia="nl-NL"/>
        </w:rPr>
        <w:t xml:space="preserve"> </w:t>
      </w:r>
      <w:r w:rsidR="00EC5018" w:rsidRPr="005627E9">
        <w:rPr>
          <w:rFonts w:ascii="Times New Roman" w:hAnsi="Times New Roman" w:cs="Times New Roman"/>
          <w:sz w:val="24"/>
          <w:lang w:val="en-US"/>
        </w:rPr>
        <w:t>Gibson-Smith D, Klop C, Elders PJM et al. The risk of major and any (non-hip) fragility fracture after hip fracture in the UK: 2000-2010. Osteoporos Int 2014; 25:2555-2563.</w:t>
      </w:r>
    </w:p>
    <w:p w14:paraId="28506F43" w14:textId="7D42BDBC" w:rsidR="00EC5018" w:rsidRPr="005627E9" w:rsidRDefault="00C20A83">
      <w:pPr>
        <w:spacing w:after="120" w:line="360" w:lineRule="auto"/>
        <w:ind w:left="426" w:hanging="426"/>
        <w:jc w:val="both"/>
        <w:rPr>
          <w:rFonts w:ascii="Times New Roman" w:eastAsiaTheme="minorEastAsia" w:hAnsi="Times New Roman" w:cs="Times New Roman"/>
          <w:noProof/>
          <w:sz w:val="24"/>
          <w:lang w:eastAsia="nl-NL"/>
        </w:rPr>
      </w:pPr>
      <w:r w:rsidRPr="005627E9">
        <w:rPr>
          <w:rFonts w:ascii="Times New Roman" w:hAnsi="Times New Roman" w:cs="Times New Roman"/>
          <w:sz w:val="24"/>
        </w:rPr>
        <w:t>21</w:t>
      </w:r>
      <w:r w:rsidR="005A11EE" w:rsidRPr="005627E9">
        <w:rPr>
          <w:rFonts w:ascii="Times New Roman" w:hAnsi="Times New Roman" w:cs="Times New Roman"/>
          <w:sz w:val="24"/>
        </w:rPr>
        <w:t>.</w:t>
      </w:r>
      <w:r w:rsidR="00EC5018" w:rsidRPr="005627E9">
        <w:rPr>
          <w:rFonts w:ascii="Times New Roman" w:hAnsi="Times New Roman" w:cs="Times New Roman"/>
          <w:sz w:val="24"/>
        </w:rPr>
        <w:t xml:space="preserve"> v</w:t>
      </w:r>
      <w:r w:rsidR="00EC5018" w:rsidRPr="005627E9">
        <w:rPr>
          <w:rFonts w:ascii="Times New Roman" w:eastAsiaTheme="minorEastAsia" w:hAnsi="Times New Roman" w:cs="Times New Roman"/>
          <w:noProof/>
          <w:sz w:val="24"/>
          <w:lang w:val="en-US" w:eastAsia="nl-NL"/>
        </w:rPr>
        <w:t xml:space="preserve">an der Velde RY, Wyers CE, Curtis EM, Geussens PPMM, van den Bergh JPW, de Vries F, Cooper C, van Staa TP and Harvey N.C. Secular trends in fracture incidence in the UK between 1990 and 2012. </w:t>
      </w:r>
      <w:r w:rsidR="00EC5018" w:rsidRPr="005627E9">
        <w:rPr>
          <w:rFonts w:ascii="Times New Roman" w:eastAsiaTheme="minorEastAsia" w:hAnsi="Times New Roman" w:cs="Times New Roman"/>
          <w:noProof/>
          <w:sz w:val="24"/>
          <w:lang w:eastAsia="nl-NL"/>
        </w:rPr>
        <w:t>Osteoporos Int 2016; 27(11):3197-3206. Doi 10.1007/s00198-016-3650-3.</w:t>
      </w:r>
    </w:p>
    <w:p w14:paraId="30C91E01" w14:textId="0475C0BF" w:rsidR="00EC5018" w:rsidRPr="005627E9"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22</w:t>
      </w:r>
      <w:r w:rsidR="005A11EE" w:rsidRPr="005627E9">
        <w:rPr>
          <w:rFonts w:ascii="Times New Roman" w:hAnsi="Times New Roman" w:cs="Times New Roman"/>
          <w:sz w:val="24"/>
        </w:rPr>
        <w:t>.</w:t>
      </w:r>
      <w:r w:rsidR="00EC5018" w:rsidRPr="005627E9">
        <w:rPr>
          <w:rFonts w:ascii="Times New Roman" w:hAnsi="Times New Roman" w:cs="Times New Roman"/>
          <w:sz w:val="24"/>
        </w:rPr>
        <w:t xml:space="preserve"> Curtis EM, van der Velde RY, Moon RJ, van den Bergh JPW, Geusens PPMM, de Vries F, van Staa TP, Cooper C and Harvey NC. Epidemiology of fractures in the United Kingdom 1988-2012: variation with age, geography, ethnicity and socioeconomic status. Bone 2016; 87:19-26.</w:t>
      </w:r>
    </w:p>
    <w:p w14:paraId="2E90DCD6" w14:textId="34702525" w:rsidR="00EC5018" w:rsidRPr="005627E9" w:rsidRDefault="00C20A83">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23</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Williams T, van Staa T, Puri S, Eaton S. Recent advances in the utility and use of the General Practice Research Database as an example of a UK Primary Care Data resource. Ther Adv Drug Saf. 2012 Apr;</w:t>
      </w:r>
      <w:r w:rsidR="007D1C33" w:rsidRPr="005627E9">
        <w:rPr>
          <w:rFonts w:ascii="Times New Roman" w:hAnsi="Times New Roman" w:cs="Times New Roman"/>
          <w:sz w:val="24"/>
          <w:lang w:val="en-US"/>
        </w:rPr>
        <w:t xml:space="preserve"> </w:t>
      </w:r>
      <w:r w:rsidR="00EC5018" w:rsidRPr="005627E9">
        <w:rPr>
          <w:rFonts w:ascii="Times New Roman" w:hAnsi="Times New Roman" w:cs="Times New Roman"/>
          <w:sz w:val="24"/>
          <w:lang w:val="en-US"/>
        </w:rPr>
        <w:t xml:space="preserve">3(2):89-99. </w:t>
      </w:r>
      <w:r w:rsidR="005A6863" w:rsidRPr="005627E9">
        <w:rPr>
          <w:rFonts w:ascii="Times New Roman" w:hAnsi="Times New Roman" w:cs="Times New Roman"/>
          <w:sz w:val="24"/>
          <w:lang w:val="en-US"/>
        </w:rPr>
        <w:t xml:space="preserve"> D</w:t>
      </w:r>
      <w:r w:rsidR="00EC5018" w:rsidRPr="005627E9">
        <w:rPr>
          <w:rFonts w:ascii="Times New Roman" w:hAnsi="Times New Roman" w:cs="Times New Roman"/>
          <w:sz w:val="24"/>
          <w:lang w:val="en-US"/>
        </w:rPr>
        <w:t>oi: 10.1177/2042098611435911.</w:t>
      </w:r>
    </w:p>
    <w:p w14:paraId="0674DABB" w14:textId="4D4DDA67" w:rsidR="00EC5018" w:rsidRPr="005627E9" w:rsidRDefault="00C20A83">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24</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Walley T, Mantgani A. The UK General Practice Research Database. Lancet 1997; </w:t>
      </w:r>
      <w:r w:rsidR="00D55103" w:rsidRPr="005627E9">
        <w:rPr>
          <w:rFonts w:ascii="Times New Roman" w:hAnsi="Times New Roman" w:cs="Times New Roman"/>
          <w:sz w:val="24"/>
          <w:lang w:val="en-US"/>
        </w:rPr>
        <w:t xml:space="preserve">oct 11; </w:t>
      </w:r>
      <w:r w:rsidR="00EC5018" w:rsidRPr="005627E9">
        <w:rPr>
          <w:rFonts w:ascii="Times New Roman" w:hAnsi="Times New Roman" w:cs="Times New Roman"/>
          <w:sz w:val="24"/>
          <w:lang w:val="en-US"/>
        </w:rPr>
        <w:t>3</w:t>
      </w:r>
      <w:r w:rsidR="00D55103" w:rsidRPr="005627E9">
        <w:rPr>
          <w:rFonts w:ascii="Times New Roman" w:hAnsi="Times New Roman" w:cs="Times New Roman"/>
          <w:sz w:val="24"/>
          <w:lang w:val="en-US"/>
        </w:rPr>
        <w:t>50</w:t>
      </w:r>
      <w:r w:rsidR="00EC5018" w:rsidRPr="005627E9">
        <w:rPr>
          <w:rFonts w:ascii="Times New Roman" w:hAnsi="Times New Roman" w:cs="Times New Roman"/>
          <w:sz w:val="24"/>
          <w:lang w:val="en-US"/>
        </w:rPr>
        <w:t>(9084):1097-1099. Doi:10.1016/s0140-6736(97)04248-7.</w:t>
      </w:r>
    </w:p>
    <w:p w14:paraId="4BF7FB5E" w14:textId="3EC072B7" w:rsidR="00EC5018" w:rsidRPr="005627E9"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lang w:val="en-US"/>
        </w:rPr>
        <w:t>25</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Herrett E, Gallagher AM, Bhaskaran K, Forbes H, Mathur R, van Staa T, Smeeth L (2015). Data resource profile: Clinical Practice Research Datalink (CPRD). </w:t>
      </w:r>
      <w:r w:rsidR="00EC5018" w:rsidRPr="005627E9">
        <w:rPr>
          <w:rFonts w:ascii="Times New Roman" w:hAnsi="Times New Roman" w:cs="Times New Roman"/>
          <w:sz w:val="24"/>
        </w:rPr>
        <w:t>Int J Epidemiol</w:t>
      </w:r>
      <w:r w:rsidR="00553E6A" w:rsidRPr="005627E9">
        <w:rPr>
          <w:rFonts w:ascii="Times New Roman" w:hAnsi="Times New Roman" w:cs="Times New Roman"/>
          <w:sz w:val="24"/>
        </w:rPr>
        <w:t xml:space="preserve"> 2015; 44(3):827-836. </w:t>
      </w:r>
      <w:r w:rsidR="00EC5018" w:rsidRPr="005627E9">
        <w:rPr>
          <w:rFonts w:ascii="Times New Roman" w:hAnsi="Times New Roman" w:cs="Times New Roman"/>
          <w:sz w:val="24"/>
        </w:rPr>
        <w:t>Doi: 10.1093/ije/dyv</w:t>
      </w:r>
      <w:r w:rsidR="00553E6A" w:rsidRPr="005627E9">
        <w:rPr>
          <w:rFonts w:ascii="Times New Roman" w:hAnsi="Times New Roman" w:cs="Times New Roman"/>
          <w:sz w:val="24"/>
        </w:rPr>
        <w:t>D</w:t>
      </w:r>
      <w:r w:rsidR="00EC5018" w:rsidRPr="005627E9">
        <w:rPr>
          <w:rFonts w:ascii="Times New Roman" w:hAnsi="Times New Roman" w:cs="Times New Roman"/>
          <w:sz w:val="24"/>
        </w:rPr>
        <w:t>98.</w:t>
      </w:r>
    </w:p>
    <w:p w14:paraId="03587683" w14:textId="77FDB363" w:rsidR="004C50C4" w:rsidRPr="005627E9"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26</w:t>
      </w:r>
      <w:r w:rsidR="005A11EE" w:rsidRPr="005627E9">
        <w:rPr>
          <w:rFonts w:ascii="Times New Roman" w:hAnsi="Times New Roman" w:cs="Times New Roman"/>
          <w:sz w:val="24"/>
        </w:rPr>
        <w:t>.</w:t>
      </w:r>
      <w:r w:rsidR="004C50C4" w:rsidRPr="005627E9">
        <w:rPr>
          <w:rFonts w:ascii="Times New Roman" w:hAnsi="Times New Roman" w:cs="Times New Roman"/>
          <w:sz w:val="24"/>
        </w:rPr>
        <w:t xml:space="preserve"> Mathur R, Bhaskaran K, Chaturvedi N, Leon DA, vanStaa T, Grundy E, Smeeth L. Completeness and usability of ethnicity data in UK-based primary care and hospital databases. J Public Health (Oxf). 2014 Dec;36(4):684-92</w:t>
      </w:r>
    </w:p>
    <w:p w14:paraId="03733146" w14:textId="27A57CDA" w:rsidR="00EC5018" w:rsidRPr="005627E9" w:rsidRDefault="00C20A83">
      <w:pPr>
        <w:spacing w:after="120" w:line="360" w:lineRule="auto"/>
        <w:ind w:left="426" w:hanging="426"/>
        <w:jc w:val="both"/>
        <w:rPr>
          <w:rFonts w:ascii="Times New Roman" w:hAnsi="Times New Roman" w:cs="Times New Roman"/>
          <w:sz w:val="24"/>
          <w:lang w:val="nl-NL"/>
        </w:rPr>
      </w:pPr>
      <w:r w:rsidRPr="005627E9">
        <w:rPr>
          <w:rFonts w:ascii="Times New Roman" w:hAnsi="Times New Roman" w:cs="Times New Roman"/>
          <w:sz w:val="24"/>
          <w:lang w:val="en-US"/>
        </w:rPr>
        <w:t>27</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w:t>
      </w:r>
      <w:r w:rsidR="00EC5018" w:rsidRPr="005627E9">
        <w:rPr>
          <w:rFonts w:ascii="Times New Roman" w:hAnsi="Times New Roman" w:cs="Times New Roman"/>
          <w:sz w:val="24"/>
        </w:rPr>
        <w:t xml:space="preserve">Chisholm J. The Read clinical classification. </w:t>
      </w:r>
      <w:r w:rsidR="00EC5018" w:rsidRPr="005627E9">
        <w:rPr>
          <w:rFonts w:ascii="Times New Roman" w:hAnsi="Times New Roman" w:cs="Times New Roman"/>
          <w:sz w:val="24"/>
          <w:lang w:val="nl-NL"/>
        </w:rPr>
        <w:t xml:space="preserve">BMJ 1990;300:1092. </w:t>
      </w:r>
    </w:p>
    <w:p w14:paraId="75360206" w14:textId="12B37564" w:rsidR="00EC5018" w:rsidRPr="005627E9" w:rsidRDefault="00C20A83">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28</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Van Staa, TP, Abenhaim L, Cooper, C, Zhang B, Leufkens, HG. The use of a large pharmacoepidemiological database to study exposure to oral corticosteroids and risk of fractures: validation of study population and results. Pharmacoepidemiol Drug Saf 2000; 9:359-366. Doi: 1</w:t>
      </w:r>
      <w:r w:rsidR="00EC5018" w:rsidRPr="005627E9">
        <w:rPr>
          <w:rFonts w:ascii="Times New Roman" w:eastAsia="Times New Roman" w:hAnsi="Times New Roman" w:cs="Times New Roman"/>
          <w:color w:val="000000"/>
          <w:sz w:val="24"/>
          <w:lang w:val="nl-NL" w:eastAsia="nl-NL" w:bidi="nl-NL"/>
        </w:rPr>
        <w:t>0.1002/1099-1557(200009/10)9:5&lt;359::AID-</w:t>
      </w:r>
      <w:r w:rsidR="00EC5018" w:rsidRPr="005627E9">
        <w:rPr>
          <w:rFonts w:ascii="Times New Roman" w:hAnsi="Times New Roman" w:cs="Times New Roman"/>
          <w:sz w:val="24"/>
        </w:rPr>
        <w:t>PDS507&gt;3.0.C0;2-E</w:t>
      </w:r>
      <w:r w:rsidR="00EC5018" w:rsidRPr="005627E9">
        <w:rPr>
          <w:rFonts w:ascii="Times New Roman" w:hAnsi="Times New Roman" w:cs="Times New Roman"/>
          <w:sz w:val="24"/>
          <w:lang w:val="en-US"/>
        </w:rPr>
        <w:t>.</w:t>
      </w:r>
    </w:p>
    <w:p w14:paraId="33F897D7" w14:textId="09AB27AB" w:rsidR="00EC5018" w:rsidRPr="005627E9"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lang w:val="en-US"/>
        </w:rPr>
        <w:t>29</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Khan, NF, Harrison, SE and Rose PW. </w:t>
      </w:r>
      <w:r w:rsidR="00EC5018" w:rsidRPr="005627E9">
        <w:rPr>
          <w:rFonts w:ascii="Times New Roman" w:hAnsi="Times New Roman" w:cs="Times New Roman"/>
          <w:sz w:val="24"/>
        </w:rPr>
        <w:t xml:space="preserve">Validity of diagnostic coding within the General Practice Research Database: a systematic review. Br J Gen Pract </w:t>
      </w:r>
      <w:r w:rsidR="007F23E4" w:rsidRPr="005627E9">
        <w:rPr>
          <w:rFonts w:ascii="Times New Roman" w:hAnsi="Times New Roman" w:cs="Times New Roman"/>
          <w:sz w:val="24"/>
        </w:rPr>
        <w:t>2010</w:t>
      </w:r>
      <w:r w:rsidR="00EC5018" w:rsidRPr="005627E9">
        <w:rPr>
          <w:rFonts w:ascii="Times New Roman" w:hAnsi="Times New Roman" w:cs="Times New Roman"/>
          <w:sz w:val="24"/>
        </w:rPr>
        <w:t>; 60(572):e128-36.</w:t>
      </w:r>
      <w:r w:rsidR="00141633" w:rsidRPr="005627E9">
        <w:rPr>
          <w:rFonts w:ascii="Times New Roman" w:hAnsi="Times New Roman" w:cs="Times New Roman"/>
          <w:sz w:val="24"/>
        </w:rPr>
        <w:t xml:space="preserve"> Doi: 10.3399/bjgp10X483562.</w:t>
      </w:r>
    </w:p>
    <w:p w14:paraId="62E5F017" w14:textId="061D704A" w:rsidR="00EC5018" w:rsidRPr="005627E9" w:rsidRDefault="00C20A83">
      <w:pPr>
        <w:spacing w:after="120" w:line="360" w:lineRule="auto"/>
        <w:ind w:left="426" w:hanging="426"/>
        <w:jc w:val="both"/>
        <w:rPr>
          <w:rFonts w:ascii="Times New Roman" w:hAnsi="Times New Roman" w:cs="Times New Roman"/>
          <w:sz w:val="24"/>
          <w:lang w:val="en-US"/>
        </w:rPr>
      </w:pPr>
      <w:r w:rsidRPr="005627E9">
        <w:rPr>
          <w:rFonts w:ascii="Times New Roman" w:hAnsi="Times New Roman" w:cs="Times New Roman"/>
          <w:sz w:val="24"/>
          <w:lang w:val="en-US"/>
        </w:rPr>
        <w:t>30</w:t>
      </w:r>
      <w:r w:rsidR="005A11EE" w:rsidRPr="005627E9">
        <w:rPr>
          <w:rFonts w:ascii="Times New Roman" w:hAnsi="Times New Roman" w:cs="Times New Roman"/>
          <w:sz w:val="24"/>
          <w:lang w:val="en-US"/>
        </w:rPr>
        <w:t>.</w:t>
      </w:r>
      <w:r w:rsidR="00EC5018" w:rsidRPr="005627E9">
        <w:rPr>
          <w:rFonts w:ascii="Times New Roman" w:hAnsi="Times New Roman" w:cs="Times New Roman"/>
          <w:sz w:val="24"/>
          <w:lang w:val="en-US"/>
        </w:rPr>
        <w:t xml:space="preserve"> Herrett EL, Thomas SL, Smeeth L. Validity of diagnoses in the general practice research </w:t>
      </w:r>
      <w:r w:rsidR="00B0758A" w:rsidRPr="005627E9">
        <w:rPr>
          <w:rFonts w:ascii="Times New Roman" w:hAnsi="Times New Roman" w:cs="Times New Roman"/>
          <w:sz w:val="24"/>
          <w:lang w:val="en-US"/>
        </w:rPr>
        <w:t>database. Br J Gen Pract. 2011</w:t>
      </w:r>
      <w:r w:rsidR="00EC5018" w:rsidRPr="005627E9">
        <w:rPr>
          <w:rFonts w:ascii="Times New Roman" w:hAnsi="Times New Roman" w:cs="Times New Roman"/>
          <w:sz w:val="24"/>
          <w:lang w:val="en-US"/>
        </w:rPr>
        <w:t>;</w:t>
      </w:r>
      <w:r w:rsidR="00B0758A" w:rsidRPr="005627E9">
        <w:rPr>
          <w:rFonts w:ascii="Times New Roman" w:hAnsi="Times New Roman" w:cs="Times New Roman"/>
          <w:sz w:val="24"/>
          <w:lang w:val="en-US"/>
        </w:rPr>
        <w:t xml:space="preserve"> </w:t>
      </w:r>
      <w:r w:rsidR="00EC5018" w:rsidRPr="005627E9">
        <w:rPr>
          <w:rFonts w:ascii="Times New Roman" w:hAnsi="Times New Roman" w:cs="Times New Roman"/>
          <w:sz w:val="24"/>
          <w:lang w:val="en-US"/>
        </w:rPr>
        <w:t xml:space="preserve">61(588):438-9. </w:t>
      </w:r>
      <w:r w:rsidR="00B0758A" w:rsidRPr="005627E9">
        <w:rPr>
          <w:rFonts w:ascii="Times New Roman" w:hAnsi="Times New Roman" w:cs="Times New Roman"/>
          <w:sz w:val="24"/>
          <w:lang w:val="en-US"/>
        </w:rPr>
        <w:t>D</w:t>
      </w:r>
      <w:r w:rsidR="00EC5018" w:rsidRPr="005627E9">
        <w:rPr>
          <w:rFonts w:ascii="Times New Roman" w:hAnsi="Times New Roman" w:cs="Times New Roman"/>
          <w:sz w:val="24"/>
          <w:lang w:val="en-US"/>
        </w:rPr>
        <w:t xml:space="preserve">oi: 10.3399/bjgp11X583092. </w:t>
      </w:r>
    </w:p>
    <w:p w14:paraId="2A388C28" w14:textId="32697DF5" w:rsidR="00EC5018" w:rsidRPr="005627E9"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31</w:t>
      </w:r>
      <w:r w:rsidR="005A11EE" w:rsidRPr="005627E9">
        <w:rPr>
          <w:rFonts w:ascii="Times New Roman" w:hAnsi="Times New Roman" w:cs="Times New Roman"/>
          <w:sz w:val="24"/>
        </w:rPr>
        <w:t>.</w:t>
      </w:r>
      <w:r w:rsidR="00EC5018" w:rsidRPr="005627E9">
        <w:rPr>
          <w:rFonts w:ascii="Times New Roman" w:hAnsi="Times New Roman" w:cs="Times New Roman"/>
          <w:sz w:val="24"/>
        </w:rPr>
        <w:t xml:space="preserve"> Johnell O, Oden A, Coulin F and Kanis JA. Acute and long-term increase in fracture risk after hospitalization for vertebral fracture. Osteoporos Int 2001; 12</w:t>
      </w:r>
      <w:r w:rsidR="00CC30FA" w:rsidRPr="005627E9">
        <w:rPr>
          <w:rFonts w:ascii="Times New Roman" w:hAnsi="Times New Roman" w:cs="Times New Roman"/>
          <w:sz w:val="24"/>
        </w:rPr>
        <w:t>(3)</w:t>
      </w:r>
      <w:r w:rsidR="00EC5018" w:rsidRPr="005627E9">
        <w:rPr>
          <w:rFonts w:ascii="Times New Roman" w:hAnsi="Times New Roman" w:cs="Times New Roman"/>
          <w:sz w:val="24"/>
        </w:rPr>
        <w:t>:207-214.</w:t>
      </w:r>
    </w:p>
    <w:p w14:paraId="20E839C8" w14:textId="12F43451" w:rsidR="000222A2" w:rsidRPr="005627E9" w:rsidRDefault="000222A2" w:rsidP="00655509">
      <w:pPr>
        <w:autoSpaceDE w:val="0"/>
        <w:autoSpaceDN w:val="0"/>
        <w:adjustRightInd w:val="0"/>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32</w:t>
      </w:r>
      <w:r w:rsidR="005A11EE" w:rsidRPr="005627E9">
        <w:rPr>
          <w:rFonts w:ascii="Times New Roman" w:hAnsi="Times New Roman" w:cs="Times New Roman"/>
          <w:sz w:val="24"/>
        </w:rPr>
        <w:t>.</w:t>
      </w:r>
      <w:r w:rsidRPr="005627E9">
        <w:rPr>
          <w:rFonts w:ascii="Times New Roman" w:hAnsi="Times New Roman" w:cs="Times New Roman"/>
          <w:sz w:val="24"/>
        </w:rPr>
        <w:t xml:space="preserve"> </w:t>
      </w:r>
      <w:r w:rsidRPr="00EE3900">
        <w:rPr>
          <w:rFonts w:ascii="Times New Roman" w:hAnsi="Times New Roman" w:cs="Times New Roman"/>
          <w:color w:val="131413"/>
          <w:sz w:val="24"/>
        </w:rPr>
        <w:t>Delmas PD, van de Langerijt L, Watts NB, Eastell R, Genant H, Grauer A, Cahall DL; IMPACT Study Group. Underdiagnosis of vertebral fractures is a worldwide problem: the IMPACT study. J Bone Miner Res 2005; 20(4):557–563.</w:t>
      </w:r>
    </w:p>
    <w:p w14:paraId="5665A04A" w14:textId="1411E6E4" w:rsidR="00EC5018" w:rsidRPr="005627E9" w:rsidRDefault="00C20A83" w:rsidP="00721717">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33</w:t>
      </w:r>
      <w:r w:rsidR="005A11EE" w:rsidRPr="005627E9">
        <w:rPr>
          <w:rFonts w:ascii="Times New Roman" w:hAnsi="Times New Roman" w:cs="Times New Roman"/>
          <w:sz w:val="24"/>
        </w:rPr>
        <w:t>.</w:t>
      </w:r>
      <w:r w:rsidR="00EC5018" w:rsidRPr="005627E9">
        <w:rPr>
          <w:rFonts w:ascii="Times New Roman" w:hAnsi="Times New Roman" w:cs="Times New Roman"/>
          <w:sz w:val="24"/>
        </w:rPr>
        <w:t xml:space="preserve"> Ryg J, Rejnmark L, Overgaard S, Brixen K and Vestergaard P. Hip fracture patients at risk of second hip fracture: a nationwide population-based cohort study of 169,145 cases during  </w:t>
      </w:r>
      <w:r w:rsidR="0072022C" w:rsidRPr="005627E9">
        <w:rPr>
          <w:rFonts w:ascii="Times New Roman" w:hAnsi="Times New Roman" w:cs="Times New Roman"/>
          <w:sz w:val="24"/>
        </w:rPr>
        <w:t xml:space="preserve">   </w:t>
      </w:r>
      <w:r w:rsidR="00EC5018" w:rsidRPr="005627E9">
        <w:rPr>
          <w:rFonts w:ascii="Times New Roman" w:hAnsi="Times New Roman" w:cs="Times New Roman"/>
          <w:sz w:val="24"/>
        </w:rPr>
        <w:t xml:space="preserve"> </w:t>
      </w:r>
      <w:r w:rsidR="0072022C" w:rsidRPr="005627E9">
        <w:rPr>
          <w:rFonts w:ascii="Times New Roman" w:hAnsi="Times New Roman" w:cs="Times New Roman"/>
          <w:sz w:val="24"/>
        </w:rPr>
        <w:t>1</w:t>
      </w:r>
      <w:r w:rsidR="00EC5018" w:rsidRPr="005627E9">
        <w:rPr>
          <w:rFonts w:ascii="Times New Roman" w:hAnsi="Times New Roman" w:cs="Times New Roman"/>
          <w:sz w:val="24"/>
        </w:rPr>
        <w:t>977-2001. J Bone Miner Res 2009; 24:1299-1307.</w:t>
      </w:r>
    </w:p>
    <w:p w14:paraId="49CFEB1F" w14:textId="0DD365DD" w:rsidR="00060DEE" w:rsidRPr="005627E9"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34</w:t>
      </w:r>
      <w:r w:rsidR="005A11EE" w:rsidRPr="005627E9">
        <w:rPr>
          <w:rFonts w:ascii="Times New Roman" w:hAnsi="Times New Roman" w:cs="Times New Roman"/>
          <w:sz w:val="24"/>
        </w:rPr>
        <w:t>.</w:t>
      </w:r>
      <w:r w:rsidR="00060DEE" w:rsidRPr="005627E9">
        <w:rPr>
          <w:rFonts w:ascii="Times New Roman" w:hAnsi="Times New Roman" w:cs="Times New Roman"/>
          <w:sz w:val="24"/>
        </w:rPr>
        <w:t xml:space="preserve"> Johansson H, Siggeirsdóttir K, Harvey NC, Odén A, Gudnason V, McCloskey E, Sigurdsson G, Kanis JA. Imminent risk of fracture after fracture. Osteoporos Int. 2017 Mar;28(3):775-780.</w:t>
      </w:r>
    </w:p>
    <w:p w14:paraId="13C314D9" w14:textId="10549986" w:rsidR="00EC5018" w:rsidRPr="005627E9"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35</w:t>
      </w:r>
      <w:r w:rsidR="005A11EE" w:rsidRPr="005627E9">
        <w:rPr>
          <w:rFonts w:ascii="Times New Roman" w:hAnsi="Times New Roman" w:cs="Times New Roman"/>
          <w:sz w:val="24"/>
        </w:rPr>
        <w:t>.</w:t>
      </w:r>
      <w:r w:rsidR="00EC5018" w:rsidRPr="005627E9">
        <w:rPr>
          <w:rFonts w:ascii="Times New Roman" w:hAnsi="Times New Roman" w:cs="Times New Roman"/>
          <w:sz w:val="24"/>
        </w:rPr>
        <w:t xml:space="preserve"> Sernbo I, Johnell O. Consequences of a hip fracture: a prospective study over 1 year. Osteoporos Int 1993 May; 3(3):148-153.</w:t>
      </w:r>
    </w:p>
    <w:p w14:paraId="3E0373C4" w14:textId="413AD9A6" w:rsidR="00EC5018" w:rsidRDefault="00C20A83">
      <w:pPr>
        <w:spacing w:after="120" w:line="360" w:lineRule="auto"/>
        <w:ind w:left="426" w:hanging="426"/>
        <w:jc w:val="both"/>
        <w:rPr>
          <w:rFonts w:ascii="Times New Roman" w:hAnsi="Times New Roman" w:cs="Times New Roman"/>
          <w:sz w:val="24"/>
        </w:rPr>
      </w:pPr>
      <w:r w:rsidRPr="005627E9">
        <w:rPr>
          <w:rFonts w:ascii="Times New Roman" w:hAnsi="Times New Roman" w:cs="Times New Roman"/>
          <w:sz w:val="24"/>
        </w:rPr>
        <w:t>36</w:t>
      </w:r>
      <w:r w:rsidR="005A11EE" w:rsidRPr="005627E9">
        <w:rPr>
          <w:rFonts w:ascii="Times New Roman" w:hAnsi="Times New Roman" w:cs="Times New Roman"/>
          <w:sz w:val="24"/>
        </w:rPr>
        <w:t>.</w:t>
      </w:r>
      <w:r w:rsidR="00EC5018" w:rsidRPr="005627E9">
        <w:rPr>
          <w:rFonts w:ascii="Times New Roman" w:hAnsi="Times New Roman" w:cs="Times New Roman"/>
          <w:sz w:val="24"/>
        </w:rPr>
        <w:t xml:space="preserve"> Curtis JR, Arora T, Matthews RS, Taylor A, Becker DJ, Colon-Emeric C, Kilgore ML, Morrisey MA, Saag KG, Safford MM, Warriner A and Delzell F. Is withholding osteoporosis medication after fracture sometimes rational? A comparison of the risk for second fracture versus death. J Am Med Dir Assoc 2010; 11:584-591.</w:t>
      </w:r>
    </w:p>
    <w:p w14:paraId="7AC1FC48" w14:textId="7EF852FC" w:rsidR="002C5129" w:rsidRDefault="002C5129">
      <w:pPr>
        <w:spacing w:after="0" w:line="240" w:lineRule="auto"/>
        <w:rPr>
          <w:rFonts w:ascii="Times New Roman" w:hAnsi="Times New Roman" w:cs="Times New Roman"/>
          <w:sz w:val="24"/>
        </w:rPr>
      </w:pPr>
      <w:r>
        <w:rPr>
          <w:rFonts w:ascii="Times New Roman" w:hAnsi="Times New Roman" w:cs="Times New Roman"/>
          <w:sz w:val="24"/>
        </w:rPr>
        <w:br w:type="page"/>
      </w:r>
    </w:p>
    <w:tbl>
      <w:tblPr>
        <w:tblpPr w:leftFromText="180" w:rightFromText="180" w:vertAnchor="text" w:horzAnchor="margin" w:tblpXSpec="center" w:tblpY="1203"/>
        <w:tblW w:w="11880" w:type="dxa"/>
        <w:tblCellMar>
          <w:left w:w="70" w:type="dxa"/>
          <w:right w:w="70" w:type="dxa"/>
        </w:tblCellMar>
        <w:tblLook w:val="04A0" w:firstRow="1" w:lastRow="0" w:firstColumn="1" w:lastColumn="0" w:noHBand="0" w:noVBand="1"/>
      </w:tblPr>
      <w:tblGrid>
        <w:gridCol w:w="960"/>
        <w:gridCol w:w="1440"/>
        <w:gridCol w:w="200"/>
        <w:gridCol w:w="1082"/>
        <w:gridCol w:w="195"/>
        <w:gridCol w:w="195"/>
        <w:gridCol w:w="1044"/>
        <w:gridCol w:w="195"/>
        <w:gridCol w:w="195"/>
        <w:gridCol w:w="972"/>
        <w:gridCol w:w="195"/>
        <w:gridCol w:w="195"/>
        <w:gridCol w:w="1217"/>
        <w:gridCol w:w="195"/>
        <w:gridCol w:w="195"/>
        <w:gridCol w:w="800"/>
        <w:gridCol w:w="195"/>
        <w:gridCol w:w="195"/>
        <w:gridCol w:w="860"/>
        <w:gridCol w:w="195"/>
        <w:gridCol w:w="200"/>
        <w:gridCol w:w="960"/>
      </w:tblGrid>
      <w:tr w:rsidR="002C5129" w:rsidRPr="00F32693" w14:paraId="5D333E00" w14:textId="77777777" w:rsidTr="00655509">
        <w:trPr>
          <w:trHeight w:val="300"/>
        </w:trPr>
        <w:tc>
          <w:tcPr>
            <w:tcW w:w="960" w:type="dxa"/>
            <w:tcBorders>
              <w:top w:val="nil"/>
              <w:left w:val="nil"/>
              <w:bottom w:val="nil"/>
              <w:right w:val="nil"/>
            </w:tcBorders>
            <w:shd w:val="clear" w:color="auto" w:fill="auto"/>
            <w:noWrap/>
            <w:vAlign w:val="bottom"/>
            <w:hideMark/>
          </w:tcPr>
          <w:p w14:paraId="0F5BBAA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4D1549A0"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44B6639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82" w:type="dxa"/>
            <w:tcBorders>
              <w:top w:val="nil"/>
              <w:left w:val="nil"/>
              <w:bottom w:val="nil"/>
              <w:right w:val="nil"/>
            </w:tcBorders>
            <w:shd w:val="clear" w:color="auto" w:fill="auto"/>
            <w:noWrap/>
            <w:vAlign w:val="bottom"/>
            <w:hideMark/>
          </w:tcPr>
          <w:p w14:paraId="2417FB0A"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7067E4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F276D3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0695C7C0"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B1CD26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BBFFE4C"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6F8B9DB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A2F970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EC2D8D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44067BE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7CB98F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8B926D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22139C10"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556CDC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E204AF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47E7D39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23AE4CF6"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70CB36C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3F027AF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3CAC2946" w14:textId="77777777" w:rsidTr="00655509">
        <w:trPr>
          <w:trHeight w:val="315"/>
        </w:trPr>
        <w:tc>
          <w:tcPr>
            <w:tcW w:w="960" w:type="dxa"/>
            <w:tcBorders>
              <w:top w:val="nil"/>
              <w:left w:val="nil"/>
              <w:bottom w:val="nil"/>
              <w:right w:val="nil"/>
            </w:tcBorders>
            <w:shd w:val="clear" w:color="auto" w:fill="auto"/>
            <w:noWrap/>
            <w:vAlign w:val="bottom"/>
            <w:hideMark/>
          </w:tcPr>
          <w:p w14:paraId="11DE66A9"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single" w:sz="12" w:space="0" w:color="auto"/>
              <w:right w:val="nil"/>
            </w:tcBorders>
            <w:shd w:val="clear" w:color="auto" w:fill="auto"/>
            <w:noWrap/>
            <w:vAlign w:val="bottom"/>
            <w:hideMark/>
          </w:tcPr>
          <w:p w14:paraId="1C152103"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200" w:type="dxa"/>
            <w:tcBorders>
              <w:top w:val="nil"/>
              <w:left w:val="nil"/>
              <w:bottom w:val="single" w:sz="12" w:space="0" w:color="auto"/>
              <w:right w:val="nil"/>
            </w:tcBorders>
            <w:shd w:val="clear" w:color="auto" w:fill="auto"/>
            <w:noWrap/>
            <w:vAlign w:val="bottom"/>
            <w:hideMark/>
          </w:tcPr>
          <w:p w14:paraId="71A02BB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082" w:type="dxa"/>
            <w:tcBorders>
              <w:top w:val="nil"/>
              <w:left w:val="nil"/>
              <w:bottom w:val="single" w:sz="12" w:space="0" w:color="auto"/>
              <w:right w:val="nil"/>
            </w:tcBorders>
            <w:shd w:val="clear" w:color="auto" w:fill="auto"/>
            <w:noWrap/>
            <w:vAlign w:val="bottom"/>
            <w:hideMark/>
          </w:tcPr>
          <w:p w14:paraId="28BA954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18FC9CE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2E1B3B68"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044" w:type="dxa"/>
            <w:tcBorders>
              <w:top w:val="nil"/>
              <w:left w:val="nil"/>
              <w:bottom w:val="single" w:sz="12" w:space="0" w:color="auto"/>
              <w:right w:val="nil"/>
            </w:tcBorders>
            <w:shd w:val="clear" w:color="auto" w:fill="auto"/>
            <w:noWrap/>
            <w:vAlign w:val="bottom"/>
            <w:hideMark/>
          </w:tcPr>
          <w:p w14:paraId="65C2CC30"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7D202B3F"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5627F99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972" w:type="dxa"/>
            <w:tcBorders>
              <w:top w:val="nil"/>
              <w:left w:val="nil"/>
              <w:bottom w:val="single" w:sz="12" w:space="0" w:color="auto"/>
              <w:right w:val="nil"/>
            </w:tcBorders>
            <w:shd w:val="clear" w:color="auto" w:fill="auto"/>
            <w:noWrap/>
            <w:vAlign w:val="bottom"/>
            <w:hideMark/>
          </w:tcPr>
          <w:p w14:paraId="569FBAE6"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48D1F29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3954F11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217" w:type="dxa"/>
            <w:tcBorders>
              <w:top w:val="nil"/>
              <w:left w:val="nil"/>
              <w:bottom w:val="single" w:sz="12" w:space="0" w:color="auto"/>
              <w:right w:val="nil"/>
            </w:tcBorders>
            <w:shd w:val="clear" w:color="auto" w:fill="auto"/>
            <w:noWrap/>
            <w:vAlign w:val="bottom"/>
            <w:hideMark/>
          </w:tcPr>
          <w:p w14:paraId="0AB29FF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1B02DB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5ED75F0F"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800" w:type="dxa"/>
            <w:tcBorders>
              <w:top w:val="nil"/>
              <w:left w:val="nil"/>
              <w:bottom w:val="single" w:sz="12" w:space="0" w:color="auto"/>
              <w:right w:val="nil"/>
            </w:tcBorders>
            <w:shd w:val="clear" w:color="auto" w:fill="auto"/>
            <w:noWrap/>
            <w:vAlign w:val="bottom"/>
            <w:hideMark/>
          </w:tcPr>
          <w:p w14:paraId="0766B386"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A01C378"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0B4976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860" w:type="dxa"/>
            <w:tcBorders>
              <w:top w:val="nil"/>
              <w:left w:val="nil"/>
              <w:bottom w:val="single" w:sz="12" w:space="0" w:color="auto"/>
              <w:right w:val="nil"/>
            </w:tcBorders>
            <w:shd w:val="clear" w:color="auto" w:fill="auto"/>
            <w:noWrap/>
            <w:vAlign w:val="bottom"/>
            <w:hideMark/>
          </w:tcPr>
          <w:p w14:paraId="2B20345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D84A7C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3524544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4DC293C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277D75AA" w14:textId="77777777" w:rsidTr="00655509">
        <w:trPr>
          <w:trHeight w:val="330"/>
        </w:trPr>
        <w:tc>
          <w:tcPr>
            <w:tcW w:w="960" w:type="dxa"/>
            <w:tcBorders>
              <w:top w:val="nil"/>
              <w:left w:val="nil"/>
              <w:bottom w:val="nil"/>
              <w:right w:val="nil"/>
            </w:tcBorders>
            <w:shd w:val="clear" w:color="auto" w:fill="auto"/>
            <w:noWrap/>
            <w:vAlign w:val="bottom"/>
            <w:hideMark/>
          </w:tcPr>
          <w:p w14:paraId="33B83AD9"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565" w:type="dxa"/>
            <w:gridSpan w:val="18"/>
            <w:tcBorders>
              <w:top w:val="nil"/>
              <w:left w:val="nil"/>
              <w:bottom w:val="nil"/>
              <w:right w:val="nil"/>
            </w:tcBorders>
            <w:shd w:val="clear" w:color="auto" w:fill="auto"/>
            <w:noWrap/>
            <w:vAlign w:val="bottom"/>
            <w:hideMark/>
          </w:tcPr>
          <w:p w14:paraId="3DB65732" w14:textId="0D2C1993"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173BF42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72115D1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1F2D4A0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604A1C" w:rsidRPr="00F32693" w14:paraId="7C3E4649" w14:textId="77777777" w:rsidTr="00604A1C">
        <w:trPr>
          <w:trHeight w:val="330"/>
        </w:trPr>
        <w:tc>
          <w:tcPr>
            <w:tcW w:w="960" w:type="dxa"/>
            <w:tcBorders>
              <w:top w:val="nil"/>
              <w:left w:val="nil"/>
              <w:bottom w:val="nil"/>
              <w:right w:val="nil"/>
            </w:tcBorders>
            <w:shd w:val="clear" w:color="auto" w:fill="auto"/>
            <w:noWrap/>
            <w:vAlign w:val="bottom"/>
            <w:hideMark/>
          </w:tcPr>
          <w:p w14:paraId="1317B80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5518" w:type="dxa"/>
            <w:gridSpan w:val="9"/>
            <w:tcBorders>
              <w:top w:val="nil"/>
              <w:left w:val="nil"/>
              <w:bottom w:val="single" w:sz="8" w:space="0" w:color="auto"/>
              <w:right w:val="nil"/>
            </w:tcBorders>
            <w:shd w:val="clear" w:color="auto" w:fill="auto"/>
            <w:noWrap/>
            <w:vAlign w:val="bottom"/>
            <w:hideMark/>
          </w:tcPr>
          <w:p w14:paraId="0FFC9488" w14:textId="0D318AFA" w:rsidR="002C5129" w:rsidRPr="00F32693" w:rsidRDefault="002C5129" w:rsidP="00655509">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w:t>
            </w:r>
          </w:p>
        </w:tc>
        <w:tc>
          <w:tcPr>
            <w:tcW w:w="195" w:type="dxa"/>
            <w:tcBorders>
              <w:top w:val="nil"/>
              <w:left w:val="nil"/>
              <w:bottom w:val="single" w:sz="8" w:space="0" w:color="auto"/>
              <w:right w:val="nil"/>
            </w:tcBorders>
            <w:shd w:val="clear" w:color="auto" w:fill="auto"/>
            <w:noWrap/>
            <w:vAlign w:val="bottom"/>
            <w:hideMark/>
          </w:tcPr>
          <w:p w14:paraId="67DAD5A8"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51438D5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217" w:type="dxa"/>
            <w:tcBorders>
              <w:top w:val="nil"/>
              <w:left w:val="nil"/>
              <w:bottom w:val="single" w:sz="8" w:space="0" w:color="auto"/>
              <w:right w:val="nil"/>
            </w:tcBorders>
            <w:shd w:val="clear" w:color="auto" w:fill="auto"/>
            <w:noWrap/>
            <w:vAlign w:val="bottom"/>
            <w:hideMark/>
          </w:tcPr>
          <w:p w14:paraId="2791E706"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23588F4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177E205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800" w:type="dxa"/>
            <w:tcBorders>
              <w:top w:val="nil"/>
              <w:left w:val="nil"/>
              <w:bottom w:val="single" w:sz="8" w:space="0" w:color="auto"/>
              <w:right w:val="nil"/>
            </w:tcBorders>
            <w:shd w:val="clear" w:color="auto" w:fill="auto"/>
            <w:noWrap/>
            <w:vAlign w:val="bottom"/>
            <w:hideMark/>
          </w:tcPr>
          <w:p w14:paraId="5CAB794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39578FA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6F2FAA40"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860" w:type="dxa"/>
            <w:tcBorders>
              <w:top w:val="nil"/>
              <w:left w:val="nil"/>
              <w:bottom w:val="single" w:sz="8" w:space="0" w:color="auto"/>
              <w:right w:val="nil"/>
            </w:tcBorders>
            <w:shd w:val="clear" w:color="auto" w:fill="auto"/>
            <w:noWrap/>
            <w:vAlign w:val="bottom"/>
            <w:hideMark/>
          </w:tcPr>
          <w:p w14:paraId="12A3414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1C0B1296"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6FD4D24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5293695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604A1C" w:rsidRPr="00F32693" w14:paraId="6D665393" w14:textId="77777777" w:rsidTr="00604A1C">
        <w:trPr>
          <w:trHeight w:val="315"/>
        </w:trPr>
        <w:tc>
          <w:tcPr>
            <w:tcW w:w="960" w:type="dxa"/>
            <w:tcBorders>
              <w:top w:val="nil"/>
              <w:left w:val="nil"/>
              <w:bottom w:val="nil"/>
              <w:right w:val="nil"/>
            </w:tcBorders>
            <w:shd w:val="clear" w:color="auto" w:fill="auto"/>
            <w:noWrap/>
            <w:vAlign w:val="bottom"/>
            <w:hideMark/>
          </w:tcPr>
          <w:p w14:paraId="7C1B6A7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42D0FC9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66767209"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82" w:type="dxa"/>
            <w:tcBorders>
              <w:top w:val="nil"/>
              <w:left w:val="nil"/>
              <w:bottom w:val="single" w:sz="8" w:space="0" w:color="auto"/>
              <w:right w:val="nil"/>
            </w:tcBorders>
            <w:shd w:val="clear" w:color="auto" w:fill="auto"/>
            <w:noWrap/>
            <w:vAlign w:val="bottom"/>
            <w:hideMark/>
          </w:tcPr>
          <w:p w14:paraId="6901ACE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0053918F"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2103DACA"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044" w:type="dxa"/>
            <w:tcBorders>
              <w:top w:val="nil"/>
              <w:left w:val="nil"/>
              <w:bottom w:val="single" w:sz="8" w:space="0" w:color="auto"/>
              <w:right w:val="nil"/>
            </w:tcBorders>
            <w:shd w:val="clear" w:color="auto" w:fill="auto"/>
            <w:noWrap/>
            <w:vAlign w:val="bottom"/>
            <w:hideMark/>
          </w:tcPr>
          <w:p w14:paraId="2BED47EF"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4159" w:type="dxa"/>
            <w:gridSpan w:val="9"/>
            <w:tcBorders>
              <w:top w:val="nil"/>
              <w:left w:val="nil"/>
              <w:bottom w:val="single" w:sz="8" w:space="0" w:color="auto"/>
              <w:right w:val="nil"/>
            </w:tcBorders>
            <w:shd w:val="clear" w:color="auto" w:fill="auto"/>
            <w:noWrap/>
            <w:vAlign w:val="bottom"/>
            <w:hideMark/>
          </w:tcPr>
          <w:p w14:paraId="48ED67C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w:t>
            </w:r>
            <w:r w:rsidRPr="00F32693">
              <w:rPr>
                <w:rFonts w:ascii="Times New Roman" w:eastAsia="Times New Roman" w:hAnsi="Times New Roman" w:cs="Times New Roman"/>
                <w:b/>
                <w:bCs/>
                <w:color w:val="000000"/>
                <w:lang w:val="nl-NL" w:eastAsia="nl-NL"/>
              </w:rPr>
              <w:t>Subsequent fracture</w:t>
            </w:r>
          </w:p>
        </w:tc>
        <w:tc>
          <w:tcPr>
            <w:tcW w:w="195" w:type="dxa"/>
            <w:tcBorders>
              <w:top w:val="nil"/>
              <w:left w:val="nil"/>
              <w:bottom w:val="single" w:sz="8" w:space="0" w:color="auto"/>
              <w:right w:val="nil"/>
            </w:tcBorders>
            <w:shd w:val="clear" w:color="auto" w:fill="auto"/>
            <w:noWrap/>
            <w:vAlign w:val="bottom"/>
            <w:hideMark/>
          </w:tcPr>
          <w:p w14:paraId="56B4045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5317EB9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860" w:type="dxa"/>
            <w:tcBorders>
              <w:top w:val="nil"/>
              <w:left w:val="nil"/>
              <w:bottom w:val="single" w:sz="8" w:space="0" w:color="auto"/>
              <w:right w:val="nil"/>
            </w:tcBorders>
            <w:shd w:val="clear" w:color="auto" w:fill="auto"/>
            <w:noWrap/>
            <w:vAlign w:val="bottom"/>
            <w:hideMark/>
          </w:tcPr>
          <w:p w14:paraId="57B56268"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648D213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154061B3"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61F0C94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EE3900" w:rsidRPr="00F32693" w14:paraId="214B7C94" w14:textId="77777777" w:rsidTr="00604A1C">
        <w:trPr>
          <w:trHeight w:val="315"/>
        </w:trPr>
        <w:tc>
          <w:tcPr>
            <w:tcW w:w="960" w:type="dxa"/>
            <w:tcBorders>
              <w:top w:val="nil"/>
              <w:left w:val="nil"/>
              <w:bottom w:val="nil"/>
              <w:right w:val="nil"/>
            </w:tcBorders>
            <w:shd w:val="clear" w:color="auto" w:fill="auto"/>
            <w:noWrap/>
            <w:vAlign w:val="bottom"/>
            <w:hideMark/>
          </w:tcPr>
          <w:p w14:paraId="09A123B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single" w:sz="8" w:space="0" w:color="auto"/>
              <w:right w:val="nil"/>
            </w:tcBorders>
            <w:shd w:val="clear" w:color="auto" w:fill="auto"/>
            <w:noWrap/>
            <w:vAlign w:val="bottom"/>
            <w:hideMark/>
          </w:tcPr>
          <w:p w14:paraId="05E4F4E3"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Index fracture</w:t>
            </w:r>
          </w:p>
        </w:tc>
        <w:tc>
          <w:tcPr>
            <w:tcW w:w="200" w:type="dxa"/>
            <w:tcBorders>
              <w:top w:val="nil"/>
              <w:left w:val="nil"/>
              <w:bottom w:val="nil"/>
              <w:right w:val="nil"/>
            </w:tcBorders>
            <w:shd w:val="clear" w:color="auto" w:fill="auto"/>
            <w:noWrap/>
            <w:vAlign w:val="bottom"/>
            <w:hideMark/>
          </w:tcPr>
          <w:p w14:paraId="3B93592B"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single" w:sz="8" w:space="0" w:color="auto"/>
              <w:right w:val="nil"/>
            </w:tcBorders>
            <w:shd w:val="clear" w:color="auto" w:fill="auto"/>
            <w:noWrap/>
            <w:vAlign w:val="bottom"/>
            <w:hideMark/>
          </w:tcPr>
          <w:p w14:paraId="1ED0A303"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hip/femur</w:t>
            </w:r>
          </w:p>
        </w:tc>
        <w:tc>
          <w:tcPr>
            <w:tcW w:w="195" w:type="dxa"/>
            <w:tcBorders>
              <w:top w:val="nil"/>
              <w:left w:val="nil"/>
              <w:bottom w:val="single" w:sz="8" w:space="0" w:color="auto"/>
              <w:right w:val="nil"/>
            </w:tcBorders>
            <w:shd w:val="clear" w:color="auto" w:fill="auto"/>
            <w:noWrap/>
            <w:vAlign w:val="bottom"/>
            <w:hideMark/>
          </w:tcPr>
          <w:p w14:paraId="450A5C2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397DB7CE"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044" w:type="dxa"/>
            <w:tcBorders>
              <w:top w:val="nil"/>
              <w:left w:val="nil"/>
              <w:bottom w:val="single" w:sz="8" w:space="0" w:color="auto"/>
              <w:right w:val="nil"/>
            </w:tcBorders>
            <w:shd w:val="clear" w:color="auto" w:fill="auto"/>
            <w:noWrap/>
            <w:vAlign w:val="bottom"/>
            <w:hideMark/>
          </w:tcPr>
          <w:p w14:paraId="270134CD"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vertebrae</w:t>
            </w:r>
          </w:p>
        </w:tc>
        <w:tc>
          <w:tcPr>
            <w:tcW w:w="195" w:type="dxa"/>
            <w:tcBorders>
              <w:top w:val="nil"/>
              <w:left w:val="nil"/>
              <w:bottom w:val="single" w:sz="8" w:space="0" w:color="auto"/>
              <w:right w:val="nil"/>
            </w:tcBorders>
            <w:shd w:val="clear" w:color="auto" w:fill="auto"/>
            <w:noWrap/>
            <w:vAlign w:val="bottom"/>
            <w:hideMark/>
          </w:tcPr>
          <w:p w14:paraId="7453639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3E200D1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972" w:type="dxa"/>
            <w:tcBorders>
              <w:top w:val="nil"/>
              <w:left w:val="nil"/>
              <w:bottom w:val="single" w:sz="8" w:space="0" w:color="auto"/>
              <w:right w:val="nil"/>
            </w:tcBorders>
            <w:shd w:val="clear" w:color="auto" w:fill="auto"/>
            <w:noWrap/>
            <w:vAlign w:val="bottom"/>
            <w:hideMark/>
          </w:tcPr>
          <w:p w14:paraId="6EA2190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w:t>
            </w:r>
            <w:r w:rsidRPr="00F32693">
              <w:rPr>
                <w:rFonts w:ascii="Times New Roman" w:eastAsia="Times New Roman" w:hAnsi="Times New Roman" w:cs="Times New Roman"/>
                <w:b/>
                <w:bCs/>
                <w:color w:val="000000"/>
                <w:lang w:val="nl-NL" w:eastAsia="nl-NL"/>
              </w:rPr>
              <w:t>humerus</w:t>
            </w:r>
          </w:p>
        </w:tc>
        <w:tc>
          <w:tcPr>
            <w:tcW w:w="195" w:type="dxa"/>
            <w:tcBorders>
              <w:top w:val="nil"/>
              <w:left w:val="nil"/>
              <w:bottom w:val="single" w:sz="8" w:space="0" w:color="auto"/>
              <w:right w:val="nil"/>
            </w:tcBorders>
            <w:shd w:val="clear" w:color="auto" w:fill="auto"/>
            <w:noWrap/>
            <w:vAlign w:val="bottom"/>
            <w:hideMark/>
          </w:tcPr>
          <w:p w14:paraId="5BA6B878"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25FFC3EA"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217" w:type="dxa"/>
            <w:tcBorders>
              <w:top w:val="nil"/>
              <w:left w:val="nil"/>
              <w:bottom w:val="single" w:sz="8" w:space="0" w:color="auto"/>
              <w:right w:val="nil"/>
            </w:tcBorders>
            <w:shd w:val="clear" w:color="auto" w:fill="auto"/>
            <w:noWrap/>
            <w:vAlign w:val="bottom"/>
            <w:hideMark/>
          </w:tcPr>
          <w:p w14:paraId="600BA632"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radius/ulna</w:t>
            </w:r>
          </w:p>
        </w:tc>
        <w:tc>
          <w:tcPr>
            <w:tcW w:w="195" w:type="dxa"/>
            <w:tcBorders>
              <w:top w:val="nil"/>
              <w:left w:val="nil"/>
              <w:bottom w:val="single" w:sz="8" w:space="0" w:color="auto"/>
              <w:right w:val="nil"/>
            </w:tcBorders>
            <w:shd w:val="clear" w:color="auto" w:fill="auto"/>
            <w:noWrap/>
            <w:vAlign w:val="bottom"/>
            <w:hideMark/>
          </w:tcPr>
          <w:p w14:paraId="39F3C33A"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5795539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800" w:type="dxa"/>
            <w:tcBorders>
              <w:top w:val="nil"/>
              <w:left w:val="nil"/>
              <w:bottom w:val="single" w:sz="8" w:space="0" w:color="auto"/>
              <w:right w:val="nil"/>
            </w:tcBorders>
            <w:shd w:val="clear" w:color="auto" w:fill="auto"/>
            <w:noWrap/>
            <w:vAlign w:val="bottom"/>
            <w:hideMark/>
          </w:tcPr>
          <w:p w14:paraId="16B4F20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w:t>
            </w:r>
            <w:r w:rsidRPr="00F32693">
              <w:rPr>
                <w:rFonts w:ascii="Times New Roman" w:eastAsia="Times New Roman" w:hAnsi="Times New Roman" w:cs="Times New Roman"/>
                <w:b/>
                <w:bCs/>
                <w:color w:val="000000"/>
                <w:lang w:val="nl-NL" w:eastAsia="nl-NL"/>
              </w:rPr>
              <w:t>pelvis</w:t>
            </w:r>
          </w:p>
        </w:tc>
        <w:tc>
          <w:tcPr>
            <w:tcW w:w="195" w:type="dxa"/>
            <w:tcBorders>
              <w:top w:val="nil"/>
              <w:left w:val="nil"/>
              <w:bottom w:val="single" w:sz="8" w:space="0" w:color="auto"/>
              <w:right w:val="nil"/>
            </w:tcBorders>
            <w:shd w:val="clear" w:color="auto" w:fill="auto"/>
            <w:noWrap/>
            <w:vAlign w:val="bottom"/>
            <w:hideMark/>
          </w:tcPr>
          <w:p w14:paraId="36B570B3"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69B1566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860" w:type="dxa"/>
            <w:tcBorders>
              <w:top w:val="nil"/>
              <w:left w:val="nil"/>
              <w:bottom w:val="single" w:sz="8" w:space="0" w:color="auto"/>
              <w:right w:val="nil"/>
            </w:tcBorders>
            <w:shd w:val="clear" w:color="auto" w:fill="auto"/>
            <w:noWrap/>
            <w:vAlign w:val="bottom"/>
            <w:hideMark/>
          </w:tcPr>
          <w:p w14:paraId="534D4D7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w:t>
            </w:r>
            <w:r w:rsidRPr="00F32693">
              <w:rPr>
                <w:rFonts w:ascii="Times New Roman" w:eastAsia="Times New Roman" w:hAnsi="Times New Roman" w:cs="Times New Roman"/>
                <w:b/>
                <w:bCs/>
                <w:color w:val="000000"/>
                <w:lang w:val="nl-NL" w:eastAsia="nl-NL"/>
              </w:rPr>
              <w:t>rib</w:t>
            </w:r>
          </w:p>
        </w:tc>
        <w:tc>
          <w:tcPr>
            <w:tcW w:w="195" w:type="dxa"/>
            <w:tcBorders>
              <w:top w:val="nil"/>
              <w:left w:val="nil"/>
              <w:bottom w:val="single" w:sz="8" w:space="0" w:color="auto"/>
              <w:right w:val="nil"/>
            </w:tcBorders>
            <w:shd w:val="clear" w:color="auto" w:fill="auto"/>
            <w:noWrap/>
            <w:vAlign w:val="bottom"/>
            <w:hideMark/>
          </w:tcPr>
          <w:p w14:paraId="57A0CA9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4E888A7F"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6736183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7FAC87A9" w14:textId="77777777" w:rsidTr="00655509">
        <w:trPr>
          <w:trHeight w:val="300"/>
        </w:trPr>
        <w:tc>
          <w:tcPr>
            <w:tcW w:w="960" w:type="dxa"/>
            <w:tcBorders>
              <w:top w:val="nil"/>
              <w:left w:val="nil"/>
              <w:bottom w:val="nil"/>
              <w:right w:val="nil"/>
            </w:tcBorders>
            <w:shd w:val="clear" w:color="auto" w:fill="auto"/>
            <w:noWrap/>
            <w:vAlign w:val="bottom"/>
            <w:hideMark/>
          </w:tcPr>
          <w:p w14:paraId="67F6ECA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06E1363C"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hip/femur</w:t>
            </w:r>
          </w:p>
        </w:tc>
        <w:tc>
          <w:tcPr>
            <w:tcW w:w="200" w:type="dxa"/>
            <w:tcBorders>
              <w:top w:val="nil"/>
              <w:left w:val="nil"/>
              <w:bottom w:val="nil"/>
              <w:right w:val="nil"/>
            </w:tcBorders>
            <w:shd w:val="clear" w:color="auto" w:fill="auto"/>
            <w:noWrap/>
            <w:vAlign w:val="bottom"/>
            <w:hideMark/>
          </w:tcPr>
          <w:p w14:paraId="08EA496F"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1F0FCC3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C19355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2E21082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4442921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41.7</w:t>
            </w:r>
          </w:p>
        </w:tc>
        <w:tc>
          <w:tcPr>
            <w:tcW w:w="195" w:type="dxa"/>
            <w:tcBorders>
              <w:top w:val="nil"/>
              <w:left w:val="nil"/>
              <w:bottom w:val="nil"/>
              <w:right w:val="nil"/>
            </w:tcBorders>
            <w:shd w:val="clear" w:color="auto" w:fill="auto"/>
            <w:noWrap/>
            <w:vAlign w:val="bottom"/>
            <w:hideMark/>
          </w:tcPr>
          <w:p w14:paraId="48EA5E1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62291A0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5DD8982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59.5</w:t>
            </w:r>
          </w:p>
        </w:tc>
        <w:tc>
          <w:tcPr>
            <w:tcW w:w="195" w:type="dxa"/>
            <w:tcBorders>
              <w:top w:val="nil"/>
              <w:left w:val="nil"/>
              <w:bottom w:val="nil"/>
              <w:right w:val="nil"/>
            </w:tcBorders>
            <w:shd w:val="clear" w:color="auto" w:fill="auto"/>
            <w:noWrap/>
            <w:vAlign w:val="bottom"/>
            <w:hideMark/>
          </w:tcPr>
          <w:p w14:paraId="5951AB3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2D224CC6"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17E8221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37.8</w:t>
            </w:r>
          </w:p>
        </w:tc>
        <w:tc>
          <w:tcPr>
            <w:tcW w:w="195" w:type="dxa"/>
            <w:tcBorders>
              <w:top w:val="nil"/>
              <w:left w:val="nil"/>
              <w:bottom w:val="nil"/>
              <w:right w:val="nil"/>
            </w:tcBorders>
            <w:shd w:val="clear" w:color="auto" w:fill="auto"/>
            <w:noWrap/>
            <w:vAlign w:val="bottom"/>
            <w:hideMark/>
          </w:tcPr>
          <w:p w14:paraId="3F6FD3B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401A291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46A80D4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33.5</w:t>
            </w:r>
          </w:p>
        </w:tc>
        <w:tc>
          <w:tcPr>
            <w:tcW w:w="195" w:type="dxa"/>
            <w:tcBorders>
              <w:top w:val="nil"/>
              <w:left w:val="nil"/>
              <w:bottom w:val="nil"/>
              <w:right w:val="nil"/>
            </w:tcBorders>
            <w:shd w:val="clear" w:color="auto" w:fill="auto"/>
            <w:noWrap/>
            <w:vAlign w:val="bottom"/>
            <w:hideMark/>
          </w:tcPr>
          <w:p w14:paraId="3811810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128EF00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109A651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24.4</w:t>
            </w:r>
          </w:p>
        </w:tc>
        <w:tc>
          <w:tcPr>
            <w:tcW w:w="195" w:type="dxa"/>
            <w:tcBorders>
              <w:top w:val="nil"/>
              <w:left w:val="nil"/>
              <w:bottom w:val="nil"/>
              <w:right w:val="nil"/>
            </w:tcBorders>
            <w:shd w:val="clear" w:color="auto" w:fill="auto"/>
            <w:noWrap/>
            <w:vAlign w:val="bottom"/>
            <w:hideMark/>
          </w:tcPr>
          <w:p w14:paraId="0E257143"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4D76D08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6229FBC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207F0778" w14:textId="77777777" w:rsidTr="00655509">
        <w:trPr>
          <w:trHeight w:val="300"/>
        </w:trPr>
        <w:tc>
          <w:tcPr>
            <w:tcW w:w="960" w:type="dxa"/>
            <w:tcBorders>
              <w:top w:val="nil"/>
              <w:left w:val="nil"/>
              <w:bottom w:val="nil"/>
              <w:right w:val="nil"/>
            </w:tcBorders>
            <w:shd w:val="clear" w:color="auto" w:fill="auto"/>
            <w:noWrap/>
            <w:vAlign w:val="bottom"/>
            <w:hideMark/>
          </w:tcPr>
          <w:p w14:paraId="18DD491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7C49EA5E"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vertebrae</w:t>
            </w:r>
          </w:p>
        </w:tc>
        <w:tc>
          <w:tcPr>
            <w:tcW w:w="200" w:type="dxa"/>
            <w:tcBorders>
              <w:top w:val="nil"/>
              <w:left w:val="nil"/>
              <w:bottom w:val="nil"/>
              <w:right w:val="nil"/>
            </w:tcBorders>
            <w:shd w:val="clear" w:color="auto" w:fill="auto"/>
            <w:noWrap/>
            <w:vAlign w:val="bottom"/>
            <w:hideMark/>
          </w:tcPr>
          <w:p w14:paraId="3AB11162"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35F4B28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70.7</w:t>
            </w:r>
          </w:p>
        </w:tc>
        <w:tc>
          <w:tcPr>
            <w:tcW w:w="195" w:type="dxa"/>
            <w:tcBorders>
              <w:top w:val="nil"/>
              <w:left w:val="nil"/>
              <w:bottom w:val="nil"/>
              <w:right w:val="nil"/>
            </w:tcBorders>
            <w:shd w:val="clear" w:color="auto" w:fill="auto"/>
            <w:noWrap/>
            <w:vAlign w:val="bottom"/>
            <w:hideMark/>
          </w:tcPr>
          <w:p w14:paraId="0772657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4AAAB64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121FC94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878F8C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3EC407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1972A140"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44.0</w:t>
            </w:r>
          </w:p>
        </w:tc>
        <w:tc>
          <w:tcPr>
            <w:tcW w:w="195" w:type="dxa"/>
            <w:tcBorders>
              <w:top w:val="nil"/>
              <w:left w:val="nil"/>
              <w:bottom w:val="nil"/>
              <w:right w:val="nil"/>
            </w:tcBorders>
            <w:shd w:val="clear" w:color="auto" w:fill="auto"/>
            <w:noWrap/>
            <w:vAlign w:val="bottom"/>
            <w:hideMark/>
          </w:tcPr>
          <w:p w14:paraId="5DA0E3A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004B2C0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5EE3F92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25.9</w:t>
            </w:r>
          </w:p>
        </w:tc>
        <w:tc>
          <w:tcPr>
            <w:tcW w:w="195" w:type="dxa"/>
            <w:tcBorders>
              <w:top w:val="nil"/>
              <w:left w:val="nil"/>
              <w:bottom w:val="nil"/>
              <w:right w:val="nil"/>
            </w:tcBorders>
            <w:shd w:val="clear" w:color="auto" w:fill="auto"/>
            <w:noWrap/>
            <w:vAlign w:val="bottom"/>
            <w:hideMark/>
          </w:tcPr>
          <w:p w14:paraId="6AD94DD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2D8D0E9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1774D77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18.8</w:t>
            </w:r>
          </w:p>
        </w:tc>
        <w:tc>
          <w:tcPr>
            <w:tcW w:w="195" w:type="dxa"/>
            <w:tcBorders>
              <w:top w:val="nil"/>
              <w:left w:val="nil"/>
              <w:bottom w:val="nil"/>
              <w:right w:val="nil"/>
            </w:tcBorders>
            <w:shd w:val="clear" w:color="auto" w:fill="auto"/>
            <w:noWrap/>
            <w:vAlign w:val="bottom"/>
            <w:hideMark/>
          </w:tcPr>
          <w:p w14:paraId="787B0E0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23D610EA"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6653A9E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47.3</w:t>
            </w:r>
          </w:p>
        </w:tc>
        <w:tc>
          <w:tcPr>
            <w:tcW w:w="195" w:type="dxa"/>
            <w:tcBorders>
              <w:top w:val="nil"/>
              <w:left w:val="nil"/>
              <w:bottom w:val="nil"/>
              <w:right w:val="nil"/>
            </w:tcBorders>
            <w:shd w:val="clear" w:color="auto" w:fill="auto"/>
            <w:noWrap/>
            <w:vAlign w:val="bottom"/>
            <w:hideMark/>
          </w:tcPr>
          <w:p w14:paraId="32AA45B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4941FAF6"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03459C0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0A7DB413" w14:textId="77777777" w:rsidTr="00655509">
        <w:trPr>
          <w:trHeight w:val="300"/>
        </w:trPr>
        <w:tc>
          <w:tcPr>
            <w:tcW w:w="960" w:type="dxa"/>
            <w:tcBorders>
              <w:top w:val="nil"/>
              <w:left w:val="nil"/>
              <w:bottom w:val="nil"/>
              <w:right w:val="nil"/>
            </w:tcBorders>
            <w:shd w:val="clear" w:color="auto" w:fill="auto"/>
            <w:noWrap/>
            <w:vAlign w:val="bottom"/>
            <w:hideMark/>
          </w:tcPr>
          <w:p w14:paraId="444E3B0C"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083C0B89"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humerus</w:t>
            </w:r>
          </w:p>
        </w:tc>
        <w:tc>
          <w:tcPr>
            <w:tcW w:w="200" w:type="dxa"/>
            <w:tcBorders>
              <w:top w:val="nil"/>
              <w:left w:val="nil"/>
              <w:bottom w:val="nil"/>
              <w:right w:val="nil"/>
            </w:tcBorders>
            <w:shd w:val="clear" w:color="auto" w:fill="auto"/>
            <w:noWrap/>
            <w:vAlign w:val="bottom"/>
            <w:hideMark/>
          </w:tcPr>
          <w:p w14:paraId="029347E3"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67397D0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68.7</w:t>
            </w:r>
          </w:p>
        </w:tc>
        <w:tc>
          <w:tcPr>
            <w:tcW w:w="195" w:type="dxa"/>
            <w:tcBorders>
              <w:top w:val="nil"/>
              <w:left w:val="nil"/>
              <w:bottom w:val="nil"/>
              <w:right w:val="nil"/>
            </w:tcBorders>
            <w:shd w:val="clear" w:color="auto" w:fill="auto"/>
            <w:noWrap/>
            <w:vAlign w:val="bottom"/>
            <w:hideMark/>
          </w:tcPr>
          <w:p w14:paraId="237E137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6BCB2B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0021CA9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25.6</w:t>
            </w:r>
          </w:p>
        </w:tc>
        <w:tc>
          <w:tcPr>
            <w:tcW w:w="195" w:type="dxa"/>
            <w:tcBorders>
              <w:top w:val="nil"/>
              <w:left w:val="nil"/>
              <w:bottom w:val="nil"/>
              <w:right w:val="nil"/>
            </w:tcBorders>
            <w:shd w:val="clear" w:color="auto" w:fill="auto"/>
            <w:noWrap/>
            <w:vAlign w:val="bottom"/>
            <w:hideMark/>
          </w:tcPr>
          <w:p w14:paraId="2B65B2B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7786B2C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0584AA40"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D8410C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E84464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13883303"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71.3</w:t>
            </w:r>
          </w:p>
        </w:tc>
        <w:tc>
          <w:tcPr>
            <w:tcW w:w="195" w:type="dxa"/>
            <w:tcBorders>
              <w:top w:val="nil"/>
              <w:left w:val="nil"/>
              <w:bottom w:val="nil"/>
              <w:right w:val="nil"/>
            </w:tcBorders>
            <w:shd w:val="clear" w:color="auto" w:fill="auto"/>
            <w:noWrap/>
            <w:vAlign w:val="bottom"/>
            <w:hideMark/>
          </w:tcPr>
          <w:p w14:paraId="6B19B62E"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546EF679"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3FF2723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9.1</w:t>
            </w:r>
          </w:p>
        </w:tc>
        <w:tc>
          <w:tcPr>
            <w:tcW w:w="195" w:type="dxa"/>
            <w:tcBorders>
              <w:top w:val="nil"/>
              <w:left w:val="nil"/>
              <w:bottom w:val="nil"/>
              <w:right w:val="nil"/>
            </w:tcBorders>
            <w:shd w:val="clear" w:color="auto" w:fill="auto"/>
            <w:noWrap/>
            <w:vAlign w:val="bottom"/>
            <w:hideMark/>
          </w:tcPr>
          <w:p w14:paraId="5314CE9F"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60478266"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32627EB0"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20.7</w:t>
            </w:r>
          </w:p>
        </w:tc>
        <w:tc>
          <w:tcPr>
            <w:tcW w:w="195" w:type="dxa"/>
            <w:tcBorders>
              <w:top w:val="nil"/>
              <w:left w:val="nil"/>
              <w:bottom w:val="nil"/>
              <w:right w:val="nil"/>
            </w:tcBorders>
            <w:shd w:val="clear" w:color="auto" w:fill="auto"/>
            <w:noWrap/>
            <w:vAlign w:val="bottom"/>
            <w:hideMark/>
          </w:tcPr>
          <w:p w14:paraId="07A2F48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118C1A5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46DC3F8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04288AF8" w14:textId="77777777" w:rsidTr="00655509">
        <w:trPr>
          <w:trHeight w:val="300"/>
        </w:trPr>
        <w:tc>
          <w:tcPr>
            <w:tcW w:w="960" w:type="dxa"/>
            <w:tcBorders>
              <w:top w:val="nil"/>
              <w:left w:val="nil"/>
              <w:bottom w:val="nil"/>
              <w:right w:val="nil"/>
            </w:tcBorders>
            <w:shd w:val="clear" w:color="auto" w:fill="auto"/>
            <w:noWrap/>
            <w:vAlign w:val="bottom"/>
            <w:hideMark/>
          </w:tcPr>
          <w:p w14:paraId="1371FFD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176FB046"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radius/ulna</w:t>
            </w:r>
          </w:p>
        </w:tc>
        <w:tc>
          <w:tcPr>
            <w:tcW w:w="200" w:type="dxa"/>
            <w:tcBorders>
              <w:top w:val="nil"/>
              <w:left w:val="nil"/>
              <w:bottom w:val="nil"/>
              <w:right w:val="nil"/>
            </w:tcBorders>
            <w:shd w:val="clear" w:color="auto" w:fill="auto"/>
            <w:noWrap/>
            <w:vAlign w:val="bottom"/>
            <w:hideMark/>
          </w:tcPr>
          <w:p w14:paraId="32CA1B83"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0E8E3F4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38.5</w:t>
            </w:r>
          </w:p>
        </w:tc>
        <w:tc>
          <w:tcPr>
            <w:tcW w:w="195" w:type="dxa"/>
            <w:tcBorders>
              <w:top w:val="nil"/>
              <w:left w:val="nil"/>
              <w:bottom w:val="nil"/>
              <w:right w:val="nil"/>
            </w:tcBorders>
            <w:shd w:val="clear" w:color="auto" w:fill="auto"/>
            <w:noWrap/>
            <w:vAlign w:val="bottom"/>
            <w:hideMark/>
          </w:tcPr>
          <w:p w14:paraId="021DE2E8"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4F96918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5E59F18A"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3.5</w:t>
            </w:r>
          </w:p>
        </w:tc>
        <w:tc>
          <w:tcPr>
            <w:tcW w:w="195" w:type="dxa"/>
            <w:tcBorders>
              <w:top w:val="nil"/>
              <w:left w:val="nil"/>
              <w:bottom w:val="nil"/>
              <w:right w:val="nil"/>
            </w:tcBorders>
            <w:shd w:val="clear" w:color="auto" w:fill="auto"/>
            <w:noWrap/>
            <w:vAlign w:val="bottom"/>
            <w:hideMark/>
          </w:tcPr>
          <w:p w14:paraId="3B94118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A712C1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22B4D26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59.3</w:t>
            </w:r>
          </w:p>
        </w:tc>
        <w:tc>
          <w:tcPr>
            <w:tcW w:w="195" w:type="dxa"/>
            <w:tcBorders>
              <w:top w:val="nil"/>
              <w:left w:val="nil"/>
              <w:bottom w:val="nil"/>
              <w:right w:val="nil"/>
            </w:tcBorders>
            <w:shd w:val="clear" w:color="auto" w:fill="auto"/>
            <w:noWrap/>
            <w:vAlign w:val="bottom"/>
            <w:hideMark/>
          </w:tcPr>
          <w:p w14:paraId="0DF8C32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1B62EA0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3CB835D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1F5DD76"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03DAA5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68BDC25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7.2</w:t>
            </w:r>
          </w:p>
        </w:tc>
        <w:tc>
          <w:tcPr>
            <w:tcW w:w="195" w:type="dxa"/>
            <w:tcBorders>
              <w:top w:val="nil"/>
              <w:left w:val="nil"/>
              <w:bottom w:val="nil"/>
              <w:right w:val="nil"/>
            </w:tcBorders>
            <w:shd w:val="clear" w:color="auto" w:fill="auto"/>
            <w:noWrap/>
            <w:vAlign w:val="bottom"/>
            <w:hideMark/>
          </w:tcPr>
          <w:p w14:paraId="52D4C36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4758B9F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31E3A62E"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17.9</w:t>
            </w:r>
          </w:p>
        </w:tc>
        <w:tc>
          <w:tcPr>
            <w:tcW w:w="195" w:type="dxa"/>
            <w:tcBorders>
              <w:top w:val="nil"/>
              <w:left w:val="nil"/>
              <w:bottom w:val="nil"/>
              <w:right w:val="nil"/>
            </w:tcBorders>
            <w:shd w:val="clear" w:color="auto" w:fill="auto"/>
            <w:noWrap/>
            <w:vAlign w:val="bottom"/>
            <w:hideMark/>
          </w:tcPr>
          <w:p w14:paraId="056AFDF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749CC81C"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3DB5D7E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493797E5" w14:textId="77777777" w:rsidTr="00655509">
        <w:trPr>
          <w:trHeight w:val="300"/>
        </w:trPr>
        <w:tc>
          <w:tcPr>
            <w:tcW w:w="960" w:type="dxa"/>
            <w:tcBorders>
              <w:top w:val="nil"/>
              <w:left w:val="nil"/>
              <w:bottom w:val="nil"/>
              <w:right w:val="nil"/>
            </w:tcBorders>
            <w:shd w:val="clear" w:color="auto" w:fill="auto"/>
            <w:noWrap/>
            <w:vAlign w:val="bottom"/>
            <w:hideMark/>
          </w:tcPr>
          <w:p w14:paraId="2267FB9A"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0A2BFC92"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pelvis</w:t>
            </w:r>
          </w:p>
        </w:tc>
        <w:tc>
          <w:tcPr>
            <w:tcW w:w="200" w:type="dxa"/>
            <w:tcBorders>
              <w:top w:val="nil"/>
              <w:left w:val="nil"/>
              <w:bottom w:val="nil"/>
              <w:right w:val="nil"/>
            </w:tcBorders>
            <w:shd w:val="clear" w:color="auto" w:fill="auto"/>
            <w:noWrap/>
            <w:vAlign w:val="bottom"/>
            <w:hideMark/>
          </w:tcPr>
          <w:p w14:paraId="5485144D"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1068AEB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139.2</w:t>
            </w:r>
          </w:p>
        </w:tc>
        <w:tc>
          <w:tcPr>
            <w:tcW w:w="195" w:type="dxa"/>
            <w:tcBorders>
              <w:top w:val="nil"/>
              <w:left w:val="nil"/>
              <w:bottom w:val="nil"/>
              <w:right w:val="nil"/>
            </w:tcBorders>
            <w:shd w:val="clear" w:color="auto" w:fill="auto"/>
            <w:noWrap/>
            <w:vAlign w:val="bottom"/>
            <w:hideMark/>
          </w:tcPr>
          <w:p w14:paraId="1B031C5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6162ED20"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2B2FD55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49.4</w:t>
            </w:r>
          </w:p>
        </w:tc>
        <w:tc>
          <w:tcPr>
            <w:tcW w:w="195" w:type="dxa"/>
            <w:tcBorders>
              <w:top w:val="nil"/>
              <w:left w:val="nil"/>
              <w:bottom w:val="nil"/>
              <w:right w:val="nil"/>
            </w:tcBorders>
            <w:shd w:val="clear" w:color="auto" w:fill="auto"/>
            <w:noWrap/>
            <w:vAlign w:val="bottom"/>
            <w:hideMark/>
          </w:tcPr>
          <w:p w14:paraId="6517657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4D9C1BF6"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78E979C4"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71.7</w:t>
            </w:r>
          </w:p>
        </w:tc>
        <w:tc>
          <w:tcPr>
            <w:tcW w:w="195" w:type="dxa"/>
            <w:tcBorders>
              <w:top w:val="nil"/>
              <w:left w:val="nil"/>
              <w:bottom w:val="nil"/>
              <w:right w:val="nil"/>
            </w:tcBorders>
            <w:shd w:val="clear" w:color="auto" w:fill="auto"/>
            <w:noWrap/>
            <w:vAlign w:val="bottom"/>
            <w:hideMark/>
          </w:tcPr>
          <w:p w14:paraId="2FF1466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562663A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19C940F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37.1</w:t>
            </w:r>
          </w:p>
        </w:tc>
        <w:tc>
          <w:tcPr>
            <w:tcW w:w="195" w:type="dxa"/>
            <w:tcBorders>
              <w:top w:val="nil"/>
              <w:left w:val="nil"/>
              <w:bottom w:val="nil"/>
              <w:right w:val="nil"/>
            </w:tcBorders>
            <w:shd w:val="clear" w:color="auto" w:fill="auto"/>
            <w:noWrap/>
            <w:vAlign w:val="bottom"/>
            <w:hideMark/>
          </w:tcPr>
          <w:p w14:paraId="58CE8BB6"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06D2BD9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5DC099C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0D8698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954E15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5854BDA3"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38.2</w:t>
            </w:r>
          </w:p>
        </w:tc>
        <w:tc>
          <w:tcPr>
            <w:tcW w:w="195" w:type="dxa"/>
            <w:tcBorders>
              <w:top w:val="nil"/>
              <w:left w:val="nil"/>
              <w:bottom w:val="nil"/>
              <w:right w:val="nil"/>
            </w:tcBorders>
            <w:shd w:val="clear" w:color="auto" w:fill="auto"/>
            <w:noWrap/>
            <w:vAlign w:val="bottom"/>
            <w:hideMark/>
          </w:tcPr>
          <w:p w14:paraId="45FBEE8E"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6CFB9D5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0BD0180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6B65DC11" w14:textId="77777777" w:rsidTr="00655509">
        <w:trPr>
          <w:trHeight w:val="315"/>
        </w:trPr>
        <w:tc>
          <w:tcPr>
            <w:tcW w:w="960" w:type="dxa"/>
            <w:tcBorders>
              <w:top w:val="nil"/>
              <w:left w:val="nil"/>
              <w:bottom w:val="nil"/>
              <w:right w:val="nil"/>
            </w:tcBorders>
            <w:shd w:val="clear" w:color="auto" w:fill="auto"/>
            <w:noWrap/>
            <w:vAlign w:val="bottom"/>
            <w:hideMark/>
          </w:tcPr>
          <w:p w14:paraId="74CAF89E"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single" w:sz="12" w:space="0" w:color="auto"/>
              <w:right w:val="nil"/>
            </w:tcBorders>
            <w:shd w:val="clear" w:color="auto" w:fill="auto"/>
            <w:noWrap/>
            <w:vAlign w:val="bottom"/>
            <w:hideMark/>
          </w:tcPr>
          <w:p w14:paraId="29B0A9BB" w14:textId="77777777" w:rsidR="002C5129" w:rsidRPr="00F32693" w:rsidRDefault="002C5129" w:rsidP="00604A1C">
            <w:pPr>
              <w:spacing w:after="0" w:line="240" w:lineRule="auto"/>
              <w:rPr>
                <w:rFonts w:ascii="Times New Roman" w:eastAsia="Times New Roman" w:hAnsi="Times New Roman" w:cs="Times New Roman"/>
                <w:b/>
                <w:bCs/>
                <w:color w:val="000000"/>
                <w:lang w:val="nl-NL" w:eastAsia="nl-NL"/>
              </w:rPr>
            </w:pPr>
            <w:r w:rsidRPr="00F32693">
              <w:rPr>
                <w:rFonts w:ascii="Times New Roman" w:eastAsia="Times New Roman" w:hAnsi="Times New Roman" w:cs="Times New Roman"/>
                <w:b/>
                <w:bCs/>
                <w:color w:val="000000"/>
                <w:lang w:val="nl-NL" w:eastAsia="nl-NL"/>
              </w:rPr>
              <w:t>rib</w:t>
            </w:r>
          </w:p>
        </w:tc>
        <w:tc>
          <w:tcPr>
            <w:tcW w:w="200" w:type="dxa"/>
            <w:tcBorders>
              <w:top w:val="nil"/>
              <w:left w:val="nil"/>
              <w:bottom w:val="single" w:sz="12" w:space="0" w:color="auto"/>
              <w:right w:val="nil"/>
            </w:tcBorders>
            <w:shd w:val="clear" w:color="auto" w:fill="auto"/>
            <w:noWrap/>
            <w:vAlign w:val="bottom"/>
            <w:hideMark/>
          </w:tcPr>
          <w:p w14:paraId="796C26C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082" w:type="dxa"/>
            <w:tcBorders>
              <w:top w:val="nil"/>
              <w:left w:val="nil"/>
              <w:bottom w:val="single" w:sz="12" w:space="0" w:color="auto"/>
              <w:right w:val="nil"/>
            </w:tcBorders>
            <w:shd w:val="clear" w:color="auto" w:fill="auto"/>
            <w:noWrap/>
            <w:vAlign w:val="bottom"/>
            <w:hideMark/>
          </w:tcPr>
          <w:p w14:paraId="4519655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32.7</w:t>
            </w:r>
          </w:p>
        </w:tc>
        <w:tc>
          <w:tcPr>
            <w:tcW w:w="195" w:type="dxa"/>
            <w:tcBorders>
              <w:top w:val="nil"/>
              <w:left w:val="nil"/>
              <w:bottom w:val="single" w:sz="12" w:space="0" w:color="auto"/>
              <w:right w:val="nil"/>
            </w:tcBorders>
            <w:shd w:val="clear" w:color="auto" w:fill="auto"/>
            <w:noWrap/>
            <w:vAlign w:val="bottom"/>
            <w:hideMark/>
          </w:tcPr>
          <w:p w14:paraId="7A514637"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1AFFB21B"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044" w:type="dxa"/>
            <w:tcBorders>
              <w:top w:val="nil"/>
              <w:left w:val="nil"/>
              <w:bottom w:val="single" w:sz="12" w:space="0" w:color="auto"/>
              <w:right w:val="nil"/>
            </w:tcBorders>
            <w:shd w:val="clear" w:color="auto" w:fill="auto"/>
            <w:noWrap/>
            <w:vAlign w:val="bottom"/>
            <w:hideMark/>
          </w:tcPr>
          <w:p w14:paraId="5E606EA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30.3</w:t>
            </w:r>
          </w:p>
        </w:tc>
        <w:tc>
          <w:tcPr>
            <w:tcW w:w="195" w:type="dxa"/>
            <w:tcBorders>
              <w:top w:val="nil"/>
              <w:left w:val="nil"/>
              <w:bottom w:val="single" w:sz="12" w:space="0" w:color="auto"/>
              <w:right w:val="nil"/>
            </w:tcBorders>
            <w:shd w:val="clear" w:color="auto" w:fill="auto"/>
            <w:noWrap/>
            <w:vAlign w:val="bottom"/>
            <w:hideMark/>
          </w:tcPr>
          <w:p w14:paraId="3482DDE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1B86E452"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972" w:type="dxa"/>
            <w:tcBorders>
              <w:top w:val="nil"/>
              <w:left w:val="nil"/>
              <w:bottom w:val="single" w:sz="12" w:space="0" w:color="auto"/>
              <w:right w:val="nil"/>
            </w:tcBorders>
            <w:shd w:val="clear" w:color="auto" w:fill="auto"/>
            <w:noWrap/>
            <w:vAlign w:val="bottom"/>
            <w:hideMark/>
          </w:tcPr>
          <w:p w14:paraId="20F1E0A1"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24.4</w:t>
            </w:r>
          </w:p>
        </w:tc>
        <w:tc>
          <w:tcPr>
            <w:tcW w:w="195" w:type="dxa"/>
            <w:tcBorders>
              <w:top w:val="nil"/>
              <w:left w:val="nil"/>
              <w:bottom w:val="single" w:sz="12" w:space="0" w:color="auto"/>
              <w:right w:val="nil"/>
            </w:tcBorders>
            <w:shd w:val="clear" w:color="auto" w:fill="auto"/>
            <w:noWrap/>
            <w:vAlign w:val="bottom"/>
            <w:hideMark/>
          </w:tcPr>
          <w:p w14:paraId="7A4334D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7F4FDAD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217" w:type="dxa"/>
            <w:tcBorders>
              <w:top w:val="nil"/>
              <w:left w:val="nil"/>
              <w:bottom w:val="single" w:sz="12" w:space="0" w:color="auto"/>
              <w:right w:val="nil"/>
            </w:tcBorders>
            <w:shd w:val="clear" w:color="auto" w:fill="auto"/>
            <w:noWrap/>
            <w:vAlign w:val="bottom"/>
            <w:hideMark/>
          </w:tcPr>
          <w:p w14:paraId="358BABA5"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27.7</w:t>
            </w:r>
          </w:p>
        </w:tc>
        <w:tc>
          <w:tcPr>
            <w:tcW w:w="195" w:type="dxa"/>
            <w:tcBorders>
              <w:top w:val="nil"/>
              <w:left w:val="nil"/>
              <w:bottom w:val="single" w:sz="12" w:space="0" w:color="auto"/>
              <w:right w:val="nil"/>
            </w:tcBorders>
            <w:shd w:val="clear" w:color="auto" w:fill="auto"/>
            <w:noWrap/>
            <w:vAlign w:val="bottom"/>
            <w:hideMark/>
          </w:tcPr>
          <w:p w14:paraId="4A44B9AC"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4993E86E"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800" w:type="dxa"/>
            <w:tcBorders>
              <w:top w:val="nil"/>
              <w:left w:val="nil"/>
              <w:bottom w:val="single" w:sz="12" w:space="0" w:color="auto"/>
              <w:right w:val="nil"/>
            </w:tcBorders>
            <w:shd w:val="clear" w:color="auto" w:fill="auto"/>
            <w:noWrap/>
            <w:vAlign w:val="bottom"/>
            <w:hideMark/>
          </w:tcPr>
          <w:p w14:paraId="4A48A1D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xml:space="preserve">  7.0</w:t>
            </w:r>
          </w:p>
        </w:tc>
        <w:tc>
          <w:tcPr>
            <w:tcW w:w="195" w:type="dxa"/>
            <w:tcBorders>
              <w:top w:val="nil"/>
              <w:left w:val="nil"/>
              <w:bottom w:val="single" w:sz="12" w:space="0" w:color="auto"/>
              <w:right w:val="nil"/>
            </w:tcBorders>
            <w:shd w:val="clear" w:color="auto" w:fill="auto"/>
            <w:noWrap/>
            <w:vAlign w:val="bottom"/>
            <w:hideMark/>
          </w:tcPr>
          <w:p w14:paraId="5F75CC29"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452621E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860" w:type="dxa"/>
            <w:tcBorders>
              <w:top w:val="nil"/>
              <w:left w:val="nil"/>
              <w:bottom w:val="single" w:sz="12" w:space="0" w:color="auto"/>
              <w:right w:val="nil"/>
            </w:tcBorders>
            <w:shd w:val="clear" w:color="auto" w:fill="auto"/>
            <w:noWrap/>
            <w:vAlign w:val="bottom"/>
            <w:hideMark/>
          </w:tcPr>
          <w:p w14:paraId="62F0638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a</w:t>
            </w:r>
          </w:p>
        </w:tc>
        <w:tc>
          <w:tcPr>
            <w:tcW w:w="195" w:type="dxa"/>
            <w:tcBorders>
              <w:top w:val="nil"/>
              <w:left w:val="nil"/>
              <w:bottom w:val="single" w:sz="12" w:space="0" w:color="auto"/>
              <w:right w:val="nil"/>
            </w:tcBorders>
            <w:shd w:val="clear" w:color="auto" w:fill="auto"/>
            <w:noWrap/>
            <w:vAlign w:val="bottom"/>
            <w:hideMark/>
          </w:tcPr>
          <w:p w14:paraId="3B280BFD"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r w:rsidRPr="00F32693">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0A60B4BE" w14:textId="77777777" w:rsidR="002C5129" w:rsidRPr="00F32693" w:rsidRDefault="002C5129" w:rsidP="00604A1C">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3B02899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5270CF36" w14:textId="77777777" w:rsidTr="00655509">
        <w:trPr>
          <w:trHeight w:val="315"/>
        </w:trPr>
        <w:tc>
          <w:tcPr>
            <w:tcW w:w="960" w:type="dxa"/>
            <w:tcBorders>
              <w:top w:val="nil"/>
              <w:left w:val="nil"/>
              <w:bottom w:val="nil"/>
              <w:right w:val="nil"/>
            </w:tcBorders>
            <w:shd w:val="clear" w:color="auto" w:fill="auto"/>
            <w:noWrap/>
            <w:vAlign w:val="bottom"/>
            <w:hideMark/>
          </w:tcPr>
          <w:p w14:paraId="3DB8736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68313B8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43C5411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82" w:type="dxa"/>
            <w:tcBorders>
              <w:top w:val="nil"/>
              <w:left w:val="nil"/>
              <w:bottom w:val="nil"/>
              <w:right w:val="nil"/>
            </w:tcBorders>
            <w:shd w:val="clear" w:color="auto" w:fill="auto"/>
            <w:noWrap/>
            <w:vAlign w:val="bottom"/>
            <w:hideMark/>
          </w:tcPr>
          <w:p w14:paraId="01601A0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ED266B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8BC3A5A"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78175DE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379F3C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88B08F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38E3D17C"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6E84F2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9313B1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20B5F7B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FEC1C8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2010A34C"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39554C2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856B70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1B858F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283ACCC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2CE0910"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653E9BC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2DEC046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2C5129" w:rsidRPr="00F32693" w14:paraId="34351A0D" w14:textId="77777777" w:rsidTr="00655509">
        <w:trPr>
          <w:trHeight w:val="300"/>
        </w:trPr>
        <w:tc>
          <w:tcPr>
            <w:tcW w:w="960" w:type="dxa"/>
            <w:tcBorders>
              <w:top w:val="nil"/>
              <w:left w:val="nil"/>
              <w:bottom w:val="nil"/>
              <w:right w:val="nil"/>
            </w:tcBorders>
            <w:shd w:val="clear" w:color="auto" w:fill="auto"/>
            <w:noWrap/>
            <w:vAlign w:val="bottom"/>
            <w:hideMark/>
          </w:tcPr>
          <w:p w14:paraId="4CCA198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0041C110"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759829B3"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82" w:type="dxa"/>
            <w:tcBorders>
              <w:top w:val="nil"/>
              <w:left w:val="nil"/>
              <w:bottom w:val="nil"/>
              <w:right w:val="nil"/>
            </w:tcBorders>
            <w:shd w:val="clear" w:color="auto" w:fill="auto"/>
            <w:noWrap/>
            <w:vAlign w:val="bottom"/>
            <w:hideMark/>
          </w:tcPr>
          <w:p w14:paraId="69849C48"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F6C5FBC"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BA16027"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18F27C2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2990CE2A"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341E25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01962A6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8E6A895"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43DE482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4183C8E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7BE341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6E1DDE1"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3209D422"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E1BFC8F"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2B4DC7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7F7B2F0D"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3C8F3CB"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3F3D8624"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364FF349" w14:textId="77777777" w:rsidR="002C5129" w:rsidRPr="00F32693" w:rsidRDefault="002C5129" w:rsidP="00604A1C">
            <w:pPr>
              <w:spacing w:after="0" w:line="240" w:lineRule="auto"/>
              <w:rPr>
                <w:rFonts w:ascii="Times New Roman" w:eastAsia="Times New Roman" w:hAnsi="Times New Roman" w:cs="Times New Roman"/>
                <w:lang w:val="nl-NL" w:eastAsia="nl-NL"/>
              </w:rPr>
            </w:pPr>
          </w:p>
        </w:tc>
      </w:tr>
      <w:tr w:rsidR="00604A1C" w:rsidRPr="00D52108" w14:paraId="195FAF3D" w14:textId="77777777" w:rsidTr="00604A1C">
        <w:trPr>
          <w:trHeight w:val="300"/>
        </w:trPr>
        <w:tc>
          <w:tcPr>
            <w:tcW w:w="960" w:type="dxa"/>
            <w:tcBorders>
              <w:top w:val="nil"/>
              <w:left w:val="nil"/>
              <w:bottom w:val="nil"/>
              <w:right w:val="nil"/>
            </w:tcBorders>
            <w:shd w:val="clear" w:color="auto" w:fill="auto"/>
            <w:noWrap/>
            <w:vAlign w:val="bottom"/>
            <w:hideMark/>
          </w:tcPr>
          <w:p w14:paraId="74353917"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440" w:type="dxa"/>
            <w:tcBorders>
              <w:top w:val="nil"/>
              <w:left w:val="nil"/>
              <w:bottom w:val="nil"/>
              <w:right w:val="nil"/>
            </w:tcBorders>
            <w:shd w:val="clear" w:color="auto" w:fill="auto"/>
            <w:noWrap/>
            <w:vAlign w:val="bottom"/>
            <w:hideMark/>
          </w:tcPr>
          <w:p w14:paraId="38DC156D"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200" w:type="dxa"/>
            <w:tcBorders>
              <w:top w:val="nil"/>
              <w:left w:val="nil"/>
              <w:bottom w:val="nil"/>
              <w:right w:val="nil"/>
            </w:tcBorders>
            <w:shd w:val="clear" w:color="auto" w:fill="auto"/>
            <w:noWrap/>
            <w:vAlign w:val="bottom"/>
            <w:hideMark/>
          </w:tcPr>
          <w:p w14:paraId="6E2EC9FE"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082" w:type="dxa"/>
            <w:tcBorders>
              <w:top w:val="nil"/>
              <w:left w:val="nil"/>
              <w:bottom w:val="nil"/>
              <w:right w:val="nil"/>
            </w:tcBorders>
            <w:shd w:val="clear" w:color="auto" w:fill="auto"/>
            <w:noWrap/>
            <w:vAlign w:val="bottom"/>
            <w:hideMark/>
          </w:tcPr>
          <w:p w14:paraId="1407F57C"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10615238"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009BDC5B"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044" w:type="dxa"/>
            <w:tcBorders>
              <w:top w:val="nil"/>
              <w:left w:val="nil"/>
              <w:bottom w:val="nil"/>
              <w:right w:val="nil"/>
            </w:tcBorders>
            <w:shd w:val="clear" w:color="auto" w:fill="auto"/>
            <w:noWrap/>
            <w:vAlign w:val="bottom"/>
            <w:hideMark/>
          </w:tcPr>
          <w:p w14:paraId="76613066"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098AB2BE"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28F7E171"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972" w:type="dxa"/>
            <w:tcBorders>
              <w:top w:val="nil"/>
              <w:left w:val="nil"/>
              <w:bottom w:val="nil"/>
              <w:right w:val="nil"/>
            </w:tcBorders>
            <w:shd w:val="clear" w:color="auto" w:fill="auto"/>
            <w:noWrap/>
            <w:vAlign w:val="bottom"/>
            <w:hideMark/>
          </w:tcPr>
          <w:p w14:paraId="48906B4A"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6770DB69"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6F9E29B4"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217" w:type="dxa"/>
            <w:tcBorders>
              <w:top w:val="nil"/>
              <w:left w:val="nil"/>
              <w:bottom w:val="nil"/>
              <w:right w:val="nil"/>
            </w:tcBorders>
            <w:shd w:val="clear" w:color="auto" w:fill="auto"/>
            <w:noWrap/>
            <w:vAlign w:val="bottom"/>
            <w:hideMark/>
          </w:tcPr>
          <w:p w14:paraId="21B2C113"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61A5B1EB"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2CA7712B"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800" w:type="dxa"/>
            <w:tcBorders>
              <w:top w:val="nil"/>
              <w:left w:val="nil"/>
              <w:bottom w:val="nil"/>
              <w:right w:val="nil"/>
            </w:tcBorders>
            <w:shd w:val="clear" w:color="auto" w:fill="auto"/>
            <w:noWrap/>
            <w:vAlign w:val="bottom"/>
            <w:hideMark/>
          </w:tcPr>
          <w:p w14:paraId="2EAD4E92"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49AC099C"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67F985F4"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860" w:type="dxa"/>
            <w:tcBorders>
              <w:top w:val="nil"/>
              <w:left w:val="nil"/>
              <w:bottom w:val="nil"/>
              <w:right w:val="nil"/>
            </w:tcBorders>
            <w:shd w:val="clear" w:color="auto" w:fill="auto"/>
            <w:noWrap/>
            <w:vAlign w:val="bottom"/>
            <w:hideMark/>
          </w:tcPr>
          <w:p w14:paraId="6A94CB23"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195" w:type="dxa"/>
            <w:tcBorders>
              <w:top w:val="nil"/>
              <w:left w:val="nil"/>
              <w:bottom w:val="nil"/>
              <w:right w:val="nil"/>
            </w:tcBorders>
            <w:shd w:val="clear" w:color="auto" w:fill="auto"/>
            <w:noWrap/>
            <w:vAlign w:val="bottom"/>
            <w:hideMark/>
          </w:tcPr>
          <w:p w14:paraId="6941F453"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200" w:type="dxa"/>
            <w:tcBorders>
              <w:top w:val="nil"/>
              <w:left w:val="nil"/>
              <w:bottom w:val="nil"/>
              <w:right w:val="nil"/>
            </w:tcBorders>
            <w:shd w:val="clear" w:color="auto" w:fill="auto"/>
            <w:noWrap/>
            <w:vAlign w:val="bottom"/>
            <w:hideMark/>
          </w:tcPr>
          <w:p w14:paraId="22470299"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c>
          <w:tcPr>
            <w:tcW w:w="960" w:type="dxa"/>
            <w:tcBorders>
              <w:top w:val="nil"/>
              <w:left w:val="nil"/>
              <w:bottom w:val="nil"/>
              <w:right w:val="nil"/>
            </w:tcBorders>
            <w:shd w:val="clear" w:color="auto" w:fill="auto"/>
            <w:noWrap/>
            <w:vAlign w:val="bottom"/>
            <w:hideMark/>
          </w:tcPr>
          <w:p w14:paraId="193B7762" w14:textId="77777777" w:rsidR="002C5129" w:rsidRPr="00D52108" w:rsidRDefault="002C5129" w:rsidP="00604A1C">
            <w:pPr>
              <w:spacing w:after="0" w:line="240" w:lineRule="auto"/>
              <w:rPr>
                <w:rFonts w:ascii="Times New Roman" w:eastAsia="Times New Roman" w:hAnsi="Times New Roman" w:cs="Times New Roman"/>
                <w:sz w:val="20"/>
                <w:szCs w:val="20"/>
                <w:lang w:val="nl-NL" w:eastAsia="nl-NL"/>
              </w:rPr>
            </w:pPr>
          </w:p>
        </w:tc>
      </w:tr>
    </w:tbl>
    <w:p w14:paraId="459F9E46" w14:textId="100989F8" w:rsidR="00604A1C" w:rsidRDefault="002C5129" w:rsidP="00461FBF">
      <w:pPr>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b/>
          <w:color w:val="000000"/>
          <w:lang w:val="en-US" w:eastAsia="nl-NL"/>
        </w:rPr>
        <w:t>Table 1A</w:t>
      </w:r>
      <w:r w:rsidR="00604A1C">
        <w:rPr>
          <w:rFonts w:ascii="Times New Roman" w:eastAsia="Times New Roman" w:hAnsi="Times New Roman" w:cs="Times New Roman"/>
          <w:b/>
          <w:color w:val="000000"/>
          <w:lang w:val="en-US" w:eastAsia="nl-NL"/>
        </w:rPr>
        <w:t>:</w:t>
      </w:r>
      <w:r w:rsidRPr="00F32693">
        <w:rPr>
          <w:rFonts w:ascii="Times New Roman" w:eastAsia="Times New Roman" w:hAnsi="Times New Roman" w:cs="Times New Roman"/>
          <w:color w:val="000000"/>
          <w:lang w:val="en-US" w:eastAsia="nl-NL"/>
        </w:rPr>
        <w:t xml:space="preserve">  Average incidence per 10,000 person-years of subsequent fracture</w:t>
      </w:r>
      <w:r>
        <w:rPr>
          <w:rFonts w:ascii="Times New Roman" w:eastAsia="Times New Roman" w:hAnsi="Times New Roman" w:cs="Times New Roman"/>
          <w:color w:val="000000"/>
          <w:lang w:val="en-US" w:eastAsia="nl-NL"/>
        </w:rPr>
        <w:t xml:space="preserve"> </w:t>
      </w:r>
      <w:r w:rsidRPr="00F32693">
        <w:rPr>
          <w:rFonts w:ascii="Times New Roman" w:eastAsia="Times New Roman" w:hAnsi="Times New Roman" w:cs="Times New Roman"/>
          <w:color w:val="000000"/>
          <w:lang w:val="nl-NL" w:eastAsia="nl-NL"/>
        </w:rPr>
        <w:t xml:space="preserve">from 1990- 2012 in men aged 50+ years. </w:t>
      </w:r>
    </w:p>
    <w:p w14:paraId="4B83881C" w14:textId="77777777" w:rsidR="00604A1C" w:rsidRDefault="00604A1C" w:rsidP="00461FBF">
      <w:pPr>
        <w:rPr>
          <w:rFonts w:ascii="Times New Roman" w:eastAsia="Times New Roman" w:hAnsi="Times New Roman" w:cs="Times New Roman"/>
          <w:color w:val="000000"/>
          <w:lang w:val="nl-NL" w:eastAsia="nl-NL"/>
        </w:rPr>
      </w:pPr>
    </w:p>
    <w:p w14:paraId="33179F68" w14:textId="0F419D04" w:rsidR="00EE0923" w:rsidRDefault="002C5129" w:rsidP="00461FBF">
      <w:pPr>
        <w:rPr>
          <w:rFonts w:ascii="Times New Roman" w:hAnsi="Times New Roman" w:cs="Times New Roman"/>
          <w:sz w:val="24"/>
          <w:szCs w:val="24"/>
          <w:lang w:val="en-US"/>
        </w:rPr>
      </w:pPr>
      <w:r w:rsidDel="002C5129">
        <w:rPr>
          <w:rFonts w:ascii="Times New Roman" w:hAnsi="Times New Roman" w:cs="Times New Roman"/>
          <w:sz w:val="24"/>
        </w:rPr>
        <w:t xml:space="preserve"> </w:t>
      </w:r>
      <w:r w:rsidR="00C81421" w:rsidRPr="00655509">
        <w:rPr>
          <w:rFonts w:ascii="Times New Roman" w:hAnsi="Times New Roman" w:cs="Times New Roman"/>
          <w:sz w:val="24"/>
          <w:szCs w:val="24"/>
          <w:vertAlign w:val="superscript"/>
          <w:lang w:val="en-US"/>
        </w:rPr>
        <w:t>a:</w:t>
      </w:r>
      <w:r w:rsidR="00C81421">
        <w:rPr>
          <w:rFonts w:ascii="Times New Roman" w:hAnsi="Times New Roman" w:cs="Times New Roman"/>
          <w:sz w:val="24"/>
          <w:szCs w:val="24"/>
          <w:lang w:val="en-US"/>
        </w:rPr>
        <w:t xml:space="preserve"> the number of fractures was too few to calculate meaningful incidence rates.</w:t>
      </w:r>
    </w:p>
    <w:p w14:paraId="5AD39B97" w14:textId="0304CCFF" w:rsidR="00EE0923" w:rsidRDefault="00EE0923" w:rsidP="00461FBF">
      <w:pPr>
        <w:rPr>
          <w:rFonts w:ascii="Times New Roman" w:hAnsi="Times New Roman" w:cs="Times New Roman"/>
          <w:sz w:val="24"/>
          <w:szCs w:val="24"/>
          <w:lang w:val="en-US"/>
        </w:rPr>
      </w:pPr>
    </w:p>
    <w:p w14:paraId="6A38FDA5" w14:textId="276786D3" w:rsidR="00EE0923" w:rsidRDefault="00EE0923" w:rsidP="00461FBF">
      <w:pPr>
        <w:rPr>
          <w:rFonts w:ascii="Times New Roman" w:hAnsi="Times New Roman" w:cs="Times New Roman"/>
          <w:sz w:val="24"/>
          <w:szCs w:val="24"/>
          <w:lang w:val="en-US"/>
        </w:rPr>
      </w:pPr>
    </w:p>
    <w:p w14:paraId="49AC1C00" w14:textId="6ABB138C" w:rsidR="00EE0923" w:rsidRDefault="00EE0923" w:rsidP="00461FBF">
      <w:pPr>
        <w:rPr>
          <w:rFonts w:ascii="Times New Roman" w:hAnsi="Times New Roman" w:cs="Times New Roman"/>
          <w:sz w:val="24"/>
          <w:szCs w:val="24"/>
          <w:lang w:val="en-US"/>
        </w:rPr>
      </w:pPr>
    </w:p>
    <w:p w14:paraId="25E9E31D" w14:textId="18BA8FAD" w:rsidR="00EE0923" w:rsidRDefault="00EE0923" w:rsidP="00461FBF">
      <w:pPr>
        <w:rPr>
          <w:rFonts w:ascii="Times New Roman" w:hAnsi="Times New Roman" w:cs="Times New Roman"/>
          <w:sz w:val="24"/>
          <w:szCs w:val="24"/>
          <w:lang w:val="en-US"/>
        </w:rPr>
      </w:pPr>
    </w:p>
    <w:p w14:paraId="4826A5E8" w14:textId="0DB788C1" w:rsidR="00EE0923" w:rsidRDefault="00EE0923" w:rsidP="00461FBF">
      <w:pPr>
        <w:rPr>
          <w:rFonts w:ascii="Times New Roman" w:hAnsi="Times New Roman" w:cs="Times New Roman"/>
          <w:sz w:val="24"/>
          <w:szCs w:val="24"/>
          <w:lang w:val="en-US"/>
        </w:rPr>
      </w:pPr>
    </w:p>
    <w:p w14:paraId="550614ED" w14:textId="1A7865ED" w:rsidR="002C5129" w:rsidRDefault="002C512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7EB0280" w14:textId="249F9BCE" w:rsidR="00EE0923" w:rsidRDefault="002C5129" w:rsidP="00461FBF">
      <w:pPr>
        <w:rPr>
          <w:rFonts w:ascii="Times New Roman" w:hAnsi="Times New Roman" w:cs="Times New Roman"/>
          <w:sz w:val="24"/>
          <w:szCs w:val="24"/>
          <w:lang w:val="en-US"/>
        </w:rPr>
      </w:pPr>
      <w:r w:rsidRPr="00655509">
        <w:rPr>
          <w:rFonts w:ascii="Times New Roman" w:eastAsia="Times New Roman" w:hAnsi="Times New Roman" w:cs="Times New Roman"/>
          <w:b/>
          <w:color w:val="000000"/>
          <w:lang w:val="en-US" w:eastAsia="nl-NL"/>
        </w:rPr>
        <w:t>Table 1B</w:t>
      </w:r>
      <w:r>
        <w:rPr>
          <w:rFonts w:ascii="Times New Roman" w:eastAsia="Times New Roman" w:hAnsi="Times New Roman" w:cs="Times New Roman"/>
          <w:color w:val="000000"/>
          <w:lang w:val="en-US" w:eastAsia="nl-NL"/>
        </w:rPr>
        <w:t>:</w:t>
      </w:r>
      <w:r w:rsidRPr="004F3EED">
        <w:rPr>
          <w:rFonts w:ascii="Times New Roman" w:eastAsia="Times New Roman" w:hAnsi="Times New Roman" w:cs="Times New Roman"/>
          <w:color w:val="000000"/>
          <w:lang w:val="en-US" w:eastAsia="nl-NL"/>
        </w:rPr>
        <w:t xml:space="preserve">  Average incidence per 10,000 person-years of subsequent fracture</w:t>
      </w:r>
      <w:r>
        <w:rPr>
          <w:rFonts w:ascii="Times New Roman" w:eastAsia="Times New Roman" w:hAnsi="Times New Roman" w:cs="Times New Roman"/>
          <w:color w:val="000000"/>
          <w:lang w:val="en-US" w:eastAsia="nl-NL"/>
        </w:rPr>
        <w:t xml:space="preserve"> </w:t>
      </w:r>
      <w:r w:rsidRPr="004F3EED">
        <w:rPr>
          <w:rFonts w:ascii="Times New Roman" w:eastAsia="Times New Roman" w:hAnsi="Times New Roman" w:cs="Times New Roman"/>
          <w:color w:val="000000"/>
          <w:lang w:val="nl-NL" w:eastAsia="nl-NL"/>
        </w:rPr>
        <w:t>from 1990- 2012 in women aged 50+ years.</w:t>
      </w:r>
    </w:p>
    <w:tbl>
      <w:tblPr>
        <w:tblW w:w="11880" w:type="dxa"/>
        <w:tblInd w:w="-1400" w:type="dxa"/>
        <w:tblCellMar>
          <w:left w:w="70" w:type="dxa"/>
          <w:right w:w="70" w:type="dxa"/>
        </w:tblCellMar>
        <w:tblLook w:val="04A0" w:firstRow="1" w:lastRow="0" w:firstColumn="1" w:lastColumn="0" w:noHBand="0" w:noVBand="1"/>
      </w:tblPr>
      <w:tblGrid>
        <w:gridCol w:w="960"/>
        <w:gridCol w:w="1440"/>
        <w:gridCol w:w="200"/>
        <w:gridCol w:w="1082"/>
        <w:gridCol w:w="195"/>
        <w:gridCol w:w="195"/>
        <w:gridCol w:w="1044"/>
        <w:gridCol w:w="195"/>
        <w:gridCol w:w="195"/>
        <w:gridCol w:w="972"/>
        <w:gridCol w:w="195"/>
        <w:gridCol w:w="195"/>
        <w:gridCol w:w="1217"/>
        <w:gridCol w:w="195"/>
        <w:gridCol w:w="195"/>
        <w:gridCol w:w="800"/>
        <w:gridCol w:w="195"/>
        <w:gridCol w:w="195"/>
        <w:gridCol w:w="860"/>
        <w:gridCol w:w="195"/>
        <w:gridCol w:w="200"/>
        <w:gridCol w:w="960"/>
      </w:tblGrid>
      <w:tr w:rsidR="00D52108" w:rsidRPr="002C5129" w14:paraId="10D2405B" w14:textId="77777777" w:rsidTr="00655509">
        <w:trPr>
          <w:trHeight w:val="300"/>
        </w:trPr>
        <w:tc>
          <w:tcPr>
            <w:tcW w:w="960" w:type="dxa"/>
            <w:tcBorders>
              <w:top w:val="nil"/>
              <w:left w:val="nil"/>
              <w:bottom w:val="nil"/>
              <w:right w:val="nil"/>
            </w:tcBorders>
            <w:shd w:val="clear" w:color="auto" w:fill="auto"/>
            <w:noWrap/>
            <w:vAlign w:val="bottom"/>
            <w:hideMark/>
          </w:tcPr>
          <w:p w14:paraId="1ACDB1B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602664AF"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3BF16CCF"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82" w:type="dxa"/>
            <w:tcBorders>
              <w:top w:val="nil"/>
              <w:left w:val="nil"/>
              <w:bottom w:val="nil"/>
              <w:right w:val="nil"/>
            </w:tcBorders>
            <w:shd w:val="clear" w:color="auto" w:fill="auto"/>
            <w:noWrap/>
            <w:vAlign w:val="bottom"/>
            <w:hideMark/>
          </w:tcPr>
          <w:p w14:paraId="37E815D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D9BC93A"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C839F4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2081F4CF"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4995B67"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A544CB7"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0F10019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418DF87"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94445A9"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4B315BE8"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F9FA25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A23628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6A88CCF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D2BB802"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13EF8DF"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57DE5C2D"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8830A09"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2624AD0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680E8A08"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32CBD55B" w14:textId="77777777" w:rsidTr="00655509">
        <w:trPr>
          <w:trHeight w:val="315"/>
        </w:trPr>
        <w:tc>
          <w:tcPr>
            <w:tcW w:w="960" w:type="dxa"/>
            <w:tcBorders>
              <w:top w:val="nil"/>
              <w:left w:val="nil"/>
              <w:bottom w:val="nil"/>
              <w:right w:val="nil"/>
            </w:tcBorders>
            <w:shd w:val="clear" w:color="auto" w:fill="auto"/>
            <w:noWrap/>
            <w:vAlign w:val="bottom"/>
            <w:hideMark/>
          </w:tcPr>
          <w:p w14:paraId="6CFBA8AA"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single" w:sz="12" w:space="0" w:color="auto"/>
              <w:right w:val="nil"/>
            </w:tcBorders>
            <w:shd w:val="clear" w:color="auto" w:fill="auto"/>
            <w:noWrap/>
            <w:vAlign w:val="bottom"/>
            <w:hideMark/>
          </w:tcPr>
          <w:p w14:paraId="0D82782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200" w:type="dxa"/>
            <w:tcBorders>
              <w:top w:val="nil"/>
              <w:left w:val="nil"/>
              <w:bottom w:val="single" w:sz="12" w:space="0" w:color="auto"/>
              <w:right w:val="nil"/>
            </w:tcBorders>
            <w:shd w:val="clear" w:color="auto" w:fill="auto"/>
            <w:noWrap/>
            <w:vAlign w:val="bottom"/>
            <w:hideMark/>
          </w:tcPr>
          <w:p w14:paraId="6147FCF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082" w:type="dxa"/>
            <w:tcBorders>
              <w:top w:val="nil"/>
              <w:left w:val="nil"/>
              <w:bottom w:val="single" w:sz="12" w:space="0" w:color="auto"/>
              <w:right w:val="nil"/>
            </w:tcBorders>
            <w:shd w:val="clear" w:color="auto" w:fill="auto"/>
            <w:noWrap/>
            <w:vAlign w:val="bottom"/>
            <w:hideMark/>
          </w:tcPr>
          <w:p w14:paraId="21C10559"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4F6EAD9"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F9C2D3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044" w:type="dxa"/>
            <w:tcBorders>
              <w:top w:val="nil"/>
              <w:left w:val="nil"/>
              <w:bottom w:val="single" w:sz="12" w:space="0" w:color="auto"/>
              <w:right w:val="nil"/>
            </w:tcBorders>
            <w:shd w:val="clear" w:color="auto" w:fill="auto"/>
            <w:noWrap/>
            <w:vAlign w:val="bottom"/>
            <w:hideMark/>
          </w:tcPr>
          <w:p w14:paraId="757EB10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1859450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33BA43CF"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972" w:type="dxa"/>
            <w:tcBorders>
              <w:top w:val="nil"/>
              <w:left w:val="nil"/>
              <w:bottom w:val="single" w:sz="12" w:space="0" w:color="auto"/>
              <w:right w:val="nil"/>
            </w:tcBorders>
            <w:shd w:val="clear" w:color="auto" w:fill="auto"/>
            <w:noWrap/>
            <w:vAlign w:val="bottom"/>
            <w:hideMark/>
          </w:tcPr>
          <w:p w14:paraId="0BC8385D"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1B270B4C"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43E92F5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217" w:type="dxa"/>
            <w:tcBorders>
              <w:top w:val="nil"/>
              <w:left w:val="nil"/>
              <w:bottom w:val="single" w:sz="12" w:space="0" w:color="auto"/>
              <w:right w:val="nil"/>
            </w:tcBorders>
            <w:shd w:val="clear" w:color="auto" w:fill="auto"/>
            <w:noWrap/>
            <w:vAlign w:val="bottom"/>
            <w:hideMark/>
          </w:tcPr>
          <w:p w14:paraId="63C9D014"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5040874D"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56936E5C"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800" w:type="dxa"/>
            <w:tcBorders>
              <w:top w:val="nil"/>
              <w:left w:val="nil"/>
              <w:bottom w:val="single" w:sz="12" w:space="0" w:color="auto"/>
              <w:right w:val="nil"/>
            </w:tcBorders>
            <w:shd w:val="clear" w:color="auto" w:fill="auto"/>
            <w:noWrap/>
            <w:vAlign w:val="bottom"/>
            <w:hideMark/>
          </w:tcPr>
          <w:p w14:paraId="70FDB40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4FEFA2D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3747048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860" w:type="dxa"/>
            <w:tcBorders>
              <w:top w:val="nil"/>
              <w:left w:val="nil"/>
              <w:bottom w:val="single" w:sz="12" w:space="0" w:color="auto"/>
              <w:right w:val="nil"/>
            </w:tcBorders>
            <w:shd w:val="clear" w:color="auto" w:fill="auto"/>
            <w:noWrap/>
            <w:vAlign w:val="bottom"/>
            <w:hideMark/>
          </w:tcPr>
          <w:p w14:paraId="3A854A2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267B240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5D21A9D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6F7D3E4C"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58717934" w14:textId="77777777" w:rsidTr="00655509">
        <w:trPr>
          <w:trHeight w:val="330"/>
        </w:trPr>
        <w:tc>
          <w:tcPr>
            <w:tcW w:w="960" w:type="dxa"/>
            <w:tcBorders>
              <w:top w:val="nil"/>
              <w:left w:val="nil"/>
              <w:bottom w:val="nil"/>
              <w:right w:val="nil"/>
            </w:tcBorders>
            <w:shd w:val="clear" w:color="auto" w:fill="auto"/>
            <w:noWrap/>
            <w:vAlign w:val="bottom"/>
            <w:hideMark/>
          </w:tcPr>
          <w:p w14:paraId="50C4E5B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565" w:type="dxa"/>
            <w:gridSpan w:val="18"/>
            <w:tcBorders>
              <w:top w:val="nil"/>
              <w:left w:val="nil"/>
              <w:bottom w:val="nil"/>
              <w:right w:val="nil"/>
            </w:tcBorders>
            <w:shd w:val="clear" w:color="auto" w:fill="auto"/>
            <w:noWrap/>
            <w:vAlign w:val="bottom"/>
            <w:hideMark/>
          </w:tcPr>
          <w:p w14:paraId="2CAC84C7" w14:textId="63315032"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716E991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3AF3D62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376C7FD9"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77592F80" w14:textId="77777777" w:rsidTr="00655509">
        <w:trPr>
          <w:trHeight w:val="330"/>
        </w:trPr>
        <w:tc>
          <w:tcPr>
            <w:tcW w:w="960" w:type="dxa"/>
            <w:tcBorders>
              <w:top w:val="nil"/>
              <w:left w:val="nil"/>
              <w:bottom w:val="nil"/>
              <w:right w:val="nil"/>
            </w:tcBorders>
            <w:shd w:val="clear" w:color="auto" w:fill="auto"/>
            <w:noWrap/>
            <w:vAlign w:val="bottom"/>
            <w:hideMark/>
          </w:tcPr>
          <w:p w14:paraId="1443A3C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5518" w:type="dxa"/>
            <w:gridSpan w:val="9"/>
            <w:tcBorders>
              <w:top w:val="nil"/>
              <w:left w:val="nil"/>
              <w:bottom w:val="single" w:sz="8" w:space="0" w:color="auto"/>
              <w:right w:val="nil"/>
            </w:tcBorders>
            <w:shd w:val="clear" w:color="auto" w:fill="auto"/>
            <w:noWrap/>
            <w:vAlign w:val="bottom"/>
            <w:hideMark/>
          </w:tcPr>
          <w:p w14:paraId="01EE9B48" w14:textId="102071CE" w:rsidR="00D52108" w:rsidRPr="00655509" w:rsidRDefault="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xml:space="preserve"> </w:t>
            </w:r>
          </w:p>
        </w:tc>
        <w:tc>
          <w:tcPr>
            <w:tcW w:w="195" w:type="dxa"/>
            <w:tcBorders>
              <w:top w:val="nil"/>
              <w:left w:val="nil"/>
              <w:bottom w:val="single" w:sz="8" w:space="0" w:color="auto"/>
              <w:right w:val="nil"/>
            </w:tcBorders>
            <w:shd w:val="clear" w:color="auto" w:fill="auto"/>
            <w:noWrap/>
            <w:vAlign w:val="bottom"/>
            <w:hideMark/>
          </w:tcPr>
          <w:p w14:paraId="39C7BD0C"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3EAC4F6D"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217" w:type="dxa"/>
            <w:tcBorders>
              <w:top w:val="nil"/>
              <w:left w:val="nil"/>
              <w:bottom w:val="single" w:sz="8" w:space="0" w:color="auto"/>
              <w:right w:val="nil"/>
            </w:tcBorders>
            <w:shd w:val="clear" w:color="auto" w:fill="auto"/>
            <w:noWrap/>
            <w:vAlign w:val="bottom"/>
            <w:hideMark/>
          </w:tcPr>
          <w:p w14:paraId="736FDFD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25EA18E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20C98CB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800" w:type="dxa"/>
            <w:tcBorders>
              <w:top w:val="nil"/>
              <w:left w:val="nil"/>
              <w:bottom w:val="single" w:sz="8" w:space="0" w:color="auto"/>
              <w:right w:val="nil"/>
            </w:tcBorders>
            <w:shd w:val="clear" w:color="auto" w:fill="auto"/>
            <w:noWrap/>
            <w:vAlign w:val="bottom"/>
            <w:hideMark/>
          </w:tcPr>
          <w:p w14:paraId="6F28108F"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6F10341C"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5BAC013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860" w:type="dxa"/>
            <w:tcBorders>
              <w:top w:val="nil"/>
              <w:left w:val="nil"/>
              <w:bottom w:val="single" w:sz="8" w:space="0" w:color="auto"/>
              <w:right w:val="nil"/>
            </w:tcBorders>
            <w:shd w:val="clear" w:color="auto" w:fill="auto"/>
            <w:noWrap/>
            <w:vAlign w:val="bottom"/>
            <w:hideMark/>
          </w:tcPr>
          <w:p w14:paraId="70B8971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748938F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4F5ABC2F"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66F2454B"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38738C4B" w14:textId="77777777" w:rsidTr="00655509">
        <w:trPr>
          <w:trHeight w:val="315"/>
        </w:trPr>
        <w:tc>
          <w:tcPr>
            <w:tcW w:w="960" w:type="dxa"/>
            <w:tcBorders>
              <w:top w:val="nil"/>
              <w:left w:val="nil"/>
              <w:bottom w:val="nil"/>
              <w:right w:val="nil"/>
            </w:tcBorders>
            <w:shd w:val="clear" w:color="auto" w:fill="auto"/>
            <w:noWrap/>
            <w:vAlign w:val="bottom"/>
            <w:hideMark/>
          </w:tcPr>
          <w:p w14:paraId="338038DD"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5912376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2AE417FA"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82" w:type="dxa"/>
            <w:tcBorders>
              <w:top w:val="nil"/>
              <w:left w:val="nil"/>
              <w:bottom w:val="single" w:sz="8" w:space="0" w:color="auto"/>
              <w:right w:val="nil"/>
            </w:tcBorders>
            <w:shd w:val="clear" w:color="auto" w:fill="auto"/>
            <w:noWrap/>
            <w:vAlign w:val="bottom"/>
            <w:hideMark/>
          </w:tcPr>
          <w:p w14:paraId="0B78961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2C22695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3F2EF90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044" w:type="dxa"/>
            <w:tcBorders>
              <w:top w:val="nil"/>
              <w:left w:val="nil"/>
              <w:bottom w:val="single" w:sz="8" w:space="0" w:color="auto"/>
              <w:right w:val="nil"/>
            </w:tcBorders>
            <w:shd w:val="clear" w:color="auto" w:fill="auto"/>
            <w:noWrap/>
            <w:vAlign w:val="bottom"/>
            <w:hideMark/>
          </w:tcPr>
          <w:p w14:paraId="0815638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4159" w:type="dxa"/>
            <w:gridSpan w:val="9"/>
            <w:tcBorders>
              <w:top w:val="nil"/>
              <w:left w:val="nil"/>
              <w:bottom w:val="single" w:sz="8" w:space="0" w:color="auto"/>
              <w:right w:val="nil"/>
            </w:tcBorders>
            <w:shd w:val="clear" w:color="auto" w:fill="auto"/>
            <w:noWrap/>
            <w:vAlign w:val="bottom"/>
            <w:hideMark/>
          </w:tcPr>
          <w:p w14:paraId="3797286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xml:space="preserve">   </w:t>
            </w:r>
            <w:r w:rsidRPr="00655509">
              <w:rPr>
                <w:rFonts w:ascii="Times New Roman" w:eastAsia="Times New Roman" w:hAnsi="Times New Roman" w:cs="Times New Roman"/>
                <w:b/>
                <w:bCs/>
                <w:color w:val="000000"/>
                <w:lang w:val="nl-NL" w:eastAsia="nl-NL"/>
              </w:rPr>
              <w:t>Subsequent fracture</w:t>
            </w:r>
          </w:p>
        </w:tc>
        <w:tc>
          <w:tcPr>
            <w:tcW w:w="195" w:type="dxa"/>
            <w:tcBorders>
              <w:top w:val="nil"/>
              <w:left w:val="nil"/>
              <w:bottom w:val="single" w:sz="8" w:space="0" w:color="auto"/>
              <w:right w:val="nil"/>
            </w:tcBorders>
            <w:shd w:val="clear" w:color="auto" w:fill="auto"/>
            <w:noWrap/>
            <w:vAlign w:val="bottom"/>
            <w:hideMark/>
          </w:tcPr>
          <w:p w14:paraId="3CF5B768"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3989EF44"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860" w:type="dxa"/>
            <w:tcBorders>
              <w:top w:val="nil"/>
              <w:left w:val="nil"/>
              <w:bottom w:val="single" w:sz="8" w:space="0" w:color="auto"/>
              <w:right w:val="nil"/>
            </w:tcBorders>
            <w:shd w:val="clear" w:color="auto" w:fill="auto"/>
            <w:noWrap/>
            <w:vAlign w:val="bottom"/>
            <w:hideMark/>
          </w:tcPr>
          <w:p w14:paraId="7BACDF69"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8" w:space="0" w:color="auto"/>
              <w:right w:val="nil"/>
            </w:tcBorders>
            <w:shd w:val="clear" w:color="auto" w:fill="auto"/>
            <w:noWrap/>
            <w:vAlign w:val="bottom"/>
            <w:hideMark/>
          </w:tcPr>
          <w:p w14:paraId="3203CBF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56B3755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3DA9DC4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EE3900" w:rsidRPr="002C5129" w14:paraId="3A132A28" w14:textId="77777777" w:rsidTr="002C5129">
        <w:trPr>
          <w:trHeight w:val="315"/>
        </w:trPr>
        <w:tc>
          <w:tcPr>
            <w:tcW w:w="960" w:type="dxa"/>
            <w:tcBorders>
              <w:top w:val="nil"/>
              <w:left w:val="nil"/>
              <w:bottom w:val="nil"/>
              <w:right w:val="nil"/>
            </w:tcBorders>
            <w:shd w:val="clear" w:color="auto" w:fill="auto"/>
            <w:noWrap/>
            <w:vAlign w:val="bottom"/>
            <w:hideMark/>
          </w:tcPr>
          <w:p w14:paraId="43D9FB8D"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single" w:sz="8" w:space="0" w:color="auto"/>
              <w:right w:val="nil"/>
            </w:tcBorders>
            <w:shd w:val="clear" w:color="auto" w:fill="auto"/>
            <w:noWrap/>
            <w:vAlign w:val="bottom"/>
            <w:hideMark/>
          </w:tcPr>
          <w:p w14:paraId="1C94360D"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Index fracture</w:t>
            </w:r>
          </w:p>
        </w:tc>
        <w:tc>
          <w:tcPr>
            <w:tcW w:w="200" w:type="dxa"/>
            <w:tcBorders>
              <w:top w:val="nil"/>
              <w:left w:val="nil"/>
              <w:bottom w:val="nil"/>
              <w:right w:val="nil"/>
            </w:tcBorders>
            <w:shd w:val="clear" w:color="auto" w:fill="auto"/>
            <w:noWrap/>
            <w:vAlign w:val="bottom"/>
            <w:hideMark/>
          </w:tcPr>
          <w:p w14:paraId="7CEA64CA"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single" w:sz="8" w:space="0" w:color="auto"/>
              <w:right w:val="nil"/>
            </w:tcBorders>
            <w:shd w:val="clear" w:color="auto" w:fill="auto"/>
            <w:noWrap/>
            <w:vAlign w:val="bottom"/>
            <w:hideMark/>
          </w:tcPr>
          <w:p w14:paraId="472991F1"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hip/femur</w:t>
            </w:r>
          </w:p>
        </w:tc>
        <w:tc>
          <w:tcPr>
            <w:tcW w:w="195" w:type="dxa"/>
            <w:tcBorders>
              <w:top w:val="nil"/>
              <w:left w:val="nil"/>
              <w:bottom w:val="single" w:sz="8" w:space="0" w:color="auto"/>
              <w:right w:val="nil"/>
            </w:tcBorders>
            <w:shd w:val="clear" w:color="auto" w:fill="auto"/>
            <w:noWrap/>
            <w:vAlign w:val="bottom"/>
            <w:hideMark/>
          </w:tcPr>
          <w:p w14:paraId="20D0AE6F"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00C090AD"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044" w:type="dxa"/>
            <w:tcBorders>
              <w:top w:val="nil"/>
              <w:left w:val="nil"/>
              <w:bottom w:val="single" w:sz="8" w:space="0" w:color="auto"/>
              <w:right w:val="nil"/>
            </w:tcBorders>
            <w:shd w:val="clear" w:color="auto" w:fill="auto"/>
            <w:noWrap/>
            <w:vAlign w:val="bottom"/>
            <w:hideMark/>
          </w:tcPr>
          <w:p w14:paraId="767AE0BC"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vertebrae</w:t>
            </w:r>
          </w:p>
        </w:tc>
        <w:tc>
          <w:tcPr>
            <w:tcW w:w="195" w:type="dxa"/>
            <w:tcBorders>
              <w:top w:val="nil"/>
              <w:left w:val="nil"/>
              <w:bottom w:val="single" w:sz="8" w:space="0" w:color="auto"/>
              <w:right w:val="nil"/>
            </w:tcBorders>
            <w:shd w:val="clear" w:color="auto" w:fill="auto"/>
            <w:noWrap/>
            <w:vAlign w:val="bottom"/>
            <w:hideMark/>
          </w:tcPr>
          <w:p w14:paraId="630C8CB9"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737F875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972" w:type="dxa"/>
            <w:tcBorders>
              <w:top w:val="nil"/>
              <w:left w:val="nil"/>
              <w:bottom w:val="single" w:sz="8" w:space="0" w:color="auto"/>
              <w:right w:val="nil"/>
            </w:tcBorders>
            <w:shd w:val="clear" w:color="auto" w:fill="auto"/>
            <w:noWrap/>
            <w:vAlign w:val="bottom"/>
            <w:hideMark/>
          </w:tcPr>
          <w:p w14:paraId="7E77472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xml:space="preserve"> </w:t>
            </w:r>
            <w:r w:rsidRPr="00655509">
              <w:rPr>
                <w:rFonts w:ascii="Times New Roman" w:eastAsia="Times New Roman" w:hAnsi="Times New Roman" w:cs="Times New Roman"/>
                <w:b/>
                <w:bCs/>
                <w:color w:val="000000"/>
                <w:lang w:val="nl-NL" w:eastAsia="nl-NL"/>
              </w:rPr>
              <w:t>humerus</w:t>
            </w:r>
          </w:p>
        </w:tc>
        <w:tc>
          <w:tcPr>
            <w:tcW w:w="195" w:type="dxa"/>
            <w:tcBorders>
              <w:top w:val="nil"/>
              <w:left w:val="nil"/>
              <w:bottom w:val="single" w:sz="8" w:space="0" w:color="auto"/>
              <w:right w:val="nil"/>
            </w:tcBorders>
            <w:shd w:val="clear" w:color="auto" w:fill="auto"/>
            <w:noWrap/>
            <w:vAlign w:val="bottom"/>
            <w:hideMark/>
          </w:tcPr>
          <w:p w14:paraId="40F09E0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69EB0858"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217" w:type="dxa"/>
            <w:tcBorders>
              <w:top w:val="nil"/>
              <w:left w:val="nil"/>
              <w:bottom w:val="single" w:sz="8" w:space="0" w:color="auto"/>
              <w:right w:val="nil"/>
            </w:tcBorders>
            <w:shd w:val="clear" w:color="auto" w:fill="auto"/>
            <w:noWrap/>
            <w:vAlign w:val="bottom"/>
            <w:hideMark/>
          </w:tcPr>
          <w:p w14:paraId="78AC12B3"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radius/ulna</w:t>
            </w:r>
          </w:p>
        </w:tc>
        <w:tc>
          <w:tcPr>
            <w:tcW w:w="195" w:type="dxa"/>
            <w:tcBorders>
              <w:top w:val="nil"/>
              <w:left w:val="nil"/>
              <w:bottom w:val="single" w:sz="8" w:space="0" w:color="auto"/>
              <w:right w:val="nil"/>
            </w:tcBorders>
            <w:shd w:val="clear" w:color="auto" w:fill="auto"/>
            <w:noWrap/>
            <w:vAlign w:val="bottom"/>
            <w:hideMark/>
          </w:tcPr>
          <w:p w14:paraId="7C564B18"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158BD17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800" w:type="dxa"/>
            <w:tcBorders>
              <w:top w:val="nil"/>
              <w:left w:val="nil"/>
              <w:bottom w:val="single" w:sz="8" w:space="0" w:color="auto"/>
              <w:right w:val="nil"/>
            </w:tcBorders>
            <w:shd w:val="clear" w:color="auto" w:fill="auto"/>
            <w:noWrap/>
            <w:vAlign w:val="bottom"/>
            <w:hideMark/>
          </w:tcPr>
          <w:p w14:paraId="2FF0159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xml:space="preserve">  </w:t>
            </w:r>
            <w:r w:rsidRPr="00655509">
              <w:rPr>
                <w:rFonts w:ascii="Times New Roman" w:eastAsia="Times New Roman" w:hAnsi="Times New Roman" w:cs="Times New Roman"/>
                <w:b/>
                <w:bCs/>
                <w:color w:val="000000"/>
                <w:lang w:val="nl-NL" w:eastAsia="nl-NL"/>
              </w:rPr>
              <w:t>pelvis</w:t>
            </w:r>
          </w:p>
        </w:tc>
        <w:tc>
          <w:tcPr>
            <w:tcW w:w="195" w:type="dxa"/>
            <w:tcBorders>
              <w:top w:val="nil"/>
              <w:left w:val="nil"/>
              <w:bottom w:val="single" w:sz="8" w:space="0" w:color="auto"/>
              <w:right w:val="nil"/>
            </w:tcBorders>
            <w:shd w:val="clear" w:color="auto" w:fill="auto"/>
            <w:noWrap/>
            <w:vAlign w:val="bottom"/>
            <w:hideMark/>
          </w:tcPr>
          <w:p w14:paraId="28799E7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nil"/>
              <w:right w:val="nil"/>
            </w:tcBorders>
            <w:shd w:val="clear" w:color="auto" w:fill="auto"/>
            <w:noWrap/>
            <w:vAlign w:val="bottom"/>
            <w:hideMark/>
          </w:tcPr>
          <w:p w14:paraId="5CC04BA9"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860" w:type="dxa"/>
            <w:tcBorders>
              <w:top w:val="nil"/>
              <w:left w:val="nil"/>
              <w:bottom w:val="single" w:sz="8" w:space="0" w:color="auto"/>
              <w:right w:val="nil"/>
            </w:tcBorders>
            <w:shd w:val="clear" w:color="auto" w:fill="auto"/>
            <w:noWrap/>
            <w:vAlign w:val="bottom"/>
            <w:hideMark/>
          </w:tcPr>
          <w:p w14:paraId="582380D6" w14:textId="0F333D9C"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xml:space="preserve">  </w:t>
            </w:r>
            <w:r w:rsidRPr="00655509">
              <w:rPr>
                <w:rFonts w:ascii="Times New Roman" w:eastAsia="Times New Roman" w:hAnsi="Times New Roman" w:cs="Times New Roman"/>
                <w:b/>
                <w:bCs/>
                <w:color w:val="000000"/>
                <w:lang w:val="nl-NL" w:eastAsia="nl-NL"/>
              </w:rPr>
              <w:t>rib</w:t>
            </w:r>
          </w:p>
        </w:tc>
        <w:tc>
          <w:tcPr>
            <w:tcW w:w="195" w:type="dxa"/>
            <w:tcBorders>
              <w:top w:val="nil"/>
              <w:left w:val="nil"/>
              <w:bottom w:val="single" w:sz="8" w:space="0" w:color="auto"/>
              <w:right w:val="nil"/>
            </w:tcBorders>
            <w:shd w:val="clear" w:color="auto" w:fill="auto"/>
            <w:noWrap/>
            <w:vAlign w:val="bottom"/>
            <w:hideMark/>
          </w:tcPr>
          <w:p w14:paraId="651287E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12F493E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4BDB6088"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6DD3895C" w14:textId="77777777" w:rsidTr="00655509">
        <w:trPr>
          <w:trHeight w:val="300"/>
        </w:trPr>
        <w:tc>
          <w:tcPr>
            <w:tcW w:w="960" w:type="dxa"/>
            <w:tcBorders>
              <w:top w:val="nil"/>
              <w:left w:val="nil"/>
              <w:bottom w:val="nil"/>
              <w:right w:val="nil"/>
            </w:tcBorders>
            <w:shd w:val="clear" w:color="auto" w:fill="auto"/>
            <w:noWrap/>
            <w:vAlign w:val="bottom"/>
            <w:hideMark/>
          </w:tcPr>
          <w:p w14:paraId="0C4517D4"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51AFC494"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hip/femur</w:t>
            </w:r>
          </w:p>
        </w:tc>
        <w:tc>
          <w:tcPr>
            <w:tcW w:w="200" w:type="dxa"/>
            <w:tcBorders>
              <w:top w:val="nil"/>
              <w:left w:val="nil"/>
              <w:bottom w:val="nil"/>
              <w:right w:val="nil"/>
            </w:tcBorders>
            <w:shd w:val="clear" w:color="auto" w:fill="auto"/>
            <w:noWrap/>
            <w:vAlign w:val="bottom"/>
            <w:hideMark/>
          </w:tcPr>
          <w:p w14:paraId="5F15542E"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504B509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45E74B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6B04022"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1299464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44.5</w:t>
            </w:r>
          </w:p>
        </w:tc>
        <w:tc>
          <w:tcPr>
            <w:tcW w:w="195" w:type="dxa"/>
            <w:tcBorders>
              <w:top w:val="nil"/>
              <w:left w:val="nil"/>
              <w:bottom w:val="nil"/>
              <w:right w:val="nil"/>
            </w:tcBorders>
            <w:shd w:val="clear" w:color="auto" w:fill="auto"/>
            <w:noWrap/>
            <w:vAlign w:val="bottom"/>
            <w:hideMark/>
          </w:tcPr>
          <w:p w14:paraId="1D29B0D1"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6370FD0B"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00A874E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88.2</w:t>
            </w:r>
          </w:p>
        </w:tc>
        <w:tc>
          <w:tcPr>
            <w:tcW w:w="195" w:type="dxa"/>
            <w:tcBorders>
              <w:top w:val="nil"/>
              <w:left w:val="nil"/>
              <w:bottom w:val="nil"/>
              <w:right w:val="nil"/>
            </w:tcBorders>
            <w:shd w:val="clear" w:color="auto" w:fill="auto"/>
            <w:noWrap/>
            <w:vAlign w:val="bottom"/>
            <w:hideMark/>
          </w:tcPr>
          <w:p w14:paraId="5999769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6F67734B"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6EBEF3E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117.2</w:t>
            </w:r>
          </w:p>
        </w:tc>
        <w:tc>
          <w:tcPr>
            <w:tcW w:w="195" w:type="dxa"/>
            <w:tcBorders>
              <w:top w:val="nil"/>
              <w:left w:val="nil"/>
              <w:bottom w:val="nil"/>
              <w:right w:val="nil"/>
            </w:tcBorders>
            <w:shd w:val="clear" w:color="auto" w:fill="auto"/>
            <w:noWrap/>
            <w:vAlign w:val="bottom"/>
            <w:hideMark/>
          </w:tcPr>
          <w:p w14:paraId="2E9F3E2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2E21482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4DD9A0B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62.2</w:t>
            </w:r>
          </w:p>
        </w:tc>
        <w:tc>
          <w:tcPr>
            <w:tcW w:w="195" w:type="dxa"/>
            <w:tcBorders>
              <w:top w:val="nil"/>
              <w:left w:val="nil"/>
              <w:bottom w:val="nil"/>
              <w:right w:val="nil"/>
            </w:tcBorders>
            <w:shd w:val="clear" w:color="auto" w:fill="auto"/>
            <w:noWrap/>
            <w:vAlign w:val="bottom"/>
            <w:hideMark/>
          </w:tcPr>
          <w:p w14:paraId="30F6535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74E7C41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7A5A628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19.1</w:t>
            </w:r>
          </w:p>
        </w:tc>
        <w:tc>
          <w:tcPr>
            <w:tcW w:w="195" w:type="dxa"/>
            <w:tcBorders>
              <w:top w:val="nil"/>
              <w:left w:val="nil"/>
              <w:bottom w:val="nil"/>
              <w:right w:val="nil"/>
            </w:tcBorders>
            <w:shd w:val="clear" w:color="auto" w:fill="auto"/>
            <w:noWrap/>
            <w:vAlign w:val="bottom"/>
            <w:hideMark/>
          </w:tcPr>
          <w:p w14:paraId="7882831F"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41ED316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438C061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7E2E0803" w14:textId="77777777" w:rsidTr="00655509">
        <w:trPr>
          <w:trHeight w:val="300"/>
        </w:trPr>
        <w:tc>
          <w:tcPr>
            <w:tcW w:w="960" w:type="dxa"/>
            <w:tcBorders>
              <w:top w:val="nil"/>
              <w:left w:val="nil"/>
              <w:bottom w:val="nil"/>
              <w:right w:val="nil"/>
            </w:tcBorders>
            <w:shd w:val="clear" w:color="auto" w:fill="auto"/>
            <w:noWrap/>
            <w:vAlign w:val="bottom"/>
            <w:hideMark/>
          </w:tcPr>
          <w:p w14:paraId="67496DC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07065A85"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vertebrae</w:t>
            </w:r>
          </w:p>
        </w:tc>
        <w:tc>
          <w:tcPr>
            <w:tcW w:w="200" w:type="dxa"/>
            <w:tcBorders>
              <w:top w:val="nil"/>
              <w:left w:val="nil"/>
              <w:bottom w:val="nil"/>
              <w:right w:val="nil"/>
            </w:tcBorders>
            <w:shd w:val="clear" w:color="auto" w:fill="auto"/>
            <w:noWrap/>
            <w:vAlign w:val="bottom"/>
            <w:hideMark/>
          </w:tcPr>
          <w:p w14:paraId="19CB5C43"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299F35C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154.8</w:t>
            </w:r>
          </w:p>
        </w:tc>
        <w:tc>
          <w:tcPr>
            <w:tcW w:w="195" w:type="dxa"/>
            <w:tcBorders>
              <w:top w:val="nil"/>
              <w:left w:val="nil"/>
              <w:bottom w:val="nil"/>
              <w:right w:val="nil"/>
            </w:tcBorders>
            <w:shd w:val="clear" w:color="auto" w:fill="auto"/>
            <w:noWrap/>
            <w:vAlign w:val="bottom"/>
            <w:hideMark/>
          </w:tcPr>
          <w:p w14:paraId="5BDFF3E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99CDD7A"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51E9752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43F245F"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562F887"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40E5065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71.8</w:t>
            </w:r>
          </w:p>
        </w:tc>
        <w:tc>
          <w:tcPr>
            <w:tcW w:w="195" w:type="dxa"/>
            <w:tcBorders>
              <w:top w:val="nil"/>
              <w:left w:val="nil"/>
              <w:bottom w:val="nil"/>
              <w:right w:val="nil"/>
            </w:tcBorders>
            <w:shd w:val="clear" w:color="auto" w:fill="auto"/>
            <w:noWrap/>
            <w:vAlign w:val="bottom"/>
            <w:hideMark/>
          </w:tcPr>
          <w:p w14:paraId="2D322E4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79250884"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1CC4A3C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93.4</w:t>
            </w:r>
          </w:p>
        </w:tc>
        <w:tc>
          <w:tcPr>
            <w:tcW w:w="195" w:type="dxa"/>
            <w:tcBorders>
              <w:top w:val="nil"/>
              <w:left w:val="nil"/>
              <w:bottom w:val="nil"/>
              <w:right w:val="nil"/>
            </w:tcBorders>
            <w:shd w:val="clear" w:color="auto" w:fill="auto"/>
            <w:noWrap/>
            <w:vAlign w:val="bottom"/>
            <w:hideMark/>
          </w:tcPr>
          <w:p w14:paraId="3ECC75B1"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44CBE41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5CF90EB4"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58.6</w:t>
            </w:r>
          </w:p>
        </w:tc>
        <w:tc>
          <w:tcPr>
            <w:tcW w:w="195" w:type="dxa"/>
            <w:tcBorders>
              <w:top w:val="nil"/>
              <w:left w:val="nil"/>
              <w:bottom w:val="nil"/>
              <w:right w:val="nil"/>
            </w:tcBorders>
            <w:shd w:val="clear" w:color="auto" w:fill="auto"/>
            <w:noWrap/>
            <w:vAlign w:val="bottom"/>
            <w:hideMark/>
          </w:tcPr>
          <w:p w14:paraId="59B607E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758F93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6B5D687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37.9</w:t>
            </w:r>
          </w:p>
        </w:tc>
        <w:tc>
          <w:tcPr>
            <w:tcW w:w="195" w:type="dxa"/>
            <w:tcBorders>
              <w:top w:val="nil"/>
              <w:left w:val="nil"/>
              <w:bottom w:val="nil"/>
              <w:right w:val="nil"/>
            </w:tcBorders>
            <w:shd w:val="clear" w:color="auto" w:fill="auto"/>
            <w:noWrap/>
            <w:vAlign w:val="bottom"/>
            <w:hideMark/>
          </w:tcPr>
          <w:p w14:paraId="797E04A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72868ADB"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2E89F94F"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68A336F3" w14:textId="77777777" w:rsidTr="00655509">
        <w:trPr>
          <w:trHeight w:val="300"/>
        </w:trPr>
        <w:tc>
          <w:tcPr>
            <w:tcW w:w="960" w:type="dxa"/>
            <w:tcBorders>
              <w:top w:val="nil"/>
              <w:left w:val="nil"/>
              <w:bottom w:val="nil"/>
              <w:right w:val="nil"/>
            </w:tcBorders>
            <w:shd w:val="clear" w:color="auto" w:fill="auto"/>
            <w:noWrap/>
            <w:vAlign w:val="bottom"/>
            <w:hideMark/>
          </w:tcPr>
          <w:p w14:paraId="46F663C2"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755DEF4D"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humerus</w:t>
            </w:r>
          </w:p>
        </w:tc>
        <w:tc>
          <w:tcPr>
            <w:tcW w:w="200" w:type="dxa"/>
            <w:tcBorders>
              <w:top w:val="nil"/>
              <w:left w:val="nil"/>
              <w:bottom w:val="nil"/>
              <w:right w:val="nil"/>
            </w:tcBorders>
            <w:shd w:val="clear" w:color="auto" w:fill="auto"/>
            <w:noWrap/>
            <w:vAlign w:val="bottom"/>
            <w:hideMark/>
          </w:tcPr>
          <w:p w14:paraId="2FB25768"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67D0032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116.5</w:t>
            </w:r>
          </w:p>
        </w:tc>
        <w:tc>
          <w:tcPr>
            <w:tcW w:w="195" w:type="dxa"/>
            <w:tcBorders>
              <w:top w:val="nil"/>
              <w:left w:val="nil"/>
              <w:bottom w:val="nil"/>
              <w:right w:val="nil"/>
            </w:tcBorders>
            <w:shd w:val="clear" w:color="auto" w:fill="auto"/>
            <w:noWrap/>
            <w:vAlign w:val="bottom"/>
            <w:hideMark/>
          </w:tcPr>
          <w:p w14:paraId="3214D45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6423E9A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50C7546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36.3</w:t>
            </w:r>
          </w:p>
        </w:tc>
        <w:tc>
          <w:tcPr>
            <w:tcW w:w="195" w:type="dxa"/>
            <w:tcBorders>
              <w:top w:val="nil"/>
              <w:left w:val="nil"/>
              <w:bottom w:val="nil"/>
              <w:right w:val="nil"/>
            </w:tcBorders>
            <w:shd w:val="clear" w:color="auto" w:fill="auto"/>
            <w:noWrap/>
            <w:vAlign w:val="bottom"/>
            <w:hideMark/>
          </w:tcPr>
          <w:p w14:paraId="09FED29C"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0FE26B9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7C453253"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5A89124"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2ED4D6A4"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363B0CC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154.9</w:t>
            </w:r>
          </w:p>
        </w:tc>
        <w:tc>
          <w:tcPr>
            <w:tcW w:w="195" w:type="dxa"/>
            <w:tcBorders>
              <w:top w:val="nil"/>
              <w:left w:val="nil"/>
              <w:bottom w:val="nil"/>
              <w:right w:val="nil"/>
            </w:tcBorders>
            <w:shd w:val="clear" w:color="auto" w:fill="auto"/>
            <w:noWrap/>
            <w:vAlign w:val="bottom"/>
            <w:hideMark/>
          </w:tcPr>
          <w:p w14:paraId="1265CE71"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66AD759A"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278589C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29.5</w:t>
            </w:r>
          </w:p>
        </w:tc>
        <w:tc>
          <w:tcPr>
            <w:tcW w:w="195" w:type="dxa"/>
            <w:tcBorders>
              <w:top w:val="nil"/>
              <w:left w:val="nil"/>
              <w:bottom w:val="nil"/>
              <w:right w:val="nil"/>
            </w:tcBorders>
            <w:shd w:val="clear" w:color="auto" w:fill="auto"/>
            <w:noWrap/>
            <w:vAlign w:val="bottom"/>
            <w:hideMark/>
          </w:tcPr>
          <w:p w14:paraId="4902B82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085ED65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3951368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16.0</w:t>
            </w:r>
          </w:p>
        </w:tc>
        <w:tc>
          <w:tcPr>
            <w:tcW w:w="195" w:type="dxa"/>
            <w:tcBorders>
              <w:top w:val="nil"/>
              <w:left w:val="nil"/>
              <w:bottom w:val="nil"/>
              <w:right w:val="nil"/>
            </w:tcBorders>
            <w:shd w:val="clear" w:color="auto" w:fill="auto"/>
            <w:noWrap/>
            <w:vAlign w:val="bottom"/>
            <w:hideMark/>
          </w:tcPr>
          <w:p w14:paraId="7BA57CA1"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16AB3768"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417961A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5DF5A743" w14:textId="77777777" w:rsidTr="00655509">
        <w:trPr>
          <w:trHeight w:val="300"/>
        </w:trPr>
        <w:tc>
          <w:tcPr>
            <w:tcW w:w="960" w:type="dxa"/>
            <w:tcBorders>
              <w:top w:val="nil"/>
              <w:left w:val="nil"/>
              <w:bottom w:val="nil"/>
              <w:right w:val="nil"/>
            </w:tcBorders>
            <w:shd w:val="clear" w:color="auto" w:fill="auto"/>
            <w:noWrap/>
            <w:vAlign w:val="bottom"/>
            <w:hideMark/>
          </w:tcPr>
          <w:p w14:paraId="588003D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421FF060"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radius/ulna</w:t>
            </w:r>
          </w:p>
        </w:tc>
        <w:tc>
          <w:tcPr>
            <w:tcW w:w="200" w:type="dxa"/>
            <w:tcBorders>
              <w:top w:val="nil"/>
              <w:left w:val="nil"/>
              <w:bottom w:val="nil"/>
              <w:right w:val="nil"/>
            </w:tcBorders>
            <w:shd w:val="clear" w:color="auto" w:fill="auto"/>
            <w:noWrap/>
            <w:vAlign w:val="bottom"/>
            <w:hideMark/>
          </w:tcPr>
          <w:p w14:paraId="5E555F3A"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0C33116F"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82.4</w:t>
            </w:r>
          </w:p>
        </w:tc>
        <w:tc>
          <w:tcPr>
            <w:tcW w:w="195" w:type="dxa"/>
            <w:tcBorders>
              <w:top w:val="nil"/>
              <w:left w:val="nil"/>
              <w:bottom w:val="nil"/>
              <w:right w:val="nil"/>
            </w:tcBorders>
            <w:shd w:val="clear" w:color="auto" w:fill="auto"/>
            <w:noWrap/>
            <w:vAlign w:val="bottom"/>
            <w:hideMark/>
          </w:tcPr>
          <w:p w14:paraId="1E308F3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47F3EEAD"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741842A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27.4</w:t>
            </w:r>
          </w:p>
        </w:tc>
        <w:tc>
          <w:tcPr>
            <w:tcW w:w="195" w:type="dxa"/>
            <w:tcBorders>
              <w:top w:val="nil"/>
              <w:left w:val="nil"/>
              <w:bottom w:val="nil"/>
              <w:right w:val="nil"/>
            </w:tcBorders>
            <w:shd w:val="clear" w:color="auto" w:fill="auto"/>
            <w:noWrap/>
            <w:vAlign w:val="bottom"/>
            <w:hideMark/>
          </w:tcPr>
          <w:p w14:paraId="61C2F34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0EFB3A78"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56FEBB0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80.1</w:t>
            </w:r>
          </w:p>
        </w:tc>
        <w:tc>
          <w:tcPr>
            <w:tcW w:w="195" w:type="dxa"/>
            <w:tcBorders>
              <w:top w:val="nil"/>
              <w:left w:val="nil"/>
              <w:bottom w:val="nil"/>
              <w:right w:val="nil"/>
            </w:tcBorders>
            <w:shd w:val="clear" w:color="auto" w:fill="auto"/>
            <w:noWrap/>
            <w:vAlign w:val="bottom"/>
            <w:hideMark/>
          </w:tcPr>
          <w:p w14:paraId="0558CBB1"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A8AECDD"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7EADB08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85A078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0DEBF6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5C61763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19.4</w:t>
            </w:r>
          </w:p>
        </w:tc>
        <w:tc>
          <w:tcPr>
            <w:tcW w:w="195" w:type="dxa"/>
            <w:tcBorders>
              <w:top w:val="nil"/>
              <w:left w:val="nil"/>
              <w:bottom w:val="nil"/>
              <w:right w:val="nil"/>
            </w:tcBorders>
            <w:shd w:val="clear" w:color="auto" w:fill="auto"/>
            <w:noWrap/>
            <w:vAlign w:val="bottom"/>
            <w:hideMark/>
          </w:tcPr>
          <w:p w14:paraId="2201AEE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59F4B87"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3B2146B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14.9</w:t>
            </w:r>
          </w:p>
        </w:tc>
        <w:tc>
          <w:tcPr>
            <w:tcW w:w="195" w:type="dxa"/>
            <w:tcBorders>
              <w:top w:val="nil"/>
              <w:left w:val="nil"/>
              <w:bottom w:val="nil"/>
              <w:right w:val="nil"/>
            </w:tcBorders>
            <w:shd w:val="clear" w:color="auto" w:fill="auto"/>
            <w:noWrap/>
            <w:vAlign w:val="bottom"/>
            <w:hideMark/>
          </w:tcPr>
          <w:p w14:paraId="06A1ED8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0D22769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7E2B4B53"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18BE2AB6" w14:textId="77777777" w:rsidTr="00655509">
        <w:trPr>
          <w:trHeight w:val="300"/>
        </w:trPr>
        <w:tc>
          <w:tcPr>
            <w:tcW w:w="960" w:type="dxa"/>
            <w:tcBorders>
              <w:top w:val="nil"/>
              <w:left w:val="nil"/>
              <w:bottom w:val="nil"/>
              <w:right w:val="nil"/>
            </w:tcBorders>
            <w:shd w:val="clear" w:color="auto" w:fill="auto"/>
            <w:noWrap/>
            <w:vAlign w:val="bottom"/>
            <w:hideMark/>
          </w:tcPr>
          <w:p w14:paraId="341E95C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14649E01"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pelvis</w:t>
            </w:r>
          </w:p>
        </w:tc>
        <w:tc>
          <w:tcPr>
            <w:tcW w:w="200" w:type="dxa"/>
            <w:tcBorders>
              <w:top w:val="nil"/>
              <w:left w:val="nil"/>
              <w:bottom w:val="nil"/>
              <w:right w:val="nil"/>
            </w:tcBorders>
            <w:shd w:val="clear" w:color="auto" w:fill="auto"/>
            <w:noWrap/>
            <w:vAlign w:val="bottom"/>
            <w:hideMark/>
          </w:tcPr>
          <w:p w14:paraId="730E545E"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p>
        </w:tc>
        <w:tc>
          <w:tcPr>
            <w:tcW w:w="1082" w:type="dxa"/>
            <w:tcBorders>
              <w:top w:val="nil"/>
              <w:left w:val="nil"/>
              <w:bottom w:val="nil"/>
              <w:right w:val="nil"/>
            </w:tcBorders>
            <w:shd w:val="clear" w:color="auto" w:fill="auto"/>
            <w:noWrap/>
            <w:vAlign w:val="bottom"/>
            <w:hideMark/>
          </w:tcPr>
          <w:p w14:paraId="07C78959"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264.3</w:t>
            </w:r>
          </w:p>
        </w:tc>
        <w:tc>
          <w:tcPr>
            <w:tcW w:w="195" w:type="dxa"/>
            <w:tcBorders>
              <w:top w:val="nil"/>
              <w:left w:val="nil"/>
              <w:bottom w:val="nil"/>
              <w:right w:val="nil"/>
            </w:tcBorders>
            <w:shd w:val="clear" w:color="auto" w:fill="auto"/>
            <w:noWrap/>
            <w:vAlign w:val="bottom"/>
            <w:hideMark/>
          </w:tcPr>
          <w:p w14:paraId="0CECBDB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71374A5B"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712C7154"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74.4</w:t>
            </w:r>
          </w:p>
        </w:tc>
        <w:tc>
          <w:tcPr>
            <w:tcW w:w="195" w:type="dxa"/>
            <w:tcBorders>
              <w:top w:val="nil"/>
              <w:left w:val="nil"/>
              <w:bottom w:val="nil"/>
              <w:right w:val="nil"/>
            </w:tcBorders>
            <w:shd w:val="clear" w:color="auto" w:fill="auto"/>
            <w:noWrap/>
            <w:vAlign w:val="bottom"/>
            <w:hideMark/>
          </w:tcPr>
          <w:p w14:paraId="51048F7D"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7017E82"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4F5F21BC"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107.3</w:t>
            </w:r>
          </w:p>
        </w:tc>
        <w:tc>
          <w:tcPr>
            <w:tcW w:w="195" w:type="dxa"/>
            <w:tcBorders>
              <w:top w:val="nil"/>
              <w:left w:val="nil"/>
              <w:bottom w:val="nil"/>
              <w:right w:val="nil"/>
            </w:tcBorders>
            <w:shd w:val="clear" w:color="auto" w:fill="auto"/>
            <w:noWrap/>
            <w:vAlign w:val="bottom"/>
            <w:hideMark/>
          </w:tcPr>
          <w:p w14:paraId="0F9E0157"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3BA62A7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70B8ECF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144.9</w:t>
            </w:r>
          </w:p>
        </w:tc>
        <w:tc>
          <w:tcPr>
            <w:tcW w:w="195" w:type="dxa"/>
            <w:tcBorders>
              <w:top w:val="nil"/>
              <w:left w:val="nil"/>
              <w:bottom w:val="nil"/>
              <w:right w:val="nil"/>
            </w:tcBorders>
            <w:shd w:val="clear" w:color="auto" w:fill="auto"/>
            <w:noWrap/>
            <w:vAlign w:val="bottom"/>
            <w:hideMark/>
          </w:tcPr>
          <w:p w14:paraId="01681E6C"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195" w:type="dxa"/>
            <w:tcBorders>
              <w:top w:val="nil"/>
              <w:left w:val="nil"/>
              <w:bottom w:val="nil"/>
              <w:right w:val="nil"/>
            </w:tcBorders>
            <w:shd w:val="clear" w:color="auto" w:fill="auto"/>
            <w:noWrap/>
            <w:vAlign w:val="bottom"/>
            <w:hideMark/>
          </w:tcPr>
          <w:p w14:paraId="1263C26B"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18264AA8"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00ACE7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99F424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3DBE3881"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32.1</w:t>
            </w:r>
          </w:p>
        </w:tc>
        <w:tc>
          <w:tcPr>
            <w:tcW w:w="195" w:type="dxa"/>
            <w:tcBorders>
              <w:top w:val="nil"/>
              <w:left w:val="nil"/>
              <w:bottom w:val="nil"/>
              <w:right w:val="nil"/>
            </w:tcBorders>
            <w:shd w:val="clear" w:color="auto" w:fill="auto"/>
            <w:noWrap/>
            <w:vAlign w:val="bottom"/>
            <w:hideMark/>
          </w:tcPr>
          <w:p w14:paraId="458A907B"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200" w:type="dxa"/>
            <w:tcBorders>
              <w:top w:val="nil"/>
              <w:left w:val="nil"/>
              <w:bottom w:val="nil"/>
              <w:right w:val="nil"/>
            </w:tcBorders>
            <w:shd w:val="clear" w:color="auto" w:fill="auto"/>
            <w:noWrap/>
            <w:vAlign w:val="bottom"/>
            <w:hideMark/>
          </w:tcPr>
          <w:p w14:paraId="6FD5982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703ABEFF"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166855B5" w14:textId="77777777" w:rsidTr="00655509">
        <w:trPr>
          <w:trHeight w:val="315"/>
        </w:trPr>
        <w:tc>
          <w:tcPr>
            <w:tcW w:w="960" w:type="dxa"/>
            <w:tcBorders>
              <w:top w:val="nil"/>
              <w:left w:val="nil"/>
              <w:bottom w:val="nil"/>
              <w:right w:val="nil"/>
            </w:tcBorders>
            <w:shd w:val="clear" w:color="auto" w:fill="auto"/>
            <w:noWrap/>
            <w:vAlign w:val="bottom"/>
            <w:hideMark/>
          </w:tcPr>
          <w:p w14:paraId="5279352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single" w:sz="12" w:space="0" w:color="auto"/>
              <w:right w:val="nil"/>
            </w:tcBorders>
            <w:shd w:val="clear" w:color="auto" w:fill="auto"/>
            <w:noWrap/>
            <w:vAlign w:val="bottom"/>
            <w:hideMark/>
          </w:tcPr>
          <w:p w14:paraId="0EF8D304" w14:textId="77777777" w:rsidR="00D52108" w:rsidRPr="00655509" w:rsidRDefault="00D52108" w:rsidP="00D52108">
            <w:pPr>
              <w:spacing w:after="0" w:line="240" w:lineRule="auto"/>
              <w:rPr>
                <w:rFonts w:ascii="Times New Roman" w:eastAsia="Times New Roman" w:hAnsi="Times New Roman" w:cs="Times New Roman"/>
                <w:b/>
                <w:bCs/>
                <w:color w:val="000000"/>
                <w:lang w:val="nl-NL" w:eastAsia="nl-NL"/>
              </w:rPr>
            </w:pPr>
            <w:r w:rsidRPr="00655509">
              <w:rPr>
                <w:rFonts w:ascii="Times New Roman" w:eastAsia="Times New Roman" w:hAnsi="Times New Roman" w:cs="Times New Roman"/>
                <w:b/>
                <w:bCs/>
                <w:color w:val="000000"/>
                <w:lang w:val="nl-NL" w:eastAsia="nl-NL"/>
              </w:rPr>
              <w:t>rib</w:t>
            </w:r>
          </w:p>
        </w:tc>
        <w:tc>
          <w:tcPr>
            <w:tcW w:w="200" w:type="dxa"/>
            <w:tcBorders>
              <w:top w:val="nil"/>
              <w:left w:val="nil"/>
              <w:bottom w:val="single" w:sz="12" w:space="0" w:color="auto"/>
              <w:right w:val="nil"/>
            </w:tcBorders>
            <w:shd w:val="clear" w:color="auto" w:fill="auto"/>
            <w:noWrap/>
            <w:vAlign w:val="bottom"/>
            <w:hideMark/>
          </w:tcPr>
          <w:p w14:paraId="7AC3FC9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082" w:type="dxa"/>
            <w:tcBorders>
              <w:top w:val="nil"/>
              <w:left w:val="nil"/>
              <w:bottom w:val="single" w:sz="12" w:space="0" w:color="auto"/>
              <w:right w:val="nil"/>
            </w:tcBorders>
            <w:shd w:val="clear" w:color="auto" w:fill="auto"/>
            <w:noWrap/>
            <w:vAlign w:val="bottom"/>
            <w:hideMark/>
          </w:tcPr>
          <w:p w14:paraId="4BBF3421"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87.2</w:t>
            </w:r>
          </w:p>
        </w:tc>
        <w:tc>
          <w:tcPr>
            <w:tcW w:w="195" w:type="dxa"/>
            <w:tcBorders>
              <w:top w:val="nil"/>
              <w:left w:val="nil"/>
              <w:bottom w:val="single" w:sz="12" w:space="0" w:color="auto"/>
              <w:right w:val="nil"/>
            </w:tcBorders>
            <w:shd w:val="clear" w:color="auto" w:fill="auto"/>
            <w:noWrap/>
            <w:vAlign w:val="bottom"/>
            <w:hideMark/>
          </w:tcPr>
          <w:p w14:paraId="013FC43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6570684"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044" w:type="dxa"/>
            <w:tcBorders>
              <w:top w:val="nil"/>
              <w:left w:val="nil"/>
              <w:bottom w:val="single" w:sz="12" w:space="0" w:color="auto"/>
              <w:right w:val="nil"/>
            </w:tcBorders>
            <w:shd w:val="clear" w:color="auto" w:fill="auto"/>
            <w:noWrap/>
            <w:vAlign w:val="bottom"/>
            <w:hideMark/>
          </w:tcPr>
          <w:p w14:paraId="53A1A096"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55.2</w:t>
            </w:r>
          </w:p>
        </w:tc>
        <w:tc>
          <w:tcPr>
            <w:tcW w:w="195" w:type="dxa"/>
            <w:tcBorders>
              <w:top w:val="nil"/>
              <w:left w:val="nil"/>
              <w:bottom w:val="single" w:sz="12" w:space="0" w:color="auto"/>
              <w:right w:val="nil"/>
            </w:tcBorders>
            <w:shd w:val="clear" w:color="auto" w:fill="auto"/>
            <w:noWrap/>
            <w:vAlign w:val="bottom"/>
            <w:hideMark/>
          </w:tcPr>
          <w:p w14:paraId="7A9A8D6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162F095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972" w:type="dxa"/>
            <w:tcBorders>
              <w:top w:val="nil"/>
              <w:left w:val="nil"/>
              <w:bottom w:val="single" w:sz="12" w:space="0" w:color="auto"/>
              <w:right w:val="nil"/>
            </w:tcBorders>
            <w:shd w:val="clear" w:color="auto" w:fill="auto"/>
            <w:noWrap/>
            <w:vAlign w:val="bottom"/>
            <w:hideMark/>
          </w:tcPr>
          <w:p w14:paraId="25858075"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63.0</w:t>
            </w:r>
          </w:p>
        </w:tc>
        <w:tc>
          <w:tcPr>
            <w:tcW w:w="195" w:type="dxa"/>
            <w:tcBorders>
              <w:top w:val="nil"/>
              <w:left w:val="nil"/>
              <w:bottom w:val="single" w:sz="12" w:space="0" w:color="auto"/>
              <w:right w:val="nil"/>
            </w:tcBorders>
            <w:shd w:val="clear" w:color="auto" w:fill="auto"/>
            <w:noWrap/>
            <w:vAlign w:val="bottom"/>
            <w:hideMark/>
          </w:tcPr>
          <w:p w14:paraId="0D9DD10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7A69198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217" w:type="dxa"/>
            <w:tcBorders>
              <w:top w:val="nil"/>
              <w:left w:val="nil"/>
              <w:bottom w:val="single" w:sz="12" w:space="0" w:color="auto"/>
              <w:right w:val="nil"/>
            </w:tcBorders>
            <w:shd w:val="clear" w:color="auto" w:fill="auto"/>
            <w:noWrap/>
            <w:vAlign w:val="bottom"/>
            <w:hideMark/>
          </w:tcPr>
          <w:p w14:paraId="2D04AF3A"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96.5</w:t>
            </w:r>
          </w:p>
        </w:tc>
        <w:tc>
          <w:tcPr>
            <w:tcW w:w="195" w:type="dxa"/>
            <w:tcBorders>
              <w:top w:val="nil"/>
              <w:left w:val="nil"/>
              <w:bottom w:val="single" w:sz="12" w:space="0" w:color="auto"/>
              <w:right w:val="nil"/>
            </w:tcBorders>
            <w:shd w:val="clear" w:color="auto" w:fill="auto"/>
            <w:noWrap/>
            <w:vAlign w:val="bottom"/>
            <w:hideMark/>
          </w:tcPr>
          <w:p w14:paraId="27C308A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002EEA0D"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800" w:type="dxa"/>
            <w:tcBorders>
              <w:top w:val="nil"/>
              <w:left w:val="nil"/>
              <w:bottom w:val="single" w:sz="12" w:space="0" w:color="auto"/>
              <w:right w:val="nil"/>
            </w:tcBorders>
            <w:shd w:val="clear" w:color="auto" w:fill="auto"/>
            <w:noWrap/>
            <w:vAlign w:val="bottom"/>
            <w:hideMark/>
          </w:tcPr>
          <w:p w14:paraId="22D594D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26.7</w:t>
            </w:r>
          </w:p>
        </w:tc>
        <w:tc>
          <w:tcPr>
            <w:tcW w:w="195" w:type="dxa"/>
            <w:tcBorders>
              <w:top w:val="nil"/>
              <w:left w:val="nil"/>
              <w:bottom w:val="single" w:sz="12" w:space="0" w:color="auto"/>
              <w:right w:val="nil"/>
            </w:tcBorders>
            <w:shd w:val="clear" w:color="auto" w:fill="auto"/>
            <w:noWrap/>
            <w:vAlign w:val="bottom"/>
            <w:hideMark/>
          </w:tcPr>
          <w:p w14:paraId="76BCDF90"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195" w:type="dxa"/>
            <w:tcBorders>
              <w:top w:val="nil"/>
              <w:left w:val="nil"/>
              <w:bottom w:val="single" w:sz="12" w:space="0" w:color="auto"/>
              <w:right w:val="nil"/>
            </w:tcBorders>
            <w:shd w:val="clear" w:color="auto" w:fill="auto"/>
            <w:noWrap/>
            <w:vAlign w:val="bottom"/>
            <w:hideMark/>
          </w:tcPr>
          <w:p w14:paraId="46D99A83"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860" w:type="dxa"/>
            <w:tcBorders>
              <w:top w:val="nil"/>
              <w:left w:val="nil"/>
              <w:bottom w:val="single" w:sz="12" w:space="0" w:color="auto"/>
              <w:right w:val="nil"/>
            </w:tcBorders>
            <w:shd w:val="clear" w:color="auto" w:fill="auto"/>
            <w:noWrap/>
            <w:vAlign w:val="bottom"/>
            <w:hideMark/>
          </w:tcPr>
          <w:p w14:paraId="25096F87" w14:textId="64CB675E"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r w:rsidR="00C81421" w:rsidRPr="00655509">
              <w:rPr>
                <w:rFonts w:ascii="Times New Roman" w:eastAsia="Times New Roman" w:hAnsi="Times New Roman" w:cs="Times New Roman"/>
                <w:color w:val="000000"/>
                <w:lang w:val="nl-NL" w:eastAsia="nl-NL"/>
              </w:rPr>
              <w:t>a</w:t>
            </w:r>
          </w:p>
        </w:tc>
        <w:tc>
          <w:tcPr>
            <w:tcW w:w="195" w:type="dxa"/>
            <w:tcBorders>
              <w:top w:val="nil"/>
              <w:left w:val="nil"/>
              <w:bottom w:val="single" w:sz="12" w:space="0" w:color="auto"/>
              <w:right w:val="nil"/>
            </w:tcBorders>
            <w:shd w:val="clear" w:color="auto" w:fill="auto"/>
            <w:noWrap/>
            <w:vAlign w:val="bottom"/>
            <w:hideMark/>
          </w:tcPr>
          <w:p w14:paraId="76086302"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r w:rsidRPr="00655509">
              <w:rPr>
                <w:rFonts w:ascii="Times New Roman" w:eastAsia="Times New Roman" w:hAnsi="Times New Roman" w:cs="Times New Roman"/>
                <w:color w:val="000000"/>
                <w:lang w:val="nl-NL" w:eastAsia="nl-NL"/>
              </w:rPr>
              <w:t> </w:t>
            </w:r>
          </w:p>
        </w:tc>
        <w:tc>
          <w:tcPr>
            <w:tcW w:w="200" w:type="dxa"/>
            <w:tcBorders>
              <w:top w:val="nil"/>
              <w:left w:val="nil"/>
              <w:bottom w:val="nil"/>
              <w:right w:val="nil"/>
            </w:tcBorders>
            <w:shd w:val="clear" w:color="auto" w:fill="auto"/>
            <w:noWrap/>
            <w:vAlign w:val="bottom"/>
            <w:hideMark/>
          </w:tcPr>
          <w:p w14:paraId="3ACB432E" w14:textId="77777777" w:rsidR="00D52108" w:rsidRPr="00655509" w:rsidRDefault="00D52108" w:rsidP="00D52108">
            <w:pPr>
              <w:spacing w:after="0" w:line="240" w:lineRule="auto"/>
              <w:rPr>
                <w:rFonts w:ascii="Times New Roman" w:eastAsia="Times New Roman" w:hAnsi="Times New Roman" w:cs="Times New Roman"/>
                <w:color w:val="000000"/>
                <w:lang w:val="nl-NL" w:eastAsia="nl-NL"/>
              </w:rPr>
            </w:pPr>
          </w:p>
        </w:tc>
        <w:tc>
          <w:tcPr>
            <w:tcW w:w="960" w:type="dxa"/>
            <w:tcBorders>
              <w:top w:val="nil"/>
              <w:left w:val="nil"/>
              <w:bottom w:val="nil"/>
              <w:right w:val="nil"/>
            </w:tcBorders>
            <w:shd w:val="clear" w:color="auto" w:fill="auto"/>
            <w:noWrap/>
            <w:vAlign w:val="bottom"/>
            <w:hideMark/>
          </w:tcPr>
          <w:p w14:paraId="22DD148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r w:rsidR="00D52108" w:rsidRPr="002C5129" w14:paraId="72F97923" w14:textId="77777777" w:rsidTr="00655509">
        <w:trPr>
          <w:trHeight w:val="315"/>
        </w:trPr>
        <w:tc>
          <w:tcPr>
            <w:tcW w:w="960" w:type="dxa"/>
            <w:tcBorders>
              <w:top w:val="nil"/>
              <w:left w:val="nil"/>
              <w:bottom w:val="nil"/>
              <w:right w:val="nil"/>
            </w:tcBorders>
            <w:shd w:val="clear" w:color="auto" w:fill="auto"/>
            <w:noWrap/>
            <w:vAlign w:val="bottom"/>
            <w:hideMark/>
          </w:tcPr>
          <w:p w14:paraId="3BACC71D"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440" w:type="dxa"/>
            <w:tcBorders>
              <w:top w:val="nil"/>
              <w:left w:val="nil"/>
              <w:bottom w:val="nil"/>
              <w:right w:val="nil"/>
            </w:tcBorders>
            <w:shd w:val="clear" w:color="auto" w:fill="auto"/>
            <w:noWrap/>
            <w:vAlign w:val="bottom"/>
            <w:hideMark/>
          </w:tcPr>
          <w:p w14:paraId="6E5F6C83"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5DD2DAA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82" w:type="dxa"/>
            <w:tcBorders>
              <w:top w:val="nil"/>
              <w:left w:val="nil"/>
              <w:bottom w:val="nil"/>
              <w:right w:val="nil"/>
            </w:tcBorders>
            <w:shd w:val="clear" w:color="auto" w:fill="auto"/>
            <w:noWrap/>
            <w:vAlign w:val="bottom"/>
            <w:hideMark/>
          </w:tcPr>
          <w:p w14:paraId="7D1ACBEC"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80E10BA"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EA469F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044" w:type="dxa"/>
            <w:tcBorders>
              <w:top w:val="nil"/>
              <w:left w:val="nil"/>
              <w:bottom w:val="nil"/>
              <w:right w:val="nil"/>
            </w:tcBorders>
            <w:shd w:val="clear" w:color="auto" w:fill="auto"/>
            <w:noWrap/>
            <w:vAlign w:val="bottom"/>
            <w:hideMark/>
          </w:tcPr>
          <w:p w14:paraId="24810923"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5483B3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3F155D7D"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72" w:type="dxa"/>
            <w:tcBorders>
              <w:top w:val="nil"/>
              <w:left w:val="nil"/>
              <w:bottom w:val="nil"/>
              <w:right w:val="nil"/>
            </w:tcBorders>
            <w:shd w:val="clear" w:color="auto" w:fill="auto"/>
            <w:noWrap/>
            <w:vAlign w:val="bottom"/>
            <w:hideMark/>
          </w:tcPr>
          <w:p w14:paraId="31B06572"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730828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7B0B82A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217" w:type="dxa"/>
            <w:tcBorders>
              <w:top w:val="nil"/>
              <w:left w:val="nil"/>
              <w:bottom w:val="nil"/>
              <w:right w:val="nil"/>
            </w:tcBorders>
            <w:shd w:val="clear" w:color="auto" w:fill="auto"/>
            <w:noWrap/>
            <w:vAlign w:val="bottom"/>
            <w:hideMark/>
          </w:tcPr>
          <w:p w14:paraId="039F2652"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0B8DC46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58B34D4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00" w:type="dxa"/>
            <w:tcBorders>
              <w:top w:val="nil"/>
              <w:left w:val="nil"/>
              <w:bottom w:val="nil"/>
              <w:right w:val="nil"/>
            </w:tcBorders>
            <w:shd w:val="clear" w:color="auto" w:fill="auto"/>
            <w:noWrap/>
            <w:vAlign w:val="bottom"/>
            <w:hideMark/>
          </w:tcPr>
          <w:p w14:paraId="71A84B52"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605E8146"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24923745"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860" w:type="dxa"/>
            <w:tcBorders>
              <w:top w:val="nil"/>
              <w:left w:val="nil"/>
              <w:bottom w:val="nil"/>
              <w:right w:val="nil"/>
            </w:tcBorders>
            <w:shd w:val="clear" w:color="auto" w:fill="auto"/>
            <w:noWrap/>
            <w:vAlign w:val="bottom"/>
            <w:hideMark/>
          </w:tcPr>
          <w:p w14:paraId="185F0791"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195" w:type="dxa"/>
            <w:tcBorders>
              <w:top w:val="nil"/>
              <w:left w:val="nil"/>
              <w:bottom w:val="nil"/>
              <w:right w:val="nil"/>
            </w:tcBorders>
            <w:shd w:val="clear" w:color="auto" w:fill="auto"/>
            <w:noWrap/>
            <w:vAlign w:val="bottom"/>
            <w:hideMark/>
          </w:tcPr>
          <w:p w14:paraId="10B213AE"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200" w:type="dxa"/>
            <w:tcBorders>
              <w:top w:val="nil"/>
              <w:left w:val="nil"/>
              <w:bottom w:val="nil"/>
              <w:right w:val="nil"/>
            </w:tcBorders>
            <w:shd w:val="clear" w:color="auto" w:fill="auto"/>
            <w:noWrap/>
            <w:vAlign w:val="bottom"/>
            <w:hideMark/>
          </w:tcPr>
          <w:p w14:paraId="1AA9B110"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c>
          <w:tcPr>
            <w:tcW w:w="960" w:type="dxa"/>
            <w:tcBorders>
              <w:top w:val="nil"/>
              <w:left w:val="nil"/>
              <w:bottom w:val="nil"/>
              <w:right w:val="nil"/>
            </w:tcBorders>
            <w:shd w:val="clear" w:color="auto" w:fill="auto"/>
            <w:noWrap/>
            <w:vAlign w:val="bottom"/>
            <w:hideMark/>
          </w:tcPr>
          <w:p w14:paraId="7AFA64C9" w14:textId="77777777" w:rsidR="00D52108" w:rsidRPr="00655509" w:rsidRDefault="00D52108" w:rsidP="00D52108">
            <w:pPr>
              <w:spacing w:after="0" w:line="240" w:lineRule="auto"/>
              <w:rPr>
                <w:rFonts w:ascii="Times New Roman" w:eastAsia="Times New Roman" w:hAnsi="Times New Roman" w:cs="Times New Roman"/>
                <w:lang w:val="nl-NL" w:eastAsia="nl-NL"/>
              </w:rPr>
            </w:pPr>
          </w:p>
        </w:tc>
      </w:tr>
    </w:tbl>
    <w:p w14:paraId="54C99DF8" w14:textId="55BE1DA4" w:rsidR="00EE0923" w:rsidRPr="00655509" w:rsidRDefault="00EE0923" w:rsidP="00461FBF">
      <w:pPr>
        <w:rPr>
          <w:rFonts w:ascii="Times New Roman" w:hAnsi="Times New Roman" w:cs="Times New Roman"/>
          <w:lang w:val="en-US"/>
        </w:rPr>
      </w:pPr>
    </w:p>
    <w:p w14:paraId="2631918A" w14:textId="77777777" w:rsidR="00C81421" w:rsidRDefault="00C81421" w:rsidP="00C81421">
      <w:pPr>
        <w:rPr>
          <w:rFonts w:ascii="Times New Roman" w:hAnsi="Times New Roman" w:cs="Times New Roman"/>
          <w:sz w:val="24"/>
          <w:szCs w:val="24"/>
          <w:lang w:val="en-US"/>
        </w:rPr>
      </w:pPr>
      <w:r w:rsidRPr="004F3EED">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the number of fractures was too few to calculate meaningful incidence rates.</w:t>
      </w:r>
    </w:p>
    <w:p w14:paraId="798401A7" w14:textId="58406525" w:rsidR="00EE0923" w:rsidRDefault="00EE0923" w:rsidP="00461FBF">
      <w:pPr>
        <w:rPr>
          <w:rFonts w:ascii="Times New Roman" w:hAnsi="Times New Roman" w:cs="Times New Roman"/>
          <w:sz w:val="24"/>
          <w:szCs w:val="24"/>
          <w:lang w:val="en-US"/>
        </w:rPr>
      </w:pPr>
    </w:p>
    <w:p w14:paraId="3975117C" w14:textId="5B2CA21B" w:rsidR="00EE0923" w:rsidRDefault="00EE0923" w:rsidP="00461FBF">
      <w:pPr>
        <w:rPr>
          <w:rFonts w:ascii="Times New Roman" w:hAnsi="Times New Roman" w:cs="Times New Roman"/>
          <w:sz w:val="24"/>
          <w:szCs w:val="24"/>
          <w:lang w:val="en-US"/>
        </w:rPr>
      </w:pPr>
    </w:p>
    <w:p w14:paraId="5A53BA67" w14:textId="5922DE07" w:rsidR="00EE0923" w:rsidRDefault="00EE0923" w:rsidP="00461FBF">
      <w:pPr>
        <w:rPr>
          <w:rFonts w:ascii="Times New Roman" w:hAnsi="Times New Roman" w:cs="Times New Roman"/>
          <w:sz w:val="24"/>
          <w:szCs w:val="24"/>
          <w:lang w:val="en-US"/>
        </w:rPr>
      </w:pPr>
    </w:p>
    <w:p w14:paraId="29AC9FDD" w14:textId="5E7DBBA6" w:rsidR="00EE0923" w:rsidRDefault="00EE0923" w:rsidP="00461FBF">
      <w:pPr>
        <w:rPr>
          <w:rFonts w:ascii="Times New Roman" w:hAnsi="Times New Roman" w:cs="Times New Roman"/>
          <w:sz w:val="24"/>
          <w:szCs w:val="24"/>
          <w:lang w:val="en-US"/>
        </w:rPr>
      </w:pPr>
    </w:p>
    <w:p w14:paraId="1894AB65" w14:textId="1A7FFE3C" w:rsidR="00EE0923" w:rsidRDefault="00EE0923" w:rsidP="00461FBF">
      <w:pPr>
        <w:rPr>
          <w:rFonts w:ascii="Times New Roman" w:hAnsi="Times New Roman" w:cs="Times New Roman"/>
          <w:sz w:val="24"/>
          <w:szCs w:val="24"/>
          <w:lang w:val="en-US"/>
        </w:rPr>
      </w:pPr>
    </w:p>
    <w:p w14:paraId="767DAA06" w14:textId="77777777" w:rsidR="00EC5018" w:rsidRPr="00402C50" w:rsidRDefault="00EC5018" w:rsidP="00314931">
      <w:pPr>
        <w:spacing w:line="480" w:lineRule="auto"/>
        <w:rPr>
          <w:rFonts w:ascii="Times New Roman" w:hAnsi="Times New Roman" w:cs="Times New Roman"/>
          <w:sz w:val="24"/>
          <w:szCs w:val="24"/>
        </w:rPr>
      </w:pPr>
    </w:p>
    <w:p w14:paraId="1A54FB62" w14:textId="77777777" w:rsidR="00412D94" w:rsidRPr="00402C50" w:rsidRDefault="00412D94" w:rsidP="00412D94">
      <w:pPr>
        <w:rPr>
          <w:rFonts w:ascii="Times New Roman" w:hAnsi="Times New Roman" w:cs="Times New Roman"/>
          <w:sz w:val="24"/>
          <w:szCs w:val="24"/>
          <w:lang w:val="en-US"/>
        </w:rPr>
      </w:pPr>
    </w:p>
    <w:p w14:paraId="78F9E81B" w14:textId="77777777" w:rsidR="00412D94" w:rsidRPr="00402C50" w:rsidRDefault="00412D94" w:rsidP="00412D94">
      <w:pPr>
        <w:rPr>
          <w:rFonts w:ascii="Times New Roman" w:hAnsi="Times New Roman" w:cs="Times New Roman"/>
          <w:sz w:val="24"/>
          <w:szCs w:val="24"/>
        </w:rPr>
      </w:pPr>
    </w:p>
    <w:p w14:paraId="4DF0AC21" w14:textId="77777777" w:rsidR="00EC5018" w:rsidRPr="00402C50" w:rsidRDefault="00EC5018" w:rsidP="00314931">
      <w:pPr>
        <w:spacing w:line="480" w:lineRule="auto"/>
        <w:rPr>
          <w:rFonts w:ascii="Times New Roman" w:hAnsi="Times New Roman" w:cs="Times New Roman"/>
          <w:sz w:val="24"/>
          <w:szCs w:val="24"/>
        </w:rPr>
      </w:pPr>
    </w:p>
    <w:p w14:paraId="250842E2" w14:textId="1254DFB1" w:rsidR="005A11EE" w:rsidRDefault="005A11EE">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5D163A4D" w14:textId="1599ED34" w:rsidR="00EC5018" w:rsidRDefault="002C5129" w:rsidP="00314931">
      <w:pPr>
        <w:spacing w:line="480" w:lineRule="auto"/>
        <w:rPr>
          <w:rFonts w:ascii="Times New Roman" w:hAnsi="Times New Roman" w:cs="Times New Roman"/>
          <w:sz w:val="24"/>
          <w:szCs w:val="24"/>
        </w:rPr>
      </w:pPr>
      <w:r w:rsidRPr="004F3EED">
        <w:rPr>
          <w:rFonts w:ascii="Times New Roman" w:eastAsia="Times New Roman" w:hAnsi="Times New Roman" w:cs="Times New Roman"/>
          <w:b/>
          <w:color w:val="000000"/>
          <w:lang w:eastAsia="nl-NL"/>
        </w:rPr>
        <w:t>Table 2</w:t>
      </w:r>
      <w:r>
        <w:rPr>
          <w:rFonts w:ascii="Times New Roman" w:eastAsia="Times New Roman" w:hAnsi="Times New Roman" w:cs="Times New Roman"/>
          <w:b/>
          <w:color w:val="000000"/>
          <w:lang w:eastAsia="nl-NL"/>
        </w:rPr>
        <w:t xml:space="preserve">: </w:t>
      </w:r>
      <w:r w:rsidRPr="00655509">
        <w:rPr>
          <w:rFonts w:ascii="Times New Roman" w:eastAsia="Times New Roman" w:hAnsi="Times New Roman" w:cs="Times New Roman"/>
          <w:color w:val="000000"/>
          <w:lang w:eastAsia="nl-NL"/>
        </w:rPr>
        <w:t>Incidence of subsequent fractures per 10,000 py after a hip/femur fracture in persons aged 50+, by 5-year age class in the UK from 1990-2012</w:t>
      </w:r>
    </w:p>
    <w:tbl>
      <w:tblPr>
        <w:tblW w:w="7252" w:type="dxa"/>
        <w:tblCellMar>
          <w:top w:w="15" w:type="dxa"/>
          <w:left w:w="70" w:type="dxa"/>
          <w:bottom w:w="15" w:type="dxa"/>
          <w:right w:w="70" w:type="dxa"/>
        </w:tblCellMar>
        <w:tblLook w:val="04A0" w:firstRow="1" w:lastRow="0" w:firstColumn="1" w:lastColumn="0" w:noHBand="0" w:noVBand="1"/>
      </w:tblPr>
      <w:tblGrid>
        <w:gridCol w:w="1000"/>
        <w:gridCol w:w="160"/>
        <w:gridCol w:w="700"/>
        <w:gridCol w:w="660"/>
        <w:gridCol w:w="280"/>
        <w:gridCol w:w="680"/>
        <w:gridCol w:w="740"/>
        <w:gridCol w:w="280"/>
        <w:gridCol w:w="800"/>
        <w:gridCol w:w="800"/>
        <w:gridCol w:w="146"/>
        <w:gridCol w:w="46"/>
        <w:gridCol w:w="914"/>
        <w:gridCol w:w="46"/>
      </w:tblGrid>
      <w:tr w:rsidR="007908FA" w:rsidRPr="002C5129" w14:paraId="7F89F1C5" w14:textId="77777777" w:rsidTr="00342374">
        <w:trPr>
          <w:trHeight w:val="300"/>
        </w:trPr>
        <w:tc>
          <w:tcPr>
            <w:tcW w:w="6100" w:type="dxa"/>
            <w:gridSpan w:val="10"/>
            <w:tcBorders>
              <w:top w:val="nil"/>
              <w:left w:val="nil"/>
              <w:bottom w:val="nil"/>
              <w:right w:val="nil"/>
            </w:tcBorders>
            <w:noWrap/>
            <w:vAlign w:val="bottom"/>
            <w:hideMark/>
          </w:tcPr>
          <w:p w14:paraId="1C6A5BEC" w14:textId="47BAA767" w:rsidR="007908FA" w:rsidRPr="00655509" w:rsidRDefault="007908FA" w:rsidP="00342374">
            <w:pPr>
              <w:spacing w:after="0" w:line="240" w:lineRule="auto"/>
              <w:rPr>
                <w:rFonts w:ascii="Times New Roman" w:eastAsia="Times New Roman" w:hAnsi="Times New Roman" w:cs="Times New Roman"/>
                <w:b/>
                <w:color w:val="000000"/>
                <w:lang w:eastAsia="nl-NL"/>
              </w:rPr>
            </w:pPr>
          </w:p>
        </w:tc>
        <w:tc>
          <w:tcPr>
            <w:tcW w:w="192" w:type="dxa"/>
            <w:gridSpan w:val="2"/>
            <w:tcBorders>
              <w:top w:val="nil"/>
              <w:left w:val="nil"/>
              <w:bottom w:val="nil"/>
              <w:right w:val="nil"/>
            </w:tcBorders>
            <w:noWrap/>
            <w:vAlign w:val="bottom"/>
            <w:hideMark/>
          </w:tcPr>
          <w:p w14:paraId="3755229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581D8526"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63F51276" w14:textId="77777777" w:rsidTr="00342374">
        <w:trPr>
          <w:trHeight w:val="300"/>
        </w:trPr>
        <w:tc>
          <w:tcPr>
            <w:tcW w:w="6100" w:type="dxa"/>
            <w:gridSpan w:val="10"/>
            <w:tcBorders>
              <w:top w:val="nil"/>
              <w:left w:val="nil"/>
              <w:bottom w:val="nil"/>
              <w:right w:val="nil"/>
            </w:tcBorders>
            <w:noWrap/>
            <w:vAlign w:val="bottom"/>
            <w:hideMark/>
          </w:tcPr>
          <w:p w14:paraId="6A0D1324" w14:textId="23A46ADD" w:rsidR="007908FA" w:rsidRPr="00655509" w:rsidRDefault="007908FA" w:rsidP="00342374">
            <w:pPr>
              <w:spacing w:after="0" w:line="240" w:lineRule="auto"/>
              <w:rPr>
                <w:rFonts w:ascii="Times New Roman" w:eastAsia="Times New Roman" w:hAnsi="Times New Roman" w:cs="Times New Roman"/>
                <w:b/>
                <w:color w:val="000000"/>
                <w:lang w:eastAsia="nl-NL"/>
              </w:rPr>
            </w:pPr>
          </w:p>
        </w:tc>
        <w:tc>
          <w:tcPr>
            <w:tcW w:w="192" w:type="dxa"/>
            <w:gridSpan w:val="2"/>
            <w:tcBorders>
              <w:top w:val="nil"/>
              <w:left w:val="nil"/>
              <w:bottom w:val="nil"/>
              <w:right w:val="nil"/>
            </w:tcBorders>
            <w:noWrap/>
            <w:vAlign w:val="bottom"/>
            <w:hideMark/>
          </w:tcPr>
          <w:p w14:paraId="12A44098"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424ECC01"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08BE10D5" w14:textId="77777777" w:rsidTr="00342374">
        <w:trPr>
          <w:trHeight w:val="315"/>
        </w:trPr>
        <w:tc>
          <w:tcPr>
            <w:tcW w:w="2520" w:type="dxa"/>
            <w:gridSpan w:val="4"/>
            <w:tcBorders>
              <w:top w:val="nil"/>
              <w:left w:val="nil"/>
              <w:bottom w:val="single" w:sz="12" w:space="0" w:color="auto"/>
              <w:right w:val="nil"/>
            </w:tcBorders>
            <w:noWrap/>
            <w:vAlign w:val="bottom"/>
            <w:hideMark/>
          </w:tcPr>
          <w:p w14:paraId="4BD21960" w14:textId="75A46C09" w:rsidR="007908FA" w:rsidRPr="00655509" w:rsidRDefault="007908FA" w:rsidP="00342374">
            <w:pPr>
              <w:spacing w:after="0" w:line="240" w:lineRule="auto"/>
              <w:rPr>
                <w:rFonts w:ascii="Times New Roman" w:eastAsia="Times New Roman" w:hAnsi="Times New Roman" w:cs="Times New Roman"/>
                <w:b/>
                <w:color w:val="000000"/>
                <w:lang w:eastAsia="nl-NL"/>
              </w:rPr>
            </w:pPr>
          </w:p>
        </w:tc>
        <w:tc>
          <w:tcPr>
            <w:tcW w:w="280" w:type="dxa"/>
            <w:tcBorders>
              <w:top w:val="nil"/>
              <w:left w:val="nil"/>
              <w:bottom w:val="single" w:sz="12" w:space="0" w:color="auto"/>
              <w:right w:val="nil"/>
            </w:tcBorders>
            <w:noWrap/>
            <w:vAlign w:val="bottom"/>
            <w:hideMark/>
          </w:tcPr>
          <w:p w14:paraId="56244FE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single" w:sz="12" w:space="0" w:color="auto"/>
              <w:right w:val="nil"/>
            </w:tcBorders>
            <w:noWrap/>
            <w:vAlign w:val="bottom"/>
            <w:hideMark/>
          </w:tcPr>
          <w:p w14:paraId="4A1AAE41"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40" w:type="dxa"/>
            <w:tcBorders>
              <w:top w:val="nil"/>
              <w:left w:val="nil"/>
              <w:bottom w:val="single" w:sz="12" w:space="0" w:color="auto"/>
              <w:right w:val="nil"/>
            </w:tcBorders>
            <w:noWrap/>
            <w:vAlign w:val="bottom"/>
            <w:hideMark/>
          </w:tcPr>
          <w:p w14:paraId="7C9BE32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single" w:sz="12" w:space="0" w:color="auto"/>
              <w:right w:val="nil"/>
            </w:tcBorders>
            <w:noWrap/>
            <w:vAlign w:val="bottom"/>
            <w:hideMark/>
          </w:tcPr>
          <w:p w14:paraId="03674750"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single" w:sz="12" w:space="0" w:color="auto"/>
              <w:right w:val="nil"/>
            </w:tcBorders>
            <w:noWrap/>
            <w:vAlign w:val="bottom"/>
            <w:hideMark/>
          </w:tcPr>
          <w:p w14:paraId="2C27753F"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single" w:sz="12" w:space="0" w:color="auto"/>
              <w:right w:val="nil"/>
            </w:tcBorders>
            <w:noWrap/>
            <w:vAlign w:val="bottom"/>
            <w:hideMark/>
          </w:tcPr>
          <w:p w14:paraId="00C9B9AC"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92" w:type="dxa"/>
            <w:gridSpan w:val="2"/>
            <w:tcBorders>
              <w:top w:val="nil"/>
              <w:left w:val="nil"/>
              <w:bottom w:val="single" w:sz="12" w:space="0" w:color="auto"/>
              <w:right w:val="nil"/>
            </w:tcBorders>
            <w:noWrap/>
            <w:vAlign w:val="bottom"/>
            <w:hideMark/>
          </w:tcPr>
          <w:p w14:paraId="55E4AF69"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960" w:type="dxa"/>
            <w:gridSpan w:val="2"/>
            <w:tcBorders>
              <w:top w:val="nil"/>
              <w:left w:val="nil"/>
              <w:bottom w:val="nil"/>
              <w:right w:val="nil"/>
            </w:tcBorders>
            <w:noWrap/>
            <w:vAlign w:val="bottom"/>
            <w:hideMark/>
          </w:tcPr>
          <w:p w14:paraId="412A2444"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2A82A59F" w14:textId="77777777" w:rsidTr="00342374">
        <w:trPr>
          <w:trHeight w:val="330"/>
        </w:trPr>
        <w:tc>
          <w:tcPr>
            <w:tcW w:w="1000" w:type="dxa"/>
            <w:tcBorders>
              <w:top w:val="nil"/>
              <w:left w:val="nil"/>
              <w:bottom w:val="nil"/>
              <w:right w:val="nil"/>
            </w:tcBorders>
            <w:noWrap/>
            <w:vAlign w:val="bottom"/>
            <w:hideMark/>
          </w:tcPr>
          <w:p w14:paraId="7E9883D5"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3C067505"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4140" w:type="dxa"/>
            <w:gridSpan w:val="7"/>
            <w:tcBorders>
              <w:top w:val="nil"/>
              <w:left w:val="nil"/>
              <w:bottom w:val="single" w:sz="8" w:space="0" w:color="auto"/>
              <w:right w:val="nil"/>
            </w:tcBorders>
            <w:noWrap/>
            <w:vAlign w:val="bottom"/>
            <w:hideMark/>
          </w:tcPr>
          <w:p w14:paraId="5EC4175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Subsequent fracture site</w:t>
            </w:r>
          </w:p>
        </w:tc>
        <w:tc>
          <w:tcPr>
            <w:tcW w:w="800" w:type="dxa"/>
            <w:tcBorders>
              <w:top w:val="nil"/>
              <w:left w:val="nil"/>
              <w:bottom w:val="single" w:sz="8" w:space="0" w:color="auto"/>
              <w:right w:val="nil"/>
            </w:tcBorders>
            <w:noWrap/>
            <w:vAlign w:val="bottom"/>
            <w:hideMark/>
          </w:tcPr>
          <w:p w14:paraId="23C0F665"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192" w:type="dxa"/>
            <w:gridSpan w:val="2"/>
            <w:tcBorders>
              <w:top w:val="nil"/>
              <w:left w:val="nil"/>
              <w:bottom w:val="single" w:sz="8" w:space="0" w:color="auto"/>
              <w:right w:val="nil"/>
            </w:tcBorders>
            <w:noWrap/>
            <w:vAlign w:val="bottom"/>
            <w:hideMark/>
          </w:tcPr>
          <w:p w14:paraId="3CB94F97"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960" w:type="dxa"/>
            <w:gridSpan w:val="2"/>
            <w:tcBorders>
              <w:top w:val="nil"/>
              <w:left w:val="nil"/>
              <w:bottom w:val="nil"/>
              <w:right w:val="nil"/>
            </w:tcBorders>
            <w:noWrap/>
            <w:vAlign w:val="bottom"/>
            <w:hideMark/>
          </w:tcPr>
          <w:p w14:paraId="2C2F37F6"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24D6BEDC" w14:textId="77777777" w:rsidTr="00342374">
        <w:trPr>
          <w:trHeight w:val="300"/>
        </w:trPr>
        <w:tc>
          <w:tcPr>
            <w:tcW w:w="1000" w:type="dxa"/>
            <w:tcBorders>
              <w:top w:val="nil"/>
              <w:left w:val="nil"/>
              <w:bottom w:val="nil"/>
              <w:right w:val="nil"/>
            </w:tcBorders>
            <w:noWrap/>
            <w:vAlign w:val="bottom"/>
            <w:hideMark/>
          </w:tcPr>
          <w:p w14:paraId="711882A6"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54591BDB"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bottom"/>
            <w:hideMark/>
          </w:tcPr>
          <w:p w14:paraId="798E7CA4"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660" w:type="dxa"/>
            <w:tcBorders>
              <w:top w:val="nil"/>
              <w:left w:val="nil"/>
              <w:bottom w:val="nil"/>
              <w:right w:val="nil"/>
            </w:tcBorders>
            <w:noWrap/>
            <w:vAlign w:val="bottom"/>
            <w:hideMark/>
          </w:tcPr>
          <w:p w14:paraId="6A50A8D8"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336A5DA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bottom"/>
            <w:hideMark/>
          </w:tcPr>
          <w:p w14:paraId="1298B5A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40" w:type="dxa"/>
            <w:tcBorders>
              <w:top w:val="nil"/>
              <w:left w:val="nil"/>
              <w:bottom w:val="nil"/>
              <w:right w:val="nil"/>
            </w:tcBorders>
            <w:noWrap/>
            <w:vAlign w:val="bottom"/>
            <w:hideMark/>
          </w:tcPr>
          <w:p w14:paraId="077E830B"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1B7604A1"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199C60D8"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1F3BF578"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92" w:type="dxa"/>
            <w:gridSpan w:val="2"/>
            <w:tcBorders>
              <w:top w:val="nil"/>
              <w:left w:val="nil"/>
              <w:bottom w:val="nil"/>
              <w:right w:val="nil"/>
            </w:tcBorders>
            <w:noWrap/>
            <w:vAlign w:val="bottom"/>
            <w:hideMark/>
          </w:tcPr>
          <w:p w14:paraId="5A44BC82"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960" w:type="dxa"/>
            <w:gridSpan w:val="2"/>
            <w:tcBorders>
              <w:top w:val="nil"/>
              <w:left w:val="nil"/>
              <w:bottom w:val="nil"/>
              <w:right w:val="nil"/>
            </w:tcBorders>
            <w:noWrap/>
            <w:vAlign w:val="bottom"/>
            <w:hideMark/>
          </w:tcPr>
          <w:p w14:paraId="1A009EBF"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55B74394" w14:textId="77777777" w:rsidTr="00342374">
        <w:trPr>
          <w:trHeight w:val="315"/>
        </w:trPr>
        <w:tc>
          <w:tcPr>
            <w:tcW w:w="1000" w:type="dxa"/>
            <w:tcBorders>
              <w:top w:val="nil"/>
              <w:left w:val="nil"/>
              <w:bottom w:val="nil"/>
              <w:right w:val="nil"/>
            </w:tcBorders>
            <w:noWrap/>
            <w:vAlign w:val="bottom"/>
            <w:hideMark/>
          </w:tcPr>
          <w:p w14:paraId="5D64BD9C"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7CCAF2A5"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360" w:type="dxa"/>
            <w:gridSpan w:val="2"/>
            <w:tcBorders>
              <w:top w:val="nil"/>
              <w:left w:val="nil"/>
              <w:bottom w:val="single" w:sz="8" w:space="0" w:color="auto"/>
              <w:right w:val="nil"/>
            </w:tcBorders>
            <w:noWrap/>
            <w:vAlign w:val="bottom"/>
            <w:hideMark/>
          </w:tcPr>
          <w:p w14:paraId="10CB9024"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Vertebral</w:t>
            </w:r>
          </w:p>
        </w:tc>
        <w:tc>
          <w:tcPr>
            <w:tcW w:w="280" w:type="dxa"/>
            <w:tcBorders>
              <w:top w:val="nil"/>
              <w:left w:val="nil"/>
              <w:bottom w:val="nil"/>
              <w:right w:val="nil"/>
            </w:tcBorders>
            <w:noWrap/>
            <w:vAlign w:val="bottom"/>
            <w:hideMark/>
          </w:tcPr>
          <w:p w14:paraId="6C6573A4"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1420" w:type="dxa"/>
            <w:gridSpan w:val="2"/>
            <w:tcBorders>
              <w:top w:val="nil"/>
              <w:left w:val="nil"/>
              <w:bottom w:val="single" w:sz="8" w:space="0" w:color="auto"/>
              <w:right w:val="nil"/>
            </w:tcBorders>
            <w:noWrap/>
            <w:vAlign w:val="bottom"/>
            <w:hideMark/>
          </w:tcPr>
          <w:p w14:paraId="0B124E1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Humerus</w:t>
            </w:r>
          </w:p>
        </w:tc>
        <w:tc>
          <w:tcPr>
            <w:tcW w:w="280" w:type="dxa"/>
            <w:tcBorders>
              <w:top w:val="nil"/>
              <w:left w:val="nil"/>
              <w:bottom w:val="nil"/>
              <w:right w:val="nil"/>
            </w:tcBorders>
            <w:noWrap/>
            <w:vAlign w:val="bottom"/>
            <w:hideMark/>
          </w:tcPr>
          <w:p w14:paraId="584BB255"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1600" w:type="dxa"/>
            <w:gridSpan w:val="2"/>
            <w:tcBorders>
              <w:top w:val="nil"/>
              <w:left w:val="nil"/>
              <w:bottom w:val="single" w:sz="8" w:space="0" w:color="auto"/>
              <w:right w:val="nil"/>
            </w:tcBorders>
            <w:noWrap/>
            <w:vAlign w:val="bottom"/>
            <w:hideMark/>
          </w:tcPr>
          <w:p w14:paraId="6B05541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Radius/ulna</w:t>
            </w:r>
          </w:p>
        </w:tc>
        <w:tc>
          <w:tcPr>
            <w:tcW w:w="192" w:type="dxa"/>
            <w:gridSpan w:val="2"/>
            <w:tcBorders>
              <w:top w:val="nil"/>
              <w:left w:val="nil"/>
              <w:bottom w:val="nil"/>
              <w:right w:val="nil"/>
            </w:tcBorders>
            <w:noWrap/>
            <w:vAlign w:val="bottom"/>
            <w:hideMark/>
          </w:tcPr>
          <w:p w14:paraId="46792305"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3041571A"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3E33976C" w14:textId="77777777" w:rsidTr="00342374">
        <w:trPr>
          <w:trHeight w:val="300"/>
        </w:trPr>
        <w:tc>
          <w:tcPr>
            <w:tcW w:w="1000" w:type="dxa"/>
            <w:tcBorders>
              <w:top w:val="nil"/>
              <w:left w:val="nil"/>
              <w:bottom w:val="nil"/>
              <w:right w:val="nil"/>
            </w:tcBorders>
            <w:noWrap/>
            <w:vAlign w:val="bottom"/>
            <w:hideMark/>
          </w:tcPr>
          <w:p w14:paraId="72A87B60"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Age (years)</w:t>
            </w:r>
          </w:p>
        </w:tc>
        <w:tc>
          <w:tcPr>
            <w:tcW w:w="160" w:type="dxa"/>
            <w:tcBorders>
              <w:top w:val="nil"/>
              <w:left w:val="nil"/>
              <w:bottom w:val="nil"/>
              <w:right w:val="nil"/>
            </w:tcBorders>
            <w:noWrap/>
            <w:vAlign w:val="bottom"/>
            <w:hideMark/>
          </w:tcPr>
          <w:p w14:paraId="44920052"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bottom"/>
            <w:hideMark/>
          </w:tcPr>
          <w:p w14:paraId="302319BD"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M</w:t>
            </w:r>
          </w:p>
        </w:tc>
        <w:tc>
          <w:tcPr>
            <w:tcW w:w="660" w:type="dxa"/>
            <w:tcBorders>
              <w:top w:val="nil"/>
              <w:left w:val="nil"/>
              <w:bottom w:val="nil"/>
              <w:right w:val="nil"/>
            </w:tcBorders>
            <w:noWrap/>
            <w:vAlign w:val="bottom"/>
            <w:hideMark/>
          </w:tcPr>
          <w:p w14:paraId="4D9F3A3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F</w:t>
            </w:r>
          </w:p>
        </w:tc>
        <w:tc>
          <w:tcPr>
            <w:tcW w:w="280" w:type="dxa"/>
            <w:tcBorders>
              <w:top w:val="nil"/>
              <w:left w:val="nil"/>
              <w:bottom w:val="nil"/>
              <w:right w:val="nil"/>
            </w:tcBorders>
            <w:noWrap/>
            <w:vAlign w:val="bottom"/>
            <w:hideMark/>
          </w:tcPr>
          <w:p w14:paraId="7089C9B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bottom"/>
            <w:hideMark/>
          </w:tcPr>
          <w:p w14:paraId="710C5AF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M</w:t>
            </w:r>
          </w:p>
        </w:tc>
        <w:tc>
          <w:tcPr>
            <w:tcW w:w="740" w:type="dxa"/>
            <w:tcBorders>
              <w:top w:val="nil"/>
              <w:left w:val="nil"/>
              <w:bottom w:val="nil"/>
              <w:right w:val="nil"/>
            </w:tcBorders>
            <w:noWrap/>
            <w:vAlign w:val="bottom"/>
            <w:hideMark/>
          </w:tcPr>
          <w:p w14:paraId="020B1F70"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F</w:t>
            </w:r>
          </w:p>
        </w:tc>
        <w:tc>
          <w:tcPr>
            <w:tcW w:w="280" w:type="dxa"/>
            <w:tcBorders>
              <w:top w:val="nil"/>
              <w:left w:val="nil"/>
              <w:bottom w:val="nil"/>
              <w:right w:val="nil"/>
            </w:tcBorders>
            <w:noWrap/>
            <w:vAlign w:val="bottom"/>
            <w:hideMark/>
          </w:tcPr>
          <w:p w14:paraId="7FC1AD7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bottom"/>
            <w:hideMark/>
          </w:tcPr>
          <w:p w14:paraId="44291E74"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M</w:t>
            </w:r>
          </w:p>
        </w:tc>
        <w:tc>
          <w:tcPr>
            <w:tcW w:w="800" w:type="dxa"/>
            <w:tcBorders>
              <w:top w:val="nil"/>
              <w:left w:val="nil"/>
              <w:bottom w:val="nil"/>
              <w:right w:val="nil"/>
            </w:tcBorders>
            <w:noWrap/>
            <w:vAlign w:val="bottom"/>
            <w:hideMark/>
          </w:tcPr>
          <w:p w14:paraId="78821FB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F</w:t>
            </w:r>
          </w:p>
        </w:tc>
        <w:tc>
          <w:tcPr>
            <w:tcW w:w="192" w:type="dxa"/>
            <w:gridSpan w:val="2"/>
            <w:tcBorders>
              <w:top w:val="nil"/>
              <w:left w:val="nil"/>
              <w:bottom w:val="nil"/>
              <w:right w:val="nil"/>
            </w:tcBorders>
            <w:noWrap/>
            <w:vAlign w:val="bottom"/>
            <w:hideMark/>
          </w:tcPr>
          <w:p w14:paraId="33082FB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5C1C213A"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49FDAD81" w14:textId="77777777" w:rsidTr="00342374">
        <w:trPr>
          <w:trHeight w:val="300"/>
        </w:trPr>
        <w:tc>
          <w:tcPr>
            <w:tcW w:w="1000" w:type="dxa"/>
            <w:tcBorders>
              <w:top w:val="nil"/>
              <w:left w:val="nil"/>
              <w:bottom w:val="nil"/>
              <w:right w:val="nil"/>
            </w:tcBorders>
            <w:noWrap/>
            <w:vAlign w:val="bottom"/>
            <w:hideMark/>
          </w:tcPr>
          <w:p w14:paraId="5C44CC8B"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50-54</w:t>
            </w:r>
          </w:p>
        </w:tc>
        <w:tc>
          <w:tcPr>
            <w:tcW w:w="160" w:type="dxa"/>
            <w:tcBorders>
              <w:top w:val="nil"/>
              <w:left w:val="nil"/>
              <w:bottom w:val="nil"/>
              <w:right w:val="nil"/>
            </w:tcBorders>
            <w:noWrap/>
            <w:vAlign w:val="bottom"/>
            <w:hideMark/>
          </w:tcPr>
          <w:p w14:paraId="5667E72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6B1CC51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14.5</w:t>
            </w:r>
          </w:p>
        </w:tc>
        <w:tc>
          <w:tcPr>
            <w:tcW w:w="660" w:type="dxa"/>
            <w:tcBorders>
              <w:top w:val="nil"/>
              <w:left w:val="nil"/>
              <w:bottom w:val="nil"/>
              <w:right w:val="nil"/>
            </w:tcBorders>
            <w:noWrap/>
            <w:vAlign w:val="center"/>
            <w:hideMark/>
          </w:tcPr>
          <w:p w14:paraId="49C3284D"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24.1</w:t>
            </w:r>
          </w:p>
        </w:tc>
        <w:tc>
          <w:tcPr>
            <w:tcW w:w="280" w:type="dxa"/>
            <w:tcBorders>
              <w:top w:val="nil"/>
              <w:left w:val="nil"/>
              <w:bottom w:val="nil"/>
              <w:right w:val="nil"/>
            </w:tcBorders>
            <w:noWrap/>
            <w:vAlign w:val="bottom"/>
            <w:hideMark/>
          </w:tcPr>
          <w:p w14:paraId="5EEDFD7E"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6B22BDB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50.9</w:t>
            </w:r>
          </w:p>
        </w:tc>
        <w:tc>
          <w:tcPr>
            <w:tcW w:w="740" w:type="dxa"/>
            <w:tcBorders>
              <w:top w:val="nil"/>
              <w:left w:val="nil"/>
              <w:bottom w:val="nil"/>
              <w:right w:val="nil"/>
            </w:tcBorders>
            <w:vAlign w:val="center"/>
            <w:hideMark/>
          </w:tcPr>
          <w:p w14:paraId="2ED4E162"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106.6</w:t>
            </w:r>
          </w:p>
        </w:tc>
        <w:tc>
          <w:tcPr>
            <w:tcW w:w="280" w:type="dxa"/>
            <w:tcBorders>
              <w:top w:val="nil"/>
              <w:left w:val="nil"/>
              <w:bottom w:val="nil"/>
              <w:right w:val="nil"/>
            </w:tcBorders>
            <w:noWrap/>
            <w:vAlign w:val="bottom"/>
            <w:hideMark/>
          </w:tcPr>
          <w:p w14:paraId="37D7469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58BBEE7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43.5</w:t>
            </w:r>
          </w:p>
        </w:tc>
        <w:tc>
          <w:tcPr>
            <w:tcW w:w="800" w:type="dxa"/>
            <w:tcBorders>
              <w:top w:val="nil"/>
              <w:left w:val="nil"/>
              <w:bottom w:val="nil"/>
              <w:right w:val="nil"/>
            </w:tcBorders>
            <w:noWrap/>
            <w:vAlign w:val="center"/>
            <w:hideMark/>
          </w:tcPr>
          <w:p w14:paraId="3CB81C61"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48.5</w:t>
            </w:r>
          </w:p>
        </w:tc>
        <w:tc>
          <w:tcPr>
            <w:tcW w:w="192" w:type="dxa"/>
            <w:gridSpan w:val="2"/>
            <w:tcBorders>
              <w:top w:val="nil"/>
              <w:left w:val="nil"/>
              <w:bottom w:val="nil"/>
              <w:right w:val="nil"/>
            </w:tcBorders>
            <w:noWrap/>
            <w:vAlign w:val="bottom"/>
            <w:hideMark/>
          </w:tcPr>
          <w:p w14:paraId="7E25843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004DF6B2"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7B8E5589" w14:textId="77777777" w:rsidTr="00342374">
        <w:trPr>
          <w:trHeight w:val="300"/>
        </w:trPr>
        <w:tc>
          <w:tcPr>
            <w:tcW w:w="1000" w:type="dxa"/>
            <w:tcBorders>
              <w:top w:val="nil"/>
              <w:left w:val="nil"/>
              <w:bottom w:val="nil"/>
              <w:right w:val="nil"/>
            </w:tcBorders>
            <w:noWrap/>
            <w:vAlign w:val="bottom"/>
            <w:hideMark/>
          </w:tcPr>
          <w:p w14:paraId="23F61977"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55-59</w:t>
            </w:r>
          </w:p>
        </w:tc>
        <w:tc>
          <w:tcPr>
            <w:tcW w:w="160" w:type="dxa"/>
            <w:tcBorders>
              <w:top w:val="nil"/>
              <w:left w:val="nil"/>
              <w:bottom w:val="nil"/>
              <w:right w:val="nil"/>
            </w:tcBorders>
            <w:noWrap/>
            <w:vAlign w:val="bottom"/>
            <w:hideMark/>
          </w:tcPr>
          <w:p w14:paraId="333BA5CD"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12546C7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21.4</w:t>
            </w:r>
          </w:p>
        </w:tc>
        <w:tc>
          <w:tcPr>
            <w:tcW w:w="660" w:type="dxa"/>
            <w:tcBorders>
              <w:top w:val="nil"/>
              <w:left w:val="nil"/>
              <w:bottom w:val="nil"/>
              <w:right w:val="nil"/>
            </w:tcBorders>
            <w:noWrap/>
            <w:vAlign w:val="center"/>
            <w:hideMark/>
          </w:tcPr>
          <w:p w14:paraId="4BD1AD2E"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16.0</w:t>
            </w:r>
          </w:p>
        </w:tc>
        <w:tc>
          <w:tcPr>
            <w:tcW w:w="280" w:type="dxa"/>
            <w:tcBorders>
              <w:top w:val="nil"/>
              <w:left w:val="nil"/>
              <w:bottom w:val="nil"/>
              <w:right w:val="nil"/>
            </w:tcBorders>
            <w:noWrap/>
            <w:vAlign w:val="bottom"/>
            <w:hideMark/>
          </w:tcPr>
          <w:p w14:paraId="45ED8E09"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456EBE52"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75.8</w:t>
            </w:r>
          </w:p>
        </w:tc>
        <w:tc>
          <w:tcPr>
            <w:tcW w:w="740" w:type="dxa"/>
            <w:tcBorders>
              <w:top w:val="nil"/>
              <w:left w:val="nil"/>
              <w:bottom w:val="nil"/>
              <w:right w:val="nil"/>
            </w:tcBorders>
            <w:vAlign w:val="center"/>
            <w:hideMark/>
          </w:tcPr>
          <w:p w14:paraId="44881B7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68.6</w:t>
            </w:r>
          </w:p>
        </w:tc>
        <w:tc>
          <w:tcPr>
            <w:tcW w:w="280" w:type="dxa"/>
            <w:tcBorders>
              <w:top w:val="nil"/>
              <w:left w:val="nil"/>
              <w:bottom w:val="nil"/>
              <w:right w:val="nil"/>
            </w:tcBorders>
            <w:noWrap/>
            <w:vAlign w:val="bottom"/>
            <w:hideMark/>
          </w:tcPr>
          <w:p w14:paraId="34928F9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759BEBF2"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76.3</w:t>
            </w:r>
          </w:p>
        </w:tc>
        <w:tc>
          <w:tcPr>
            <w:tcW w:w="800" w:type="dxa"/>
            <w:tcBorders>
              <w:top w:val="nil"/>
              <w:left w:val="nil"/>
              <w:bottom w:val="nil"/>
              <w:right w:val="nil"/>
            </w:tcBorders>
            <w:noWrap/>
            <w:vAlign w:val="center"/>
            <w:hideMark/>
          </w:tcPr>
          <w:p w14:paraId="79B79D6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97.5</w:t>
            </w:r>
          </w:p>
        </w:tc>
        <w:tc>
          <w:tcPr>
            <w:tcW w:w="192" w:type="dxa"/>
            <w:gridSpan w:val="2"/>
            <w:tcBorders>
              <w:top w:val="nil"/>
              <w:left w:val="nil"/>
              <w:bottom w:val="nil"/>
              <w:right w:val="nil"/>
            </w:tcBorders>
            <w:noWrap/>
            <w:vAlign w:val="bottom"/>
            <w:hideMark/>
          </w:tcPr>
          <w:p w14:paraId="141F117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06EE35B0"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1199E8AA" w14:textId="77777777" w:rsidTr="00342374">
        <w:trPr>
          <w:trHeight w:val="300"/>
        </w:trPr>
        <w:tc>
          <w:tcPr>
            <w:tcW w:w="1000" w:type="dxa"/>
            <w:tcBorders>
              <w:top w:val="nil"/>
              <w:left w:val="nil"/>
              <w:bottom w:val="nil"/>
              <w:right w:val="nil"/>
            </w:tcBorders>
            <w:noWrap/>
            <w:vAlign w:val="bottom"/>
            <w:hideMark/>
          </w:tcPr>
          <w:p w14:paraId="1E74563E"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60-64</w:t>
            </w:r>
          </w:p>
        </w:tc>
        <w:tc>
          <w:tcPr>
            <w:tcW w:w="160" w:type="dxa"/>
            <w:tcBorders>
              <w:top w:val="nil"/>
              <w:left w:val="nil"/>
              <w:bottom w:val="nil"/>
              <w:right w:val="nil"/>
            </w:tcBorders>
            <w:noWrap/>
            <w:vAlign w:val="bottom"/>
            <w:hideMark/>
          </w:tcPr>
          <w:p w14:paraId="701D4A88"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2EC1449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56.1</w:t>
            </w:r>
          </w:p>
        </w:tc>
        <w:tc>
          <w:tcPr>
            <w:tcW w:w="660" w:type="dxa"/>
            <w:tcBorders>
              <w:top w:val="nil"/>
              <w:left w:val="nil"/>
              <w:bottom w:val="nil"/>
              <w:right w:val="nil"/>
            </w:tcBorders>
            <w:noWrap/>
            <w:vAlign w:val="center"/>
            <w:hideMark/>
          </w:tcPr>
          <w:p w14:paraId="4770E7A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32.7</w:t>
            </w:r>
          </w:p>
        </w:tc>
        <w:tc>
          <w:tcPr>
            <w:tcW w:w="280" w:type="dxa"/>
            <w:tcBorders>
              <w:top w:val="nil"/>
              <w:left w:val="nil"/>
              <w:bottom w:val="nil"/>
              <w:right w:val="nil"/>
            </w:tcBorders>
            <w:noWrap/>
            <w:vAlign w:val="bottom"/>
            <w:hideMark/>
          </w:tcPr>
          <w:p w14:paraId="51742EF0"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71398048"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44.5</w:t>
            </w:r>
          </w:p>
        </w:tc>
        <w:tc>
          <w:tcPr>
            <w:tcW w:w="740" w:type="dxa"/>
            <w:tcBorders>
              <w:top w:val="nil"/>
              <w:left w:val="nil"/>
              <w:bottom w:val="nil"/>
              <w:right w:val="nil"/>
            </w:tcBorders>
            <w:vAlign w:val="center"/>
            <w:hideMark/>
          </w:tcPr>
          <w:p w14:paraId="45FB34D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61.8</w:t>
            </w:r>
          </w:p>
        </w:tc>
        <w:tc>
          <w:tcPr>
            <w:tcW w:w="280" w:type="dxa"/>
            <w:tcBorders>
              <w:top w:val="nil"/>
              <w:left w:val="nil"/>
              <w:bottom w:val="nil"/>
              <w:right w:val="nil"/>
            </w:tcBorders>
            <w:noWrap/>
            <w:vAlign w:val="bottom"/>
            <w:hideMark/>
          </w:tcPr>
          <w:p w14:paraId="5127823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73BB247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36.3</w:t>
            </w:r>
          </w:p>
        </w:tc>
        <w:tc>
          <w:tcPr>
            <w:tcW w:w="800" w:type="dxa"/>
            <w:tcBorders>
              <w:top w:val="nil"/>
              <w:left w:val="nil"/>
              <w:bottom w:val="nil"/>
              <w:right w:val="nil"/>
            </w:tcBorders>
            <w:noWrap/>
            <w:vAlign w:val="center"/>
            <w:hideMark/>
          </w:tcPr>
          <w:p w14:paraId="6D73A533"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90.8</w:t>
            </w:r>
          </w:p>
        </w:tc>
        <w:tc>
          <w:tcPr>
            <w:tcW w:w="192" w:type="dxa"/>
            <w:gridSpan w:val="2"/>
            <w:tcBorders>
              <w:top w:val="nil"/>
              <w:left w:val="nil"/>
              <w:bottom w:val="nil"/>
              <w:right w:val="nil"/>
            </w:tcBorders>
            <w:noWrap/>
            <w:vAlign w:val="bottom"/>
            <w:hideMark/>
          </w:tcPr>
          <w:p w14:paraId="089594F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6D8139F9"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540F2D48" w14:textId="77777777" w:rsidTr="00342374">
        <w:trPr>
          <w:trHeight w:val="300"/>
        </w:trPr>
        <w:tc>
          <w:tcPr>
            <w:tcW w:w="1000" w:type="dxa"/>
            <w:tcBorders>
              <w:top w:val="nil"/>
              <w:left w:val="nil"/>
              <w:bottom w:val="nil"/>
              <w:right w:val="nil"/>
            </w:tcBorders>
            <w:noWrap/>
            <w:vAlign w:val="bottom"/>
            <w:hideMark/>
          </w:tcPr>
          <w:p w14:paraId="587F881D"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65-69</w:t>
            </w:r>
          </w:p>
        </w:tc>
        <w:tc>
          <w:tcPr>
            <w:tcW w:w="160" w:type="dxa"/>
            <w:tcBorders>
              <w:top w:val="nil"/>
              <w:left w:val="nil"/>
              <w:bottom w:val="nil"/>
              <w:right w:val="nil"/>
            </w:tcBorders>
            <w:noWrap/>
            <w:vAlign w:val="bottom"/>
            <w:hideMark/>
          </w:tcPr>
          <w:p w14:paraId="2F95AFE1"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1C89216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29.2</w:t>
            </w:r>
          </w:p>
        </w:tc>
        <w:tc>
          <w:tcPr>
            <w:tcW w:w="660" w:type="dxa"/>
            <w:tcBorders>
              <w:top w:val="nil"/>
              <w:left w:val="nil"/>
              <w:bottom w:val="nil"/>
              <w:right w:val="nil"/>
            </w:tcBorders>
            <w:noWrap/>
            <w:vAlign w:val="center"/>
            <w:hideMark/>
          </w:tcPr>
          <w:p w14:paraId="53D458DE"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37.8</w:t>
            </w:r>
          </w:p>
        </w:tc>
        <w:tc>
          <w:tcPr>
            <w:tcW w:w="280" w:type="dxa"/>
            <w:tcBorders>
              <w:top w:val="nil"/>
              <w:left w:val="nil"/>
              <w:bottom w:val="nil"/>
              <w:right w:val="nil"/>
            </w:tcBorders>
            <w:noWrap/>
            <w:vAlign w:val="bottom"/>
            <w:hideMark/>
          </w:tcPr>
          <w:p w14:paraId="146229A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14E569F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52.2</w:t>
            </w:r>
          </w:p>
        </w:tc>
        <w:tc>
          <w:tcPr>
            <w:tcW w:w="740" w:type="dxa"/>
            <w:tcBorders>
              <w:top w:val="nil"/>
              <w:left w:val="nil"/>
              <w:bottom w:val="nil"/>
              <w:right w:val="nil"/>
            </w:tcBorders>
            <w:vAlign w:val="center"/>
            <w:hideMark/>
          </w:tcPr>
          <w:p w14:paraId="401F620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90.5</w:t>
            </w:r>
          </w:p>
        </w:tc>
        <w:tc>
          <w:tcPr>
            <w:tcW w:w="280" w:type="dxa"/>
            <w:tcBorders>
              <w:top w:val="nil"/>
              <w:left w:val="nil"/>
              <w:bottom w:val="nil"/>
              <w:right w:val="nil"/>
            </w:tcBorders>
            <w:noWrap/>
            <w:vAlign w:val="bottom"/>
            <w:hideMark/>
          </w:tcPr>
          <w:p w14:paraId="0F0087F4"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226C543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39.1</w:t>
            </w:r>
          </w:p>
        </w:tc>
        <w:tc>
          <w:tcPr>
            <w:tcW w:w="800" w:type="dxa"/>
            <w:tcBorders>
              <w:top w:val="nil"/>
              <w:left w:val="nil"/>
              <w:bottom w:val="nil"/>
              <w:right w:val="nil"/>
            </w:tcBorders>
            <w:noWrap/>
            <w:vAlign w:val="center"/>
            <w:hideMark/>
          </w:tcPr>
          <w:p w14:paraId="30E77AC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89.3</w:t>
            </w:r>
          </w:p>
        </w:tc>
        <w:tc>
          <w:tcPr>
            <w:tcW w:w="192" w:type="dxa"/>
            <w:gridSpan w:val="2"/>
            <w:tcBorders>
              <w:top w:val="nil"/>
              <w:left w:val="nil"/>
              <w:bottom w:val="nil"/>
              <w:right w:val="nil"/>
            </w:tcBorders>
            <w:noWrap/>
            <w:vAlign w:val="bottom"/>
            <w:hideMark/>
          </w:tcPr>
          <w:p w14:paraId="3B5DF1F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1E1984FA"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4DE0FC12" w14:textId="77777777" w:rsidTr="00342374">
        <w:trPr>
          <w:trHeight w:val="300"/>
        </w:trPr>
        <w:tc>
          <w:tcPr>
            <w:tcW w:w="1000" w:type="dxa"/>
            <w:tcBorders>
              <w:top w:val="nil"/>
              <w:left w:val="nil"/>
              <w:bottom w:val="nil"/>
              <w:right w:val="nil"/>
            </w:tcBorders>
            <w:noWrap/>
            <w:vAlign w:val="bottom"/>
            <w:hideMark/>
          </w:tcPr>
          <w:p w14:paraId="6549016A"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70-74</w:t>
            </w:r>
          </w:p>
        </w:tc>
        <w:tc>
          <w:tcPr>
            <w:tcW w:w="160" w:type="dxa"/>
            <w:tcBorders>
              <w:top w:val="nil"/>
              <w:left w:val="nil"/>
              <w:bottom w:val="nil"/>
              <w:right w:val="nil"/>
            </w:tcBorders>
            <w:noWrap/>
            <w:vAlign w:val="bottom"/>
            <w:hideMark/>
          </w:tcPr>
          <w:p w14:paraId="3CC82CA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6666DBA3"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25.6</w:t>
            </w:r>
          </w:p>
        </w:tc>
        <w:tc>
          <w:tcPr>
            <w:tcW w:w="660" w:type="dxa"/>
            <w:tcBorders>
              <w:top w:val="nil"/>
              <w:left w:val="nil"/>
              <w:bottom w:val="nil"/>
              <w:right w:val="nil"/>
            </w:tcBorders>
            <w:noWrap/>
            <w:vAlign w:val="center"/>
            <w:hideMark/>
          </w:tcPr>
          <w:p w14:paraId="1304E08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49.8</w:t>
            </w:r>
          </w:p>
        </w:tc>
        <w:tc>
          <w:tcPr>
            <w:tcW w:w="280" w:type="dxa"/>
            <w:tcBorders>
              <w:top w:val="nil"/>
              <w:left w:val="nil"/>
              <w:bottom w:val="nil"/>
              <w:right w:val="nil"/>
            </w:tcBorders>
            <w:noWrap/>
            <w:vAlign w:val="bottom"/>
            <w:hideMark/>
          </w:tcPr>
          <w:p w14:paraId="3D2716A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1F9CDC90"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59.2</w:t>
            </w:r>
          </w:p>
        </w:tc>
        <w:tc>
          <w:tcPr>
            <w:tcW w:w="740" w:type="dxa"/>
            <w:tcBorders>
              <w:top w:val="nil"/>
              <w:left w:val="nil"/>
              <w:bottom w:val="nil"/>
              <w:right w:val="nil"/>
            </w:tcBorders>
            <w:vAlign w:val="center"/>
            <w:hideMark/>
          </w:tcPr>
          <w:p w14:paraId="5FC63642"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97.4</w:t>
            </w:r>
          </w:p>
        </w:tc>
        <w:tc>
          <w:tcPr>
            <w:tcW w:w="280" w:type="dxa"/>
            <w:tcBorders>
              <w:top w:val="nil"/>
              <w:left w:val="nil"/>
              <w:bottom w:val="nil"/>
              <w:right w:val="nil"/>
            </w:tcBorders>
            <w:noWrap/>
            <w:vAlign w:val="bottom"/>
            <w:hideMark/>
          </w:tcPr>
          <w:p w14:paraId="521C79C9"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2978FEDE"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33.4</w:t>
            </w:r>
          </w:p>
        </w:tc>
        <w:tc>
          <w:tcPr>
            <w:tcW w:w="800" w:type="dxa"/>
            <w:tcBorders>
              <w:top w:val="nil"/>
              <w:left w:val="nil"/>
              <w:bottom w:val="nil"/>
              <w:right w:val="nil"/>
            </w:tcBorders>
            <w:noWrap/>
            <w:vAlign w:val="center"/>
            <w:hideMark/>
          </w:tcPr>
          <w:p w14:paraId="21D6653D"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142.6</w:t>
            </w:r>
          </w:p>
        </w:tc>
        <w:tc>
          <w:tcPr>
            <w:tcW w:w="192" w:type="dxa"/>
            <w:gridSpan w:val="2"/>
            <w:tcBorders>
              <w:top w:val="nil"/>
              <w:left w:val="nil"/>
              <w:bottom w:val="nil"/>
              <w:right w:val="nil"/>
            </w:tcBorders>
            <w:noWrap/>
            <w:vAlign w:val="bottom"/>
            <w:hideMark/>
          </w:tcPr>
          <w:p w14:paraId="38F69FC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685CDEEC"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324F9E0E" w14:textId="77777777" w:rsidTr="00342374">
        <w:trPr>
          <w:trHeight w:val="300"/>
        </w:trPr>
        <w:tc>
          <w:tcPr>
            <w:tcW w:w="1000" w:type="dxa"/>
            <w:tcBorders>
              <w:top w:val="nil"/>
              <w:left w:val="nil"/>
              <w:bottom w:val="nil"/>
              <w:right w:val="nil"/>
            </w:tcBorders>
            <w:noWrap/>
            <w:vAlign w:val="bottom"/>
            <w:hideMark/>
          </w:tcPr>
          <w:p w14:paraId="4B330D70"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75-79</w:t>
            </w:r>
          </w:p>
        </w:tc>
        <w:tc>
          <w:tcPr>
            <w:tcW w:w="160" w:type="dxa"/>
            <w:tcBorders>
              <w:top w:val="nil"/>
              <w:left w:val="nil"/>
              <w:bottom w:val="nil"/>
              <w:right w:val="nil"/>
            </w:tcBorders>
            <w:noWrap/>
            <w:vAlign w:val="bottom"/>
            <w:hideMark/>
          </w:tcPr>
          <w:p w14:paraId="009765CC"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4B28E9F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39.9</w:t>
            </w:r>
          </w:p>
        </w:tc>
        <w:tc>
          <w:tcPr>
            <w:tcW w:w="660" w:type="dxa"/>
            <w:tcBorders>
              <w:top w:val="nil"/>
              <w:left w:val="nil"/>
              <w:bottom w:val="nil"/>
              <w:right w:val="nil"/>
            </w:tcBorders>
            <w:noWrap/>
            <w:vAlign w:val="center"/>
            <w:hideMark/>
          </w:tcPr>
          <w:p w14:paraId="7BA5BFE3"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50.4</w:t>
            </w:r>
          </w:p>
        </w:tc>
        <w:tc>
          <w:tcPr>
            <w:tcW w:w="280" w:type="dxa"/>
            <w:tcBorders>
              <w:top w:val="nil"/>
              <w:left w:val="nil"/>
              <w:bottom w:val="nil"/>
              <w:right w:val="nil"/>
            </w:tcBorders>
            <w:noWrap/>
            <w:vAlign w:val="bottom"/>
            <w:hideMark/>
          </w:tcPr>
          <w:p w14:paraId="20BF747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6BE466D3"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59.2</w:t>
            </w:r>
          </w:p>
        </w:tc>
        <w:tc>
          <w:tcPr>
            <w:tcW w:w="740" w:type="dxa"/>
            <w:tcBorders>
              <w:top w:val="nil"/>
              <w:left w:val="nil"/>
              <w:bottom w:val="nil"/>
              <w:right w:val="nil"/>
            </w:tcBorders>
            <w:vAlign w:val="center"/>
            <w:hideMark/>
          </w:tcPr>
          <w:p w14:paraId="3449AC2E"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85.4</w:t>
            </w:r>
          </w:p>
        </w:tc>
        <w:tc>
          <w:tcPr>
            <w:tcW w:w="280" w:type="dxa"/>
            <w:tcBorders>
              <w:top w:val="nil"/>
              <w:left w:val="nil"/>
              <w:bottom w:val="nil"/>
              <w:right w:val="nil"/>
            </w:tcBorders>
            <w:noWrap/>
            <w:vAlign w:val="bottom"/>
            <w:hideMark/>
          </w:tcPr>
          <w:p w14:paraId="095F408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263BFA8D"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26.7</w:t>
            </w:r>
          </w:p>
        </w:tc>
        <w:tc>
          <w:tcPr>
            <w:tcW w:w="800" w:type="dxa"/>
            <w:tcBorders>
              <w:top w:val="nil"/>
              <w:left w:val="nil"/>
              <w:bottom w:val="nil"/>
              <w:right w:val="nil"/>
            </w:tcBorders>
            <w:noWrap/>
            <w:vAlign w:val="center"/>
            <w:hideMark/>
          </w:tcPr>
          <w:p w14:paraId="6607B5D5"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129.3</w:t>
            </w:r>
          </w:p>
        </w:tc>
        <w:tc>
          <w:tcPr>
            <w:tcW w:w="192" w:type="dxa"/>
            <w:gridSpan w:val="2"/>
            <w:tcBorders>
              <w:top w:val="nil"/>
              <w:left w:val="nil"/>
              <w:bottom w:val="nil"/>
              <w:right w:val="nil"/>
            </w:tcBorders>
            <w:noWrap/>
            <w:vAlign w:val="bottom"/>
            <w:hideMark/>
          </w:tcPr>
          <w:p w14:paraId="50D79893"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7A052454"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07123DEE" w14:textId="77777777" w:rsidTr="00342374">
        <w:trPr>
          <w:trHeight w:val="300"/>
        </w:trPr>
        <w:tc>
          <w:tcPr>
            <w:tcW w:w="1000" w:type="dxa"/>
            <w:tcBorders>
              <w:top w:val="nil"/>
              <w:left w:val="nil"/>
              <w:bottom w:val="nil"/>
              <w:right w:val="nil"/>
            </w:tcBorders>
            <w:noWrap/>
            <w:vAlign w:val="bottom"/>
            <w:hideMark/>
          </w:tcPr>
          <w:p w14:paraId="336F5C86"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80-84</w:t>
            </w:r>
          </w:p>
        </w:tc>
        <w:tc>
          <w:tcPr>
            <w:tcW w:w="160" w:type="dxa"/>
            <w:tcBorders>
              <w:top w:val="nil"/>
              <w:left w:val="nil"/>
              <w:bottom w:val="nil"/>
              <w:right w:val="nil"/>
            </w:tcBorders>
            <w:noWrap/>
            <w:vAlign w:val="bottom"/>
            <w:hideMark/>
          </w:tcPr>
          <w:p w14:paraId="523D4790"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13EF32B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51.6</w:t>
            </w:r>
          </w:p>
        </w:tc>
        <w:tc>
          <w:tcPr>
            <w:tcW w:w="660" w:type="dxa"/>
            <w:tcBorders>
              <w:top w:val="nil"/>
              <w:left w:val="nil"/>
              <w:bottom w:val="nil"/>
              <w:right w:val="nil"/>
            </w:tcBorders>
            <w:noWrap/>
            <w:vAlign w:val="center"/>
            <w:hideMark/>
          </w:tcPr>
          <w:p w14:paraId="5A7929F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53.8</w:t>
            </w:r>
          </w:p>
        </w:tc>
        <w:tc>
          <w:tcPr>
            <w:tcW w:w="280" w:type="dxa"/>
            <w:tcBorders>
              <w:top w:val="nil"/>
              <w:left w:val="nil"/>
              <w:bottom w:val="nil"/>
              <w:right w:val="nil"/>
            </w:tcBorders>
            <w:noWrap/>
            <w:vAlign w:val="bottom"/>
            <w:hideMark/>
          </w:tcPr>
          <w:p w14:paraId="754BA4E5"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7201DFE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55.1</w:t>
            </w:r>
          </w:p>
        </w:tc>
        <w:tc>
          <w:tcPr>
            <w:tcW w:w="740" w:type="dxa"/>
            <w:tcBorders>
              <w:top w:val="nil"/>
              <w:left w:val="nil"/>
              <w:bottom w:val="nil"/>
              <w:right w:val="nil"/>
            </w:tcBorders>
            <w:vAlign w:val="center"/>
            <w:hideMark/>
          </w:tcPr>
          <w:p w14:paraId="4CF84EF4"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87.1</w:t>
            </w:r>
          </w:p>
        </w:tc>
        <w:tc>
          <w:tcPr>
            <w:tcW w:w="280" w:type="dxa"/>
            <w:tcBorders>
              <w:top w:val="nil"/>
              <w:left w:val="nil"/>
              <w:bottom w:val="nil"/>
              <w:right w:val="nil"/>
            </w:tcBorders>
            <w:noWrap/>
            <w:vAlign w:val="bottom"/>
            <w:hideMark/>
          </w:tcPr>
          <w:p w14:paraId="6CF9C7F8"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4579736C"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28.3</w:t>
            </w:r>
          </w:p>
        </w:tc>
        <w:tc>
          <w:tcPr>
            <w:tcW w:w="800" w:type="dxa"/>
            <w:tcBorders>
              <w:top w:val="nil"/>
              <w:left w:val="nil"/>
              <w:bottom w:val="nil"/>
              <w:right w:val="nil"/>
            </w:tcBorders>
            <w:noWrap/>
            <w:vAlign w:val="center"/>
            <w:hideMark/>
          </w:tcPr>
          <w:p w14:paraId="5F4DD9AA"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129.6</w:t>
            </w:r>
          </w:p>
        </w:tc>
        <w:tc>
          <w:tcPr>
            <w:tcW w:w="192" w:type="dxa"/>
            <w:gridSpan w:val="2"/>
            <w:tcBorders>
              <w:top w:val="nil"/>
              <w:left w:val="nil"/>
              <w:bottom w:val="nil"/>
              <w:right w:val="nil"/>
            </w:tcBorders>
            <w:noWrap/>
            <w:vAlign w:val="bottom"/>
            <w:hideMark/>
          </w:tcPr>
          <w:p w14:paraId="48A42A05"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5CECE4CC"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648ACB54" w14:textId="77777777" w:rsidTr="00342374">
        <w:trPr>
          <w:trHeight w:val="300"/>
        </w:trPr>
        <w:tc>
          <w:tcPr>
            <w:tcW w:w="1000" w:type="dxa"/>
            <w:tcBorders>
              <w:top w:val="nil"/>
              <w:left w:val="nil"/>
              <w:bottom w:val="nil"/>
              <w:right w:val="nil"/>
            </w:tcBorders>
            <w:noWrap/>
            <w:vAlign w:val="bottom"/>
            <w:hideMark/>
          </w:tcPr>
          <w:p w14:paraId="61DE8270"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85-89</w:t>
            </w:r>
          </w:p>
        </w:tc>
        <w:tc>
          <w:tcPr>
            <w:tcW w:w="160" w:type="dxa"/>
            <w:tcBorders>
              <w:top w:val="nil"/>
              <w:left w:val="nil"/>
              <w:bottom w:val="nil"/>
              <w:right w:val="nil"/>
            </w:tcBorders>
            <w:noWrap/>
            <w:vAlign w:val="bottom"/>
            <w:hideMark/>
          </w:tcPr>
          <w:p w14:paraId="303EFE9F"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7BBADDDE"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55.0</w:t>
            </w:r>
          </w:p>
        </w:tc>
        <w:tc>
          <w:tcPr>
            <w:tcW w:w="660" w:type="dxa"/>
            <w:tcBorders>
              <w:top w:val="nil"/>
              <w:left w:val="nil"/>
              <w:bottom w:val="nil"/>
              <w:right w:val="nil"/>
            </w:tcBorders>
            <w:noWrap/>
            <w:vAlign w:val="center"/>
            <w:hideMark/>
          </w:tcPr>
          <w:p w14:paraId="4ADE921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43.0</w:t>
            </w:r>
          </w:p>
        </w:tc>
        <w:tc>
          <w:tcPr>
            <w:tcW w:w="280" w:type="dxa"/>
            <w:tcBorders>
              <w:top w:val="nil"/>
              <w:left w:val="nil"/>
              <w:bottom w:val="nil"/>
              <w:right w:val="nil"/>
            </w:tcBorders>
            <w:noWrap/>
            <w:vAlign w:val="bottom"/>
            <w:hideMark/>
          </w:tcPr>
          <w:p w14:paraId="57988E7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129F72C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57.2</w:t>
            </w:r>
          </w:p>
        </w:tc>
        <w:tc>
          <w:tcPr>
            <w:tcW w:w="740" w:type="dxa"/>
            <w:tcBorders>
              <w:top w:val="nil"/>
              <w:left w:val="nil"/>
              <w:bottom w:val="nil"/>
              <w:right w:val="nil"/>
            </w:tcBorders>
            <w:vAlign w:val="center"/>
            <w:hideMark/>
          </w:tcPr>
          <w:p w14:paraId="0A042C6B"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87.6</w:t>
            </w:r>
          </w:p>
        </w:tc>
        <w:tc>
          <w:tcPr>
            <w:tcW w:w="280" w:type="dxa"/>
            <w:tcBorders>
              <w:top w:val="nil"/>
              <w:left w:val="nil"/>
              <w:bottom w:val="nil"/>
              <w:right w:val="nil"/>
            </w:tcBorders>
            <w:noWrap/>
            <w:vAlign w:val="bottom"/>
            <w:hideMark/>
          </w:tcPr>
          <w:p w14:paraId="5D28C7B5"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0082457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33.4</w:t>
            </w:r>
          </w:p>
        </w:tc>
        <w:tc>
          <w:tcPr>
            <w:tcW w:w="800" w:type="dxa"/>
            <w:tcBorders>
              <w:top w:val="nil"/>
              <w:left w:val="nil"/>
              <w:bottom w:val="nil"/>
              <w:right w:val="nil"/>
            </w:tcBorders>
            <w:noWrap/>
            <w:vAlign w:val="center"/>
            <w:hideMark/>
          </w:tcPr>
          <w:p w14:paraId="20B0CB5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115.9</w:t>
            </w:r>
          </w:p>
        </w:tc>
        <w:tc>
          <w:tcPr>
            <w:tcW w:w="192" w:type="dxa"/>
            <w:gridSpan w:val="2"/>
            <w:tcBorders>
              <w:top w:val="nil"/>
              <w:left w:val="nil"/>
              <w:bottom w:val="nil"/>
              <w:right w:val="nil"/>
            </w:tcBorders>
            <w:noWrap/>
            <w:vAlign w:val="bottom"/>
            <w:hideMark/>
          </w:tcPr>
          <w:p w14:paraId="397596E8"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6F2B2080"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6883D905" w14:textId="77777777" w:rsidTr="00342374">
        <w:trPr>
          <w:trHeight w:val="315"/>
        </w:trPr>
        <w:tc>
          <w:tcPr>
            <w:tcW w:w="1000" w:type="dxa"/>
            <w:tcBorders>
              <w:top w:val="nil"/>
              <w:left w:val="nil"/>
              <w:bottom w:val="single" w:sz="12" w:space="0" w:color="auto"/>
              <w:right w:val="nil"/>
            </w:tcBorders>
            <w:noWrap/>
            <w:vAlign w:val="bottom"/>
            <w:hideMark/>
          </w:tcPr>
          <w:p w14:paraId="3BA74708" w14:textId="77777777" w:rsidR="007908FA" w:rsidRPr="00655509" w:rsidRDefault="007908FA"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90+</w:t>
            </w:r>
          </w:p>
        </w:tc>
        <w:tc>
          <w:tcPr>
            <w:tcW w:w="160" w:type="dxa"/>
            <w:tcBorders>
              <w:top w:val="nil"/>
              <w:left w:val="nil"/>
              <w:bottom w:val="single" w:sz="12" w:space="0" w:color="auto"/>
              <w:right w:val="nil"/>
            </w:tcBorders>
            <w:noWrap/>
            <w:vAlign w:val="bottom"/>
            <w:hideMark/>
          </w:tcPr>
          <w:p w14:paraId="1B5CDED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single" w:sz="12" w:space="0" w:color="auto"/>
              <w:right w:val="nil"/>
            </w:tcBorders>
            <w:noWrap/>
            <w:vAlign w:val="center"/>
            <w:hideMark/>
          </w:tcPr>
          <w:p w14:paraId="54DE9FC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34.6</w:t>
            </w:r>
          </w:p>
        </w:tc>
        <w:tc>
          <w:tcPr>
            <w:tcW w:w="660" w:type="dxa"/>
            <w:tcBorders>
              <w:top w:val="nil"/>
              <w:left w:val="nil"/>
              <w:bottom w:val="single" w:sz="12" w:space="0" w:color="auto"/>
              <w:right w:val="nil"/>
            </w:tcBorders>
            <w:noWrap/>
            <w:vAlign w:val="center"/>
            <w:hideMark/>
          </w:tcPr>
          <w:p w14:paraId="7BA44073"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37.0</w:t>
            </w:r>
          </w:p>
        </w:tc>
        <w:tc>
          <w:tcPr>
            <w:tcW w:w="280" w:type="dxa"/>
            <w:tcBorders>
              <w:top w:val="nil"/>
              <w:left w:val="nil"/>
              <w:bottom w:val="single" w:sz="12" w:space="0" w:color="auto"/>
              <w:right w:val="nil"/>
            </w:tcBorders>
            <w:noWrap/>
            <w:vAlign w:val="bottom"/>
            <w:hideMark/>
          </w:tcPr>
          <w:p w14:paraId="67496D9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single" w:sz="12" w:space="0" w:color="auto"/>
              <w:right w:val="nil"/>
            </w:tcBorders>
            <w:noWrap/>
            <w:vAlign w:val="center"/>
            <w:hideMark/>
          </w:tcPr>
          <w:p w14:paraId="06FE36C4"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69.3</w:t>
            </w:r>
          </w:p>
        </w:tc>
        <w:tc>
          <w:tcPr>
            <w:tcW w:w="740" w:type="dxa"/>
            <w:tcBorders>
              <w:top w:val="nil"/>
              <w:left w:val="nil"/>
              <w:bottom w:val="single" w:sz="12" w:space="0" w:color="auto"/>
              <w:right w:val="nil"/>
            </w:tcBorders>
            <w:vAlign w:val="center"/>
            <w:hideMark/>
          </w:tcPr>
          <w:p w14:paraId="6187A8CF"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94.0</w:t>
            </w:r>
          </w:p>
        </w:tc>
        <w:tc>
          <w:tcPr>
            <w:tcW w:w="280" w:type="dxa"/>
            <w:tcBorders>
              <w:top w:val="nil"/>
              <w:left w:val="nil"/>
              <w:bottom w:val="single" w:sz="12" w:space="0" w:color="auto"/>
              <w:right w:val="nil"/>
            </w:tcBorders>
            <w:noWrap/>
            <w:vAlign w:val="bottom"/>
            <w:hideMark/>
          </w:tcPr>
          <w:p w14:paraId="2C640277"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single" w:sz="12" w:space="0" w:color="auto"/>
              <w:right w:val="nil"/>
            </w:tcBorders>
            <w:noWrap/>
            <w:vAlign w:val="center"/>
            <w:hideMark/>
          </w:tcPr>
          <w:p w14:paraId="13BF4CF9"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58.9</w:t>
            </w:r>
          </w:p>
        </w:tc>
        <w:tc>
          <w:tcPr>
            <w:tcW w:w="800" w:type="dxa"/>
            <w:tcBorders>
              <w:top w:val="nil"/>
              <w:left w:val="nil"/>
              <w:bottom w:val="single" w:sz="12" w:space="0" w:color="auto"/>
              <w:right w:val="nil"/>
            </w:tcBorders>
            <w:noWrap/>
            <w:vAlign w:val="center"/>
            <w:hideMark/>
          </w:tcPr>
          <w:p w14:paraId="2CF8B9B6"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101.1</w:t>
            </w:r>
          </w:p>
        </w:tc>
        <w:tc>
          <w:tcPr>
            <w:tcW w:w="192" w:type="dxa"/>
            <w:gridSpan w:val="2"/>
            <w:tcBorders>
              <w:top w:val="nil"/>
              <w:left w:val="nil"/>
              <w:bottom w:val="single" w:sz="12" w:space="0" w:color="auto"/>
              <w:right w:val="nil"/>
            </w:tcBorders>
            <w:noWrap/>
            <w:vAlign w:val="bottom"/>
            <w:hideMark/>
          </w:tcPr>
          <w:p w14:paraId="5CF93902" w14:textId="77777777" w:rsidR="007908FA" w:rsidRPr="00655509" w:rsidRDefault="007908FA" w:rsidP="00342374">
            <w:pPr>
              <w:spacing w:after="0" w:line="240" w:lineRule="auto"/>
              <w:rPr>
                <w:rFonts w:ascii="Times New Roman" w:eastAsia="Times New Roman" w:hAnsi="Times New Roman" w:cs="Times New Roman"/>
                <w:color w:val="000000"/>
                <w:lang w:eastAsia="nl-NL"/>
              </w:rPr>
            </w:pPr>
          </w:p>
        </w:tc>
        <w:tc>
          <w:tcPr>
            <w:tcW w:w="960" w:type="dxa"/>
            <w:gridSpan w:val="2"/>
            <w:tcBorders>
              <w:top w:val="nil"/>
              <w:left w:val="nil"/>
              <w:bottom w:val="nil"/>
              <w:right w:val="nil"/>
            </w:tcBorders>
            <w:noWrap/>
            <w:vAlign w:val="bottom"/>
            <w:hideMark/>
          </w:tcPr>
          <w:p w14:paraId="600CDCEA"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52FD0541" w14:textId="77777777" w:rsidTr="00342374">
        <w:trPr>
          <w:trHeight w:val="315"/>
        </w:trPr>
        <w:tc>
          <w:tcPr>
            <w:tcW w:w="2520" w:type="dxa"/>
            <w:gridSpan w:val="4"/>
            <w:tcBorders>
              <w:top w:val="nil"/>
              <w:left w:val="nil"/>
              <w:bottom w:val="nil"/>
              <w:right w:val="nil"/>
            </w:tcBorders>
            <w:noWrap/>
            <w:vAlign w:val="bottom"/>
            <w:hideMark/>
          </w:tcPr>
          <w:p w14:paraId="252970C1" w14:textId="77777777" w:rsidR="007908FA" w:rsidRPr="00655509" w:rsidRDefault="007908FA" w:rsidP="00342374">
            <w:pPr>
              <w:spacing w:after="0" w:line="240" w:lineRule="auto"/>
              <w:rPr>
                <w:rFonts w:ascii="Times New Roman" w:eastAsia="Times New Roman" w:hAnsi="Times New Roman" w:cs="Times New Roman"/>
                <w:i/>
                <w:iCs/>
                <w:lang w:eastAsia="nl-NL"/>
              </w:rPr>
            </w:pPr>
            <w:r w:rsidRPr="00655509">
              <w:rPr>
                <w:rFonts w:ascii="Times New Roman" w:eastAsia="Times New Roman" w:hAnsi="Times New Roman" w:cs="Times New Roman"/>
                <w:i/>
                <w:iCs/>
                <w:lang w:eastAsia="nl-NL"/>
              </w:rPr>
              <w:t>M= males     F= females</w:t>
            </w:r>
          </w:p>
        </w:tc>
        <w:tc>
          <w:tcPr>
            <w:tcW w:w="280" w:type="dxa"/>
            <w:tcBorders>
              <w:top w:val="nil"/>
              <w:left w:val="nil"/>
              <w:bottom w:val="nil"/>
              <w:right w:val="nil"/>
            </w:tcBorders>
            <w:noWrap/>
            <w:vAlign w:val="bottom"/>
            <w:hideMark/>
          </w:tcPr>
          <w:p w14:paraId="41D77115" w14:textId="77777777" w:rsidR="007908FA" w:rsidRPr="00655509" w:rsidRDefault="007908FA" w:rsidP="00342374">
            <w:pPr>
              <w:spacing w:after="0" w:line="240" w:lineRule="auto"/>
              <w:rPr>
                <w:rFonts w:ascii="Times New Roman" w:eastAsia="Times New Roman" w:hAnsi="Times New Roman" w:cs="Times New Roman"/>
                <w:i/>
                <w:iCs/>
                <w:lang w:eastAsia="nl-NL"/>
              </w:rPr>
            </w:pPr>
          </w:p>
        </w:tc>
        <w:tc>
          <w:tcPr>
            <w:tcW w:w="680" w:type="dxa"/>
            <w:tcBorders>
              <w:top w:val="nil"/>
              <w:left w:val="nil"/>
              <w:bottom w:val="nil"/>
              <w:right w:val="nil"/>
            </w:tcBorders>
            <w:noWrap/>
            <w:vAlign w:val="bottom"/>
            <w:hideMark/>
          </w:tcPr>
          <w:p w14:paraId="011A0BB9"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40" w:type="dxa"/>
            <w:tcBorders>
              <w:top w:val="nil"/>
              <w:left w:val="nil"/>
              <w:bottom w:val="nil"/>
              <w:right w:val="nil"/>
            </w:tcBorders>
            <w:noWrap/>
            <w:vAlign w:val="bottom"/>
            <w:hideMark/>
          </w:tcPr>
          <w:p w14:paraId="5F406A8F"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4544CC30"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7B5A2361"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4C0C2730"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92" w:type="dxa"/>
            <w:gridSpan w:val="2"/>
            <w:tcBorders>
              <w:top w:val="nil"/>
              <w:left w:val="nil"/>
              <w:bottom w:val="nil"/>
              <w:right w:val="nil"/>
            </w:tcBorders>
            <w:noWrap/>
            <w:vAlign w:val="bottom"/>
            <w:hideMark/>
          </w:tcPr>
          <w:p w14:paraId="09484C75"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960" w:type="dxa"/>
            <w:gridSpan w:val="2"/>
            <w:tcBorders>
              <w:top w:val="nil"/>
              <w:left w:val="nil"/>
              <w:bottom w:val="nil"/>
              <w:right w:val="nil"/>
            </w:tcBorders>
            <w:noWrap/>
            <w:vAlign w:val="bottom"/>
            <w:hideMark/>
          </w:tcPr>
          <w:p w14:paraId="35A9ED2F"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7DDA5030" w14:textId="77777777" w:rsidTr="00342374">
        <w:trPr>
          <w:trHeight w:val="300"/>
        </w:trPr>
        <w:tc>
          <w:tcPr>
            <w:tcW w:w="1000" w:type="dxa"/>
            <w:tcBorders>
              <w:top w:val="nil"/>
              <w:left w:val="nil"/>
              <w:bottom w:val="nil"/>
              <w:right w:val="nil"/>
            </w:tcBorders>
            <w:noWrap/>
            <w:vAlign w:val="bottom"/>
            <w:hideMark/>
          </w:tcPr>
          <w:p w14:paraId="4FBF7F01"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007834E4"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bottom"/>
            <w:hideMark/>
          </w:tcPr>
          <w:p w14:paraId="1E91B50B"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660" w:type="dxa"/>
            <w:tcBorders>
              <w:top w:val="nil"/>
              <w:left w:val="nil"/>
              <w:bottom w:val="nil"/>
              <w:right w:val="nil"/>
            </w:tcBorders>
            <w:noWrap/>
            <w:vAlign w:val="bottom"/>
            <w:hideMark/>
          </w:tcPr>
          <w:p w14:paraId="56DB32E6"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323C86F9"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bottom"/>
            <w:hideMark/>
          </w:tcPr>
          <w:p w14:paraId="5712BF58"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40" w:type="dxa"/>
            <w:tcBorders>
              <w:top w:val="nil"/>
              <w:left w:val="nil"/>
              <w:bottom w:val="nil"/>
              <w:right w:val="nil"/>
            </w:tcBorders>
            <w:noWrap/>
            <w:vAlign w:val="bottom"/>
            <w:hideMark/>
          </w:tcPr>
          <w:p w14:paraId="0543785A"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086CBEF5"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4EE68190"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7C0552D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92" w:type="dxa"/>
            <w:gridSpan w:val="2"/>
            <w:tcBorders>
              <w:top w:val="nil"/>
              <w:left w:val="nil"/>
              <w:bottom w:val="nil"/>
              <w:right w:val="nil"/>
            </w:tcBorders>
            <w:noWrap/>
            <w:vAlign w:val="bottom"/>
            <w:hideMark/>
          </w:tcPr>
          <w:p w14:paraId="7348FB84"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960" w:type="dxa"/>
            <w:gridSpan w:val="2"/>
            <w:tcBorders>
              <w:top w:val="nil"/>
              <w:left w:val="nil"/>
              <w:bottom w:val="nil"/>
              <w:right w:val="nil"/>
            </w:tcBorders>
            <w:noWrap/>
            <w:vAlign w:val="bottom"/>
            <w:hideMark/>
          </w:tcPr>
          <w:p w14:paraId="51E5F44F" w14:textId="77777777" w:rsidR="007908FA" w:rsidRPr="00655509" w:rsidRDefault="007908FA" w:rsidP="00342374">
            <w:pPr>
              <w:spacing w:after="0" w:line="240" w:lineRule="auto"/>
              <w:rPr>
                <w:rFonts w:ascii="Times New Roman" w:eastAsia="Times New Roman" w:hAnsi="Times New Roman" w:cs="Times New Roman"/>
                <w:lang w:eastAsia="nl-NL"/>
              </w:rPr>
            </w:pPr>
          </w:p>
        </w:tc>
      </w:tr>
      <w:tr w:rsidR="007908FA" w:rsidRPr="002C5129" w14:paraId="0A090178" w14:textId="77777777" w:rsidTr="00342374">
        <w:trPr>
          <w:gridAfter w:val="1"/>
          <w:wAfter w:w="46" w:type="dxa"/>
          <w:trHeight w:val="300"/>
        </w:trPr>
        <w:tc>
          <w:tcPr>
            <w:tcW w:w="1000" w:type="dxa"/>
            <w:tcBorders>
              <w:top w:val="nil"/>
              <w:left w:val="nil"/>
              <w:bottom w:val="nil"/>
              <w:right w:val="nil"/>
            </w:tcBorders>
            <w:noWrap/>
            <w:vAlign w:val="bottom"/>
            <w:hideMark/>
          </w:tcPr>
          <w:p w14:paraId="3B434B4E"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1FACD192"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bottom"/>
            <w:hideMark/>
          </w:tcPr>
          <w:p w14:paraId="43F08689"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660" w:type="dxa"/>
            <w:tcBorders>
              <w:top w:val="nil"/>
              <w:left w:val="nil"/>
              <w:bottom w:val="nil"/>
              <w:right w:val="nil"/>
            </w:tcBorders>
            <w:noWrap/>
            <w:vAlign w:val="bottom"/>
            <w:hideMark/>
          </w:tcPr>
          <w:p w14:paraId="7D660DF5"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4F326830"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bottom"/>
            <w:hideMark/>
          </w:tcPr>
          <w:p w14:paraId="5BD3E0C3"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740" w:type="dxa"/>
            <w:tcBorders>
              <w:top w:val="nil"/>
              <w:left w:val="nil"/>
              <w:bottom w:val="nil"/>
              <w:right w:val="nil"/>
            </w:tcBorders>
            <w:noWrap/>
            <w:vAlign w:val="bottom"/>
            <w:hideMark/>
          </w:tcPr>
          <w:p w14:paraId="6A62852F"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609C4EF0"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678D387C"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2FBCCB15"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146" w:type="dxa"/>
            <w:tcBorders>
              <w:top w:val="nil"/>
              <w:left w:val="nil"/>
              <w:bottom w:val="nil"/>
              <w:right w:val="nil"/>
            </w:tcBorders>
            <w:noWrap/>
            <w:vAlign w:val="bottom"/>
            <w:hideMark/>
          </w:tcPr>
          <w:p w14:paraId="78C7BCE4" w14:textId="77777777" w:rsidR="007908FA" w:rsidRPr="00655509" w:rsidRDefault="007908FA" w:rsidP="00342374">
            <w:pPr>
              <w:spacing w:after="0" w:line="240" w:lineRule="auto"/>
              <w:rPr>
                <w:rFonts w:ascii="Times New Roman" w:eastAsia="Times New Roman" w:hAnsi="Times New Roman" w:cs="Times New Roman"/>
                <w:lang w:eastAsia="nl-NL"/>
              </w:rPr>
            </w:pPr>
          </w:p>
        </w:tc>
        <w:tc>
          <w:tcPr>
            <w:tcW w:w="960" w:type="dxa"/>
            <w:gridSpan w:val="2"/>
            <w:tcBorders>
              <w:top w:val="nil"/>
              <w:left w:val="nil"/>
              <w:bottom w:val="nil"/>
              <w:right w:val="nil"/>
            </w:tcBorders>
            <w:noWrap/>
            <w:vAlign w:val="bottom"/>
            <w:hideMark/>
          </w:tcPr>
          <w:p w14:paraId="21A675FC" w14:textId="77777777" w:rsidR="007908FA" w:rsidRPr="00655509" w:rsidRDefault="007908FA" w:rsidP="00342374">
            <w:pPr>
              <w:spacing w:after="0" w:line="240" w:lineRule="auto"/>
              <w:rPr>
                <w:rFonts w:ascii="Times New Roman" w:eastAsia="Times New Roman" w:hAnsi="Times New Roman" w:cs="Times New Roman"/>
                <w:lang w:eastAsia="nl-NL"/>
              </w:rPr>
            </w:pPr>
          </w:p>
        </w:tc>
      </w:tr>
    </w:tbl>
    <w:p w14:paraId="24C908B3" w14:textId="4F5F6FB4" w:rsidR="007908FA" w:rsidRDefault="007908FA" w:rsidP="00314931">
      <w:pPr>
        <w:spacing w:line="480" w:lineRule="auto"/>
        <w:rPr>
          <w:rFonts w:ascii="Times New Roman" w:hAnsi="Times New Roman" w:cs="Times New Roman"/>
          <w:sz w:val="24"/>
          <w:szCs w:val="24"/>
        </w:rPr>
      </w:pPr>
    </w:p>
    <w:p w14:paraId="1B4D1A78" w14:textId="77FD2B68" w:rsidR="007908FA" w:rsidRDefault="007908FA" w:rsidP="00314931">
      <w:pPr>
        <w:spacing w:line="480" w:lineRule="auto"/>
        <w:rPr>
          <w:rFonts w:ascii="Times New Roman" w:hAnsi="Times New Roman" w:cs="Times New Roman"/>
          <w:sz w:val="24"/>
          <w:szCs w:val="24"/>
        </w:rPr>
      </w:pPr>
    </w:p>
    <w:p w14:paraId="79D0CAF0" w14:textId="77777777" w:rsidR="007908FA" w:rsidRPr="00402C50" w:rsidRDefault="007908FA" w:rsidP="00314931">
      <w:pPr>
        <w:spacing w:line="480" w:lineRule="auto"/>
        <w:rPr>
          <w:rFonts w:ascii="Times New Roman" w:hAnsi="Times New Roman" w:cs="Times New Roman"/>
          <w:sz w:val="24"/>
          <w:szCs w:val="24"/>
        </w:rPr>
      </w:pPr>
    </w:p>
    <w:p w14:paraId="48FAAA39" w14:textId="77777777" w:rsidR="00EC5018" w:rsidRPr="00402C50" w:rsidRDefault="00EC5018" w:rsidP="00314931">
      <w:pPr>
        <w:spacing w:line="480" w:lineRule="auto"/>
        <w:rPr>
          <w:rFonts w:ascii="Times New Roman" w:hAnsi="Times New Roman" w:cs="Times New Roman"/>
          <w:sz w:val="24"/>
          <w:szCs w:val="24"/>
        </w:rPr>
      </w:pPr>
    </w:p>
    <w:p w14:paraId="5183955C" w14:textId="1C59EC7F" w:rsidR="00EC5018" w:rsidRDefault="00EC5018" w:rsidP="00314931">
      <w:pPr>
        <w:spacing w:line="480" w:lineRule="auto"/>
        <w:rPr>
          <w:rFonts w:ascii="Times New Roman" w:hAnsi="Times New Roman" w:cs="Times New Roman"/>
          <w:sz w:val="24"/>
          <w:szCs w:val="24"/>
          <w:lang w:val="en-US"/>
        </w:rPr>
      </w:pPr>
    </w:p>
    <w:p w14:paraId="40D28EB1" w14:textId="68B8EBDF" w:rsidR="00E64E4E" w:rsidRDefault="00E64E4E" w:rsidP="00314931">
      <w:pPr>
        <w:spacing w:line="480" w:lineRule="auto"/>
        <w:rPr>
          <w:rFonts w:ascii="Times New Roman" w:hAnsi="Times New Roman" w:cs="Times New Roman"/>
          <w:sz w:val="24"/>
          <w:szCs w:val="24"/>
          <w:lang w:val="en-US"/>
        </w:rPr>
      </w:pPr>
    </w:p>
    <w:p w14:paraId="193DC678" w14:textId="2278CABF" w:rsidR="005A11EE" w:rsidRDefault="005A11E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F06C92C" w14:textId="4F5D29C9" w:rsidR="00E64E4E" w:rsidRPr="00402C50" w:rsidRDefault="002C5129" w:rsidP="00314931">
      <w:pPr>
        <w:spacing w:line="480" w:lineRule="auto"/>
        <w:rPr>
          <w:rFonts w:ascii="Times New Roman" w:hAnsi="Times New Roman" w:cs="Times New Roman"/>
          <w:sz w:val="24"/>
          <w:szCs w:val="24"/>
          <w:lang w:val="en-US"/>
        </w:rPr>
      </w:pPr>
      <w:r w:rsidRPr="004F3EED">
        <w:rPr>
          <w:rFonts w:ascii="Times New Roman" w:eastAsia="Times New Roman" w:hAnsi="Times New Roman" w:cs="Times New Roman"/>
          <w:b/>
          <w:color w:val="000000"/>
          <w:lang w:eastAsia="nl-NL"/>
        </w:rPr>
        <w:t>Table 3</w:t>
      </w:r>
      <w:r>
        <w:rPr>
          <w:rFonts w:ascii="Times New Roman" w:eastAsia="Times New Roman" w:hAnsi="Times New Roman" w:cs="Times New Roman"/>
          <w:b/>
          <w:color w:val="000000"/>
          <w:lang w:eastAsia="nl-NL"/>
        </w:rPr>
        <w:t xml:space="preserve">: </w:t>
      </w:r>
      <w:r w:rsidRPr="00655509">
        <w:rPr>
          <w:rFonts w:ascii="Times New Roman" w:eastAsia="Times New Roman" w:hAnsi="Times New Roman" w:cs="Times New Roman"/>
          <w:color w:val="000000"/>
          <w:lang w:eastAsia="nl-NL"/>
        </w:rPr>
        <w:t>Relative risk of subsequent fractures after Hip/femur fracture in persons aged 50+, by 5-year age class, in the UK from 1990-2012</w:t>
      </w:r>
    </w:p>
    <w:tbl>
      <w:tblPr>
        <w:tblW w:w="7206" w:type="dxa"/>
        <w:tblCellMar>
          <w:top w:w="15" w:type="dxa"/>
          <w:left w:w="70" w:type="dxa"/>
          <w:bottom w:w="15" w:type="dxa"/>
          <w:right w:w="70" w:type="dxa"/>
        </w:tblCellMar>
        <w:tblLook w:val="04A0" w:firstRow="1" w:lastRow="0" w:firstColumn="1" w:lastColumn="0" w:noHBand="0" w:noVBand="1"/>
      </w:tblPr>
      <w:tblGrid>
        <w:gridCol w:w="1000"/>
        <w:gridCol w:w="160"/>
        <w:gridCol w:w="700"/>
        <w:gridCol w:w="660"/>
        <w:gridCol w:w="280"/>
        <w:gridCol w:w="680"/>
        <w:gridCol w:w="740"/>
        <w:gridCol w:w="280"/>
        <w:gridCol w:w="800"/>
        <w:gridCol w:w="800"/>
        <w:gridCol w:w="146"/>
        <w:gridCol w:w="960"/>
      </w:tblGrid>
      <w:tr w:rsidR="00E64E4E" w:rsidRPr="002C5129" w14:paraId="1C50AD0E" w14:textId="77777777" w:rsidTr="00342374">
        <w:trPr>
          <w:trHeight w:val="300"/>
        </w:trPr>
        <w:tc>
          <w:tcPr>
            <w:tcW w:w="5300" w:type="dxa"/>
            <w:gridSpan w:val="9"/>
            <w:tcBorders>
              <w:top w:val="nil"/>
              <w:left w:val="nil"/>
              <w:bottom w:val="nil"/>
              <w:right w:val="nil"/>
            </w:tcBorders>
            <w:noWrap/>
            <w:vAlign w:val="bottom"/>
            <w:hideMark/>
          </w:tcPr>
          <w:p w14:paraId="5CEE1B32" w14:textId="3FD1879C" w:rsidR="00E64E4E" w:rsidRPr="00655509" w:rsidRDefault="00E64E4E" w:rsidP="00342374">
            <w:pPr>
              <w:spacing w:after="0" w:line="240" w:lineRule="auto"/>
              <w:rPr>
                <w:rFonts w:ascii="Times New Roman" w:eastAsia="Times New Roman" w:hAnsi="Times New Roman" w:cs="Times New Roman"/>
                <w:b/>
                <w:color w:val="000000"/>
                <w:lang w:eastAsia="nl-NL"/>
              </w:rPr>
            </w:pPr>
          </w:p>
        </w:tc>
        <w:tc>
          <w:tcPr>
            <w:tcW w:w="800" w:type="dxa"/>
            <w:tcBorders>
              <w:top w:val="nil"/>
              <w:left w:val="nil"/>
              <w:bottom w:val="nil"/>
              <w:right w:val="nil"/>
            </w:tcBorders>
            <w:noWrap/>
            <w:vAlign w:val="bottom"/>
            <w:hideMark/>
          </w:tcPr>
          <w:p w14:paraId="359625F5"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100" w:type="dxa"/>
            <w:tcBorders>
              <w:top w:val="nil"/>
              <w:left w:val="nil"/>
              <w:bottom w:val="nil"/>
              <w:right w:val="nil"/>
            </w:tcBorders>
            <w:noWrap/>
            <w:vAlign w:val="bottom"/>
            <w:hideMark/>
          </w:tcPr>
          <w:p w14:paraId="5C3AF04F"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960" w:type="dxa"/>
            <w:tcBorders>
              <w:top w:val="nil"/>
              <w:left w:val="nil"/>
              <w:bottom w:val="nil"/>
              <w:right w:val="nil"/>
            </w:tcBorders>
            <w:noWrap/>
            <w:vAlign w:val="bottom"/>
            <w:hideMark/>
          </w:tcPr>
          <w:p w14:paraId="5C21EB67"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33561233" w14:textId="77777777" w:rsidTr="00342374">
        <w:trPr>
          <w:trHeight w:val="300"/>
        </w:trPr>
        <w:tc>
          <w:tcPr>
            <w:tcW w:w="6100" w:type="dxa"/>
            <w:gridSpan w:val="10"/>
            <w:tcBorders>
              <w:top w:val="nil"/>
              <w:left w:val="nil"/>
              <w:bottom w:val="nil"/>
              <w:right w:val="nil"/>
            </w:tcBorders>
            <w:noWrap/>
            <w:vAlign w:val="bottom"/>
            <w:hideMark/>
          </w:tcPr>
          <w:p w14:paraId="5E0BB55F" w14:textId="68C18712" w:rsidR="00E64E4E" w:rsidRPr="00655509" w:rsidRDefault="00E64E4E" w:rsidP="00342374">
            <w:pPr>
              <w:spacing w:after="0" w:line="240" w:lineRule="auto"/>
              <w:rPr>
                <w:rFonts w:ascii="Times New Roman" w:eastAsia="Times New Roman" w:hAnsi="Times New Roman" w:cs="Times New Roman"/>
                <w:b/>
                <w:color w:val="000000"/>
                <w:lang w:eastAsia="nl-NL"/>
              </w:rPr>
            </w:pPr>
          </w:p>
        </w:tc>
        <w:tc>
          <w:tcPr>
            <w:tcW w:w="100" w:type="dxa"/>
            <w:tcBorders>
              <w:top w:val="nil"/>
              <w:left w:val="nil"/>
              <w:bottom w:val="nil"/>
              <w:right w:val="nil"/>
            </w:tcBorders>
            <w:noWrap/>
            <w:vAlign w:val="bottom"/>
            <w:hideMark/>
          </w:tcPr>
          <w:p w14:paraId="0239DBB3"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00AE21DF"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386B3F9F" w14:textId="77777777" w:rsidTr="00342374">
        <w:trPr>
          <w:trHeight w:val="315"/>
        </w:trPr>
        <w:tc>
          <w:tcPr>
            <w:tcW w:w="1860" w:type="dxa"/>
            <w:gridSpan w:val="3"/>
            <w:tcBorders>
              <w:top w:val="nil"/>
              <w:left w:val="nil"/>
              <w:bottom w:val="single" w:sz="12" w:space="0" w:color="auto"/>
              <w:right w:val="nil"/>
            </w:tcBorders>
            <w:noWrap/>
            <w:vAlign w:val="bottom"/>
            <w:hideMark/>
          </w:tcPr>
          <w:p w14:paraId="0805031F" w14:textId="63679A4C" w:rsidR="00E64E4E" w:rsidRPr="00655509" w:rsidRDefault="00E64E4E">
            <w:pPr>
              <w:spacing w:after="0" w:line="240" w:lineRule="auto"/>
              <w:rPr>
                <w:rFonts w:ascii="Times New Roman" w:eastAsia="Times New Roman" w:hAnsi="Times New Roman" w:cs="Times New Roman"/>
                <w:b/>
                <w:color w:val="000000"/>
                <w:lang w:eastAsia="nl-NL"/>
              </w:rPr>
            </w:pPr>
            <w:r w:rsidRPr="00655509">
              <w:rPr>
                <w:rFonts w:ascii="Times New Roman" w:eastAsia="Times New Roman" w:hAnsi="Times New Roman" w:cs="Times New Roman"/>
                <w:b/>
                <w:color w:val="000000"/>
                <w:lang w:eastAsia="nl-NL"/>
              </w:rPr>
              <w:t xml:space="preserve"> </w:t>
            </w:r>
          </w:p>
        </w:tc>
        <w:tc>
          <w:tcPr>
            <w:tcW w:w="660" w:type="dxa"/>
            <w:tcBorders>
              <w:top w:val="nil"/>
              <w:left w:val="nil"/>
              <w:bottom w:val="single" w:sz="12" w:space="0" w:color="auto"/>
              <w:right w:val="nil"/>
            </w:tcBorders>
            <w:noWrap/>
            <w:vAlign w:val="bottom"/>
            <w:hideMark/>
          </w:tcPr>
          <w:p w14:paraId="43555F5E" w14:textId="77777777" w:rsidR="00E64E4E" w:rsidRPr="00655509" w:rsidRDefault="00E64E4E" w:rsidP="00342374">
            <w:pPr>
              <w:spacing w:after="0" w:line="240" w:lineRule="auto"/>
              <w:rPr>
                <w:rFonts w:ascii="Times New Roman" w:eastAsia="Times New Roman" w:hAnsi="Times New Roman" w:cs="Times New Roman"/>
                <w:b/>
                <w:color w:val="000000"/>
                <w:lang w:eastAsia="nl-NL"/>
              </w:rPr>
            </w:pPr>
          </w:p>
        </w:tc>
        <w:tc>
          <w:tcPr>
            <w:tcW w:w="280" w:type="dxa"/>
            <w:tcBorders>
              <w:top w:val="nil"/>
              <w:left w:val="nil"/>
              <w:bottom w:val="single" w:sz="12" w:space="0" w:color="auto"/>
              <w:right w:val="nil"/>
            </w:tcBorders>
            <w:noWrap/>
            <w:vAlign w:val="bottom"/>
            <w:hideMark/>
          </w:tcPr>
          <w:p w14:paraId="3D386397"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80" w:type="dxa"/>
            <w:tcBorders>
              <w:top w:val="nil"/>
              <w:left w:val="nil"/>
              <w:bottom w:val="single" w:sz="12" w:space="0" w:color="auto"/>
              <w:right w:val="nil"/>
            </w:tcBorders>
            <w:noWrap/>
            <w:vAlign w:val="bottom"/>
            <w:hideMark/>
          </w:tcPr>
          <w:p w14:paraId="3751701F"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40" w:type="dxa"/>
            <w:tcBorders>
              <w:top w:val="nil"/>
              <w:left w:val="nil"/>
              <w:bottom w:val="single" w:sz="12" w:space="0" w:color="auto"/>
              <w:right w:val="nil"/>
            </w:tcBorders>
            <w:noWrap/>
            <w:vAlign w:val="bottom"/>
            <w:hideMark/>
          </w:tcPr>
          <w:p w14:paraId="4A472E0D"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280" w:type="dxa"/>
            <w:tcBorders>
              <w:top w:val="nil"/>
              <w:left w:val="nil"/>
              <w:bottom w:val="single" w:sz="12" w:space="0" w:color="auto"/>
              <w:right w:val="nil"/>
            </w:tcBorders>
            <w:noWrap/>
            <w:vAlign w:val="bottom"/>
            <w:hideMark/>
          </w:tcPr>
          <w:p w14:paraId="27BE8BEE"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single" w:sz="12" w:space="0" w:color="auto"/>
              <w:right w:val="nil"/>
            </w:tcBorders>
            <w:noWrap/>
            <w:vAlign w:val="bottom"/>
            <w:hideMark/>
          </w:tcPr>
          <w:p w14:paraId="540AEFD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single" w:sz="12" w:space="0" w:color="auto"/>
              <w:right w:val="nil"/>
            </w:tcBorders>
            <w:noWrap/>
            <w:vAlign w:val="bottom"/>
            <w:hideMark/>
          </w:tcPr>
          <w:p w14:paraId="429F1445"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00" w:type="dxa"/>
            <w:tcBorders>
              <w:top w:val="nil"/>
              <w:left w:val="nil"/>
              <w:bottom w:val="single" w:sz="12" w:space="0" w:color="auto"/>
              <w:right w:val="nil"/>
            </w:tcBorders>
            <w:noWrap/>
            <w:vAlign w:val="bottom"/>
            <w:hideMark/>
          </w:tcPr>
          <w:p w14:paraId="6BD971C2"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960" w:type="dxa"/>
            <w:tcBorders>
              <w:top w:val="nil"/>
              <w:left w:val="nil"/>
              <w:bottom w:val="nil"/>
              <w:right w:val="nil"/>
            </w:tcBorders>
            <w:noWrap/>
            <w:vAlign w:val="bottom"/>
            <w:hideMark/>
          </w:tcPr>
          <w:p w14:paraId="0FEDFF63"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6E9E9DFD" w14:textId="77777777" w:rsidTr="00342374">
        <w:trPr>
          <w:trHeight w:val="330"/>
        </w:trPr>
        <w:tc>
          <w:tcPr>
            <w:tcW w:w="1000" w:type="dxa"/>
            <w:tcBorders>
              <w:top w:val="nil"/>
              <w:left w:val="nil"/>
              <w:bottom w:val="nil"/>
              <w:right w:val="nil"/>
            </w:tcBorders>
            <w:noWrap/>
            <w:vAlign w:val="bottom"/>
            <w:hideMark/>
          </w:tcPr>
          <w:p w14:paraId="05749B9E"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6582C29B"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4140" w:type="dxa"/>
            <w:gridSpan w:val="7"/>
            <w:tcBorders>
              <w:top w:val="nil"/>
              <w:left w:val="nil"/>
              <w:bottom w:val="single" w:sz="8" w:space="0" w:color="auto"/>
              <w:right w:val="nil"/>
            </w:tcBorders>
            <w:noWrap/>
            <w:vAlign w:val="bottom"/>
            <w:hideMark/>
          </w:tcPr>
          <w:p w14:paraId="647095B7"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Subsequent fracture site</w:t>
            </w:r>
          </w:p>
        </w:tc>
        <w:tc>
          <w:tcPr>
            <w:tcW w:w="800" w:type="dxa"/>
            <w:tcBorders>
              <w:top w:val="nil"/>
              <w:left w:val="nil"/>
              <w:bottom w:val="single" w:sz="8" w:space="0" w:color="auto"/>
              <w:right w:val="nil"/>
            </w:tcBorders>
            <w:noWrap/>
            <w:vAlign w:val="bottom"/>
            <w:hideMark/>
          </w:tcPr>
          <w:p w14:paraId="4E2C6C6A"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100" w:type="dxa"/>
            <w:tcBorders>
              <w:top w:val="nil"/>
              <w:left w:val="nil"/>
              <w:bottom w:val="single" w:sz="8" w:space="0" w:color="auto"/>
              <w:right w:val="nil"/>
            </w:tcBorders>
            <w:noWrap/>
            <w:vAlign w:val="bottom"/>
            <w:hideMark/>
          </w:tcPr>
          <w:p w14:paraId="1947FDAB"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960" w:type="dxa"/>
            <w:tcBorders>
              <w:top w:val="nil"/>
              <w:left w:val="nil"/>
              <w:bottom w:val="nil"/>
              <w:right w:val="nil"/>
            </w:tcBorders>
            <w:noWrap/>
            <w:vAlign w:val="bottom"/>
            <w:hideMark/>
          </w:tcPr>
          <w:p w14:paraId="79DB56D2"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3BC9FFBD" w14:textId="77777777" w:rsidTr="00342374">
        <w:trPr>
          <w:trHeight w:val="300"/>
        </w:trPr>
        <w:tc>
          <w:tcPr>
            <w:tcW w:w="1000" w:type="dxa"/>
            <w:tcBorders>
              <w:top w:val="nil"/>
              <w:left w:val="nil"/>
              <w:bottom w:val="nil"/>
              <w:right w:val="nil"/>
            </w:tcBorders>
            <w:noWrap/>
            <w:vAlign w:val="bottom"/>
            <w:hideMark/>
          </w:tcPr>
          <w:p w14:paraId="561FDBBC"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1F3D99A2"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bottom"/>
            <w:hideMark/>
          </w:tcPr>
          <w:p w14:paraId="193BA9A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60" w:type="dxa"/>
            <w:tcBorders>
              <w:top w:val="nil"/>
              <w:left w:val="nil"/>
              <w:bottom w:val="nil"/>
              <w:right w:val="nil"/>
            </w:tcBorders>
            <w:noWrap/>
            <w:vAlign w:val="bottom"/>
            <w:hideMark/>
          </w:tcPr>
          <w:p w14:paraId="20E74DCC"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64A04973"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bottom"/>
            <w:hideMark/>
          </w:tcPr>
          <w:p w14:paraId="742E9F69"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40" w:type="dxa"/>
            <w:tcBorders>
              <w:top w:val="nil"/>
              <w:left w:val="nil"/>
              <w:bottom w:val="nil"/>
              <w:right w:val="nil"/>
            </w:tcBorders>
            <w:noWrap/>
            <w:vAlign w:val="bottom"/>
            <w:hideMark/>
          </w:tcPr>
          <w:p w14:paraId="3BA668CB"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7A0F1214"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2F357D68"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3218C73D"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00" w:type="dxa"/>
            <w:tcBorders>
              <w:top w:val="nil"/>
              <w:left w:val="nil"/>
              <w:bottom w:val="nil"/>
              <w:right w:val="nil"/>
            </w:tcBorders>
            <w:noWrap/>
            <w:vAlign w:val="bottom"/>
            <w:hideMark/>
          </w:tcPr>
          <w:p w14:paraId="7BA03B6F"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960" w:type="dxa"/>
            <w:tcBorders>
              <w:top w:val="nil"/>
              <w:left w:val="nil"/>
              <w:bottom w:val="nil"/>
              <w:right w:val="nil"/>
            </w:tcBorders>
            <w:noWrap/>
            <w:vAlign w:val="bottom"/>
            <w:hideMark/>
          </w:tcPr>
          <w:p w14:paraId="4D150E14"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1C683000" w14:textId="77777777" w:rsidTr="00342374">
        <w:trPr>
          <w:trHeight w:val="315"/>
        </w:trPr>
        <w:tc>
          <w:tcPr>
            <w:tcW w:w="1000" w:type="dxa"/>
            <w:tcBorders>
              <w:top w:val="nil"/>
              <w:left w:val="nil"/>
              <w:bottom w:val="nil"/>
              <w:right w:val="nil"/>
            </w:tcBorders>
            <w:noWrap/>
            <w:vAlign w:val="bottom"/>
            <w:hideMark/>
          </w:tcPr>
          <w:p w14:paraId="4F64D3C5"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6A1D0BCC"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360" w:type="dxa"/>
            <w:gridSpan w:val="2"/>
            <w:tcBorders>
              <w:top w:val="nil"/>
              <w:left w:val="nil"/>
              <w:bottom w:val="single" w:sz="8" w:space="0" w:color="auto"/>
              <w:right w:val="nil"/>
            </w:tcBorders>
            <w:noWrap/>
            <w:vAlign w:val="bottom"/>
            <w:hideMark/>
          </w:tcPr>
          <w:p w14:paraId="775A8C23"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Vertebral</w:t>
            </w:r>
          </w:p>
        </w:tc>
        <w:tc>
          <w:tcPr>
            <w:tcW w:w="280" w:type="dxa"/>
            <w:tcBorders>
              <w:top w:val="nil"/>
              <w:left w:val="nil"/>
              <w:bottom w:val="nil"/>
              <w:right w:val="nil"/>
            </w:tcBorders>
            <w:noWrap/>
            <w:vAlign w:val="bottom"/>
            <w:hideMark/>
          </w:tcPr>
          <w:p w14:paraId="67BF24A8"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1420" w:type="dxa"/>
            <w:gridSpan w:val="2"/>
            <w:tcBorders>
              <w:top w:val="nil"/>
              <w:left w:val="nil"/>
              <w:bottom w:val="single" w:sz="8" w:space="0" w:color="auto"/>
              <w:right w:val="nil"/>
            </w:tcBorders>
            <w:noWrap/>
            <w:vAlign w:val="bottom"/>
            <w:hideMark/>
          </w:tcPr>
          <w:p w14:paraId="2AEE2A4F"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Humerus</w:t>
            </w:r>
          </w:p>
        </w:tc>
        <w:tc>
          <w:tcPr>
            <w:tcW w:w="280" w:type="dxa"/>
            <w:tcBorders>
              <w:top w:val="nil"/>
              <w:left w:val="nil"/>
              <w:bottom w:val="nil"/>
              <w:right w:val="nil"/>
            </w:tcBorders>
            <w:noWrap/>
            <w:vAlign w:val="bottom"/>
            <w:hideMark/>
          </w:tcPr>
          <w:p w14:paraId="0DD9D40C"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1600" w:type="dxa"/>
            <w:gridSpan w:val="2"/>
            <w:tcBorders>
              <w:top w:val="nil"/>
              <w:left w:val="nil"/>
              <w:bottom w:val="single" w:sz="8" w:space="0" w:color="auto"/>
              <w:right w:val="nil"/>
            </w:tcBorders>
            <w:noWrap/>
            <w:vAlign w:val="bottom"/>
            <w:hideMark/>
          </w:tcPr>
          <w:p w14:paraId="78A87E70"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Radius/ulna</w:t>
            </w:r>
          </w:p>
        </w:tc>
        <w:tc>
          <w:tcPr>
            <w:tcW w:w="100" w:type="dxa"/>
            <w:tcBorders>
              <w:top w:val="nil"/>
              <w:left w:val="nil"/>
              <w:bottom w:val="nil"/>
              <w:right w:val="nil"/>
            </w:tcBorders>
            <w:noWrap/>
            <w:vAlign w:val="bottom"/>
            <w:hideMark/>
          </w:tcPr>
          <w:p w14:paraId="730783B9"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025545EC"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47BCBD9D" w14:textId="77777777" w:rsidTr="00342374">
        <w:trPr>
          <w:trHeight w:val="300"/>
        </w:trPr>
        <w:tc>
          <w:tcPr>
            <w:tcW w:w="1000" w:type="dxa"/>
            <w:tcBorders>
              <w:top w:val="nil"/>
              <w:left w:val="nil"/>
              <w:bottom w:val="nil"/>
              <w:right w:val="nil"/>
            </w:tcBorders>
            <w:noWrap/>
            <w:vAlign w:val="bottom"/>
            <w:hideMark/>
          </w:tcPr>
          <w:p w14:paraId="64062B7E"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Age (years)</w:t>
            </w:r>
          </w:p>
        </w:tc>
        <w:tc>
          <w:tcPr>
            <w:tcW w:w="160" w:type="dxa"/>
            <w:tcBorders>
              <w:top w:val="nil"/>
              <w:left w:val="nil"/>
              <w:bottom w:val="nil"/>
              <w:right w:val="nil"/>
            </w:tcBorders>
            <w:noWrap/>
            <w:vAlign w:val="bottom"/>
            <w:hideMark/>
          </w:tcPr>
          <w:p w14:paraId="5BBF7A28"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bottom"/>
            <w:hideMark/>
          </w:tcPr>
          <w:p w14:paraId="5BBE3442"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M</w:t>
            </w:r>
          </w:p>
        </w:tc>
        <w:tc>
          <w:tcPr>
            <w:tcW w:w="660" w:type="dxa"/>
            <w:tcBorders>
              <w:top w:val="nil"/>
              <w:left w:val="nil"/>
              <w:bottom w:val="nil"/>
              <w:right w:val="nil"/>
            </w:tcBorders>
            <w:noWrap/>
            <w:vAlign w:val="bottom"/>
            <w:hideMark/>
          </w:tcPr>
          <w:p w14:paraId="2AE7BF1D"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F</w:t>
            </w:r>
          </w:p>
        </w:tc>
        <w:tc>
          <w:tcPr>
            <w:tcW w:w="280" w:type="dxa"/>
            <w:tcBorders>
              <w:top w:val="nil"/>
              <w:left w:val="nil"/>
              <w:bottom w:val="nil"/>
              <w:right w:val="nil"/>
            </w:tcBorders>
            <w:noWrap/>
            <w:vAlign w:val="bottom"/>
            <w:hideMark/>
          </w:tcPr>
          <w:p w14:paraId="179B8E09"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bottom"/>
            <w:hideMark/>
          </w:tcPr>
          <w:p w14:paraId="45A4A239"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M</w:t>
            </w:r>
          </w:p>
        </w:tc>
        <w:tc>
          <w:tcPr>
            <w:tcW w:w="740" w:type="dxa"/>
            <w:tcBorders>
              <w:top w:val="nil"/>
              <w:left w:val="nil"/>
              <w:bottom w:val="nil"/>
              <w:right w:val="nil"/>
            </w:tcBorders>
            <w:noWrap/>
            <w:vAlign w:val="bottom"/>
            <w:hideMark/>
          </w:tcPr>
          <w:p w14:paraId="57F02BF6"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F</w:t>
            </w:r>
          </w:p>
        </w:tc>
        <w:tc>
          <w:tcPr>
            <w:tcW w:w="280" w:type="dxa"/>
            <w:tcBorders>
              <w:top w:val="nil"/>
              <w:left w:val="nil"/>
              <w:bottom w:val="nil"/>
              <w:right w:val="nil"/>
            </w:tcBorders>
            <w:noWrap/>
            <w:vAlign w:val="bottom"/>
            <w:hideMark/>
          </w:tcPr>
          <w:p w14:paraId="33D3729B"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bottom"/>
            <w:hideMark/>
          </w:tcPr>
          <w:p w14:paraId="51E06FE9"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M</w:t>
            </w:r>
          </w:p>
        </w:tc>
        <w:tc>
          <w:tcPr>
            <w:tcW w:w="800" w:type="dxa"/>
            <w:tcBorders>
              <w:top w:val="nil"/>
              <w:left w:val="nil"/>
              <w:bottom w:val="nil"/>
              <w:right w:val="nil"/>
            </w:tcBorders>
            <w:noWrap/>
            <w:vAlign w:val="bottom"/>
            <w:hideMark/>
          </w:tcPr>
          <w:p w14:paraId="2A32220D"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F</w:t>
            </w:r>
          </w:p>
        </w:tc>
        <w:tc>
          <w:tcPr>
            <w:tcW w:w="100" w:type="dxa"/>
            <w:tcBorders>
              <w:top w:val="nil"/>
              <w:left w:val="nil"/>
              <w:bottom w:val="nil"/>
              <w:right w:val="nil"/>
            </w:tcBorders>
            <w:noWrap/>
            <w:vAlign w:val="bottom"/>
            <w:hideMark/>
          </w:tcPr>
          <w:p w14:paraId="60510F7B"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20CBDBD2"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2F2CA111" w14:textId="77777777" w:rsidTr="00342374">
        <w:trPr>
          <w:trHeight w:val="300"/>
        </w:trPr>
        <w:tc>
          <w:tcPr>
            <w:tcW w:w="1000" w:type="dxa"/>
            <w:tcBorders>
              <w:top w:val="nil"/>
              <w:left w:val="nil"/>
              <w:bottom w:val="nil"/>
              <w:right w:val="nil"/>
            </w:tcBorders>
            <w:noWrap/>
            <w:vAlign w:val="bottom"/>
            <w:hideMark/>
          </w:tcPr>
          <w:p w14:paraId="2EC2FDF6"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50-54</w:t>
            </w:r>
          </w:p>
        </w:tc>
        <w:tc>
          <w:tcPr>
            <w:tcW w:w="160" w:type="dxa"/>
            <w:tcBorders>
              <w:top w:val="nil"/>
              <w:left w:val="nil"/>
              <w:bottom w:val="nil"/>
              <w:right w:val="nil"/>
            </w:tcBorders>
            <w:noWrap/>
            <w:vAlign w:val="bottom"/>
            <w:hideMark/>
          </w:tcPr>
          <w:p w14:paraId="09959C9D"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4BA5E922"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6.9</w:t>
            </w:r>
          </w:p>
        </w:tc>
        <w:tc>
          <w:tcPr>
            <w:tcW w:w="660" w:type="dxa"/>
            <w:tcBorders>
              <w:top w:val="nil"/>
              <w:left w:val="nil"/>
              <w:bottom w:val="nil"/>
              <w:right w:val="nil"/>
            </w:tcBorders>
            <w:noWrap/>
            <w:vAlign w:val="center"/>
            <w:hideMark/>
          </w:tcPr>
          <w:p w14:paraId="36ED9CBC"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11.5</w:t>
            </w:r>
          </w:p>
        </w:tc>
        <w:tc>
          <w:tcPr>
            <w:tcW w:w="280" w:type="dxa"/>
            <w:tcBorders>
              <w:top w:val="nil"/>
              <w:left w:val="nil"/>
              <w:bottom w:val="nil"/>
              <w:right w:val="nil"/>
            </w:tcBorders>
            <w:noWrap/>
            <w:vAlign w:val="bottom"/>
            <w:hideMark/>
          </w:tcPr>
          <w:p w14:paraId="54A2BAE7"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center"/>
            <w:hideMark/>
          </w:tcPr>
          <w:p w14:paraId="01E90B42"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8.5</w:t>
            </w:r>
          </w:p>
        </w:tc>
        <w:tc>
          <w:tcPr>
            <w:tcW w:w="740" w:type="dxa"/>
            <w:tcBorders>
              <w:top w:val="nil"/>
              <w:left w:val="nil"/>
              <w:bottom w:val="nil"/>
              <w:right w:val="nil"/>
            </w:tcBorders>
            <w:vAlign w:val="center"/>
            <w:hideMark/>
          </w:tcPr>
          <w:p w14:paraId="6461A68F"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14.2</w:t>
            </w:r>
          </w:p>
        </w:tc>
        <w:tc>
          <w:tcPr>
            <w:tcW w:w="280" w:type="dxa"/>
            <w:tcBorders>
              <w:top w:val="nil"/>
              <w:left w:val="nil"/>
              <w:bottom w:val="nil"/>
              <w:right w:val="nil"/>
            </w:tcBorders>
            <w:noWrap/>
            <w:vAlign w:val="bottom"/>
            <w:hideMark/>
          </w:tcPr>
          <w:p w14:paraId="113FB603"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center"/>
            <w:hideMark/>
          </w:tcPr>
          <w:p w14:paraId="54365772"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8.3</w:t>
            </w:r>
          </w:p>
        </w:tc>
        <w:tc>
          <w:tcPr>
            <w:tcW w:w="800" w:type="dxa"/>
            <w:tcBorders>
              <w:top w:val="nil"/>
              <w:left w:val="nil"/>
              <w:bottom w:val="nil"/>
              <w:right w:val="nil"/>
            </w:tcBorders>
            <w:noWrap/>
            <w:vAlign w:val="center"/>
            <w:hideMark/>
          </w:tcPr>
          <w:p w14:paraId="43C59FC2"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3.7</w:t>
            </w:r>
          </w:p>
        </w:tc>
        <w:tc>
          <w:tcPr>
            <w:tcW w:w="100" w:type="dxa"/>
            <w:tcBorders>
              <w:top w:val="nil"/>
              <w:left w:val="nil"/>
              <w:bottom w:val="nil"/>
              <w:right w:val="nil"/>
            </w:tcBorders>
            <w:noWrap/>
            <w:vAlign w:val="bottom"/>
            <w:hideMark/>
          </w:tcPr>
          <w:p w14:paraId="0F8EAC2C"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6F6FCD87"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22514E7E" w14:textId="77777777" w:rsidTr="00342374">
        <w:trPr>
          <w:trHeight w:val="300"/>
        </w:trPr>
        <w:tc>
          <w:tcPr>
            <w:tcW w:w="1000" w:type="dxa"/>
            <w:tcBorders>
              <w:top w:val="nil"/>
              <w:left w:val="nil"/>
              <w:bottom w:val="nil"/>
              <w:right w:val="nil"/>
            </w:tcBorders>
            <w:noWrap/>
            <w:vAlign w:val="bottom"/>
            <w:hideMark/>
          </w:tcPr>
          <w:p w14:paraId="5E2BC7BD"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55-59</w:t>
            </w:r>
          </w:p>
        </w:tc>
        <w:tc>
          <w:tcPr>
            <w:tcW w:w="160" w:type="dxa"/>
            <w:tcBorders>
              <w:top w:val="nil"/>
              <w:left w:val="nil"/>
              <w:bottom w:val="nil"/>
              <w:right w:val="nil"/>
            </w:tcBorders>
            <w:noWrap/>
            <w:vAlign w:val="bottom"/>
            <w:hideMark/>
          </w:tcPr>
          <w:p w14:paraId="509A9133"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54C12ED0"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9.3</w:t>
            </w:r>
          </w:p>
        </w:tc>
        <w:tc>
          <w:tcPr>
            <w:tcW w:w="660" w:type="dxa"/>
            <w:tcBorders>
              <w:top w:val="nil"/>
              <w:left w:val="nil"/>
              <w:bottom w:val="nil"/>
              <w:right w:val="nil"/>
            </w:tcBorders>
            <w:noWrap/>
            <w:vAlign w:val="center"/>
            <w:hideMark/>
          </w:tcPr>
          <w:p w14:paraId="122DC0E0"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6.1</w:t>
            </w:r>
          </w:p>
        </w:tc>
        <w:tc>
          <w:tcPr>
            <w:tcW w:w="280" w:type="dxa"/>
            <w:tcBorders>
              <w:top w:val="nil"/>
              <w:left w:val="nil"/>
              <w:bottom w:val="nil"/>
              <w:right w:val="nil"/>
            </w:tcBorders>
            <w:noWrap/>
            <w:vAlign w:val="bottom"/>
            <w:hideMark/>
          </w:tcPr>
          <w:p w14:paraId="004D06A7"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center"/>
            <w:hideMark/>
          </w:tcPr>
          <w:p w14:paraId="2604EDC4"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12.9</w:t>
            </w:r>
          </w:p>
        </w:tc>
        <w:tc>
          <w:tcPr>
            <w:tcW w:w="740" w:type="dxa"/>
            <w:tcBorders>
              <w:top w:val="nil"/>
              <w:left w:val="nil"/>
              <w:bottom w:val="nil"/>
              <w:right w:val="nil"/>
            </w:tcBorders>
            <w:vAlign w:val="center"/>
            <w:hideMark/>
          </w:tcPr>
          <w:p w14:paraId="26223B6B"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7.1</w:t>
            </w:r>
          </w:p>
        </w:tc>
        <w:tc>
          <w:tcPr>
            <w:tcW w:w="280" w:type="dxa"/>
            <w:tcBorders>
              <w:top w:val="nil"/>
              <w:left w:val="nil"/>
              <w:bottom w:val="nil"/>
              <w:right w:val="nil"/>
            </w:tcBorders>
            <w:noWrap/>
            <w:vAlign w:val="bottom"/>
            <w:hideMark/>
          </w:tcPr>
          <w:p w14:paraId="0A4E371D"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center"/>
            <w:hideMark/>
          </w:tcPr>
          <w:p w14:paraId="75A512B2"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9.4</w:t>
            </w:r>
          </w:p>
        </w:tc>
        <w:tc>
          <w:tcPr>
            <w:tcW w:w="800" w:type="dxa"/>
            <w:tcBorders>
              <w:top w:val="nil"/>
              <w:left w:val="nil"/>
              <w:bottom w:val="nil"/>
              <w:right w:val="nil"/>
            </w:tcBorders>
            <w:noWrap/>
            <w:vAlign w:val="center"/>
            <w:hideMark/>
          </w:tcPr>
          <w:p w14:paraId="58CB3B96"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5.5</w:t>
            </w:r>
          </w:p>
        </w:tc>
        <w:tc>
          <w:tcPr>
            <w:tcW w:w="100" w:type="dxa"/>
            <w:tcBorders>
              <w:top w:val="nil"/>
              <w:left w:val="nil"/>
              <w:bottom w:val="nil"/>
              <w:right w:val="nil"/>
            </w:tcBorders>
            <w:noWrap/>
            <w:vAlign w:val="bottom"/>
            <w:hideMark/>
          </w:tcPr>
          <w:p w14:paraId="07B9CC54"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7DE05607"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544F6D22" w14:textId="77777777" w:rsidTr="00342374">
        <w:trPr>
          <w:trHeight w:val="300"/>
        </w:trPr>
        <w:tc>
          <w:tcPr>
            <w:tcW w:w="1000" w:type="dxa"/>
            <w:tcBorders>
              <w:top w:val="nil"/>
              <w:left w:val="nil"/>
              <w:bottom w:val="nil"/>
              <w:right w:val="nil"/>
            </w:tcBorders>
            <w:noWrap/>
            <w:vAlign w:val="bottom"/>
            <w:hideMark/>
          </w:tcPr>
          <w:p w14:paraId="243D0CAB"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60-64</w:t>
            </w:r>
          </w:p>
        </w:tc>
        <w:tc>
          <w:tcPr>
            <w:tcW w:w="160" w:type="dxa"/>
            <w:tcBorders>
              <w:top w:val="nil"/>
              <w:left w:val="nil"/>
              <w:bottom w:val="nil"/>
              <w:right w:val="nil"/>
            </w:tcBorders>
            <w:noWrap/>
            <w:vAlign w:val="bottom"/>
            <w:hideMark/>
          </w:tcPr>
          <w:p w14:paraId="551BCE3E"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26C3FD5D"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17.5</w:t>
            </w:r>
          </w:p>
        </w:tc>
        <w:tc>
          <w:tcPr>
            <w:tcW w:w="660" w:type="dxa"/>
            <w:tcBorders>
              <w:top w:val="nil"/>
              <w:left w:val="nil"/>
              <w:bottom w:val="nil"/>
              <w:right w:val="nil"/>
            </w:tcBorders>
            <w:noWrap/>
            <w:vAlign w:val="center"/>
            <w:hideMark/>
          </w:tcPr>
          <w:p w14:paraId="47DB8E49"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8.8</w:t>
            </w:r>
          </w:p>
        </w:tc>
        <w:tc>
          <w:tcPr>
            <w:tcW w:w="280" w:type="dxa"/>
            <w:tcBorders>
              <w:top w:val="nil"/>
              <w:left w:val="nil"/>
              <w:bottom w:val="nil"/>
              <w:right w:val="nil"/>
            </w:tcBorders>
            <w:noWrap/>
            <w:vAlign w:val="bottom"/>
            <w:hideMark/>
          </w:tcPr>
          <w:p w14:paraId="4CEE5485"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center"/>
            <w:hideMark/>
          </w:tcPr>
          <w:p w14:paraId="6E2D4F86"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7.2</w:t>
            </w:r>
          </w:p>
        </w:tc>
        <w:tc>
          <w:tcPr>
            <w:tcW w:w="740" w:type="dxa"/>
            <w:tcBorders>
              <w:top w:val="nil"/>
              <w:left w:val="nil"/>
              <w:bottom w:val="nil"/>
              <w:right w:val="nil"/>
            </w:tcBorders>
            <w:vAlign w:val="center"/>
            <w:hideMark/>
          </w:tcPr>
          <w:p w14:paraId="5B50C662"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5.6</w:t>
            </w:r>
          </w:p>
        </w:tc>
        <w:tc>
          <w:tcPr>
            <w:tcW w:w="280" w:type="dxa"/>
            <w:tcBorders>
              <w:top w:val="nil"/>
              <w:left w:val="nil"/>
              <w:bottom w:val="nil"/>
              <w:right w:val="nil"/>
            </w:tcBorders>
            <w:noWrap/>
            <w:vAlign w:val="bottom"/>
            <w:hideMark/>
          </w:tcPr>
          <w:p w14:paraId="44D77D6F"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center"/>
            <w:hideMark/>
          </w:tcPr>
          <w:p w14:paraId="19F3F161"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4.5</w:t>
            </w:r>
          </w:p>
        </w:tc>
        <w:tc>
          <w:tcPr>
            <w:tcW w:w="800" w:type="dxa"/>
            <w:tcBorders>
              <w:top w:val="nil"/>
              <w:left w:val="nil"/>
              <w:bottom w:val="nil"/>
              <w:right w:val="nil"/>
            </w:tcBorders>
            <w:noWrap/>
            <w:vAlign w:val="center"/>
            <w:hideMark/>
          </w:tcPr>
          <w:p w14:paraId="3E7FD8DA"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4.3</w:t>
            </w:r>
          </w:p>
        </w:tc>
        <w:tc>
          <w:tcPr>
            <w:tcW w:w="100" w:type="dxa"/>
            <w:tcBorders>
              <w:top w:val="nil"/>
              <w:left w:val="nil"/>
              <w:bottom w:val="nil"/>
              <w:right w:val="nil"/>
            </w:tcBorders>
            <w:noWrap/>
            <w:vAlign w:val="bottom"/>
            <w:hideMark/>
          </w:tcPr>
          <w:p w14:paraId="49AEE907"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562E9678"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317EB0BD" w14:textId="77777777" w:rsidTr="00342374">
        <w:trPr>
          <w:trHeight w:val="300"/>
        </w:trPr>
        <w:tc>
          <w:tcPr>
            <w:tcW w:w="1000" w:type="dxa"/>
            <w:tcBorders>
              <w:top w:val="nil"/>
              <w:left w:val="nil"/>
              <w:bottom w:val="nil"/>
              <w:right w:val="nil"/>
            </w:tcBorders>
            <w:noWrap/>
            <w:vAlign w:val="bottom"/>
            <w:hideMark/>
          </w:tcPr>
          <w:p w14:paraId="061A8EA4"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65-69</w:t>
            </w:r>
          </w:p>
        </w:tc>
        <w:tc>
          <w:tcPr>
            <w:tcW w:w="160" w:type="dxa"/>
            <w:tcBorders>
              <w:top w:val="nil"/>
              <w:left w:val="nil"/>
              <w:bottom w:val="nil"/>
              <w:right w:val="nil"/>
            </w:tcBorders>
            <w:noWrap/>
            <w:vAlign w:val="bottom"/>
            <w:hideMark/>
          </w:tcPr>
          <w:p w14:paraId="43DEE286"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58A50A51"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7.9</w:t>
            </w:r>
          </w:p>
        </w:tc>
        <w:tc>
          <w:tcPr>
            <w:tcW w:w="660" w:type="dxa"/>
            <w:tcBorders>
              <w:top w:val="nil"/>
              <w:left w:val="nil"/>
              <w:bottom w:val="nil"/>
              <w:right w:val="nil"/>
            </w:tcBorders>
            <w:noWrap/>
            <w:vAlign w:val="center"/>
            <w:hideMark/>
          </w:tcPr>
          <w:p w14:paraId="4E89A4E2"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7.0</w:t>
            </w:r>
          </w:p>
        </w:tc>
        <w:tc>
          <w:tcPr>
            <w:tcW w:w="280" w:type="dxa"/>
            <w:tcBorders>
              <w:top w:val="nil"/>
              <w:left w:val="nil"/>
              <w:bottom w:val="nil"/>
              <w:right w:val="nil"/>
            </w:tcBorders>
            <w:noWrap/>
            <w:vAlign w:val="bottom"/>
            <w:hideMark/>
          </w:tcPr>
          <w:p w14:paraId="11875BAE"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center"/>
            <w:hideMark/>
          </w:tcPr>
          <w:p w14:paraId="10D4D311"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7.6</w:t>
            </w:r>
          </w:p>
        </w:tc>
        <w:tc>
          <w:tcPr>
            <w:tcW w:w="740" w:type="dxa"/>
            <w:tcBorders>
              <w:top w:val="nil"/>
              <w:left w:val="nil"/>
              <w:bottom w:val="nil"/>
              <w:right w:val="nil"/>
            </w:tcBorders>
            <w:vAlign w:val="center"/>
            <w:hideMark/>
          </w:tcPr>
          <w:p w14:paraId="4FB1F723"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6.9</w:t>
            </w:r>
          </w:p>
        </w:tc>
        <w:tc>
          <w:tcPr>
            <w:tcW w:w="280" w:type="dxa"/>
            <w:tcBorders>
              <w:top w:val="nil"/>
              <w:left w:val="nil"/>
              <w:bottom w:val="nil"/>
              <w:right w:val="nil"/>
            </w:tcBorders>
            <w:noWrap/>
            <w:vAlign w:val="bottom"/>
            <w:hideMark/>
          </w:tcPr>
          <w:p w14:paraId="7962C9E3"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center"/>
            <w:hideMark/>
          </w:tcPr>
          <w:p w14:paraId="5DE7F0F0"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5.0</w:t>
            </w:r>
          </w:p>
        </w:tc>
        <w:tc>
          <w:tcPr>
            <w:tcW w:w="800" w:type="dxa"/>
            <w:tcBorders>
              <w:top w:val="nil"/>
              <w:left w:val="nil"/>
              <w:bottom w:val="nil"/>
              <w:right w:val="nil"/>
            </w:tcBorders>
            <w:noWrap/>
            <w:vAlign w:val="center"/>
            <w:hideMark/>
          </w:tcPr>
          <w:p w14:paraId="2613218C"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3.6</w:t>
            </w:r>
          </w:p>
        </w:tc>
        <w:tc>
          <w:tcPr>
            <w:tcW w:w="100" w:type="dxa"/>
            <w:tcBorders>
              <w:top w:val="nil"/>
              <w:left w:val="nil"/>
              <w:bottom w:val="nil"/>
              <w:right w:val="nil"/>
            </w:tcBorders>
            <w:noWrap/>
            <w:vAlign w:val="bottom"/>
            <w:hideMark/>
          </w:tcPr>
          <w:p w14:paraId="46FAC316"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1D1B0AEC"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7F6FBAB7" w14:textId="77777777" w:rsidTr="00342374">
        <w:trPr>
          <w:trHeight w:val="300"/>
        </w:trPr>
        <w:tc>
          <w:tcPr>
            <w:tcW w:w="1000" w:type="dxa"/>
            <w:tcBorders>
              <w:top w:val="nil"/>
              <w:left w:val="nil"/>
              <w:bottom w:val="nil"/>
              <w:right w:val="nil"/>
            </w:tcBorders>
            <w:noWrap/>
            <w:vAlign w:val="bottom"/>
            <w:hideMark/>
          </w:tcPr>
          <w:p w14:paraId="644F148E"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70-74</w:t>
            </w:r>
          </w:p>
        </w:tc>
        <w:tc>
          <w:tcPr>
            <w:tcW w:w="160" w:type="dxa"/>
            <w:tcBorders>
              <w:top w:val="nil"/>
              <w:left w:val="nil"/>
              <w:bottom w:val="nil"/>
              <w:right w:val="nil"/>
            </w:tcBorders>
            <w:noWrap/>
            <w:vAlign w:val="bottom"/>
            <w:hideMark/>
          </w:tcPr>
          <w:p w14:paraId="48D479E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1A5494F7"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5.0</w:t>
            </w:r>
          </w:p>
        </w:tc>
        <w:tc>
          <w:tcPr>
            <w:tcW w:w="660" w:type="dxa"/>
            <w:tcBorders>
              <w:top w:val="nil"/>
              <w:left w:val="nil"/>
              <w:bottom w:val="nil"/>
              <w:right w:val="nil"/>
            </w:tcBorders>
            <w:noWrap/>
            <w:vAlign w:val="center"/>
            <w:hideMark/>
          </w:tcPr>
          <w:p w14:paraId="39E3949C"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6.0</w:t>
            </w:r>
          </w:p>
        </w:tc>
        <w:tc>
          <w:tcPr>
            <w:tcW w:w="280" w:type="dxa"/>
            <w:tcBorders>
              <w:top w:val="nil"/>
              <w:left w:val="nil"/>
              <w:bottom w:val="nil"/>
              <w:right w:val="nil"/>
            </w:tcBorders>
            <w:noWrap/>
            <w:vAlign w:val="bottom"/>
            <w:hideMark/>
          </w:tcPr>
          <w:p w14:paraId="6AC8E615"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382FA36C"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7.6</w:t>
            </w:r>
          </w:p>
        </w:tc>
        <w:tc>
          <w:tcPr>
            <w:tcW w:w="740" w:type="dxa"/>
            <w:tcBorders>
              <w:top w:val="nil"/>
              <w:left w:val="nil"/>
              <w:bottom w:val="nil"/>
              <w:right w:val="nil"/>
            </w:tcBorders>
            <w:vAlign w:val="center"/>
            <w:hideMark/>
          </w:tcPr>
          <w:p w14:paraId="169D4060"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5.8</w:t>
            </w:r>
          </w:p>
        </w:tc>
        <w:tc>
          <w:tcPr>
            <w:tcW w:w="280" w:type="dxa"/>
            <w:tcBorders>
              <w:top w:val="nil"/>
              <w:left w:val="nil"/>
              <w:bottom w:val="nil"/>
              <w:right w:val="nil"/>
            </w:tcBorders>
            <w:noWrap/>
            <w:vAlign w:val="bottom"/>
            <w:hideMark/>
          </w:tcPr>
          <w:p w14:paraId="29BB6A0F"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15E08A5B"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4.0</w:t>
            </w:r>
          </w:p>
        </w:tc>
        <w:tc>
          <w:tcPr>
            <w:tcW w:w="800" w:type="dxa"/>
            <w:tcBorders>
              <w:top w:val="nil"/>
              <w:left w:val="nil"/>
              <w:bottom w:val="nil"/>
              <w:right w:val="nil"/>
            </w:tcBorders>
            <w:noWrap/>
            <w:vAlign w:val="center"/>
            <w:hideMark/>
          </w:tcPr>
          <w:p w14:paraId="622894C8" w14:textId="77777777" w:rsidR="00E64E4E" w:rsidRPr="00655509" w:rsidRDefault="00E64E4E" w:rsidP="00342374">
            <w:pPr>
              <w:spacing w:after="0" w:line="240" w:lineRule="auto"/>
              <w:rPr>
                <w:rFonts w:ascii="Times New Roman" w:eastAsia="Times New Roman" w:hAnsi="Times New Roman" w:cs="Times New Roman"/>
                <w:color w:val="000000"/>
                <w:highlight w:val="yellow"/>
                <w:lang w:eastAsia="nl-NL"/>
              </w:rPr>
            </w:pPr>
            <w:r w:rsidRPr="00655509">
              <w:rPr>
                <w:rFonts w:ascii="Times New Roman" w:eastAsia="Times New Roman" w:hAnsi="Times New Roman" w:cs="Times New Roman"/>
                <w:color w:val="000000"/>
                <w:lang w:eastAsia="nl-NL"/>
              </w:rPr>
              <w:t xml:space="preserve">  5.0</w:t>
            </w:r>
          </w:p>
        </w:tc>
        <w:tc>
          <w:tcPr>
            <w:tcW w:w="100" w:type="dxa"/>
            <w:tcBorders>
              <w:top w:val="nil"/>
              <w:left w:val="nil"/>
              <w:bottom w:val="nil"/>
              <w:right w:val="nil"/>
            </w:tcBorders>
            <w:noWrap/>
            <w:vAlign w:val="bottom"/>
            <w:hideMark/>
          </w:tcPr>
          <w:p w14:paraId="49E0A0AF"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49814638"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0FA25A93" w14:textId="77777777" w:rsidTr="00342374">
        <w:trPr>
          <w:trHeight w:val="300"/>
        </w:trPr>
        <w:tc>
          <w:tcPr>
            <w:tcW w:w="1000" w:type="dxa"/>
            <w:tcBorders>
              <w:top w:val="nil"/>
              <w:left w:val="nil"/>
              <w:bottom w:val="nil"/>
              <w:right w:val="nil"/>
            </w:tcBorders>
            <w:noWrap/>
            <w:vAlign w:val="bottom"/>
            <w:hideMark/>
          </w:tcPr>
          <w:p w14:paraId="7C5AFFA7"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75-79</w:t>
            </w:r>
          </w:p>
        </w:tc>
        <w:tc>
          <w:tcPr>
            <w:tcW w:w="160" w:type="dxa"/>
            <w:tcBorders>
              <w:top w:val="nil"/>
              <w:left w:val="nil"/>
              <w:bottom w:val="nil"/>
              <w:right w:val="nil"/>
            </w:tcBorders>
            <w:noWrap/>
            <w:vAlign w:val="bottom"/>
            <w:hideMark/>
          </w:tcPr>
          <w:p w14:paraId="4A0EAF9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307217EE"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5.1</w:t>
            </w:r>
          </w:p>
        </w:tc>
        <w:tc>
          <w:tcPr>
            <w:tcW w:w="660" w:type="dxa"/>
            <w:tcBorders>
              <w:top w:val="nil"/>
              <w:left w:val="nil"/>
              <w:bottom w:val="nil"/>
              <w:right w:val="nil"/>
            </w:tcBorders>
            <w:noWrap/>
            <w:vAlign w:val="center"/>
            <w:hideMark/>
          </w:tcPr>
          <w:p w14:paraId="240CDF87"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3.9</w:t>
            </w:r>
          </w:p>
        </w:tc>
        <w:tc>
          <w:tcPr>
            <w:tcW w:w="280" w:type="dxa"/>
            <w:tcBorders>
              <w:top w:val="nil"/>
              <w:left w:val="nil"/>
              <w:bottom w:val="nil"/>
              <w:right w:val="nil"/>
            </w:tcBorders>
            <w:noWrap/>
            <w:vAlign w:val="bottom"/>
            <w:hideMark/>
          </w:tcPr>
          <w:p w14:paraId="1CE7FE42"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0B11F702"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5.9</w:t>
            </w:r>
          </w:p>
        </w:tc>
        <w:tc>
          <w:tcPr>
            <w:tcW w:w="740" w:type="dxa"/>
            <w:tcBorders>
              <w:top w:val="nil"/>
              <w:left w:val="nil"/>
              <w:bottom w:val="nil"/>
              <w:right w:val="nil"/>
            </w:tcBorders>
            <w:vAlign w:val="center"/>
            <w:hideMark/>
          </w:tcPr>
          <w:p w14:paraId="4B3DB0B6"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3.9</w:t>
            </w:r>
          </w:p>
        </w:tc>
        <w:tc>
          <w:tcPr>
            <w:tcW w:w="280" w:type="dxa"/>
            <w:tcBorders>
              <w:top w:val="nil"/>
              <w:left w:val="nil"/>
              <w:bottom w:val="nil"/>
              <w:right w:val="nil"/>
            </w:tcBorders>
            <w:noWrap/>
            <w:vAlign w:val="bottom"/>
            <w:hideMark/>
          </w:tcPr>
          <w:p w14:paraId="18B11DAC"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5DCC0402"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2.6</w:t>
            </w:r>
          </w:p>
        </w:tc>
        <w:tc>
          <w:tcPr>
            <w:tcW w:w="800" w:type="dxa"/>
            <w:tcBorders>
              <w:top w:val="nil"/>
              <w:left w:val="nil"/>
              <w:bottom w:val="nil"/>
              <w:right w:val="nil"/>
            </w:tcBorders>
            <w:noWrap/>
            <w:vAlign w:val="center"/>
            <w:hideMark/>
          </w:tcPr>
          <w:p w14:paraId="76C2A73A" w14:textId="77777777" w:rsidR="00E64E4E" w:rsidRPr="00655509" w:rsidRDefault="00E64E4E" w:rsidP="00342374">
            <w:pPr>
              <w:spacing w:after="0" w:line="240" w:lineRule="auto"/>
              <w:rPr>
                <w:rFonts w:ascii="Times New Roman" w:eastAsia="Times New Roman" w:hAnsi="Times New Roman" w:cs="Times New Roman"/>
                <w:color w:val="000000"/>
                <w:highlight w:val="yellow"/>
                <w:lang w:eastAsia="nl-NL"/>
              </w:rPr>
            </w:pPr>
            <w:r w:rsidRPr="00655509">
              <w:rPr>
                <w:rFonts w:ascii="Times New Roman" w:eastAsia="Times New Roman" w:hAnsi="Times New Roman" w:cs="Times New Roman"/>
                <w:color w:val="000000"/>
                <w:lang w:eastAsia="nl-NL"/>
              </w:rPr>
              <w:t xml:space="preserve">  3.6</w:t>
            </w:r>
          </w:p>
        </w:tc>
        <w:tc>
          <w:tcPr>
            <w:tcW w:w="100" w:type="dxa"/>
            <w:tcBorders>
              <w:top w:val="nil"/>
              <w:left w:val="nil"/>
              <w:bottom w:val="nil"/>
              <w:right w:val="nil"/>
            </w:tcBorders>
            <w:noWrap/>
            <w:vAlign w:val="bottom"/>
            <w:hideMark/>
          </w:tcPr>
          <w:p w14:paraId="2496487E"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3467DD52"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77DE44CC" w14:textId="77777777" w:rsidTr="00342374">
        <w:trPr>
          <w:trHeight w:val="300"/>
        </w:trPr>
        <w:tc>
          <w:tcPr>
            <w:tcW w:w="1000" w:type="dxa"/>
            <w:tcBorders>
              <w:top w:val="nil"/>
              <w:left w:val="nil"/>
              <w:bottom w:val="nil"/>
              <w:right w:val="nil"/>
            </w:tcBorders>
            <w:noWrap/>
            <w:vAlign w:val="bottom"/>
            <w:hideMark/>
          </w:tcPr>
          <w:p w14:paraId="62796D53"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80-84</w:t>
            </w:r>
          </w:p>
        </w:tc>
        <w:tc>
          <w:tcPr>
            <w:tcW w:w="160" w:type="dxa"/>
            <w:tcBorders>
              <w:top w:val="nil"/>
              <w:left w:val="nil"/>
              <w:bottom w:val="nil"/>
              <w:right w:val="nil"/>
            </w:tcBorders>
            <w:noWrap/>
            <w:vAlign w:val="bottom"/>
            <w:hideMark/>
          </w:tcPr>
          <w:p w14:paraId="676404A2"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0312A1E2"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4.6</w:t>
            </w:r>
          </w:p>
        </w:tc>
        <w:tc>
          <w:tcPr>
            <w:tcW w:w="660" w:type="dxa"/>
            <w:tcBorders>
              <w:top w:val="nil"/>
              <w:left w:val="nil"/>
              <w:bottom w:val="nil"/>
              <w:right w:val="nil"/>
            </w:tcBorders>
            <w:noWrap/>
            <w:vAlign w:val="center"/>
            <w:hideMark/>
          </w:tcPr>
          <w:p w14:paraId="7CD90535"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2.9</w:t>
            </w:r>
          </w:p>
        </w:tc>
        <w:tc>
          <w:tcPr>
            <w:tcW w:w="280" w:type="dxa"/>
            <w:tcBorders>
              <w:top w:val="nil"/>
              <w:left w:val="nil"/>
              <w:bottom w:val="nil"/>
              <w:right w:val="nil"/>
            </w:tcBorders>
            <w:noWrap/>
            <w:vAlign w:val="bottom"/>
            <w:hideMark/>
          </w:tcPr>
          <w:p w14:paraId="2CA9C59B"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080EA5C0"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3.8</w:t>
            </w:r>
          </w:p>
        </w:tc>
        <w:tc>
          <w:tcPr>
            <w:tcW w:w="740" w:type="dxa"/>
            <w:tcBorders>
              <w:top w:val="nil"/>
              <w:left w:val="nil"/>
              <w:bottom w:val="nil"/>
              <w:right w:val="nil"/>
            </w:tcBorders>
            <w:vAlign w:val="center"/>
            <w:hideMark/>
          </w:tcPr>
          <w:p w14:paraId="34F97371"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3.0</w:t>
            </w:r>
          </w:p>
        </w:tc>
        <w:tc>
          <w:tcPr>
            <w:tcW w:w="280" w:type="dxa"/>
            <w:tcBorders>
              <w:top w:val="nil"/>
              <w:left w:val="nil"/>
              <w:bottom w:val="nil"/>
              <w:right w:val="nil"/>
            </w:tcBorders>
            <w:noWrap/>
            <w:vAlign w:val="bottom"/>
            <w:hideMark/>
          </w:tcPr>
          <w:p w14:paraId="60CE94D5"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7030A6F6"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2.4</w:t>
            </w:r>
          </w:p>
        </w:tc>
        <w:tc>
          <w:tcPr>
            <w:tcW w:w="800" w:type="dxa"/>
            <w:tcBorders>
              <w:top w:val="nil"/>
              <w:left w:val="nil"/>
              <w:bottom w:val="nil"/>
              <w:right w:val="nil"/>
            </w:tcBorders>
            <w:noWrap/>
            <w:vAlign w:val="center"/>
            <w:hideMark/>
          </w:tcPr>
          <w:p w14:paraId="158227AD" w14:textId="77777777" w:rsidR="00E64E4E" w:rsidRPr="00655509" w:rsidRDefault="00E64E4E" w:rsidP="00342374">
            <w:pPr>
              <w:spacing w:after="0" w:line="240" w:lineRule="auto"/>
              <w:rPr>
                <w:rFonts w:ascii="Times New Roman" w:eastAsia="Times New Roman" w:hAnsi="Times New Roman" w:cs="Times New Roman"/>
                <w:color w:val="000000"/>
                <w:highlight w:val="yellow"/>
                <w:lang w:eastAsia="nl-NL"/>
              </w:rPr>
            </w:pPr>
            <w:r w:rsidRPr="00655509">
              <w:rPr>
                <w:rFonts w:ascii="Times New Roman" w:eastAsia="Times New Roman" w:hAnsi="Times New Roman" w:cs="Times New Roman"/>
                <w:color w:val="000000"/>
                <w:lang w:eastAsia="nl-NL"/>
              </w:rPr>
              <w:t xml:space="preserve">  3.0</w:t>
            </w:r>
          </w:p>
        </w:tc>
        <w:tc>
          <w:tcPr>
            <w:tcW w:w="100" w:type="dxa"/>
            <w:tcBorders>
              <w:top w:val="nil"/>
              <w:left w:val="nil"/>
              <w:bottom w:val="nil"/>
              <w:right w:val="nil"/>
            </w:tcBorders>
            <w:noWrap/>
            <w:vAlign w:val="bottom"/>
            <w:hideMark/>
          </w:tcPr>
          <w:p w14:paraId="3D38D883"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48D6EA10"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3BBD0B66" w14:textId="77777777" w:rsidTr="00342374">
        <w:trPr>
          <w:trHeight w:val="300"/>
        </w:trPr>
        <w:tc>
          <w:tcPr>
            <w:tcW w:w="1000" w:type="dxa"/>
            <w:tcBorders>
              <w:top w:val="nil"/>
              <w:left w:val="nil"/>
              <w:bottom w:val="nil"/>
              <w:right w:val="nil"/>
            </w:tcBorders>
            <w:noWrap/>
            <w:vAlign w:val="bottom"/>
            <w:hideMark/>
          </w:tcPr>
          <w:p w14:paraId="25022FE9"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85-89</w:t>
            </w:r>
          </w:p>
        </w:tc>
        <w:tc>
          <w:tcPr>
            <w:tcW w:w="160" w:type="dxa"/>
            <w:tcBorders>
              <w:top w:val="nil"/>
              <w:left w:val="nil"/>
              <w:bottom w:val="nil"/>
              <w:right w:val="nil"/>
            </w:tcBorders>
            <w:noWrap/>
            <w:vAlign w:val="bottom"/>
            <w:hideMark/>
          </w:tcPr>
          <w:p w14:paraId="5FF4C367"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center"/>
            <w:hideMark/>
          </w:tcPr>
          <w:p w14:paraId="4BF92461"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3.3</w:t>
            </w:r>
          </w:p>
        </w:tc>
        <w:tc>
          <w:tcPr>
            <w:tcW w:w="660" w:type="dxa"/>
            <w:tcBorders>
              <w:top w:val="nil"/>
              <w:left w:val="nil"/>
              <w:bottom w:val="nil"/>
              <w:right w:val="nil"/>
            </w:tcBorders>
            <w:noWrap/>
            <w:vAlign w:val="center"/>
            <w:hideMark/>
          </w:tcPr>
          <w:p w14:paraId="2FF56E89"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1.9</w:t>
            </w:r>
          </w:p>
        </w:tc>
        <w:tc>
          <w:tcPr>
            <w:tcW w:w="280" w:type="dxa"/>
            <w:tcBorders>
              <w:top w:val="nil"/>
              <w:left w:val="nil"/>
              <w:bottom w:val="nil"/>
              <w:right w:val="nil"/>
            </w:tcBorders>
            <w:noWrap/>
            <w:vAlign w:val="bottom"/>
            <w:hideMark/>
          </w:tcPr>
          <w:p w14:paraId="759E5AAD"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nil"/>
              <w:right w:val="nil"/>
            </w:tcBorders>
            <w:noWrap/>
            <w:vAlign w:val="center"/>
            <w:hideMark/>
          </w:tcPr>
          <w:p w14:paraId="5709A80A"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2.7</w:t>
            </w:r>
          </w:p>
        </w:tc>
        <w:tc>
          <w:tcPr>
            <w:tcW w:w="740" w:type="dxa"/>
            <w:tcBorders>
              <w:top w:val="nil"/>
              <w:left w:val="nil"/>
              <w:bottom w:val="nil"/>
              <w:right w:val="nil"/>
            </w:tcBorders>
            <w:vAlign w:val="center"/>
            <w:hideMark/>
          </w:tcPr>
          <w:p w14:paraId="288077F4"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2.3</w:t>
            </w:r>
          </w:p>
        </w:tc>
        <w:tc>
          <w:tcPr>
            <w:tcW w:w="280" w:type="dxa"/>
            <w:tcBorders>
              <w:top w:val="nil"/>
              <w:left w:val="nil"/>
              <w:bottom w:val="nil"/>
              <w:right w:val="nil"/>
            </w:tcBorders>
            <w:noWrap/>
            <w:vAlign w:val="bottom"/>
            <w:hideMark/>
          </w:tcPr>
          <w:p w14:paraId="638689D4"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nil"/>
              <w:right w:val="nil"/>
            </w:tcBorders>
            <w:noWrap/>
            <w:vAlign w:val="center"/>
            <w:hideMark/>
          </w:tcPr>
          <w:p w14:paraId="3B628114"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2.0</w:t>
            </w:r>
          </w:p>
        </w:tc>
        <w:tc>
          <w:tcPr>
            <w:tcW w:w="800" w:type="dxa"/>
            <w:tcBorders>
              <w:top w:val="nil"/>
              <w:left w:val="nil"/>
              <w:bottom w:val="nil"/>
              <w:right w:val="nil"/>
            </w:tcBorders>
            <w:noWrap/>
            <w:vAlign w:val="center"/>
            <w:hideMark/>
          </w:tcPr>
          <w:p w14:paraId="4CFEA7CB" w14:textId="77777777" w:rsidR="00E64E4E" w:rsidRPr="00655509" w:rsidRDefault="00E64E4E" w:rsidP="00342374">
            <w:pPr>
              <w:spacing w:after="0" w:line="240" w:lineRule="auto"/>
              <w:rPr>
                <w:rFonts w:ascii="Times New Roman" w:eastAsia="Times New Roman" w:hAnsi="Times New Roman" w:cs="Times New Roman"/>
                <w:color w:val="000000"/>
                <w:highlight w:val="yellow"/>
                <w:lang w:eastAsia="nl-NL"/>
              </w:rPr>
            </w:pPr>
            <w:r w:rsidRPr="00655509">
              <w:rPr>
                <w:rFonts w:ascii="Times New Roman" w:eastAsia="Times New Roman" w:hAnsi="Times New Roman" w:cs="Times New Roman"/>
                <w:color w:val="000000"/>
                <w:lang w:eastAsia="nl-NL"/>
              </w:rPr>
              <w:t xml:space="preserve">  2.3</w:t>
            </w:r>
          </w:p>
        </w:tc>
        <w:tc>
          <w:tcPr>
            <w:tcW w:w="100" w:type="dxa"/>
            <w:tcBorders>
              <w:top w:val="nil"/>
              <w:left w:val="nil"/>
              <w:bottom w:val="nil"/>
              <w:right w:val="nil"/>
            </w:tcBorders>
            <w:noWrap/>
            <w:vAlign w:val="bottom"/>
            <w:hideMark/>
          </w:tcPr>
          <w:p w14:paraId="6077F42E"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74DF75F4"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7A839501" w14:textId="77777777" w:rsidTr="00342374">
        <w:trPr>
          <w:trHeight w:val="315"/>
        </w:trPr>
        <w:tc>
          <w:tcPr>
            <w:tcW w:w="1000" w:type="dxa"/>
            <w:tcBorders>
              <w:top w:val="nil"/>
              <w:left w:val="nil"/>
              <w:bottom w:val="single" w:sz="12" w:space="0" w:color="auto"/>
              <w:right w:val="nil"/>
            </w:tcBorders>
            <w:noWrap/>
            <w:vAlign w:val="bottom"/>
            <w:hideMark/>
          </w:tcPr>
          <w:p w14:paraId="5E6B2856" w14:textId="77777777" w:rsidR="00E64E4E" w:rsidRPr="00655509" w:rsidRDefault="00E64E4E" w:rsidP="00342374">
            <w:pPr>
              <w:spacing w:after="0" w:line="240" w:lineRule="auto"/>
              <w:rPr>
                <w:rFonts w:ascii="Times New Roman" w:eastAsia="Times New Roman" w:hAnsi="Times New Roman" w:cs="Times New Roman"/>
                <w:lang w:eastAsia="nl-NL"/>
              </w:rPr>
            </w:pPr>
            <w:r w:rsidRPr="00655509">
              <w:rPr>
                <w:rFonts w:ascii="Times New Roman" w:eastAsia="Times New Roman" w:hAnsi="Times New Roman" w:cs="Times New Roman"/>
                <w:lang w:eastAsia="nl-NL"/>
              </w:rPr>
              <w:t xml:space="preserve">  90+</w:t>
            </w:r>
          </w:p>
        </w:tc>
        <w:tc>
          <w:tcPr>
            <w:tcW w:w="160" w:type="dxa"/>
            <w:tcBorders>
              <w:top w:val="nil"/>
              <w:left w:val="nil"/>
              <w:bottom w:val="single" w:sz="12" w:space="0" w:color="auto"/>
              <w:right w:val="nil"/>
            </w:tcBorders>
            <w:noWrap/>
            <w:vAlign w:val="bottom"/>
            <w:hideMark/>
          </w:tcPr>
          <w:p w14:paraId="4FF754BE"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single" w:sz="12" w:space="0" w:color="auto"/>
              <w:right w:val="nil"/>
            </w:tcBorders>
            <w:noWrap/>
            <w:vAlign w:val="center"/>
            <w:hideMark/>
          </w:tcPr>
          <w:p w14:paraId="5E7ACD45"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1.8</w:t>
            </w:r>
          </w:p>
        </w:tc>
        <w:tc>
          <w:tcPr>
            <w:tcW w:w="660" w:type="dxa"/>
            <w:tcBorders>
              <w:top w:val="nil"/>
              <w:left w:val="nil"/>
              <w:bottom w:val="single" w:sz="12" w:space="0" w:color="auto"/>
              <w:right w:val="nil"/>
            </w:tcBorders>
            <w:noWrap/>
            <w:vAlign w:val="center"/>
            <w:hideMark/>
          </w:tcPr>
          <w:p w14:paraId="2821BE83"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1.6</w:t>
            </w:r>
          </w:p>
        </w:tc>
        <w:tc>
          <w:tcPr>
            <w:tcW w:w="280" w:type="dxa"/>
            <w:tcBorders>
              <w:top w:val="nil"/>
              <w:left w:val="nil"/>
              <w:bottom w:val="single" w:sz="12" w:space="0" w:color="auto"/>
              <w:right w:val="nil"/>
            </w:tcBorders>
            <w:noWrap/>
            <w:vAlign w:val="bottom"/>
            <w:hideMark/>
          </w:tcPr>
          <w:p w14:paraId="31967764"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680" w:type="dxa"/>
            <w:tcBorders>
              <w:top w:val="nil"/>
              <w:left w:val="nil"/>
              <w:bottom w:val="single" w:sz="12" w:space="0" w:color="auto"/>
              <w:right w:val="nil"/>
            </w:tcBorders>
            <w:noWrap/>
            <w:vAlign w:val="center"/>
            <w:hideMark/>
          </w:tcPr>
          <w:p w14:paraId="746EFBF6"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2.8</w:t>
            </w:r>
          </w:p>
        </w:tc>
        <w:tc>
          <w:tcPr>
            <w:tcW w:w="740" w:type="dxa"/>
            <w:tcBorders>
              <w:top w:val="nil"/>
              <w:left w:val="nil"/>
              <w:bottom w:val="single" w:sz="12" w:space="0" w:color="auto"/>
              <w:right w:val="nil"/>
            </w:tcBorders>
            <w:vAlign w:val="center"/>
            <w:hideMark/>
          </w:tcPr>
          <w:p w14:paraId="60C4F4E4"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2.2</w:t>
            </w:r>
          </w:p>
        </w:tc>
        <w:tc>
          <w:tcPr>
            <w:tcW w:w="280" w:type="dxa"/>
            <w:tcBorders>
              <w:top w:val="nil"/>
              <w:left w:val="nil"/>
              <w:bottom w:val="single" w:sz="12" w:space="0" w:color="auto"/>
              <w:right w:val="nil"/>
            </w:tcBorders>
            <w:noWrap/>
            <w:vAlign w:val="bottom"/>
            <w:hideMark/>
          </w:tcPr>
          <w:p w14:paraId="7EF3B7A6"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800" w:type="dxa"/>
            <w:tcBorders>
              <w:top w:val="nil"/>
              <w:left w:val="nil"/>
              <w:bottom w:val="single" w:sz="12" w:space="0" w:color="auto"/>
              <w:right w:val="nil"/>
            </w:tcBorders>
            <w:noWrap/>
            <w:vAlign w:val="center"/>
            <w:hideMark/>
          </w:tcPr>
          <w:p w14:paraId="66D95FED"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3.1</w:t>
            </w:r>
          </w:p>
        </w:tc>
        <w:tc>
          <w:tcPr>
            <w:tcW w:w="800" w:type="dxa"/>
            <w:tcBorders>
              <w:top w:val="nil"/>
              <w:left w:val="nil"/>
              <w:bottom w:val="single" w:sz="12" w:space="0" w:color="auto"/>
              <w:right w:val="nil"/>
            </w:tcBorders>
            <w:noWrap/>
            <w:vAlign w:val="center"/>
            <w:hideMark/>
          </w:tcPr>
          <w:p w14:paraId="3C41F46B"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r w:rsidRPr="00655509">
              <w:rPr>
                <w:rFonts w:ascii="Times New Roman" w:eastAsia="Times New Roman" w:hAnsi="Times New Roman" w:cs="Times New Roman"/>
                <w:color w:val="000000"/>
                <w:lang w:eastAsia="nl-NL"/>
              </w:rPr>
              <w:t xml:space="preserve">  1.8</w:t>
            </w:r>
          </w:p>
        </w:tc>
        <w:tc>
          <w:tcPr>
            <w:tcW w:w="100" w:type="dxa"/>
            <w:tcBorders>
              <w:top w:val="nil"/>
              <w:left w:val="nil"/>
              <w:bottom w:val="single" w:sz="12" w:space="0" w:color="auto"/>
              <w:right w:val="nil"/>
            </w:tcBorders>
            <w:noWrap/>
            <w:vAlign w:val="bottom"/>
            <w:hideMark/>
          </w:tcPr>
          <w:p w14:paraId="494A873C" w14:textId="77777777" w:rsidR="00E64E4E" w:rsidRPr="00655509" w:rsidRDefault="00E64E4E" w:rsidP="00342374">
            <w:pPr>
              <w:spacing w:after="0" w:line="240" w:lineRule="auto"/>
              <w:rPr>
                <w:rFonts w:ascii="Times New Roman" w:eastAsia="Times New Roman" w:hAnsi="Times New Roman" w:cs="Times New Roman"/>
                <w:color w:val="000000"/>
                <w:lang w:eastAsia="nl-NL"/>
              </w:rPr>
            </w:pPr>
          </w:p>
        </w:tc>
        <w:tc>
          <w:tcPr>
            <w:tcW w:w="960" w:type="dxa"/>
            <w:tcBorders>
              <w:top w:val="nil"/>
              <w:left w:val="nil"/>
              <w:bottom w:val="nil"/>
              <w:right w:val="nil"/>
            </w:tcBorders>
            <w:noWrap/>
            <w:vAlign w:val="bottom"/>
            <w:hideMark/>
          </w:tcPr>
          <w:p w14:paraId="4B32E4E2"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69BA2551" w14:textId="77777777" w:rsidTr="00342374">
        <w:trPr>
          <w:trHeight w:val="315"/>
        </w:trPr>
        <w:tc>
          <w:tcPr>
            <w:tcW w:w="2520" w:type="dxa"/>
            <w:gridSpan w:val="4"/>
            <w:tcBorders>
              <w:top w:val="nil"/>
              <w:left w:val="nil"/>
              <w:bottom w:val="nil"/>
              <w:right w:val="nil"/>
            </w:tcBorders>
            <w:noWrap/>
            <w:vAlign w:val="bottom"/>
            <w:hideMark/>
          </w:tcPr>
          <w:p w14:paraId="24F83E94" w14:textId="77777777" w:rsidR="00E64E4E" w:rsidRPr="00655509" w:rsidRDefault="00E64E4E" w:rsidP="00342374">
            <w:pPr>
              <w:spacing w:after="0" w:line="240" w:lineRule="auto"/>
              <w:rPr>
                <w:rFonts w:ascii="Times New Roman" w:eastAsia="Times New Roman" w:hAnsi="Times New Roman" w:cs="Times New Roman"/>
                <w:i/>
                <w:iCs/>
                <w:lang w:eastAsia="nl-NL"/>
              </w:rPr>
            </w:pPr>
            <w:r w:rsidRPr="00655509">
              <w:rPr>
                <w:rFonts w:ascii="Times New Roman" w:eastAsia="Times New Roman" w:hAnsi="Times New Roman" w:cs="Times New Roman"/>
                <w:i/>
                <w:iCs/>
                <w:lang w:eastAsia="nl-NL"/>
              </w:rPr>
              <w:t>M= males     F= females</w:t>
            </w:r>
          </w:p>
        </w:tc>
        <w:tc>
          <w:tcPr>
            <w:tcW w:w="280" w:type="dxa"/>
            <w:tcBorders>
              <w:top w:val="nil"/>
              <w:left w:val="nil"/>
              <w:bottom w:val="nil"/>
              <w:right w:val="nil"/>
            </w:tcBorders>
            <w:noWrap/>
            <w:vAlign w:val="bottom"/>
            <w:hideMark/>
          </w:tcPr>
          <w:p w14:paraId="628566F1" w14:textId="77777777" w:rsidR="00E64E4E" w:rsidRPr="00655509" w:rsidRDefault="00E64E4E" w:rsidP="00342374">
            <w:pPr>
              <w:spacing w:after="0" w:line="240" w:lineRule="auto"/>
              <w:rPr>
                <w:rFonts w:ascii="Times New Roman" w:eastAsia="Times New Roman" w:hAnsi="Times New Roman" w:cs="Times New Roman"/>
                <w:i/>
                <w:iCs/>
                <w:lang w:eastAsia="nl-NL"/>
              </w:rPr>
            </w:pPr>
          </w:p>
        </w:tc>
        <w:tc>
          <w:tcPr>
            <w:tcW w:w="680" w:type="dxa"/>
            <w:tcBorders>
              <w:top w:val="nil"/>
              <w:left w:val="nil"/>
              <w:bottom w:val="nil"/>
              <w:right w:val="nil"/>
            </w:tcBorders>
            <w:noWrap/>
            <w:vAlign w:val="bottom"/>
            <w:hideMark/>
          </w:tcPr>
          <w:p w14:paraId="32CB07B7"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40" w:type="dxa"/>
            <w:tcBorders>
              <w:top w:val="nil"/>
              <w:left w:val="nil"/>
              <w:bottom w:val="nil"/>
              <w:right w:val="nil"/>
            </w:tcBorders>
            <w:noWrap/>
            <w:vAlign w:val="bottom"/>
            <w:hideMark/>
          </w:tcPr>
          <w:p w14:paraId="31F3BAFE"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6E596EFF"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78042CD6"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533905DA"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00" w:type="dxa"/>
            <w:tcBorders>
              <w:top w:val="nil"/>
              <w:left w:val="nil"/>
              <w:bottom w:val="nil"/>
              <w:right w:val="nil"/>
            </w:tcBorders>
            <w:noWrap/>
            <w:vAlign w:val="bottom"/>
            <w:hideMark/>
          </w:tcPr>
          <w:p w14:paraId="4DA25CA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960" w:type="dxa"/>
            <w:tcBorders>
              <w:top w:val="nil"/>
              <w:left w:val="nil"/>
              <w:bottom w:val="nil"/>
              <w:right w:val="nil"/>
            </w:tcBorders>
            <w:noWrap/>
            <w:vAlign w:val="bottom"/>
            <w:hideMark/>
          </w:tcPr>
          <w:p w14:paraId="68C85D8F" w14:textId="77777777" w:rsidR="00E64E4E" w:rsidRPr="00655509" w:rsidRDefault="00E64E4E" w:rsidP="00342374">
            <w:pPr>
              <w:spacing w:after="0" w:line="240" w:lineRule="auto"/>
              <w:rPr>
                <w:rFonts w:ascii="Times New Roman" w:eastAsia="Times New Roman" w:hAnsi="Times New Roman" w:cs="Times New Roman"/>
                <w:lang w:eastAsia="nl-NL"/>
              </w:rPr>
            </w:pPr>
          </w:p>
        </w:tc>
      </w:tr>
      <w:tr w:rsidR="00E64E4E" w:rsidRPr="002C5129" w14:paraId="75CB8929" w14:textId="77777777" w:rsidTr="00342374">
        <w:trPr>
          <w:trHeight w:val="300"/>
        </w:trPr>
        <w:tc>
          <w:tcPr>
            <w:tcW w:w="1000" w:type="dxa"/>
            <w:tcBorders>
              <w:top w:val="nil"/>
              <w:left w:val="nil"/>
              <w:bottom w:val="nil"/>
              <w:right w:val="nil"/>
            </w:tcBorders>
            <w:noWrap/>
            <w:vAlign w:val="bottom"/>
            <w:hideMark/>
          </w:tcPr>
          <w:p w14:paraId="2536839F"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60" w:type="dxa"/>
            <w:tcBorders>
              <w:top w:val="nil"/>
              <w:left w:val="nil"/>
              <w:bottom w:val="nil"/>
              <w:right w:val="nil"/>
            </w:tcBorders>
            <w:noWrap/>
            <w:vAlign w:val="bottom"/>
            <w:hideMark/>
          </w:tcPr>
          <w:p w14:paraId="37643385"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00" w:type="dxa"/>
            <w:tcBorders>
              <w:top w:val="nil"/>
              <w:left w:val="nil"/>
              <w:bottom w:val="nil"/>
              <w:right w:val="nil"/>
            </w:tcBorders>
            <w:noWrap/>
            <w:vAlign w:val="bottom"/>
            <w:hideMark/>
          </w:tcPr>
          <w:p w14:paraId="1A19371B"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60" w:type="dxa"/>
            <w:tcBorders>
              <w:top w:val="nil"/>
              <w:left w:val="nil"/>
              <w:bottom w:val="nil"/>
              <w:right w:val="nil"/>
            </w:tcBorders>
            <w:noWrap/>
            <w:vAlign w:val="bottom"/>
            <w:hideMark/>
          </w:tcPr>
          <w:p w14:paraId="5463CCB7"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13B1746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680" w:type="dxa"/>
            <w:tcBorders>
              <w:top w:val="nil"/>
              <w:left w:val="nil"/>
              <w:bottom w:val="nil"/>
              <w:right w:val="nil"/>
            </w:tcBorders>
            <w:noWrap/>
            <w:vAlign w:val="bottom"/>
            <w:hideMark/>
          </w:tcPr>
          <w:p w14:paraId="19CA764C"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740" w:type="dxa"/>
            <w:tcBorders>
              <w:top w:val="nil"/>
              <w:left w:val="nil"/>
              <w:bottom w:val="nil"/>
              <w:right w:val="nil"/>
            </w:tcBorders>
            <w:noWrap/>
            <w:vAlign w:val="bottom"/>
            <w:hideMark/>
          </w:tcPr>
          <w:p w14:paraId="0728F8E9"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280" w:type="dxa"/>
            <w:tcBorders>
              <w:top w:val="nil"/>
              <w:left w:val="nil"/>
              <w:bottom w:val="nil"/>
              <w:right w:val="nil"/>
            </w:tcBorders>
            <w:noWrap/>
            <w:vAlign w:val="bottom"/>
            <w:hideMark/>
          </w:tcPr>
          <w:p w14:paraId="49E1B81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735F5191"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800" w:type="dxa"/>
            <w:tcBorders>
              <w:top w:val="nil"/>
              <w:left w:val="nil"/>
              <w:bottom w:val="nil"/>
              <w:right w:val="nil"/>
            </w:tcBorders>
            <w:noWrap/>
            <w:vAlign w:val="bottom"/>
            <w:hideMark/>
          </w:tcPr>
          <w:p w14:paraId="2AC92F5F"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100" w:type="dxa"/>
            <w:tcBorders>
              <w:top w:val="nil"/>
              <w:left w:val="nil"/>
              <w:bottom w:val="nil"/>
              <w:right w:val="nil"/>
            </w:tcBorders>
            <w:noWrap/>
            <w:vAlign w:val="bottom"/>
            <w:hideMark/>
          </w:tcPr>
          <w:p w14:paraId="032B278E" w14:textId="77777777" w:rsidR="00E64E4E" w:rsidRPr="00655509" w:rsidRDefault="00E64E4E" w:rsidP="00342374">
            <w:pPr>
              <w:spacing w:after="0" w:line="240" w:lineRule="auto"/>
              <w:rPr>
                <w:rFonts w:ascii="Times New Roman" w:eastAsia="Times New Roman" w:hAnsi="Times New Roman" w:cs="Times New Roman"/>
                <w:lang w:eastAsia="nl-NL"/>
              </w:rPr>
            </w:pPr>
          </w:p>
        </w:tc>
        <w:tc>
          <w:tcPr>
            <w:tcW w:w="960" w:type="dxa"/>
            <w:tcBorders>
              <w:top w:val="nil"/>
              <w:left w:val="nil"/>
              <w:bottom w:val="nil"/>
              <w:right w:val="nil"/>
            </w:tcBorders>
            <w:noWrap/>
            <w:vAlign w:val="bottom"/>
            <w:hideMark/>
          </w:tcPr>
          <w:p w14:paraId="29993679" w14:textId="77777777" w:rsidR="00E64E4E" w:rsidRPr="00655509" w:rsidRDefault="00E64E4E" w:rsidP="00342374">
            <w:pPr>
              <w:spacing w:after="0" w:line="240" w:lineRule="auto"/>
              <w:rPr>
                <w:rFonts w:ascii="Times New Roman" w:eastAsia="Times New Roman" w:hAnsi="Times New Roman" w:cs="Times New Roman"/>
                <w:lang w:eastAsia="nl-NL"/>
              </w:rPr>
            </w:pPr>
          </w:p>
        </w:tc>
      </w:tr>
    </w:tbl>
    <w:p w14:paraId="4005B86C" w14:textId="77777777" w:rsidR="00EC5018" w:rsidRPr="00402C50" w:rsidRDefault="00EC5018" w:rsidP="00314931">
      <w:pPr>
        <w:spacing w:line="480" w:lineRule="auto"/>
        <w:rPr>
          <w:rFonts w:ascii="Times New Roman" w:hAnsi="Times New Roman" w:cs="Times New Roman"/>
          <w:sz w:val="24"/>
          <w:szCs w:val="24"/>
          <w:lang w:val="nl-NL"/>
        </w:rPr>
      </w:pPr>
    </w:p>
    <w:p w14:paraId="7661CEE9" w14:textId="77777777" w:rsidR="007908FA" w:rsidRDefault="007908FA">
      <w:pPr>
        <w:spacing w:after="0" w:line="240" w:lineRule="auto"/>
        <w:rPr>
          <w:rFonts w:ascii="Times New Roman" w:eastAsiaTheme="minorEastAsia" w:hAnsi="Times New Roman" w:cs="Times New Roman"/>
          <w:b/>
          <w:color w:val="000000" w:themeColor="text1"/>
          <w:sz w:val="24"/>
          <w:szCs w:val="24"/>
          <w:lang w:val="en-US" w:eastAsia="nl-NL"/>
        </w:rPr>
      </w:pPr>
    </w:p>
    <w:p w14:paraId="387EE514" w14:textId="189750DF" w:rsidR="007908FA" w:rsidRDefault="007908FA">
      <w:pPr>
        <w:spacing w:after="0" w:line="240" w:lineRule="auto"/>
        <w:rPr>
          <w:rFonts w:ascii="Times New Roman" w:eastAsiaTheme="minorEastAsia" w:hAnsi="Times New Roman" w:cs="Times New Roman"/>
          <w:b/>
          <w:color w:val="000000" w:themeColor="text1"/>
          <w:sz w:val="24"/>
          <w:szCs w:val="24"/>
          <w:lang w:val="en-US" w:eastAsia="nl-NL"/>
        </w:rPr>
      </w:pPr>
    </w:p>
    <w:p w14:paraId="1A36B637" w14:textId="1711E24F" w:rsidR="007908FA" w:rsidRDefault="007908FA">
      <w:pPr>
        <w:spacing w:after="0" w:line="240" w:lineRule="auto"/>
        <w:rPr>
          <w:rFonts w:ascii="Times New Roman" w:eastAsiaTheme="minorEastAsia" w:hAnsi="Times New Roman" w:cs="Times New Roman"/>
          <w:b/>
          <w:color w:val="000000" w:themeColor="text1"/>
          <w:sz w:val="24"/>
          <w:szCs w:val="24"/>
          <w:lang w:val="en-US" w:eastAsia="nl-NL"/>
        </w:rPr>
      </w:pPr>
    </w:p>
    <w:p w14:paraId="0C6E9D1C" w14:textId="77777777" w:rsidR="009A4C06" w:rsidRPr="00402C50" w:rsidRDefault="009A4C06" w:rsidP="00721717">
      <w:pPr>
        <w:spacing w:line="480" w:lineRule="auto"/>
        <w:rPr>
          <w:rFonts w:ascii="Times New Roman" w:hAnsi="Times New Roman" w:cs="Times New Roman"/>
          <w:sz w:val="24"/>
          <w:szCs w:val="24"/>
        </w:rPr>
      </w:pPr>
    </w:p>
    <w:sectPr w:rsidR="009A4C06" w:rsidRPr="00402C50" w:rsidSect="006555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5E087" w14:textId="77777777" w:rsidR="00E45FA9" w:rsidRDefault="00E45FA9">
      <w:pPr>
        <w:spacing w:after="0" w:line="240" w:lineRule="auto"/>
      </w:pPr>
      <w:r>
        <w:separator/>
      </w:r>
    </w:p>
  </w:endnote>
  <w:endnote w:type="continuationSeparator" w:id="0">
    <w:p w14:paraId="023260A7" w14:textId="77777777" w:rsidR="00E45FA9" w:rsidRDefault="00E4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894990"/>
      <w:docPartObj>
        <w:docPartGallery w:val="Page Numbers (Bottom of Page)"/>
        <w:docPartUnique/>
      </w:docPartObj>
    </w:sdtPr>
    <w:sdtEndPr/>
    <w:sdtContent>
      <w:p w14:paraId="34D04BE3" w14:textId="25937158" w:rsidR="008C7244" w:rsidRDefault="008C7244">
        <w:pPr>
          <w:pStyle w:val="Footer"/>
          <w:jc w:val="right"/>
        </w:pPr>
        <w:r>
          <w:fldChar w:fldCharType="begin"/>
        </w:r>
        <w:r>
          <w:instrText>PAGE   \* MERGEFORMAT</w:instrText>
        </w:r>
        <w:r>
          <w:fldChar w:fldCharType="separate"/>
        </w:r>
        <w:r w:rsidR="0018042B" w:rsidRPr="0018042B">
          <w:rPr>
            <w:noProof/>
            <w:lang w:val="nl-NL"/>
          </w:rPr>
          <w:t>2</w:t>
        </w:r>
        <w:r>
          <w:fldChar w:fldCharType="end"/>
        </w:r>
      </w:p>
    </w:sdtContent>
  </w:sdt>
  <w:p w14:paraId="35FC1091" w14:textId="77777777" w:rsidR="008C7244" w:rsidRDefault="008C72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AF0E4" w14:textId="77777777" w:rsidR="00E45FA9" w:rsidRDefault="00E45FA9">
      <w:pPr>
        <w:spacing w:after="0" w:line="240" w:lineRule="auto"/>
      </w:pPr>
      <w:r>
        <w:separator/>
      </w:r>
    </w:p>
  </w:footnote>
  <w:footnote w:type="continuationSeparator" w:id="0">
    <w:p w14:paraId="48AA6541" w14:textId="77777777" w:rsidR="00E45FA9" w:rsidRDefault="00E45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C408051-801B-4C58-9A38-C4CC95E5D3B1}"/>
    <w:docVar w:name="dgnword-eventsink" w:val="5301920"/>
  </w:docVars>
  <w:rsids>
    <w:rsidRoot w:val="00EC5018"/>
    <w:rsid w:val="00002305"/>
    <w:rsid w:val="000067C3"/>
    <w:rsid w:val="00007C14"/>
    <w:rsid w:val="00011CFF"/>
    <w:rsid w:val="00014E5A"/>
    <w:rsid w:val="000222A2"/>
    <w:rsid w:val="000306DF"/>
    <w:rsid w:val="00060DEE"/>
    <w:rsid w:val="00065B68"/>
    <w:rsid w:val="000767C3"/>
    <w:rsid w:val="00076E12"/>
    <w:rsid w:val="00091E20"/>
    <w:rsid w:val="000A2972"/>
    <w:rsid w:val="000B47D5"/>
    <w:rsid w:val="000B57A4"/>
    <w:rsid w:val="000B7CD0"/>
    <w:rsid w:val="000D59A7"/>
    <w:rsid w:val="000E1961"/>
    <w:rsid w:val="000E38C3"/>
    <w:rsid w:val="000F424A"/>
    <w:rsid w:val="0011139F"/>
    <w:rsid w:val="0011425E"/>
    <w:rsid w:val="0012100D"/>
    <w:rsid w:val="0013511E"/>
    <w:rsid w:val="00137624"/>
    <w:rsid w:val="00141633"/>
    <w:rsid w:val="001524A3"/>
    <w:rsid w:val="0015578E"/>
    <w:rsid w:val="00165D39"/>
    <w:rsid w:val="0018042B"/>
    <w:rsid w:val="00191804"/>
    <w:rsid w:val="001A377C"/>
    <w:rsid w:val="001A3DDE"/>
    <w:rsid w:val="001A5978"/>
    <w:rsid w:val="001B4A1C"/>
    <w:rsid w:val="001C5FE6"/>
    <w:rsid w:val="001E5455"/>
    <w:rsid w:val="001F5F7A"/>
    <w:rsid w:val="00200F77"/>
    <w:rsid w:val="00236DE5"/>
    <w:rsid w:val="00237793"/>
    <w:rsid w:val="00251501"/>
    <w:rsid w:val="00260C40"/>
    <w:rsid w:val="002670DF"/>
    <w:rsid w:val="00270560"/>
    <w:rsid w:val="00276BC8"/>
    <w:rsid w:val="00284E2E"/>
    <w:rsid w:val="00296750"/>
    <w:rsid w:val="00296B7D"/>
    <w:rsid w:val="002B157F"/>
    <w:rsid w:val="002C1945"/>
    <w:rsid w:val="002C5129"/>
    <w:rsid w:val="002D347C"/>
    <w:rsid w:val="002E78CD"/>
    <w:rsid w:val="00300650"/>
    <w:rsid w:val="00314931"/>
    <w:rsid w:val="00314A56"/>
    <w:rsid w:val="00342374"/>
    <w:rsid w:val="00351C69"/>
    <w:rsid w:val="0036410F"/>
    <w:rsid w:val="00372096"/>
    <w:rsid w:val="00387EC8"/>
    <w:rsid w:val="0039458D"/>
    <w:rsid w:val="003A7A2C"/>
    <w:rsid w:val="003B108A"/>
    <w:rsid w:val="003B21D7"/>
    <w:rsid w:val="003B597A"/>
    <w:rsid w:val="003C1865"/>
    <w:rsid w:val="003C3C62"/>
    <w:rsid w:val="003E49F1"/>
    <w:rsid w:val="003F37E9"/>
    <w:rsid w:val="00401FFC"/>
    <w:rsid w:val="00402C50"/>
    <w:rsid w:val="00404418"/>
    <w:rsid w:val="00412D94"/>
    <w:rsid w:val="004142FF"/>
    <w:rsid w:val="00422AD2"/>
    <w:rsid w:val="0043236B"/>
    <w:rsid w:val="0045457C"/>
    <w:rsid w:val="00460E2C"/>
    <w:rsid w:val="00461FBF"/>
    <w:rsid w:val="00471994"/>
    <w:rsid w:val="00475EDB"/>
    <w:rsid w:val="00486F24"/>
    <w:rsid w:val="004A2958"/>
    <w:rsid w:val="004B1759"/>
    <w:rsid w:val="004B5B1D"/>
    <w:rsid w:val="004B69FE"/>
    <w:rsid w:val="004C3442"/>
    <w:rsid w:val="004C37EE"/>
    <w:rsid w:val="004C50C4"/>
    <w:rsid w:val="004C5D52"/>
    <w:rsid w:val="004C6606"/>
    <w:rsid w:val="004D33E8"/>
    <w:rsid w:val="004D7520"/>
    <w:rsid w:val="004D7B94"/>
    <w:rsid w:val="004E1728"/>
    <w:rsid w:val="004F0CF7"/>
    <w:rsid w:val="004F43BC"/>
    <w:rsid w:val="00512EE2"/>
    <w:rsid w:val="00535646"/>
    <w:rsid w:val="005506BB"/>
    <w:rsid w:val="0055334E"/>
    <w:rsid w:val="00553E6A"/>
    <w:rsid w:val="00556D94"/>
    <w:rsid w:val="00557ADA"/>
    <w:rsid w:val="005627E9"/>
    <w:rsid w:val="00574FA8"/>
    <w:rsid w:val="00577E8E"/>
    <w:rsid w:val="005A11EE"/>
    <w:rsid w:val="005A676C"/>
    <w:rsid w:val="005A6863"/>
    <w:rsid w:val="005C0173"/>
    <w:rsid w:val="005C307A"/>
    <w:rsid w:val="005D3FCA"/>
    <w:rsid w:val="005D5B7B"/>
    <w:rsid w:val="005F5B1E"/>
    <w:rsid w:val="00604A1C"/>
    <w:rsid w:val="0063306E"/>
    <w:rsid w:val="0064642E"/>
    <w:rsid w:val="00655509"/>
    <w:rsid w:val="0067062A"/>
    <w:rsid w:val="00672C75"/>
    <w:rsid w:val="00682694"/>
    <w:rsid w:val="006903A5"/>
    <w:rsid w:val="0069134B"/>
    <w:rsid w:val="006967DF"/>
    <w:rsid w:val="00697DCD"/>
    <w:rsid w:val="006A29C7"/>
    <w:rsid w:val="006D2711"/>
    <w:rsid w:val="006D280B"/>
    <w:rsid w:val="006E436F"/>
    <w:rsid w:val="007011F4"/>
    <w:rsid w:val="0072022C"/>
    <w:rsid w:val="00721717"/>
    <w:rsid w:val="00724A9D"/>
    <w:rsid w:val="00751072"/>
    <w:rsid w:val="007540A0"/>
    <w:rsid w:val="00754117"/>
    <w:rsid w:val="00754167"/>
    <w:rsid w:val="00762D9E"/>
    <w:rsid w:val="00765740"/>
    <w:rsid w:val="00773385"/>
    <w:rsid w:val="0078207D"/>
    <w:rsid w:val="0078554B"/>
    <w:rsid w:val="007908FA"/>
    <w:rsid w:val="00797570"/>
    <w:rsid w:val="007B1D9A"/>
    <w:rsid w:val="007C7BF7"/>
    <w:rsid w:val="007D1C33"/>
    <w:rsid w:val="007F1F29"/>
    <w:rsid w:val="007F23E4"/>
    <w:rsid w:val="00805E42"/>
    <w:rsid w:val="00812878"/>
    <w:rsid w:val="008434A7"/>
    <w:rsid w:val="008459F6"/>
    <w:rsid w:val="008462BE"/>
    <w:rsid w:val="00873B62"/>
    <w:rsid w:val="0089636C"/>
    <w:rsid w:val="00896E8C"/>
    <w:rsid w:val="008A193E"/>
    <w:rsid w:val="008A6A92"/>
    <w:rsid w:val="008C172B"/>
    <w:rsid w:val="008C7244"/>
    <w:rsid w:val="008D1E7A"/>
    <w:rsid w:val="008D2B29"/>
    <w:rsid w:val="008D5CB1"/>
    <w:rsid w:val="008D780E"/>
    <w:rsid w:val="008E0C83"/>
    <w:rsid w:val="008E2276"/>
    <w:rsid w:val="008F790D"/>
    <w:rsid w:val="0091206F"/>
    <w:rsid w:val="00916FE1"/>
    <w:rsid w:val="0092435B"/>
    <w:rsid w:val="00924752"/>
    <w:rsid w:val="00924BE9"/>
    <w:rsid w:val="00930749"/>
    <w:rsid w:val="00950F2F"/>
    <w:rsid w:val="009526A0"/>
    <w:rsid w:val="0097066E"/>
    <w:rsid w:val="00993668"/>
    <w:rsid w:val="00994C9F"/>
    <w:rsid w:val="00995CBD"/>
    <w:rsid w:val="009A4C06"/>
    <w:rsid w:val="009B765F"/>
    <w:rsid w:val="009C3A3C"/>
    <w:rsid w:val="009C5A7A"/>
    <w:rsid w:val="009D2532"/>
    <w:rsid w:val="009D3A90"/>
    <w:rsid w:val="009F14B9"/>
    <w:rsid w:val="009F4F52"/>
    <w:rsid w:val="00A01C20"/>
    <w:rsid w:val="00A0617E"/>
    <w:rsid w:val="00A25182"/>
    <w:rsid w:val="00A44D4B"/>
    <w:rsid w:val="00A75861"/>
    <w:rsid w:val="00A93EBF"/>
    <w:rsid w:val="00AB3147"/>
    <w:rsid w:val="00AB494A"/>
    <w:rsid w:val="00AB71A7"/>
    <w:rsid w:val="00AC27B3"/>
    <w:rsid w:val="00AC5EE4"/>
    <w:rsid w:val="00AC7A58"/>
    <w:rsid w:val="00AD18B8"/>
    <w:rsid w:val="00AF395D"/>
    <w:rsid w:val="00B01A60"/>
    <w:rsid w:val="00B0758A"/>
    <w:rsid w:val="00B10CEE"/>
    <w:rsid w:val="00B121D9"/>
    <w:rsid w:val="00B12F63"/>
    <w:rsid w:val="00B14DF4"/>
    <w:rsid w:val="00B2133E"/>
    <w:rsid w:val="00B24136"/>
    <w:rsid w:val="00B2764B"/>
    <w:rsid w:val="00B35C59"/>
    <w:rsid w:val="00B36044"/>
    <w:rsid w:val="00B81F9C"/>
    <w:rsid w:val="00BB1701"/>
    <w:rsid w:val="00BB1BEF"/>
    <w:rsid w:val="00BC6BA9"/>
    <w:rsid w:val="00BD0129"/>
    <w:rsid w:val="00BD1F2B"/>
    <w:rsid w:val="00BE5961"/>
    <w:rsid w:val="00BF6991"/>
    <w:rsid w:val="00C010C6"/>
    <w:rsid w:val="00C05F2A"/>
    <w:rsid w:val="00C20A83"/>
    <w:rsid w:val="00C26660"/>
    <w:rsid w:val="00C36F41"/>
    <w:rsid w:val="00C60C48"/>
    <w:rsid w:val="00C632AB"/>
    <w:rsid w:val="00C63442"/>
    <w:rsid w:val="00C749CA"/>
    <w:rsid w:val="00C81421"/>
    <w:rsid w:val="00C82283"/>
    <w:rsid w:val="00C82DB8"/>
    <w:rsid w:val="00C92AC9"/>
    <w:rsid w:val="00CA48B9"/>
    <w:rsid w:val="00CA7708"/>
    <w:rsid w:val="00CC30FA"/>
    <w:rsid w:val="00CC675D"/>
    <w:rsid w:val="00CD1B29"/>
    <w:rsid w:val="00CE5AF0"/>
    <w:rsid w:val="00D02FB7"/>
    <w:rsid w:val="00D105A6"/>
    <w:rsid w:val="00D17FF8"/>
    <w:rsid w:val="00D40D93"/>
    <w:rsid w:val="00D425A0"/>
    <w:rsid w:val="00D457CE"/>
    <w:rsid w:val="00D46255"/>
    <w:rsid w:val="00D4771D"/>
    <w:rsid w:val="00D52108"/>
    <w:rsid w:val="00D55103"/>
    <w:rsid w:val="00D745E8"/>
    <w:rsid w:val="00D754A5"/>
    <w:rsid w:val="00D90DF5"/>
    <w:rsid w:val="00DC013C"/>
    <w:rsid w:val="00DD46FC"/>
    <w:rsid w:val="00DE3439"/>
    <w:rsid w:val="00E03CD0"/>
    <w:rsid w:val="00E040B0"/>
    <w:rsid w:val="00E14EC6"/>
    <w:rsid w:val="00E26D12"/>
    <w:rsid w:val="00E3332B"/>
    <w:rsid w:val="00E4458F"/>
    <w:rsid w:val="00E45FA9"/>
    <w:rsid w:val="00E45FEC"/>
    <w:rsid w:val="00E54C21"/>
    <w:rsid w:val="00E60848"/>
    <w:rsid w:val="00E60B06"/>
    <w:rsid w:val="00E616C6"/>
    <w:rsid w:val="00E64E4E"/>
    <w:rsid w:val="00E66637"/>
    <w:rsid w:val="00E70A92"/>
    <w:rsid w:val="00E75F88"/>
    <w:rsid w:val="00E837FA"/>
    <w:rsid w:val="00E83AF0"/>
    <w:rsid w:val="00E85D5E"/>
    <w:rsid w:val="00EA0B36"/>
    <w:rsid w:val="00EA5B34"/>
    <w:rsid w:val="00EA7AF8"/>
    <w:rsid w:val="00EA7BDA"/>
    <w:rsid w:val="00EB3250"/>
    <w:rsid w:val="00EC5018"/>
    <w:rsid w:val="00ED1149"/>
    <w:rsid w:val="00ED5414"/>
    <w:rsid w:val="00EE0923"/>
    <w:rsid w:val="00EE3900"/>
    <w:rsid w:val="00EE5108"/>
    <w:rsid w:val="00EE5202"/>
    <w:rsid w:val="00F04E2B"/>
    <w:rsid w:val="00F05284"/>
    <w:rsid w:val="00F14F7C"/>
    <w:rsid w:val="00F151A7"/>
    <w:rsid w:val="00F824A1"/>
    <w:rsid w:val="00F8571A"/>
    <w:rsid w:val="00F9580E"/>
    <w:rsid w:val="00F9724C"/>
    <w:rsid w:val="00FC0945"/>
    <w:rsid w:val="00FC7B52"/>
    <w:rsid w:val="00FD25B6"/>
    <w:rsid w:val="00FE3ACC"/>
    <w:rsid w:val="00FE7080"/>
    <w:rsid w:val="00FF47C4"/>
    <w:rsid w:val="00FF72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8B5050"/>
  <w14:defaultImageDpi w14:val="32767"/>
  <w15:docId w15:val="{5FBE46CE-E3B4-4C71-8355-8FCC4CA1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8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501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5018"/>
    <w:rPr>
      <w:sz w:val="22"/>
      <w:szCs w:val="22"/>
    </w:rPr>
  </w:style>
  <w:style w:type="paragraph" w:styleId="NoSpacing">
    <w:name w:val="No Spacing"/>
    <w:uiPriority w:val="1"/>
    <w:qFormat/>
    <w:rsid w:val="00EC5018"/>
    <w:rPr>
      <w:sz w:val="22"/>
      <w:szCs w:val="22"/>
    </w:rPr>
  </w:style>
  <w:style w:type="character" w:styleId="Hyperlink">
    <w:name w:val="Hyperlink"/>
    <w:basedOn w:val="DefaultParagraphFont"/>
    <w:uiPriority w:val="99"/>
    <w:unhideWhenUsed/>
    <w:rsid w:val="00C60C48"/>
    <w:rPr>
      <w:color w:val="0563C1" w:themeColor="hyperlink"/>
      <w:u w:val="single"/>
    </w:rPr>
  </w:style>
  <w:style w:type="paragraph" w:styleId="ListParagraph">
    <w:name w:val="List Paragraph"/>
    <w:basedOn w:val="Normal"/>
    <w:uiPriority w:val="34"/>
    <w:qFormat/>
    <w:rsid w:val="00F9580E"/>
    <w:pPr>
      <w:ind w:left="720"/>
      <w:contextualSpacing/>
    </w:pPr>
  </w:style>
  <w:style w:type="paragraph" w:styleId="BalloonText">
    <w:name w:val="Balloon Text"/>
    <w:basedOn w:val="Normal"/>
    <w:link w:val="BalloonTextChar"/>
    <w:uiPriority w:val="99"/>
    <w:semiHidden/>
    <w:unhideWhenUsed/>
    <w:rsid w:val="008C172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172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458F"/>
    <w:rPr>
      <w:sz w:val="16"/>
      <w:szCs w:val="16"/>
    </w:rPr>
  </w:style>
  <w:style w:type="paragraph" w:styleId="CommentText">
    <w:name w:val="annotation text"/>
    <w:basedOn w:val="Normal"/>
    <w:link w:val="CommentTextChar"/>
    <w:uiPriority w:val="99"/>
    <w:semiHidden/>
    <w:unhideWhenUsed/>
    <w:rsid w:val="00E4458F"/>
    <w:pPr>
      <w:spacing w:line="240" w:lineRule="auto"/>
    </w:pPr>
    <w:rPr>
      <w:sz w:val="20"/>
      <w:szCs w:val="20"/>
    </w:rPr>
  </w:style>
  <w:style w:type="character" w:customStyle="1" w:styleId="CommentTextChar">
    <w:name w:val="Comment Text Char"/>
    <w:basedOn w:val="DefaultParagraphFont"/>
    <w:link w:val="CommentText"/>
    <w:uiPriority w:val="99"/>
    <w:semiHidden/>
    <w:rsid w:val="00E4458F"/>
    <w:rPr>
      <w:sz w:val="20"/>
      <w:szCs w:val="20"/>
    </w:rPr>
  </w:style>
  <w:style w:type="paragraph" w:styleId="CommentSubject">
    <w:name w:val="annotation subject"/>
    <w:basedOn w:val="CommentText"/>
    <w:next w:val="CommentText"/>
    <w:link w:val="CommentSubjectChar"/>
    <w:uiPriority w:val="99"/>
    <w:semiHidden/>
    <w:unhideWhenUsed/>
    <w:rsid w:val="00E4458F"/>
    <w:rPr>
      <w:b/>
      <w:bCs/>
    </w:rPr>
  </w:style>
  <w:style w:type="character" w:customStyle="1" w:styleId="CommentSubjectChar">
    <w:name w:val="Comment Subject Char"/>
    <w:basedOn w:val="CommentTextChar"/>
    <w:link w:val="CommentSubject"/>
    <w:uiPriority w:val="99"/>
    <w:semiHidden/>
    <w:rsid w:val="00E4458F"/>
    <w:rPr>
      <w:b/>
      <w:bCs/>
      <w:sz w:val="20"/>
      <w:szCs w:val="20"/>
    </w:rPr>
  </w:style>
  <w:style w:type="character" w:styleId="FollowedHyperlink">
    <w:name w:val="FollowedHyperlink"/>
    <w:basedOn w:val="DefaultParagraphFont"/>
    <w:uiPriority w:val="99"/>
    <w:semiHidden/>
    <w:unhideWhenUsed/>
    <w:rsid w:val="004C50C4"/>
    <w:rPr>
      <w:color w:val="954F72" w:themeColor="followedHyperlink"/>
      <w:u w:val="single"/>
    </w:rPr>
  </w:style>
  <w:style w:type="character" w:styleId="LineNumber">
    <w:name w:val="line number"/>
    <w:basedOn w:val="DefaultParagraphFont"/>
    <w:uiPriority w:val="99"/>
    <w:semiHidden/>
    <w:unhideWhenUsed/>
    <w:rsid w:val="00C82283"/>
  </w:style>
  <w:style w:type="paragraph" w:styleId="PlainText">
    <w:name w:val="Plain Text"/>
    <w:basedOn w:val="Normal"/>
    <w:link w:val="PlainTextChar"/>
    <w:uiPriority w:val="99"/>
    <w:unhideWhenUsed/>
    <w:rsid w:val="00950F2F"/>
    <w:pPr>
      <w:spacing w:after="0" w:line="240" w:lineRule="auto"/>
    </w:pPr>
    <w:rPr>
      <w:rFonts w:ascii="Calibri" w:hAnsi="Calibri"/>
      <w:szCs w:val="21"/>
      <w:lang w:val="nl-NL"/>
    </w:rPr>
  </w:style>
  <w:style w:type="character" w:customStyle="1" w:styleId="PlainTextChar">
    <w:name w:val="Plain Text Char"/>
    <w:basedOn w:val="DefaultParagraphFont"/>
    <w:link w:val="PlainText"/>
    <w:uiPriority w:val="99"/>
    <w:rsid w:val="00950F2F"/>
    <w:rPr>
      <w:rFonts w:ascii="Calibri" w:hAnsi="Calibri"/>
      <w:sz w:val="22"/>
      <w:szCs w:val="21"/>
      <w:lang w:val="nl-NL"/>
    </w:rPr>
  </w:style>
  <w:style w:type="character" w:customStyle="1" w:styleId="UnresolvedMention">
    <w:name w:val="Unresolved Mention"/>
    <w:basedOn w:val="DefaultParagraphFont"/>
    <w:uiPriority w:val="99"/>
    <w:semiHidden/>
    <w:unhideWhenUsed/>
    <w:rsid w:val="00296B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709">
      <w:bodyDiv w:val="1"/>
      <w:marLeft w:val="0"/>
      <w:marRight w:val="0"/>
      <w:marTop w:val="0"/>
      <w:marBottom w:val="0"/>
      <w:divBdr>
        <w:top w:val="none" w:sz="0" w:space="0" w:color="auto"/>
        <w:left w:val="none" w:sz="0" w:space="0" w:color="auto"/>
        <w:bottom w:val="none" w:sz="0" w:space="0" w:color="auto"/>
        <w:right w:val="none" w:sz="0" w:space="0" w:color="auto"/>
      </w:divBdr>
    </w:div>
    <w:div w:id="594872964">
      <w:bodyDiv w:val="1"/>
      <w:marLeft w:val="0"/>
      <w:marRight w:val="0"/>
      <w:marTop w:val="0"/>
      <w:marBottom w:val="0"/>
      <w:divBdr>
        <w:top w:val="none" w:sz="0" w:space="0" w:color="auto"/>
        <w:left w:val="none" w:sz="0" w:space="0" w:color="auto"/>
        <w:bottom w:val="none" w:sz="0" w:space="0" w:color="auto"/>
        <w:right w:val="none" w:sz="0" w:space="0" w:color="auto"/>
      </w:divBdr>
    </w:div>
    <w:div w:id="912660084">
      <w:bodyDiv w:val="1"/>
      <w:marLeft w:val="0"/>
      <w:marRight w:val="0"/>
      <w:marTop w:val="0"/>
      <w:marBottom w:val="0"/>
      <w:divBdr>
        <w:top w:val="none" w:sz="0" w:space="0" w:color="auto"/>
        <w:left w:val="none" w:sz="0" w:space="0" w:color="auto"/>
        <w:bottom w:val="none" w:sz="0" w:space="0" w:color="auto"/>
        <w:right w:val="none" w:sz="0" w:space="0" w:color="auto"/>
      </w:divBdr>
    </w:div>
    <w:div w:id="997075122">
      <w:bodyDiv w:val="1"/>
      <w:marLeft w:val="0"/>
      <w:marRight w:val="0"/>
      <w:marTop w:val="0"/>
      <w:marBottom w:val="0"/>
      <w:divBdr>
        <w:top w:val="none" w:sz="0" w:space="0" w:color="auto"/>
        <w:left w:val="none" w:sz="0" w:space="0" w:color="auto"/>
        <w:bottom w:val="none" w:sz="0" w:space="0" w:color="auto"/>
        <w:right w:val="none" w:sz="0" w:space="0" w:color="auto"/>
      </w:divBdr>
    </w:div>
    <w:div w:id="1046833432">
      <w:bodyDiv w:val="1"/>
      <w:marLeft w:val="0"/>
      <w:marRight w:val="0"/>
      <w:marTop w:val="0"/>
      <w:marBottom w:val="0"/>
      <w:divBdr>
        <w:top w:val="none" w:sz="0" w:space="0" w:color="auto"/>
        <w:left w:val="none" w:sz="0" w:space="0" w:color="auto"/>
        <w:bottom w:val="none" w:sz="0" w:space="0" w:color="auto"/>
        <w:right w:val="none" w:sz="0" w:space="0" w:color="auto"/>
      </w:divBdr>
    </w:div>
    <w:div w:id="1115634119">
      <w:bodyDiv w:val="1"/>
      <w:marLeft w:val="0"/>
      <w:marRight w:val="0"/>
      <w:marTop w:val="0"/>
      <w:marBottom w:val="0"/>
      <w:divBdr>
        <w:top w:val="none" w:sz="0" w:space="0" w:color="auto"/>
        <w:left w:val="none" w:sz="0" w:space="0" w:color="auto"/>
        <w:bottom w:val="none" w:sz="0" w:space="0" w:color="auto"/>
        <w:right w:val="none" w:sz="0" w:space="0" w:color="auto"/>
      </w:divBdr>
    </w:div>
    <w:div w:id="1505046476">
      <w:bodyDiv w:val="1"/>
      <w:marLeft w:val="0"/>
      <w:marRight w:val="0"/>
      <w:marTop w:val="0"/>
      <w:marBottom w:val="0"/>
      <w:divBdr>
        <w:top w:val="none" w:sz="0" w:space="0" w:color="auto"/>
        <w:left w:val="none" w:sz="0" w:space="0" w:color="auto"/>
        <w:bottom w:val="none" w:sz="0" w:space="0" w:color="auto"/>
        <w:right w:val="none" w:sz="0" w:space="0" w:color="auto"/>
      </w:divBdr>
    </w:div>
    <w:div w:id="194579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c@mrc.soton.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F3B06-F95F-4311-8EBE-23F89EAD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5622</Words>
  <Characters>32049</Characters>
  <Application>Microsoft Office Word</Application>
  <DocSecurity>4</DocSecurity>
  <Lines>267</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JWZ</dc:creator>
  <cp:keywords/>
  <dc:description/>
  <cp:lastModifiedBy>Karen Drake</cp:lastModifiedBy>
  <cp:revision>2</cp:revision>
  <cp:lastPrinted>2018-05-22T13:45:00Z</cp:lastPrinted>
  <dcterms:created xsi:type="dcterms:W3CDTF">2018-07-10T08:23:00Z</dcterms:created>
  <dcterms:modified xsi:type="dcterms:W3CDTF">2018-07-10T08:23:00Z</dcterms:modified>
</cp:coreProperties>
</file>