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DB654" w14:textId="0C2288E1" w:rsidR="00DE0B41" w:rsidRDefault="00004EF9" w:rsidP="00004EF9">
      <w:pPr>
        <w:pStyle w:val="Heading1"/>
      </w:pPr>
      <w:bookmarkStart w:id="0" w:name="_GoBack"/>
      <w:bookmarkEnd w:id="0"/>
      <w:r>
        <w:t xml:space="preserve">Damages for breach of an arbitration </w:t>
      </w:r>
      <w:r w:rsidR="00756272">
        <w:t>agreement</w:t>
      </w:r>
    </w:p>
    <w:p w14:paraId="29AB4BFC" w14:textId="5A236AC6" w:rsidR="007E7131" w:rsidRPr="00A67286" w:rsidRDefault="00004EF9" w:rsidP="007E7131">
      <w:pPr>
        <w:rPr>
          <w:lang w:eastAsia="en-GB"/>
        </w:rPr>
      </w:pPr>
      <w:r>
        <w:rPr>
          <w:lang w:eastAsia="en-GB"/>
        </w:rPr>
        <w:t>Paul Todd</w:t>
      </w:r>
      <w:r w:rsidR="007E7131" w:rsidRPr="00A67286">
        <w:rPr>
          <w:rFonts w:eastAsia="Calibri"/>
        </w:rPr>
        <w:t>*</w:t>
      </w:r>
    </w:p>
    <w:p w14:paraId="2B8EBF51" w14:textId="39831B7E" w:rsidR="007E7131" w:rsidRPr="00A67286" w:rsidRDefault="007E7131" w:rsidP="007E7131">
      <w:r w:rsidRPr="000A2468">
        <w:rPr>
          <w:rFonts w:eastAsia="Calibri"/>
          <w:b/>
        </w:rPr>
        <w:t>Subject</w:t>
      </w:r>
      <w:r w:rsidRPr="00A67286">
        <w:rPr>
          <w:rFonts w:eastAsia="Calibri"/>
        </w:rPr>
        <w:t xml:space="preserve">: </w:t>
      </w:r>
      <w:r>
        <w:rPr>
          <w:rFonts w:eastAsia="Calibri"/>
        </w:rPr>
        <w:t>Arbitration</w:t>
      </w:r>
      <w:r w:rsidRPr="00355E93">
        <w:rPr>
          <w:rFonts w:eastAsia="Calibri"/>
        </w:rPr>
        <w:t>.</w:t>
      </w:r>
      <w:r w:rsidRPr="00A67286">
        <w:rPr>
          <w:rFonts w:eastAsia="Calibri"/>
        </w:rPr>
        <w:t xml:space="preserve"> </w:t>
      </w:r>
      <w:r w:rsidR="000325E5" w:rsidRPr="000A2468">
        <w:rPr>
          <w:rFonts w:eastAsia="Calibri"/>
          <w:b/>
        </w:rPr>
        <w:t>Other related subjects</w:t>
      </w:r>
      <w:r w:rsidR="000325E5">
        <w:rPr>
          <w:rFonts w:eastAsia="Calibri"/>
        </w:rPr>
        <w:t>: Contract</w:t>
      </w:r>
      <w:r w:rsidR="006B042E">
        <w:rPr>
          <w:rFonts w:eastAsia="Calibri"/>
        </w:rPr>
        <w:t>; Shipping</w:t>
      </w:r>
    </w:p>
    <w:p w14:paraId="1E4E45D1" w14:textId="79407B72" w:rsidR="007E7131" w:rsidRPr="00A67286" w:rsidRDefault="007E7131" w:rsidP="007E7131">
      <w:r w:rsidRPr="000A2468">
        <w:rPr>
          <w:rFonts w:eastAsia="Calibri"/>
          <w:b/>
        </w:rPr>
        <w:t>Keywords</w:t>
      </w:r>
      <w:r w:rsidRPr="00355E93">
        <w:rPr>
          <w:rFonts w:eastAsia="Calibri"/>
        </w:rPr>
        <w:t xml:space="preserve">: </w:t>
      </w:r>
      <w:r>
        <w:rPr>
          <w:rFonts w:eastAsia="Calibri"/>
        </w:rPr>
        <w:t xml:space="preserve">Arbitration; </w:t>
      </w:r>
      <w:r w:rsidRPr="00355E93">
        <w:rPr>
          <w:rFonts w:eastAsia="Calibri"/>
        </w:rPr>
        <w:t>Contracts</w:t>
      </w:r>
      <w:r>
        <w:rPr>
          <w:rFonts w:eastAsia="Calibri"/>
        </w:rPr>
        <w:t xml:space="preserve">; </w:t>
      </w:r>
      <w:r w:rsidR="000325E5">
        <w:rPr>
          <w:rFonts w:eastAsia="Calibri"/>
        </w:rPr>
        <w:t>Damages</w:t>
      </w:r>
      <w:r>
        <w:rPr>
          <w:rFonts w:eastAsia="Calibri"/>
        </w:rPr>
        <w:t xml:space="preserve">; </w:t>
      </w:r>
      <w:r w:rsidR="00B777E7">
        <w:rPr>
          <w:rFonts w:eastAsia="Calibri"/>
        </w:rPr>
        <w:t xml:space="preserve">Equitable remedies; </w:t>
      </w:r>
      <w:r>
        <w:rPr>
          <w:rFonts w:eastAsia="Calibri"/>
        </w:rPr>
        <w:t>Privity of contract</w:t>
      </w:r>
    </w:p>
    <w:p w14:paraId="3022FE9C" w14:textId="77777777" w:rsidR="007E7131" w:rsidRPr="006A3E7B" w:rsidRDefault="007E7131" w:rsidP="00FB355D">
      <w:pPr>
        <w:pStyle w:val="Heading1"/>
      </w:pPr>
      <w:r w:rsidRPr="006A3E7B">
        <w:t>Abstract</w:t>
      </w:r>
    </w:p>
    <w:p w14:paraId="756D743E" w14:textId="28B42E10" w:rsidR="007E7131" w:rsidRDefault="00CF1B4B" w:rsidP="007E7131">
      <w:r>
        <w:rPr>
          <w:i/>
        </w:rPr>
        <w:t>For a party to an arbitration agreement t</w:t>
      </w:r>
      <w:r w:rsidR="00D24969">
        <w:rPr>
          <w:i/>
        </w:rPr>
        <w:t>o bring an action other than in the agreed forum is a breach of an a</w:t>
      </w:r>
      <w:r w:rsidR="007E7131" w:rsidRPr="00CB513A">
        <w:rPr>
          <w:i/>
        </w:rPr>
        <w:t>rbitra</w:t>
      </w:r>
      <w:r w:rsidR="00D24969">
        <w:rPr>
          <w:i/>
        </w:rPr>
        <w:t xml:space="preserve">tion agreement. Damages are not usually an appropriate remedy, but recent years </w:t>
      </w:r>
      <w:r w:rsidR="003A4E5F">
        <w:rPr>
          <w:i/>
        </w:rPr>
        <w:t>have seen the courts award</w:t>
      </w:r>
      <w:r w:rsidR="00D65282">
        <w:rPr>
          <w:i/>
        </w:rPr>
        <w:t>ing</w:t>
      </w:r>
      <w:r w:rsidR="003A4E5F">
        <w:rPr>
          <w:i/>
        </w:rPr>
        <w:t xml:space="preserve"> </w:t>
      </w:r>
      <w:r w:rsidR="00D24969">
        <w:rPr>
          <w:i/>
        </w:rPr>
        <w:t>substantial damages for breach of arbi</w:t>
      </w:r>
      <w:r w:rsidR="000A2468">
        <w:rPr>
          <w:i/>
        </w:rPr>
        <w:t>tration and similar agreements. This article considers the basis</w:t>
      </w:r>
      <w:r w:rsidR="00D77CB9">
        <w:rPr>
          <w:i/>
        </w:rPr>
        <w:t>,</w:t>
      </w:r>
      <w:r w:rsidR="000A2468">
        <w:rPr>
          <w:i/>
        </w:rPr>
        <w:t xml:space="preserve"> </w:t>
      </w:r>
      <w:r w:rsidR="00D77CB9">
        <w:rPr>
          <w:i/>
        </w:rPr>
        <w:t>up</w:t>
      </w:r>
      <w:r w:rsidR="000A2468">
        <w:rPr>
          <w:i/>
        </w:rPr>
        <w:t xml:space="preserve">on which damages should </w:t>
      </w:r>
      <w:r w:rsidR="00871635">
        <w:rPr>
          <w:i/>
        </w:rPr>
        <w:t xml:space="preserve">properly </w:t>
      </w:r>
      <w:r w:rsidR="000A2468">
        <w:rPr>
          <w:i/>
        </w:rPr>
        <w:t xml:space="preserve">be awarded, on the assumption that normal contractual rules </w:t>
      </w:r>
      <w:r w:rsidR="00D77CB9">
        <w:rPr>
          <w:i/>
        </w:rPr>
        <w:t xml:space="preserve">should </w:t>
      </w:r>
      <w:r w:rsidR="000A2468">
        <w:rPr>
          <w:i/>
        </w:rPr>
        <w:t xml:space="preserve">apply. </w:t>
      </w:r>
      <w:r w:rsidR="003A4E5F">
        <w:rPr>
          <w:i/>
        </w:rPr>
        <w:t>Both common law and equitable dam</w:t>
      </w:r>
      <w:r w:rsidR="00C17A61">
        <w:rPr>
          <w:i/>
        </w:rPr>
        <w:t>ages have been awarded, and the</w:t>
      </w:r>
      <w:r w:rsidR="003A4E5F">
        <w:rPr>
          <w:i/>
        </w:rPr>
        <w:t xml:space="preserve"> article considers the proper role for both.</w:t>
      </w:r>
      <w:r w:rsidR="00C17A61">
        <w:rPr>
          <w:i/>
        </w:rPr>
        <w:t xml:space="preserve"> It </w:t>
      </w:r>
      <w:r w:rsidR="00871635">
        <w:rPr>
          <w:i/>
        </w:rPr>
        <w:t>s</w:t>
      </w:r>
      <w:r w:rsidR="00C17A61">
        <w:rPr>
          <w:i/>
        </w:rPr>
        <w:t>uggests</w:t>
      </w:r>
      <w:r w:rsidR="00871635">
        <w:rPr>
          <w:i/>
        </w:rPr>
        <w:t xml:space="preserve"> that the courts do</w:t>
      </w:r>
      <w:r w:rsidR="00D65282">
        <w:rPr>
          <w:i/>
        </w:rPr>
        <w:t xml:space="preserve"> </w:t>
      </w:r>
      <w:r w:rsidR="00871635">
        <w:rPr>
          <w:i/>
        </w:rPr>
        <w:t>not always pay</w:t>
      </w:r>
      <w:r w:rsidR="00D65282">
        <w:rPr>
          <w:i/>
        </w:rPr>
        <w:t xml:space="preserve"> proper regard to principle, the reasoning in the cases</w:t>
      </w:r>
      <w:r w:rsidR="00C17A61">
        <w:rPr>
          <w:i/>
        </w:rPr>
        <w:t xml:space="preserve"> too</w:t>
      </w:r>
      <w:r w:rsidR="00D65282">
        <w:rPr>
          <w:i/>
        </w:rPr>
        <w:t xml:space="preserve"> </w:t>
      </w:r>
      <w:r w:rsidR="00871635">
        <w:rPr>
          <w:i/>
        </w:rPr>
        <w:t xml:space="preserve">often </w:t>
      </w:r>
      <w:r w:rsidR="00D65282">
        <w:rPr>
          <w:i/>
        </w:rPr>
        <w:t xml:space="preserve">being clouded by other </w:t>
      </w:r>
      <w:r w:rsidR="00D65282">
        <w:rPr>
          <w:i/>
        </w:rPr>
        <w:lastRenderedPageBreak/>
        <w:t>considerations.</w:t>
      </w:r>
    </w:p>
    <w:p w14:paraId="7ED2D139" w14:textId="2E340FF2" w:rsidR="00004EF9" w:rsidRDefault="00004EF9" w:rsidP="00FB355D">
      <w:pPr>
        <w:pStyle w:val="Heading1"/>
      </w:pPr>
      <w:r>
        <w:t>Introduction</w:t>
      </w:r>
    </w:p>
    <w:p w14:paraId="75D6D0D2" w14:textId="6AD4703F" w:rsidR="001466AC" w:rsidRDefault="002A279E" w:rsidP="00BB2091">
      <w:r>
        <w:t>Arbitration agreements are contractual in nature,</w:t>
      </w:r>
      <w:r>
        <w:rPr>
          <w:rStyle w:val="FootnoteReference"/>
        </w:rPr>
        <w:footnoteReference w:id="1"/>
      </w:r>
      <w:r>
        <w:t xml:space="preserve"> but it is not obvious that damages are an appropriate remedy for their breach.</w:t>
      </w:r>
      <w:r w:rsidR="001466AC">
        <w:t xml:space="preserve"> In </w:t>
      </w:r>
      <w:r w:rsidR="001466AC" w:rsidRPr="003504CA">
        <w:rPr>
          <w:u w:val="single"/>
        </w:rPr>
        <w:t xml:space="preserve">UST-Kamenogorsk Hydropower Plant </w:t>
      </w:r>
      <w:r w:rsidR="001466AC" w:rsidRPr="00EB320B">
        <w:rPr>
          <w:u w:val="single"/>
        </w:rPr>
        <w:t>JSC</w:t>
      </w:r>
      <w:r w:rsidR="001466AC" w:rsidRPr="000A2468">
        <w:t xml:space="preserve"> v </w:t>
      </w:r>
      <w:r w:rsidR="001466AC" w:rsidRPr="000A2468">
        <w:rPr>
          <w:u w:val="single"/>
        </w:rPr>
        <w:t>AES</w:t>
      </w:r>
      <w:r w:rsidR="001466AC" w:rsidRPr="003504CA">
        <w:rPr>
          <w:u w:val="single"/>
        </w:rPr>
        <w:t xml:space="preserve"> UST-Kamenogorsk Hydropower Plant LLP</w:t>
      </w:r>
      <w:r w:rsidR="001466AC">
        <w:t>, Lord Mance observed that a</w:t>
      </w:r>
      <w:r w:rsidR="001466AC" w:rsidRPr="00473E0D">
        <w:rPr>
          <w:szCs w:val="24"/>
        </w:rPr>
        <w:t xml:space="preserve">n </w:t>
      </w:r>
      <w:r w:rsidR="001466AC">
        <w:rPr>
          <w:szCs w:val="24"/>
        </w:rPr>
        <w:t>"</w:t>
      </w:r>
      <w:r w:rsidR="001466AC" w:rsidRPr="00473E0D">
        <w:rPr>
          <w:szCs w:val="24"/>
        </w:rPr>
        <w:t>agreement to arbitrate disputes has positive and negative aspects</w:t>
      </w:r>
      <w:r w:rsidR="001466AC">
        <w:rPr>
          <w:szCs w:val="24"/>
        </w:rPr>
        <w:t>"</w:t>
      </w:r>
      <w:r w:rsidR="00DD47A7">
        <w:rPr>
          <w:szCs w:val="24"/>
        </w:rPr>
        <w:t>,</w:t>
      </w:r>
      <w:r w:rsidR="001466AC">
        <w:rPr>
          <w:rStyle w:val="FootnoteReference"/>
          <w:szCs w:val="24"/>
        </w:rPr>
        <w:footnoteReference w:id="2"/>
      </w:r>
      <w:r w:rsidR="001466AC">
        <w:rPr>
          <w:szCs w:val="24"/>
        </w:rPr>
        <w:t xml:space="preserve"> </w:t>
      </w:r>
      <w:r w:rsidR="00DD47A7">
        <w:rPr>
          <w:szCs w:val="24"/>
        </w:rPr>
        <w:t xml:space="preserve">the former being the </w:t>
      </w:r>
      <w:r w:rsidR="00DD47A7">
        <w:rPr>
          <w:szCs w:val="24"/>
        </w:rPr>
        <w:lastRenderedPageBreak/>
        <w:t xml:space="preserve">positive duties placed on the parties to the agreement. </w:t>
      </w:r>
      <w:r w:rsidR="001466AC">
        <w:rPr>
          <w:szCs w:val="24"/>
        </w:rPr>
        <w:t xml:space="preserve">For breach of the positive aspects, for example </w:t>
      </w:r>
      <w:r w:rsidR="007B193A">
        <w:rPr>
          <w:szCs w:val="24"/>
        </w:rPr>
        <w:t xml:space="preserve">failing to appoint an arbitrator, or </w:t>
      </w:r>
      <w:r w:rsidR="001466AC">
        <w:rPr>
          <w:szCs w:val="24"/>
        </w:rPr>
        <w:t>delay</w:t>
      </w:r>
      <w:r w:rsidR="007B193A">
        <w:rPr>
          <w:szCs w:val="24"/>
        </w:rPr>
        <w:t>ing taking necessary steps</w:t>
      </w:r>
      <w:r w:rsidR="001466AC">
        <w:rPr>
          <w:szCs w:val="24"/>
        </w:rPr>
        <w:t>, the provisions of the Arbit</w:t>
      </w:r>
      <w:r w:rsidR="00F67B0D">
        <w:rPr>
          <w:szCs w:val="24"/>
        </w:rPr>
        <w:t>ration Act 1996 usually provide</w:t>
      </w:r>
      <w:r w:rsidR="001466AC">
        <w:rPr>
          <w:szCs w:val="24"/>
        </w:rPr>
        <w:t xml:space="preserve"> a remedy, and by s. 1(c), "</w:t>
      </w:r>
      <w:r w:rsidR="001466AC" w:rsidRPr="008D7758">
        <w:t>in matters governed by this Part the court should not intervene except as provided by this Part</w:t>
      </w:r>
      <w:r w:rsidR="001466AC">
        <w:t xml:space="preserve">". </w:t>
      </w:r>
      <w:r w:rsidR="0000253A">
        <w:t xml:space="preserve">In </w:t>
      </w:r>
      <w:r w:rsidR="0000253A" w:rsidRPr="00036969">
        <w:rPr>
          <w:u w:val="single"/>
        </w:rPr>
        <w:t>Heyman</w:t>
      </w:r>
      <w:r w:rsidR="0000253A" w:rsidRPr="00036969">
        <w:t xml:space="preserve"> v </w:t>
      </w:r>
      <w:r w:rsidR="0000253A" w:rsidRPr="00036969">
        <w:rPr>
          <w:u w:val="single"/>
        </w:rPr>
        <w:t>Darwins</w:t>
      </w:r>
      <w:r w:rsidR="0000253A" w:rsidRPr="001A418F">
        <w:rPr>
          <w:rFonts w:eastAsia="Arial"/>
          <w:u w:val="single"/>
        </w:rPr>
        <w:t xml:space="preserve"> Ltd</w:t>
      </w:r>
      <w:r w:rsidR="0000253A">
        <w:t>, Lord Macmillan observed that</w:t>
      </w:r>
      <w:r w:rsidR="00C17A61">
        <w:t xml:space="preserve"> whereas breach of an ordinary contract</w:t>
      </w:r>
      <w:r w:rsidR="0000253A">
        <w:t>:</w:t>
      </w:r>
      <w:r w:rsidR="0000253A">
        <w:rPr>
          <w:rStyle w:val="FootnoteReference"/>
        </w:rPr>
        <w:footnoteReference w:id="3"/>
      </w:r>
      <w:r w:rsidR="0000253A">
        <w:t xml:space="preserve"> </w:t>
      </w:r>
    </w:p>
    <w:p w14:paraId="6E195D50" w14:textId="1E6DD0C4" w:rsidR="0000253A" w:rsidRPr="0000253A" w:rsidRDefault="0000253A" w:rsidP="005A01E0">
      <w:pPr>
        <w:pStyle w:val="Quote"/>
      </w:pPr>
      <w:r>
        <w:t xml:space="preserve">"... </w:t>
      </w:r>
      <w:r w:rsidRPr="00CB1D2C">
        <w:t xml:space="preserve">results only in damages, the arbitration clause can be </w:t>
      </w:r>
      <w:r w:rsidR="00C17A61">
        <w:t>...</w:t>
      </w:r>
      <w:r w:rsidRPr="00CB1D2C">
        <w:t xml:space="preserve"> enforced by the machinery of the Arbitration Acts.</w:t>
      </w:r>
      <w:r w:rsidRPr="001A418F">
        <w:t xml:space="preserve"> </w:t>
      </w:r>
      <w:r w:rsidRPr="0000253A">
        <w:t>The appropriate remedy for breach of the agreement to arbitrate is not damages, but its enforcement.</w:t>
      </w:r>
      <w:r>
        <w:t>"</w:t>
      </w:r>
    </w:p>
    <w:p w14:paraId="32D12637" w14:textId="1F769A59" w:rsidR="001466AC" w:rsidRDefault="0006775F" w:rsidP="00BB2091">
      <w:pPr>
        <w:rPr>
          <w:szCs w:val="24"/>
        </w:rPr>
      </w:pPr>
      <w:r>
        <w:rPr>
          <w:szCs w:val="24"/>
        </w:rPr>
        <w:t>This will be all the more true</w:t>
      </w:r>
      <w:r w:rsidR="00036969">
        <w:rPr>
          <w:szCs w:val="24"/>
        </w:rPr>
        <w:t xml:space="preserve"> today, the provisions of the current Arbitration Act being far more comprehensive than those of 1934, the applicable provision at the time of </w:t>
      </w:r>
      <w:r w:rsidR="00036969" w:rsidRPr="00036969">
        <w:rPr>
          <w:u w:val="single"/>
        </w:rPr>
        <w:t>Heyman</w:t>
      </w:r>
      <w:r w:rsidR="00036969" w:rsidRPr="00036969">
        <w:t xml:space="preserve"> v </w:t>
      </w:r>
      <w:r w:rsidR="00036969" w:rsidRPr="00036969">
        <w:rPr>
          <w:u w:val="single"/>
        </w:rPr>
        <w:t>Darwins</w:t>
      </w:r>
      <w:r w:rsidR="00036969">
        <w:rPr>
          <w:szCs w:val="24"/>
        </w:rPr>
        <w:t>.</w:t>
      </w:r>
      <w:r w:rsidR="00F03037">
        <w:rPr>
          <w:szCs w:val="24"/>
        </w:rPr>
        <w:t xml:space="preserve"> Damages will </w:t>
      </w:r>
      <w:r w:rsidR="00C17A61">
        <w:rPr>
          <w:szCs w:val="24"/>
        </w:rPr>
        <w:t xml:space="preserve">therefore </w:t>
      </w:r>
      <w:r w:rsidR="00F03037">
        <w:rPr>
          <w:szCs w:val="24"/>
        </w:rPr>
        <w:t xml:space="preserve">not normally be appropriate for failure to comply with the positive aspects of </w:t>
      </w:r>
      <w:r w:rsidR="00F03037">
        <w:rPr>
          <w:szCs w:val="24"/>
        </w:rPr>
        <w:lastRenderedPageBreak/>
        <w:t>an arbitration agreement.</w:t>
      </w:r>
      <w:r w:rsidR="007B193A">
        <w:rPr>
          <w:rStyle w:val="FootnoteReference"/>
          <w:szCs w:val="24"/>
        </w:rPr>
        <w:footnoteReference w:id="4"/>
      </w:r>
    </w:p>
    <w:p w14:paraId="4D7C6D53" w14:textId="6BDD2542" w:rsidR="00BB2091" w:rsidRDefault="00F03037" w:rsidP="00BB2091">
      <w:r>
        <w:t xml:space="preserve">   </w:t>
      </w:r>
      <w:r w:rsidR="00BB2091">
        <w:t xml:space="preserve">In </w:t>
      </w:r>
      <w:r w:rsidR="000A2468" w:rsidRPr="003504CA">
        <w:rPr>
          <w:u w:val="single"/>
        </w:rPr>
        <w:t>UST</w:t>
      </w:r>
      <w:r w:rsidR="000A2468" w:rsidRPr="000A2468">
        <w:t xml:space="preserve"> v </w:t>
      </w:r>
      <w:r w:rsidR="000A2468" w:rsidRPr="000A2468">
        <w:rPr>
          <w:u w:val="single"/>
        </w:rPr>
        <w:t>AES</w:t>
      </w:r>
      <w:r w:rsidR="00BB2091">
        <w:t xml:space="preserve">, Lord Mance </w:t>
      </w:r>
      <w:r>
        <w:t>continued, on the negative aspects</w:t>
      </w:r>
      <w:r w:rsidR="00BB2091">
        <w:t>:</w:t>
      </w:r>
      <w:r w:rsidR="000A2468">
        <w:rPr>
          <w:rStyle w:val="FootnoteReference"/>
        </w:rPr>
        <w:footnoteReference w:id="5"/>
      </w:r>
      <w:r w:rsidR="000A2468">
        <w:t xml:space="preserve">  </w:t>
      </w:r>
    </w:p>
    <w:p w14:paraId="397AEA56" w14:textId="77777777" w:rsidR="00BB2091" w:rsidRDefault="00BB2091" w:rsidP="005A01E0">
      <w:pPr>
        <w:pStyle w:val="Quote"/>
      </w:pPr>
      <w:r>
        <w:t>"</w:t>
      </w:r>
      <w:r w:rsidRPr="00473E0D">
        <w:t xml:space="preserve">A party seeking relief within the scope of the arbitration agreement undertakes to do so in arbitration in whatever forum is prescribed. The (often silent) concomitant is that neither party will seek such </w:t>
      </w:r>
      <w:r w:rsidRPr="00FF2A71">
        <w:t>relief in any other forum. If the other forum is the English court, the remedy for the party</w:t>
      </w:r>
      <w:r w:rsidRPr="00473E0D">
        <w:t xml:space="preserve"> aggrieved is to apply for a stay under sectio</w:t>
      </w:r>
      <w:r>
        <w:t>n 9 of the Arbitration Act 1996."</w:t>
      </w:r>
    </w:p>
    <w:p w14:paraId="63E7F382" w14:textId="25D871A7" w:rsidR="001C0CA9" w:rsidRDefault="00F67B0D" w:rsidP="009331F3">
      <w:r>
        <w:rPr>
          <w:lang w:eastAsia="en-GB"/>
        </w:rPr>
        <w:lastRenderedPageBreak/>
        <w:t>In other words, to take proceedings</w:t>
      </w:r>
      <w:r w:rsidR="00BB2091">
        <w:rPr>
          <w:lang w:eastAsia="en-GB"/>
        </w:rPr>
        <w:t xml:space="preserve"> in an English court would be a breach of </w:t>
      </w:r>
      <w:r>
        <w:rPr>
          <w:lang w:eastAsia="en-GB"/>
        </w:rPr>
        <w:t xml:space="preserve">the arbitration </w:t>
      </w:r>
      <w:r w:rsidR="00BB2091">
        <w:rPr>
          <w:lang w:eastAsia="en-GB"/>
        </w:rPr>
        <w:t>agreement, but i</w:t>
      </w:r>
      <w:r w:rsidR="00290598">
        <w:rPr>
          <w:lang w:eastAsia="en-GB"/>
        </w:rPr>
        <w:t>t remain</w:t>
      </w:r>
      <w:r w:rsidR="00004EF9">
        <w:rPr>
          <w:lang w:eastAsia="en-GB"/>
        </w:rPr>
        <w:t xml:space="preserve">s far from obvious that damages are an appropriate remedy. </w:t>
      </w:r>
      <w:r w:rsidR="00F03037">
        <w:t>I</w:t>
      </w:r>
      <w:r w:rsidR="00D4208C" w:rsidRPr="2A2E5389">
        <w:t xml:space="preserve">n </w:t>
      </w:r>
      <w:r w:rsidR="000A2468">
        <w:rPr>
          <w:highlight w:val="white"/>
          <w:u w:val="single"/>
        </w:rPr>
        <w:t xml:space="preserve">Bristol </w:t>
      </w:r>
      <w:r w:rsidR="000A2468" w:rsidRPr="000A2468">
        <w:rPr>
          <w:highlight w:val="white"/>
          <w:u w:val="single"/>
        </w:rPr>
        <w:t>Corp</w:t>
      </w:r>
      <w:r w:rsidR="00D4208C" w:rsidRPr="000A2468">
        <w:rPr>
          <w:highlight w:val="white"/>
        </w:rPr>
        <w:t xml:space="preserve"> v </w:t>
      </w:r>
      <w:r w:rsidR="00D4208C" w:rsidRPr="000A2468">
        <w:rPr>
          <w:highlight w:val="white"/>
          <w:u w:val="single"/>
        </w:rPr>
        <w:t xml:space="preserve">John </w:t>
      </w:r>
      <w:r w:rsidR="00D4208C" w:rsidRPr="2A2E5389">
        <w:rPr>
          <w:highlight w:val="white"/>
          <w:u w:val="single"/>
        </w:rPr>
        <w:t>Aird &amp; Co</w:t>
      </w:r>
      <w:r w:rsidR="00D4208C" w:rsidRPr="2A2E5389">
        <w:t>,</w:t>
      </w:r>
      <w:r w:rsidR="00D4208C">
        <w:rPr>
          <w:rStyle w:val="FootnoteReference"/>
        </w:rPr>
        <w:footnoteReference w:id="6"/>
      </w:r>
      <w:r w:rsidR="00D4208C" w:rsidRPr="2A2E5389">
        <w:t xml:space="preserve"> Lord Moulton observed that damages </w:t>
      </w:r>
      <w:r w:rsidR="00F506F7">
        <w:t>were</w:t>
      </w:r>
      <w:r w:rsidR="00D4208C" w:rsidRPr="2A2E5389">
        <w:t xml:space="preserve"> "</w:t>
      </w:r>
      <w:r w:rsidR="00F506F7">
        <w:t>...</w:t>
      </w:r>
      <w:r w:rsidR="00D4208C" w:rsidRPr="2A2E5389">
        <w:t xml:space="preserve"> utterly ineffective, since no damages could be proved in such a case".</w:t>
      </w:r>
      <w:r w:rsidR="009F25B0">
        <w:t xml:space="preserve"> The argument is </w:t>
      </w:r>
      <w:r w:rsidR="00290598">
        <w:t>no longer</w:t>
      </w:r>
      <w:r w:rsidR="00E02C0C">
        <w:t xml:space="preserve"> </w:t>
      </w:r>
      <w:r>
        <w:t xml:space="preserve">that the Arbitration Act is a complete code, but </w:t>
      </w:r>
      <w:r w:rsidR="00290598">
        <w:t xml:space="preserve">instead </w:t>
      </w:r>
      <w:r>
        <w:t>that los</w:t>
      </w:r>
      <w:r w:rsidR="009F25B0">
        <w:t>s will be impossible to prove</w:t>
      </w:r>
      <w:r>
        <w:t>. Moreover,</w:t>
      </w:r>
      <w:r w:rsidR="001C0CA9">
        <w:t xml:space="preserve"> </w:t>
      </w:r>
      <w:r w:rsidR="00FE7F2C">
        <w:t xml:space="preserve">as Cooke J observed in </w:t>
      </w:r>
      <w:r w:rsidR="00FE7F2C" w:rsidRPr="00FE7F2C">
        <w:rPr>
          <w:u w:val="single"/>
        </w:rPr>
        <w:t>The Alexandros T</w:t>
      </w:r>
      <w:r w:rsidR="00FE7F2C">
        <w:t xml:space="preserve">, </w:t>
      </w:r>
      <w:r>
        <w:t>even if loss</w:t>
      </w:r>
      <w:r w:rsidR="001C0CA9">
        <w:t xml:space="preserve"> could be proved:</w:t>
      </w:r>
      <w:r w:rsidR="001C0CA9">
        <w:rPr>
          <w:rStyle w:val="FootnoteReference"/>
        </w:rPr>
        <w:footnoteReference w:id="7"/>
      </w:r>
    </w:p>
    <w:p w14:paraId="3A2014A0" w14:textId="5FB17C1D" w:rsidR="001C0CA9" w:rsidRDefault="001C0CA9" w:rsidP="005A01E0">
      <w:pPr>
        <w:pStyle w:val="Quote"/>
      </w:pPr>
      <w:r>
        <w:lastRenderedPageBreak/>
        <w:t>"</w:t>
      </w:r>
      <w:r w:rsidR="00FE7F2C">
        <w:t>[d</w:t>
      </w:r>
      <w:r w:rsidRPr="00570019">
        <w:t>amages</w:t>
      </w:r>
      <w:r w:rsidR="00FE7F2C">
        <w:t>]</w:t>
      </w:r>
      <w:r w:rsidRPr="00570019">
        <w:t xml:space="preserve"> would, for all the reasons given in the authorities, be a</w:t>
      </w:r>
      <w:r w:rsidR="00682B2C">
        <w:t>n inadequate remedy for breach o</w:t>
      </w:r>
      <w:r w:rsidRPr="00570019">
        <w:t xml:space="preserve">f such </w:t>
      </w:r>
      <w:r w:rsidR="00290598">
        <w:t xml:space="preserve">[an </w:t>
      </w:r>
      <w:r w:rsidRPr="00570019">
        <w:t>a</w:t>
      </w:r>
      <w:r w:rsidR="00290598">
        <w:t>rbitration]</w:t>
      </w:r>
      <w:r w:rsidRPr="00570019">
        <w:t xml:space="preserve"> clause since its very nature requires the parties to have their disputes determined in arbitration. A party to such an agreement should not be put to the trouble of having disputes determined elsewhere in a manner contrary to the express contract between the parties.</w:t>
      </w:r>
      <w:r>
        <w:t>"</w:t>
      </w:r>
    </w:p>
    <w:p w14:paraId="6206B5FE" w14:textId="20104CBA" w:rsidR="001C0CA9" w:rsidRDefault="00682B2C" w:rsidP="001C0CA9">
      <w:pPr>
        <w:rPr>
          <w:lang w:eastAsia="en-GB"/>
        </w:rPr>
      </w:pPr>
      <w:r>
        <w:t>I</w:t>
      </w:r>
      <w:r w:rsidRPr="2A2E5389">
        <w:t xml:space="preserve">n </w:t>
      </w:r>
      <w:r>
        <w:rPr>
          <w:highlight w:val="white"/>
          <w:u w:val="single"/>
        </w:rPr>
        <w:t xml:space="preserve">Bristol </w:t>
      </w:r>
      <w:r w:rsidRPr="000A2468">
        <w:rPr>
          <w:highlight w:val="white"/>
          <w:u w:val="single"/>
        </w:rPr>
        <w:t>Corp</w:t>
      </w:r>
      <w:r w:rsidRPr="000A2468">
        <w:rPr>
          <w:highlight w:val="white"/>
        </w:rPr>
        <w:t xml:space="preserve"> v </w:t>
      </w:r>
      <w:r w:rsidRPr="000A2468">
        <w:rPr>
          <w:highlight w:val="white"/>
          <w:u w:val="single"/>
        </w:rPr>
        <w:t xml:space="preserve">John </w:t>
      </w:r>
      <w:r w:rsidRPr="2A2E5389">
        <w:rPr>
          <w:highlight w:val="white"/>
          <w:u w:val="single"/>
        </w:rPr>
        <w:t>Aird &amp; Co</w:t>
      </w:r>
      <w:r w:rsidRPr="2A2E5389">
        <w:t>,</w:t>
      </w:r>
      <w:r>
        <w:rPr>
          <w:rStyle w:val="FootnoteReference"/>
        </w:rPr>
        <w:footnoteReference w:id="8"/>
      </w:r>
      <w:r w:rsidRPr="2A2E5389">
        <w:t xml:space="preserve"> </w:t>
      </w:r>
      <w:r>
        <w:t xml:space="preserve">Lord Moulton contrasted </w:t>
      </w:r>
      <w:r>
        <w:lastRenderedPageBreak/>
        <w:t xml:space="preserve">with this inadequate </w:t>
      </w:r>
      <w:r w:rsidR="006C0284">
        <w:t xml:space="preserve">and ineffective </w:t>
      </w:r>
      <w:r>
        <w:t xml:space="preserve">remedy </w:t>
      </w:r>
      <w:r w:rsidR="00200D4C">
        <w:t>w</w:t>
      </w:r>
      <w:r w:rsidR="00411510">
        <w:t>hat eventually</w:t>
      </w:r>
      <w:r w:rsidR="00200D4C">
        <w:t xml:space="preserve"> became the stay of action</w:t>
      </w:r>
      <w:r w:rsidR="00F67B0D" w:rsidRPr="00682B2C">
        <w:rPr>
          <w:lang w:eastAsia="en-GB"/>
        </w:rPr>
        <w:t>,</w:t>
      </w:r>
      <w:r w:rsidR="00A07625" w:rsidRPr="00682B2C">
        <w:rPr>
          <w:rStyle w:val="FootnoteReference"/>
          <w:lang w:eastAsia="en-GB"/>
        </w:rPr>
        <w:footnoteReference w:id="9"/>
      </w:r>
      <w:r w:rsidR="00F67B0D" w:rsidRPr="00682B2C">
        <w:rPr>
          <w:lang w:eastAsia="en-GB"/>
        </w:rPr>
        <w:t xml:space="preserve"> and </w:t>
      </w:r>
      <w:r w:rsidR="00460DED" w:rsidRPr="00682B2C">
        <w:rPr>
          <w:lang w:eastAsia="en-GB"/>
        </w:rPr>
        <w:t xml:space="preserve">in </w:t>
      </w:r>
      <w:r w:rsidR="00460DED" w:rsidRPr="00682B2C">
        <w:rPr>
          <w:u w:val="single"/>
          <w:lang w:eastAsia="en-GB"/>
        </w:rPr>
        <w:t>UST</w:t>
      </w:r>
      <w:r w:rsidR="00460DED" w:rsidRPr="00682B2C">
        <w:rPr>
          <w:lang w:eastAsia="en-GB"/>
        </w:rPr>
        <w:t>, Lord Manc</w:t>
      </w:r>
      <w:r w:rsidR="00F67B0D" w:rsidRPr="00682B2C">
        <w:rPr>
          <w:lang w:eastAsia="en-GB"/>
        </w:rPr>
        <w:t>e regarded</w:t>
      </w:r>
      <w:r w:rsidR="00460DED" w:rsidRPr="00682B2C">
        <w:rPr>
          <w:lang w:eastAsia="en-GB"/>
        </w:rPr>
        <w:t xml:space="preserve"> the stay as the remedy, where action is brought in </w:t>
      </w:r>
      <w:r w:rsidR="00460DED">
        <w:rPr>
          <w:lang w:eastAsia="en-GB"/>
        </w:rPr>
        <w:t>an English court.</w:t>
      </w:r>
      <w:r w:rsidR="00355972">
        <w:rPr>
          <w:rStyle w:val="FootnoteReference"/>
          <w:lang w:eastAsia="en-GB"/>
        </w:rPr>
        <w:footnoteReference w:id="10"/>
      </w:r>
      <w:r w:rsidR="00460DED">
        <w:rPr>
          <w:lang w:eastAsia="en-GB"/>
        </w:rPr>
        <w:t xml:space="preserve"> </w:t>
      </w:r>
    </w:p>
    <w:p w14:paraId="6BE03510" w14:textId="2C003851" w:rsidR="001F21E3" w:rsidRDefault="00480BAB" w:rsidP="001F21E3">
      <w:r>
        <w:t xml:space="preserve">   No doubt, w</w:t>
      </w:r>
      <w:r w:rsidR="002B3604">
        <w:t xml:space="preserve">here </w:t>
      </w:r>
      <w:r>
        <w:t xml:space="preserve">English </w:t>
      </w:r>
      <w:r w:rsidR="002B3604">
        <w:t xml:space="preserve">arbitration </w:t>
      </w:r>
      <w:r w:rsidR="00AE3120">
        <w:t xml:space="preserve">has </w:t>
      </w:r>
      <w:r w:rsidR="002B3604">
        <w:t>been agreed</w:t>
      </w:r>
      <w:r>
        <w:t xml:space="preserve">, </w:t>
      </w:r>
      <w:r w:rsidR="00BD53BE">
        <w:t xml:space="preserve">substantial </w:t>
      </w:r>
      <w:r w:rsidR="006E1642">
        <w:t xml:space="preserve">damages will </w:t>
      </w:r>
      <w:r w:rsidR="002D0993">
        <w:t xml:space="preserve">normally indeed </w:t>
      </w:r>
      <w:r w:rsidR="006E1642">
        <w:t xml:space="preserve">be impossible to prove, because </w:t>
      </w:r>
      <w:r w:rsidR="002D0993">
        <w:t xml:space="preserve">that would imply </w:t>
      </w:r>
      <w:r w:rsidR="00BD53BE">
        <w:t>the court award</w:t>
      </w:r>
      <w:r w:rsidR="002D0993">
        <w:t>ing</w:t>
      </w:r>
      <w:r w:rsidR="00BD53BE">
        <w:t xml:space="preserve"> damages where the arbitral tribunal would not. </w:t>
      </w:r>
      <w:r w:rsidR="002D0993">
        <w:t xml:space="preserve">Even were the arbitral tribunal </w:t>
      </w:r>
      <w:r w:rsidR="00BE1EAB">
        <w:t xml:space="preserve">required to apply a foreign substantive law, </w:t>
      </w:r>
      <w:r w:rsidR="002D0993">
        <w:t xml:space="preserve">one would expect this to be mirrored in a court action. </w:t>
      </w:r>
      <w:r w:rsidR="00035941">
        <w:t xml:space="preserve">There might be increased costs involved, but that should be the limit of any damages recoverable. </w:t>
      </w:r>
      <w:r w:rsidR="003170B8">
        <w:t>A</w:t>
      </w:r>
      <w:r w:rsidR="007716C4">
        <w:t xml:space="preserve"> circumstance </w:t>
      </w:r>
      <w:r w:rsidR="007716C4">
        <w:lastRenderedPageBreak/>
        <w:t>where there might conceivably be a disparity is where the tribunal is required</w:t>
      </w:r>
      <w:r w:rsidR="00BE1EAB">
        <w:t xml:space="preserve"> to</w:t>
      </w:r>
      <w:r w:rsidR="00BE1EAB" w:rsidRPr="008D7758">
        <w:t xml:space="preserve"> </w:t>
      </w:r>
      <w:r w:rsidR="00BE1EAB">
        <w:t>determine a dispute "in accordance with ...</w:t>
      </w:r>
      <w:r w:rsidR="00BE1EAB" w:rsidRPr="008D7758">
        <w:t xml:space="preserve"> other considerations</w:t>
      </w:r>
      <w:r w:rsidR="00BE1EAB">
        <w:t>", as allowed under s. 46(1)(b) of the Arbitration Act 1996</w:t>
      </w:r>
      <w:r w:rsidR="00035941">
        <w:t xml:space="preserve">. This </w:t>
      </w:r>
      <w:r w:rsidR="004254F9">
        <w:t xml:space="preserve">provides for equity clauses which </w:t>
      </w:r>
      <w:r w:rsidR="00035941">
        <w:t xml:space="preserve">might, it has been noted, </w:t>
      </w:r>
      <w:r w:rsidR="00BE1EAB">
        <w:t>include "</w:t>
      </w:r>
      <w:r w:rsidR="00BE1EAB" w:rsidRPr="00A347F5">
        <w:t xml:space="preserve">amiable </w:t>
      </w:r>
      <w:r w:rsidR="00BE1EAB">
        <w:t>composition" or "</w:t>
      </w:r>
      <w:r w:rsidR="00BE1EAB" w:rsidRPr="00A347F5">
        <w:t>general considerations of justice and fairnes</w:t>
      </w:r>
      <w:r w:rsidR="00BE1EAB">
        <w:t>s"</w:t>
      </w:r>
      <w:r w:rsidR="00EA063C">
        <w:t>.</w:t>
      </w:r>
      <w:r w:rsidR="00BE1EAB">
        <w:rPr>
          <w:rStyle w:val="FootnoteReference"/>
        </w:rPr>
        <w:footnoteReference w:id="11"/>
      </w:r>
      <w:r w:rsidR="00BE1EAB">
        <w:t xml:space="preserve"> </w:t>
      </w:r>
      <w:r w:rsidR="00EA063C">
        <w:t>I</w:t>
      </w:r>
      <w:r w:rsidR="004254F9">
        <w:t xml:space="preserve">t is appropriate to note here only that </w:t>
      </w:r>
      <w:r w:rsidR="00EB383D">
        <w:t xml:space="preserve">they are rare, and that </w:t>
      </w:r>
      <w:r w:rsidR="004254F9">
        <w:t>there is considerable doubt about now such clauses might work.</w:t>
      </w:r>
      <w:r w:rsidR="004254F9">
        <w:rPr>
          <w:rStyle w:val="FootnoteReference"/>
        </w:rPr>
        <w:footnoteReference w:id="12"/>
      </w:r>
      <w:r w:rsidR="004254F9">
        <w:t xml:space="preserve"> </w:t>
      </w:r>
      <w:r w:rsidR="005F52D4">
        <w:t xml:space="preserve">Nonetheless, for a party to sue in court to avoid such a clause could probably, in principle, give rise to a real loss and hence substantial damages. </w:t>
      </w:r>
      <w:r w:rsidR="00EB383D">
        <w:t>In general, however, t</w:t>
      </w:r>
      <w:r w:rsidR="001F21E3">
        <w:t>o ensure, as Cooke J required, that a party to an arbitration agreement "</w:t>
      </w:r>
      <w:r w:rsidR="001F21E3" w:rsidRPr="00570019">
        <w:t xml:space="preserve">should not be put to the trouble of having </w:t>
      </w:r>
      <w:r w:rsidR="001F21E3" w:rsidRPr="00570019">
        <w:lastRenderedPageBreak/>
        <w:t>disputes determined elsewhere</w:t>
      </w:r>
      <w:r w:rsidR="001F21E3">
        <w:t>", is achieved by a stay of action, not by an award of damages.</w:t>
      </w:r>
    </w:p>
    <w:p w14:paraId="0184212C" w14:textId="01087461" w:rsidR="00756272" w:rsidRDefault="00460DED" w:rsidP="00F506F7">
      <w:pPr>
        <w:rPr>
          <w:lang w:eastAsia="en-GB"/>
        </w:rPr>
      </w:pPr>
      <w:r>
        <w:t xml:space="preserve">   </w:t>
      </w:r>
      <w:r w:rsidR="00F27CD3">
        <w:t>It is a different matter</w:t>
      </w:r>
      <w:r w:rsidR="00165858">
        <w:t xml:space="preserve"> </w:t>
      </w:r>
      <w:r w:rsidR="00756272">
        <w:rPr>
          <w:lang w:eastAsia="en-GB"/>
        </w:rPr>
        <w:t>where the breach consists</w:t>
      </w:r>
      <w:r w:rsidR="00F27CD3">
        <w:rPr>
          <w:lang w:eastAsia="en-GB"/>
        </w:rPr>
        <w:t xml:space="preserve"> of bringing proceedings abroad. Now</w:t>
      </w:r>
      <w:r w:rsidR="00165858">
        <w:rPr>
          <w:lang w:eastAsia="en-GB"/>
        </w:rPr>
        <w:t xml:space="preserve"> i</w:t>
      </w:r>
      <w:r w:rsidR="00FE7F2C">
        <w:rPr>
          <w:lang w:eastAsia="en-GB"/>
        </w:rPr>
        <w:t>t is entirely possible that a foreign court, perhaps applying the law of its own country, might award damages where an English arbitral tribunal would not,</w:t>
      </w:r>
      <w:r w:rsidR="001F21E3">
        <w:rPr>
          <w:rStyle w:val="FootnoteReference"/>
          <w:lang w:eastAsia="en-GB"/>
        </w:rPr>
        <w:footnoteReference w:id="13"/>
      </w:r>
      <w:r w:rsidR="00FE7F2C">
        <w:rPr>
          <w:lang w:eastAsia="en-GB"/>
        </w:rPr>
        <w:t xml:space="preserve"> in which case substantial damages might</w:t>
      </w:r>
      <w:r w:rsidR="00165858">
        <w:rPr>
          <w:lang w:eastAsia="en-GB"/>
        </w:rPr>
        <w:t xml:space="preserve">, in </w:t>
      </w:r>
      <w:r w:rsidR="00165858">
        <w:rPr>
          <w:lang w:eastAsia="en-GB"/>
        </w:rPr>
        <w:lastRenderedPageBreak/>
        <w:t>principle at least,</w:t>
      </w:r>
      <w:r w:rsidR="00FE7F2C">
        <w:rPr>
          <w:lang w:eastAsia="en-GB"/>
        </w:rPr>
        <w:t xml:space="preserve"> be obtained for breach of the arbitration agreement. Even in this case, for the reasons adumbrated by Cooke J,</w:t>
      </w:r>
      <w:r w:rsidR="00165858">
        <w:rPr>
          <w:rStyle w:val="FootnoteReference"/>
          <w:lang w:eastAsia="en-GB"/>
        </w:rPr>
        <w:footnoteReference w:id="14"/>
      </w:r>
      <w:r w:rsidR="00FE7F2C">
        <w:rPr>
          <w:lang w:eastAsia="en-GB"/>
        </w:rPr>
        <w:t xml:space="preserve"> damages may not be a satisfactory remedy. A </w:t>
      </w:r>
      <w:r w:rsidR="00756272">
        <w:rPr>
          <w:lang w:eastAsia="en-GB"/>
        </w:rPr>
        <w:t>stay of action would</w:t>
      </w:r>
      <w:r w:rsidR="00FE7F2C">
        <w:rPr>
          <w:lang w:eastAsia="en-GB"/>
        </w:rPr>
        <w:t>, of course,</w:t>
      </w:r>
      <w:r w:rsidR="00756272">
        <w:rPr>
          <w:lang w:eastAsia="en-GB"/>
        </w:rPr>
        <w:t xml:space="preserve"> be ineffective, but an anti-suit injunction can be used, as long as the defendant is in the jurisdiction. This is a remedy which should normally be available, </w:t>
      </w:r>
      <w:r w:rsidR="00FE7F2C">
        <w:rPr>
          <w:lang w:eastAsia="en-GB"/>
        </w:rPr>
        <w:t>as indeed in</w:t>
      </w:r>
      <w:r w:rsidR="005F308D">
        <w:rPr>
          <w:lang w:eastAsia="en-GB"/>
        </w:rPr>
        <w:t xml:space="preserve"> </w:t>
      </w:r>
      <w:r w:rsidR="005F308D" w:rsidRPr="005F308D">
        <w:rPr>
          <w:u w:val="single"/>
          <w:lang w:eastAsia="en-GB"/>
        </w:rPr>
        <w:t>UST</w:t>
      </w:r>
      <w:r w:rsidR="005F308D">
        <w:rPr>
          <w:lang w:eastAsia="en-GB"/>
        </w:rPr>
        <w:t xml:space="preserve"> and</w:t>
      </w:r>
      <w:r w:rsidR="00FE7F2C">
        <w:rPr>
          <w:lang w:eastAsia="en-GB"/>
        </w:rPr>
        <w:t xml:space="preserve"> </w:t>
      </w:r>
      <w:r w:rsidR="00FE7F2C" w:rsidRPr="00FE7F2C">
        <w:rPr>
          <w:u w:val="single"/>
          <w:lang w:eastAsia="en-GB"/>
        </w:rPr>
        <w:t>The Alexandros T</w:t>
      </w:r>
      <w:r w:rsidR="005F308D">
        <w:rPr>
          <w:lang w:eastAsia="en-GB"/>
        </w:rPr>
        <w:t xml:space="preserve"> themselves</w:t>
      </w:r>
      <w:r w:rsidR="00FE7F2C">
        <w:rPr>
          <w:lang w:eastAsia="en-GB"/>
        </w:rPr>
        <w:t xml:space="preserve">, </w:t>
      </w:r>
      <w:r w:rsidR="00B37E5E">
        <w:rPr>
          <w:lang w:eastAsia="en-GB"/>
        </w:rPr>
        <w:t>where the defendant wa</w:t>
      </w:r>
      <w:r w:rsidR="00756272">
        <w:rPr>
          <w:lang w:eastAsia="en-GB"/>
        </w:rPr>
        <w:t xml:space="preserve">s </w:t>
      </w:r>
      <w:r w:rsidR="00B37E5E">
        <w:rPr>
          <w:lang w:eastAsia="en-GB"/>
        </w:rPr>
        <w:t>acting in breach of contract, in</w:t>
      </w:r>
      <w:r w:rsidR="00756272">
        <w:rPr>
          <w:lang w:eastAsia="en-GB"/>
        </w:rPr>
        <w:t xml:space="preserve"> bringing the foreign proceedings.</w:t>
      </w:r>
      <w:r w:rsidR="005F308D">
        <w:rPr>
          <w:rStyle w:val="FootnoteReference"/>
          <w:lang w:eastAsia="en-GB"/>
        </w:rPr>
        <w:footnoteReference w:id="15"/>
      </w:r>
    </w:p>
    <w:p w14:paraId="5FDE9D53" w14:textId="40B55797" w:rsidR="00753B89" w:rsidRPr="004B1BC7" w:rsidRDefault="00FE7F2C" w:rsidP="004B1BC7">
      <w:pPr>
        <w:rPr>
          <w:rFonts w:eastAsia="Arial"/>
          <w:color w:val="FF0000"/>
          <w:szCs w:val="24"/>
          <w:lang w:eastAsia="en-GB"/>
        </w:rPr>
      </w:pPr>
      <w:r>
        <w:t xml:space="preserve">   </w:t>
      </w:r>
      <w:r w:rsidR="00756272">
        <w:t>The</w:t>
      </w:r>
      <w:r w:rsidR="000B294D">
        <w:t>re are two main</w:t>
      </w:r>
      <w:r>
        <w:t xml:space="preserve"> </w:t>
      </w:r>
      <w:r w:rsidR="00756272">
        <w:t>re</w:t>
      </w:r>
      <w:r>
        <w:t>ason</w:t>
      </w:r>
      <w:r w:rsidR="000B294D">
        <w:t xml:space="preserve">s why </w:t>
      </w:r>
      <w:r>
        <w:t xml:space="preserve">damages have been </w:t>
      </w:r>
      <w:r w:rsidR="000B294D">
        <w:t xml:space="preserve">sought </w:t>
      </w:r>
      <w:r>
        <w:t>in recent cases</w:t>
      </w:r>
      <w:r w:rsidR="000B294D">
        <w:t>, where the equitable remedy, usu</w:t>
      </w:r>
      <w:r w:rsidR="000B294D">
        <w:lastRenderedPageBreak/>
        <w:t xml:space="preserve">ally more appropriate, has been either </w:t>
      </w:r>
      <w:r w:rsidR="00756272">
        <w:t>unavailable</w:t>
      </w:r>
      <w:r w:rsidR="000B294D">
        <w:t xml:space="preserve"> or unsuitable</w:t>
      </w:r>
      <w:r w:rsidR="00756272">
        <w:t xml:space="preserve">. </w:t>
      </w:r>
      <w:r w:rsidR="00165858">
        <w:t>T</w:t>
      </w:r>
      <w:r w:rsidR="000C77B5">
        <w:t xml:space="preserve">he </w:t>
      </w:r>
      <w:r w:rsidR="000B294D">
        <w:t xml:space="preserve">first is </w:t>
      </w:r>
      <w:r w:rsidR="00A84514">
        <w:t>where foreign proceedings have been</w:t>
      </w:r>
      <w:r w:rsidR="000C77B5">
        <w:t xml:space="preserve"> brought within the EU</w:t>
      </w:r>
      <w:r w:rsidR="009331F3">
        <w:t xml:space="preserve">, since </w:t>
      </w:r>
      <w:r w:rsidR="002906F3">
        <w:t xml:space="preserve">in </w:t>
      </w:r>
      <w:r w:rsidR="002906F3" w:rsidRPr="002906F3">
        <w:rPr>
          <w:u w:val="single"/>
        </w:rPr>
        <w:t>The Front Comor</w:t>
      </w:r>
      <w:r w:rsidR="002906F3">
        <w:t xml:space="preserve"> the E</w:t>
      </w:r>
      <w:r w:rsidR="00FC5C91">
        <w:t xml:space="preserve">uropean </w:t>
      </w:r>
      <w:r w:rsidR="002906F3">
        <w:t>C</w:t>
      </w:r>
      <w:r w:rsidR="00FC5C91">
        <w:t xml:space="preserve">ourt of </w:t>
      </w:r>
      <w:r w:rsidR="002906F3">
        <w:t>J</w:t>
      </w:r>
      <w:r w:rsidR="00FC5C91">
        <w:t>ustice</w:t>
      </w:r>
      <w:r w:rsidR="002906F3">
        <w:t xml:space="preserve"> </w:t>
      </w:r>
      <w:r w:rsidR="009331F3">
        <w:t>held that an anti-suit injunction is not available</w:t>
      </w:r>
      <w:r w:rsidR="00C81F21">
        <w:t xml:space="preserve">, in court proceedings, to </w:t>
      </w:r>
      <w:r w:rsidR="00C81F21" w:rsidRPr="001A4766">
        <w:t xml:space="preserve">restrain a person </w:t>
      </w:r>
      <w:r w:rsidR="005F0887">
        <w:t xml:space="preserve">(in breach of an arbitration agreement) </w:t>
      </w:r>
      <w:r w:rsidR="00C81F21" w:rsidRPr="001A4766">
        <w:t>from commencing or continuing proceedings in another Member State</w:t>
      </w:r>
      <w:r w:rsidR="00C81F21">
        <w:t>.</w:t>
      </w:r>
      <w:r w:rsidR="00C81F21">
        <w:rPr>
          <w:rStyle w:val="FootnoteReference"/>
        </w:rPr>
        <w:footnoteReference w:id="16"/>
      </w:r>
      <w:r w:rsidR="00C81F21" w:rsidRPr="001A4766">
        <w:t xml:space="preserve"> </w:t>
      </w:r>
      <w:r w:rsidR="0004482E">
        <w:t xml:space="preserve">The second is where an injunction has been granted to restrain proceedings outside the EU, but later ignored. Of course there can be contempt proceedings in such a case, but damages are also appropriate to compensate for loss that </w:t>
      </w:r>
      <w:r w:rsidR="0004482E">
        <w:lastRenderedPageBreak/>
        <w:t>has now been suffered.</w:t>
      </w:r>
      <w:r w:rsidR="0004482E">
        <w:rPr>
          <w:rStyle w:val="FootnoteReference"/>
        </w:rPr>
        <w:footnoteReference w:id="17"/>
      </w:r>
      <w:r w:rsidR="0004482E">
        <w:t xml:space="preserve"> </w:t>
      </w:r>
      <w:r w:rsidR="006E6973">
        <w:t xml:space="preserve">Since in these cases, the reason for bringing the foreign proceedings is </w:t>
      </w:r>
      <w:r w:rsidR="00606D75">
        <w:t xml:space="preserve">often </w:t>
      </w:r>
      <w:r w:rsidR="006E6973">
        <w:t xml:space="preserve">because the action would not succeed in the UK (or other agreed forum), it is no longer true that damages are </w:t>
      </w:r>
      <w:r w:rsidR="006E6973" w:rsidRPr="2A2E5389">
        <w:t>"utterly ineffective</w:t>
      </w:r>
      <w:r w:rsidR="006E6973">
        <w:t>"</w:t>
      </w:r>
      <w:r w:rsidR="006E6973" w:rsidRPr="2A2E5389">
        <w:t xml:space="preserve">, </w:t>
      </w:r>
      <w:r w:rsidR="0004482E">
        <w:t>and</w:t>
      </w:r>
      <w:r w:rsidR="006E6973">
        <w:t xml:space="preserve"> </w:t>
      </w:r>
      <w:r w:rsidR="003E0F6A">
        <w:t xml:space="preserve">substantial </w:t>
      </w:r>
      <w:r w:rsidR="0004482E">
        <w:t>loss will often</w:t>
      </w:r>
      <w:r w:rsidR="006E6973">
        <w:t xml:space="preserve"> now be provab</w:t>
      </w:r>
      <w:r w:rsidR="0004482E">
        <w:t>l</w:t>
      </w:r>
      <w:r w:rsidR="006E6973">
        <w:t>e</w:t>
      </w:r>
      <w:r w:rsidR="006E6973" w:rsidRPr="2A2E5389">
        <w:t>.</w:t>
      </w:r>
      <w:r w:rsidR="003E0F6A">
        <w:t xml:space="preserve"> Cooke J's observations still hold, however, </w:t>
      </w:r>
      <w:r w:rsidR="00FD2BE7">
        <w:t>and damages, even if substantial, may still be an inadequate remedy.</w:t>
      </w:r>
      <w:r w:rsidR="00A56836">
        <w:rPr>
          <w:rStyle w:val="FootnoteReference"/>
        </w:rPr>
        <w:footnoteReference w:id="18"/>
      </w:r>
      <w:r w:rsidR="00FD2BE7">
        <w:t xml:space="preserve"> </w:t>
      </w:r>
    </w:p>
    <w:p w14:paraId="2649D204" w14:textId="7BA96156" w:rsidR="0004482E" w:rsidRDefault="006E6973" w:rsidP="00F3488B">
      <w:pPr>
        <w:rPr>
          <w:lang w:eastAsia="en-GB"/>
        </w:rPr>
      </w:pPr>
      <w:r>
        <w:rPr>
          <w:lang w:eastAsia="en-GB"/>
        </w:rPr>
        <w:t xml:space="preserve">   </w:t>
      </w:r>
      <w:r w:rsidR="003E0F6A">
        <w:rPr>
          <w:lang w:eastAsia="en-GB"/>
        </w:rPr>
        <w:t>T</w:t>
      </w:r>
      <w:r w:rsidR="009331F3">
        <w:rPr>
          <w:lang w:eastAsia="en-GB"/>
        </w:rPr>
        <w:t xml:space="preserve">he </w:t>
      </w:r>
      <w:r w:rsidR="00E32D9C">
        <w:rPr>
          <w:lang w:eastAsia="en-GB"/>
        </w:rPr>
        <w:t xml:space="preserve">damages </w:t>
      </w:r>
      <w:r w:rsidR="00A56836">
        <w:rPr>
          <w:lang w:eastAsia="en-GB"/>
        </w:rPr>
        <w:t>cases (discussed below)</w:t>
      </w:r>
      <w:r w:rsidR="00E32D9C">
        <w:rPr>
          <w:lang w:eastAsia="en-GB"/>
        </w:rPr>
        <w:t xml:space="preserve"> </w:t>
      </w:r>
      <w:r>
        <w:rPr>
          <w:lang w:eastAsia="en-GB"/>
        </w:rPr>
        <w:t xml:space="preserve">are not entirely satisfactory, and </w:t>
      </w:r>
      <w:r w:rsidR="00E976E5">
        <w:rPr>
          <w:lang w:eastAsia="en-GB"/>
        </w:rPr>
        <w:t>extraneous considerations appear to be</w:t>
      </w:r>
      <w:r w:rsidR="00040F6F">
        <w:rPr>
          <w:lang w:eastAsia="en-GB"/>
        </w:rPr>
        <w:t xml:space="preserve"> affecting the developm</w:t>
      </w:r>
      <w:r w:rsidR="00E32D9C">
        <w:rPr>
          <w:lang w:eastAsia="en-GB"/>
        </w:rPr>
        <w:t>ent of the law</w:t>
      </w:r>
      <w:r w:rsidR="00040F6F">
        <w:rPr>
          <w:lang w:eastAsia="en-GB"/>
        </w:rPr>
        <w:t>.</w:t>
      </w:r>
      <w:r w:rsidR="000C77B5">
        <w:rPr>
          <w:lang w:eastAsia="en-GB"/>
        </w:rPr>
        <w:t xml:space="preserve"> </w:t>
      </w:r>
      <w:r w:rsidR="00617F92">
        <w:rPr>
          <w:lang w:eastAsia="en-GB"/>
        </w:rPr>
        <w:t xml:space="preserve">In their </w:t>
      </w:r>
      <w:r w:rsidR="00E32D9C">
        <w:rPr>
          <w:lang w:eastAsia="en-GB"/>
        </w:rPr>
        <w:t xml:space="preserve">understandable </w:t>
      </w:r>
      <w:r w:rsidR="00617F92">
        <w:rPr>
          <w:lang w:eastAsia="en-GB"/>
        </w:rPr>
        <w:t>desire</w:t>
      </w:r>
      <w:r w:rsidR="00E32D9C">
        <w:rPr>
          <w:lang w:eastAsia="en-GB"/>
        </w:rPr>
        <w:t xml:space="preserve"> to ensure effective enforcement of</w:t>
      </w:r>
      <w:r w:rsidR="00617F92">
        <w:rPr>
          <w:lang w:eastAsia="en-GB"/>
        </w:rPr>
        <w:t xml:space="preserve"> arbitration</w:t>
      </w:r>
      <w:r w:rsidR="00E32D9C">
        <w:rPr>
          <w:lang w:eastAsia="en-GB"/>
        </w:rPr>
        <w:t xml:space="preserve">, </w:t>
      </w:r>
      <w:r w:rsidR="00E32D9C">
        <w:rPr>
          <w:lang w:eastAsia="en-GB"/>
        </w:rPr>
        <w:lastRenderedPageBreak/>
        <w:t>and other</w:t>
      </w:r>
      <w:r w:rsidR="00617F92">
        <w:rPr>
          <w:lang w:eastAsia="en-GB"/>
        </w:rPr>
        <w:t xml:space="preserve"> agreements </w:t>
      </w:r>
      <w:r w:rsidR="00244A14">
        <w:rPr>
          <w:lang w:eastAsia="en-GB"/>
        </w:rPr>
        <w:t xml:space="preserve">obliging parties not to seek redress in foreign courts, </w:t>
      </w:r>
      <w:r w:rsidR="00617F92">
        <w:rPr>
          <w:lang w:eastAsia="en-GB"/>
        </w:rPr>
        <w:t xml:space="preserve">the courts </w:t>
      </w:r>
      <w:r w:rsidR="007F1469">
        <w:rPr>
          <w:lang w:eastAsia="en-GB"/>
        </w:rPr>
        <w:t>are</w:t>
      </w:r>
      <w:r w:rsidR="00E976E5">
        <w:rPr>
          <w:lang w:eastAsia="en-GB"/>
        </w:rPr>
        <w:t xml:space="preserve"> taking an overl</w:t>
      </w:r>
      <w:r w:rsidR="00B8277A">
        <w:rPr>
          <w:lang w:eastAsia="en-GB"/>
        </w:rPr>
        <w:t xml:space="preserve">y generous approach to the damages award, </w:t>
      </w:r>
      <w:r w:rsidR="007F1469">
        <w:rPr>
          <w:lang w:eastAsia="en-GB"/>
        </w:rPr>
        <w:t>not always justified in terms of general contractual doctrine</w:t>
      </w:r>
      <w:r w:rsidR="00617F92">
        <w:rPr>
          <w:lang w:eastAsia="en-GB"/>
        </w:rPr>
        <w:t>.</w:t>
      </w:r>
    </w:p>
    <w:p w14:paraId="1C796DE8" w14:textId="486B962E" w:rsidR="009331F3" w:rsidRDefault="009331F3" w:rsidP="00FB355D">
      <w:pPr>
        <w:pStyle w:val="Heading1"/>
      </w:pPr>
      <w:r>
        <w:t>The Front Comor</w:t>
      </w:r>
    </w:p>
    <w:p w14:paraId="626D4D2F" w14:textId="2C19574B" w:rsidR="00617F92" w:rsidRPr="00606D75" w:rsidRDefault="007F1469" w:rsidP="005E3B6E">
      <w:r>
        <w:t>T</w:t>
      </w:r>
      <w:r w:rsidR="005E3B6E">
        <w:t>hough it wa</w:t>
      </w:r>
      <w:r>
        <w:t xml:space="preserve">s only in Flaux J's judgment, </w:t>
      </w:r>
      <w:r w:rsidR="00606D75">
        <w:t xml:space="preserve">in </w:t>
      </w:r>
      <w:r w:rsidR="005E3B6E">
        <w:t>the last act in</w:t>
      </w:r>
      <w:r>
        <w:t xml:space="preserve"> the</w:t>
      </w:r>
      <w:r w:rsidR="00606D75">
        <w:t xml:space="preserve"> extensive</w:t>
      </w:r>
      <w:r>
        <w:t xml:space="preserve"> </w:t>
      </w:r>
      <w:r w:rsidRPr="00617F92">
        <w:rPr>
          <w:u w:val="single"/>
        </w:rPr>
        <w:t>Front Comor</w:t>
      </w:r>
      <w:r>
        <w:t xml:space="preserve"> saga, that damages were an issue, </w:t>
      </w:r>
      <w:r w:rsidR="00162EB6">
        <w:t xml:space="preserve">and </w:t>
      </w:r>
      <w:r w:rsidR="00606D75">
        <w:t xml:space="preserve">though </w:t>
      </w:r>
      <w:r w:rsidR="00162EB6">
        <w:t>earlier stages of the saga have been extensive</w:t>
      </w:r>
      <w:r w:rsidR="00000889">
        <w:t>ly covered</w:t>
      </w:r>
      <w:r w:rsidR="00162EB6">
        <w:t xml:space="preserve"> elsewhere,</w:t>
      </w:r>
      <w:r w:rsidR="00162EB6">
        <w:rPr>
          <w:rStyle w:val="FootnoteReference"/>
        </w:rPr>
        <w:footnoteReference w:id="19"/>
      </w:r>
      <w:r w:rsidR="005E3B6E">
        <w:t xml:space="preserve"> </w:t>
      </w:r>
      <w:r w:rsidR="00606D75" w:rsidRPr="00606D75">
        <w:t>a brief</w:t>
      </w:r>
      <w:r w:rsidR="005E3B6E" w:rsidRPr="00606D75">
        <w:t xml:space="preserve"> re-examination</w:t>
      </w:r>
      <w:r w:rsidR="00617F92" w:rsidRPr="00606D75">
        <w:t xml:space="preserve"> </w:t>
      </w:r>
      <w:r w:rsidR="0083524A">
        <w:t>is in order,</w:t>
      </w:r>
      <w:r w:rsidR="002036B0" w:rsidRPr="00606D75">
        <w:t xml:space="preserve"> </w:t>
      </w:r>
      <w:r w:rsidR="00606D75">
        <w:t xml:space="preserve">aspects of </w:t>
      </w:r>
      <w:r w:rsidR="0083524A">
        <w:t xml:space="preserve">the case being </w:t>
      </w:r>
      <w:r w:rsidR="00606D75">
        <w:t>relevant t</w:t>
      </w:r>
      <w:r w:rsidR="005E3B6E" w:rsidRPr="00606D75">
        <w:t>o</w:t>
      </w:r>
      <w:r w:rsidR="00617F92" w:rsidRPr="00606D75">
        <w:t xml:space="preserve"> the present discussion.</w:t>
      </w:r>
    </w:p>
    <w:p w14:paraId="56271C40" w14:textId="2B407362" w:rsidR="002C7050" w:rsidRDefault="00A40F96" w:rsidP="009331F3">
      <w:r>
        <w:t xml:space="preserve">   </w:t>
      </w:r>
      <w:r w:rsidR="009331F3" w:rsidRPr="009331F3">
        <w:rPr>
          <w:u w:val="single"/>
          <w:lang w:eastAsia="en-GB"/>
        </w:rPr>
        <w:t>The Front Comor</w:t>
      </w:r>
      <w:r w:rsidR="009331F3">
        <w:rPr>
          <w:lang w:eastAsia="en-GB"/>
        </w:rPr>
        <w:t xml:space="preserve"> </w:t>
      </w:r>
      <w:r w:rsidR="00504768">
        <w:rPr>
          <w:lang w:eastAsia="en-GB"/>
        </w:rPr>
        <w:t xml:space="preserve">was chartered on </w:t>
      </w:r>
      <w:r w:rsidR="00786B3E">
        <w:rPr>
          <w:lang w:eastAsia="en-GB"/>
        </w:rPr>
        <w:t xml:space="preserve">a form which </w:t>
      </w:r>
      <w:r w:rsidR="003343EC">
        <w:rPr>
          <w:lang w:eastAsia="en-GB"/>
        </w:rPr>
        <w:t>provided</w:t>
      </w:r>
      <w:r w:rsidR="001763A6">
        <w:rPr>
          <w:lang w:eastAsia="en-GB"/>
        </w:rPr>
        <w:t xml:space="preserve"> for English law and arbitration</w:t>
      </w:r>
      <w:r w:rsidR="00786B3E">
        <w:rPr>
          <w:lang w:eastAsia="en-GB"/>
        </w:rPr>
        <w:t>,</w:t>
      </w:r>
      <w:r w:rsidR="003343EC">
        <w:rPr>
          <w:rStyle w:val="FootnoteReference"/>
          <w:lang w:eastAsia="en-GB"/>
        </w:rPr>
        <w:footnoteReference w:id="20"/>
      </w:r>
      <w:r w:rsidR="002C7050">
        <w:rPr>
          <w:lang w:eastAsia="en-GB"/>
        </w:rPr>
        <w:t xml:space="preserve"> the clause </w:t>
      </w:r>
      <w:r w:rsidR="00786B3E">
        <w:rPr>
          <w:lang w:eastAsia="en-GB"/>
        </w:rPr>
        <w:t>covering</w:t>
      </w:r>
      <w:r w:rsidR="002F0A5B">
        <w:rPr>
          <w:lang w:eastAsia="en-GB"/>
        </w:rPr>
        <w:t xml:space="preserve"> </w:t>
      </w:r>
      <w:r w:rsidR="002F0A5B">
        <w:rPr>
          <w:lang w:eastAsia="en-GB"/>
        </w:rPr>
        <w:lastRenderedPageBreak/>
        <w:t>"</w:t>
      </w:r>
      <w:r w:rsidR="002F0A5B">
        <w:t>[a</w:t>
      </w:r>
      <w:r w:rsidR="002F0A5B" w:rsidRPr="004A4D33">
        <w:t>ny</w:t>
      </w:r>
      <w:r w:rsidR="002F0A5B">
        <w:t>]</w:t>
      </w:r>
      <w:r w:rsidR="002F0A5B" w:rsidRPr="004A4D33">
        <w:t xml:space="preserve"> and all differences and disputes of whatsoever nature arising out of this charter</w:t>
      </w:r>
      <w:r w:rsidR="002F0A5B">
        <w:t xml:space="preserve">". An incident occurred causing damage to property </w:t>
      </w:r>
      <w:r w:rsidR="002C7050">
        <w:t>belonging to the charterers, and</w:t>
      </w:r>
      <w:r w:rsidR="002F0A5B">
        <w:t xml:space="preserve"> the charterers' insurers, having paid out under the policies, took proceedings against the shipowners</w:t>
      </w:r>
      <w:r w:rsidR="002C7050">
        <w:t xml:space="preserve">. They did not seek </w:t>
      </w:r>
      <w:r w:rsidR="002F0A5B">
        <w:t xml:space="preserve">English arbitration, but </w:t>
      </w:r>
      <w:r w:rsidR="002C7050">
        <w:t xml:space="preserve">sued instead </w:t>
      </w:r>
      <w:r w:rsidR="002F0A5B">
        <w:t>in</w:t>
      </w:r>
      <w:r w:rsidR="002F0A5B" w:rsidRPr="002F0A5B">
        <w:t xml:space="preserve"> the Tribunale di Syracuse in Sicily</w:t>
      </w:r>
      <w:r w:rsidR="0083524A">
        <w:t xml:space="preserve"> (</w:t>
      </w:r>
      <w:r w:rsidR="00BD26DC">
        <w:t>where the incident occurred</w:t>
      </w:r>
      <w:r w:rsidR="0083524A">
        <w:t>)</w:t>
      </w:r>
      <w:r w:rsidR="00BD26DC">
        <w:t xml:space="preserve">, perhaps </w:t>
      </w:r>
      <w:r w:rsidR="002C7050">
        <w:t>hoping that a defence that was available in English law would not avail the shipowners in Sicily.</w:t>
      </w:r>
      <w:r w:rsidR="002C7050">
        <w:rPr>
          <w:rStyle w:val="FootnoteReference"/>
        </w:rPr>
        <w:footnoteReference w:id="21"/>
      </w:r>
      <w:r w:rsidR="002C7050">
        <w:t xml:space="preserve"> </w:t>
      </w:r>
    </w:p>
    <w:p w14:paraId="6ABABD26" w14:textId="00314EBE" w:rsidR="00562ECE" w:rsidRDefault="002C7050" w:rsidP="009331F3">
      <w:r>
        <w:t xml:space="preserve">   </w:t>
      </w:r>
      <w:r w:rsidR="00E976E5">
        <w:t xml:space="preserve">Had </w:t>
      </w:r>
      <w:r>
        <w:t xml:space="preserve">the Sicilian </w:t>
      </w:r>
      <w:r w:rsidRPr="00E976E5">
        <w:t xml:space="preserve">court </w:t>
      </w:r>
      <w:r w:rsidR="00E976E5" w:rsidRPr="00E976E5">
        <w:t xml:space="preserve">found </w:t>
      </w:r>
      <w:r w:rsidRPr="00E976E5">
        <w:t>in</w:t>
      </w:r>
      <w:r>
        <w:t xml:space="preserve"> the</w:t>
      </w:r>
      <w:r w:rsidR="00357CE4">
        <w:t xml:space="preserve"> insurers' favour, </w:t>
      </w:r>
      <w:r w:rsidR="0083524A">
        <w:t>substantial loss might well have been occasioned to</w:t>
      </w:r>
      <w:r>
        <w:t xml:space="preserve"> the owners from what was, they claimed, a </w:t>
      </w:r>
      <w:r w:rsidRPr="00A2770C">
        <w:t>breach of</w:t>
      </w:r>
      <w:r>
        <w:t xml:space="preserve"> the </w:t>
      </w:r>
      <w:r w:rsidR="00A2770C">
        <w:t xml:space="preserve">obligation </w:t>
      </w:r>
      <w:r w:rsidR="00A2770C">
        <w:lastRenderedPageBreak/>
        <w:t xml:space="preserve">to </w:t>
      </w:r>
      <w:r>
        <w:t>arb</w:t>
      </w:r>
      <w:r w:rsidR="00A2770C">
        <w:t>itrat</w:t>
      </w:r>
      <w:r>
        <w:t>e.</w:t>
      </w:r>
      <w:r w:rsidR="00A2770C">
        <w:rPr>
          <w:rStyle w:val="FootnoteReference"/>
        </w:rPr>
        <w:footnoteReference w:id="22"/>
      </w:r>
      <w:r>
        <w:t xml:space="preserve"> </w:t>
      </w:r>
      <w:r w:rsidR="007A2819">
        <w:t xml:space="preserve">They might well have chosen to seek damages. </w:t>
      </w:r>
      <w:r>
        <w:t>Initially, however, the case pursued a different path. An interim anti-suit injunction having been granted by Gross J, restraining the action in Sicily, the insurers argued before Colman J that it should be discharged.</w:t>
      </w:r>
      <w:r>
        <w:rPr>
          <w:rStyle w:val="FootnoteReference"/>
        </w:rPr>
        <w:footnoteReference w:id="23"/>
      </w:r>
      <w:r>
        <w:t xml:space="preserve"> The insurers did not cl</w:t>
      </w:r>
      <w:r w:rsidR="00E976E5">
        <w:t xml:space="preserve">aim under the charterparty (the </w:t>
      </w:r>
      <w:r>
        <w:t xml:space="preserve">property damaged was not cargo on board the ship), but in delict (tort), relying on their rights of subrogation </w:t>
      </w:r>
      <w:r w:rsidRPr="00A21AD4">
        <w:t>under the Italian Civil Code</w:t>
      </w:r>
      <w:r w:rsidRPr="004A4D33">
        <w:t>.</w:t>
      </w:r>
      <w:r>
        <w:t xml:space="preserve"> </w:t>
      </w:r>
      <w:r w:rsidR="0034183B">
        <w:t>There was</w:t>
      </w:r>
      <w:r>
        <w:t>, however,</w:t>
      </w:r>
      <w:r w:rsidR="0034183B">
        <w:t xml:space="preserve"> previous authority that a tort claim </w:t>
      </w:r>
      <w:r w:rsidR="0034183B" w:rsidRPr="0034183B">
        <w:t xml:space="preserve">fell within the wording of a similarly-worded arbitration clause, </w:t>
      </w:r>
      <w:r w:rsidR="0034183B" w:rsidRPr="0034183B">
        <w:lastRenderedPageBreak/>
        <w:t>as long as there was a sufficiently close connection between the tortious claim and a claim under the contract,</w:t>
      </w:r>
      <w:r w:rsidR="0034183B">
        <w:rPr>
          <w:rStyle w:val="FootnoteReference"/>
        </w:rPr>
        <w:footnoteReference w:id="24"/>
      </w:r>
      <w:r w:rsidR="0034183B" w:rsidRPr="0034183B">
        <w:t xml:space="preserve"> and </w:t>
      </w:r>
      <w:r w:rsidR="00562ECE" w:rsidRPr="0034183B">
        <w:t xml:space="preserve">far from discharging the injunction, </w:t>
      </w:r>
      <w:r w:rsidR="00CE01C1" w:rsidRPr="0034183B">
        <w:t>Colman J</w:t>
      </w:r>
      <w:r w:rsidR="00CE01C1">
        <w:t xml:space="preserve"> </w:t>
      </w:r>
      <w:r w:rsidR="004D54C9" w:rsidRPr="0034183B">
        <w:t>acceded to the shipowners'</w:t>
      </w:r>
      <w:r w:rsidR="004D54C9">
        <w:t xml:space="preserve"> argument that it should be </w:t>
      </w:r>
      <w:r w:rsidR="00562ECE">
        <w:t xml:space="preserve">made permanent. </w:t>
      </w:r>
      <w:r w:rsidR="0034183B">
        <w:t xml:space="preserve">The basis was essentially that identified in </w:t>
      </w:r>
      <w:r w:rsidR="0034183B" w:rsidRPr="00C01F9F">
        <w:rPr>
          <w:u w:val="single"/>
        </w:rPr>
        <w:t>The Angelic Grace</w:t>
      </w:r>
      <w:r w:rsidR="0034183B">
        <w:t>,</w:t>
      </w:r>
      <w:r w:rsidR="0034183B">
        <w:rPr>
          <w:rStyle w:val="FootnoteReference"/>
        </w:rPr>
        <w:footnoteReference w:id="25"/>
      </w:r>
      <w:r w:rsidR="0034183B">
        <w:t xml:space="preserve"> </w:t>
      </w:r>
      <w:r w:rsidR="00CE01C1">
        <w:t>to protect the claimant's contractual rights under the arbitration agreement</w:t>
      </w:r>
      <w:r w:rsidR="00E21C5B">
        <w:t xml:space="preserve">; the subrogated insurers were claiming through the charterers, and hence were not </w:t>
      </w:r>
      <w:r w:rsidR="00E21C5B">
        <w:lastRenderedPageBreak/>
        <w:t>entitled to assert claims which were inconsistent with the charterparty</w:t>
      </w:r>
      <w:r w:rsidR="00CE01C1">
        <w:t>.</w:t>
      </w:r>
    </w:p>
    <w:p w14:paraId="6CC09657" w14:textId="3510E349" w:rsidR="00DB2A87" w:rsidRDefault="00CE01C1" w:rsidP="00C01F9F">
      <w:r>
        <w:t xml:space="preserve">   </w:t>
      </w:r>
      <w:r w:rsidR="00C01F9F">
        <w:t>Th</w:t>
      </w:r>
      <w:r w:rsidR="002C7050">
        <w:t xml:space="preserve">ough the </w:t>
      </w:r>
      <w:r w:rsidR="00C01F9F">
        <w:t>e</w:t>
      </w:r>
      <w:r w:rsidR="002C7050">
        <w:t xml:space="preserve">arly proceedings in </w:t>
      </w:r>
      <w:r w:rsidR="002C7050" w:rsidRPr="002C7050">
        <w:rPr>
          <w:u w:val="single"/>
        </w:rPr>
        <w:t>The Front Comor</w:t>
      </w:r>
      <w:r w:rsidR="002C7050">
        <w:t xml:space="preserve"> revolved around an injunction rather than damages, </w:t>
      </w:r>
      <w:r w:rsidR="00D82CA0">
        <w:t>aspects of</w:t>
      </w:r>
      <w:r w:rsidR="00C01F9F">
        <w:t xml:space="preserve"> Colman J's judgment </w:t>
      </w:r>
      <w:r w:rsidR="00E21C5B">
        <w:t xml:space="preserve">are </w:t>
      </w:r>
      <w:r w:rsidR="002C7050">
        <w:t>relevant</w:t>
      </w:r>
      <w:r w:rsidR="00B45479">
        <w:t xml:space="preserve"> to the present discussion</w:t>
      </w:r>
      <w:r w:rsidR="00C01F9F">
        <w:t>.</w:t>
      </w:r>
      <w:r w:rsidR="007561D7">
        <w:t xml:space="preserve"> </w:t>
      </w:r>
      <w:r w:rsidR="00D82CA0">
        <w:t>In the f</w:t>
      </w:r>
      <w:r w:rsidR="00C01F9F">
        <w:t>irst</w:t>
      </w:r>
      <w:r w:rsidR="00D82CA0">
        <w:t xml:space="preserve"> place</w:t>
      </w:r>
      <w:r w:rsidR="00C01F9F">
        <w:t xml:space="preserve">, the defendant was not </w:t>
      </w:r>
      <w:r w:rsidR="00CC7BE4">
        <w:t xml:space="preserve">(unlike the defendant in </w:t>
      </w:r>
      <w:r w:rsidR="00CC7BE4" w:rsidRPr="00CC7BE4">
        <w:rPr>
          <w:u w:val="single"/>
        </w:rPr>
        <w:t>The Angelic Grace</w:t>
      </w:r>
      <w:r w:rsidR="00CC7BE4">
        <w:t xml:space="preserve">) </w:t>
      </w:r>
      <w:r w:rsidR="00C01F9F">
        <w:t xml:space="preserve">the charterer himself, but his subrogated insurer, and </w:t>
      </w:r>
      <w:r w:rsidR="0034183B">
        <w:t xml:space="preserve">hence a </w:t>
      </w:r>
      <w:r w:rsidR="00C01F9F">
        <w:t>third party to the charterparty</w:t>
      </w:r>
      <w:r w:rsidR="0034183B">
        <w:t xml:space="preserve">. </w:t>
      </w:r>
      <w:r w:rsidR="007561D7">
        <w:t xml:space="preserve">An insurer is not subject to contractual burdens, and </w:t>
      </w:r>
      <w:r w:rsidR="00DB2A87">
        <w:t xml:space="preserve">the defendant </w:t>
      </w:r>
      <w:r w:rsidR="00FE77EC">
        <w:t>therefore claimed that he could</w:t>
      </w:r>
      <w:r w:rsidR="00DB2A87">
        <w:t xml:space="preserve"> not </w:t>
      </w:r>
      <w:r w:rsidR="00FE77EC">
        <w:t xml:space="preserve">be </w:t>
      </w:r>
      <w:r w:rsidR="00DB2A87">
        <w:t xml:space="preserve">in breach of contract, by commencing proceedings in Sicily. </w:t>
      </w:r>
      <w:r w:rsidR="00C972C6">
        <w:t xml:space="preserve">In </w:t>
      </w:r>
      <w:r w:rsidR="00C972C6">
        <w:rPr>
          <w:u w:val="single"/>
        </w:rPr>
        <w:t>The Hari Bhum</w:t>
      </w:r>
      <w:r w:rsidR="00C972C6">
        <w:t xml:space="preserve">, Clarke LJ had taken the view </w:t>
      </w:r>
      <w:r w:rsidR="007561D7">
        <w:t xml:space="preserve">that </w:t>
      </w:r>
      <w:r w:rsidR="002036B0">
        <w:t xml:space="preserve">damages could not have been awarded against </w:t>
      </w:r>
      <w:r w:rsidR="00C972C6">
        <w:t>the</w:t>
      </w:r>
      <w:r w:rsidR="002036B0">
        <w:t xml:space="preserve"> third party</w:t>
      </w:r>
      <w:r w:rsidR="00C972C6">
        <w:t xml:space="preserve"> there</w:t>
      </w:r>
      <w:r w:rsidR="00313252">
        <w:t>,</w:t>
      </w:r>
      <w:r w:rsidR="002036B0">
        <w:rPr>
          <w:rStyle w:val="FootnoteReference"/>
        </w:rPr>
        <w:footnoteReference w:id="26"/>
      </w:r>
      <w:r w:rsidR="002036B0">
        <w:t xml:space="preserve"> </w:t>
      </w:r>
      <w:r w:rsidR="00313252">
        <w:t xml:space="preserve">whose claim </w:t>
      </w:r>
      <w:r w:rsidR="00B45479">
        <w:t xml:space="preserve">(like that of the insurers in </w:t>
      </w:r>
      <w:r w:rsidR="00B45479" w:rsidRPr="00B45479">
        <w:rPr>
          <w:u w:val="single"/>
        </w:rPr>
        <w:t xml:space="preserve">The Front </w:t>
      </w:r>
      <w:r w:rsidR="00B45479" w:rsidRPr="00B45479">
        <w:rPr>
          <w:u w:val="single"/>
        </w:rPr>
        <w:lastRenderedPageBreak/>
        <w:t>Comor</w:t>
      </w:r>
      <w:r w:rsidR="00B45479">
        <w:t xml:space="preserve">) </w:t>
      </w:r>
      <w:r w:rsidR="00313252">
        <w:t xml:space="preserve">was </w:t>
      </w:r>
      <w:r w:rsidR="001E1C80">
        <w:t xml:space="preserve">held in substance to be </w:t>
      </w:r>
      <w:r w:rsidR="00313252" w:rsidRPr="001E1C80">
        <w:t>based on the</w:t>
      </w:r>
      <w:r w:rsidR="00313252">
        <w:t xml:space="preserve"> contract.</w:t>
      </w:r>
      <w:r w:rsidR="00FE77EC">
        <w:rPr>
          <w:rStyle w:val="FootnoteReference"/>
        </w:rPr>
        <w:footnoteReference w:id="27"/>
      </w:r>
      <w:r w:rsidR="00313252">
        <w:t xml:space="preserve"> </w:t>
      </w:r>
      <w:r w:rsidR="00C01F9F">
        <w:t xml:space="preserve">Colman J, adopting the principles of </w:t>
      </w:r>
      <w:r w:rsidR="00C01F9F" w:rsidRPr="00C01F9F">
        <w:rPr>
          <w:u w:val="single"/>
        </w:rPr>
        <w:t>The Jay Bola</w:t>
      </w:r>
      <w:r w:rsidR="00C01F9F">
        <w:t>,</w:t>
      </w:r>
      <w:r w:rsidR="00944E41">
        <w:rPr>
          <w:rStyle w:val="FootnoteReference"/>
        </w:rPr>
        <w:footnoteReference w:id="28"/>
      </w:r>
      <w:r w:rsidR="00C01F9F">
        <w:t xml:space="preserve"> held that this did not preclude the issue of an anti-suit injunction. </w:t>
      </w:r>
      <w:r w:rsidR="007E043E">
        <w:t xml:space="preserve">Essentially, the </w:t>
      </w:r>
      <w:r w:rsidR="00D66750">
        <w:t xml:space="preserve">insurers were claiming through the contracting party, and their </w:t>
      </w:r>
      <w:r w:rsidR="007E043E">
        <w:t xml:space="preserve">rights were </w:t>
      </w:r>
      <w:r w:rsidR="00D66750">
        <w:t xml:space="preserve">therefore </w:t>
      </w:r>
      <w:r w:rsidR="007E043E">
        <w:t>conditional on the other terms of the contract, including the arbitration clause. This is conditional benefit, rather than transfer of burdens as such.</w:t>
      </w:r>
      <w:r w:rsidR="000A0479">
        <w:rPr>
          <w:rStyle w:val="FootnoteReference"/>
        </w:rPr>
        <w:footnoteReference w:id="29"/>
      </w:r>
    </w:p>
    <w:p w14:paraId="55BD093D" w14:textId="171D1E57" w:rsidR="00C01F9F" w:rsidRDefault="00DB2A87" w:rsidP="00C01F9F">
      <w:r>
        <w:lastRenderedPageBreak/>
        <w:t xml:space="preserve">   </w:t>
      </w:r>
      <w:r w:rsidR="00B40A30">
        <w:t>The availability of an injunction against a third party</w:t>
      </w:r>
      <w:r>
        <w:t xml:space="preserve"> to the contract</w:t>
      </w:r>
      <w:r w:rsidR="005C4803">
        <w:t xml:space="preserve"> was affirmed in </w:t>
      </w:r>
      <w:r w:rsidR="005C4803" w:rsidRPr="0049016D">
        <w:rPr>
          <w:u w:val="single"/>
          <w:lang w:eastAsia="en-GB"/>
        </w:rPr>
        <w:t>The Yusuf Cepnioglu</w:t>
      </w:r>
      <w:r w:rsidR="005C4803">
        <w:t>,</w:t>
      </w:r>
      <w:r w:rsidR="005C4803">
        <w:rPr>
          <w:rStyle w:val="FootnoteReference"/>
        </w:rPr>
        <w:footnoteReference w:id="30"/>
      </w:r>
      <w:r w:rsidR="005C4803">
        <w:t xml:space="preserve"> and the Arbitration Act itself applies similar principles to the stay of action.</w:t>
      </w:r>
      <w:r w:rsidR="005C4803">
        <w:rPr>
          <w:rStyle w:val="FootnoteReference"/>
        </w:rPr>
        <w:footnoteReference w:id="31"/>
      </w:r>
      <w:r w:rsidR="00B40A30">
        <w:t xml:space="preserve"> </w:t>
      </w:r>
      <w:r w:rsidR="00211CBC">
        <w:t xml:space="preserve">This is also </w:t>
      </w:r>
      <w:r w:rsidR="00B40A30">
        <w:t xml:space="preserve">relevant to </w:t>
      </w:r>
      <w:r w:rsidR="00A56D8B">
        <w:t>the possibility</w:t>
      </w:r>
      <w:r w:rsidR="00B40A30">
        <w:t xml:space="preserve"> of equitable damages</w:t>
      </w:r>
      <w:r w:rsidR="00256120">
        <w:t xml:space="preserve">, </w:t>
      </w:r>
      <w:r w:rsidR="00211CBC">
        <w:t xml:space="preserve">an important tool in the armoury of claimants, </w:t>
      </w:r>
      <w:r w:rsidR="00256120">
        <w:t>whether or not common law damages could be awarded</w:t>
      </w:r>
      <w:r w:rsidR="00833BCB">
        <w:t xml:space="preserve"> for breach of contract</w:t>
      </w:r>
      <w:r w:rsidR="00B40A30">
        <w:t>.</w:t>
      </w:r>
      <w:r w:rsidR="00B40A30">
        <w:rPr>
          <w:rStyle w:val="FootnoteReference"/>
        </w:rPr>
        <w:footnoteReference w:id="32"/>
      </w:r>
      <w:r w:rsidR="00B40A30">
        <w:t xml:space="preserve"> </w:t>
      </w:r>
    </w:p>
    <w:p w14:paraId="3F25E8D8" w14:textId="73EFADB2" w:rsidR="00C01F9F" w:rsidRDefault="008F1190" w:rsidP="00C01F9F">
      <w:pPr>
        <w:rPr>
          <w:color w:val="auto"/>
        </w:rPr>
      </w:pPr>
      <w:r>
        <w:t xml:space="preserve">   </w:t>
      </w:r>
      <w:r w:rsidR="0012625F">
        <w:t>Secondly,</w:t>
      </w:r>
      <w:r w:rsidR="00A31FFB">
        <w:t xml:space="preserve"> </w:t>
      </w:r>
      <w:r w:rsidR="00211CBC">
        <w:t xml:space="preserve">and also of relevance to the discussion here, </w:t>
      </w:r>
      <w:r w:rsidR="00A56D8B">
        <w:lastRenderedPageBreak/>
        <w:t>Colman J</w:t>
      </w:r>
      <w:r w:rsidR="00A31FFB">
        <w:t xml:space="preserve"> awarded</w:t>
      </w:r>
      <w:r w:rsidR="00C01F9F">
        <w:t xml:space="preserve"> the injunction in spite of the Brussels </w:t>
      </w:r>
      <w:r w:rsidR="003C141C">
        <w:t>J</w:t>
      </w:r>
      <w:r w:rsidR="00364CCC">
        <w:t xml:space="preserve">urisdiction </w:t>
      </w:r>
      <w:r w:rsidR="006A3FAD">
        <w:t xml:space="preserve">Convention, which </w:t>
      </w:r>
      <w:r w:rsidR="000D6DCF">
        <w:t>is required of</w:t>
      </w:r>
      <w:r w:rsidR="006A3FAD">
        <w:t xml:space="preserve"> EU </w:t>
      </w:r>
      <w:r w:rsidR="000D6DCF">
        <w:t xml:space="preserve">member states </w:t>
      </w:r>
      <w:r w:rsidR="006A3FAD">
        <w:t xml:space="preserve">by </w:t>
      </w:r>
      <w:r w:rsidR="00C01F9F">
        <w:t>EC Regulation</w:t>
      </w:r>
      <w:r w:rsidR="006A3FAD">
        <w:t xml:space="preserve"> </w:t>
      </w:r>
      <w:r w:rsidR="008F3DBB">
        <w:t>No.</w:t>
      </w:r>
      <w:r w:rsidR="006A3FAD" w:rsidRPr="006A3FAD">
        <w:rPr>
          <w:color w:val="FF0000"/>
        </w:rPr>
        <w:t xml:space="preserve"> </w:t>
      </w:r>
      <w:r w:rsidR="006A3FAD" w:rsidRPr="006A3FAD">
        <w:t>44/2001</w:t>
      </w:r>
      <w:r w:rsidR="00C01F9F">
        <w:t>.</w:t>
      </w:r>
      <w:r w:rsidR="00C01F9F">
        <w:rPr>
          <w:rStyle w:val="FootnoteReference"/>
        </w:rPr>
        <w:footnoteReference w:id="33"/>
      </w:r>
      <w:r w:rsidR="00C01F9F">
        <w:t xml:space="preserve"> </w:t>
      </w:r>
      <w:r w:rsidR="00C01F9F" w:rsidRPr="00833BCB">
        <w:t>This provision</w:t>
      </w:r>
      <w:r w:rsidR="000D6DCF">
        <w:t>, having</w:t>
      </w:r>
      <w:r w:rsidR="00C01F9F" w:rsidRPr="00833BCB">
        <w:t xml:space="preserve"> </w:t>
      </w:r>
      <w:r w:rsidR="00833BCB">
        <w:t>set</w:t>
      </w:r>
      <w:r w:rsidR="000D6DCF">
        <w:t xml:space="preserve"> out jurisdiction rules, </w:t>
      </w:r>
      <w:r w:rsidR="00C01F9F" w:rsidRPr="00833BCB">
        <w:t>accords primacy to the court first seised</w:t>
      </w:r>
      <w:r w:rsidR="00C01F9F">
        <w:t>.</w:t>
      </w:r>
      <w:r w:rsidR="008C08A4">
        <w:rPr>
          <w:rStyle w:val="FootnoteReference"/>
        </w:rPr>
        <w:footnoteReference w:id="34"/>
      </w:r>
      <w:r w:rsidR="00C01F9F">
        <w:t xml:space="preserve"> </w:t>
      </w:r>
      <w:r w:rsidR="00833BCB">
        <w:t xml:space="preserve">Courts within the </w:t>
      </w:r>
      <w:r w:rsidR="00952E83">
        <w:t>EU are</w:t>
      </w:r>
      <w:r w:rsidR="00833BCB">
        <w:t xml:space="preserve"> trusted to decline jurisdiction in appropriate cases. </w:t>
      </w:r>
      <w:r w:rsidR="00C01F9F">
        <w:t xml:space="preserve">In </w:t>
      </w:r>
      <w:r w:rsidR="00C01F9F" w:rsidRPr="00B8239A">
        <w:rPr>
          <w:u w:val="single"/>
        </w:rPr>
        <w:t>Turner</w:t>
      </w:r>
      <w:r w:rsidR="00C01F9F" w:rsidRPr="00901638">
        <w:t xml:space="preserve"> v</w:t>
      </w:r>
      <w:r w:rsidR="00C01F9F" w:rsidRPr="00326F92">
        <w:t xml:space="preserve"> </w:t>
      </w:r>
      <w:r w:rsidR="00C01F9F" w:rsidRPr="00B8239A">
        <w:rPr>
          <w:u w:val="single"/>
        </w:rPr>
        <w:t>Grovit</w:t>
      </w:r>
      <w:r w:rsidR="00B8239A">
        <w:t>,</w:t>
      </w:r>
      <w:r w:rsidR="00B8239A">
        <w:rPr>
          <w:rStyle w:val="FootnoteReference"/>
        </w:rPr>
        <w:footnoteReference w:id="35"/>
      </w:r>
      <w:r w:rsidR="00B8239A">
        <w:t xml:space="preserve"> the Eu</w:t>
      </w:r>
      <w:r w:rsidR="00B8239A">
        <w:lastRenderedPageBreak/>
        <w:t>ropean Court of Justice</w:t>
      </w:r>
      <w:r w:rsidR="00E93D22">
        <w:t xml:space="preserve"> had </w:t>
      </w:r>
      <w:r w:rsidR="00812EB8">
        <w:t xml:space="preserve">taken the view that it was inconsistent with the mutual trust accorded to the courts, and hence </w:t>
      </w:r>
      <w:r w:rsidR="00A81121">
        <w:t>inconsistent with the Convention</w:t>
      </w:r>
      <w:r w:rsidR="00C01F9F">
        <w:t>:</w:t>
      </w:r>
    </w:p>
    <w:p w14:paraId="2C626DBA" w14:textId="61B2A8AA" w:rsidR="00C01F9F" w:rsidRDefault="00C01F9F" w:rsidP="00B8239A">
      <w:pPr>
        <w:pStyle w:val="Quote"/>
      </w:pPr>
      <w:r>
        <w:t>"</w:t>
      </w:r>
      <w:r w:rsidR="006D4322">
        <w:t>...</w:t>
      </w:r>
      <w:r>
        <w:t xml:space="preserve"> to grant restraining orders against defendants who are threatening to commence or continue legal proceedings in another Convention country </w:t>
      </w:r>
      <w:r w:rsidR="00326F92" w:rsidRPr="00326F92">
        <w:t>...</w:t>
      </w:r>
      <w:r w:rsidRPr="00326F92">
        <w:t>"</w:t>
      </w:r>
    </w:p>
    <w:p w14:paraId="005CB29A" w14:textId="7EBE6E2C" w:rsidR="00D43E52" w:rsidRDefault="00326F92" w:rsidP="00831AB5">
      <w:r w:rsidRPr="00326F92">
        <w:t>The foreign proceedings</w:t>
      </w:r>
      <w:r w:rsidR="00B40558">
        <w:t xml:space="preserve"> sought to be restrained</w:t>
      </w:r>
      <w:r w:rsidRPr="00326F92">
        <w:t xml:space="preserve"> in </w:t>
      </w:r>
      <w:r w:rsidR="00B8239A" w:rsidRPr="00B8239A">
        <w:rPr>
          <w:u w:val="single"/>
        </w:rPr>
        <w:t>Turner</w:t>
      </w:r>
      <w:r w:rsidR="00B8239A">
        <w:t xml:space="preserve"> </w:t>
      </w:r>
      <w:r w:rsidR="009B3E63">
        <w:t xml:space="preserve">were unconscionable, but </w:t>
      </w:r>
      <w:r w:rsidR="009B3E63" w:rsidRPr="00B8239A">
        <w:rPr>
          <w:u w:val="single"/>
        </w:rPr>
        <w:t>Turner</w:t>
      </w:r>
      <w:r>
        <w:t xml:space="preserve"> </w:t>
      </w:r>
      <w:r w:rsidR="009B3E63">
        <w:t>was not an arbitration case.</w:t>
      </w:r>
      <w:r w:rsidR="00B8239A">
        <w:t xml:space="preserve"> </w:t>
      </w:r>
      <w:r w:rsidR="00211CBC">
        <w:t xml:space="preserve">Had it been, </w:t>
      </w:r>
      <w:r w:rsidR="00B8239A">
        <w:t>Art</w:t>
      </w:r>
      <w:r w:rsidR="00D27A39">
        <w:t>.</w:t>
      </w:r>
      <w:r w:rsidR="00B8239A">
        <w:t xml:space="preserve"> 1(2)(d) </w:t>
      </w:r>
      <w:r w:rsidR="00211CBC">
        <w:t>disapplies the Regulation in respect of</w:t>
      </w:r>
      <w:r w:rsidR="009B3E63">
        <w:t xml:space="preserve"> </w:t>
      </w:r>
      <w:r w:rsidR="00B8239A">
        <w:t>arbitration</w:t>
      </w:r>
      <w:r w:rsidR="002B0DC3">
        <w:t xml:space="preserve">, </w:t>
      </w:r>
      <w:r w:rsidR="00812EB8">
        <w:t xml:space="preserve">recognition and enforcement of which are governed by </w:t>
      </w:r>
      <w:r w:rsidR="00B8239A">
        <w:t xml:space="preserve">the New York Convention on the Recognition and Enforcement of Foreign Arbitral </w:t>
      </w:r>
      <w:r w:rsidR="00B8239A" w:rsidRPr="00B40558">
        <w:t xml:space="preserve">Awards. </w:t>
      </w:r>
      <w:r w:rsidR="00211CBC">
        <w:t>(This is also relevant later.)</w:t>
      </w:r>
      <w:r w:rsidR="00211CBC">
        <w:rPr>
          <w:rStyle w:val="FootnoteReference"/>
        </w:rPr>
        <w:footnoteReference w:id="36"/>
      </w:r>
      <w:r w:rsidR="00211CBC">
        <w:t xml:space="preserve"> </w:t>
      </w:r>
      <w:r w:rsidR="00B8239A" w:rsidRPr="00B40558">
        <w:t>New York requires</w:t>
      </w:r>
      <w:r w:rsidR="00B8239A">
        <w:t xml:space="preserve"> any court to defer to a valid arbitration </w:t>
      </w:r>
      <w:r w:rsidR="00635F3C">
        <w:t>agreement</w:t>
      </w:r>
      <w:r w:rsidR="00182DDE">
        <w:t>,</w:t>
      </w:r>
      <w:r>
        <w:rPr>
          <w:rStyle w:val="FootnoteReference"/>
        </w:rPr>
        <w:footnoteReference w:id="37"/>
      </w:r>
      <w:r w:rsidR="00635F3C">
        <w:t xml:space="preserve"> </w:t>
      </w:r>
      <w:r w:rsidR="00182DDE">
        <w:t xml:space="preserve">and Art. 1(2)(d) is intended to ensure that Brussels does not conflict with it, or </w:t>
      </w:r>
      <w:r w:rsidR="00182DDE">
        <w:lastRenderedPageBreak/>
        <w:t>other international agreements on arbitration.</w:t>
      </w:r>
      <w:r w:rsidR="00182DDE">
        <w:rPr>
          <w:rStyle w:val="FootnoteReference"/>
        </w:rPr>
        <w:footnoteReference w:id="38"/>
      </w:r>
      <w:r w:rsidR="00182DDE">
        <w:t xml:space="preserve"> </w:t>
      </w:r>
      <w:r w:rsidR="00D43E52">
        <w:t>The court seised is trusted to apply the New York Convention, and stay proceedings where there is a valid arbitration agreement.</w:t>
      </w:r>
      <w:r w:rsidR="0035773C">
        <w:rPr>
          <w:rStyle w:val="FootnoteReference"/>
        </w:rPr>
        <w:footnoteReference w:id="39"/>
      </w:r>
      <w:r w:rsidR="00D43E52">
        <w:t xml:space="preserve"> I</w:t>
      </w:r>
      <w:r w:rsidR="004379FE">
        <w:t>f the court acts properly</w:t>
      </w:r>
      <w:r w:rsidR="00D43E52">
        <w:t xml:space="preserve">, the provisions should </w:t>
      </w:r>
      <w:r w:rsidR="004379FE">
        <w:t xml:space="preserve">therefore </w:t>
      </w:r>
      <w:r w:rsidR="00D43E52">
        <w:t xml:space="preserve">intermesh well enough, but differences can arise over the validity or applicability of an arbitration agreement, and the Sicilian court would </w:t>
      </w:r>
      <w:r w:rsidR="00D225D6">
        <w:t xml:space="preserve">probably not have </w:t>
      </w:r>
      <w:r w:rsidR="00D43E52">
        <w:t>recognise</w:t>
      </w:r>
      <w:r w:rsidR="00D225D6">
        <w:t>d</w:t>
      </w:r>
      <w:r w:rsidR="00D43E52">
        <w:t xml:space="preserve"> it as applying in </w:t>
      </w:r>
      <w:r w:rsidR="00D43E52" w:rsidRPr="004A566E">
        <w:rPr>
          <w:u w:val="single"/>
        </w:rPr>
        <w:t>The Front Comor</w:t>
      </w:r>
      <w:r w:rsidR="00D43E52">
        <w:t>.</w:t>
      </w:r>
      <w:r w:rsidR="00D43E52">
        <w:rPr>
          <w:rStyle w:val="FootnoteReference"/>
        </w:rPr>
        <w:footnoteReference w:id="40"/>
      </w:r>
    </w:p>
    <w:p w14:paraId="2A5AEEC2" w14:textId="4CDB335F" w:rsidR="00FC3263" w:rsidRDefault="00D43E52" w:rsidP="00B8239A">
      <w:r>
        <w:t xml:space="preserve">   The </w:t>
      </w:r>
      <w:r w:rsidR="006F4FE8">
        <w:t xml:space="preserve">central </w:t>
      </w:r>
      <w:r>
        <w:t xml:space="preserve">issue in </w:t>
      </w:r>
      <w:r w:rsidRPr="00D43E52">
        <w:rPr>
          <w:u w:val="single"/>
        </w:rPr>
        <w:t>The Front Comor</w:t>
      </w:r>
      <w:r>
        <w:t xml:space="preserve">, </w:t>
      </w:r>
      <w:r w:rsidR="006F4FE8">
        <w:t>then, once the case had gone beyond first instance</w:t>
      </w:r>
      <w:r>
        <w:t xml:space="preserve">, was whether the principles in </w:t>
      </w:r>
      <w:r w:rsidRPr="00D43E52">
        <w:rPr>
          <w:u w:val="single"/>
        </w:rPr>
        <w:t>Turner</w:t>
      </w:r>
      <w:r>
        <w:t xml:space="preserve"> applied to an anti-suit injunction issued to </w:t>
      </w:r>
      <w:r>
        <w:lastRenderedPageBreak/>
        <w:t>restrain proceedings brought in breach of an arbitration agreement</w:t>
      </w:r>
      <w:r w:rsidR="009C680A">
        <w:t>, given the exclusion of arbitration from Brussels</w:t>
      </w:r>
      <w:r>
        <w:t xml:space="preserve">. </w:t>
      </w:r>
      <w:r w:rsidR="009C680A">
        <w:t xml:space="preserve">On this issue, Colman J was bound by </w:t>
      </w:r>
      <w:r w:rsidR="009C680A" w:rsidRPr="00F3488B">
        <w:rPr>
          <w:u w:val="single"/>
        </w:rPr>
        <w:t>The Hari Bhum</w:t>
      </w:r>
      <w:r w:rsidR="009C680A">
        <w:t>,</w:t>
      </w:r>
      <w:r w:rsidR="009C680A">
        <w:rPr>
          <w:rStyle w:val="FootnoteReference"/>
        </w:rPr>
        <w:footnoteReference w:id="41"/>
      </w:r>
      <w:r w:rsidR="009C680A">
        <w:t xml:space="preserve"> a case which, unlike </w:t>
      </w:r>
      <w:r w:rsidR="009C680A" w:rsidRPr="008E6933">
        <w:rPr>
          <w:u w:val="single"/>
        </w:rPr>
        <w:t>T</w:t>
      </w:r>
      <w:r w:rsidR="009C680A" w:rsidRPr="00F3488B">
        <w:rPr>
          <w:u w:val="single"/>
        </w:rPr>
        <w:t>urner</w:t>
      </w:r>
      <w:r w:rsidR="009C680A">
        <w:t>, did concern an arbitration clause</w:t>
      </w:r>
      <w:r w:rsidR="003B582A">
        <w:t>,</w:t>
      </w:r>
      <w:r w:rsidR="009C680A">
        <w:t xml:space="preserve"> whose application would be thwarted by action taken abroad. The Court of Appeal </w:t>
      </w:r>
      <w:r w:rsidR="003B582A">
        <w:t xml:space="preserve">had </w:t>
      </w:r>
      <w:r w:rsidR="009C680A">
        <w:t xml:space="preserve">there held </w:t>
      </w:r>
      <w:r w:rsidR="009C680A" w:rsidRPr="00F3488B">
        <w:rPr>
          <w:u w:val="single"/>
        </w:rPr>
        <w:t>Turner</w:t>
      </w:r>
      <w:r w:rsidR="009C680A">
        <w:t xml:space="preserve"> inapplicable to arbitration. There was therefore no objection to the grant of </w:t>
      </w:r>
      <w:r w:rsidR="00FC3263">
        <w:t>the injunction.</w:t>
      </w:r>
    </w:p>
    <w:p w14:paraId="6EE2CAF2" w14:textId="7E60A7D2" w:rsidR="006E7BC6" w:rsidRDefault="00637BC5" w:rsidP="006E7BC6">
      <w:pPr>
        <w:rPr>
          <w:lang w:eastAsia="en-GB"/>
        </w:rPr>
      </w:pPr>
      <w:r>
        <w:t xml:space="preserve">   </w:t>
      </w:r>
      <w:r w:rsidR="00C929DE">
        <w:t>Colman J being</w:t>
      </w:r>
      <w:r w:rsidR="006E7BC6" w:rsidRPr="006E7BC6">
        <w:t xml:space="preserve"> bound by C</w:t>
      </w:r>
      <w:r w:rsidR="00C929DE">
        <w:t>ourt of Appeal authority, the insur</w:t>
      </w:r>
      <w:r w:rsidR="006E7BC6">
        <w:rPr>
          <w:lang w:eastAsia="en-GB"/>
        </w:rPr>
        <w:t>ers took a leapfr</w:t>
      </w:r>
      <w:r w:rsidR="00C929DE">
        <w:rPr>
          <w:lang w:eastAsia="en-GB"/>
        </w:rPr>
        <w:t xml:space="preserve">og appeal to the House of Lords on the </w:t>
      </w:r>
      <w:r w:rsidR="006E7BC6">
        <w:rPr>
          <w:lang w:eastAsia="en-GB"/>
        </w:rPr>
        <w:t xml:space="preserve">issue </w:t>
      </w:r>
      <w:r w:rsidR="00C929DE">
        <w:rPr>
          <w:lang w:eastAsia="en-GB"/>
        </w:rPr>
        <w:t>of</w:t>
      </w:r>
      <w:r w:rsidR="006E7BC6">
        <w:rPr>
          <w:lang w:eastAsia="en-GB"/>
        </w:rPr>
        <w:t xml:space="preserve"> </w:t>
      </w:r>
      <w:r w:rsidR="00C929DE">
        <w:rPr>
          <w:lang w:eastAsia="en-GB"/>
        </w:rPr>
        <w:t xml:space="preserve">the applicability of </w:t>
      </w:r>
      <w:r w:rsidR="00C929DE" w:rsidRPr="00C929DE">
        <w:rPr>
          <w:u w:val="single"/>
          <w:lang w:eastAsia="en-GB"/>
        </w:rPr>
        <w:t>Turner</w:t>
      </w:r>
      <w:r w:rsidR="006E7BC6">
        <w:rPr>
          <w:lang w:eastAsia="en-GB"/>
        </w:rPr>
        <w:t>.</w:t>
      </w:r>
      <w:r w:rsidR="00C929DE">
        <w:rPr>
          <w:rStyle w:val="FootnoteReference"/>
          <w:lang w:eastAsia="en-GB"/>
        </w:rPr>
        <w:footnoteReference w:id="42"/>
      </w:r>
      <w:r w:rsidR="007A553D">
        <w:rPr>
          <w:lang w:eastAsia="en-GB"/>
        </w:rPr>
        <w:t xml:space="preserve"> The House agreed </w:t>
      </w:r>
      <w:r w:rsidR="007A553D">
        <w:rPr>
          <w:lang w:eastAsia="en-GB"/>
        </w:rPr>
        <w:lastRenderedPageBreak/>
        <w:t xml:space="preserve">with Colman J, Lord Hoffmann </w:t>
      </w:r>
      <w:r w:rsidR="0027039E">
        <w:rPr>
          <w:lang w:eastAsia="en-GB"/>
        </w:rPr>
        <w:t xml:space="preserve">taking the view that </w:t>
      </w:r>
      <w:r w:rsidR="0027039E">
        <w:t>arbitration should be entirely outside the Brussels regime.</w:t>
      </w:r>
      <w:r w:rsidR="007A553D">
        <w:rPr>
          <w:rStyle w:val="FootnoteReference"/>
          <w:lang w:eastAsia="en-GB"/>
        </w:rPr>
        <w:footnoteReference w:id="43"/>
      </w:r>
      <w:r w:rsidR="0027039E">
        <w:t xml:space="preserve"> </w:t>
      </w:r>
      <w:r w:rsidR="004352A8">
        <w:rPr>
          <w:lang w:eastAsia="en-GB"/>
        </w:rPr>
        <w:t>However, because the "</w:t>
      </w:r>
      <w:r w:rsidR="004352A8">
        <w:t xml:space="preserve">question referred is one of very considerable practical importance on which different views have been expressed by national judges and writers", </w:t>
      </w:r>
      <w:r w:rsidR="006E7BC6">
        <w:rPr>
          <w:lang w:eastAsia="en-GB"/>
        </w:rPr>
        <w:t xml:space="preserve">the House referred </w:t>
      </w:r>
      <w:r w:rsidR="00A429F7">
        <w:rPr>
          <w:lang w:eastAsia="en-GB"/>
        </w:rPr>
        <w:t>to the European Court</w:t>
      </w:r>
      <w:r w:rsidR="0035773C">
        <w:rPr>
          <w:lang w:eastAsia="en-GB"/>
        </w:rPr>
        <w:t xml:space="preserve"> the</w:t>
      </w:r>
      <w:r w:rsidR="0003159D">
        <w:rPr>
          <w:lang w:eastAsia="en-GB"/>
        </w:rPr>
        <w:t xml:space="preserve"> </w:t>
      </w:r>
      <w:r w:rsidR="006E7BC6">
        <w:rPr>
          <w:lang w:eastAsia="en-GB"/>
        </w:rPr>
        <w:t>question</w:t>
      </w:r>
      <w:r w:rsidR="0035773C">
        <w:rPr>
          <w:lang w:eastAsia="en-GB"/>
        </w:rPr>
        <w:t xml:space="preserve"> whether it was consistent</w:t>
      </w:r>
      <w:r w:rsidR="006E7BC6">
        <w:rPr>
          <w:lang w:eastAsia="en-GB"/>
        </w:rPr>
        <w:t>:</w:t>
      </w:r>
      <w:r w:rsidR="004352A8">
        <w:rPr>
          <w:rStyle w:val="FootnoteReference"/>
          <w:lang w:eastAsia="en-GB"/>
        </w:rPr>
        <w:footnoteReference w:id="44"/>
      </w:r>
    </w:p>
    <w:p w14:paraId="01D9F7B8" w14:textId="57A1C234" w:rsidR="006E7BC6" w:rsidRDefault="006E7BC6" w:rsidP="006E7BC6">
      <w:pPr>
        <w:pStyle w:val="Quote"/>
        <w:rPr>
          <w:lang w:eastAsia="en-GB"/>
        </w:rPr>
      </w:pPr>
      <w:r>
        <w:rPr>
          <w:highlight w:val="white"/>
        </w:rPr>
        <w:t>"</w:t>
      </w:r>
      <w:r w:rsidR="0035773C">
        <w:rPr>
          <w:highlight w:val="white"/>
        </w:rPr>
        <w:t>...</w:t>
      </w:r>
      <w:r w:rsidRPr="00E62A2F">
        <w:rPr>
          <w:highlight w:val="white"/>
        </w:rPr>
        <w:t xml:space="preserve"> with EC Regulation 44/2001 for a court of a Member State to make an order to restrain a person from commencing or continuing proceedings in another Member State on the ground that </w:t>
      </w:r>
      <w:r w:rsidRPr="005A01E0">
        <w:rPr>
          <w:highlight w:val="white"/>
        </w:rPr>
        <w:t>such</w:t>
      </w:r>
      <w:r w:rsidRPr="00E62A2F">
        <w:rPr>
          <w:highlight w:val="white"/>
        </w:rPr>
        <w:t xml:space="preserve"> proceedings are in breach of an arbitration agreement?</w:t>
      </w:r>
      <w:r>
        <w:t>"</w:t>
      </w:r>
    </w:p>
    <w:p w14:paraId="5C58E2DC" w14:textId="77777777" w:rsidR="00510870" w:rsidRDefault="006E7BC6" w:rsidP="006E7BC6">
      <w:pPr>
        <w:rPr>
          <w:lang w:eastAsia="en-GB"/>
        </w:rPr>
      </w:pPr>
      <w:r>
        <w:rPr>
          <w:lang w:eastAsia="en-GB"/>
        </w:rPr>
        <w:lastRenderedPageBreak/>
        <w:t>T</w:t>
      </w:r>
      <w:r w:rsidR="00A429F7">
        <w:rPr>
          <w:lang w:eastAsia="en-GB"/>
        </w:rPr>
        <w:t xml:space="preserve">aking the opposite view to that of </w:t>
      </w:r>
      <w:r w:rsidR="005060D0">
        <w:rPr>
          <w:lang w:eastAsia="en-GB"/>
        </w:rPr>
        <w:t>the House</w:t>
      </w:r>
      <w:r w:rsidR="00591768">
        <w:rPr>
          <w:lang w:eastAsia="en-GB"/>
        </w:rPr>
        <w:t xml:space="preserve"> </w:t>
      </w:r>
      <w:r w:rsidR="00A429F7">
        <w:rPr>
          <w:lang w:eastAsia="en-GB"/>
        </w:rPr>
        <w:t xml:space="preserve">of Lords, the European Court of Justice </w:t>
      </w:r>
      <w:r w:rsidR="00BD184E">
        <w:rPr>
          <w:lang w:eastAsia="en-GB"/>
        </w:rPr>
        <w:t>ruled</w:t>
      </w:r>
      <w:r w:rsidR="00591768">
        <w:rPr>
          <w:lang w:eastAsia="en-GB"/>
        </w:rPr>
        <w:t xml:space="preserve"> that to issue the anti-suit injunction</w:t>
      </w:r>
      <w:r>
        <w:rPr>
          <w:lang w:eastAsia="en-GB"/>
        </w:rPr>
        <w:t xml:space="preserve"> was </w:t>
      </w:r>
      <w:r w:rsidR="00A429F7">
        <w:rPr>
          <w:lang w:eastAsia="en-GB"/>
        </w:rPr>
        <w:t>in</w:t>
      </w:r>
      <w:r>
        <w:rPr>
          <w:lang w:eastAsia="en-GB"/>
        </w:rPr>
        <w:t>consistent</w:t>
      </w:r>
      <w:r w:rsidR="00591768">
        <w:rPr>
          <w:lang w:eastAsia="en-GB"/>
        </w:rPr>
        <w:t xml:space="preserve"> with the Regulation</w:t>
      </w:r>
      <w:r>
        <w:rPr>
          <w:lang w:eastAsia="en-GB"/>
        </w:rPr>
        <w:t>.</w:t>
      </w:r>
      <w:r>
        <w:rPr>
          <w:rStyle w:val="FootnoteReference"/>
          <w:lang w:eastAsia="en-GB"/>
        </w:rPr>
        <w:footnoteReference w:id="45"/>
      </w:r>
      <w:r w:rsidR="000F545C">
        <w:rPr>
          <w:lang w:eastAsia="en-GB"/>
        </w:rPr>
        <w:t xml:space="preserve"> The difference revolves around how arbitration is excluded. The English courts took the view that the Regulation had no application at all, whereas the ECJ would have trusted the court seised to stay its own proceedings.</w:t>
      </w:r>
      <w:r w:rsidR="00510870">
        <w:rPr>
          <w:lang w:eastAsia="en-GB"/>
        </w:rPr>
        <w:t xml:space="preserve"> </w:t>
      </w:r>
    </w:p>
    <w:p w14:paraId="3C55FF5B" w14:textId="686897CC" w:rsidR="00510870" w:rsidRDefault="00510870" w:rsidP="00FE5B49">
      <w:pPr>
        <w:rPr>
          <w:lang w:eastAsia="en-GB"/>
        </w:rPr>
      </w:pPr>
      <w:r>
        <w:rPr>
          <w:lang w:eastAsia="en-GB"/>
        </w:rPr>
        <w:t xml:space="preserve">   </w:t>
      </w:r>
      <w:r>
        <w:t>The exclusion of arbitration from the Brussels regime is relevant to the discussion of damages, later in this article.</w:t>
      </w:r>
      <w:r>
        <w:rPr>
          <w:rStyle w:val="FootnoteReference"/>
        </w:rPr>
        <w:footnoteReference w:id="46"/>
      </w:r>
      <w:r>
        <w:t xml:space="preserve"> </w:t>
      </w:r>
      <w:r w:rsidR="00591768" w:rsidRPr="00591768">
        <w:rPr>
          <w:u w:val="single"/>
          <w:lang w:eastAsia="en-GB"/>
        </w:rPr>
        <w:t>The Front Comor</w:t>
      </w:r>
      <w:r w:rsidR="006E7BC6">
        <w:rPr>
          <w:lang w:eastAsia="en-GB"/>
        </w:rPr>
        <w:t xml:space="preserve"> </w:t>
      </w:r>
      <w:r w:rsidR="000F545C">
        <w:rPr>
          <w:lang w:eastAsia="en-GB"/>
        </w:rPr>
        <w:t xml:space="preserve">is </w:t>
      </w:r>
      <w:r>
        <w:rPr>
          <w:lang w:eastAsia="en-GB"/>
        </w:rPr>
        <w:t xml:space="preserve">also </w:t>
      </w:r>
      <w:r w:rsidR="000F545C">
        <w:rPr>
          <w:lang w:eastAsia="en-GB"/>
        </w:rPr>
        <w:t xml:space="preserve">relevant because it </w:t>
      </w:r>
      <w:r w:rsidR="00A429F7">
        <w:rPr>
          <w:lang w:eastAsia="en-GB"/>
        </w:rPr>
        <w:t xml:space="preserve">creates a </w:t>
      </w:r>
      <w:r w:rsidR="006E7BC6">
        <w:rPr>
          <w:lang w:eastAsia="en-GB"/>
        </w:rPr>
        <w:t>situation where the normally appropriate remedy of the anti-suit injunction cannot be awarded</w:t>
      </w:r>
      <w:r w:rsidR="00591768">
        <w:rPr>
          <w:lang w:eastAsia="en-GB"/>
        </w:rPr>
        <w:t>, and other remedies, such as damages, accordingly gain in importance</w:t>
      </w:r>
      <w:r w:rsidR="006E7BC6">
        <w:rPr>
          <w:lang w:eastAsia="en-GB"/>
        </w:rPr>
        <w:t>.</w:t>
      </w:r>
    </w:p>
    <w:p w14:paraId="2D46191E" w14:textId="1952DF63" w:rsidR="006E7BC6" w:rsidRPr="00635F3C" w:rsidRDefault="00510870" w:rsidP="00FE5B49">
      <w:pPr>
        <w:rPr>
          <w:rFonts w:ascii="Times New Roman" w:hAnsi="Times New Roman" w:cs="Times New Roman"/>
          <w:color w:val="auto"/>
          <w:szCs w:val="24"/>
          <w:lang w:eastAsia="en-GB"/>
        </w:rPr>
      </w:pPr>
      <w:r>
        <w:t xml:space="preserve">   </w:t>
      </w:r>
      <w:r w:rsidR="006E7BC6" w:rsidRPr="00635F3C">
        <w:t xml:space="preserve">The principle rationale for </w:t>
      </w:r>
      <w:r w:rsidR="006E7BC6" w:rsidRPr="00635F3C">
        <w:rPr>
          <w:u w:val="single"/>
        </w:rPr>
        <w:t>Turner</w:t>
      </w:r>
      <w:r w:rsidR="006E7BC6" w:rsidRPr="00635F3C">
        <w:t xml:space="preserve"> is that</w:t>
      </w:r>
      <w:r w:rsidR="008D395F">
        <w:t xml:space="preserve"> </w:t>
      </w:r>
      <w:r w:rsidR="008D395F" w:rsidRPr="00635F3C">
        <w:rPr>
          <w:lang w:eastAsia="en-GB"/>
        </w:rPr>
        <w:t xml:space="preserve">anti-suit injunctions can breach the mutual trust necessary for </w:t>
      </w:r>
      <w:r w:rsidR="008D395F" w:rsidRPr="00635F3C">
        <w:rPr>
          <w:szCs w:val="24"/>
          <w:lang w:eastAsia="en-GB"/>
        </w:rPr>
        <w:t>a compulsory system of jurisdiction,</w:t>
      </w:r>
      <w:r w:rsidR="008D395F" w:rsidRPr="00635F3C">
        <w:rPr>
          <w:lang w:eastAsia="en-GB"/>
        </w:rPr>
        <w:t xml:space="preserve"> albeit that they do not interfere </w:t>
      </w:r>
      <w:r w:rsidR="008D395F" w:rsidRPr="00635F3C">
        <w:rPr>
          <w:lang w:eastAsia="en-GB"/>
        </w:rPr>
        <w:lastRenderedPageBreak/>
        <w:t>directly with the foreign co</w:t>
      </w:r>
      <w:r w:rsidR="008D395F">
        <w:rPr>
          <w:lang w:eastAsia="en-GB"/>
        </w:rPr>
        <w:t>urts.</w:t>
      </w:r>
      <w:r w:rsidR="006E7BC6">
        <w:rPr>
          <w:rStyle w:val="FootnoteReference"/>
        </w:rPr>
        <w:footnoteReference w:id="47"/>
      </w:r>
      <w:r w:rsidR="00FE5B49">
        <w:rPr>
          <w:lang w:eastAsia="en-GB"/>
        </w:rPr>
        <w:t xml:space="preserve"> </w:t>
      </w:r>
      <w:r w:rsidR="006E7BC6">
        <w:rPr>
          <w:lang w:eastAsia="en-GB"/>
        </w:rPr>
        <w:t>As Flaux J later observed</w:t>
      </w:r>
      <w:r w:rsidR="006E7BC6" w:rsidRPr="00635F3C">
        <w:rPr>
          <w:lang w:eastAsia="en-GB"/>
        </w:rPr>
        <w:t>:</w:t>
      </w:r>
      <w:r w:rsidR="006E7BC6">
        <w:rPr>
          <w:rStyle w:val="FootnoteReference"/>
          <w:lang w:eastAsia="en-GB"/>
        </w:rPr>
        <w:footnoteReference w:id="48"/>
      </w:r>
    </w:p>
    <w:p w14:paraId="753E65CB" w14:textId="55472FFE" w:rsidR="006E7BC6" w:rsidRPr="00635F3C" w:rsidRDefault="006E7BC6" w:rsidP="006E7BC6">
      <w:pPr>
        <w:pStyle w:val="Quote"/>
        <w:rPr>
          <w:rFonts w:ascii="Times New Roman" w:hAnsi="Times New Roman" w:cs="Times New Roman"/>
          <w:color w:val="auto"/>
          <w:szCs w:val="24"/>
          <w:lang w:eastAsia="en-GB"/>
        </w:rPr>
      </w:pPr>
      <w:r w:rsidRPr="00635F3C">
        <w:rPr>
          <w:lang w:eastAsia="en-GB"/>
        </w:rPr>
        <w:t xml:space="preserve">"... the whole basis of the decision in </w:t>
      </w:r>
      <w:r w:rsidRPr="006E7BC6">
        <w:rPr>
          <w:u w:val="single"/>
          <w:lang w:eastAsia="en-GB"/>
        </w:rPr>
        <w:t>Turner</w:t>
      </w:r>
      <w:r w:rsidRPr="00635F3C">
        <w:rPr>
          <w:lang w:eastAsia="en-GB"/>
        </w:rPr>
        <w:t xml:space="preserve"> v </w:t>
      </w:r>
      <w:r w:rsidRPr="006E7BC6">
        <w:rPr>
          <w:u w:val="single"/>
          <w:lang w:eastAsia="en-GB"/>
        </w:rPr>
        <w:t>Grovit</w:t>
      </w:r>
      <w:r w:rsidR="008B78A8">
        <w:rPr>
          <w:lang w:eastAsia="en-GB"/>
        </w:rPr>
        <w:t xml:space="preserve"> [is]</w:t>
      </w:r>
      <w:r w:rsidRPr="00635F3C">
        <w:rPr>
          <w:lang w:eastAsia="en-GB"/>
        </w:rPr>
        <w:t xml:space="preserve"> that the court second seised has to defer to the court first seised on the basis of the principle of mutual trust ..." </w:t>
      </w:r>
    </w:p>
    <w:p w14:paraId="5C9F1EF8" w14:textId="58E1411F" w:rsidR="00510870" w:rsidRDefault="00243FDC" w:rsidP="00243FDC">
      <w:r>
        <w:t xml:space="preserve">The same mutual trust basis can also be seen in </w:t>
      </w:r>
      <w:r w:rsidRPr="008A0DD0">
        <w:rPr>
          <w:u w:val="single"/>
        </w:rPr>
        <w:t>The Front Comor</w:t>
      </w:r>
      <w:r>
        <w:t>, where the European Court adopted the views of the Advocate General.</w:t>
      </w:r>
      <w:r>
        <w:rPr>
          <w:rStyle w:val="FootnoteReference"/>
        </w:rPr>
        <w:footnoteReference w:id="49"/>
      </w:r>
      <w:r w:rsidR="00510870">
        <w:t xml:space="preserve"> </w:t>
      </w:r>
      <w:r w:rsidR="00510870" w:rsidRPr="00635F3C">
        <w:t xml:space="preserve">The rationale for the decisions in </w:t>
      </w:r>
      <w:r w:rsidR="00510870" w:rsidRPr="00635F3C">
        <w:rPr>
          <w:u w:val="single"/>
        </w:rPr>
        <w:t>Turner</w:t>
      </w:r>
      <w:r w:rsidR="00510870" w:rsidRPr="00635F3C">
        <w:t xml:space="preserve"> and </w:t>
      </w:r>
      <w:r w:rsidR="00510870" w:rsidRPr="00635F3C">
        <w:rPr>
          <w:u w:val="single"/>
        </w:rPr>
        <w:t>The Front Comor</w:t>
      </w:r>
      <w:r w:rsidR="00510870">
        <w:t xml:space="preserve"> is </w:t>
      </w:r>
      <w:r w:rsidR="00510870" w:rsidRPr="00FE5B49">
        <w:t xml:space="preserve">relevant to </w:t>
      </w:r>
      <w:r w:rsidR="00510870">
        <w:t xml:space="preserve">later </w:t>
      </w:r>
      <w:r w:rsidR="00510870" w:rsidRPr="00FE5B49">
        <w:t xml:space="preserve">discussion </w:t>
      </w:r>
      <w:r w:rsidR="00510870" w:rsidRPr="00FE5B49">
        <w:lastRenderedPageBreak/>
        <w:t>here</w:t>
      </w:r>
      <w:r w:rsidR="00510870">
        <w:t>.</w:t>
      </w:r>
      <w:r w:rsidR="00510870">
        <w:rPr>
          <w:rStyle w:val="FootnoteReference"/>
        </w:rPr>
        <w:footnoteReference w:id="50"/>
      </w:r>
    </w:p>
    <w:p w14:paraId="3CC14321" w14:textId="03066C7F" w:rsidR="00C175C6" w:rsidRDefault="00C175C6" w:rsidP="000B294D">
      <w:pPr>
        <w:rPr>
          <w:rFonts w:eastAsia="Times New Roman"/>
          <w:color w:val="0B0C0C"/>
          <w:szCs w:val="24"/>
          <w:lang w:eastAsia="en-GB"/>
        </w:rPr>
      </w:pPr>
      <w:r>
        <w:t xml:space="preserve">   All of this applies only as long as </w:t>
      </w:r>
      <w:r w:rsidRPr="005C3982">
        <w:rPr>
          <w:u w:val="single"/>
        </w:rPr>
        <w:t>Turner</w:t>
      </w:r>
      <w:r>
        <w:t xml:space="preserve"> v </w:t>
      </w:r>
      <w:r w:rsidRPr="005C3982">
        <w:rPr>
          <w:u w:val="single"/>
        </w:rPr>
        <w:t>Grovit</w:t>
      </w:r>
      <w:r>
        <w:t xml:space="preserve"> and </w:t>
      </w:r>
      <w:r w:rsidRPr="00C175C6">
        <w:rPr>
          <w:u w:val="single"/>
        </w:rPr>
        <w:t>The Front Comor</w:t>
      </w:r>
      <w:r>
        <w:t xml:space="preserve"> remain good law. </w:t>
      </w:r>
      <w:r w:rsidR="000B294D">
        <w:t>With the impending exit of Great Britain and No</w:t>
      </w:r>
      <w:r w:rsidR="008B78A8">
        <w:t>rthern Ireland from the EU, the</w:t>
      </w:r>
      <w:r>
        <w:t xml:space="preserve"> prospects </w:t>
      </w:r>
      <w:r w:rsidR="006E5CF4">
        <w:t xml:space="preserve">of these cases </w:t>
      </w:r>
      <w:r>
        <w:t>are probably bleak</w:t>
      </w:r>
      <w:r w:rsidR="00882A88">
        <w:t>, for long-term influence on English law</w:t>
      </w:r>
      <w:r>
        <w:t>.</w:t>
      </w:r>
      <w:r w:rsidR="008B78A8">
        <w:t xml:space="preserve"> However,</w:t>
      </w:r>
      <w:r w:rsidR="000B294D">
        <w:t xml:space="preserve"> the White Paper on the Great Repeal Bill </w:t>
      </w:r>
      <w:r w:rsidR="0073378B">
        <w:t xml:space="preserve">recommends retention of </w:t>
      </w:r>
      <w:r w:rsidR="000B294D" w:rsidRPr="002906F3">
        <w:t xml:space="preserve">EU-derived </w:t>
      </w:r>
      <w:r w:rsidR="0073378B">
        <w:t xml:space="preserve">case </w:t>
      </w:r>
      <w:r w:rsidR="000B294D" w:rsidRPr="002906F3">
        <w:t>law as it exists on the day we leave the EU</w:t>
      </w:r>
      <w:r w:rsidR="0073378B">
        <w:t>,</w:t>
      </w:r>
      <w:r w:rsidR="000B294D">
        <w:rPr>
          <w:rStyle w:val="FootnoteReference"/>
        </w:rPr>
        <w:footnoteReference w:id="51"/>
      </w:r>
      <w:r w:rsidR="000B294D">
        <w:t xml:space="preserve"> </w:t>
      </w:r>
      <w:r w:rsidR="0073378B">
        <w:t>proposing that "</w:t>
      </w:r>
      <w:r w:rsidR="000B294D" w:rsidRPr="004B6C2E">
        <w:rPr>
          <w:rFonts w:eastAsia="Times New Roman"/>
          <w:color w:val="0B0C0C"/>
          <w:szCs w:val="24"/>
          <w:lang w:eastAsia="en-GB"/>
        </w:rPr>
        <w:t xml:space="preserve">historic CJEU case law be given the same binding, or precedent, status in our courts as decisions of our own </w:t>
      </w:r>
      <w:r w:rsidR="000B294D" w:rsidRPr="004B6C2E">
        <w:rPr>
          <w:rFonts w:eastAsia="Times New Roman"/>
          <w:color w:val="0B0C0C"/>
          <w:szCs w:val="24"/>
          <w:lang w:eastAsia="en-GB"/>
        </w:rPr>
        <w:lastRenderedPageBreak/>
        <w:t>Supreme Court</w:t>
      </w:r>
      <w:r w:rsidR="000B294D">
        <w:rPr>
          <w:rFonts w:eastAsia="Times New Roman"/>
          <w:color w:val="0B0C0C"/>
          <w:szCs w:val="24"/>
          <w:lang w:eastAsia="en-GB"/>
        </w:rPr>
        <w:t>"</w:t>
      </w:r>
      <w:r w:rsidR="000B294D" w:rsidRPr="004B6C2E">
        <w:rPr>
          <w:rFonts w:eastAsia="Times New Roman"/>
          <w:color w:val="0B0C0C"/>
          <w:szCs w:val="24"/>
          <w:lang w:eastAsia="en-GB"/>
        </w:rPr>
        <w:t>.</w:t>
      </w:r>
      <w:r w:rsidR="000B294D">
        <w:rPr>
          <w:rStyle w:val="FootnoteReference"/>
          <w:rFonts w:eastAsia="Times New Roman"/>
          <w:color w:val="0B0C0C"/>
          <w:szCs w:val="24"/>
          <w:lang w:eastAsia="en-GB"/>
        </w:rPr>
        <w:footnoteReference w:id="52"/>
      </w:r>
      <w:r w:rsidR="000B294D">
        <w:rPr>
          <w:rFonts w:eastAsia="Times New Roman"/>
          <w:color w:val="0B0C0C"/>
          <w:szCs w:val="24"/>
          <w:lang w:eastAsia="en-GB"/>
        </w:rPr>
        <w:t xml:space="preserve"> </w:t>
      </w:r>
      <w:r w:rsidR="00B346C2">
        <w:rPr>
          <w:rFonts w:eastAsia="Times New Roman"/>
          <w:color w:val="0B0C0C"/>
          <w:szCs w:val="24"/>
          <w:lang w:eastAsia="en-GB"/>
        </w:rPr>
        <w:t xml:space="preserve">These recommendations have been adopted in the </w:t>
      </w:r>
      <w:r w:rsidR="000157B0">
        <w:t>European Union (Withdrawal) Bill</w:t>
      </w:r>
      <w:r w:rsidR="000157B0">
        <w:rPr>
          <w:rFonts w:eastAsia="Times New Roman"/>
          <w:color w:val="0B0C0C"/>
          <w:szCs w:val="24"/>
          <w:lang w:eastAsia="en-GB"/>
        </w:rPr>
        <w:t xml:space="preserve"> 2017.</w:t>
      </w:r>
      <w:r w:rsidR="000157B0">
        <w:rPr>
          <w:rStyle w:val="FootnoteReference"/>
          <w:rFonts w:eastAsia="Times New Roman"/>
          <w:color w:val="0B0C0C"/>
          <w:szCs w:val="24"/>
          <w:lang w:eastAsia="en-GB"/>
        </w:rPr>
        <w:footnoteReference w:id="53"/>
      </w:r>
      <w:r w:rsidR="000157B0">
        <w:rPr>
          <w:rFonts w:eastAsia="Times New Roman"/>
          <w:color w:val="0B0C0C"/>
          <w:szCs w:val="24"/>
          <w:lang w:eastAsia="en-GB"/>
        </w:rPr>
        <w:t xml:space="preserve"> </w:t>
      </w:r>
      <w:r w:rsidR="000B294D">
        <w:rPr>
          <w:rFonts w:eastAsia="Times New Roman"/>
          <w:color w:val="0B0C0C"/>
          <w:szCs w:val="24"/>
          <w:lang w:eastAsia="en-GB"/>
        </w:rPr>
        <w:t xml:space="preserve">The consequences of </w:t>
      </w:r>
      <w:r w:rsidR="005C3982" w:rsidRPr="005C3982">
        <w:rPr>
          <w:u w:val="single"/>
        </w:rPr>
        <w:t>Turner</w:t>
      </w:r>
      <w:r w:rsidR="005C3982">
        <w:t xml:space="preserve"> v </w:t>
      </w:r>
      <w:r w:rsidR="005C3982" w:rsidRPr="005C3982">
        <w:rPr>
          <w:u w:val="single"/>
        </w:rPr>
        <w:t>Grovit</w:t>
      </w:r>
      <w:r w:rsidR="005C3982">
        <w:t xml:space="preserve"> and </w:t>
      </w:r>
      <w:r w:rsidR="000B294D" w:rsidRPr="002906F3">
        <w:rPr>
          <w:rFonts w:eastAsia="Times New Roman"/>
          <w:color w:val="0B0C0C"/>
          <w:szCs w:val="24"/>
          <w:u w:val="single"/>
          <w:lang w:eastAsia="en-GB"/>
        </w:rPr>
        <w:t>The Front Comor</w:t>
      </w:r>
      <w:r w:rsidR="000B294D">
        <w:rPr>
          <w:rFonts w:eastAsia="Times New Roman"/>
          <w:color w:val="0B0C0C"/>
          <w:szCs w:val="24"/>
          <w:lang w:eastAsia="en-GB"/>
        </w:rPr>
        <w:t xml:space="preserve"> will therefore</w:t>
      </w:r>
      <w:r w:rsidR="005C3982">
        <w:rPr>
          <w:rFonts w:eastAsia="Times New Roman"/>
          <w:color w:val="0B0C0C"/>
          <w:szCs w:val="24"/>
          <w:lang w:eastAsia="en-GB"/>
        </w:rPr>
        <w:t xml:space="preserve"> persist</w:t>
      </w:r>
      <w:r w:rsidR="000B294D">
        <w:rPr>
          <w:rFonts w:eastAsia="Times New Roman"/>
          <w:color w:val="0B0C0C"/>
          <w:szCs w:val="24"/>
          <w:lang w:eastAsia="en-GB"/>
        </w:rPr>
        <w:t>, unless an</w:t>
      </w:r>
      <w:r w:rsidR="005B0C22">
        <w:rPr>
          <w:rFonts w:eastAsia="Times New Roman"/>
          <w:color w:val="0B0C0C"/>
          <w:szCs w:val="24"/>
          <w:lang w:eastAsia="en-GB"/>
        </w:rPr>
        <w:t>d until the</w:t>
      </w:r>
      <w:r>
        <w:rPr>
          <w:rFonts w:eastAsia="Times New Roman"/>
          <w:color w:val="0B0C0C"/>
          <w:szCs w:val="24"/>
          <w:lang w:eastAsia="en-GB"/>
        </w:rPr>
        <w:t xml:space="preserve"> Supreme Court overrules </w:t>
      </w:r>
      <w:r w:rsidR="000B294D">
        <w:rPr>
          <w:rFonts w:eastAsia="Times New Roman"/>
          <w:color w:val="0B0C0C"/>
          <w:szCs w:val="24"/>
          <w:lang w:eastAsia="en-GB"/>
        </w:rPr>
        <w:t>t</w:t>
      </w:r>
      <w:r>
        <w:rPr>
          <w:rFonts w:eastAsia="Times New Roman"/>
          <w:color w:val="0B0C0C"/>
          <w:szCs w:val="24"/>
          <w:lang w:eastAsia="en-GB"/>
        </w:rPr>
        <w:t>hem, or their</w:t>
      </w:r>
      <w:r w:rsidR="000B294D">
        <w:rPr>
          <w:rFonts w:eastAsia="Times New Roman"/>
          <w:color w:val="0B0C0C"/>
          <w:szCs w:val="24"/>
          <w:lang w:eastAsia="en-GB"/>
        </w:rPr>
        <w:t xml:space="preserve"> effects are reversed by legislation.</w:t>
      </w:r>
      <w:r w:rsidR="001E5EA8">
        <w:rPr>
          <w:rFonts w:eastAsia="Times New Roman"/>
          <w:color w:val="0B0C0C"/>
          <w:szCs w:val="24"/>
          <w:lang w:eastAsia="en-GB"/>
        </w:rPr>
        <w:t xml:space="preserve"> </w:t>
      </w:r>
    </w:p>
    <w:p w14:paraId="52682298" w14:textId="54BD66DE" w:rsidR="000B294D" w:rsidRDefault="00C175C6" w:rsidP="000B294D">
      <w:r>
        <w:rPr>
          <w:rFonts w:eastAsia="Times New Roman"/>
          <w:color w:val="0B0C0C"/>
          <w:szCs w:val="24"/>
          <w:lang w:eastAsia="en-GB"/>
        </w:rPr>
        <w:t xml:space="preserve">   </w:t>
      </w:r>
      <w:r w:rsidR="001E5EA8">
        <w:t xml:space="preserve">There is a quite separate argument that </w:t>
      </w:r>
      <w:r w:rsidR="001E5EA8" w:rsidRPr="001E5EA8">
        <w:rPr>
          <w:u w:val="single"/>
        </w:rPr>
        <w:t>The Front Comor</w:t>
      </w:r>
      <w:r w:rsidR="001E5EA8">
        <w:t xml:space="preserve"> </w:t>
      </w:r>
      <w:r>
        <w:t xml:space="preserve">does </w:t>
      </w:r>
      <w:r w:rsidR="001E5EA8">
        <w:t xml:space="preserve">not survive </w:t>
      </w:r>
      <w:r w:rsidRPr="002B5B51">
        <w:t>Brus</w:t>
      </w:r>
      <w:r>
        <w:t>sels Regulation Recast</w:t>
      </w:r>
      <w:r w:rsidR="001E5EA8">
        <w:t>,</w:t>
      </w:r>
      <w:r w:rsidR="001E5EA8">
        <w:rPr>
          <w:rStyle w:val="FootnoteReference"/>
        </w:rPr>
        <w:footnoteReference w:id="54"/>
      </w:r>
      <w:r w:rsidR="001E5EA8">
        <w:t xml:space="preserve"> or even that it is wrong.</w:t>
      </w:r>
      <w:r w:rsidR="001E5EA8">
        <w:rPr>
          <w:rStyle w:val="FootnoteReference"/>
          <w:rFonts w:eastAsia="Times New Roman"/>
          <w:color w:val="0B0C0C"/>
          <w:szCs w:val="24"/>
          <w:lang w:eastAsia="en-GB"/>
        </w:rPr>
        <w:footnoteReference w:id="55"/>
      </w:r>
      <w:r w:rsidR="001E5EA8">
        <w:t xml:space="preserve"> Neither of these proposi</w:t>
      </w:r>
      <w:r w:rsidR="0073378B">
        <w:t xml:space="preserve">tions is clear beyond </w:t>
      </w:r>
      <w:r w:rsidR="0073378B">
        <w:lastRenderedPageBreak/>
        <w:t>doubt, but</w:t>
      </w:r>
      <w:r w:rsidR="001E5EA8">
        <w:t xml:space="preserve"> even if </w:t>
      </w:r>
      <w:r w:rsidR="001E5EA8" w:rsidRPr="001E5EA8">
        <w:rPr>
          <w:u w:val="single"/>
        </w:rPr>
        <w:t>The Front Comor</w:t>
      </w:r>
      <w:r w:rsidR="001E5EA8">
        <w:t xml:space="preserve"> is no longer law, there are other reasons why damages may be sought, rather than relying solely on the equitable remedies.</w:t>
      </w:r>
      <w:r w:rsidR="001E5EA8">
        <w:rPr>
          <w:rStyle w:val="FootnoteReference"/>
        </w:rPr>
        <w:footnoteReference w:id="56"/>
      </w:r>
    </w:p>
    <w:p w14:paraId="34C9D134" w14:textId="3F12263B" w:rsidR="000B294D" w:rsidRDefault="00A40F96" w:rsidP="00FB355D">
      <w:pPr>
        <w:pStyle w:val="Heading1"/>
      </w:pPr>
      <w:r>
        <w:t>Other remedies</w:t>
      </w:r>
    </w:p>
    <w:p w14:paraId="6026186B" w14:textId="7DF2500A" w:rsidR="008379BC" w:rsidRDefault="008D2983" w:rsidP="009861A1">
      <w:pPr>
        <w:rPr>
          <w:lang w:eastAsia="en-GB"/>
        </w:rPr>
      </w:pPr>
      <w:r>
        <w:rPr>
          <w:lang w:eastAsia="en-GB"/>
        </w:rPr>
        <w:t>The European Court's decision did not, directly at any rate, affect any remedies other than the anti-suit injunction</w:t>
      </w:r>
      <w:r w:rsidR="009861A1">
        <w:rPr>
          <w:lang w:eastAsia="en-GB"/>
        </w:rPr>
        <w:t xml:space="preserve">. </w:t>
      </w:r>
      <w:r w:rsidR="00B73DDD">
        <w:rPr>
          <w:lang w:eastAsia="en-GB"/>
        </w:rPr>
        <w:t>That being so,</w:t>
      </w:r>
      <w:r w:rsidR="009861A1">
        <w:rPr>
          <w:lang w:eastAsia="en-GB"/>
        </w:rPr>
        <w:t xml:space="preserve"> London arbitration </w:t>
      </w:r>
      <w:r w:rsidR="00236D9D">
        <w:rPr>
          <w:lang w:eastAsia="en-GB"/>
        </w:rPr>
        <w:t>proceedings</w:t>
      </w:r>
      <w:r w:rsidR="00B73DDD">
        <w:rPr>
          <w:lang w:eastAsia="en-GB"/>
        </w:rPr>
        <w:t>,</w:t>
      </w:r>
      <w:r w:rsidR="00236D9D">
        <w:rPr>
          <w:lang w:eastAsia="en-GB"/>
        </w:rPr>
        <w:t xml:space="preserve"> which had </w:t>
      </w:r>
      <w:r w:rsidR="00B73DDD">
        <w:rPr>
          <w:lang w:eastAsia="en-GB"/>
        </w:rPr>
        <w:t xml:space="preserve">already </w:t>
      </w:r>
      <w:r w:rsidR="00236D9D">
        <w:rPr>
          <w:lang w:eastAsia="en-GB"/>
        </w:rPr>
        <w:t xml:space="preserve">been </w:t>
      </w:r>
      <w:r w:rsidR="009861A1">
        <w:rPr>
          <w:lang w:eastAsia="en-GB"/>
        </w:rPr>
        <w:t>instigated by the owners</w:t>
      </w:r>
      <w:r w:rsidR="001D78C7">
        <w:rPr>
          <w:lang w:eastAsia="en-GB"/>
        </w:rPr>
        <w:t>,</w:t>
      </w:r>
      <w:r w:rsidR="009861A1">
        <w:rPr>
          <w:lang w:eastAsia="en-GB"/>
        </w:rPr>
        <w:t xml:space="preserve"> continued</w:t>
      </w:r>
      <w:r>
        <w:rPr>
          <w:lang w:eastAsia="en-GB"/>
        </w:rPr>
        <w:t xml:space="preserve">, </w:t>
      </w:r>
      <w:r w:rsidR="00B73DDD">
        <w:rPr>
          <w:lang w:eastAsia="en-GB"/>
        </w:rPr>
        <w:t>culminating in the</w:t>
      </w:r>
      <w:r w:rsidR="009861A1">
        <w:rPr>
          <w:lang w:eastAsia="en-GB"/>
        </w:rPr>
        <w:t xml:space="preserve"> declaration of non-liability</w:t>
      </w:r>
      <w:r w:rsidR="00B73DDD">
        <w:rPr>
          <w:lang w:eastAsia="en-GB"/>
        </w:rPr>
        <w:t xml:space="preserve"> which they sought</w:t>
      </w:r>
      <w:r w:rsidR="009861A1">
        <w:rPr>
          <w:lang w:eastAsia="en-GB"/>
        </w:rPr>
        <w:t>,</w:t>
      </w:r>
      <w:r w:rsidR="00C175C6">
        <w:rPr>
          <w:rStyle w:val="FootnoteReference"/>
          <w:lang w:eastAsia="en-GB"/>
        </w:rPr>
        <w:footnoteReference w:id="57"/>
      </w:r>
      <w:r w:rsidR="009861A1">
        <w:rPr>
          <w:lang w:eastAsia="en-GB"/>
        </w:rPr>
        <w:t xml:space="preserve"> </w:t>
      </w:r>
      <w:r w:rsidR="009861A1">
        <w:rPr>
          <w:lang w:eastAsia="en-GB"/>
        </w:rPr>
        <w:lastRenderedPageBreak/>
        <w:t xml:space="preserve">and a fresh tribunal was appointed to determine </w:t>
      </w:r>
      <w:r w:rsidR="00104355">
        <w:rPr>
          <w:lang w:eastAsia="en-GB"/>
        </w:rPr>
        <w:t>whether,</w:t>
      </w:r>
      <w:r w:rsidR="00B73DDD">
        <w:rPr>
          <w:rStyle w:val="FootnoteReference"/>
          <w:lang w:eastAsia="en-GB"/>
        </w:rPr>
        <w:footnoteReference w:id="58"/>
      </w:r>
      <w:r w:rsidR="00104355">
        <w:rPr>
          <w:lang w:eastAsia="en-GB"/>
        </w:rPr>
        <w:t xml:space="preserve"> in the light of the European Court</w:t>
      </w:r>
      <w:r w:rsidR="009861A1">
        <w:rPr>
          <w:lang w:eastAsia="en-GB"/>
        </w:rPr>
        <w:t xml:space="preserve"> decision, it had jurisdiction to award damages against the insurers, for breach of the arbitration agreement, </w:t>
      </w:r>
      <w:r w:rsidR="009861A1" w:rsidRPr="00DE726E">
        <w:t>in respect of the legal fees and expenses reasonably incurred in connection with the Italian proceedings</w:t>
      </w:r>
      <w:r w:rsidR="00593FC3">
        <w:t xml:space="preserve">. </w:t>
      </w:r>
      <w:r w:rsidR="00391592" w:rsidRPr="00391592">
        <w:t>Another issue was whether the insurers</w:t>
      </w:r>
      <w:r w:rsidR="00391592">
        <w:t xml:space="preserve"> were</w:t>
      </w:r>
      <w:r w:rsidR="00391592" w:rsidRPr="00391592">
        <w:t xml:space="preserve"> liable to indemnify the owners</w:t>
      </w:r>
      <w:r w:rsidR="00391592">
        <w:t xml:space="preserve">, if </w:t>
      </w:r>
      <w:r w:rsidR="00391592" w:rsidRPr="00391592">
        <w:t>an award made against</w:t>
      </w:r>
      <w:r w:rsidR="00391592">
        <w:t xml:space="preserve"> them</w:t>
      </w:r>
      <w:r w:rsidR="00391592" w:rsidRPr="00391592">
        <w:t xml:space="preserve"> in the Italian proceedings </w:t>
      </w:r>
      <w:r w:rsidR="00391592">
        <w:t xml:space="preserve">resulted in greater </w:t>
      </w:r>
      <w:r w:rsidR="00391592" w:rsidRPr="00391592">
        <w:t xml:space="preserve">liability </w:t>
      </w:r>
      <w:r w:rsidR="00391592">
        <w:t>than would have been e</w:t>
      </w:r>
      <w:r w:rsidR="00391592" w:rsidRPr="00391592">
        <w:t>stablished in the arbitration</w:t>
      </w:r>
      <w:r w:rsidR="00391592">
        <w:t>.</w:t>
      </w:r>
      <w:r w:rsidR="00F06763" w:rsidRPr="00F06763">
        <w:t xml:space="preserve"> The arbitral tribunal took the view that it lacked the jurisdiction to award </w:t>
      </w:r>
      <w:r w:rsidR="00F06763">
        <w:t xml:space="preserve">either the </w:t>
      </w:r>
      <w:r w:rsidR="00F06763" w:rsidRPr="00F06763">
        <w:t>damages</w:t>
      </w:r>
      <w:r w:rsidR="00F06763">
        <w:t xml:space="preserve"> or the indemnity sought</w:t>
      </w:r>
      <w:r w:rsidR="00F06763" w:rsidRPr="00F06763">
        <w:t xml:space="preserve">, and this was challenged on a s. 69 appeal </w:t>
      </w:r>
      <w:r w:rsidR="0073378B" w:rsidRPr="00F06763">
        <w:t>(</w:t>
      </w:r>
      <w:r w:rsidR="0073378B">
        <w:t xml:space="preserve">for </w:t>
      </w:r>
      <w:r w:rsidR="0073378B" w:rsidRPr="00F06763">
        <w:t xml:space="preserve">error of law) </w:t>
      </w:r>
      <w:r w:rsidR="00F06763" w:rsidRPr="00F06763">
        <w:t xml:space="preserve">which came before </w:t>
      </w:r>
      <w:r w:rsidR="00F06763">
        <w:t>Flaux J.</w:t>
      </w:r>
      <w:r w:rsidR="00F06763" w:rsidRPr="00F06763">
        <w:t xml:space="preserve"> The issue before him was</w:t>
      </w:r>
      <w:r w:rsidR="008379BC">
        <w:rPr>
          <w:lang w:eastAsia="en-GB"/>
        </w:rPr>
        <w:t>:</w:t>
      </w:r>
      <w:r w:rsidR="008379BC">
        <w:rPr>
          <w:rStyle w:val="FootnoteReference"/>
          <w:lang w:eastAsia="en-GB"/>
        </w:rPr>
        <w:footnoteReference w:id="59"/>
      </w:r>
    </w:p>
    <w:p w14:paraId="012CC644" w14:textId="77777777" w:rsidR="008379BC" w:rsidRPr="00AD7E95" w:rsidRDefault="008379BC" w:rsidP="008379BC">
      <w:pPr>
        <w:pStyle w:val="todelete"/>
        <w:ind w:left="720"/>
        <w:rPr>
          <w:szCs w:val="24"/>
        </w:rPr>
      </w:pPr>
      <w:r w:rsidRPr="00AD7E95">
        <w:rPr>
          <w:szCs w:val="24"/>
        </w:rPr>
        <w:lastRenderedPageBreak/>
        <w:t>“whether the arbitral tribunal is deprived of jurisdiction to award equitable damages for breach of an obligation to arbitrate by reason of EU law?”</w:t>
      </w:r>
    </w:p>
    <w:p w14:paraId="45E1121F" w14:textId="3EB5AB25" w:rsidR="008379BC" w:rsidRDefault="008379BC" w:rsidP="009861A1">
      <w:pPr>
        <w:rPr>
          <w:szCs w:val="24"/>
        </w:rPr>
      </w:pPr>
      <w:r>
        <w:rPr>
          <w:lang w:eastAsia="en-GB"/>
        </w:rPr>
        <w:t xml:space="preserve">This differed from </w:t>
      </w:r>
      <w:r>
        <w:rPr>
          <w:szCs w:val="24"/>
        </w:rPr>
        <w:t>t</w:t>
      </w:r>
      <w:r w:rsidRPr="00AD7E95">
        <w:rPr>
          <w:szCs w:val="24"/>
        </w:rPr>
        <w:t xml:space="preserve">he issue of law on which the appellant was </w:t>
      </w:r>
      <w:r w:rsidR="007E1253">
        <w:rPr>
          <w:szCs w:val="24"/>
        </w:rPr>
        <w:t xml:space="preserve">originally </w:t>
      </w:r>
      <w:r w:rsidRPr="00AD7E95">
        <w:rPr>
          <w:szCs w:val="24"/>
        </w:rPr>
        <w:t>given permission to appeal</w:t>
      </w:r>
      <w:r>
        <w:rPr>
          <w:szCs w:val="24"/>
        </w:rPr>
        <w:t>, in the addition of the word "equitable"</w:t>
      </w:r>
      <w:r w:rsidR="00F06763">
        <w:rPr>
          <w:szCs w:val="24"/>
        </w:rPr>
        <w:t>, and substitu</w:t>
      </w:r>
      <w:r w:rsidR="00B73DDD">
        <w:rPr>
          <w:szCs w:val="24"/>
        </w:rPr>
        <w:t>tion of "</w:t>
      </w:r>
      <w:r w:rsidR="00B73DDD" w:rsidRPr="00AD7E95">
        <w:rPr>
          <w:szCs w:val="24"/>
        </w:rPr>
        <w:t>breach of an obligation to arbitrate</w:t>
      </w:r>
      <w:r w:rsidR="00B73DDD">
        <w:rPr>
          <w:szCs w:val="24"/>
        </w:rPr>
        <w:t>" for "</w:t>
      </w:r>
      <w:r w:rsidR="00B73DDD" w:rsidRPr="00AD7E95">
        <w:rPr>
          <w:szCs w:val="24"/>
        </w:rPr>
        <w:t>breach of an arbitration agreement</w:t>
      </w:r>
      <w:r w:rsidR="00B73DDD">
        <w:rPr>
          <w:szCs w:val="24"/>
        </w:rPr>
        <w:t>"</w:t>
      </w:r>
      <w:r>
        <w:rPr>
          <w:szCs w:val="24"/>
        </w:rPr>
        <w:t>. There is no explanation of th</w:t>
      </w:r>
      <w:r w:rsidR="007E1253">
        <w:rPr>
          <w:szCs w:val="24"/>
        </w:rPr>
        <w:t>e</w:t>
      </w:r>
      <w:r>
        <w:rPr>
          <w:szCs w:val="24"/>
        </w:rPr>
        <w:t>s</w:t>
      </w:r>
      <w:r w:rsidR="007E1253">
        <w:rPr>
          <w:szCs w:val="24"/>
        </w:rPr>
        <w:t>e</w:t>
      </w:r>
      <w:r>
        <w:rPr>
          <w:szCs w:val="24"/>
        </w:rPr>
        <w:t xml:space="preserve"> change</w:t>
      </w:r>
      <w:r w:rsidR="007E1253">
        <w:rPr>
          <w:szCs w:val="24"/>
        </w:rPr>
        <w:t>s</w:t>
      </w:r>
      <w:r>
        <w:rPr>
          <w:szCs w:val="24"/>
        </w:rPr>
        <w:t xml:space="preserve"> in the report of the case, other than a brief reference to the </w:t>
      </w:r>
      <w:r w:rsidRPr="008379BC">
        <w:rPr>
          <w:szCs w:val="24"/>
        </w:rPr>
        <w:t>"</w:t>
      </w:r>
      <w:r>
        <w:rPr>
          <w:szCs w:val="24"/>
        </w:rPr>
        <w:t>statutory power under s.</w:t>
      </w:r>
      <w:r w:rsidRPr="008379BC">
        <w:rPr>
          <w:szCs w:val="24"/>
        </w:rPr>
        <w:t xml:space="preserve"> 50 of the Senior Courts Act 1981 to award equitable damages"</w:t>
      </w:r>
      <w:r w:rsidR="00EA00DB">
        <w:rPr>
          <w:szCs w:val="24"/>
        </w:rPr>
        <w:t>.</w:t>
      </w:r>
      <w:r w:rsidRPr="008379BC">
        <w:rPr>
          <w:rStyle w:val="FootnoteReference"/>
          <w:szCs w:val="24"/>
        </w:rPr>
        <w:footnoteReference w:id="60"/>
      </w:r>
      <w:r w:rsidR="00EA00DB">
        <w:rPr>
          <w:szCs w:val="24"/>
        </w:rPr>
        <w:t xml:space="preserve"> </w:t>
      </w:r>
      <w:r w:rsidR="00F002A2">
        <w:rPr>
          <w:szCs w:val="24"/>
        </w:rPr>
        <w:t>This provision,</w:t>
      </w:r>
      <w:r w:rsidR="00EA00DB">
        <w:rPr>
          <w:szCs w:val="24"/>
        </w:rPr>
        <w:t xml:space="preserve"> head</w:t>
      </w:r>
      <w:r w:rsidR="002A18AA">
        <w:rPr>
          <w:szCs w:val="24"/>
        </w:rPr>
        <w:t>ed "</w:t>
      </w:r>
      <w:r w:rsidR="002A18AA" w:rsidRPr="009034CC">
        <w:rPr>
          <w:szCs w:val="24"/>
          <w:lang w:eastAsia="en-GB"/>
        </w:rPr>
        <w:t>Power to award damages as well as, or in substitution for, injunction or specific performance</w:t>
      </w:r>
      <w:r w:rsidR="002A18AA">
        <w:rPr>
          <w:szCs w:val="24"/>
          <w:lang w:eastAsia="en-GB"/>
        </w:rPr>
        <w:t>"</w:t>
      </w:r>
      <w:r w:rsidR="00EA00DB">
        <w:rPr>
          <w:szCs w:val="24"/>
          <w:lang w:eastAsia="en-GB"/>
        </w:rPr>
        <w:t xml:space="preserve">, </w:t>
      </w:r>
      <w:r w:rsidR="005C399E">
        <w:rPr>
          <w:szCs w:val="24"/>
          <w:lang w:eastAsia="en-GB"/>
        </w:rPr>
        <w:t>had</w:t>
      </w:r>
      <w:r w:rsidR="00F002A2">
        <w:rPr>
          <w:szCs w:val="24"/>
          <w:lang w:eastAsia="en-GB"/>
        </w:rPr>
        <w:t xml:space="preserve"> its origins in </w:t>
      </w:r>
      <w:r w:rsidR="00F002A2" w:rsidRPr="00280008">
        <w:rPr>
          <w:rFonts w:eastAsia="Arial"/>
        </w:rPr>
        <w:t>Chancery Amendment Act 1858</w:t>
      </w:r>
      <w:r w:rsidR="00F002A2">
        <w:rPr>
          <w:rFonts w:eastAsia="Arial"/>
        </w:rPr>
        <w:t xml:space="preserve">, often referred to as </w:t>
      </w:r>
      <w:r w:rsidR="00F002A2" w:rsidRPr="00280008">
        <w:rPr>
          <w:rFonts w:eastAsia="Arial"/>
        </w:rPr>
        <w:t>“</w:t>
      </w:r>
      <w:r w:rsidR="00F002A2">
        <w:rPr>
          <w:rFonts w:eastAsia="Arial"/>
        </w:rPr>
        <w:t>Lord Cairns's Act”,</w:t>
      </w:r>
      <w:r w:rsidR="00F002A2" w:rsidRPr="00280008">
        <w:rPr>
          <w:rFonts w:eastAsia="Arial"/>
        </w:rPr>
        <w:t xml:space="preserve"> which gave the Court of Chancery the power to award damages.</w:t>
      </w:r>
      <w:r w:rsidR="002A18AA">
        <w:rPr>
          <w:szCs w:val="24"/>
          <w:lang w:eastAsia="en-GB"/>
        </w:rPr>
        <w:t xml:space="preserve"> </w:t>
      </w:r>
    </w:p>
    <w:p w14:paraId="1E44F952" w14:textId="1F653D05" w:rsidR="00631716" w:rsidRDefault="00F002A2" w:rsidP="009861A1">
      <w:pPr>
        <w:rPr>
          <w:rFonts w:eastAsia="Arial"/>
        </w:rPr>
      </w:pPr>
      <w:r w:rsidRPr="00DC0988">
        <w:t xml:space="preserve">   </w:t>
      </w:r>
      <w:r w:rsidR="003C39D0">
        <w:t>E</w:t>
      </w:r>
      <w:r w:rsidR="00DC0988" w:rsidRPr="00DC0988">
        <w:t xml:space="preserve">quitable damages would </w:t>
      </w:r>
      <w:r w:rsidR="003C39D0">
        <w:t>indeed seem</w:t>
      </w:r>
      <w:r w:rsidR="005C399E">
        <w:t>, however,</w:t>
      </w:r>
      <w:r w:rsidR="003C39D0">
        <w:t xml:space="preserve"> to </w:t>
      </w:r>
      <w:r w:rsidR="00DC0988" w:rsidRPr="00DC0988">
        <w:t xml:space="preserve">have </w:t>
      </w:r>
      <w:r w:rsidR="00DC0988" w:rsidRPr="00DC0988">
        <w:lastRenderedPageBreak/>
        <w:t xml:space="preserve">been </w:t>
      </w:r>
      <w:r w:rsidR="003C39D0">
        <w:t xml:space="preserve">more </w:t>
      </w:r>
      <w:r w:rsidR="00DC0988" w:rsidRPr="00DC0988">
        <w:t xml:space="preserve">appropriate in </w:t>
      </w:r>
      <w:r w:rsidR="00DC0988" w:rsidRPr="00DC0988">
        <w:rPr>
          <w:u w:val="single"/>
        </w:rPr>
        <w:t>The Front Comor</w:t>
      </w:r>
      <w:r w:rsidR="003C39D0">
        <w:t>. T</w:t>
      </w:r>
      <w:r w:rsidR="00D57B54" w:rsidRPr="00DC0988">
        <w:t>he</w:t>
      </w:r>
      <w:r w:rsidR="00D57B54">
        <w:rPr>
          <w:szCs w:val="24"/>
          <w:lang w:eastAsia="en-GB"/>
        </w:rPr>
        <w:t xml:space="preserve"> arbitral tribunal's award occurred before </w:t>
      </w:r>
      <w:r w:rsidR="00D57B54" w:rsidRPr="00AD7E95">
        <w:rPr>
          <w:szCs w:val="24"/>
        </w:rPr>
        <w:t xml:space="preserve">the </w:t>
      </w:r>
      <w:r w:rsidR="00D57B54">
        <w:rPr>
          <w:szCs w:val="24"/>
        </w:rPr>
        <w:t xml:space="preserve">conclusion of the proceedings before the </w:t>
      </w:r>
      <w:r w:rsidR="00D57B54" w:rsidRPr="00AD7E95">
        <w:rPr>
          <w:szCs w:val="24"/>
        </w:rPr>
        <w:t>Tribunale di Siracusa</w:t>
      </w:r>
      <w:r w:rsidR="00387C93">
        <w:rPr>
          <w:szCs w:val="24"/>
        </w:rPr>
        <w:t xml:space="preserve"> (indeed, </w:t>
      </w:r>
      <w:r w:rsidR="00550E20">
        <w:rPr>
          <w:szCs w:val="24"/>
        </w:rPr>
        <w:t>that Sicilian court</w:t>
      </w:r>
      <w:r w:rsidR="00387C93">
        <w:rPr>
          <w:szCs w:val="24"/>
        </w:rPr>
        <w:t xml:space="preserve"> had yet to determine its own jurisdiction)</w:t>
      </w:r>
      <w:r w:rsidR="0050576A">
        <w:rPr>
          <w:szCs w:val="24"/>
        </w:rPr>
        <w:t>.</w:t>
      </w:r>
      <w:r w:rsidR="00D57B54">
        <w:rPr>
          <w:rStyle w:val="FootnoteReference"/>
          <w:szCs w:val="24"/>
        </w:rPr>
        <w:footnoteReference w:id="61"/>
      </w:r>
      <w:r w:rsidR="00F32896">
        <w:rPr>
          <w:szCs w:val="24"/>
        </w:rPr>
        <w:t xml:space="preserve"> </w:t>
      </w:r>
      <w:r w:rsidR="0050576A">
        <w:rPr>
          <w:szCs w:val="24"/>
        </w:rPr>
        <w:t xml:space="preserve">The owners were </w:t>
      </w:r>
      <w:r w:rsidR="00C954C5">
        <w:rPr>
          <w:szCs w:val="24"/>
        </w:rPr>
        <w:t xml:space="preserve">therefore </w:t>
      </w:r>
      <w:r w:rsidR="0050576A">
        <w:rPr>
          <w:szCs w:val="24"/>
        </w:rPr>
        <w:t>concerned to protect themselves against breaches and losse</w:t>
      </w:r>
      <w:r w:rsidR="004D45CB">
        <w:rPr>
          <w:szCs w:val="24"/>
        </w:rPr>
        <w:t>s which had not yet occurred. I</w:t>
      </w:r>
      <w:r w:rsidR="00C954C5">
        <w:rPr>
          <w:szCs w:val="24"/>
        </w:rPr>
        <w:t>n respect of any award</w:t>
      </w:r>
      <w:r w:rsidR="00D57B54">
        <w:rPr>
          <w:szCs w:val="24"/>
        </w:rPr>
        <w:t xml:space="preserve"> there would, as yet, be no common law damages</w:t>
      </w:r>
      <w:r w:rsidR="00AF5C11">
        <w:rPr>
          <w:szCs w:val="24"/>
        </w:rPr>
        <w:t>, nor anything to indemnify</w:t>
      </w:r>
      <w:r w:rsidR="00C954C5">
        <w:rPr>
          <w:szCs w:val="24"/>
        </w:rPr>
        <w:t>, and in respect of</w:t>
      </w:r>
      <w:r w:rsidR="00C954C5" w:rsidRPr="00DE726E">
        <w:t xml:space="preserve"> legal fees and expenses</w:t>
      </w:r>
      <w:r w:rsidR="00F32896">
        <w:rPr>
          <w:szCs w:val="24"/>
        </w:rPr>
        <w:t xml:space="preserve">, much of the expenditure was yet to be incurred. </w:t>
      </w:r>
      <w:r w:rsidR="00D57B54">
        <w:rPr>
          <w:szCs w:val="24"/>
        </w:rPr>
        <w:t xml:space="preserve">However, it has long been accepted that </w:t>
      </w:r>
      <w:r w:rsidR="00AC7C1A">
        <w:rPr>
          <w:szCs w:val="24"/>
        </w:rPr>
        <w:t>equitable damages can "</w:t>
      </w:r>
      <w:r w:rsidR="00AC7C1A" w:rsidRPr="00280008">
        <w:rPr>
          <w:rFonts w:eastAsia="Arial"/>
        </w:rPr>
        <w:t>compensate the plaintiff for future unlawful conduct the commission of which, in the absence of any injunction, t</w:t>
      </w:r>
      <w:r w:rsidR="00004995">
        <w:rPr>
          <w:rFonts w:eastAsia="Arial"/>
        </w:rPr>
        <w:t xml:space="preserve">he court must have contemplated </w:t>
      </w:r>
      <w:r w:rsidR="00AC7C1A" w:rsidRPr="00280008">
        <w:rPr>
          <w:rFonts w:eastAsia="Arial"/>
        </w:rPr>
        <w:t>as likely to occur</w:t>
      </w:r>
      <w:r w:rsidR="00AC7C1A">
        <w:rPr>
          <w:rFonts w:eastAsia="Arial"/>
        </w:rPr>
        <w:t>".</w:t>
      </w:r>
      <w:r w:rsidR="00AC7C1A">
        <w:rPr>
          <w:rStyle w:val="FootnoteReference"/>
          <w:rFonts w:eastAsia="Arial"/>
        </w:rPr>
        <w:footnoteReference w:id="62"/>
      </w:r>
      <w:r w:rsidR="004D67E2">
        <w:rPr>
          <w:rFonts w:eastAsia="Arial"/>
        </w:rPr>
        <w:t xml:space="preserve"> </w:t>
      </w:r>
      <w:r w:rsidR="00FB63FF">
        <w:rPr>
          <w:rFonts w:eastAsia="Arial"/>
        </w:rPr>
        <w:t xml:space="preserve">In a case such as this, </w:t>
      </w:r>
      <w:r w:rsidR="00667F10">
        <w:rPr>
          <w:rFonts w:eastAsia="Arial"/>
        </w:rPr>
        <w:t>e</w:t>
      </w:r>
      <w:r w:rsidR="00AF5C11">
        <w:rPr>
          <w:rFonts w:eastAsia="Arial"/>
        </w:rPr>
        <w:t>quitable damages</w:t>
      </w:r>
      <w:r w:rsidR="004D67E2">
        <w:rPr>
          <w:rFonts w:eastAsia="Arial"/>
        </w:rPr>
        <w:t>, if av</w:t>
      </w:r>
      <w:r w:rsidR="00667F10">
        <w:rPr>
          <w:rFonts w:eastAsia="Arial"/>
        </w:rPr>
        <w:t xml:space="preserve">ailable, </w:t>
      </w:r>
      <w:r w:rsidR="00FB63FF">
        <w:rPr>
          <w:rFonts w:eastAsia="Arial"/>
        </w:rPr>
        <w:t>are more</w:t>
      </w:r>
      <w:r w:rsidR="004D67E2">
        <w:rPr>
          <w:rFonts w:eastAsia="Arial"/>
        </w:rPr>
        <w:t xml:space="preserve"> appropriate</w:t>
      </w:r>
      <w:r w:rsidR="00FB63FF">
        <w:rPr>
          <w:rFonts w:eastAsia="Arial"/>
        </w:rPr>
        <w:t xml:space="preserve"> than those at common </w:t>
      </w:r>
      <w:r w:rsidR="00FB63FF">
        <w:rPr>
          <w:rFonts w:eastAsia="Arial"/>
        </w:rPr>
        <w:lastRenderedPageBreak/>
        <w:t>law</w:t>
      </w:r>
      <w:r w:rsidR="00AF5C11">
        <w:rPr>
          <w:rFonts w:eastAsia="Arial"/>
        </w:rPr>
        <w:t>.</w:t>
      </w:r>
      <w:r w:rsidR="00514FD0">
        <w:rPr>
          <w:rStyle w:val="FootnoteReference"/>
          <w:rFonts w:eastAsia="Arial"/>
        </w:rPr>
        <w:footnoteReference w:id="63"/>
      </w:r>
      <w:r w:rsidR="00AF5C11">
        <w:rPr>
          <w:rFonts w:eastAsia="Arial"/>
        </w:rPr>
        <w:t xml:space="preserve"> </w:t>
      </w:r>
    </w:p>
    <w:p w14:paraId="1D1745B4" w14:textId="06FE24F3" w:rsidR="008A3C33" w:rsidRDefault="00631716" w:rsidP="00794F7F">
      <w:r>
        <w:rPr>
          <w:rFonts w:eastAsia="Arial"/>
        </w:rPr>
        <w:t xml:space="preserve">   </w:t>
      </w:r>
      <w:r w:rsidR="000118D9">
        <w:t>Flaux J must</w:t>
      </w:r>
      <w:r w:rsidRPr="000118D9">
        <w:t xml:space="preserve"> also have had in mind that </w:t>
      </w:r>
      <w:r w:rsidR="006712E5" w:rsidRPr="000118D9">
        <w:t>the respondents</w:t>
      </w:r>
      <w:r w:rsidR="006712E5">
        <w:rPr>
          <w:rFonts w:eastAsia="Arial"/>
        </w:rPr>
        <w:t xml:space="preserve"> in </w:t>
      </w:r>
      <w:r w:rsidR="006712E5" w:rsidRPr="006128E8">
        <w:rPr>
          <w:szCs w:val="24"/>
          <w:u w:val="single"/>
          <w:lang w:eastAsia="en-GB"/>
        </w:rPr>
        <w:t xml:space="preserve">The </w:t>
      </w:r>
      <w:r w:rsidR="006712E5">
        <w:rPr>
          <w:szCs w:val="24"/>
          <w:u w:val="single"/>
          <w:lang w:eastAsia="en-GB"/>
        </w:rPr>
        <w:t>Front Comor</w:t>
      </w:r>
      <w:r w:rsidR="006712E5">
        <w:rPr>
          <w:szCs w:val="24"/>
          <w:lang w:eastAsia="en-GB"/>
        </w:rPr>
        <w:t xml:space="preserve"> were </w:t>
      </w:r>
      <w:r w:rsidR="00C954C5">
        <w:rPr>
          <w:szCs w:val="24"/>
          <w:lang w:eastAsia="en-GB"/>
        </w:rPr>
        <w:t xml:space="preserve">the insurers and </w:t>
      </w:r>
      <w:r w:rsidR="006712E5">
        <w:rPr>
          <w:szCs w:val="24"/>
          <w:lang w:eastAsia="en-GB"/>
        </w:rPr>
        <w:t xml:space="preserve">not the original charterers, </w:t>
      </w:r>
      <w:r w:rsidR="007952A8">
        <w:rPr>
          <w:szCs w:val="24"/>
          <w:lang w:eastAsia="en-GB"/>
        </w:rPr>
        <w:t>and that therefore common law damages for breach of contract might not have been available.</w:t>
      </w:r>
      <w:r w:rsidR="00667F10">
        <w:rPr>
          <w:rStyle w:val="FootnoteReference"/>
        </w:rPr>
        <w:footnoteReference w:id="64"/>
      </w:r>
      <w:r w:rsidR="00D75FD3">
        <w:t xml:space="preserve"> </w:t>
      </w:r>
      <w:r w:rsidR="009D54B4">
        <w:t xml:space="preserve">In </w:t>
      </w:r>
      <w:r w:rsidR="009D54B4" w:rsidRPr="00464724">
        <w:rPr>
          <w:u w:val="single"/>
        </w:rPr>
        <w:t>The Hari Bhum</w:t>
      </w:r>
      <w:r w:rsidR="009D54B4">
        <w:t>, Clarke LJ thought that damages could not be awarded against a third party taking legal action abroad</w:t>
      </w:r>
      <w:r w:rsidR="00464724">
        <w:t xml:space="preserve"> to avoid an arbitration clause</w:t>
      </w:r>
      <w:r w:rsidR="009D54B4">
        <w:t xml:space="preserve">, but that, in principle at least, an injunction </w:t>
      </w:r>
      <w:r w:rsidR="008A3C33">
        <w:t>could,</w:t>
      </w:r>
      <w:r w:rsidR="009D54B4">
        <w:rPr>
          <w:rStyle w:val="FootnoteReference"/>
        </w:rPr>
        <w:footnoteReference w:id="65"/>
      </w:r>
      <w:r w:rsidR="009D54B4">
        <w:t xml:space="preserve"> </w:t>
      </w:r>
      <w:r w:rsidR="008A3C33">
        <w:t xml:space="preserve">and hence, presumably, damages in lieu </w:t>
      </w:r>
      <w:r w:rsidR="008A3C33">
        <w:lastRenderedPageBreak/>
        <w:t xml:space="preserve">of an injunction. </w:t>
      </w:r>
      <w:r w:rsidR="00E109B2">
        <w:t>This would explain both changes to the issue of law to be decided: the appellants were no longer claiming damages for breach of contract (the arbitration agreement), but only</w:t>
      </w:r>
      <w:r w:rsidR="008A3C33">
        <w:t xml:space="preserve"> damages in lieu, in respect</w:t>
      </w:r>
      <w:r w:rsidR="00E109B2">
        <w:t xml:space="preserve"> of an unspecified "</w:t>
      </w:r>
      <w:r w:rsidR="00E109B2" w:rsidRPr="00AD7E95">
        <w:rPr>
          <w:szCs w:val="24"/>
        </w:rPr>
        <w:t>obligation to arbitrate</w:t>
      </w:r>
      <w:r w:rsidR="00E109B2">
        <w:rPr>
          <w:szCs w:val="24"/>
        </w:rPr>
        <w:t xml:space="preserve">". </w:t>
      </w:r>
      <w:r w:rsidR="00551EBD">
        <w:rPr>
          <w:szCs w:val="24"/>
        </w:rPr>
        <w:t xml:space="preserve">However, </w:t>
      </w:r>
      <w:r w:rsidR="005152A9">
        <w:t xml:space="preserve">for a court </w:t>
      </w:r>
      <w:r w:rsidR="00551EBD">
        <w:t xml:space="preserve">(or </w:t>
      </w:r>
      <w:r w:rsidR="0004026E">
        <w:t xml:space="preserve">an arbitral tribunal) </w:t>
      </w:r>
      <w:r w:rsidR="005152A9">
        <w:t xml:space="preserve">to grant an award of </w:t>
      </w:r>
      <w:r w:rsidR="00551EBD">
        <w:t xml:space="preserve">equitable </w:t>
      </w:r>
      <w:r w:rsidR="005152A9">
        <w:t xml:space="preserve">damages </w:t>
      </w:r>
      <w:r w:rsidR="0004026E">
        <w:t xml:space="preserve">in addition to, or </w:t>
      </w:r>
      <w:r w:rsidR="005152A9">
        <w:t xml:space="preserve">in lieu of an injunction, it must </w:t>
      </w:r>
      <w:r w:rsidR="00DC0988">
        <w:t xml:space="preserve">initially </w:t>
      </w:r>
      <w:r w:rsidR="005152A9">
        <w:t xml:space="preserve">have </w:t>
      </w:r>
      <w:r w:rsidR="00DC0988">
        <w:t xml:space="preserve">had the </w:t>
      </w:r>
      <w:r w:rsidR="008A3C33">
        <w:t>jurisdiction to award the</w:t>
      </w:r>
      <w:r w:rsidR="005152A9">
        <w:t xml:space="preserve"> injunction.</w:t>
      </w:r>
      <w:r w:rsidR="005152A9">
        <w:rPr>
          <w:rStyle w:val="FootnoteReference"/>
        </w:rPr>
        <w:footnoteReference w:id="66"/>
      </w:r>
      <w:r w:rsidR="005152A9">
        <w:t xml:space="preserve"> </w:t>
      </w:r>
    </w:p>
    <w:p w14:paraId="307B414F" w14:textId="545AC713" w:rsidR="00701D2E" w:rsidRDefault="008A3C33" w:rsidP="00794F7F">
      <w:r>
        <w:t xml:space="preserve">   </w:t>
      </w:r>
      <w:r w:rsidR="00800220">
        <w:t xml:space="preserve">Flaux J held that the arbitral tribunal had made an error of law in determining that it had no jurisdiction to award </w:t>
      </w:r>
      <w:r w:rsidR="0008286E">
        <w:t xml:space="preserve">the </w:t>
      </w:r>
      <w:r w:rsidR="00800220">
        <w:t xml:space="preserve">damages </w:t>
      </w:r>
      <w:r w:rsidR="0008286E">
        <w:t xml:space="preserve">and indemnity sought </w:t>
      </w:r>
      <w:r w:rsidR="00800220">
        <w:t xml:space="preserve">(in other words, </w:t>
      </w:r>
      <w:r w:rsidR="009A250E">
        <w:t xml:space="preserve">he held </w:t>
      </w:r>
      <w:r w:rsidR="00800220">
        <w:t>that it did have jurisdiction).</w:t>
      </w:r>
      <w:r w:rsidR="00800220">
        <w:rPr>
          <w:rStyle w:val="FootnoteReference"/>
        </w:rPr>
        <w:footnoteReference w:id="67"/>
      </w:r>
      <w:r w:rsidR="00800220">
        <w:t xml:space="preserve"> </w:t>
      </w:r>
    </w:p>
    <w:p w14:paraId="3FF99FDB" w14:textId="26DF9ED5" w:rsidR="005152A9" w:rsidRDefault="00F552AD" w:rsidP="00F552AD">
      <w:r>
        <w:lastRenderedPageBreak/>
        <w:t xml:space="preserve">   The </w:t>
      </w:r>
      <w:r w:rsidR="0004026E">
        <w:t xml:space="preserve">arbitral </w:t>
      </w:r>
      <w:r>
        <w:t>tribunal had taken the view</w:t>
      </w:r>
      <w:r w:rsidR="0004026E">
        <w:t>, based on views expressed by the Advocate General and the European Court,</w:t>
      </w:r>
      <w:r w:rsidR="0008286E">
        <w:rPr>
          <w:rStyle w:val="FootnoteReference"/>
        </w:rPr>
        <w:footnoteReference w:id="68"/>
      </w:r>
      <w:r>
        <w:t xml:space="preserve"> that there was a </w:t>
      </w:r>
      <w:r w:rsidRPr="00D96373">
        <w:t>principle of effectiveness</w:t>
      </w:r>
      <w:r>
        <w:t xml:space="preserve">, </w:t>
      </w:r>
      <w:r w:rsidR="0004026E">
        <w:t>which</w:t>
      </w:r>
      <w:r>
        <w:t xml:space="preserve"> protected</w:t>
      </w:r>
      <w:r w:rsidR="0004026E">
        <w:t xml:space="preserve"> the insurer</w:t>
      </w:r>
      <w:r w:rsidRPr="00D96373">
        <w:t>s’ right to sue in Italy under</w:t>
      </w:r>
      <w:r>
        <w:t xml:space="preserve"> Art.</w:t>
      </w:r>
      <w:r w:rsidRPr="00D96373">
        <w:t xml:space="preserve"> 5(3)</w:t>
      </w:r>
      <w:r>
        <w:t xml:space="preserve"> </w:t>
      </w:r>
      <w:r w:rsidRPr="00AD7E95">
        <w:t>of Regulation No</w:t>
      </w:r>
      <w:r>
        <w:t xml:space="preserve"> </w:t>
      </w:r>
      <w:r w:rsidRPr="00AD7E95">
        <w:t>44/2001</w:t>
      </w:r>
      <w:r>
        <w:t>.</w:t>
      </w:r>
      <w:r>
        <w:rPr>
          <w:rStyle w:val="FootnoteReference"/>
        </w:rPr>
        <w:footnoteReference w:id="69"/>
      </w:r>
      <w:r>
        <w:t xml:space="preserve"> </w:t>
      </w:r>
      <w:r w:rsidR="00343457">
        <w:t xml:space="preserve">It felt that it had to give effect to </w:t>
      </w:r>
      <w:r w:rsidR="00343457" w:rsidRPr="00343457">
        <w:t>the "u</w:t>
      </w:r>
      <w:r w:rsidR="0004026E">
        <w:t>nderlying philosophy" of the European</w:t>
      </w:r>
      <w:r w:rsidR="00343457" w:rsidRPr="00343457">
        <w:t xml:space="preserve"> decision,</w:t>
      </w:r>
      <w:r w:rsidR="00343457">
        <w:rPr>
          <w:rStyle w:val="FootnoteReference"/>
        </w:rPr>
        <w:footnoteReference w:id="70"/>
      </w:r>
      <w:r w:rsidR="0004026E">
        <w:rPr>
          <w:szCs w:val="24"/>
        </w:rPr>
        <w:t xml:space="preserve"> and the insurer</w:t>
      </w:r>
      <w:r w:rsidR="00343457" w:rsidRPr="00343457">
        <w:rPr>
          <w:szCs w:val="24"/>
        </w:rPr>
        <w:t xml:space="preserve">s, supporting the tribunal decision, argued that any "claim for damages or an indemnity was designed to dissuade the respondents from exercising their rights by </w:t>
      </w:r>
      <w:r w:rsidR="00343457" w:rsidRPr="00343457">
        <w:rPr>
          <w:szCs w:val="24"/>
        </w:rPr>
        <w:lastRenderedPageBreak/>
        <w:t>making continuing with the proceedings in Italy academic".</w:t>
      </w:r>
      <w:r w:rsidR="00343457" w:rsidRPr="00343457">
        <w:rPr>
          <w:rStyle w:val="FootnoteReference"/>
          <w:szCs w:val="24"/>
        </w:rPr>
        <w:footnoteReference w:id="71"/>
      </w:r>
      <w:r w:rsidR="00343457">
        <w:rPr>
          <w:szCs w:val="24"/>
        </w:rPr>
        <w:t xml:space="preserve"> Consequently, </w:t>
      </w:r>
      <w:r w:rsidR="00343457" w:rsidRPr="00343457">
        <w:t xml:space="preserve">"a claim for damages for breach of the obligation to arbitrate was just as much an illegitimate interference with the Italian proceedings as was the grant of an anti-suit injunction by the English court </w:t>
      </w:r>
      <w:r w:rsidR="00343457">
        <w:t>and ...</w:t>
      </w:r>
      <w:r w:rsidR="00343457" w:rsidRPr="00343457">
        <w:t xml:space="preserve"> in just the same way it would make it practically</w:t>
      </w:r>
      <w:r w:rsidR="00343457" w:rsidRPr="00AD7E95">
        <w:rPr>
          <w:szCs w:val="24"/>
        </w:rPr>
        <w:t xml:space="preserve"> impossible or excessively difficult for the respondents to exercise the right under European law which the ECJ had recognised that they had</w:t>
      </w:r>
      <w:r w:rsidR="00343457">
        <w:rPr>
          <w:szCs w:val="24"/>
        </w:rPr>
        <w:t>"</w:t>
      </w:r>
      <w:r w:rsidR="00343457" w:rsidRPr="00AD7E95">
        <w:rPr>
          <w:szCs w:val="24"/>
        </w:rPr>
        <w:t>.</w:t>
      </w:r>
      <w:r w:rsidR="00343457">
        <w:rPr>
          <w:rStyle w:val="FootnoteReference"/>
          <w:szCs w:val="24"/>
        </w:rPr>
        <w:footnoteReference w:id="72"/>
      </w:r>
    </w:p>
    <w:p w14:paraId="7335E731" w14:textId="02C6540F" w:rsidR="001779CB" w:rsidRPr="00C533FC" w:rsidRDefault="00343457" w:rsidP="009861A1">
      <w:r>
        <w:t xml:space="preserve">   </w:t>
      </w:r>
      <w:r w:rsidR="00782BE6">
        <w:t>Flaux J noted</w:t>
      </w:r>
      <w:r w:rsidR="00C64CB6">
        <w:t xml:space="preserve"> the reluctance with which the tribunal had reached its conclusion,</w:t>
      </w:r>
      <w:r w:rsidR="005C6173">
        <w:rPr>
          <w:rStyle w:val="FootnoteReference"/>
        </w:rPr>
        <w:footnoteReference w:id="73"/>
      </w:r>
      <w:r w:rsidR="00C64CB6">
        <w:t xml:space="preserve"> </w:t>
      </w:r>
      <w:r w:rsidR="00782BE6">
        <w:t xml:space="preserve">but </w:t>
      </w:r>
      <w:r>
        <w:t>did not a</w:t>
      </w:r>
      <w:r w:rsidR="00782BE6">
        <w:t>ddress these arguments head on. He</w:t>
      </w:r>
      <w:r w:rsidR="00F05C86">
        <w:t xml:space="preserve"> observed instead that the European Court</w:t>
      </w:r>
      <w:r>
        <w:t xml:space="preserve"> decision </w:t>
      </w:r>
      <w:r w:rsidR="003025B9">
        <w:t xml:space="preserve">had no application </w:t>
      </w:r>
      <w:r w:rsidR="003025B9" w:rsidRPr="003025B9">
        <w:t>to an arbitral tribunal, as opposed to a national court.</w:t>
      </w:r>
      <w:r w:rsidR="003025B9">
        <w:t xml:space="preserve"> The Regulation, on its own terms, excluded arbitration pro</w:t>
      </w:r>
      <w:r w:rsidR="00F05C86">
        <w:t>ceedings, and even the Ad</w:t>
      </w:r>
      <w:r w:rsidR="00F05C86">
        <w:lastRenderedPageBreak/>
        <w:t xml:space="preserve">vocate </w:t>
      </w:r>
      <w:r w:rsidR="003025B9">
        <w:t xml:space="preserve">General had </w:t>
      </w:r>
      <w:r w:rsidR="003025B9" w:rsidRPr="003025B9">
        <w:t>recognised "that one effect of her opinion would be that an arbitral tribunal could reach a different decision from that of the court 'first seised'”.</w:t>
      </w:r>
      <w:r w:rsidR="003025B9">
        <w:rPr>
          <w:rStyle w:val="FootnoteReference"/>
        </w:rPr>
        <w:footnoteReference w:id="74"/>
      </w:r>
      <w:r w:rsidR="00F05C86">
        <w:t xml:space="preserve"> </w:t>
      </w:r>
      <w:r w:rsidR="001779CB">
        <w:t xml:space="preserve">The tribunal </w:t>
      </w:r>
      <w:r w:rsidR="0055704E">
        <w:t xml:space="preserve">(as opposed to the court) </w:t>
      </w:r>
      <w:r w:rsidR="001779CB">
        <w:t xml:space="preserve">therefore had power to award damages. </w:t>
      </w:r>
      <w:r w:rsidR="001779CB">
        <w:rPr>
          <w:lang w:eastAsia="en-GB"/>
        </w:rPr>
        <w:t xml:space="preserve">In principle, the quantum would have been anything recovered in the Italian courts that would not have been recovered in English arbitration, in addition, of course, to </w:t>
      </w:r>
      <w:r w:rsidR="001779CB" w:rsidRPr="00DE726E">
        <w:t>legal fees and expenses reasonably incurred in connection with the Italian proceedings</w:t>
      </w:r>
      <w:r w:rsidR="001779CB">
        <w:rPr>
          <w:lang w:eastAsia="en-GB"/>
        </w:rPr>
        <w:t>.</w:t>
      </w:r>
      <w:r w:rsidR="00C533FC">
        <w:rPr>
          <w:lang w:eastAsia="en-GB"/>
        </w:rPr>
        <w:t xml:space="preserve"> Since these </w:t>
      </w:r>
      <w:r w:rsidR="00C533FC" w:rsidRPr="00C533FC">
        <w:t xml:space="preserve">are </w:t>
      </w:r>
      <w:r w:rsidR="000C4158" w:rsidRPr="00C533FC">
        <w:t>equitable dam</w:t>
      </w:r>
      <w:r w:rsidR="00C533FC" w:rsidRPr="00C533FC">
        <w:t xml:space="preserve">ages, they would include an element to cover losses caused by future, as well as past breaches, </w:t>
      </w:r>
      <w:r w:rsidR="00C533FC">
        <w:t xml:space="preserve">in other words predicting, to some extent, what the Sicilian court was likely </w:t>
      </w:r>
      <w:r w:rsidR="00C533FC">
        <w:lastRenderedPageBreak/>
        <w:t>to do.</w:t>
      </w:r>
      <w:r w:rsidR="002E3B1D">
        <w:rPr>
          <w:rStyle w:val="FootnoteReference"/>
        </w:rPr>
        <w:footnoteReference w:id="75"/>
      </w:r>
    </w:p>
    <w:p w14:paraId="34A1B79D" w14:textId="129CCBC9" w:rsidR="00B27E1A" w:rsidRDefault="001779CB" w:rsidP="00B27E1A">
      <w:pPr>
        <w:rPr>
          <w:lang w:eastAsia="en-GB"/>
        </w:rPr>
      </w:pPr>
      <w:r>
        <w:rPr>
          <w:lang w:eastAsia="en-GB"/>
        </w:rPr>
        <w:t xml:space="preserve">   Flaux J sa</w:t>
      </w:r>
      <w:r w:rsidR="002E3B1D">
        <w:rPr>
          <w:lang w:eastAsia="en-GB"/>
        </w:rPr>
        <w:t>id</w:t>
      </w:r>
      <w:r>
        <w:rPr>
          <w:lang w:eastAsia="en-GB"/>
        </w:rPr>
        <w:t xml:space="preserve"> nothing on whether </w:t>
      </w:r>
      <w:r w:rsidRPr="0003757C">
        <w:rPr>
          <w:lang w:eastAsia="en-GB"/>
        </w:rPr>
        <w:t xml:space="preserve">equitable damages </w:t>
      </w:r>
      <w:r>
        <w:rPr>
          <w:lang w:eastAsia="en-GB"/>
        </w:rPr>
        <w:t xml:space="preserve">could have been obtained, had they </w:t>
      </w:r>
      <w:r w:rsidRPr="0003757C">
        <w:rPr>
          <w:lang w:eastAsia="en-GB"/>
        </w:rPr>
        <w:t xml:space="preserve">been </w:t>
      </w:r>
      <w:r w:rsidR="0014565C">
        <w:rPr>
          <w:lang w:eastAsia="en-GB"/>
        </w:rPr>
        <w:t xml:space="preserve">originally </w:t>
      </w:r>
      <w:r w:rsidRPr="0003757C">
        <w:rPr>
          <w:lang w:eastAsia="en-GB"/>
        </w:rPr>
        <w:t>sough</w:t>
      </w:r>
      <w:r w:rsidR="0014565C">
        <w:rPr>
          <w:lang w:eastAsia="en-GB"/>
        </w:rPr>
        <w:t>t in court, rather than in the tribunal</w:t>
      </w:r>
      <w:r w:rsidR="002E3B1D">
        <w:rPr>
          <w:lang w:eastAsia="en-GB"/>
        </w:rPr>
        <w:t>. Leaving aside EU complications, in English law</w:t>
      </w:r>
      <w:r>
        <w:rPr>
          <w:lang w:eastAsia="en-GB"/>
        </w:rPr>
        <w:t xml:space="preserve"> a court has </w:t>
      </w:r>
      <w:r>
        <w:t xml:space="preserve">no explicit power under s. 44 of the Arbitration Act 1996 </w:t>
      </w:r>
      <w:r>
        <w:rPr>
          <w:lang w:eastAsia="en-GB"/>
        </w:rPr>
        <w:t xml:space="preserve">to award damages in </w:t>
      </w:r>
      <w:r>
        <w:t xml:space="preserve">support of arbitral </w:t>
      </w:r>
      <w:r w:rsidRPr="008D7758">
        <w:t>proceedings</w:t>
      </w:r>
      <w:r w:rsidR="002E3B1D">
        <w:t>. However</w:t>
      </w:r>
      <w:r>
        <w:t xml:space="preserve">, </w:t>
      </w:r>
      <w:r w:rsidRPr="00FB1F03">
        <w:rPr>
          <w:lang w:eastAsia="en-GB"/>
        </w:rPr>
        <w:t xml:space="preserve">any court that has jurisdiction to award an anti-suit injunction can </w:t>
      </w:r>
      <w:r>
        <w:rPr>
          <w:lang w:eastAsia="en-GB"/>
        </w:rPr>
        <w:t>surely a</w:t>
      </w:r>
      <w:r w:rsidRPr="00FB1F03">
        <w:rPr>
          <w:lang w:eastAsia="en-GB"/>
        </w:rPr>
        <w:t>ward equitable damages in lieu</w:t>
      </w:r>
      <w:r w:rsidR="002E3B1D">
        <w:rPr>
          <w:lang w:eastAsia="en-GB"/>
        </w:rPr>
        <w:t>, and</w:t>
      </w:r>
      <w:r>
        <w:rPr>
          <w:lang w:eastAsia="en-GB"/>
        </w:rPr>
        <w:t xml:space="preserve"> there is good authority that the jurisdiction to award the injunction arises under s. 37 of th</w:t>
      </w:r>
      <w:r w:rsidR="002E3B1D">
        <w:rPr>
          <w:lang w:eastAsia="en-GB"/>
        </w:rPr>
        <w:t>e Senior Courts Act 1981,</w:t>
      </w:r>
      <w:r>
        <w:rPr>
          <w:lang w:eastAsia="en-GB"/>
        </w:rPr>
        <w:t xml:space="preserve"> not </w:t>
      </w:r>
      <w:r w:rsidR="002E3B1D">
        <w:rPr>
          <w:lang w:eastAsia="en-GB"/>
        </w:rPr>
        <w:t xml:space="preserve">being </w:t>
      </w:r>
      <w:r>
        <w:rPr>
          <w:lang w:eastAsia="en-GB"/>
        </w:rPr>
        <w:t>constrained by s. 44 of the Arbitration Act 1996.</w:t>
      </w:r>
      <w:r>
        <w:rPr>
          <w:rStyle w:val="FootnoteReference"/>
          <w:lang w:eastAsia="en-GB"/>
        </w:rPr>
        <w:footnoteReference w:id="76"/>
      </w:r>
      <w:r>
        <w:rPr>
          <w:lang w:eastAsia="en-GB"/>
        </w:rPr>
        <w:t xml:space="preserve"> </w:t>
      </w:r>
      <w:r w:rsidR="00505738">
        <w:rPr>
          <w:lang w:eastAsia="en-GB"/>
        </w:rPr>
        <w:t>To restrain suit brought within the EU, howev</w:t>
      </w:r>
      <w:r>
        <w:rPr>
          <w:lang w:eastAsia="en-GB"/>
        </w:rPr>
        <w:t>er</w:t>
      </w:r>
      <w:r w:rsidRPr="0003757C">
        <w:rPr>
          <w:lang w:eastAsia="en-GB"/>
        </w:rPr>
        <w:t xml:space="preserve">, the court </w:t>
      </w:r>
      <w:r w:rsidR="00505738">
        <w:rPr>
          <w:lang w:eastAsia="en-GB"/>
        </w:rPr>
        <w:t xml:space="preserve">has </w:t>
      </w:r>
      <w:r w:rsidRPr="0003757C">
        <w:rPr>
          <w:lang w:eastAsia="en-GB"/>
        </w:rPr>
        <w:t>no juri</w:t>
      </w:r>
      <w:r w:rsidR="009419B8">
        <w:rPr>
          <w:lang w:eastAsia="en-GB"/>
        </w:rPr>
        <w:t xml:space="preserve">sdiction to grant an </w:t>
      </w:r>
      <w:r w:rsidR="009419B8">
        <w:rPr>
          <w:lang w:eastAsia="en-GB"/>
        </w:rPr>
        <w:lastRenderedPageBreak/>
        <w:t>injunction</w:t>
      </w:r>
      <w:r w:rsidRPr="0003757C">
        <w:rPr>
          <w:lang w:eastAsia="en-GB"/>
        </w:rPr>
        <w:t xml:space="preserve"> </w:t>
      </w:r>
      <w:r>
        <w:rPr>
          <w:lang w:eastAsia="en-GB"/>
        </w:rPr>
        <w:t xml:space="preserve">because of the European Court decisions, </w:t>
      </w:r>
      <w:r w:rsidRPr="0003757C">
        <w:rPr>
          <w:lang w:eastAsia="en-GB"/>
        </w:rPr>
        <w:t xml:space="preserve">and </w:t>
      </w:r>
      <w:r>
        <w:rPr>
          <w:lang w:eastAsia="en-GB"/>
        </w:rPr>
        <w:t xml:space="preserve">in the absence of jurisdiction to award an injunction, there is </w:t>
      </w:r>
      <w:r w:rsidRPr="0003757C">
        <w:rPr>
          <w:lang w:eastAsia="en-GB"/>
        </w:rPr>
        <w:t>no power to award damages in lieu</w:t>
      </w:r>
      <w:r>
        <w:rPr>
          <w:lang w:eastAsia="en-GB"/>
        </w:rPr>
        <w:t>.</w:t>
      </w:r>
      <w:r w:rsidR="009419B8">
        <w:rPr>
          <w:rStyle w:val="FootnoteReference"/>
          <w:lang w:eastAsia="en-GB"/>
        </w:rPr>
        <w:footnoteReference w:id="77"/>
      </w:r>
      <w:r>
        <w:rPr>
          <w:lang w:eastAsia="en-GB"/>
        </w:rPr>
        <w:t xml:space="preserve"> </w:t>
      </w:r>
      <w:r w:rsidR="00B27E1A">
        <w:rPr>
          <w:lang w:eastAsia="en-GB"/>
        </w:rPr>
        <w:t>Moreover, the tenor</w:t>
      </w:r>
      <w:r w:rsidR="00473A78">
        <w:rPr>
          <w:lang w:eastAsia="en-GB"/>
        </w:rPr>
        <w:t xml:space="preserve"> of the European Court judgment</w:t>
      </w:r>
      <w:r w:rsidR="00B27E1A">
        <w:rPr>
          <w:lang w:eastAsia="en-GB"/>
        </w:rPr>
        <w:t xml:space="preserve"> is that a damages action in court </w:t>
      </w:r>
      <w:r w:rsidR="0083603E">
        <w:rPr>
          <w:lang w:eastAsia="en-GB"/>
        </w:rPr>
        <w:t xml:space="preserve">(as opposed to a tribunal) </w:t>
      </w:r>
      <w:r w:rsidR="00B27E1A">
        <w:rPr>
          <w:lang w:eastAsia="en-GB"/>
        </w:rPr>
        <w:t xml:space="preserve">ought to fail, because in </w:t>
      </w:r>
      <w:r w:rsidR="00B27E1A" w:rsidRPr="006F017E">
        <w:rPr>
          <w:u w:val="single"/>
          <w:lang w:eastAsia="en-GB"/>
        </w:rPr>
        <w:t>The Front Comor</w:t>
      </w:r>
      <w:r w:rsidR="00B27E1A">
        <w:rPr>
          <w:lang w:eastAsia="en-GB"/>
        </w:rPr>
        <w:t xml:space="preserve"> it would have rendered useless the action in the Sicilian court. Th</w:t>
      </w:r>
      <w:r w:rsidR="00473A78">
        <w:rPr>
          <w:lang w:eastAsia="en-GB"/>
        </w:rPr>
        <w:t>at</w:t>
      </w:r>
      <w:r w:rsidR="00B27E1A">
        <w:rPr>
          <w:lang w:eastAsia="en-GB"/>
        </w:rPr>
        <w:t xml:space="preserve"> reasoning that applies to an anti-suit injunction applies equally to a damages action, in other words, whether these be equitable or common law damages, if the damages are such as to deprive the party going to court of any benefit in so doing.</w:t>
      </w:r>
    </w:p>
    <w:p w14:paraId="13A30BCC" w14:textId="11EB9AA7" w:rsidR="00B27E1A" w:rsidRDefault="00B27E1A" w:rsidP="00B27E1A">
      <w:pPr>
        <w:rPr>
          <w:lang w:eastAsia="en-GB"/>
        </w:rPr>
      </w:pPr>
      <w:r>
        <w:rPr>
          <w:lang w:eastAsia="en-GB"/>
        </w:rPr>
        <w:t>  Since Flaux J's</w:t>
      </w:r>
      <w:r w:rsidRPr="0003757C">
        <w:rPr>
          <w:lang w:eastAsia="en-GB"/>
        </w:rPr>
        <w:t xml:space="preserve"> decision</w:t>
      </w:r>
      <w:r w:rsidRPr="00932DBE">
        <w:rPr>
          <w:color w:val="FF0000"/>
        </w:rPr>
        <w:t xml:space="preserve">, </w:t>
      </w:r>
      <w:r w:rsidRPr="00B27E1A">
        <w:t xml:space="preserve">in </w:t>
      </w:r>
      <w:r w:rsidRPr="0006137F">
        <w:rPr>
          <w:u w:val="single"/>
        </w:rPr>
        <w:t>Gazprom Oao</w:t>
      </w:r>
      <w:r>
        <w:t>,</w:t>
      </w:r>
      <w:r w:rsidRPr="000159A2">
        <w:rPr>
          <w:rStyle w:val="FootnoteReference"/>
        </w:rPr>
        <w:footnoteReference w:id="78"/>
      </w:r>
      <w:r>
        <w:t xml:space="preserve"> </w:t>
      </w:r>
      <w:r w:rsidRPr="000159A2">
        <w:t xml:space="preserve">the </w:t>
      </w:r>
      <w:r>
        <w:t xml:space="preserve">European </w:t>
      </w:r>
      <w:r w:rsidRPr="000159A2">
        <w:t xml:space="preserve">Court </w:t>
      </w:r>
      <w:r w:rsidRPr="000159A2">
        <w:rPr>
          <w:lang w:eastAsia="en-GB"/>
        </w:rPr>
        <w:t xml:space="preserve">has itself accepted that </w:t>
      </w:r>
      <w:r w:rsidRPr="000159A2">
        <w:rPr>
          <w:u w:val="single"/>
          <w:lang w:eastAsia="en-GB"/>
        </w:rPr>
        <w:t>The Front Comor</w:t>
      </w:r>
      <w:r w:rsidRPr="000159A2">
        <w:rPr>
          <w:lang w:eastAsia="en-GB"/>
        </w:rPr>
        <w:t xml:space="preserve"> </w:t>
      </w:r>
      <w:r>
        <w:rPr>
          <w:lang w:eastAsia="en-GB"/>
        </w:rPr>
        <w:t xml:space="preserve">(ECJ) </w:t>
      </w:r>
      <w:r w:rsidRPr="0003757C">
        <w:rPr>
          <w:lang w:eastAsia="en-GB"/>
        </w:rPr>
        <w:t xml:space="preserve">has no application to arbitration awards, or indeed even </w:t>
      </w:r>
      <w:r>
        <w:rPr>
          <w:lang w:eastAsia="en-GB"/>
        </w:rPr>
        <w:t xml:space="preserve">to </w:t>
      </w:r>
      <w:r w:rsidRPr="0003757C">
        <w:rPr>
          <w:lang w:eastAsia="en-GB"/>
        </w:rPr>
        <w:t>thei</w:t>
      </w:r>
      <w:r w:rsidR="0083603E">
        <w:rPr>
          <w:lang w:eastAsia="en-GB"/>
        </w:rPr>
        <w:t>r enforcement in court. The Regulation</w:t>
      </w:r>
      <w:r>
        <w:rPr>
          <w:lang w:eastAsia="en-GB"/>
        </w:rPr>
        <w:t xml:space="preserve"> </w:t>
      </w:r>
      <w:r w:rsidRPr="000159A2">
        <w:t xml:space="preserve">does not </w:t>
      </w:r>
      <w:r w:rsidR="0083603E">
        <w:rPr>
          <w:lang w:eastAsia="en-GB"/>
        </w:rPr>
        <w:t>therefore</w:t>
      </w:r>
      <w:r w:rsidR="0083603E" w:rsidRPr="000159A2">
        <w:t xml:space="preserve"> </w:t>
      </w:r>
      <w:r w:rsidRPr="000159A2">
        <w:t xml:space="preserve">preclude </w:t>
      </w:r>
      <w:r>
        <w:t xml:space="preserve">even </w:t>
      </w:r>
      <w:r w:rsidRPr="000159A2">
        <w:t>awards of anti-suit injunctions by tribunals</w:t>
      </w:r>
      <w:r>
        <w:t>,</w:t>
      </w:r>
      <w:r w:rsidRPr="000159A2">
        <w:t xml:space="preserve"> </w:t>
      </w:r>
      <w:r>
        <w:t xml:space="preserve">and hence cannot preclude the award of damages in lieu. It </w:t>
      </w:r>
      <w:r>
        <w:lastRenderedPageBreak/>
        <w:t xml:space="preserve">follows that Flaux J's </w:t>
      </w:r>
      <w:r w:rsidRPr="0003757C">
        <w:rPr>
          <w:lang w:eastAsia="en-GB"/>
        </w:rPr>
        <w:t xml:space="preserve">distinction </w:t>
      </w:r>
      <w:r>
        <w:rPr>
          <w:lang w:eastAsia="en-GB"/>
        </w:rPr>
        <w:t xml:space="preserve">in </w:t>
      </w:r>
      <w:r w:rsidRPr="00B27E1A">
        <w:rPr>
          <w:u w:val="single"/>
          <w:lang w:eastAsia="en-GB"/>
        </w:rPr>
        <w:t>The Front Comor</w:t>
      </w:r>
      <w:r>
        <w:rPr>
          <w:lang w:eastAsia="en-GB"/>
        </w:rPr>
        <w:t xml:space="preserve"> </w:t>
      </w:r>
      <w:r w:rsidRPr="0003757C">
        <w:rPr>
          <w:lang w:eastAsia="en-GB"/>
        </w:rPr>
        <w:t>has been accepted at the highest level.</w:t>
      </w:r>
      <w:r>
        <w:rPr>
          <w:rStyle w:val="FootnoteReference"/>
          <w:lang w:eastAsia="en-GB"/>
        </w:rPr>
        <w:footnoteReference w:id="79"/>
      </w:r>
      <w:r>
        <w:rPr>
          <w:lang w:eastAsia="en-GB"/>
        </w:rPr>
        <w:t xml:space="preserve"> It is a distinction that </w:t>
      </w:r>
      <w:r w:rsidRPr="0003757C">
        <w:rPr>
          <w:lang w:eastAsia="en-GB"/>
        </w:rPr>
        <w:t>make</w:t>
      </w:r>
      <w:r>
        <w:rPr>
          <w:lang w:eastAsia="en-GB"/>
        </w:rPr>
        <w:t>s</w:t>
      </w:r>
      <w:r w:rsidRPr="0003757C">
        <w:rPr>
          <w:lang w:eastAsia="en-GB"/>
        </w:rPr>
        <w:t xml:space="preserve"> little sense,</w:t>
      </w:r>
      <w:r>
        <w:rPr>
          <w:rStyle w:val="FootnoteReference"/>
          <w:lang w:eastAsia="en-GB"/>
        </w:rPr>
        <w:footnoteReference w:id="80"/>
      </w:r>
      <w:r w:rsidRPr="0003757C">
        <w:rPr>
          <w:lang w:eastAsia="en-GB"/>
        </w:rPr>
        <w:t xml:space="preserve"> </w:t>
      </w:r>
      <w:r>
        <w:rPr>
          <w:lang w:eastAsia="en-GB"/>
        </w:rPr>
        <w:t xml:space="preserve">and to a large extent subverts the principles espoused in the European Court in </w:t>
      </w:r>
      <w:r w:rsidRPr="00FF1F6A">
        <w:rPr>
          <w:u w:val="single"/>
          <w:lang w:eastAsia="en-GB"/>
        </w:rPr>
        <w:t>The Front Comor</w:t>
      </w:r>
      <w:r>
        <w:rPr>
          <w:lang w:eastAsia="en-GB"/>
        </w:rPr>
        <w:t xml:space="preserve">. Even accepting the exclusion of arbitration </w:t>
      </w:r>
      <w:r w:rsidRPr="0003757C">
        <w:rPr>
          <w:lang w:eastAsia="en-GB"/>
        </w:rPr>
        <w:t>from the Brussels regime</w:t>
      </w:r>
      <w:r>
        <w:rPr>
          <w:lang w:eastAsia="en-GB"/>
        </w:rPr>
        <w:t xml:space="preserve">, there is a good argument </w:t>
      </w:r>
      <w:r w:rsidR="00473A78">
        <w:rPr>
          <w:lang w:eastAsia="en-GB"/>
        </w:rPr>
        <w:t xml:space="preserve">(on those principles) </w:t>
      </w:r>
      <w:r>
        <w:rPr>
          <w:lang w:eastAsia="en-GB"/>
        </w:rPr>
        <w:t>for trusting the court first seised to stay its own pro</w:t>
      </w:r>
      <w:r>
        <w:rPr>
          <w:lang w:eastAsia="en-GB"/>
        </w:rPr>
        <w:lastRenderedPageBreak/>
        <w:t>ceedings in appropriate cases</w:t>
      </w:r>
      <w:r w:rsidRPr="0003757C">
        <w:rPr>
          <w:lang w:eastAsia="en-GB"/>
        </w:rPr>
        <w:t>.</w:t>
      </w:r>
      <w:r w:rsidR="00501E33">
        <w:rPr>
          <w:lang w:eastAsia="en-GB"/>
        </w:rPr>
        <w:t xml:space="preserve"> Nonetheless, this is the current </w:t>
      </w:r>
      <w:r w:rsidR="00762AC1">
        <w:rPr>
          <w:lang w:eastAsia="en-GB"/>
        </w:rPr>
        <w:t>position taken by</w:t>
      </w:r>
      <w:r w:rsidR="00501E33">
        <w:rPr>
          <w:lang w:eastAsia="en-GB"/>
        </w:rPr>
        <w:t xml:space="preserve"> the Court of Justice of the European Union.</w:t>
      </w:r>
    </w:p>
    <w:p w14:paraId="1FA16FDA" w14:textId="09B36934" w:rsidR="00505738" w:rsidRDefault="00B27E1A" w:rsidP="00B27E1A">
      <w:pPr>
        <w:rPr>
          <w:lang w:eastAsia="en-GB"/>
        </w:rPr>
      </w:pPr>
      <w:r>
        <w:rPr>
          <w:lang w:eastAsia="en-GB"/>
        </w:rPr>
        <w:t xml:space="preserve">   </w:t>
      </w:r>
      <w:r w:rsidRPr="00B27E1A">
        <w:t>There is, however, an additional problem</w:t>
      </w:r>
      <w:r w:rsidR="009767BE">
        <w:t>, of English rather than European law</w:t>
      </w:r>
      <w:r w:rsidRPr="00B27E1A">
        <w:t>. Under s. 48(5)(a) of the Arbitration Act 1996, an arbitral tribunal in the UK "has the same powers as the court ... to order a party to do or refrain from doing anything".</w:t>
      </w:r>
      <w:r>
        <w:t xml:space="preserve"> It follows that the tribunal </w:t>
      </w:r>
      <w:r>
        <w:rPr>
          <w:lang w:eastAsia="en-GB"/>
        </w:rPr>
        <w:t xml:space="preserve">can award an anti-suit injunction, or damages in lieu, </w:t>
      </w:r>
      <w:r w:rsidRPr="00B27E1A">
        <w:rPr>
          <w:u w:val="single"/>
          <w:lang w:eastAsia="en-GB"/>
        </w:rPr>
        <w:t>but only if the court can</w:t>
      </w:r>
      <w:r>
        <w:rPr>
          <w:lang w:eastAsia="en-GB"/>
        </w:rPr>
        <w:t>. If the court cannot (as I have suggested), then neither should the tribunal have the power to do so.</w:t>
      </w:r>
      <w:r w:rsidR="00501E33">
        <w:rPr>
          <w:lang w:eastAsia="en-GB"/>
        </w:rPr>
        <w:t xml:space="preserve"> It might be different if the parties had agreed otherwise, under s. 48(1),</w:t>
      </w:r>
      <w:r w:rsidR="00716B25">
        <w:rPr>
          <w:rStyle w:val="FootnoteReference"/>
          <w:lang w:eastAsia="en-GB"/>
        </w:rPr>
        <w:footnoteReference w:id="81"/>
      </w:r>
      <w:r w:rsidR="00501E33">
        <w:rPr>
          <w:lang w:eastAsia="en-GB"/>
        </w:rPr>
        <w:t xml:space="preserve"> but they had not done so in </w:t>
      </w:r>
      <w:r w:rsidR="00501E33" w:rsidRPr="00501E33">
        <w:rPr>
          <w:u w:val="single"/>
          <w:lang w:eastAsia="en-GB"/>
        </w:rPr>
        <w:t>The Front Comor</w:t>
      </w:r>
      <w:r w:rsidR="00501E33">
        <w:rPr>
          <w:lang w:eastAsia="en-GB"/>
        </w:rPr>
        <w:t>. Section 48(4) might also empower a tribunal to award damages at common law, whether or not that option is open to the court</w:t>
      </w:r>
      <w:r w:rsidR="0034222C">
        <w:rPr>
          <w:lang w:eastAsia="en-GB"/>
        </w:rPr>
        <w:t xml:space="preserve">, but it can award equitable damages only if allowed to </w:t>
      </w:r>
      <w:r w:rsidR="0034222C">
        <w:rPr>
          <w:lang w:eastAsia="en-GB"/>
        </w:rPr>
        <w:lastRenderedPageBreak/>
        <w:t>do so under English law</w:t>
      </w:r>
      <w:r w:rsidR="00501E33">
        <w:rPr>
          <w:lang w:eastAsia="en-GB"/>
        </w:rPr>
        <w:t>.</w:t>
      </w:r>
      <w:r w:rsidR="00473A78">
        <w:rPr>
          <w:rStyle w:val="FootnoteReference"/>
          <w:lang w:eastAsia="en-GB"/>
        </w:rPr>
        <w:footnoteReference w:id="82"/>
      </w:r>
    </w:p>
    <w:p w14:paraId="533D6D68" w14:textId="16F3A63C" w:rsidR="007E619F" w:rsidRDefault="00501E33" w:rsidP="009A1AF5">
      <w:pPr>
        <w:rPr>
          <w:lang w:eastAsia="en-GB"/>
        </w:rPr>
      </w:pPr>
      <w:r>
        <w:rPr>
          <w:lang w:eastAsia="en-GB"/>
        </w:rPr>
        <w:t xml:space="preserve">   The problem facing </w:t>
      </w:r>
      <w:r w:rsidR="001779CB">
        <w:rPr>
          <w:lang w:eastAsia="en-GB"/>
        </w:rPr>
        <w:t>Flaux J</w:t>
      </w:r>
      <w:r>
        <w:rPr>
          <w:lang w:eastAsia="en-GB"/>
        </w:rPr>
        <w:t xml:space="preserve"> in </w:t>
      </w:r>
      <w:r w:rsidRPr="00501E33">
        <w:rPr>
          <w:u w:val="single"/>
          <w:lang w:eastAsia="en-GB"/>
        </w:rPr>
        <w:t>The Front Comor</w:t>
      </w:r>
      <w:r>
        <w:rPr>
          <w:lang w:eastAsia="en-GB"/>
        </w:rPr>
        <w:t xml:space="preserve"> was the </w:t>
      </w:r>
      <w:r w:rsidR="00F54981">
        <w:rPr>
          <w:lang w:eastAsia="en-GB"/>
        </w:rPr>
        <w:t xml:space="preserve">(probably correct) </w:t>
      </w:r>
      <w:r>
        <w:rPr>
          <w:lang w:eastAsia="en-GB"/>
        </w:rPr>
        <w:t>perception that common law damage</w:t>
      </w:r>
      <w:r w:rsidR="001779CB">
        <w:rPr>
          <w:lang w:eastAsia="en-GB"/>
        </w:rPr>
        <w:t xml:space="preserve">s </w:t>
      </w:r>
      <w:r>
        <w:rPr>
          <w:lang w:eastAsia="en-GB"/>
        </w:rPr>
        <w:t xml:space="preserve">would not have given the appellants what they wanted. Neither the court nor the tribunal could have awarded an anti-suit injunction, </w:t>
      </w:r>
      <w:r w:rsidR="00F54981">
        <w:rPr>
          <w:lang w:eastAsia="en-GB"/>
        </w:rPr>
        <w:t xml:space="preserve">however, </w:t>
      </w:r>
      <w:r>
        <w:rPr>
          <w:lang w:eastAsia="en-GB"/>
        </w:rPr>
        <w:t>and it is therefore impossible to justify the equitable damages that were in fact claimed.</w:t>
      </w:r>
    </w:p>
    <w:p w14:paraId="60CDA742" w14:textId="4B2C05D2" w:rsidR="009C6681" w:rsidRDefault="00FB355D" w:rsidP="00FB355D">
      <w:pPr>
        <w:pStyle w:val="Heading1"/>
      </w:pPr>
      <w:r>
        <w:t>Alexandros T damages</w:t>
      </w:r>
    </w:p>
    <w:p w14:paraId="722D509C" w14:textId="1EE12138" w:rsidR="008D2983" w:rsidRDefault="00C316CC" w:rsidP="009331F3">
      <w:r>
        <w:rPr>
          <w:lang w:eastAsia="en-GB"/>
        </w:rPr>
        <w:t xml:space="preserve">Cooke J's observations </w:t>
      </w:r>
      <w:r w:rsidR="0062480A">
        <w:rPr>
          <w:lang w:eastAsia="en-GB"/>
        </w:rPr>
        <w:t xml:space="preserve">on damages have been noted, </w:t>
      </w:r>
      <w:r>
        <w:rPr>
          <w:lang w:eastAsia="en-GB"/>
        </w:rPr>
        <w:t xml:space="preserve">in the first round of litigation arising from the </w:t>
      </w:r>
      <w:r w:rsidR="00D564E4">
        <w:rPr>
          <w:lang w:eastAsia="en-GB"/>
        </w:rPr>
        <w:t xml:space="preserve">sinking (with tragic </w:t>
      </w:r>
      <w:r>
        <w:rPr>
          <w:lang w:eastAsia="en-GB"/>
        </w:rPr>
        <w:t xml:space="preserve">loss </w:t>
      </w:r>
      <w:r w:rsidR="00D564E4">
        <w:rPr>
          <w:lang w:eastAsia="en-GB"/>
        </w:rPr>
        <w:t xml:space="preserve">of life) </w:t>
      </w:r>
      <w:r>
        <w:rPr>
          <w:lang w:eastAsia="en-GB"/>
        </w:rPr>
        <w:t xml:space="preserve">of </w:t>
      </w:r>
      <w:r w:rsidRPr="0024021B">
        <w:rPr>
          <w:u w:val="single"/>
          <w:lang w:eastAsia="en-GB"/>
        </w:rPr>
        <w:t>The Alexandros T</w:t>
      </w:r>
      <w:r w:rsidR="00615829" w:rsidRPr="00615829">
        <w:t>, and all her cargo</w:t>
      </w:r>
      <w:r>
        <w:rPr>
          <w:lang w:eastAsia="en-GB"/>
        </w:rPr>
        <w:t>.</w:t>
      </w:r>
      <w:r>
        <w:rPr>
          <w:rStyle w:val="FootnoteReference"/>
          <w:lang w:eastAsia="en-GB"/>
        </w:rPr>
        <w:footnoteReference w:id="83"/>
      </w:r>
      <w:r>
        <w:rPr>
          <w:lang w:eastAsia="en-GB"/>
        </w:rPr>
        <w:t xml:space="preserve"> </w:t>
      </w:r>
      <w:r w:rsidR="00F54981">
        <w:rPr>
          <w:lang w:eastAsia="en-GB"/>
        </w:rPr>
        <w:t xml:space="preserve">This case is not otherwise relevant to the present discussion. </w:t>
      </w:r>
      <w:r w:rsidR="002B7230">
        <w:t>The bill of lading</w:t>
      </w:r>
      <w:r w:rsidR="0062480A">
        <w:t xml:space="preserve"> there</w:t>
      </w:r>
      <w:r w:rsidR="002B7230">
        <w:t xml:space="preserve"> incorporated an English</w:t>
      </w:r>
      <w:r w:rsidR="002B7230" w:rsidRPr="00032A14">
        <w:t xml:space="preserve"> law and arbitration clause in the head charter</w:t>
      </w:r>
      <w:r w:rsidR="002B7230">
        <w:t xml:space="preserve">party, but </w:t>
      </w:r>
      <w:r w:rsidR="00D564E4">
        <w:t xml:space="preserve">the </w:t>
      </w:r>
      <w:r w:rsidR="002B7230">
        <w:t xml:space="preserve">cargo-owners' insurers, relying on subrogated rights, </w:t>
      </w:r>
      <w:r w:rsidR="002B7230">
        <w:lastRenderedPageBreak/>
        <w:t>brought proceedings in China</w:t>
      </w:r>
      <w:r w:rsidR="00DA682E">
        <w:t xml:space="preserve"> against the shipowners (among others)</w:t>
      </w:r>
      <w:r w:rsidR="002B7230" w:rsidRPr="00032A14">
        <w:t>.</w:t>
      </w:r>
      <w:r w:rsidR="002B7230">
        <w:t xml:space="preserve"> </w:t>
      </w:r>
      <w:r w:rsidR="00692EE9">
        <w:t>Cooke J awarded an interim anti-suit injunction</w:t>
      </w:r>
      <w:r w:rsidR="0062480A">
        <w:t xml:space="preserve">, on grounds that were essentially similar to those adopted by Colman J in </w:t>
      </w:r>
      <w:r w:rsidR="0062480A" w:rsidRPr="0062480A">
        <w:rPr>
          <w:u w:val="single"/>
        </w:rPr>
        <w:t>The Front Comor</w:t>
      </w:r>
      <w:r w:rsidR="00692EE9">
        <w:t>.</w:t>
      </w:r>
      <w:r w:rsidR="0062480A">
        <w:rPr>
          <w:rStyle w:val="FootnoteReference"/>
        </w:rPr>
        <w:footnoteReference w:id="84"/>
      </w:r>
    </w:p>
    <w:p w14:paraId="1FB57F81" w14:textId="166B0253" w:rsidR="00CF1786" w:rsidRDefault="00692EE9" w:rsidP="00E6127C">
      <w:r>
        <w:t xml:space="preserve">   An entirely different set of proceedings arose from </w:t>
      </w:r>
      <w:r w:rsidR="0024021B">
        <w:rPr>
          <w:lang w:eastAsia="en-GB"/>
        </w:rPr>
        <w:t xml:space="preserve">a settlement agreement </w:t>
      </w:r>
      <w:r w:rsidR="00615829">
        <w:rPr>
          <w:lang w:eastAsia="en-GB"/>
        </w:rPr>
        <w:t xml:space="preserve">later </w:t>
      </w:r>
      <w:r w:rsidR="0024021B">
        <w:rPr>
          <w:lang w:eastAsia="en-GB"/>
        </w:rPr>
        <w:t xml:space="preserve">reached between the owners and their hull insurers. </w:t>
      </w:r>
      <w:r w:rsidR="00071176" w:rsidRPr="00071176">
        <w:t xml:space="preserve">Under the settlements, which were subject to the </w:t>
      </w:r>
      <w:r w:rsidR="009C0F09">
        <w:t xml:space="preserve">exclusive </w:t>
      </w:r>
      <w:r w:rsidR="00071176" w:rsidRPr="00071176">
        <w:t>jurisdiction of the English courts, th</w:t>
      </w:r>
      <w:r w:rsidR="00071176" w:rsidRPr="00CF6490">
        <w:t>e parties agreed that proceedings between them would be stayed</w:t>
      </w:r>
      <w:r w:rsidR="00F54981">
        <w:t>,</w:t>
      </w:r>
      <w:r w:rsidR="00071176" w:rsidRPr="00CF6490">
        <w:t xml:space="preserve"> and that the owners would indemnify the insurers against any claim that might be brought under the policy in relation to the loss of </w:t>
      </w:r>
      <w:r w:rsidR="00071176" w:rsidRPr="00575C9D">
        <w:rPr>
          <w:u w:val="single"/>
        </w:rPr>
        <w:t>Alexandros T</w:t>
      </w:r>
      <w:r w:rsidR="00071176" w:rsidRPr="00CF6490">
        <w:t>.</w:t>
      </w:r>
      <w:r w:rsidR="00071176">
        <w:t xml:space="preserve"> The owners nonetheless </w:t>
      </w:r>
      <w:r w:rsidR="00E2693D">
        <w:t xml:space="preserve">later </w:t>
      </w:r>
      <w:r w:rsidR="00071176">
        <w:t>brought proceedings in Greece</w:t>
      </w:r>
      <w:r w:rsidR="00E2693D">
        <w:t>, whereupon</w:t>
      </w:r>
      <w:r w:rsidR="00071176" w:rsidRPr="00CF6490">
        <w:t xml:space="preserve"> the insurers sought relief in the English courts</w:t>
      </w:r>
      <w:r w:rsidR="00F54981">
        <w:t>,</w:t>
      </w:r>
      <w:r w:rsidR="00071176" w:rsidRPr="00CF6490">
        <w:t xml:space="preserve"> alleging breach </w:t>
      </w:r>
      <w:r w:rsidR="00071176" w:rsidRPr="00CF6490">
        <w:lastRenderedPageBreak/>
        <w:t xml:space="preserve">of the </w:t>
      </w:r>
      <w:r w:rsidR="003B183B">
        <w:t xml:space="preserve">exclusive </w:t>
      </w:r>
      <w:r w:rsidR="00071176" w:rsidRPr="00CF6490">
        <w:t>jurisdiction clauses</w:t>
      </w:r>
      <w:r w:rsidR="00071176">
        <w:t xml:space="preserve">. </w:t>
      </w:r>
      <w:r w:rsidR="00FD6E23">
        <w:t xml:space="preserve">The owners applied for a stay </w:t>
      </w:r>
      <w:r w:rsidR="00BC0B9C">
        <w:t xml:space="preserve">of the English actions </w:t>
      </w:r>
      <w:r w:rsidR="00FD6E23">
        <w:t>under the Brussels J</w:t>
      </w:r>
      <w:r w:rsidR="003C0159">
        <w:t>urisdiction Convention</w:t>
      </w:r>
      <w:r w:rsidR="00FD6E23">
        <w:t>,</w:t>
      </w:r>
      <w:r w:rsidR="00FD6E23">
        <w:rPr>
          <w:rStyle w:val="FootnoteReference"/>
        </w:rPr>
        <w:footnoteReference w:id="85"/>
      </w:r>
      <w:r w:rsidR="00FD6E23">
        <w:t xml:space="preserve"> but t</w:t>
      </w:r>
      <w:r w:rsidR="00071176">
        <w:t xml:space="preserve">he </w:t>
      </w:r>
      <w:r w:rsidR="00BC0B9C">
        <w:t xml:space="preserve">case went to the </w:t>
      </w:r>
      <w:r>
        <w:t>Supreme C</w:t>
      </w:r>
      <w:r w:rsidR="0050161B">
        <w:t>o</w:t>
      </w:r>
      <w:r>
        <w:t>u</w:t>
      </w:r>
      <w:r w:rsidR="00BC0B9C">
        <w:t>rt, which held that they</w:t>
      </w:r>
      <w:r w:rsidR="0050161B">
        <w:t xml:space="preserve"> should </w:t>
      </w:r>
      <w:r w:rsidR="00071176">
        <w:t>not be stayed</w:t>
      </w:r>
      <w:r w:rsidR="00FD6E23">
        <w:t>.</w:t>
      </w:r>
      <w:r w:rsidR="00FD6E23">
        <w:rPr>
          <w:rStyle w:val="FootnoteReference"/>
        </w:rPr>
        <w:footnoteReference w:id="86"/>
      </w:r>
      <w:r w:rsidR="00071176">
        <w:t xml:space="preserve"> </w:t>
      </w:r>
      <w:r w:rsidR="00BC0B9C">
        <w:t>T</w:t>
      </w:r>
      <w:r w:rsidR="00071176">
        <w:t xml:space="preserve">he insurers </w:t>
      </w:r>
      <w:r w:rsidR="00BC0B9C">
        <w:t xml:space="preserve">then </w:t>
      </w:r>
      <w:r w:rsidR="00071176">
        <w:t>successfully claimed damages for breach of the jurisdiction clauses</w:t>
      </w:r>
      <w:r w:rsidR="001D003D">
        <w:t>, the issue eventually being resolved in the Court of Appeal</w:t>
      </w:r>
      <w:r w:rsidR="00071176">
        <w:t>.</w:t>
      </w:r>
      <w:r w:rsidR="007327B0">
        <w:rPr>
          <w:rStyle w:val="FootnoteReference"/>
        </w:rPr>
        <w:footnoteReference w:id="87"/>
      </w:r>
    </w:p>
    <w:p w14:paraId="49338E79" w14:textId="0439B3DB" w:rsidR="00615829" w:rsidRDefault="00615829" w:rsidP="00E6127C">
      <w:r>
        <w:t xml:space="preserve">   This was a case, then, where damages were successfully </w:t>
      </w:r>
      <w:r>
        <w:lastRenderedPageBreak/>
        <w:t xml:space="preserve">sought against a party who was bringing proceedings in a court in the EU, in breach of </w:t>
      </w:r>
      <w:r w:rsidR="00E2693D">
        <w:t xml:space="preserve">agreement. The case concerned </w:t>
      </w:r>
      <w:r>
        <w:t>settlement, rather than arbitration agreement</w:t>
      </w:r>
      <w:r w:rsidR="00E2693D">
        <w:t>s</w:t>
      </w:r>
      <w:r>
        <w:t xml:space="preserve">, but </w:t>
      </w:r>
      <w:r w:rsidR="00E2693D">
        <w:t xml:space="preserve">it </w:t>
      </w:r>
      <w:r>
        <w:t>has obvious imp</w:t>
      </w:r>
      <w:r w:rsidR="00C851B9">
        <w:t>lications for situations similar to</w:t>
      </w:r>
      <w:r>
        <w:t xml:space="preserve"> that which arose in </w:t>
      </w:r>
      <w:r w:rsidRPr="00615829">
        <w:rPr>
          <w:u w:val="single"/>
        </w:rPr>
        <w:t>The Front Comor</w:t>
      </w:r>
      <w:r w:rsidR="00C851B9">
        <w:t>.</w:t>
      </w:r>
    </w:p>
    <w:p w14:paraId="2372872A" w14:textId="0E8B7505" w:rsidR="00421704" w:rsidRDefault="00615829" w:rsidP="00654CA8">
      <w:r>
        <w:t xml:space="preserve">   Unlike the final case in </w:t>
      </w:r>
      <w:r w:rsidRPr="00615829">
        <w:rPr>
          <w:u w:val="single"/>
        </w:rPr>
        <w:t>The Front Comor</w:t>
      </w:r>
      <w:r>
        <w:t xml:space="preserve"> saga, </w:t>
      </w:r>
      <w:r w:rsidR="00654CA8" w:rsidRPr="00654CA8">
        <w:rPr>
          <w:u w:val="single"/>
        </w:rPr>
        <w:t>The Al</w:t>
      </w:r>
      <w:r w:rsidR="00421704" w:rsidRPr="00654CA8">
        <w:rPr>
          <w:u w:val="single"/>
        </w:rPr>
        <w:t>ex</w:t>
      </w:r>
      <w:r w:rsidR="00654CA8" w:rsidRPr="00654CA8">
        <w:rPr>
          <w:u w:val="single"/>
        </w:rPr>
        <w:t>andros T</w:t>
      </w:r>
      <w:r w:rsidR="007B4816">
        <w:t xml:space="preserve"> did</w:t>
      </w:r>
      <w:r w:rsidR="00421704">
        <w:t xml:space="preserve"> not reason in terms of equitable damages, and indeed equitable damages do not appear to have been sought</w:t>
      </w:r>
      <w:r w:rsidR="00654CA8">
        <w:t xml:space="preserve">. It appears to be a straightforward case of a court awarding ordinary common law damages for breach </w:t>
      </w:r>
      <w:r w:rsidR="007B4816">
        <w:t>of contract</w:t>
      </w:r>
      <w:r w:rsidR="00654CA8">
        <w:t>.</w:t>
      </w:r>
      <w:r w:rsidR="009F7331">
        <w:t xml:space="preserve"> The breach</w:t>
      </w:r>
      <w:r w:rsidR="007B4816">
        <w:t xml:space="preserve">es were of </w:t>
      </w:r>
      <w:r w:rsidR="009F7331">
        <w:t xml:space="preserve">settlement </w:t>
      </w:r>
      <w:r w:rsidR="007B4816">
        <w:t>agreements, which however share</w:t>
      </w:r>
      <w:r w:rsidR="0030688C">
        <w:t>d</w:t>
      </w:r>
      <w:r w:rsidR="007B4816">
        <w:t xml:space="preserve"> with </w:t>
      </w:r>
      <w:r w:rsidR="009F7331">
        <w:t>arbitration agreement</w:t>
      </w:r>
      <w:r w:rsidR="007B4816">
        <w:t xml:space="preserve">s </w:t>
      </w:r>
      <w:r w:rsidR="0030688C">
        <w:t xml:space="preserve">that they contained </w:t>
      </w:r>
      <w:r w:rsidR="007B4816">
        <w:t xml:space="preserve">a </w:t>
      </w:r>
      <w:r w:rsidR="009F7331">
        <w:t>covenant not to sue</w:t>
      </w:r>
      <w:r w:rsidR="007B4816">
        <w:t xml:space="preserve">, express in </w:t>
      </w:r>
      <w:r w:rsidR="007B4816" w:rsidRPr="007B4816">
        <w:rPr>
          <w:u w:val="single"/>
        </w:rPr>
        <w:t>The Alexandros T</w:t>
      </w:r>
      <w:r w:rsidR="007B4816">
        <w:t xml:space="preserve"> </w:t>
      </w:r>
      <w:r w:rsidR="00BC0B9C">
        <w:t xml:space="preserve">settlements </w:t>
      </w:r>
      <w:r w:rsidR="007B4816">
        <w:t>and usually implied in arbitration agreements</w:t>
      </w:r>
      <w:r w:rsidR="009F7331">
        <w:t>.</w:t>
      </w:r>
      <w:r w:rsidR="007B4816">
        <w:rPr>
          <w:rStyle w:val="FootnoteReference"/>
        </w:rPr>
        <w:footnoteReference w:id="88"/>
      </w:r>
      <w:r w:rsidR="009F7331">
        <w:t xml:space="preserve"> It is necessary to consider whether, and if so how, </w:t>
      </w:r>
      <w:r w:rsidR="009F7331" w:rsidRPr="00654CA8">
        <w:rPr>
          <w:u w:val="single"/>
        </w:rPr>
        <w:t>The Alexandros T</w:t>
      </w:r>
      <w:r w:rsidR="009F7331">
        <w:t xml:space="preserve"> applies where breach </w:t>
      </w:r>
      <w:r w:rsidR="00BC0B9C">
        <w:t xml:space="preserve">is claimed </w:t>
      </w:r>
      <w:r w:rsidR="009F7331">
        <w:t>of an arbitration clause, by suing within the EU.</w:t>
      </w:r>
    </w:p>
    <w:p w14:paraId="23FC4F57" w14:textId="7F5D75D0" w:rsidR="00C44D0D" w:rsidRDefault="00654CA8" w:rsidP="0023539C">
      <w:r>
        <w:t xml:space="preserve">   </w:t>
      </w:r>
      <w:r w:rsidR="00D76B7F" w:rsidRPr="00D76B7F">
        <w:rPr>
          <w:u w:val="single"/>
        </w:rPr>
        <w:t>The Alexandros T</w:t>
      </w:r>
      <w:r w:rsidR="006844DA">
        <w:t xml:space="preserve"> differed</w:t>
      </w:r>
      <w:r w:rsidR="00D76B7F">
        <w:t xml:space="preserve"> from </w:t>
      </w:r>
      <w:r w:rsidR="00D76B7F" w:rsidRPr="00D76B7F">
        <w:rPr>
          <w:u w:val="single"/>
        </w:rPr>
        <w:t>The Front Comor</w:t>
      </w:r>
      <w:r w:rsidR="00D76B7F">
        <w:t xml:space="preserve"> in </w:t>
      </w:r>
      <w:r w:rsidR="001D003D">
        <w:t>that</w:t>
      </w:r>
      <w:r w:rsidR="00F15FEF">
        <w:t xml:space="preserve"> </w:t>
      </w:r>
      <w:r w:rsidR="00F15FEF">
        <w:lastRenderedPageBreak/>
        <w:t>there was no third party involved, the defendant owners being party to the settlement agreements of which they were in breach.</w:t>
      </w:r>
      <w:r w:rsidR="00F15FEF">
        <w:rPr>
          <w:rStyle w:val="FootnoteReference"/>
        </w:rPr>
        <w:footnoteReference w:id="89"/>
      </w:r>
      <w:r w:rsidR="009C0F09">
        <w:t xml:space="preserve"> </w:t>
      </w:r>
      <w:r w:rsidR="000D4B5F">
        <w:t>A</w:t>
      </w:r>
      <w:r w:rsidR="001D003D">
        <w:t xml:space="preserve">s in </w:t>
      </w:r>
      <w:r w:rsidR="001D003D" w:rsidRPr="001D003D">
        <w:rPr>
          <w:u w:val="single"/>
        </w:rPr>
        <w:t>The Front Comor</w:t>
      </w:r>
      <w:r w:rsidR="001D003D">
        <w:t xml:space="preserve">, the foreign proceedings had not concluded, </w:t>
      </w:r>
      <w:r w:rsidR="003D73CB">
        <w:t xml:space="preserve">but </w:t>
      </w:r>
      <w:r w:rsidR="00C237FA">
        <w:t xml:space="preserve">future losses </w:t>
      </w:r>
      <w:r w:rsidR="003D73CB" w:rsidRPr="000D4B5F">
        <w:t xml:space="preserve">and breaches </w:t>
      </w:r>
      <w:r w:rsidR="006844DA" w:rsidRPr="000D4B5F">
        <w:t>were dealt with</w:t>
      </w:r>
      <w:r w:rsidR="003D73CB" w:rsidRPr="000D4B5F">
        <w:t xml:space="preserve"> </w:t>
      </w:r>
      <w:r w:rsidR="000D4B5F" w:rsidRPr="000D4B5F">
        <w:t xml:space="preserve">in the Court of Appeal, </w:t>
      </w:r>
      <w:r w:rsidR="003D73CB" w:rsidRPr="000D4B5F">
        <w:t xml:space="preserve">by </w:t>
      </w:r>
      <w:r w:rsidR="00C237FA" w:rsidRPr="000D4B5F">
        <w:t>declaration</w:t>
      </w:r>
      <w:r w:rsidR="003D73CB" w:rsidRPr="000D4B5F">
        <w:t>s</w:t>
      </w:r>
      <w:r w:rsidR="00C237FA" w:rsidRPr="000D4B5F">
        <w:t xml:space="preserve"> of entitlement </w:t>
      </w:r>
      <w:r w:rsidR="00C237FA">
        <w:t xml:space="preserve">to an indemnity, </w:t>
      </w:r>
      <w:r w:rsidR="000D4B5F">
        <w:t>the indemnities</w:t>
      </w:r>
      <w:r w:rsidR="0023539C">
        <w:t xml:space="preserve"> being </w:t>
      </w:r>
      <w:r w:rsidR="00C237FA">
        <w:t>expressly provided under the settlement agreements</w:t>
      </w:r>
      <w:r w:rsidR="006844DA">
        <w:t xml:space="preserve">. </w:t>
      </w:r>
      <w:r w:rsidR="0023539C">
        <w:t>Therefore, n</w:t>
      </w:r>
      <w:r w:rsidR="006844DA">
        <w:t xml:space="preserve">either of the main reasons for the insistence on equitable damages in </w:t>
      </w:r>
      <w:r w:rsidR="006844DA" w:rsidRPr="006844DA">
        <w:rPr>
          <w:u w:val="single"/>
        </w:rPr>
        <w:t>The Front Comor</w:t>
      </w:r>
      <w:r w:rsidR="000D4B5F">
        <w:t xml:space="preserve"> </w:t>
      </w:r>
      <w:r w:rsidR="006844DA">
        <w:t>applied here.</w:t>
      </w:r>
      <w:r w:rsidR="0023539C">
        <w:t xml:space="preserve"> </w:t>
      </w:r>
    </w:p>
    <w:p w14:paraId="1AE14B1C" w14:textId="70C8BA23" w:rsidR="00C44D0D" w:rsidRDefault="00C44D0D" w:rsidP="0023539C">
      <w:r>
        <w:t xml:space="preserve">   </w:t>
      </w:r>
      <w:r w:rsidR="0023539C">
        <w:t>On the other hand,</w:t>
      </w:r>
      <w:r w:rsidR="00F86F07">
        <w:t xml:space="preserve"> this was an award of a court, and did not</w:t>
      </w:r>
      <w:r>
        <w:t>, of course, trigger the Art. 1(2)(d)</w:t>
      </w:r>
      <w:r w:rsidR="00F86F07">
        <w:t xml:space="preserve"> arbitration</w:t>
      </w:r>
      <w:r>
        <w:t xml:space="preserve"> exception from the Brussels Regulation</w:t>
      </w:r>
      <w:r w:rsidR="0023539C">
        <w:t xml:space="preserve">. </w:t>
      </w:r>
      <w:r w:rsidR="0023539C" w:rsidRPr="0023539C">
        <w:t xml:space="preserve">It follows that the distinction adopted by Flaux J in </w:t>
      </w:r>
      <w:r w:rsidR="000D4B5F" w:rsidRPr="006844DA">
        <w:rPr>
          <w:u w:val="single"/>
        </w:rPr>
        <w:t>The Front Comor</w:t>
      </w:r>
      <w:r w:rsidR="00A14213">
        <w:t xml:space="preserve">, </w:t>
      </w:r>
      <w:r w:rsidR="00852BD9">
        <w:t>the Regulation not applyi</w:t>
      </w:r>
      <w:r w:rsidR="00A14213">
        <w:t>ng</w:t>
      </w:r>
      <w:r w:rsidR="00852BD9">
        <w:t xml:space="preserve"> to</w:t>
      </w:r>
      <w:r w:rsidR="00A14213">
        <w:t xml:space="preserve"> the proceedings of an arbitral tribunal, </w:t>
      </w:r>
      <w:r>
        <w:t>could not apply</w:t>
      </w:r>
      <w:r w:rsidR="0023539C" w:rsidRPr="0023539C">
        <w:t>.</w:t>
      </w:r>
      <w:r w:rsidR="00BC0B9C">
        <w:rPr>
          <w:rStyle w:val="FootnoteReference"/>
        </w:rPr>
        <w:footnoteReference w:id="90"/>
      </w:r>
      <w:r w:rsidR="0023539C" w:rsidRPr="0023539C">
        <w:t xml:space="preserve"> </w:t>
      </w:r>
      <w:r>
        <w:t xml:space="preserve">Longmore LJ, delivering the only judgment of substance, nonetheless found ways of avoiding </w:t>
      </w:r>
      <w:r w:rsidRPr="00CF6490">
        <w:rPr>
          <w:u w:val="single"/>
        </w:rPr>
        <w:t>Turner</w:t>
      </w:r>
      <w:r w:rsidRPr="00C111E0">
        <w:t xml:space="preserve"> v </w:t>
      </w:r>
      <w:r w:rsidRPr="00CF6490">
        <w:rPr>
          <w:u w:val="single"/>
        </w:rPr>
        <w:lastRenderedPageBreak/>
        <w:t>Grovit</w:t>
      </w:r>
      <w:r>
        <w:t xml:space="preserve">. He thought it limited </w:t>
      </w:r>
      <w:r w:rsidRPr="00CF6490">
        <w:t>to anti-suit injunctions</w:t>
      </w:r>
      <w:r>
        <w:t>, and hence inapplicable to indemnity and damages claims.</w:t>
      </w:r>
      <w:r>
        <w:rPr>
          <w:rStyle w:val="FootnoteReference"/>
        </w:rPr>
        <w:footnoteReference w:id="91"/>
      </w:r>
      <w:r>
        <w:t xml:space="preserve"> </w:t>
      </w:r>
      <w:r w:rsidR="007B14EF">
        <w:t>He also took the view that, in the light of the Supreme Court decision not to grant a stay of action,</w:t>
      </w:r>
      <w:r w:rsidR="007B14EF">
        <w:rPr>
          <w:rStyle w:val="FootnoteReference"/>
        </w:rPr>
        <w:footnoteReference w:id="92"/>
      </w:r>
      <w:r w:rsidR="007B14EF">
        <w:t xml:space="preserve"> </w:t>
      </w:r>
      <w:r w:rsidR="00A14213" w:rsidRPr="00A14213">
        <w:rPr>
          <w:u w:val="single"/>
        </w:rPr>
        <w:t>The Alexandros T</w:t>
      </w:r>
      <w:r w:rsidR="00A14213">
        <w:t xml:space="preserve"> did not fall within the mischief of </w:t>
      </w:r>
      <w:r w:rsidR="00A14213" w:rsidRPr="00CF6490">
        <w:rPr>
          <w:u w:val="single"/>
        </w:rPr>
        <w:t>Turner</w:t>
      </w:r>
      <w:r w:rsidR="00A14213" w:rsidRPr="00C111E0">
        <w:t xml:space="preserve"> v </w:t>
      </w:r>
      <w:r w:rsidR="00A14213" w:rsidRPr="00CF6490">
        <w:rPr>
          <w:u w:val="single"/>
        </w:rPr>
        <w:t>Grovit</w:t>
      </w:r>
      <w:r w:rsidR="00A14213">
        <w:t xml:space="preserve"> at all,</w:t>
      </w:r>
      <w:r w:rsidR="001C1A39">
        <w:rPr>
          <w:rStyle w:val="FootnoteReference"/>
        </w:rPr>
        <w:footnoteReference w:id="93"/>
      </w:r>
      <w:r w:rsidR="00A14213">
        <w:t xml:space="preserve"> </w:t>
      </w:r>
      <w:r w:rsidR="00BC0B9C">
        <w:t xml:space="preserve">since the court in </w:t>
      </w:r>
      <w:r w:rsidR="00BC0B9C" w:rsidRPr="00BC0B9C">
        <w:rPr>
          <w:u w:val="single"/>
        </w:rPr>
        <w:t>Turner</w:t>
      </w:r>
      <w:r w:rsidR="001C1A39">
        <w:t xml:space="preserve"> had been concerned only to give effect to the EC </w:t>
      </w:r>
      <w:r w:rsidR="00A14213">
        <w:t>Regu</w:t>
      </w:r>
      <w:r w:rsidR="001C1A39">
        <w:t>lation</w:t>
      </w:r>
      <w:r w:rsidR="000C7836">
        <w:t>, and indeed, the issue referred had related specifically to the Regulation</w:t>
      </w:r>
      <w:r w:rsidR="00A14213">
        <w:t xml:space="preserve">. This narrow ground, which will not apply in the typical case, </w:t>
      </w:r>
      <w:r w:rsidR="001C1A39">
        <w:t xml:space="preserve">was sufficient to </w:t>
      </w:r>
      <w:r w:rsidR="00894423">
        <w:t xml:space="preserve">hold that the damages </w:t>
      </w:r>
      <w:r w:rsidR="00894423" w:rsidRPr="00CF6490">
        <w:t xml:space="preserve">claims </w:t>
      </w:r>
      <w:r w:rsidR="00894423">
        <w:t>did not</w:t>
      </w:r>
      <w:r w:rsidR="00894423" w:rsidRPr="00CF6490">
        <w:t xml:space="preserve"> infringe EU law</w:t>
      </w:r>
      <w:r w:rsidR="00894423">
        <w:t>.</w:t>
      </w:r>
    </w:p>
    <w:p w14:paraId="104E649D" w14:textId="066D3105" w:rsidR="001C1A39" w:rsidRDefault="00894423" w:rsidP="0023539C">
      <w:r>
        <w:t xml:space="preserve">   </w:t>
      </w:r>
      <w:r w:rsidR="008C7CB3">
        <w:t>Longmore LJ's</w:t>
      </w:r>
      <w:r>
        <w:t xml:space="preserve"> other ground for distinguishing </w:t>
      </w:r>
      <w:r w:rsidRPr="00CF6490">
        <w:rPr>
          <w:u w:val="single"/>
        </w:rPr>
        <w:t>Turner</w:t>
      </w:r>
      <w:r w:rsidRPr="00C111E0">
        <w:t xml:space="preserve"> v </w:t>
      </w:r>
      <w:r w:rsidRPr="00CF6490">
        <w:rPr>
          <w:u w:val="single"/>
        </w:rPr>
        <w:t>Grovit</w:t>
      </w:r>
      <w:r w:rsidR="008C7CB3">
        <w:t xml:space="preserve">, that it applies only to anti-suit injunctions, </w:t>
      </w:r>
      <w:r>
        <w:t>looks more suspect. A</w:t>
      </w:r>
      <w:r w:rsidR="002D7153">
        <w:t xml:space="preserve">s </w:t>
      </w:r>
      <w:r>
        <w:t xml:space="preserve">with the Sicilian proceedings </w:t>
      </w:r>
      <w:r w:rsidR="002D7153">
        <w:t xml:space="preserve">in </w:t>
      </w:r>
      <w:r w:rsidR="002D7153" w:rsidRPr="001D003D">
        <w:rPr>
          <w:u w:val="single"/>
        </w:rPr>
        <w:t xml:space="preserve">The Front </w:t>
      </w:r>
      <w:r w:rsidR="002D7153" w:rsidRPr="001D003D">
        <w:rPr>
          <w:u w:val="single"/>
        </w:rPr>
        <w:lastRenderedPageBreak/>
        <w:t>Comor</w:t>
      </w:r>
      <w:r w:rsidR="002D7153">
        <w:t xml:space="preserve">, a </w:t>
      </w:r>
      <w:r w:rsidR="002D7153" w:rsidRPr="00282758">
        <w:t xml:space="preserve">damages award </w:t>
      </w:r>
      <w:r>
        <w:t xml:space="preserve">in </w:t>
      </w:r>
      <w:r w:rsidRPr="00894423">
        <w:rPr>
          <w:u w:val="single"/>
        </w:rPr>
        <w:t>The Alexandros T</w:t>
      </w:r>
      <w:r>
        <w:t xml:space="preserve"> </w:t>
      </w:r>
      <w:r w:rsidR="002D7153" w:rsidRPr="00282758">
        <w:t xml:space="preserve">would have "neutralise[d], at any rate in commercial terms, any benefit to </w:t>
      </w:r>
      <w:r w:rsidR="00282758" w:rsidRPr="00282758">
        <w:t xml:space="preserve">[the owners] </w:t>
      </w:r>
      <w:r w:rsidR="002D7153" w:rsidRPr="00282758">
        <w:t>of a judgment in the Greek claims</w:t>
      </w:r>
      <w:r w:rsidR="00282758" w:rsidRPr="00282758">
        <w:t>", rendering the Greek</w:t>
      </w:r>
      <w:r w:rsidR="002D7153" w:rsidRPr="00282758">
        <w:t xml:space="preserve"> proceedings</w:t>
      </w:r>
      <w:r w:rsidR="002D7153">
        <w:t xml:space="preserve"> "</w:t>
      </w:r>
      <w:r w:rsidR="002D7153" w:rsidRPr="00224FF0">
        <w:t>commercially pointless</w:t>
      </w:r>
      <w:r w:rsidR="002D7153">
        <w:t>"</w:t>
      </w:r>
      <w:r>
        <w:t>.</w:t>
      </w:r>
      <w:r w:rsidR="002D7153">
        <w:rPr>
          <w:rStyle w:val="FootnoteReference"/>
        </w:rPr>
        <w:footnoteReference w:id="94"/>
      </w:r>
      <w:r w:rsidR="00282758">
        <w:t xml:space="preserve"> </w:t>
      </w:r>
      <w:r>
        <w:t xml:space="preserve">Surely </w:t>
      </w:r>
      <w:r w:rsidR="00AA0F26">
        <w:t>the logic of the European Court cas</w:t>
      </w:r>
      <w:r w:rsidR="0032256B">
        <w:t>e sh</w:t>
      </w:r>
      <w:r>
        <w:t xml:space="preserve">ould have </w:t>
      </w:r>
      <w:r w:rsidR="0023539C">
        <w:t>applied</w:t>
      </w:r>
      <w:r w:rsidR="00AA0F26">
        <w:t xml:space="preserve"> equally to a damages claim, </w:t>
      </w:r>
      <w:r>
        <w:t>had the Regulation been triggered.</w:t>
      </w:r>
      <w:r w:rsidR="003A33AD">
        <w:t xml:space="preserve"> However, Longmore LJ thought otherwise.</w:t>
      </w:r>
    </w:p>
    <w:p w14:paraId="439566AF" w14:textId="6D371DCD" w:rsidR="00B17BB5" w:rsidRDefault="00B17BB5" w:rsidP="00B17BB5">
      <w:pPr>
        <w:pStyle w:val="Heading1"/>
      </w:pPr>
      <w:r>
        <w:t>Summary of remedies in respect of proceedings within the EU</w:t>
      </w:r>
    </w:p>
    <w:p w14:paraId="4E43FEA6" w14:textId="7E33CCEB" w:rsidR="003A33AD" w:rsidRDefault="00894423" w:rsidP="0023539C">
      <w:r>
        <w:t xml:space="preserve">In summary, I </w:t>
      </w:r>
      <w:r w:rsidR="00B17BB5">
        <w:t>suggest the following to be</w:t>
      </w:r>
      <w:r>
        <w:t xml:space="preserve"> the position where suit is brought in the EU, in breach of an arbitration agreement. An anti-suit injunction cannot be awarded, as long as </w:t>
      </w:r>
      <w:r w:rsidRPr="004110AB">
        <w:rPr>
          <w:u w:val="single"/>
        </w:rPr>
        <w:t>The Front Comor</w:t>
      </w:r>
      <w:r>
        <w:t xml:space="preserve"> (ECJ) remains good law.</w:t>
      </w:r>
      <w:r w:rsidR="00B17BB5">
        <w:rPr>
          <w:rStyle w:val="FootnoteReference"/>
        </w:rPr>
        <w:footnoteReference w:id="95"/>
      </w:r>
      <w:r>
        <w:t xml:space="preserve"> For that reason, equitable damages in lieu cannot be awarded </w:t>
      </w:r>
      <w:r>
        <w:lastRenderedPageBreak/>
        <w:t xml:space="preserve">in an English court, and hence </w:t>
      </w:r>
      <w:r w:rsidR="003A33AD">
        <w:t>cannot be awarded in an arbitral tribunal either</w:t>
      </w:r>
      <w:r w:rsidR="00FB1CE2">
        <w:t>.</w:t>
      </w:r>
      <w:r w:rsidR="008C7CB3">
        <w:rPr>
          <w:rStyle w:val="FootnoteReference"/>
        </w:rPr>
        <w:footnoteReference w:id="96"/>
      </w:r>
      <w:r w:rsidR="003A33AD">
        <w:t xml:space="preserve"> The equitable damages conclusions do not follow from the EC Regulation, but from the general </w:t>
      </w:r>
      <w:r w:rsidR="008C7CB3">
        <w:t xml:space="preserve">English law </w:t>
      </w:r>
      <w:r w:rsidR="003A33AD">
        <w:t>requirements for such damages in the first case, and by virtue of the application, in the second, of s. 48(5)(a) of the Arbitration Act 1996,</w:t>
      </w:r>
      <w:r w:rsidR="00FB1CE2">
        <w:t xml:space="preserve"> </w:t>
      </w:r>
      <w:r w:rsidR="003A33AD">
        <w:t xml:space="preserve">in the absence of agreement between the parties to the contrary. </w:t>
      </w:r>
      <w:r w:rsidR="00FB1CE2">
        <w:t xml:space="preserve">I suggest </w:t>
      </w:r>
      <w:r w:rsidR="003A33AD">
        <w:t xml:space="preserve">therefore </w:t>
      </w:r>
      <w:r w:rsidR="00FB1CE2">
        <w:t xml:space="preserve">that Flaux J was wrong </w:t>
      </w:r>
      <w:r w:rsidR="003A33AD">
        <w:t>to award such damages, not because of European, but because of English law.</w:t>
      </w:r>
      <w:r w:rsidR="00B17BB5">
        <w:rPr>
          <w:rStyle w:val="FootnoteReference"/>
        </w:rPr>
        <w:footnoteReference w:id="97"/>
      </w:r>
    </w:p>
    <w:p w14:paraId="44ED10E7" w14:textId="5D25B257" w:rsidR="003A33AD" w:rsidRDefault="003A33AD" w:rsidP="0023539C">
      <w:r>
        <w:t xml:space="preserve">   According to </w:t>
      </w:r>
      <w:r w:rsidRPr="003A33AD">
        <w:rPr>
          <w:u w:val="single"/>
        </w:rPr>
        <w:t>The Alexandros T</w:t>
      </w:r>
      <w:r>
        <w:t xml:space="preserve">, however, common law damages fall outside the scope of </w:t>
      </w:r>
      <w:r w:rsidRPr="00CF6490">
        <w:rPr>
          <w:u w:val="single"/>
        </w:rPr>
        <w:t>Turner</w:t>
      </w:r>
      <w:r w:rsidRPr="00C111E0">
        <w:t xml:space="preserve"> v </w:t>
      </w:r>
      <w:r w:rsidRPr="00CF6490">
        <w:rPr>
          <w:u w:val="single"/>
        </w:rPr>
        <w:t>Grovit</w:t>
      </w:r>
      <w:r w:rsidRPr="003A33AD">
        <w:t>, and presumably therefore, also</w:t>
      </w:r>
      <w:r w:rsidR="008C7CB3">
        <w:t xml:space="preserve"> of</w:t>
      </w:r>
      <w:r w:rsidRPr="003A33AD">
        <w:t xml:space="preserve"> </w:t>
      </w:r>
      <w:r w:rsidRPr="004110AB">
        <w:rPr>
          <w:u w:val="single"/>
        </w:rPr>
        <w:t>The Front Comor</w:t>
      </w:r>
      <w:r>
        <w:t xml:space="preserve"> (ECJ). Whether or not this is correct, </w:t>
      </w:r>
      <w:r w:rsidR="00073ACD">
        <w:t>an arbitral tribunal should be entitled to award them under s. 48(4) o</w:t>
      </w:r>
      <w:r w:rsidR="008C7CB3">
        <w:t xml:space="preserve">f the Arbitration Act 1996, </w:t>
      </w:r>
      <w:r w:rsidR="00073ACD">
        <w:t>given that the European Court decisions do not apply to tribunal proceedings.</w:t>
      </w:r>
    </w:p>
    <w:p w14:paraId="49181DCD" w14:textId="2FEA639B" w:rsidR="003A33AD" w:rsidRDefault="00E30344" w:rsidP="0023539C">
      <w:r>
        <w:t xml:space="preserve">   Indemnities, such as that found in </w:t>
      </w:r>
      <w:r w:rsidRPr="003A33AD">
        <w:rPr>
          <w:u w:val="single"/>
        </w:rPr>
        <w:t>The Alexandros T</w:t>
      </w:r>
      <w:r>
        <w:t xml:space="preserve">, are </w:t>
      </w:r>
      <w:r>
        <w:lastRenderedPageBreak/>
        <w:t>uncommon in arbitration agreements, and common law damages are inapposite to cover fut</w:t>
      </w:r>
      <w:r w:rsidR="007265FD">
        <w:t xml:space="preserve">ure breaches. </w:t>
      </w:r>
      <w:r w:rsidR="007265FD" w:rsidRPr="007265FD">
        <w:t xml:space="preserve">It cannot </w:t>
      </w:r>
      <w:r w:rsidR="007265FD">
        <w:t xml:space="preserve">therefore </w:t>
      </w:r>
      <w:r w:rsidR="007265FD" w:rsidRPr="007265FD">
        <w:t>be a</w:t>
      </w:r>
      <w:r w:rsidR="007265FD">
        <w:t xml:space="preserve">ssumed that damages will generally </w:t>
      </w:r>
      <w:r w:rsidR="007265FD" w:rsidRPr="007265FD">
        <w:t>be available, covering future losses as</w:t>
      </w:r>
      <w:r w:rsidR="007265FD">
        <w:t xml:space="preserve"> well as p</w:t>
      </w:r>
      <w:r w:rsidR="00B17BB5">
        <w:t>ast, whether originally s</w:t>
      </w:r>
      <w:r w:rsidR="007265FD">
        <w:t>ought in a tribunal or a court, where European proceedings are brought in breach of an arbitration clause.</w:t>
      </w:r>
    </w:p>
    <w:p w14:paraId="7973F0FD" w14:textId="170B429D" w:rsidR="00E30344" w:rsidRDefault="007265FD" w:rsidP="007265FD">
      <w:pPr>
        <w:pStyle w:val="Heading1"/>
      </w:pPr>
      <w:r>
        <w:t>Proceedings brought outside the EU</w:t>
      </w:r>
    </w:p>
    <w:p w14:paraId="6C916BAB" w14:textId="14088E3E" w:rsidR="007265FD" w:rsidRDefault="007265FD" w:rsidP="007D2425">
      <w:pPr>
        <w:rPr>
          <w:lang w:eastAsia="en-GB"/>
        </w:rPr>
      </w:pPr>
      <w:r>
        <w:t>The decisions dis</w:t>
      </w:r>
      <w:r w:rsidR="00B17BB5">
        <w:t>cussed so far have concentrated, not on</w:t>
      </w:r>
      <w:r>
        <w:t xml:space="preserve"> quantum, but </w:t>
      </w:r>
      <w:r w:rsidR="00FD6FA7">
        <w:t xml:space="preserve">on </w:t>
      </w:r>
      <w:r>
        <w:t xml:space="preserve">whether damages are available in the first place. </w:t>
      </w:r>
      <w:r w:rsidRPr="159CCDB9">
        <w:rPr>
          <w:u w:val="single"/>
        </w:rPr>
        <w:t xml:space="preserve">Compania Sud Americana de Vapores </w:t>
      </w:r>
      <w:r w:rsidRPr="004857E8">
        <w:rPr>
          <w:u w:val="single"/>
        </w:rPr>
        <w:t>SA</w:t>
      </w:r>
      <w:r w:rsidRPr="004857E8">
        <w:t xml:space="preserve"> v </w:t>
      </w:r>
      <w:r w:rsidRPr="004857E8">
        <w:rPr>
          <w:u w:val="single"/>
        </w:rPr>
        <w:t>Hin-Pro International</w:t>
      </w:r>
      <w:r w:rsidRPr="159CCDB9">
        <w:rPr>
          <w:u w:val="single"/>
        </w:rPr>
        <w:t xml:space="preserve"> Logistics Ltd</w:t>
      </w:r>
      <w:r w:rsidRPr="007D2425">
        <w:t xml:space="preserve"> </w:t>
      </w:r>
      <w:r>
        <w:rPr>
          <w:lang w:eastAsia="en-GB"/>
        </w:rPr>
        <w:t>was another case where damages were sought, this time in respect of proceedings outside the EU.</w:t>
      </w:r>
      <w:r w:rsidR="00F4791B">
        <w:rPr>
          <w:rStyle w:val="FootnoteReference"/>
          <w:lang w:eastAsia="en-GB"/>
        </w:rPr>
        <w:footnoteReference w:id="98"/>
      </w:r>
      <w:r w:rsidR="00E62125">
        <w:rPr>
          <w:lang w:eastAsia="en-GB"/>
        </w:rPr>
        <w:t xml:space="preserve"> The availability of damages was not in dispute, once a breach was established, but </w:t>
      </w:r>
      <w:r w:rsidR="00E83D5B">
        <w:rPr>
          <w:lang w:eastAsia="en-GB"/>
        </w:rPr>
        <w:t xml:space="preserve">in this case </w:t>
      </w:r>
      <w:r w:rsidR="00E62125">
        <w:rPr>
          <w:lang w:eastAsia="en-GB"/>
        </w:rPr>
        <w:t>there were quantum issues,</w:t>
      </w:r>
    </w:p>
    <w:p w14:paraId="7D200FB6" w14:textId="38EA41EA" w:rsidR="00775CE7" w:rsidRDefault="004857E8" w:rsidP="00775CE7">
      <w:r w:rsidRPr="000C4158">
        <w:lastRenderedPageBreak/>
        <w:t xml:space="preserve">   </w:t>
      </w:r>
      <w:r w:rsidR="000C4158" w:rsidRPr="000C4158">
        <w:t>T</w:t>
      </w:r>
      <w:r w:rsidR="00316018" w:rsidRPr="000C4158">
        <w:t>he</w:t>
      </w:r>
      <w:r w:rsidR="00CF1786" w:rsidRPr="000C4158">
        <w:t xml:space="preserve"> breach </w:t>
      </w:r>
      <w:r w:rsidR="00316018" w:rsidRPr="000C4158">
        <w:t>was of what was held</w:t>
      </w:r>
      <w:r w:rsidR="00CF1786" w:rsidRPr="000C4158">
        <w:t xml:space="preserve"> </w:t>
      </w:r>
      <w:r w:rsidR="007D2425" w:rsidRPr="000C4158">
        <w:t>to be an English exclusive jurisdiction clause,</w:t>
      </w:r>
      <w:r w:rsidR="00FD6FA7">
        <w:rPr>
          <w:rStyle w:val="FootnoteReference"/>
        </w:rPr>
        <w:footnoteReference w:id="99"/>
      </w:r>
      <w:r w:rsidR="007D2425" w:rsidRPr="000C4158">
        <w:t xml:space="preserve"> </w:t>
      </w:r>
      <w:r w:rsidR="007D2425">
        <w:rPr>
          <w:lang w:eastAsia="en-GB"/>
        </w:rPr>
        <w:t>t</w:t>
      </w:r>
      <w:r w:rsidR="00CF1786">
        <w:rPr>
          <w:lang w:eastAsia="en-GB"/>
        </w:rPr>
        <w:t>he breach being</w:t>
      </w:r>
      <w:r w:rsidR="007D2425">
        <w:rPr>
          <w:lang w:eastAsia="en-GB"/>
        </w:rPr>
        <w:t xml:space="preserve"> </w:t>
      </w:r>
      <w:r w:rsidR="009440FF">
        <w:rPr>
          <w:lang w:eastAsia="en-GB"/>
        </w:rPr>
        <w:t xml:space="preserve">the </w:t>
      </w:r>
      <w:r w:rsidR="007D2425">
        <w:rPr>
          <w:lang w:eastAsia="en-GB"/>
        </w:rPr>
        <w:t xml:space="preserve">bringing </w:t>
      </w:r>
      <w:r w:rsidR="009440FF">
        <w:rPr>
          <w:lang w:eastAsia="en-GB"/>
        </w:rPr>
        <w:t xml:space="preserve">of </w:t>
      </w:r>
      <w:r w:rsidR="007D2425">
        <w:rPr>
          <w:lang w:eastAsia="en-GB"/>
        </w:rPr>
        <w:t xml:space="preserve">suit in China. </w:t>
      </w:r>
      <w:r w:rsidR="00CF1786">
        <w:rPr>
          <w:lang w:eastAsia="en-GB"/>
        </w:rPr>
        <w:t>In respect of the negative aspect of their enforcement, exclu</w:t>
      </w:r>
      <w:r w:rsidR="00B525DE">
        <w:rPr>
          <w:lang w:eastAsia="en-GB"/>
        </w:rPr>
        <w:t>sive jurisdiction</w:t>
      </w:r>
      <w:r w:rsidR="009440FF">
        <w:rPr>
          <w:lang w:eastAsia="en-GB"/>
        </w:rPr>
        <w:t xml:space="preserve"> clauses</w:t>
      </w:r>
      <w:r w:rsidR="000C4158">
        <w:rPr>
          <w:lang w:eastAsia="en-GB"/>
        </w:rPr>
        <w:t xml:space="preserve">, like </w:t>
      </w:r>
      <w:r w:rsidR="00A026A1">
        <w:rPr>
          <w:lang w:eastAsia="en-GB"/>
        </w:rPr>
        <w:t xml:space="preserve">the </w:t>
      </w:r>
      <w:r w:rsidR="000C4158">
        <w:rPr>
          <w:lang w:eastAsia="en-GB"/>
        </w:rPr>
        <w:t>final settlement clauses</w:t>
      </w:r>
      <w:r w:rsidR="00A026A1">
        <w:rPr>
          <w:lang w:eastAsia="en-GB"/>
        </w:rPr>
        <w:t xml:space="preserve"> in </w:t>
      </w:r>
      <w:r w:rsidR="00A026A1" w:rsidRPr="00A026A1">
        <w:rPr>
          <w:u w:val="single"/>
          <w:lang w:eastAsia="en-GB"/>
        </w:rPr>
        <w:t>The Alexandros T</w:t>
      </w:r>
      <w:r w:rsidR="000C4158">
        <w:rPr>
          <w:lang w:eastAsia="en-GB"/>
        </w:rPr>
        <w:t>,</w:t>
      </w:r>
      <w:r w:rsidR="00B525DE">
        <w:rPr>
          <w:lang w:eastAsia="en-GB"/>
        </w:rPr>
        <w:t xml:space="preserve"> raise </w:t>
      </w:r>
      <w:r w:rsidR="00CF1786">
        <w:rPr>
          <w:lang w:eastAsia="en-GB"/>
        </w:rPr>
        <w:t xml:space="preserve">issues </w:t>
      </w:r>
      <w:r w:rsidR="00B525DE">
        <w:rPr>
          <w:lang w:eastAsia="en-GB"/>
        </w:rPr>
        <w:t xml:space="preserve">similar to those of </w:t>
      </w:r>
      <w:r w:rsidR="00CF1786">
        <w:rPr>
          <w:lang w:eastAsia="en-GB"/>
        </w:rPr>
        <w:t>arbitration clauses</w:t>
      </w:r>
      <w:r w:rsidR="001605BF">
        <w:rPr>
          <w:lang w:eastAsia="en-GB"/>
        </w:rPr>
        <w:t>. I</w:t>
      </w:r>
      <w:r w:rsidR="00CF1786">
        <w:rPr>
          <w:lang w:eastAsia="en-GB"/>
        </w:rPr>
        <w:t xml:space="preserve">ndeed </w:t>
      </w:r>
      <w:r w:rsidR="00775CE7">
        <w:rPr>
          <w:lang w:eastAsia="en-GB"/>
        </w:rPr>
        <w:t xml:space="preserve">when </w:t>
      </w:r>
      <w:r w:rsidR="00CF1786">
        <w:rPr>
          <w:lang w:eastAsia="en-GB"/>
        </w:rPr>
        <w:t>Cooke J</w:t>
      </w:r>
      <w:r w:rsidR="00614041">
        <w:rPr>
          <w:lang w:eastAsia="en-GB"/>
        </w:rPr>
        <w:t xml:space="preserve"> </w:t>
      </w:r>
      <w:r w:rsidR="00775CE7">
        <w:rPr>
          <w:lang w:eastAsia="en-GB"/>
        </w:rPr>
        <w:t>obseved that "</w:t>
      </w:r>
      <w:r w:rsidR="00775CE7" w:rsidRPr="000509E5">
        <w:t>Hin-Pro has contracted not to seek relief in any forum other than England. In breach of that obligatio</w:t>
      </w:r>
      <w:r w:rsidR="00775CE7">
        <w:t>n it has sought relief in China</w:t>
      </w:r>
      <w:r w:rsidR="00775CE7" w:rsidRPr="000509E5">
        <w:t>"</w:t>
      </w:r>
      <w:r w:rsidR="00775CE7">
        <w:t>,</w:t>
      </w:r>
      <w:r w:rsidR="00614041">
        <w:rPr>
          <w:rStyle w:val="FootnoteReference"/>
          <w:lang w:eastAsia="en-GB"/>
        </w:rPr>
        <w:footnoteReference w:id="100"/>
      </w:r>
      <w:r w:rsidR="00775CE7">
        <w:t xml:space="preserve"> he referred explicity to </w:t>
      </w:r>
      <w:r w:rsidR="00614041">
        <w:t>Lord Mance</w:t>
      </w:r>
      <w:r w:rsidR="00775CE7">
        <w:t>'s comments</w:t>
      </w:r>
      <w:r w:rsidR="009440FF">
        <w:t>, referred to earlier,</w:t>
      </w:r>
      <w:r w:rsidR="00775CE7">
        <w:t xml:space="preserve"> on the "</w:t>
      </w:r>
      <w:r w:rsidR="00614041">
        <w:t>negati</w:t>
      </w:r>
      <w:r w:rsidR="00775CE7">
        <w:t>ve promise"</w:t>
      </w:r>
      <w:r w:rsidR="00614041">
        <w:t xml:space="preserve"> in </w:t>
      </w:r>
      <w:r w:rsidR="00775CE7" w:rsidRPr="003504CA">
        <w:rPr>
          <w:u w:val="single"/>
        </w:rPr>
        <w:t>UST</w:t>
      </w:r>
      <w:r w:rsidR="00775CE7" w:rsidRPr="000A2468">
        <w:t xml:space="preserve"> v </w:t>
      </w:r>
      <w:r w:rsidR="00775CE7" w:rsidRPr="000A2468">
        <w:rPr>
          <w:u w:val="single"/>
        </w:rPr>
        <w:t>AES</w:t>
      </w:r>
      <w:r w:rsidR="00614041" w:rsidRPr="000509E5">
        <w:t>.</w:t>
      </w:r>
      <w:r w:rsidR="003917A1">
        <w:rPr>
          <w:rStyle w:val="FootnoteReference"/>
        </w:rPr>
        <w:footnoteReference w:id="101"/>
      </w:r>
      <w:r w:rsidR="00614041" w:rsidRPr="000509E5">
        <w:t xml:space="preserve"> </w:t>
      </w:r>
      <w:r w:rsidR="00775CE7">
        <w:t xml:space="preserve">Lord Mance were there referring to an arbitration clause, </w:t>
      </w:r>
      <w:r w:rsidR="00E83D5B">
        <w:t>but</w:t>
      </w:r>
      <w:r w:rsidR="00775CE7">
        <w:t xml:space="preserve"> Cooke J </w:t>
      </w:r>
      <w:r w:rsidR="009440FF">
        <w:t xml:space="preserve">properly </w:t>
      </w:r>
      <w:r w:rsidR="00E83D5B">
        <w:t xml:space="preserve">ignored the </w:t>
      </w:r>
      <w:r w:rsidR="00E83D5B">
        <w:lastRenderedPageBreak/>
        <w:t>distinction</w:t>
      </w:r>
      <w:r w:rsidR="00775CE7">
        <w:t>.</w:t>
      </w:r>
      <w:r w:rsidR="00E83D5B">
        <w:rPr>
          <w:rStyle w:val="FootnoteReference"/>
        </w:rPr>
        <w:footnoteReference w:id="102"/>
      </w:r>
    </w:p>
    <w:p w14:paraId="6F20D9C3" w14:textId="38A716A9" w:rsidR="00003BBB" w:rsidRPr="00003BBB" w:rsidRDefault="00775CE7" w:rsidP="00003BBB">
      <w:pPr>
        <w:rPr>
          <w:rFonts w:ascii="Times New Roman" w:hAnsi="Times New Roman" w:cs="Times New Roman"/>
          <w:color w:val="auto"/>
          <w:szCs w:val="24"/>
          <w:lang w:eastAsia="en-GB"/>
        </w:rPr>
      </w:pPr>
      <w:r>
        <w:t xml:space="preserve">   </w:t>
      </w:r>
      <w:r w:rsidR="00DF5C36" w:rsidRPr="006A3FAD">
        <w:t xml:space="preserve">In </w:t>
      </w:r>
      <w:r w:rsidR="00DF5C36" w:rsidRPr="006A3FAD">
        <w:rPr>
          <w:u w:val="single"/>
        </w:rPr>
        <w:t>CSAV v Hin-Pro</w:t>
      </w:r>
      <w:r w:rsidR="00DF5C36" w:rsidRPr="006A3FAD">
        <w:t>, d</w:t>
      </w:r>
      <w:r w:rsidR="007D2425" w:rsidRPr="006A3FAD">
        <w:t xml:space="preserve">amages were sought additionally to an anti-suit injunction, which was issued but ignored. </w:t>
      </w:r>
      <w:r w:rsidR="00B525DE" w:rsidRPr="006A3FAD">
        <w:t xml:space="preserve">Of course there was no question of the EC Regulation giving rise to difficulties, </w:t>
      </w:r>
      <w:r w:rsidR="008B218A" w:rsidRPr="006A3FAD">
        <w:t xml:space="preserve">but here the equitable remedy was proving ineffective, as opposed to unavailable. </w:t>
      </w:r>
      <w:r w:rsidR="007D2425" w:rsidRPr="006A3FAD">
        <w:t xml:space="preserve">This time quantum was at issue. </w:t>
      </w:r>
      <w:r w:rsidR="008C0765" w:rsidRPr="006A3FAD">
        <w:t>After observing that damages</w:t>
      </w:r>
      <w:r w:rsidR="00AC5501" w:rsidRPr="006A3FAD">
        <w:t xml:space="preserve"> </w:t>
      </w:r>
      <w:r w:rsidR="008C0765" w:rsidRPr="006A3FAD">
        <w:t>should</w:t>
      </w:r>
      <w:r w:rsidR="00AC5501" w:rsidRPr="006A3FAD">
        <w:t xml:space="preserve">, of course, </w:t>
      </w:r>
      <w:r w:rsidR="008C0765" w:rsidRPr="006A3FAD">
        <w:t xml:space="preserve">be assessed so as to put </w:t>
      </w:r>
      <w:r w:rsidR="00AC5501" w:rsidRPr="006A3FAD">
        <w:t xml:space="preserve">CSAV </w:t>
      </w:r>
      <w:r w:rsidR="00DC51FB">
        <w:t xml:space="preserve">in the position </w:t>
      </w:r>
      <w:r w:rsidR="008C0765" w:rsidRPr="006A3FAD">
        <w:t>t</w:t>
      </w:r>
      <w:r w:rsidR="00AC5501" w:rsidRPr="006A3FAD">
        <w:t>hey</w:t>
      </w:r>
      <w:r w:rsidR="008C0765" w:rsidRPr="006A3FAD">
        <w:t xml:space="preserve"> would have been </w:t>
      </w:r>
      <w:r w:rsidR="00003BBB" w:rsidRPr="006A3FAD">
        <w:t xml:space="preserve">had </w:t>
      </w:r>
      <w:r w:rsidR="008C0765" w:rsidRPr="006A3FAD">
        <w:t>Hin-Pro</w:t>
      </w:r>
      <w:r w:rsidR="00003BBB" w:rsidRPr="006A3FAD">
        <w:t xml:space="preserve"> </w:t>
      </w:r>
      <w:r w:rsidR="008C0765" w:rsidRPr="006A3FAD">
        <w:t xml:space="preserve">not broken the contract, </w:t>
      </w:r>
      <w:r w:rsidR="007D2425" w:rsidRPr="006A3FAD">
        <w:t xml:space="preserve">Cooke J </w:t>
      </w:r>
      <w:r w:rsidR="00B238C0">
        <w:t>addres</w:t>
      </w:r>
      <w:r w:rsidR="00BC0608">
        <w:t>s</w:t>
      </w:r>
      <w:r w:rsidR="00B238C0">
        <w:t xml:space="preserve">ed the question </w:t>
      </w:r>
      <w:r w:rsidR="00BC0608">
        <w:t xml:space="preserve">whether </w:t>
      </w:r>
      <w:r w:rsidR="00BC0608" w:rsidRPr="00003BBB">
        <w:t xml:space="preserve">CSAV </w:t>
      </w:r>
      <w:r w:rsidR="0085289D">
        <w:t>should</w:t>
      </w:r>
      <w:r w:rsidR="00BC0608">
        <w:t xml:space="preserve"> show that there would have been</w:t>
      </w:r>
      <w:r w:rsidR="00BC0608" w:rsidRPr="00003BBB">
        <w:t xml:space="preserve"> no liability, </w:t>
      </w:r>
      <w:r w:rsidR="00BC0608">
        <w:t xml:space="preserve">had they been sued in England in accordance </w:t>
      </w:r>
      <w:r w:rsidR="00BC0608" w:rsidRPr="00003BBB">
        <w:t xml:space="preserve">with the jurisdiction clause, in order to recover damages in relation to anything other </w:t>
      </w:r>
      <w:r w:rsidR="00BC0608" w:rsidRPr="00003BBB">
        <w:lastRenderedPageBreak/>
        <w:t>than costs</w:t>
      </w:r>
      <w:r w:rsidR="00BC0608">
        <w:t>.</w:t>
      </w:r>
      <w:r w:rsidR="007D2425">
        <w:rPr>
          <w:rStyle w:val="FootnoteReference"/>
          <w:lang w:eastAsia="en-GB"/>
        </w:rPr>
        <w:footnoteReference w:id="103"/>
      </w:r>
      <w:r w:rsidR="00DC51FB">
        <w:t xml:space="preserve"> </w:t>
      </w:r>
      <w:r w:rsidR="00003BBB" w:rsidRPr="00003BBB">
        <w:rPr>
          <w:lang w:eastAsia="en-GB"/>
        </w:rPr>
        <w:t>This might, in many circumstances, be difficu</w:t>
      </w:r>
      <w:r w:rsidR="00003BBB">
        <w:rPr>
          <w:lang w:eastAsia="en-GB"/>
        </w:rPr>
        <w:t>lt to do, but he continued</w:t>
      </w:r>
      <w:r w:rsidR="009440FF">
        <w:rPr>
          <w:lang w:eastAsia="en-GB"/>
        </w:rPr>
        <w:t>, observing</w:t>
      </w:r>
      <w:r w:rsidR="00003BBB">
        <w:rPr>
          <w:lang w:eastAsia="en-GB"/>
        </w:rPr>
        <w:t>:</w:t>
      </w:r>
      <w:r w:rsidR="00003BBB">
        <w:rPr>
          <w:rStyle w:val="FootnoteReference"/>
          <w:lang w:eastAsia="en-GB"/>
        </w:rPr>
        <w:footnoteReference w:id="104"/>
      </w:r>
    </w:p>
    <w:p w14:paraId="262437E8" w14:textId="34DB4371" w:rsidR="00AA235E" w:rsidRDefault="00CE1B58" w:rsidP="005A01E0">
      <w:pPr>
        <w:pStyle w:val="Quote"/>
      </w:pPr>
      <w:r>
        <w:t>"</w:t>
      </w:r>
      <w:r w:rsidR="009440FF">
        <w:t xml:space="preserve">... </w:t>
      </w:r>
      <w:r w:rsidR="00AA235E" w:rsidRPr="009721B3">
        <w:t>that the breach which has occurred is the breach committed by Hin-Pro in bringing foreign proceedings at all. The</w:t>
      </w:r>
      <w:r w:rsidR="00AA235E">
        <w:t xml:space="preserve"> breach does not consist in failing to bring them in the English courts. The relevant comparison with the no-breach situation is therefore a situation in which no proceedings were brought at all. ...</w:t>
      </w:r>
      <w:r>
        <w:t>"</w:t>
      </w:r>
    </w:p>
    <w:p w14:paraId="0036A09A" w14:textId="5FB174A4" w:rsidR="00CE1B58" w:rsidRDefault="00AA235E" w:rsidP="00AA235E">
      <w:pPr>
        <w:rPr>
          <w:lang w:eastAsia="en-GB"/>
        </w:rPr>
      </w:pPr>
      <w:r>
        <w:rPr>
          <w:lang w:eastAsia="en-GB"/>
        </w:rPr>
        <w:t xml:space="preserve">The consequence of this was that CSAV did not have to show </w:t>
      </w:r>
      <w:r w:rsidR="00DC0A13">
        <w:rPr>
          <w:lang w:eastAsia="en-GB"/>
        </w:rPr>
        <w:t xml:space="preserve">that Hin-Pro would have been awarded a lower amount here than in China. </w:t>
      </w:r>
      <w:r w:rsidR="000D07E7">
        <w:rPr>
          <w:lang w:eastAsia="en-GB"/>
        </w:rPr>
        <w:t xml:space="preserve">A similar stance had also been adopted by Longmore LJ in </w:t>
      </w:r>
      <w:r w:rsidR="000D07E7" w:rsidRPr="008076A6">
        <w:rPr>
          <w:u w:val="single"/>
          <w:lang w:eastAsia="en-GB"/>
        </w:rPr>
        <w:t>The Alexandros T</w:t>
      </w:r>
      <w:r w:rsidR="000D07E7">
        <w:rPr>
          <w:lang w:eastAsia="en-GB"/>
        </w:rPr>
        <w:t>, which Cooke J cited.</w:t>
      </w:r>
      <w:r w:rsidR="000D07E7">
        <w:rPr>
          <w:rStyle w:val="FootnoteReference"/>
          <w:lang w:eastAsia="en-GB"/>
        </w:rPr>
        <w:footnoteReference w:id="105"/>
      </w:r>
    </w:p>
    <w:p w14:paraId="79CBFEF4" w14:textId="25C9DA15" w:rsidR="002B2058" w:rsidRDefault="00CE1B58" w:rsidP="00AA235E">
      <w:r>
        <w:lastRenderedPageBreak/>
        <w:t xml:space="preserve">   </w:t>
      </w:r>
      <w:r w:rsidRPr="00CE1B58">
        <w:t>Though one can understand that Cooke J was anxious</w:t>
      </w:r>
      <w:r w:rsidR="00AC5501">
        <w:t xml:space="preserve"> to hold the defendants to the</w:t>
      </w:r>
      <w:r w:rsidRPr="00CE1B58">
        <w:t xml:space="preserve"> agreement</w:t>
      </w:r>
      <w:r w:rsidR="00AC5501">
        <w:t xml:space="preserve"> which they </w:t>
      </w:r>
      <w:r w:rsidR="00AC5501" w:rsidRPr="00AC5501">
        <w:t>had "deliberately disregarded"</w:t>
      </w:r>
      <w:r w:rsidRPr="00AC5501">
        <w:t>,</w:t>
      </w:r>
      <w:r w:rsidR="00AC5501">
        <w:rPr>
          <w:rStyle w:val="FootnoteReference"/>
        </w:rPr>
        <w:footnoteReference w:id="106"/>
      </w:r>
      <w:r w:rsidRPr="00AC5501">
        <w:t xml:space="preserve"> and</w:t>
      </w:r>
      <w:r w:rsidRPr="00CE1B58">
        <w:t xml:space="preserve"> not to put insuperable difficulties in the way of the claimant, t</w:t>
      </w:r>
      <w:r w:rsidR="00DC0A13" w:rsidRPr="00CE1B58">
        <w:t xml:space="preserve">his looks questionable in principle. </w:t>
      </w:r>
      <w:r w:rsidR="00AC5501">
        <w:t xml:space="preserve">Though the breach was </w:t>
      </w:r>
      <w:r w:rsidR="006A3FAD">
        <w:t xml:space="preserve">indeed </w:t>
      </w:r>
      <w:r w:rsidR="00AC5501">
        <w:t>the bringing of foreign proceedings, the</w:t>
      </w:r>
      <w:r w:rsidR="00290FB1">
        <w:t xml:space="preserve"> defendants were entitled </w:t>
      </w:r>
      <w:r w:rsidR="002B2058">
        <w:t xml:space="preserve">under the clause </w:t>
      </w:r>
      <w:r w:rsidR="00697351">
        <w:t xml:space="preserve">to sue in England, and the claimants suffered loss, only to the extent that their liability in the foreign jurisdiction was greater. </w:t>
      </w:r>
    </w:p>
    <w:p w14:paraId="1C1A22AE" w14:textId="041D8548" w:rsidR="00AC5501" w:rsidRDefault="002B2058" w:rsidP="00AA235E">
      <w:pPr>
        <w:rPr>
          <w:lang w:eastAsia="en-GB"/>
        </w:rPr>
      </w:pPr>
      <w:r>
        <w:t xml:space="preserve">   In the event i</w:t>
      </w:r>
      <w:r w:rsidR="00DC0A13" w:rsidRPr="00CE1B58">
        <w:t>t made no difference</w:t>
      </w:r>
      <w:r w:rsidR="00DC0A13">
        <w:rPr>
          <w:lang w:eastAsia="en-GB"/>
        </w:rPr>
        <w:t>, since the claims were in any case time-barred in the UK</w:t>
      </w:r>
      <w:r>
        <w:rPr>
          <w:lang w:eastAsia="en-GB"/>
        </w:rPr>
        <w:t xml:space="preserve">, but that does not make the reasoning any more satisfactory. </w:t>
      </w:r>
      <w:r w:rsidR="00AC5501">
        <w:rPr>
          <w:lang w:eastAsia="en-GB"/>
        </w:rPr>
        <w:t xml:space="preserve">There </w:t>
      </w:r>
      <w:r w:rsidR="00C71AA5">
        <w:rPr>
          <w:lang w:eastAsia="en-GB"/>
        </w:rPr>
        <w:t>may, however, be another approach</w:t>
      </w:r>
      <w:r w:rsidR="00AC5501">
        <w:rPr>
          <w:lang w:eastAsia="en-GB"/>
        </w:rPr>
        <w:t xml:space="preserve">. There was no question that the court in </w:t>
      </w:r>
      <w:r w:rsidR="00AC5501" w:rsidRPr="00AC5501">
        <w:rPr>
          <w:u w:val="single"/>
          <w:lang w:eastAsia="en-GB"/>
        </w:rPr>
        <w:t>CSAV</w:t>
      </w:r>
      <w:r w:rsidR="00AC5501">
        <w:rPr>
          <w:lang w:eastAsia="en-GB"/>
        </w:rPr>
        <w:t xml:space="preserve"> was entitled to award an injunction</w:t>
      </w:r>
      <w:r w:rsidR="007414D0">
        <w:rPr>
          <w:lang w:eastAsia="en-GB"/>
        </w:rPr>
        <w:t xml:space="preserve"> (indeed, it had done so)</w:t>
      </w:r>
      <w:r w:rsidR="00AC5501">
        <w:rPr>
          <w:lang w:eastAsia="en-GB"/>
        </w:rPr>
        <w:t xml:space="preserve">, nor that Hin-Pro had, in breach of contract, acted so as to deprive CSAV of its benefit. The case cries out for an award of equitable damages, in lieu of the injunction </w:t>
      </w:r>
      <w:r w:rsidR="00BF04D9">
        <w:rPr>
          <w:lang w:eastAsia="en-GB"/>
        </w:rPr>
        <w:lastRenderedPageBreak/>
        <w:t>which the defendants ha</w:t>
      </w:r>
      <w:r w:rsidR="002319CA">
        <w:rPr>
          <w:lang w:eastAsia="en-GB"/>
        </w:rPr>
        <w:t>d</w:t>
      </w:r>
      <w:r w:rsidR="00166385">
        <w:rPr>
          <w:lang w:eastAsia="en-GB"/>
        </w:rPr>
        <w:t xml:space="preserve"> rendered inoperable. </w:t>
      </w:r>
      <w:r w:rsidR="001B5A58">
        <w:rPr>
          <w:lang w:eastAsia="en-GB"/>
        </w:rPr>
        <w:t xml:space="preserve">Equitable damages were probably required anyway in </w:t>
      </w:r>
      <w:r w:rsidR="001B5A58" w:rsidRPr="001B5A58">
        <w:rPr>
          <w:u w:val="single"/>
          <w:lang w:eastAsia="en-GB"/>
        </w:rPr>
        <w:t>CSAV</w:t>
      </w:r>
      <w:r w:rsidR="001B5A58">
        <w:rPr>
          <w:lang w:eastAsia="en-GB"/>
        </w:rPr>
        <w:t>, to cover future</w:t>
      </w:r>
      <w:r w:rsidR="002319CA">
        <w:rPr>
          <w:lang w:eastAsia="en-GB"/>
        </w:rPr>
        <w:t xml:space="preserve"> breaches and</w:t>
      </w:r>
      <w:r w:rsidR="001B5A58">
        <w:rPr>
          <w:lang w:eastAsia="en-GB"/>
        </w:rPr>
        <w:t xml:space="preserve"> losses, since there was no equivalent of the </w:t>
      </w:r>
      <w:r w:rsidR="001B5A58" w:rsidRPr="001B5A58">
        <w:rPr>
          <w:u w:val="single"/>
          <w:lang w:eastAsia="en-GB"/>
        </w:rPr>
        <w:t>Alexandros T</w:t>
      </w:r>
      <w:r w:rsidR="001B5A58">
        <w:rPr>
          <w:lang w:eastAsia="en-GB"/>
        </w:rPr>
        <w:t xml:space="preserve"> indemnity in the exclusive jurisdiction clause. </w:t>
      </w:r>
    </w:p>
    <w:p w14:paraId="259F73D1" w14:textId="74C33120" w:rsidR="007414D0" w:rsidRDefault="007414D0" w:rsidP="00AA235E">
      <w:r>
        <w:rPr>
          <w:lang w:eastAsia="en-GB"/>
        </w:rPr>
        <w:t xml:space="preserve">   This is admittedly not t</w:t>
      </w:r>
      <w:r w:rsidR="003E491B">
        <w:rPr>
          <w:lang w:eastAsia="en-GB"/>
        </w:rPr>
        <w:t xml:space="preserve">he situation in which such </w:t>
      </w:r>
      <w:r>
        <w:rPr>
          <w:lang w:eastAsia="en-GB"/>
        </w:rPr>
        <w:t xml:space="preserve">damages are traditionally awarded. </w:t>
      </w:r>
      <w:r w:rsidR="004745B9">
        <w:rPr>
          <w:lang w:eastAsia="en-GB"/>
        </w:rPr>
        <w:t>Most of the cases involve situations where granting an injunction would be oppressive,</w:t>
      </w:r>
      <w:r w:rsidR="004745B9">
        <w:rPr>
          <w:rStyle w:val="FootnoteReference"/>
          <w:lang w:eastAsia="en-GB"/>
        </w:rPr>
        <w:footnoteReference w:id="107"/>
      </w:r>
      <w:r w:rsidR="004745B9">
        <w:rPr>
          <w:lang w:eastAsia="en-GB"/>
        </w:rPr>
        <w:t xml:space="preserve"> and the court in its discretion awards damages in lieu instead. However, in </w:t>
      </w:r>
      <w:r w:rsidR="004745B9" w:rsidRPr="007B3B27">
        <w:rPr>
          <w:kern w:val="36"/>
          <w:szCs w:val="24"/>
          <w:u w:val="single"/>
          <w:lang w:eastAsia="en-GB"/>
        </w:rPr>
        <w:t>One Step (Support) Ltd</w:t>
      </w:r>
      <w:r w:rsidR="004745B9" w:rsidRPr="0035368C">
        <w:rPr>
          <w:kern w:val="36"/>
          <w:szCs w:val="24"/>
          <w:lang w:eastAsia="en-GB"/>
        </w:rPr>
        <w:t xml:space="preserve"> v </w:t>
      </w:r>
      <w:r w:rsidR="004745B9" w:rsidRPr="007B3B27">
        <w:rPr>
          <w:kern w:val="36"/>
          <w:szCs w:val="24"/>
          <w:u w:val="single"/>
          <w:lang w:eastAsia="en-GB"/>
        </w:rPr>
        <w:t>Morris-Garner</w:t>
      </w:r>
      <w:r w:rsidR="004745B9">
        <w:rPr>
          <w:lang w:eastAsia="en-GB"/>
        </w:rPr>
        <w:t xml:space="preserve">, it was accepted that it was enough </w:t>
      </w:r>
      <w:r w:rsidR="004E1A3C">
        <w:t>that damages in lieu are a</w:t>
      </w:r>
      <w:r w:rsidR="004745B9" w:rsidRPr="0035368C">
        <w:t xml:space="preserve"> </w:t>
      </w:r>
      <w:r w:rsidR="004E1A3C">
        <w:t>"</w:t>
      </w:r>
      <w:r w:rsidR="004745B9" w:rsidRPr="0035368C">
        <w:t>just response to circumstances in which the compensation which is the claimant's due cannot be meas</w:t>
      </w:r>
      <w:r w:rsidR="004745B9" w:rsidRPr="0035368C">
        <w:lastRenderedPageBreak/>
        <w:t>ured (or cannot be measured solely) by reference to identifiable financial loss</w:t>
      </w:r>
      <w:r w:rsidR="004745B9">
        <w:t>"</w:t>
      </w:r>
      <w:r w:rsidR="004745B9" w:rsidRPr="0035368C">
        <w:t>.</w:t>
      </w:r>
      <w:r w:rsidR="004745B9">
        <w:rPr>
          <w:rStyle w:val="FootnoteReference"/>
        </w:rPr>
        <w:footnoteReference w:id="108"/>
      </w:r>
      <w:r w:rsidR="004745B9">
        <w:t xml:space="preserve"> Where the defendant has simply ignored the injunction, as in </w:t>
      </w:r>
      <w:r w:rsidR="004745B9" w:rsidRPr="004745B9">
        <w:rPr>
          <w:u w:val="single"/>
        </w:rPr>
        <w:t>CSAV</w:t>
      </w:r>
      <w:r w:rsidR="004745B9">
        <w:t>, the argument for awarding equitable damages is surely stronger than in the normal case.</w:t>
      </w:r>
      <w:r w:rsidR="00553DDB">
        <w:rPr>
          <w:rStyle w:val="FootnoteReference"/>
        </w:rPr>
        <w:footnoteReference w:id="109"/>
      </w:r>
    </w:p>
    <w:p w14:paraId="64A1DD21" w14:textId="793BEF2E" w:rsidR="00583E57" w:rsidRPr="00583E57" w:rsidRDefault="00583E57" w:rsidP="00583E57">
      <w:pPr>
        <w:rPr>
          <w:lang w:eastAsia="en-GB"/>
        </w:rPr>
      </w:pPr>
      <w:r>
        <w:rPr>
          <w:lang w:eastAsia="en-GB"/>
        </w:rPr>
        <w:t xml:space="preserve">   Equitable damages remain compensatory, so if CSAV were unable to prove any loss, they should not have recovered damages, whether at common law or in equity. But the basis upon which loss is assessed is different in equity. CSAV had lost the value of the injunction, which may well have been substantial, whether or not they could show a greater damages liability than had they been sued in the </w:t>
      </w:r>
      <w:r>
        <w:rPr>
          <w:lang w:eastAsia="en-GB"/>
        </w:rPr>
        <w:lastRenderedPageBreak/>
        <w:t>English courts</w:t>
      </w:r>
      <w:r w:rsidR="004E1A3C">
        <w:rPr>
          <w:lang w:eastAsia="en-GB"/>
        </w:rPr>
        <w:t xml:space="preserve">; </w:t>
      </w:r>
      <w:r w:rsidR="00B71E98">
        <w:rPr>
          <w:lang w:eastAsia="en-GB"/>
        </w:rPr>
        <w:t>after all, the defendants had presumably chosen to ignore the injunction for a</w:t>
      </w:r>
      <w:r w:rsidR="004E1A3C">
        <w:rPr>
          <w:lang w:eastAsia="en-GB"/>
        </w:rPr>
        <w:t xml:space="preserve"> reason</w:t>
      </w:r>
      <w:r>
        <w:rPr>
          <w:lang w:eastAsia="en-GB"/>
        </w:rPr>
        <w:t>. Equitable damages will compensate for this loss.</w:t>
      </w:r>
      <w:r>
        <w:rPr>
          <w:rStyle w:val="FootnoteReference"/>
          <w:lang w:eastAsia="en-GB"/>
        </w:rPr>
        <w:footnoteReference w:id="110"/>
      </w:r>
    </w:p>
    <w:p w14:paraId="73B1367C" w14:textId="268DEDB9" w:rsidR="00DC0A13" w:rsidRPr="00AA235E" w:rsidRDefault="00290FB1" w:rsidP="00AA235E">
      <w:pPr>
        <w:rPr>
          <w:lang w:eastAsia="en-GB"/>
        </w:rPr>
      </w:pPr>
      <w:r>
        <w:rPr>
          <w:lang w:eastAsia="en-GB"/>
        </w:rPr>
        <w:t xml:space="preserve">   </w:t>
      </w:r>
      <w:r w:rsidR="00DC0A13">
        <w:rPr>
          <w:lang w:eastAsia="en-GB"/>
        </w:rPr>
        <w:t xml:space="preserve">Cooke J was upheld </w:t>
      </w:r>
      <w:r w:rsidR="00C533FC">
        <w:rPr>
          <w:lang w:eastAsia="en-GB"/>
        </w:rPr>
        <w:t>in the Court of Appeal</w:t>
      </w:r>
      <w:r w:rsidR="00DC0A13">
        <w:rPr>
          <w:lang w:eastAsia="en-GB"/>
        </w:rPr>
        <w:t>,</w:t>
      </w:r>
      <w:r w:rsidR="00DC0A13">
        <w:rPr>
          <w:rStyle w:val="FootnoteReference"/>
          <w:lang w:eastAsia="en-GB"/>
        </w:rPr>
        <w:footnoteReference w:id="111"/>
      </w:r>
      <w:r w:rsidR="00DC0A13">
        <w:rPr>
          <w:lang w:eastAsia="en-GB"/>
        </w:rPr>
        <w:t xml:space="preserve"> but quantum was not discussed</w:t>
      </w:r>
      <w:r w:rsidR="00C533FC">
        <w:rPr>
          <w:lang w:eastAsia="en-GB"/>
        </w:rPr>
        <w:t xml:space="preserve"> there</w:t>
      </w:r>
      <w:r w:rsidR="00DC0A13">
        <w:rPr>
          <w:lang w:eastAsia="en-GB"/>
        </w:rPr>
        <w:t>.</w:t>
      </w:r>
      <w:r w:rsidR="003E491B">
        <w:rPr>
          <w:lang w:eastAsia="en-GB"/>
        </w:rPr>
        <w:t xml:space="preserve"> </w:t>
      </w:r>
    </w:p>
    <w:p w14:paraId="4D484376" w14:textId="3D9E9497" w:rsidR="009331F3" w:rsidRDefault="00CE1B58" w:rsidP="00FB355D">
      <w:pPr>
        <w:pStyle w:val="Heading1"/>
      </w:pPr>
      <w:r>
        <w:t>Third parties</w:t>
      </w:r>
    </w:p>
    <w:p w14:paraId="0A080BD7" w14:textId="716984DE" w:rsidR="009C0E76" w:rsidRDefault="00CC5127" w:rsidP="00E271A4">
      <w:r>
        <w:rPr>
          <w:lang w:eastAsia="en-GB"/>
        </w:rPr>
        <w:t xml:space="preserve">The settlement agreement </w:t>
      </w:r>
      <w:r w:rsidR="00CE1B58">
        <w:rPr>
          <w:lang w:eastAsia="en-GB"/>
        </w:rPr>
        <w:t xml:space="preserve">in </w:t>
      </w:r>
      <w:r w:rsidR="00CE1B58" w:rsidRPr="00CE1B58">
        <w:rPr>
          <w:u w:val="single"/>
          <w:lang w:eastAsia="en-GB"/>
        </w:rPr>
        <w:t>The Alexandros T</w:t>
      </w:r>
      <w:r w:rsidR="00CE1B58">
        <w:rPr>
          <w:lang w:eastAsia="en-GB"/>
        </w:rPr>
        <w:t xml:space="preserve"> </w:t>
      </w:r>
      <w:r>
        <w:rPr>
          <w:lang w:eastAsia="en-GB"/>
        </w:rPr>
        <w:t xml:space="preserve">returned </w:t>
      </w:r>
      <w:r w:rsidR="009C0E76">
        <w:rPr>
          <w:lang w:eastAsia="en-GB"/>
        </w:rPr>
        <w:t xml:space="preserve">yet again </w:t>
      </w:r>
      <w:r>
        <w:rPr>
          <w:lang w:eastAsia="en-GB"/>
        </w:rPr>
        <w:t>to the courts,</w:t>
      </w:r>
      <w:r>
        <w:rPr>
          <w:rStyle w:val="FootnoteReference"/>
          <w:lang w:eastAsia="en-GB"/>
        </w:rPr>
        <w:footnoteReference w:id="112"/>
      </w:r>
      <w:r>
        <w:rPr>
          <w:lang w:eastAsia="en-GB"/>
        </w:rPr>
        <w:t xml:space="preserve"> </w:t>
      </w:r>
      <w:r w:rsidR="003E5644">
        <w:rPr>
          <w:lang w:eastAsia="en-GB"/>
        </w:rPr>
        <w:t>the Greek proceedings continu</w:t>
      </w:r>
      <w:r w:rsidR="003E5644">
        <w:rPr>
          <w:lang w:eastAsia="en-GB"/>
        </w:rPr>
        <w:lastRenderedPageBreak/>
        <w:t xml:space="preserve">ing in spite of the English litigation, </w:t>
      </w:r>
      <w:r>
        <w:rPr>
          <w:lang w:eastAsia="en-GB"/>
        </w:rPr>
        <w:t xml:space="preserve">but this time the </w:t>
      </w:r>
      <w:r w:rsidR="003E5644">
        <w:rPr>
          <w:lang w:eastAsia="en-GB"/>
        </w:rPr>
        <w:t>live issues revolved around</w:t>
      </w:r>
      <w:r>
        <w:rPr>
          <w:lang w:eastAsia="en-GB"/>
        </w:rPr>
        <w:t xml:space="preserve"> the protection of </w:t>
      </w:r>
      <w:r w:rsidRPr="00CC5127">
        <w:t>third parties to the settlement agreement</w:t>
      </w:r>
      <w:r w:rsidR="004E1A3C">
        <w:t>s</w:t>
      </w:r>
      <w:r w:rsidR="00947DA8">
        <w:t>:</w:t>
      </w:r>
      <w:r w:rsidRPr="00CC5127">
        <w:t xml:space="preserve"> </w:t>
      </w:r>
      <w:r w:rsidR="003E5644" w:rsidRPr="00F11ECB">
        <w:t>individual employees and agents of the various insurers</w:t>
      </w:r>
      <w:r w:rsidR="003E5644">
        <w:t xml:space="preserve">, </w:t>
      </w:r>
      <w:r w:rsidRPr="00CC5127">
        <w:t xml:space="preserve">Hill Dickinson </w:t>
      </w:r>
      <w:r w:rsidR="006A3F66">
        <w:t xml:space="preserve">LLP (solicitors) </w:t>
      </w:r>
      <w:r w:rsidRPr="00CC5127">
        <w:t>and the individual lawyers who had had conduct of the defence, and Charles Taylor Adjusting Ltd and the individual adjuster who had investigated the claim.</w:t>
      </w:r>
      <w:r>
        <w:t xml:space="preserve"> </w:t>
      </w:r>
      <w:r w:rsidR="00947DA8">
        <w:t>Actions</w:t>
      </w:r>
      <w:r w:rsidR="004F2704">
        <w:t>, which were tortious or delictual in nature,</w:t>
      </w:r>
      <w:r w:rsidR="00947DA8">
        <w:t xml:space="preserve"> had been brought against these third parties.</w:t>
      </w:r>
      <w:r w:rsidR="00DC2654">
        <w:t xml:space="preserve"> </w:t>
      </w:r>
      <w:r w:rsidR="009C0E76">
        <w:t>Flaux J construed the settlement agreements as covering t</w:t>
      </w:r>
      <w:r w:rsidR="004F2704">
        <w:t>he third party claims, and</w:t>
      </w:r>
      <w:r w:rsidR="009C0E76">
        <w:t xml:space="preserve"> held the Greek proceedings to be in breach of the</w:t>
      </w:r>
      <w:r w:rsidR="004F2704">
        <w:t>m</w:t>
      </w:r>
      <w:r w:rsidR="009C0E76">
        <w:t>.</w:t>
      </w:r>
      <w:r w:rsidR="00A90E90">
        <w:rPr>
          <w:rStyle w:val="FootnoteReference"/>
        </w:rPr>
        <w:footnoteReference w:id="113"/>
      </w:r>
      <w:r w:rsidR="009C0E76">
        <w:t xml:space="preserve"> The </w:t>
      </w:r>
      <w:r w:rsidR="009C0E76" w:rsidRPr="009C0E76">
        <w:t xml:space="preserve">issue was </w:t>
      </w:r>
      <w:r w:rsidR="00171E3B">
        <w:t xml:space="preserve">then </w:t>
      </w:r>
      <w:r w:rsidR="009C0E76" w:rsidRPr="009C0E76">
        <w:t xml:space="preserve">as </w:t>
      </w:r>
      <w:r w:rsidR="009C0E76" w:rsidRPr="009C0E76">
        <w:lastRenderedPageBreak/>
        <w:t>to</w:t>
      </w:r>
      <w:r w:rsidR="00E271A4" w:rsidRPr="009C0E76">
        <w:t xml:space="preserve"> the remedies</w:t>
      </w:r>
      <w:r w:rsidR="009C0E76" w:rsidRPr="009C0E76">
        <w:t>, and the case is of interest for the damages claim in two respects: direct claims by the third parties, and claims by the contracting party in respect of losses occasioned to the third parties.</w:t>
      </w:r>
    </w:p>
    <w:p w14:paraId="4B9AD678" w14:textId="75CBEE74" w:rsidR="009C0E76" w:rsidRDefault="009C0E76" w:rsidP="00FB355D">
      <w:pPr>
        <w:pStyle w:val="Heading2"/>
        <w:rPr>
          <w:lang w:eastAsia="en-GB"/>
        </w:rPr>
      </w:pPr>
      <w:r w:rsidRPr="009C0E76">
        <w:rPr>
          <w:lang w:eastAsia="en-GB"/>
        </w:rPr>
        <w:t>Direct claims by third party</w:t>
      </w:r>
    </w:p>
    <w:p w14:paraId="7A82995D" w14:textId="24B862E7" w:rsidR="00E958D4" w:rsidRDefault="000B7D36" w:rsidP="000B7D36">
      <w:r>
        <w:t>Flaux J held that the settlement agreement</w:t>
      </w:r>
      <w:r w:rsidR="00E958D4">
        <w:t>s</w:t>
      </w:r>
      <w:r w:rsidR="008A7267">
        <w:t xml:space="preserve">, construed as </w:t>
      </w:r>
      <w:r>
        <w:t>contract</w:t>
      </w:r>
      <w:r w:rsidR="008A7267">
        <w:t>s</w:t>
      </w:r>
      <w:r>
        <w:t xml:space="preserve"> not to sue, could be enforced by the third parties under the Contracts (Rights of Third Parties) Act 1999. Given that arbitration and exclusive jurisdiction clauses imply an undertaking not to sue other than in the agreed forum,</w:t>
      </w:r>
      <w:r w:rsidR="006A3F66">
        <w:rPr>
          <w:rStyle w:val="FootnoteReference"/>
        </w:rPr>
        <w:footnoteReference w:id="114"/>
      </w:r>
      <w:r>
        <w:t xml:space="preserve"> the </w:t>
      </w:r>
      <w:r w:rsidR="00BC5C68">
        <w:t>reasoning adopted</w:t>
      </w:r>
      <w:r w:rsidR="00171E3B">
        <w:t xml:space="preserve"> by Flaux J</w:t>
      </w:r>
      <w:r w:rsidR="00BC5C68">
        <w:t xml:space="preserve"> in </w:t>
      </w:r>
      <w:r w:rsidR="00BC5C68" w:rsidRPr="00BC5C68">
        <w:rPr>
          <w:u w:val="single"/>
        </w:rPr>
        <w:t>The Alexandros T</w:t>
      </w:r>
      <w:r w:rsidR="00BC5C68">
        <w:t xml:space="preserve"> would apply also to</w:t>
      </w:r>
      <w:r>
        <w:t xml:space="preserve"> them.</w:t>
      </w:r>
      <w:r w:rsidR="00590DCF">
        <w:t xml:space="preserve"> Indeed, for arbitration, there is specific provision whose purport is to apply the Arbitration Act 1996.</w:t>
      </w:r>
      <w:r w:rsidR="00590DCF">
        <w:rPr>
          <w:rStyle w:val="FootnoteReference"/>
        </w:rPr>
        <w:footnoteReference w:id="115"/>
      </w:r>
      <w:r w:rsidR="00590DCF">
        <w:t xml:space="preserve"> </w:t>
      </w:r>
    </w:p>
    <w:p w14:paraId="60DD6FE5" w14:textId="5FF3CF54" w:rsidR="00E958D4" w:rsidRDefault="00E958D4" w:rsidP="00E958D4">
      <w:r>
        <w:t xml:space="preserve">   The three settlement agreements in </w:t>
      </w:r>
      <w:r w:rsidRPr="00E958D4">
        <w:rPr>
          <w:u w:val="single"/>
        </w:rPr>
        <w:t>The Alexandros T</w:t>
      </w:r>
      <w:r>
        <w:t xml:space="preserve"> </w:t>
      </w:r>
      <w:r w:rsidR="006A3F66">
        <w:t xml:space="preserve">(Hellenic, CMI and LMI) </w:t>
      </w:r>
      <w:r>
        <w:t xml:space="preserve">differed in detail. In respect of the </w:t>
      </w:r>
      <w:r>
        <w:lastRenderedPageBreak/>
        <w:t>Hellenic settlement, the third parties were i</w:t>
      </w:r>
      <w:r w:rsidR="00171E3B">
        <w:t>dentified, and so could easi</w:t>
      </w:r>
      <w:r>
        <w:t>ly be construed as falling within s. 1 of the Act, but they were not so indentified in the CMI and LMI agreements. It required a generous construction of both the settlements and the statute to reach the conclusion that s. 1 applied to them.</w:t>
      </w:r>
      <w:r w:rsidR="006A0687">
        <w:rPr>
          <w:rStyle w:val="FootnoteReference"/>
        </w:rPr>
        <w:footnoteReference w:id="116"/>
      </w:r>
    </w:p>
    <w:p w14:paraId="258BD824" w14:textId="5B26C7F8" w:rsidR="00BA2CC7" w:rsidRDefault="00590DCF" w:rsidP="00590DCF">
      <w:r>
        <w:t xml:space="preserve">   Just as a settlement agreement can benefit, and be enforced by</w:t>
      </w:r>
      <w:r w:rsidR="006A3F66">
        <w:t>,</w:t>
      </w:r>
      <w:r>
        <w:t xml:space="preserve"> third parties under the 1999 Act</w:t>
      </w:r>
      <w:r w:rsidR="00495BFD">
        <w:t xml:space="preserve"> then</w:t>
      </w:r>
      <w:r>
        <w:t xml:space="preserve">, so can an arbitration clause, and but the workings will not always be </w:t>
      </w:r>
      <w:r w:rsidR="004B7DB9">
        <w:lastRenderedPageBreak/>
        <w:t>straightforward</w:t>
      </w:r>
      <w:r>
        <w:t>.</w:t>
      </w:r>
      <w:r w:rsidR="00495BFD">
        <w:t xml:space="preserve"> </w:t>
      </w:r>
      <w:r w:rsidR="00BA2CC7">
        <w:t>U</w:t>
      </w:r>
      <w:r w:rsidR="00495BFD">
        <w:t xml:space="preserve">nlike </w:t>
      </w:r>
      <w:r w:rsidR="00495BFD" w:rsidRPr="00442A02">
        <w:t>the contract</w:t>
      </w:r>
      <w:r w:rsidR="004B7DB9" w:rsidRPr="00442A02">
        <w:t>s</w:t>
      </w:r>
      <w:r w:rsidR="00495BFD" w:rsidRPr="00442A02">
        <w:t xml:space="preserve"> not to sue</w:t>
      </w:r>
      <w:r w:rsidR="00495BFD" w:rsidRPr="00BA2CC7">
        <w:rPr>
          <w:color w:val="FF0000"/>
        </w:rPr>
        <w:t xml:space="preserve"> </w:t>
      </w:r>
      <w:r w:rsidR="00495BFD">
        <w:t xml:space="preserve">in </w:t>
      </w:r>
      <w:r w:rsidR="00495BFD" w:rsidRPr="00495BFD">
        <w:rPr>
          <w:u w:val="single"/>
        </w:rPr>
        <w:t>The Alexandros T</w:t>
      </w:r>
      <w:r w:rsidR="00495BFD">
        <w:t xml:space="preserve">, an arbitration clause, like the exclusive jurisdiction clause in </w:t>
      </w:r>
      <w:r w:rsidR="00495BFD" w:rsidRPr="00495BFD">
        <w:rPr>
          <w:u w:val="single"/>
        </w:rPr>
        <w:t>The Mahkutai</w:t>
      </w:r>
      <w:r w:rsidR="00495BFD">
        <w:t>,</w:t>
      </w:r>
      <w:r w:rsidR="00BA2CC7">
        <w:rPr>
          <w:rStyle w:val="FootnoteReference"/>
        </w:rPr>
        <w:footnoteReference w:id="117"/>
      </w:r>
    </w:p>
    <w:p w14:paraId="7FCDB6A2" w14:textId="328EC760" w:rsidR="00BA2CC7" w:rsidRDefault="00495BFD" w:rsidP="00BA2CC7">
      <w:pPr>
        <w:pStyle w:val="Quote"/>
      </w:pPr>
      <w:r w:rsidRPr="00495BFD">
        <w:t xml:space="preserve">"embodies a mutual agreement under which both parties agree with each other as to the relevant jurisdiction for the resolution of disputes. It is therefore a clause which creates mutual rights and obligations". </w:t>
      </w:r>
    </w:p>
    <w:p w14:paraId="1F004E95" w14:textId="64DC8D4E" w:rsidR="00495BFD" w:rsidRDefault="00495BFD" w:rsidP="00590DCF">
      <w:r>
        <w:t>Such a clau</w:t>
      </w:r>
      <w:r w:rsidR="00054107">
        <w:t>se does not always fit well within</w:t>
      </w:r>
      <w:r>
        <w:t xml:space="preserve"> the 1999 scheme of things,</w:t>
      </w:r>
      <w:r w:rsidR="002D2FE4">
        <w:rPr>
          <w:rStyle w:val="FootnoteReference"/>
        </w:rPr>
        <w:footnoteReference w:id="118"/>
      </w:r>
      <w:r>
        <w:t xml:space="preserve"> nor, as </w:t>
      </w:r>
      <w:r w:rsidRPr="00495BFD">
        <w:rPr>
          <w:u w:val="single"/>
        </w:rPr>
        <w:t>The Mahkutai</w:t>
      </w:r>
      <w:r>
        <w:t xml:space="preserve"> itself shows, the Himalaya clause regime.</w:t>
      </w:r>
    </w:p>
    <w:p w14:paraId="647CE15A" w14:textId="0274601B" w:rsidR="00495BFD" w:rsidRDefault="00495BFD" w:rsidP="00590DCF">
      <w:r>
        <w:t xml:space="preserve">   </w:t>
      </w:r>
      <w:r w:rsidR="006A3F66">
        <w:t>For example, s</w:t>
      </w:r>
      <w:r w:rsidRPr="00495BFD">
        <w:t>uppose</w:t>
      </w:r>
      <w:r>
        <w:t xml:space="preserve"> that in a sea carriage case, the bill of lading</w:t>
      </w:r>
      <w:r w:rsidR="00442A02">
        <w:t xml:space="preserve">, evidencing a carriage contract between shipper </w:t>
      </w:r>
      <w:r w:rsidR="00442A02">
        <w:lastRenderedPageBreak/>
        <w:t>and charterer,</w:t>
      </w:r>
      <w:r>
        <w:t xml:space="preserve"> has a London arbitration</w:t>
      </w:r>
      <w:r w:rsidR="004B7DB9">
        <w:t xml:space="preserve"> clause,</w:t>
      </w:r>
      <w:r>
        <w:t xml:space="preserve"> and a Himalaya clause</w:t>
      </w:r>
      <w:r w:rsidR="00442A02">
        <w:t xml:space="preserve"> extending </w:t>
      </w:r>
      <w:r w:rsidR="004F7785">
        <w:t xml:space="preserve">the benefit of that clause to </w:t>
      </w:r>
      <w:r w:rsidR="00442A02">
        <w:t>third part</w:t>
      </w:r>
      <w:r w:rsidR="004F7785">
        <w:t>ies, including the shipowner</w:t>
      </w:r>
      <w:r w:rsidR="004B7DB9">
        <w:t>. T</w:t>
      </w:r>
      <w:r>
        <w:t xml:space="preserve">he cargo is damaged by the negligence of the shipowner, and the shipper (or later holder of the bill of lading) sues the </w:t>
      </w:r>
      <w:r w:rsidR="004B7DB9">
        <w:t>s</w:t>
      </w:r>
      <w:r w:rsidR="004F7785">
        <w:t>hipowner abroad in tort or delict,</w:t>
      </w:r>
      <w:r w:rsidR="004B7DB9">
        <w:t xml:space="preserve"> </w:t>
      </w:r>
      <w:r>
        <w:t>avoid</w:t>
      </w:r>
      <w:r w:rsidR="004F7785">
        <w:t>ing</w:t>
      </w:r>
      <w:r>
        <w:t xml:space="preserve"> London arbitration.</w:t>
      </w:r>
      <w:r>
        <w:rPr>
          <w:rStyle w:val="FootnoteReference"/>
        </w:rPr>
        <w:footnoteReference w:id="119"/>
      </w:r>
      <w:r w:rsidR="004F7785">
        <w:t xml:space="preserve"> The shipowner</w:t>
      </w:r>
      <w:r>
        <w:t xml:space="preserve">, as third party, </w:t>
      </w:r>
      <w:r w:rsidR="004F7785">
        <w:t>claims damages for breach of</w:t>
      </w:r>
      <w:r>
        <w:t xml:space="preserve"> the arbitration clause.</w:t>
      </w:r>
      <w:r w:rsidR="00BA2CC7">
        <w:t xml:space="preserve"> Because this is a bill of lading contract, s. 6(5) disapplies the </w:t>
      </w:r>
      <w:r w:rsidR="004F7785">
        <w:t xml:space="preserve">Contracts (Rights of Third Parties) Act </w:t>
      </w:r>
      <w:r w:rsidR="00BA2CC7">
        <w:t>1999, "</w:t>
      </w:r>
      <w:r w:rsidR="00BA2CC7" w:rsidRPr="00D91958">
        <w:t xml:space="preserve">except that a third party may in reliance on </w:t>
      </w:r>
      <w:r w:rsidR="004F7785">
        <w:t xml:space="preserve">[s. 1] </w:t>
      </w:r>
      <w:r w:rsidR="00BA2CC7" w:rsidRPr="00D91958">
        <w:t>avail himself of an exclusion or limitation of liability in such a con</w:t>
      </w:r>
      <w:r w:rsidR="00BA2CC7" w:rsidRPr="00D91958">
        <w:lastRenderedPageBreak/>
        <w:t>tract</w:t>
      </w:r>
      <w:r w:rsidR="00BA2CC7">
        <w:t>"</w:t>
      </w:r>
      <w:r w:rsidR="00BA2CC7" w:rsidRPr="00D91958">
        <w:t>.</w:t>
      </w:r>
      <w:r w:rsidR="00BA2CC7">
        <w:t xml:space="preserve"> An arbitration clause cannot</w:t>
      </w:r>
      <w:r w:rsidR="004F7785">
        <w:t>, however,</w:t>
      </w:r>
      <w:r w:rsidR="00BA2CC7">
        <w:t xml:space="preserve"> usually be described as an </w:t>
      </w:r>
      <w:r w:rsidR="00BA2CC7" w:rsidRPr="00D91958">
        <w:t>exclusion or limitation of liability</w:t>
      </w:r>
      <w:r w:rsidR="00BA2CC7">
        <w:t>,</w:t>
      </w:r>
      <w:r w:rsidR="00BA2CC7">
        <w:rPr>
          <w:rStyle w:val="FootnoteReference"/>
        </w:rPr>
        <w:footnoteReference w:id="120"/>
      </w:r>
      <w:r w:rsidR="00BA2CC7">
        <w:t xml:space="preserve"> </w:t>
      </w:r>
      <w:r w:rsidR="004B7DB9">
        <w:t>so</w:t>
      </w:r>
      <w:r w:rsidR="00BA2CC7">
        <w:t xml:space="preserve"> th</w:t>
      </w:r>
      <w:r w:rsidR="004F7785">
        <w:t>e 1999 Act will not apply</w:t>
      </w:r>
      <w:r w:rsidR="00BA2CC7">
        <w:t>.</w:t>
      </w:r>
      <w:r w:rsidR="006A3F66">
        <w:rPr>
          <w:rStyle w:val="FootnoteReference"/>
        </w:rPr>
        <w:footnoteReference w:id="121"/>
      </w:r>
      <w:r w:rsidR="00BA2CC7">
        <w:t xml:space="preserve"> The Himalaya clause might, but that in </w:t>
      </w:r>
      <w:r w:rsidR="00BA2CC7" w:rsidRPr="00BA2CC7">
        <w:rPr>
          <w:u w:val="single"/>
        </w:rPr>
        <w:t>The Mahkutai</w:t>
      </w:r>
      <w:r w:rsidR="00BA2CC7">
        <w:t xml:space="preserve"> was held not to apply to "</w:t>
      </w:r>
      <w:r w:rsidR="00BA2CC7" w:rsidRPr="00495BFD">
        <w:t>a clause which creates mutual rights and obligations"</w:t>
      </w:r>
      <w:r w:rsidR="00BA2CC7">
        <w:t>.</w:t>
      </w:r>
      <w:r w:rsidR="00787DBA">
        <w:rPr>
          <w:rStyle w:val="FootnoteReference"/>
        </w:rPr>
        <w:footnoteReference w:id="122"/>
      </w:r>
      <w:r w:rsidR="00054107">
        <w:t xml:space="preserve"> This</w:t>
      </w:r>
      <w:r w:rsidR="006A3F66">
        <w:t xml:space="preserve"> might</w:t>
      </w:r>
      <w:r w:rsidR="00BA2CC7">
        <w:t xml:space="preserve"> have been simply a matter of construction of the particular clause, </w:t>
      </w:r>
      <w:r w:rsidR="004B7DB9">
        <w:t xml:space="preserve">but </w:t>
      </w:r>
      <w:r w:rsidR="004F7785">
        <w:t xml:space="preserve">another explanation is that </w:t>
      </w:r>
      <w:r w:rsidR="00BA2CC7">
        <w:t>Himalaya clause</w:t>
      </w:r>
      <w:r w:rsidR="004B7DB9">
        <w:t>s</w:t>
      </w:r>
      <w:r w:rsidR="00BA2CC7">
        <w:t xml:space="preserve"> </w:t>
      </w:r>
      <w:r w:rsidR="004F7785">
        <w:t>generally are</w:t>
      </w:r>
      <w:r w:rsidR="00BA2CC7">
        <w:t xml:space="preserve"> not well-suited to clauses creating mutual rights and obligations.</w:t>
      </w:r>
      <w:r w:rsidR="00E12C34">
        <w:rPr>
          <w:rStyle w:val="FootnoteReference"/>
        </w:rPr>
        <w:footnoteReference w:id="123"/>
      </w:r>
      <w:r w:rsidR="00BA2CC7">
        <w:t xml:space="preserve"> However, at least the negative aspects of the arbitration clause ought to be enforceable by </w:t>
      </w:r>
      <w:r w:rsidR="00BA2CC7">
        <w:lastRenderedPageBreak/>
        <w:t>the shipowner, assuming the Himalaya clause sufficiently wide to cover them.</w:t>
      </w:r>
    </w:p>
    <w:p w14:paraId="41D34651" w14:textId="0457224F" w:rsidR="00BA2CC7" w:rsidRDefault="00BA2CC7" w:rsidP="00BA2CC7">
      <w:r>
        <w:t xml:space="preserve">   </w:t>
      </w:r>
      <w:r w:rsidR="00A6408C">
        <w:t>There are, of course</w:t>
      </w:r>
      <w:r>
        <w:t xml:space="preserve">, </w:t>
      </w:r>
      <w:r w:rsidR="00590DCF">
        <w:t>many situations outside carriage of goods by sea</w:t>
      </w:r>
      <w:r w:rsidR="004B7DB9">
        <w:t>,</w:t>
      </w:r>
      <w:r w:rsidR="00590DCF">
        <w:t xml:space="preserve"> or the other </w:t>
      </w:r>
      <w:r>
        <w:t xml:space="preserve">s. </w:t>
      </w:r>
      <w:r w:rsidR="00590DCF">
        <w:t>6(5) exceptions</w:t>
      </w:r>
      <w:r w:rsidR="004B7DB9">
        <w:t>,</w:t>
      </w:r>
      <w:r w:rsidR="00590DCF">
        <w:t xml:space="preserve"> where performing and contracting parties will be different, where an arbitration clause may well be enforceable by a third party under </w:t>
      </w:r>
      <w:r>
        <w:t>the</w:t>
      </w:r>
      <w:r w:rsidR="00590DCF">
        <w:t xml:space="preserve"> 1999 </w:t>
      </w:r>
      <w:r>
        <w:t xml:space="preserve">Act </w:t>
      </w:r>
      <w:r w:rsidR="00590DCF">
        <w:t xml:space="preserve">or (conceivably) under a Himalaya clause. </w:t>
      </w:r>
      <w:r>
        <w:t xml:space="preserve">Where the </w:t>
      </w:r>
      <w:r w:rsidR="00C41E7F">
        <w:t xml:space="preserve">1999 </w:t>
      </w:r>
      <w:r>
        <w:t>Act applies, it does not work by way of assignment, and by v</w:t>
      </w:r>
      <w:r w:rsidR="00C41E7F">
        <w:t>irtue of s. 1(5)</w:t>
      </w:r>
      <w:r>
        <w:t>, the third party can claim remedies, including damages, that would have been available to him "</w:t>
      </w:r>
      <w:r w:rsidRPr="00D91958">
        <w:t>if he had been a party to the contract</w:t>
      </w:r>
      <w:r>
        <w:t>". He can therefore be fully compensated in respect of his own loss, the problems considered in the next section not arising, as they would</w:t>
      </w:r>
      <w:r w:rsidR="00BE730B">
        <w:t>,</w:t>
      </w:r>
      <w:r>
        <w:t xml:space="preserve"> were the third party merely an assignee</w:t>
      </w:r>
      <w:r w:rsidR="00BE730B">
        <w:t>. Moreover, u</w:t>
      </w:r>
      <w:r>
        <w:t xml:space="preserve">nlike those of an assignor, </w:t>
      </w:r>
      <w:r w:rsidR="00590DCF">
        <w:t>the rights of the original contracting party are not divested</w:t>
      </w:r>
      <w:r w:rsidR="00BE730B">
        <w:t xml:space="preserve"> by the operation of the 1999 Act</w:t>
      </w:r>
      <w:r w:rsidR="00590DCF">
        <w:t xml:space="preserve">. </w:t>
      </w:r>
      <w:r w:rsidR="00E97DDC">
        <w:t>T</w:t>
      </w:r>
      <w:r w:rsidR="00590DCF">
        <w:t xml:space="preserve">he same breach </w:t>
      </w:r>
      <w:r w:rsidR="00E97DDC">
        <w:t>could</w:t>
      </w:r>
      <w:r w:rsidR="00A6408C">
        <w:t xml:space="preserve"> therefore</w:t>
      </w:r>
      <w:r w:rsidR="00E97DDC">
        <w:t xml:space="preserve">, </w:t>
      </w:r>
      <w:r w:rsidR="00E97DDC">
        <w:lastRenderedPageBreak/>
        <w:t>in principle, give</w:t>
      </w:r>
      <w:r w:rsidR="00590DCF">
        <w:t xml:space="preserve"> rise to two (or more) entirely separate sets of arbitration proceedings, </w:t>
      </w:r>
      <w:r w:rsidR="00A6408C">
        <w:t xml:space="preserve">for example with different arbitrators being appointed under the main contract, and under the clause whose benefit has been transferred. Obviously, this is </w:t>
      </w:r>
      <w:r w:rsidR="00E97DDC">
        <w:t xml:space="preserve">not </w:t>
      </w:r>
      <w:r w:rsidR="00054107">
        <w:t>ideal</w:t>
      </w:r>
      <w:r w:rsidR="00590DCF">
        <w:t xml:space="preserve"> from an efficiency standpoint</w:t>
      </w:r>
      <w:r>
        <w:t>.</w:t>
      </w:r>
      <w:r>
        <w:rPr>
          <w:rStyle w:val="FootnoteReference"/>
        </w:rPr>
        <w:footnoteReference w:id="124"/>
      </w:r>
      <w:r w:rsidR="00BE730B">
        <w:t xml:space="preserve"> Precisely the same problem could arise, were the Himalaya principle to apply.</w:t>
      </w:r>
    </w:p>
    <w:p w14:paraId="6BE1383D" w14:textId="6212BA6D" w:rsidR="00590DCF" w:rsidRPr="000B7D36" w:rsidRDefault="00BA2CC7" w:rsidP="000B7D36">
      <w:pPr>
        <w:rPr>
          <w:lang w:eastAsia="en-GB"/>
        </w:rPr>
      </w:pPr>
      <w:r>
        <w:rPr>
          <w:lang w:eastAsia="en-GB"/>
        </w:rPr>
        <w:t xml:space="preserve">   </w:t>
      </w:r>
      <w:r w:rsidR="00A6408C">
        <w:rPr>
          <w:lang w:eastAsia="en-GB"/>
        </w:rPr>
        <w:t>Be that as it may, h</w:t>
      </w:r>
      <w:r>
        <w:rPr>
          <w:lang w:eastAsia="en-GB"/>
        </w:rPr>
        <w:t xml:space="preserve">owever, </w:t>
      </w:r>
      <w:r w:rsidRPr="00BA2CC7">
        <w:rPr>
          <w:u w:val="single"/>
          <w:lang w:eastAsia="en-GB"/>
        </w:rPr>
        <w:t>The Alexandros T</w:t>
      </w:r>
      <w:r>
        <w:rPr>
          <w:lang w:eastAsia="en-GB"/>
        </w:rPr>
        <w:t xml:space="preserve"> demonstrates the possibility of a third party direct damages claim, and (</w:t>
      </w:r>
      <w:r w:rsidR="00CA1E1F">
        <w:rPr>
          <w:lang w:eastAsia="en-GB"/>
        </w:rPr>
        <w:t>assuming no</w:t>
      </w:r>
      <w:r>
        <w:rPr>
          <w:lang w:eastAsia="en-GB"/>
        </w:rPr>
        <w:t xml:space="preserve"> s. 6(5) complications), the reasoning appears to apply to an arbitration clause, just as to the three settlement agreements in the case itself.</w:t>
      </w:r>
    </w:p>
    <w:p w14:paraId="5D9910DA" w14:textId="41C0B304" w:rsidR="009C0E76" w:rsidRPr="009C0E76" w:rsidRDefault="009C0E76" w:rsidP="00FB355D">
      <w:pPr>
        <w:pStyle w:val="Heading2"/>
        <w:rPr>
          <w:rFonts w:ascii="Times New Roman" w:hAnsi="Times New Roman" w:cs="Times New Roman"/>
          <w:color w:val="auto"/>
          <w:lang w:eastAsia="en-GB"/>
        </w:rPr>
      </w:pPr>
      <w:r w:rsidRPr="009C0E76">
        <w:rPr>
          <w:lang w:eastAsia="en-GB"/>
        </w:rPr>
        <w:t>Claims by contracting party in respect of third party loss</w:t>
      </w:r>
      <w:r w:rsidR="0058664B">
        <w:rPr>
          <w:lang w:eastAsia="en-GB"/>
        </w:rPr>
        <w:t>es</w:t>
      </w:r>
    </w:p>
    <w:p w14:paraId="621AFC6C" w14:textId="577195DF" w:rsidR="00E271A4" w:rsidRDefault="00BA2CC7" w:rsidP="00BA2CC7">
      <w:r>
        <w:t xml:space="preserve">Flaux J also considered the remedies of the insurers, as the other contracting parties, to protect the third parties. Of course, to the extent that the third parties could sue directly, these </w:t>
      </w:r>
      <w:r w:rsidR="00CA1E1F">
        <w:t xml:space="preserve">claims </w:t>
      </w:r>
      <w:r w:rsidR="009B57CF">
        <w:t xml:space="preserve">were not </w:t>
      </w:r>
      <w:r>
        <w:t>necessary, and were regarded by Flaux J a</w:t>
      </w:r>
      <w:r w:rsidR="00203730">
        <w:t xml:space="preserve">s an alternative to </w:t>
      </w:r>
      <w:r w:rsidR="00E271A4">
        <w:t xml:space="preserve">the </w:t>
      </w:r>
      <w:r w:rsidR="00203730">
        <w:t xml:space="preserve">direct claims by the </w:t>
      </w:r>
      <w:r w:rsidR="00E271A4">
        <w:t xml:space="preserve">third </w:t>
      </w:r>
      <w:r w:rsidR="00E271A4">
        <w:lastRenderedPageBreak/>
        <w:t>pa</w:t>
      </w:r>
      <w:r w:rsidR="00A6408C">
        <w:t>rties</w:t>
      </w:r>
      <w:r>
        <w:t>. Indeed</w:t>
      </w:r>
      <w:r w:rsidR="00E271A4">
        <w:t>,</w:t>
      </w:r>
      <w:r w:rsidR="00A6408C">
        <w:t xml:space="preserve"> substantial damages could not be brought by the contracting parites, if the third parties had their own claims</w:t>
      </w:r>
      <w:r>
        <w:t>.</w:t>
      </w:r>
      <w:r w:rsidR="00CA1E1F">
        <w:rPr>
          <w:rStyle w:val="FootnoteReference"/>
        </w:rPr>
        <w:footnoteReference w:id="125"/>
      </w:r>
      <w:r w:rsidR="00E271A4">
        <w:t xml:space="preserve"> </w:t>
      </w:r>
    </w:p>
    <w:p w14:paraId="0D156630" w14:textId="76CD7A13" w:rsidR="00196A96" w:rsidRDefault="00BA2CC7" w:rsidP="009A7049">
      <w:r>
        <w:t xml:space="preserve">   </w:t>
      </w:r>
      <w:r w:rsidR="00130143">
        <w:t>The actions being brought in Greece, the obvious remedy of the anti-suit injunction was not, of course, available</w:t>
      </w:r>
      <w:r w:rsidR="00101649">
        <w:t>.</w:t>
      </w:r>
      <w:r w:rsidR="00101649">
        <w:rPr>
          <w:rStyle w:val="FootnoteReference"/>
        </w:rPr>
        <w:footnoteReference w:id="126"/>
      </w:r>
      <w:r w:rsidR="00101649">
        <w:t xml:space="preserve"> Flaux J held that specific performanc</w:t>
      </w:r>
      <w:r w:rsidR="009A7049">
        <w:t>e</w:t>
      </w:r>
      <w:r w:rsidR="00101649">
        <w:t xml:space="preserve"> was</w:t>
      </w:r>
      <w:r w:rsidR="00196A96">
        <w:t>.</w:t>
      </w:r>
      <w:r w:rsidR="00101649">
        <w:rPr>
          <w:rStyle w:val="FootnoteReference"/>
        </w:rPr>
        <w:footnoteReference w:id="127"/>
      </w:r>
      <w:r w:rsidR="00101649">
        <w:t xml:space="preserve"> </w:t>
      </w:r>
      <w:r w:rsidR="00196A96">
        <w:t xml:space="preserve">This </w:t>
      </w:r>
      <w:r w:rsidR="005831CB">
        <w:t xml:space="preserve">part of the case </w:t>
      </w:r>
      <w:r w:rsidR="00196A96">
        <w:t>is unlikely to be of direct application to arbitration clauses, where it is only the negative obligation that is being enforced,</w:t>
      </w:r>
      <w:r w:rsidR="003816E9">
        <w:rPr>
          <w:rStyle w:val="FootnoteReference"/>
        </w:rPr>
        <w:footnoteReference w:id="128"/>
      </w:r>
      <w:r w:rsidR="00196A96">
        <w:t xml:space="preserve"> but is of interest in the very narrow view </w:t>
      </w:r>
      <w:r w:rsidR="005831CB">
        <w:lastRenderedPageBreak/>
        <w:t xml:space="preserve">taken </w:t>
      </w:r>
      <w:r w:rsidR="00196A96">
        <w:t xml:space="preserve">of the European Court decision in </w:t>
      </w:r>
      <w:r w:rsidR="00196A96" w:rsidRPr="00AE1058">
        <w:rPr>
          <w:u w:val="single"/>
        </w:rPr>
        <w:t>The Front Comor</w:t>
      </w:r>
      <w:r w:rsidR="00196A96">
        <w:t>, Flaux J holding that the reasoning did not extend to the remedy of specific performance.</w:t>
      </w:r>
      <w:r w:rsidR="00196A96">
        <w:rPr>
          <w:rStyle w:val="FootnoteReference"/>
        </w:rPr>
        <w:footnoteReference w:id="129"/>
      </w:r>
      <w:r w:rsidR="00196A96">
        <w:t xml:space="preserve"> Of </w:t>
      </w:r>
      <w:r w:rsidR="00196A96" w:rsidRPr="009A5B81">
        <w:t xml:space="preserve">the settlement agreements </w:t>
      </w:r>
      <w:r w:rsidR="00196A96">
        <w:t xml:space="preserve">in </w:t>
      </w:r>
      <w:r w:rsidR="00196A96" w:rsidRPr="00196A96">
        <w:rPr>
          <w:u w:val="single"/>
        </w:rPr>
        <w:t>The Alexandros T</w:t>
      </w:r>
      <w:r w:rsidR="00196A96">
        <w:t xml:space="preserve"> itself, Flaux J held that they </w:t>
      </w:r>
      <w:r w:rsidR="009A5B81" w:rsidRPr="009A5B81">
        <w:t>contained "a continuing obligation to accept, the obverse of which is a continuing promise not to sue".</w:t>
      </w:r>
      <w:r w:rsidR="009A5B81">
        <w:rPr>
          <w:color w:val="FF0000"/>
        </w:rPr>
        <w:t xml:space="preserve"> </w:t>
      </w:r>
      <w:r w:rsidR="00196A96">
        <w:t>T</w:t>
      </w:r>
      <w:r w:rsidR="00101649">
        <w:t xml:space="preserve">he order </w:t>
      </w:r>
      <w:r w:rsidR="009A7049">
        <w:t xml:space="preserve">also </w:t>
      </w:r>
      <w:r w:rsidR="00101649">
        <w:t>included execution of documents, a</w:t>
      </w:r>
      <w:r w:rsidR="00EF4D8E">
        <w:t>nd hence had a positive element.</w:t>
      </w:r>
      <w:r w:rsidR="00101649">
        <w:rPr>
          <w:rStyle w:val="FootnoteReference"/>
        </w:rPr>
        <w:footnoteReference w:id="130"/>
      </w:r>
      <w:r w:rsidR="00101649">
        <w:t xml:space="preserve"> </w:t>
      </w:r>
      <w:r w:rsidR="00753B89">
        <w:t xml:space="preserve">These special factors took the case beyond </w:t>
      </w:r>
      <w:r w:rsidR="00101649">
        <w:t xml:space="preserve">enforcement of </w:t>
      </w:r>
      <w:r w:rsidR="005831CB">
        <w:t xml:space="preserve">just </w:t>
      </w:r>
      <w:r w:rsidR="00101649">
        <w:t>a negative undertaking not to sue</w:t>
      </w:r>
      <w:r w:rsidR="00EF4D8E">
        <w:t xml:space="preserve">, and </w:t>
      </w:r>
      <w:r w:rsidR="00753B89">
        <w:t xml:space="preserve">this aspect of it </w:t>
      </w:r>
      <w:r w:rsidR="00EF4D8E">
        <w:t>is unlikely to have an</w:t>
      </w:r>
      <w:r w:rsidR="005831CB">
        <w:t>y direct</w:t>
      </w:r>
      <w:r w:rsidR="00EF4D8E">
        <w:t xml:space="preserve"> application in the context of this article</w:t>
      </w:r>
      <w:r w:rsidR="00101649">
        <w:t xml:space="preserve">. </w:t>
      </w:r>
      <w:r w:rsidR="00A6408C">
        <w:t xml:space="preserve">It does, however, show the strength of the judge's determination to avoid the consequences of the ECJ decision in </w:t>
      </w:r>
      <w:r w:rsidR="00A6408C" w:rsidRPr="00A6408C">
        <w:rPr>
          <w:u w:val="single"/>
        </w:rPr>
        <w:t>The Front Comor</w:t>
      </w:r>
      <w:r w:rsidR="00A6408C">
        <w:t>.</w:t>
      </w:r>
    </w:p>
    <w:p w14:paraId="02CC392D" w14:textId="33BB0C3C" w:rsidR="005B4101" w:rsidRDefault="005B4101" w:rsidP="00FB355D">
      <w:pPr>
        <w:pStyle w:val="Heading2"/>
      </w:pPr>
      <w:r>
        <w:t xml:space="preserve">Alexandros T </w:t>
      </w:r>
      <w:r w:rsidR="00FB355D">
        <w:t xml:space="preserve">third party </w:t>
      </w:r>
      <w:r>
        <w:t>damages</w:t>
      </w:r>
    </w:p>
    <w:p w14:paraId="23AA1492" w14:textId="2C95092E" w:rsidR="00B711CA" w:rsidRDefault="00BA2CC7" w:rsidP="009A7049">
      <w:r>
        <w:t xml:space="preserve">The damages issue, </w:t>
      </w:r>
      <w:r w:rsidR="009A7049">
        <w:t xml:space="preserve">as already observed, did not arise given that the third parties were entitled to sue directly. </w:t>
      </w:r>
      <w:r w:rsidR="00B6214D">
        <w:t xml:space="preserve">As a </w:t>
      </w:r>
      <w:r w:rsidR="00B6214D">
        <w:lastRenderedPageBreak/>
        <w:t>fallback position, however, Flaux J would have been prepared to award substantial damages to the contracting party.</w:t>
      </w:r>
      <w:r w:rsidR="00B6214D">
        <w:rPr>
          <w:rStyle w:val="FootnoteReference"/>
        </w:rPr>
        <w:footnoteReference w:id="131"/>
      </w:r>
      <w:r w:rsidR="00B6214D">
        <w:t xml:space="preserve"> </w:t>
      </w:r>
      <w:r w:rsidR="008A7267">
        <w:t xml:space="preserve">The difficulty is that </w:t>
      </w:r>
      <w:r w:rsidR="00B6214D">
        <w:t xml:space="preserve">where the contract is not to sue a third party, no loss </w:t>
      </w:r>
      <w:r w:rsidR="00753B89">
        <w:t>(</w:t>
      </w:r>
      <w:r w:rsidR="00B711CA">
        <w:t xml:space="preserve">at </w:t>
      </w:r>
      <w:r w:rsidR="00753B89">
        <w:t>least as conventionally defined</w:t>
      </w:r>
      <w:r w:rsidR="00B711CA">
        <w:t xml:space="preserve">) </w:t>
      </w:r>
      <w:r w:rsidR="00753B89">
        <w:t>is typically</w:t>
      </w:r>
      <w:r w:rsidR="00B6214D">
        <w:t xml:space="preserve"> occasioned to the con</w:t>
      </w:r>
      <w:r w:rsidR="001E4ECE">
        <w:t>tracting party</w:t>
      </w:r>
      <w:r w:rsidR="00B711CA">
        <w:t xml:space="preserve"> by its breach</w:t>
      </w:r>
      <w:r w:rsidR="006101DB">
        <w:t>, apart from costs, which are presumably recoverable</w:t>
      </w:r>
      <w:r w:rsidR="00042191">
        <w:t>, on a normal contractual basis</w:t>
      </w:r>
      <w:r w:rsidR="00B711CA">
        <w:t>. There is also a principle that g</w:t>
      </w:r>
      <w:r w:rsidR="00B6214D">
        <w:t xml:space="preserve">enerally speaking, a contracting party can claim damages </w:t>
      </w:r>
      <w:r w:rsidR="00B711CA">
        <w:t>only in respect of his own loss.</w:t>
      </w:r>
      <w:r w:rsidR="00B6214D">
        <w:rPr>
          <w:rStyle w:val="FootnoteReference"/>
        </w:rPr>
        <w:footnoteReference w:id="132"/>
      </w:r>
      <w:r w:rsidR="00B6214D">
        <w:t xml:space="preserve"> </w:t>
      </w:r>
      <w:r w:rsidR="00B711CA">
        <w:t>The question is, then, whether there is anything in the situation here which takes the case out of these general principles.</w:t>
      </w:r>
    </w:p>
    <w:p w14:paraId="36A0A0BE" w14:textId="525629E8" w:rsidR="00B711CA" w:rsidRDefault="006574FB" w:rsidP="00E1187F">
      <w:r>
        <w:lastRenderedPageBreak/>
        <w:t xml:space="preserve">   </w:t>
      </w:r>
      <w:r w:rsidR="00B711CA">
        <w:t xml:space="preserve">In </w:t>
      </w:r>
      <w:r w:rsidR="00B711CA" w:rsidRPr="0099010A">
        <w:rPr>
          <w:u w:val="single"/>
        </w:rPr>
        <w:t>St M</w:t>
      </w:r>
      <w:r w:rsidR="001E4ECE">
        <w:rPr>
          <w:u w:val="single"/>
        </w:rPr>
        <w:t xml:space="preserve">artin's Property </w:t>
      </w:r>
      <w:r w:rsidR="001E4ECE" w:rsidRPr="001E4ECE">
        <w:rPr>
          <w:u w:val="single"/>
        </w:rPr>
        <w:t>Corp</w:t>
      </w:r>
      <w:r w:rsidR="00B711CA" w:rsidRPr="001E4ECE">
        <w:t xml:space="preserve"> v </w:t>
      </w:r>
      <w:r w:rsidR="00B711CA" w:rsidRPr="001E4ECE">
        <w:rPr>
          <w:u w:val="single"/>
        </w:rPr>
        <w:t>Sir</w:t>
      </w:r>
      <w:r w:rsidR="00B711CA" w:rsidRPr="0099010A">
        <w:rPr>
          <w:u w:val="single"/>
        </w:rPr>
        <w:t xml:space="preserve"> Robert McAlpine Ltd</w:t>
      </w:r>
      <w:r w:rsidR="00B711CA">
        <w:t>,</w:t>
      </w:r>
      <w:r w:rsidR="00B711CA">
        <w:rPr>
          <w:rStyle w:val="FootnoteReference"/>
        </w:rPr>
        <w:footnoteReference w:id="133"/>
      </w:r>
      <w:r w:rsidR="00B711CA">
        <w:t xml:space="preserve"> </w:t>
      </w:r>
      <w:r w:rsidR="00E83FCC">
        <w:t>Lord Griffiths took a wider view of loss, as encompassing generally loss of contractual expectation. the third p</w:t>
      </w:r>
      <w:r w:rsidR="00042191">
        <w:t>arty losses being treated as the contracting party's</w:t>
      </w:r>
      <w:r w:rsidR="00E83FCC">
        <w:t xml:space="preserve"> own. </w:t>
      </w:r>
      <w:r w:rsidR="00635150">
        <w:t xml:space="preserve">This is sometimes described as the </w:t>
      </w:r>
      <w:r w:rsidR="00635150">
        <w:rPr>
          <w:szCs w:val="24"/>
          <w:lang w:eastAsia="en-GB"/>
        </w:rPr>
        <w:t xml:space="preserve">"broad view" in </w:t>
      </w:r>
      <w:r w:rsidR="00635150" w:rsidRPr="0099010A">
        <w:rPr>
          <w:u w:val="single"/>
        </w:rPr>
        <w:t>St Martin's</w:t>
      </w:r>
      <w:r w:rsidR="00635150">
        <w:rPr>
          <w:szCs w:val="24"/>
          <w:lang w:eastAsia="en-GB"/>
        </w:rPr>
        <w:t>, but it is probably more accurate to describe it as simply different.</w:t>
      </w:r>
      <w:r w:rsidR="00090BC0">
        <w:rPr>
          <w:rStyle w:val="FootnoteReference"/>
          <w:szCs w:val="24"/>
          <w:lang w:eastAsia="en-GB"/>
        </w:rPr>
        <w:footnoteReference w:id="134"/>
      </w:r>
      <w:r w:rsidR="004A50C0">
        <w:rPr>
          <w:szCs w:val="24"/>
          <w:lang w:eastAsia="en-GB"/>
        </w:rPr>
        <w:t xml:space="preserve"> Whereas Lord Griffiths' brethren </w:t>
      </w:r>
      <w:r w:rsidR="00042191">
        <w:rPr>
          <w:szCs w:val="24"/>
          <w:lang w:eastAsia="en-GB"/>
        </w:rPr>
        <w:t xml:space="preserve">in the case were prepared to award </w:t>
      </w:r>
      <w:r w:rsidR="004A50C0">
        <w:rPr>
          <w:szCs w:val="24"/>
          <w:lang w:eastAsia="en-GB"/>
        </w:rPr>
        <w:t xml:space="preserve">damages </w:t>
      </w:r>
      <w:r w:rsidR="00A6408C">
        <w:rPr>
          <w:szCs w:val="24"/>
          <w:lang w:eastAsia="en-GB"/>
        </w:rPr>
        <w:t xml:space="preserve">to the contracting party, </w:t>
      </w:r>
      <w:r w:rsidR="004A50C0">
        <w:rPr>
          <w:szCs w:val="24"/>
          <w:lang w:eastAsia="en-GB"/>
        </w:rPr>
        <w:t>in respect of losses suffered by the third party</w:t>
      </w:r>
      <w:r w:rsidR="00E1187F">
        <w:rPr>
          <w:szCs w:val="24"/>
          <w:lang w:eastAsia="en-GB"/>
        </w:rPr>
        <w:t xml:space="preserve"> (the so-called "narrow view")</w:t>
      </w:r>
      <w:r w:rsidR="004A50C0">
        <w:rPr>
          <w:szCs w:val="24"/>
          <w:lang w:eastAsia="en-GB"/>
        </w:rPr>
        <w:t xml:space="preserve">, Lord Griffiths </w:t>
      </w:r>
      <w:r w:rsidR="00042191">
        <w:rPr>
          <w:szCs w:val="24"/>
          <w:lang w:eastAsia="en-GB"/>
        </w:rPr>
        <w:t xml:space="preserve">himself </w:t>
      </w:r>
      <w:r w:rsidR="004A50C0">
        <w:rPr>
          <w:szCs w:val="24"/>
          <w:lang w:eastAsia="en-GB"/>
        </w:rPr>
        <w:t xml:space="preserve">reached the same result by treating </w:t>
      </w:r>
      <w:r w:rsidR="00E1187F">
        <w:rPr>
          <w:szCs w:val="24"/>
          <w:lang w:eastAsia="en-GB"/>
        </w:rPr>
        <w:t>the losses as those of the contracting party</w:t>
      </w:r>
      <w:r w:rsidR="00A6408C">
        <w:rPr>
          <w:szCs w:val="24"/>
          <w:lang w:eastAsia="en-GB"/>
        </w:rPr>
        <w:t xml:space="preserve"> himself</w:t>
      </w:r>
      <w:r w:rsidR="00E1187F">
        <w:rPr>
          <w:szCs w:val="24"/>
          <w:lang w:eastAsia="en-GB"/>
        </w:rPr>
        <w:t xml:space="preserve">. </w:t>
      </w:r>
      <w:r>
        <w:t>Since they are his own losses, the contracting party should not, in principle, be required to hold them for the third party</w:t>
      </w:r>
      <w:r w:rsidR="002E6C10">
        <w:t>, whereas he is on the "narrow" view</w:t>
      </w:r>
      <w:r>
        <w:t>.</w:t>
      </w:r>
      <w:r w:rsidR="00635150">
        <w:rPr>
          <w:rStyle w:val="FootnoteReference"/>
        </w:rPr>
        <w:footnoteReference w:id="135"/>
      </w:r>
    </w:p>
    <w:p w14:paraId="42DB966C" w14:textId="42D055D9" w:rsidR="00511C8B" w:rsidRDefault="006574FB" w:rsidP="009A7049">
      <w:pPr>
        <w:rPr>
          <w:szCs w:val="24"/>
        </w:rPr>
      </w:pPr>
      <w:r>
        <w:lastRenderedPageBreak/>
        <w:t xml:space="preserve">   </w:t>
      </w:r>
      <w:r w:rsidR="00E83FCC">
        <w:t xml:space="preserve">In </w:t>
      </w:r>
      <w:r w:rsidR="00E83FCC" w:rsidRPr="00E66C00">
        <w:rPr>
          <w:szCs w:val="24"/>
          <w:u w:val="single"/>
          <w:lang w:eastAsia="en-GB"/>
        </w:rPr>
        <w:t>DRC Distribution Ltd</w:t>
      </w:r>
      <w:r w:rsidR="00E83FCC" w:rsidRPr="001E4ECE">
        <w:t xml:space="preserve"> v </w:t>
      </w:r>
      <w:r w:rsidR="00E83FCC" w:rsidRPr="00E66C00">
        <w:rPr>
          <w:szCs w:val="24"/>
          <w:u w:val="single"/>
          <w:lang w:eastAsia="en-GB"/>
        </w:rPr>
        <w:t>Ulva Ltd</w:t>
      </w:r>
      <w:r w:rsidR="00E83FCC">
        <w:rPr>
          <w:szCs w:val="24"/>
          <w:lang w:eastAsia="en-GB"/>
        </w:rPr>
        <w:t>,</w:t>
      </w:r>
      <w:r w:rsidR="00E83FCC">
        <w:rPr>
          <w:rStyle w:val="FootnoteReference"/>
          <w:szCs w:val="24"/>
          <w:lang w:eastAsia="en-GB"/>
        </w:rPr>
        <w:footnoteReference w:id="136"/>
      </w:r>
      <w:r w:rsidR="00587C8C">
        <w:rPr>
          <w:szCs w:val="24"/>
          <w:lang w:eastAsia="en-GB"/>
        </w:rPr>
        <w:t xml:space="preserve"> Flaux J </w:t>
      </w:r>
      <w:r w:rsidR="00042191">
        <w:rPr>
          <w:szCs w:val="24"/>
          <w:lang w:eastAsia="en-GB"/>
        </w:rPr>
        <w:t xml:space="preserve">had </w:t>
      </w:r>
      <w:r w:rsidR="00E83FCC">
        <w:rPr>
          <w:szCs w:val="24"/>
          <w:lang w:eastAsia="en-GB"/>
        </w:rPr>
        <w:t>doubt</w:t>
      </w:r>
      <w:r w:rsidR="00587C8C">
        <w:rPr>
          <w:szCs w:val="24"/>
          <w:lang w:eastAsia="en-GB"/>
        </w:rPr>
        <w:t>ed</w:t>
      </w:r>
      <w:r w:rsidR="00E83FCC">
        <w:rPr>
          <w:szCs w:val="24"/>
          <w:lang w:eastAsia="en-GB"/>
        </w:rPr>
        <w:t xml:space="preserve"> whether </w:t>
      </w:r>
      <w:r w:rsidR="00D172F6">
        <w:rPr>
          <w:szCs w:val="24"/>
          <w:lang w:eastAsia="en-GB"/>
        </w:rPr>
        <w:t xml:space="preserve">Lord Griffiths' "broad view" in </w:t>
      </w:r>
      <w:r w:rsidR="00D172F6" w:rsidRPr="0099010A">
        <w:rPr>
          <w:u w:val="single"/>
        </w:rPr>
        <w:t>St Martin's</w:t>
      </w:r>
      <w:r w:rsidR="003478EF">
        <w:rPr>
          <w:szCs w:val="24"/>
          <w:lang w:eastAsia="en-GB"/>
        </w:rPr>
        <w:t xml:space="preserve"> represented the law</w:t>
      </w:r>
      <w:r w:rsidR="00587C8C">
        <w:rPr>
          <w:szCs w:val="24"/>
          <w:lang w:eastAsia="en-GB"/>
        </w:rPr>
        <w:t>, and certainly not outside contracts for services</w:t>
      </w:r>
      <w:r w:rsidR="003478EF">
        <w:rPr>
          <w:szCs w:val="24"/>
          <w:lang w:eastAsia="en-GB"/>
        </w:rPr>
        <w:t>.</w:t>
      </w:r>
      <w:r w:rsidR="00D172F6">
        <w:rPr>
          <w:rStyle w:val="FootnoteReference"/>
          <w:szCs w:val="24"/>
          <w:lang w:eastAsia="en-GB"/>
        </w:rPr>
        <w:footnoteReference w:id="137"/>
      </w:r>
      <w:r w:rsidR="00D172F6">
        <w:rPr>
          <w:szCs w:val="24"/>
          <w:lang w:eastAsia="en-GB"/>
        </w:rPr>
        <w:t xml:space="preserve"> </w:t>
      </w:r>
      <w:r w:rsidR="003478EF" w:rsidRPr="003478EF">
        <w:t xml:space="preserve">This is probably a correct appraisal. </w:t>
      </w:r>
      <w:r w:rsidR="00042191">
        <w:rPr>
          <w:szCs w:val="24"/>
        </w:rPr>
        <w:t xml:space="preserve">Though </w:t>
      </w:r>
      <w:r w:rsidR="00090BC0">
        <w:rPr>
          <w:szCs w:val="24"/>
        </w:rPr>
        <w:t>t</w:t>
      </w:r>
      <w:r w:rsidR="00042191">
        <w:rPr>
          <w:szCs w:val="24"/>
        </w:rPr>
        <w:t>he "broad view"</w:t>
      </w:r>
      <w:r w:rsidR="00090BC0">
        <w:rPr>
          <w:szCs w:val="24"/>
        </w:rPr>
        <w:t xml:space="preserve"> was not rejected, nor was it wholeheartedly embraced by Lord Griffiths' brethren </w:t>
      </w:r>
      <w:r w:rsidR="00090BC0" w:rsidRPr="00592A78">
        <w:rPr>
          <w:szCs w:val="24"/>
        </w:rPr>
        <w:t xml:space="preserve">in </w:t>
      </w:r>
      <w:r w:rsidR="00090BC0" w:rsidRPr="00592A78">
        <w:rPr>
          <w:u w:val="single"/>
        </w:rPr>
        <w:t>St Martin's</w:t>
      </w:r>
      <w:r w:rsidR="00090BC0">
        <w:rPr>
          <w:szCs w:val="24"/>
        </w:rPr>
        <w:t xml:space="preserve"> itself</w:t>
      </w:r>
      <w:r w:rsidR="003478EF" w:rsidRPr="003478EF">
        <w:t>.</w:t>
      </w:r>
      <w:r w:rsidR="003478EF">
        <w:t xml:space="preserve"> </w:t>
      </w:r>
      <w:r w:rsidR="00090BC0">
        <w:t>I</w:t>
      </w:r>
      <w:r w:rsidR="00090BC0">
        <w:rPr>
          <w:szCs w:val="24"/>
          <w:lang w:eastAsia="en-GB"/>
        </w:rPr>
        <w:t xml:space="preserve">n </w:t>
      </w:r>
      <w:r w:rsidR="00090BC0" w:rsidRPr="00592A78">
        <w:rPr>
          <w:szCs w:val="24"/>
          <w:u w:val="single"/>
        </w:rPr>
        <w:t xml:space="preserve">Alfred McAlpine </w:t>
      </w:r>
      <w:r w:rsidR="00090BC0" w:rsidRPr="006574FB">
        <w:rPr>
          <w:u w:val="single"/>
        </w:rPr>
        <w:t>Construction</w:t>
      </w:r>
      <w:r w:rsidR="00090BC0" w:rsidRPr="006574FB">
        <w:t xml:space="preserve"> v </w:t>
      </w:r>
      <w:r w:rsidR="00090BC0" w:rsidRPr="00592A78">
        <w:rPr>
          <w:szCs w:val="24"/>
          <w:u w:val="single"/>
        </w:rPr>
        <w:t>Panatown</w:t>
      </w:r>
      <w:r w:rsidR="00090BC0">
        <w:rPr>
          <w:szCs w:val="24"/>
        </w:rPr>
        <w:t>,</w:t>
      </w:r>
      <w:r w:rsidR="00090BC0">
        <w:rPr>
          <w:rStyle w:val="FootnoteReference"/>
          <w:szCs w:val="24"/>
        </w:rPr>
        <w:footnoteReference w:id="138"/>
      </w:r>
      <w:r w:rsidR="00090BC0">
        <w:rPr>
          <w:szCs w:val="24"/>
        </w:rPr>
        <w:t xml:space="preserve"> </w:t>
      </w:r>
      <w:r w:rsidR="00103406">
        <w:rPr>
          <w:szCs w:val="24"/>
        </w:rPr>
        <w:t xml:space="preserve">the majority rejected at any rate </w:t>
      </w:r>
      <w:r w:rsidR="00042191">
        <w:rPr>
          <w:szCs w:val="24"/>
        </w:rPr>
        <w:t xml:space="preserve">the proposition </w:t>
      </w:r>
      <w:r w:rsidR="00103406" w:rsidRPr="00042191">
        <w:t>that damage</w:t>
      </w:r>
      <w:r w:rsidR="00103406" w:rsidRPr="00103406">
        <w:rPr>
          <w:color w:val="FF0000"/>
          <w:szCs w:val="24"/>
        </w:rPr>
        <w:t xml:space="preserve"> </w:t>
      </w:r>
      <w:r w:rsidR="00103406">
        <w:rPr>
          <w:szCs w:val="24"/>
        </w:rPr>
        <w:t>to property owned by a third party constituted loss to the claimant, unless the claimant had himself made good the loss.</w:t>
      </w:r>
      <w:r w:rsidR="003B54E4">
        <w:rPr>
          <w:rStyle w:val="FootnoteReference"/>
          <w:szCs w:val="24"/>
        </w:rPr>
        <w:footnoteReference w:id="139"/>
      </w:r>
      <w:r w:rsidR="00103406">
        <w:rPr>
          <w:szCs w:val="24"/>
        </w:rPr>
        <w:t xml:space="preserve"> </w:t>
      </w:r>
      <w:r w:rsidR="00E84C46">
        <w:rPr>
          <w:szCs w:val="24"/>
        </w:rPr>
        <w:t xml:space="preserve">Both </w:t>
      </w:r>
      <w:r w:rsidR="00E84C46" w:rsidRPr="00E84C46">
        <w:rPr>
          <w:szCs w:val="24"/>
          <w:u w:val="single"/>
        </w:rPr>
        <w:t>St Martin's</w:t>
      </w:r>
      <w:r w:rsidR="00E84C46">
        <w:rPr>
          <w:szCs w:val="24"/>
        </w:rPr>
        <w:t xml:space="preserve"> and </w:t>
      </w:r>
      <w:r w:rsidR="00E84C46" w:rsidRPr="00E84C46">
        <w:rPr>
          <w:szCs w:val="24"/>
          <w:u w:val="single"/>
        </w:rPr>
        <w:t>Panatown</w:t>
      </w:r>
      <w:r w:rsidR="00E84C46">
        <w:rPr>
          <w:szCs w:val="24"/>
        </w:rPr>
        <w:t xml:space="preserve"> involved contracts </w:t>
      </w:r>
      <w:r w:rsidR="00E84C46">
        <w:rPr>
          <w:szCs w:val="24"/>
        </w:rPr>
        <w:lastRenderedPageBreak/>
        <w:t>for services,</w:t>
      </w:r>
      <w:r w:rsidR="00161AB5">
        <w:rPr>
          <w:rStyle w:val="FootnoteReference"/>
          <w:szCs w:val="24"/>
        </w:rPr>
        <w:footnoteReference w:id="140"/>
      </w:r>
      <w:r w:rsidR="00E84C46">
        <w:rPr>
          <w:szCs w:val="24"/>
        </w:rPr>
        <w:t xml:space="preserve"> and indeed there seems to be no authority for applying Lord Griffiths' view more widely.</w:t>
      </w:r>
      <w:r w:rsidR="00161AB5">
        <w:rPr>
          <w:szCs w:val="24"/>
        </w:rPr>
        <w:t xml:space="preserve"> </w:t>
      </w:r>
      <w:r w:rsidR="00511C8B">
        <w:rPr>
          <w:szCs w:val="24"/>
        </w:rPr>
        <w:t xml:space="preserve">The situation in </w:t>
      </w:r>
      <w:r w:rsidR="00511C8B" w:rsidRPr="00511C8B">
        <w:rPr>
          <w:szCs w:val="24"/>
          <w:u w:val="single"/>
        </w:rPr>
        <w:t>The Alexandros T</w:t>
      </w:r>
      <w:r w:rsidR="00042191">
        <w:rPr>
          <w:szCs w:val="24"/>
        </w:rPr>
        <w:t xml:space="preserve"> did</w:t>
      </w:r>
      <w:r w:rsidR="00511C8B">
        <w:rPr>
          <w:szCs w:val="24"/>
        </w:rPr>
        <w:t xml:space="preserve"> not involve a service contract, and if the third party is sued in breach of a settlement, exclusive jurisdiction or arbitration clause, there will normally be no question of the contracting party making good the loss.</w:t>
      </w:r>
    </w:p>
    <w:p w14:paraId="30699343" w14:textId="2641F3E7" w:rsidR="00E83FCC" w:rsidRDefault="00511C8B" w:rsidP="009A7049">
      <w:r>
        <w:rPr>
          <w:szCs w:val="24"/>
        </w:rPr>
        <w:t xml:space="preserve">   </w:t>
      </w:r>
      <w:r w:rsidR="00161AB5">
        <w:rPr>
          <w:szCs w:val="24"/>
        </w:rPr>
        <w:t xml:space="preserve">In </w:t>
      </w:r>
      <w:r w:rsidR="00D225D6" w:rsidRPr="00D225D6">
        <w:rPr>
          <w:u w:val="single"/>
        </w:rPr>
        <w:t>DRC</w:t>
      </w:r>
      <w:r w:rsidR="00D225D6">
        <w:t xml:space="preserve"> v </w:t>
      </w:r>
      <w:r w:rsidR="00161AB5" w:rsidRPr="00161AB5">
        <w:rPr>
          <w:szCs w:val="24"/>
          <w:u w:val="single"/>
        </w:rPr>
        <w:t>Ulva</w:t>
      </w:r>
      <w:r w:rsidR="00161AB5">
        <w:rPr>
          <w:szCs w:val="24"/>
        </w:rPr>
        <w:t xml:space="preserve">, </w:t>
      </w:r>
      <w:r w:rsidR="00C040FE">
        <w:rPr>
          <w:szCs w:val="24"/>
        </w:rPr>
        <w:t>Flaux J</w:t>
      </w:r>
      <w:r w:rsidR="00592A78">
        <w:rPr>
          <w:szCs w:val="24"/>
        </w:rPr>
        <w:t xml:space="preserve"> preferred "</w:t>
      </w:r>
      <w:r w:rsidR="00592A78" w:rsidRPr="006A140C">
        <w:rPr>
          <w:rFonts w:eastAsia="Times New Roman"/>
          <w:color w:val="000000"/>
          <w:szCs w:val="24"/>
          <w:lang w:eastAsia="en-GB"/>
        </w:rPr>
        <w:t xml:space="preserve">the so-called </w:t>
      </w:r>
      <w:r w:rsidR="00592A78" w:rsidRPr="006A140C">
        <w:rPr>
          <w:rFonts w:eastAsia="Times New Roman"/>
          <w:color w:val="000000"/>
          <w:szCs w:val="24"/>
          <w:u w:val="single"/>
          <w:lang w:eastAsia="en-GB"/>
        </w:rPr>
        <w:t>Albazero</w:t>
      </w:r>
      <w:r w:rsidR="00592A78" w:rsidRPr="006A140C">
        <w:rPr>
          <w:rFonts w:eastAsia="Times New Roman"/>
          <w:color w:val="000000"/>
          <w:szCs w:val="24"/>
          <w:lang w:eastAsia="en-GB"/>
        </w:rPr>
        <w:t xml:space="preserve"> exception to the general principle that a party to a contract cannot recover from the contract breaker a third party's loss</w:t>
      </w:r>
      <w:r w:rsidR="00592A78">
        <w:rPr>
          <w:rFonts w:eastAsia="Times New Roman"/>
          <w:color w:val="000000"/>
          <w:szCs w:val="24"/>
          <w:lang w:eastAsia="en-GB"/>
        </w:rPr>
        <w:t>",</w:t>
      </w:r>
      <w:r w:rsidR="00592A78">
        <w:rPr>
          <w:rStyle w:val="FootnoteReference"/>
          <w:rFonts w:eastAsia="Times New Roman"/>
          <w:color w:val="000000"/>
          <w:szCs w:val="24"/>
          <w:lang w:eastAsia="en-GB"/>
        </w:rPr>
        <w:footnoteReference w:id="141"/>
      </w:r>
      <w:r w:rsidR="00592A78">
        <w:rPr>
          <w:rFonts w:eastAsia="Times New Roman"/>
          <w:color w:val="000000"/>
          <w:szCs w:val="24"/>
          <w:lang w:eastAsia="en-GB"/>
        </w:rPr>
        <w:t xml:space="preserve"> </w:t>
      </w:r>
      <w:r w:rsidR="00E342D0">
        <w:rPr>
          <w:rFonts w:eastAsia="Times New Roman"/>
          <w:color w:val="000000"/>
          <w:szCs w:val="24"/>
          <w:lang w:eastAsia="en-GB"/>
        </w:rPr>
        <w:t xml:space="preserve">the "narrow view" </w:t>
      </w:r>
      <w:r w:rsidR="00E342D0">
        <w:rPr>
          <w:szCs w:val="24"/>
          <w:lang w:eastAsia="en-GB"/>
        </w:rPr>
        <w:t xml:space="preserve">in </w:t>
      </w:r>
      <w:r w:rsidR="00E342D0" w:rsidRPr="0099010A">
        <w:rPr>
          <w:u w:val="single"/>
        </w:rPr>
        <w:t>St Martin's</w:t>
      </w:r>
      <w:r w:rsidR="00E342D0">
        <w:rPr>
          <w:rFonts w:eastAsia="Times New Roman"/>
          <w:color w:val="000000"/>
          <w:szCs w:val="24"/>
          <w:lang w:eastAsia="en-GB"/>
        </w:rPr>
        <w:t xml:space="preserve">, </w:t>
      </w:r>
      <w:r w:rsidR="00592A78">
        <w:rPr>
          <w:rFonts w:eastAsia="Times New Roman"/>
          <w:color w:val="000000"/>
          <w:szCs w:val="24"/>
          <w:lang w:eastAsia="en-GB"/>
        </w:rPr>
        <w:t xml:space="preserve">which </w:t>
      </w:r>
      <w:r w:rsidR="00FF6B64">
        <w:rPr>
          <w:rFonts w:eastAsia="Times New Roman"/>
          <w:color w:val="000000"/>
          <w:szCs w:val="24"/>
          <w:lang w:eastAsia="en-GB"/>
        </w:rPr>
        <w:t xml:space="preserve">was </w:t>
      </w:r>
      <w:r w:rsidR="00E342D0">
        <w:rPr>
          <w:rFonts w:eastAsia="Times New Roman"/>
          <w:color w:val="000000"/>
          <w:szCs w:val="24"/>
          <w:lang w:eastAsia="en-GB"/>
        </w:rPr>
        <w:t xml:space="preserve">favoured </w:t>
      </w:r>
      <w:r w:rsidR="00FF6B64">
        <w:rPr>
          <w:rFonts w:eastAsia="Times New Roman"/>
          <w:color w:val="000000"/>
          <w:szCs w:val="24"/>
          <w:lang w:eastAsia="en-GB"/>
        </w:rPr>
        <w:t xml:space="preserve">by Lord Griffiths' brethren in </w:t>
      </w:r>
      <w:r w:rsidR="00135C7B" w:rsidRPr="00135C7B">
        <w:rPr>
          <w:rFonts w:eastAsia="Times New Roman"/>
          <w:color w:val="000000"/>
          <w:szCs w:val="24"/>
          <w:u w:val="single"/>
          <w:lang w:eastAsia="en-GB"/>
        </w:rPr>
        <w:t>St Martin's</w:t>
      </w:r>
      <w:r w:rsidR="00135C7B">
        <w:rPr>
          <w:rFonts w:eastAsia="Times New Roman"/>
          <w:color w:val="000000"/>
          <w:szCs w:val="24"/>
          <w:lang w:eastAsia="en-GB"/>
        </w:rPr>
        <w:t xml:space="preserve"> itself, and </w:t>
      </w:r>
      <w:r w:rsidR="00FF6B64">
        <w:rPr>
          <w:rFonts w:eastAsia="Times New Roman"/>
          <w:color w:val="000000"/>
          <w:szCs w:val="24"/>
          <w:lang w:eastAsia="en-GB"/>
        </w:rPr>
        <w:lastRenderedPageBreak/>
        <w:t xml:space="preserve">by the majority </w:t>
      </w:r>
      <w:r w:rsidR="00135C7B">
        <w:rPr>
          <w:rFonts w:eastAsia="Times New Roman"/>
          <w:color w:val="000000"/>
          <w:szCs w:val="24"/>
          <w:lang w:eastAsia="en-GB"/>
        </w:rPr>
        <w:t xml:space="preserve">in </w:t>
      </w:r>
      <w:r w:rsidR="00135C7B" w:rsidRPr="00135C7B">
        <w:rPr>
          <w:rFonts w:eastAsia="Times New Roman"/>
          <w:color w:val="000000"/>
          <w:szCs w:val="24"/>
          <w:u w:val="single"/>
          <w:lang w:eastAsia="en-GB"/>
        </w:rPr>
        <w:t>Panatown</w:t>
      </w:r>
      <w:r w:rsidR="00592A78" w:rsidRPr="006A140C">
        <w:rPr>
          <w:rFonts w:eastAsia="Times New Roman"/>
          <w:color w:val="000000"/>
          <w:szCs w:val="24"/>
          <w:lang w:eastAsia="en-GB"/>
        </w:rPr>
        <w:t>.</w:t>
      </w:r>
      <w:r w:rsidR="00E342D0">
        <w:rPr>
          <w:rFonts w:eastAsia="Times New Roman"/>
          <w:color w:val="000000"/>
          <w:szCs w:val="24"/>
          <w:lang w:eastAsia="en-GB"/>
        </w:rPr>
        <w:t xml:space="preserve"> </w:t>
      </w:r>
      <w:r w:rsidR="00135C7B">
        <w:rPr>
          <w:rFonts w:eastAsia="Times New Roman"/>
          <w:color w:val="000000"/>
          <w:szCs w:val="24"/>
          <w:lang w:eastAsia="en-GB"/>
        </w:rPr>
        <w:t xml:space="preserve">When he came to decide </w:t>
      </w:r>
      <w:r w:rsidR="00E342D0" w:rsidRPr="00E342D0">
        <w:rPr>
          <w:rFonts w:eastAsia="Times New Roman"/>
          <w:color w:val="000000"/>
          <w:szCs w:val="24"/>
          <w:u w:val="single"/>
          <w:lang w:eastAsia="en-GB"/>
        </w:rPr>
        <w:t>The Alexandros T</w:t>
      </w:r>
      <w:r w:rsidR="00135C7B">
        <w:rPr>
          <w:rFonts w:eastAsia="Times New Roman"/>
          <w:color w:val="000000"/>
          <w:szCs w:val="24"/>
          <w:lang w:eastAsia="en-GB"/>
        </w:rPr>
        <w:t>, Flaux</w:t>
      </w:r>
      <w:r w:rsidR="00E342D0">
        <w:rPr>
          <w:rFonts w:eastAsia="Times New Roman"/>
          <w:color w:val="000000"/>
          <w:szCs w:val="24"/>
          <w:lang w:eastAsia="en-GB"/>
        </w:rPr>
        <w:t xml:space="preserve"> </w:t>
      </w:r>
      <w:r w:rsidR="00135C7B">
        <w:rPr>
          <w:rFonts w:eastAsia="Times New Roman"/>
          <w:color w:val="000000"/>
          <w:szCs w:val="24"/>
          <w:lang w:eastAsia="en-GB"/>
        </w:rPr>
        <w:t xml:space="preserve">J </w:t>
      </w:r>
      <w:r w:rsidR="00E342D0">
        <w:rPr>
          <w:rFonts w:eastAsia="Times New Roman"/>
          <w:color w:val="000000"/>
          <w:szCs w:val="24"/>
          <w:lang w:eastAsia="en-GB"/>
        </w:rPr>
        <w:t xml:space="preserve">noted that the damages claim </w:t>
      </w:r>
      <w:r w:rsidR="00E342D0" w:rsidRPr="004201CE">
        <w:rPr>
          <w:rFonts w:eastAsia="Times New Roman"/>
          <w:szCs w:val="24"/>
          <w:lang w:eastAsia="en-GB"/>
        </w:rPr>
        <w:t xml:space="preserve">was based on </w:t>
      </w:r>
      <w:r w:rsidR="004201CE" w:rsidRPr="004201CE">
        <w:rPr>
          <w:rFonts w:eastAsia="Times New Roman"/>
          <w:szCs w:val="24"/>
          <w:lang w:eastAsia="en-GB"/>
        </w:rPr>
        <w:t>"</w:t>
      </w:r>
      <w:r w:rsidR="00A6408C">
        <w:t>the so-called 'narrow ground'</w:t>
      </w:r>
      <w:r w:rsidR="004201CE" w:rsidRPr="004201CE">
        <w:t xml:space="preserve"> of the decision of the House of Lords in </w:t>
      </w:r>
      <w:r w:rsidR="004934D8">
        <w:rPr>
          <w:u w:val="single"/>
        </w:rPr>
        <w:t>St Martin's</w:t>
      </w:r>
      <w:r w:rsidR="004934D8" w:rsidRPr="00A6408C">
        <w:t xml:space="preserve"> </w:t>
      </w:r>
      <w:r w:rsidR="00A6408C" w:rsidRPr="00A6408C">
        <w:t xml:space="preserve">... </w:t>
      </w:r>
      <w:r w:rsidR="004201CE" w:rsidRPr="00A6408C">
        <w:t>",</w:t>
      </w:r>
      <w:r w:rsidR="004201CE" w:rsidRPr="00135C7B">
        <w:t xml:space="preserve"> and</w:t>
      </w:r>
      <w:r w:rsidR="004201CE">
        <w:t xml:space="preserve"> though he did not explicitly base his own reasoning on this ground, given his own earlier rejection of the broad view, he </w:t>
      </w:r>
      <w:r w:rsidR="006217B7">
        <w:t>was almost certainly adopting the narrow view</w:t>
      </w:r>
      <w:r w:rsidR="004201CE">
        <w:t xml:space="preserve">. </w:t>
      </w:r>
      <w:r w:rsidR="008A24F8">
        <w:t xml:space="preserve">If so, his interpretation of that view was extremely broad, requiring no more than that </w:t>
      </w:r>
      <w:r w:rsidR="008A24F8" w:rsidRPr="008A24F8">
        <w:t>"there was an intention under the settlement agreements to benefit [the] servants or agents".</w:t>
      </w:r>
      <w:r w:rsidR="008A24F8" w:rsidRPr="008A24F8">
        <w:rPr>
          <w:rStyle w:val="FootnoteReference"/>
        </w:rPr>
        <w:footnoteReference w:id="142"/>
      </w:r>
      <w:r w:rsidR="008A24F8">
        <w:t xml:space="preserve"> </w:t>
      </w:r>
      <w:r w:rsidR="001B12C5">
        <w:t>If this is correct, then substantial damages will probably be claimable in almost every third party case, save where the t</w:t>
      </w:r>
      <w:r w:rsidR="004934D8">
        <w:t>hird party himself has a remedy,</w:t>
      </w:r>
      <w:r w:rsidR="001B12C5">
        <w:rPr>
          <w:rStyle w:val="FootnoteReference"/>
        </w:rPr>
        <w:footnoteReference w:id="143"/>
      </w:r>
      <w:r w:rsidR="001B12C5">
        <w:t xml:space="preserve"> </w:t>
      </w:r>
      <w:r w:rsidR="004934D8">
        <w:t>and as already explained</w:t>
      </w:r>
      <w:r w:rsidR="001B12C5">
        <w:t xml:space="preserve">, Flaux J's view on substantial CMI and LMI damages was clearly intended </w:t>
      </w:r>
      <w:r w:rsidR="001B12C5">
        <w:lastRenderedPageBreak/>
        <w:t>as a fallback position, "if he [wa</w:t>
      </w:r>
      <w:r w:rsidR="001B12C5" w:rsidRPr="00F11ECB">
        <w:t>s</w:t>
      </w:r>
      <w:r w:rsidR="001B12C5">
        <w:t>]</w:t>
      </w:r>
      <w:r w:rsidR="001B12C5" w:rsidRPr="00F11ECB">
        <w:t xml:space="preserve"> wrong about the 1999 Act</w:t>
      </w:r>
      <w:r w:rsidR="001B12C5">
        <w:t>".</w:t>
      </w:r>
      <w:r w:rsidR="001B12C5">
        <w:rPr>
          <w:rStyle w:val="FootnoteReference"/>
        </w:rPr>
        <w:footnoteReference w:id="144"/>
      </w:r>
    </w:p>
    <w:p w14:paraId="3D5CE748" w14:textId="22370D0D" w:rsidR="00ED6C2F" w:rsidRDefault="004934D8" w:rsidP="009A7049">
      <w:r>
        <w:t xml:space="preserve">   </w:t>
      </w:r>
      <w:r w:rsidR="001B12C5">
        <w:t>It mu</w:t>
      </w:r>
      <w:r w:rsidR="006217B7">
        <w:t>st be wondered whether Flaux J wa</w:t>
      </w:r>
      <w:r w:rsidR="001B12C5">
        <w:t>s right to adopt so wide a view.</w:t>
      </w:r>
      <w:r w:rsidR="00135C7B">
        <w:t xml:space="preserve"> </w:t>
      </w:r>
      <w:r w:rsidR="00135C7B" w:rsidRPr="00135C7B">
        <w:t>The authorities lean both ways</w:t>
      </w:r>
      <w:r w:rsidR="00135C7B">
        <w:t xml:space="preserve">, and it is interesting to contrast his own rather narrow view in </w:t>
      </w:r>
      <w:r w:rsidR="00D225D6" w:rsidRPr="00D225D6">
        <w:rPr>
          <w:u w:val="single"/>
        </w:rPr>
        <w:t>DRC</w:t>
      </w:r>
      <w:r w:rsidR="00D225D6">
        <w:t xml:space="preserve"> v </w:t>
      </w:r>
      <w:r w:rsidR="00135C7B" w:rsidRPr="00135C7B">
        <w:rPr>
          <w:u w:val="single"/>
        </w:rPr>
        <w:t>Ulva</w:t>
      </w:r>
      <w:r w:rsidR="00135C7B" w:rsidRPr="00135C7B">
        <w:t>.</w:t>
      </w:r>
      <w:r w:rsidR="001D01A9">
        <w:rPr>
          <w:rStyle w:val="FootnoteReference"/>
        </w:rPr>
        <w:footnoteReference w:id="145"/>
      </w:r>
      <w:r w:rsidR="001B12C5">
        <w:t xml:space="preserve"> </w:t>
      </w:r>
      <w:r w:rsidR="001B12C5" w:rsidRPr="001B12C5">
        <w:rPr>
          <w:u w:val="single"/>
        </w:rPr>
        <w:t>The Albazero</w:t>
      </w:r>
      <w:r w:rsidR="001B12C5">
        <w:t xml:space="preserve"> exception was </w:t>
      </w:r>
      <w:r w:rsidR="0043292C">
        <w:t xml:space="preserve">originally </w:t>
      </w:r>
      <w:r w:rsidR="001B12C5">
        <w:t xml:space="preserve">conceived as narrow, to explain the old case of </w:t>
      </w:r>
      <w:r w:rsidR="001B12C5" w:rsidRPr="0043292C">
        <w:rPr>
          <w:u w:val="single"/>
        </w:rPr>
        <w:t>Dunlop</w:t>
      </w:r>
      <w:r w:rsidR="001B12C5" w:rsidRPr="0043292C">
        <w:t xml:space="preserve"> v </w:t>
      </w:r>
      <w:r w:rsidR="001B12C5" w:rsidRPr="0043292C">
        <w:rPr>
          <w:u w:val="single"/>
        </w:rPr>
        <w:t>Lambert</w:t>
      </w:r>
      <w:r w:rsidR="001B12C5">
        <w:t xml:space="preserve">, which Lord Diplock was </w:t>
      </w:r>
      <w:r w:rsidR="0033453C">
        <w:t>certainly not anxious to extend.</w:t>
      </w:r>
      <w:r w:rsidR="001B12C5">
        <w:rPr>
          <w:rStyle w:val="FootnoteReference"/>
        </w:rPr>
        <w:footnoteReference w:id="146"/>
      </w:r>
      <w:r w:rsidR="0033453C">
        <w:t xml:space="preserve"> </w:t>
      </w:r>
      <w:r w:rsidR="002B61B6">
        <w:t xml:space="preserve">Both </w:t>
      </w:r>
      <w:r w:rsidR="002B61B6" w:rsidRPr="002B61B6">
        <w:rPr>
          <w:u w:val="single"/>
        </w:rPr>
        <w:t>The Albazero</w:t>
      </w:r>
      <w:r w:rsidR="002B61B6">
        <w:t xml:space="preserve"> and </w:t>
      </w:r>
      <w:r w:rsidR="002B61B6" w:rsidRPr="002B61B6">
        <w:rPr>
          <w:u w:val="single"/>
        </w:rPr>
        <w:t>St Martin's</w:t>
      </w:r>
      <w:r w:rsidR="002B61B6">
        <w:t xml:space="preserve"> involved damage caused to property which was likely to be </w:t>
      </w:r>
      <w:r w:rsidR="00371399">
        <w:t xml:space="preserve">(and was) </w:t>
      </w:r>
      <w:r w:rsidR="002B61B6">
        <w:t xml:space="preserve">purchased by third parties, so that </w:t>
      </w:r>
      <w:r w:rsidR="00660E10">
        <w:t xml:space="preserve">(as the parties were aware) </w:t>
      </w:r>
      <w:r w:rsidR="002B61B6">
        <w:t xml:space="preserve">the loss would not be occasioned to the contracting party. </w:t>
      </w:r>
      <w:r w:rsidR="00C53D87">
        <w:t xml:space="preserve">Though </w:t>
      </w:r>
      <w:r w:rsidR="00A6408C" w:rsidRPr="00A6408C">
        <w:rPr>
          <w:u w:val="single"/>
        </w:rPr>
        <w:t>Panatown</w:t>
      </w:r>
      <w:r w:rsidR="00A6408C">
        <w:t xml:space="preserve">, and also </w:t>
      </w:r>
      <w:r w:rsidR="0043292C">
        <w:rPr>
          <w:szCs w:val="24"/>
          <w:u w:val="single"/>
        </w:rPr>
        <w:t>Darlington BC</w:t>
      </w:r>
      <w:r w:rsidR="005814C4" w:rsidRPr="00507006">
        <w:rPr>
          <w:szCs w:val="24"/>
        </w:rPr>
        <w:t xml:space="preserve"> v </w:t>
      </w:r>
      <w:r w:rsidR="005814C4" w:rsidRPr="001A2456">
        <w:rPr>
          <w:szCs w:val="24"/>
          <w:u w:val="single"/>
        </w:rPr>
        <w:t>Wiltshier</w:t>
      </w:r>
      <w:r w:rsidR="00B12EE8">
        <w:rPr>
          <w:szCs w:val="24"/>
          <w:u w:val="single"/>
        </w:rPr>
        <w:t xml:space="preserve"> </w:t>
      </w:r>
      <w:r w:rsidR="00B12EE8">
        <w:rPr>
          <w:szCs w:val="24"/>
          <w:u w:val="single"/>
        </w:rPr>
        <w:lastRenderedPageBreak/>
        <w:t>Northern Ltd</w:t>
      </w:r>
      <w:r w:rsidR="00A6408C">
        <w:rPr>
          <w:szCs w:val="24"/>
        </w:rPr>
        <w:t>,</w:t>
      </w:r>
      <w:r w:rsidR="005814C4">
        <w:rPr>
          <w:rStyle w:val="FootnoteReference"/>
          <w:szCs w:val="24"/>
        </w:rPr>
        <w:footnoteReference w:id="147"/>
      </w:r>
      <w:r w:rsidR="005814C4">
        <w:rPr>
          <w:szCs w:val="24"/>
        </w:rPr>
        <w:t xml:space="preserve"> </w:t>
      </w:r>
      <w:r w:rsidR="00C53D87">
        <w:t xml:space="preserve">extended the principles in </w:t>
      </w:r>
      <w:r w:rsidR="00C53D87" w:rsidRPr="002B61B6">
        <w:rPr>
          <w:u w:val="single"/>
        </w:rPr>
        <w:t>The Albazero</w:t>
      </w:r>
      <w:r w:rsidR="00C53D87">
        <w:t xml:space="preserve"> and </w:t>
      </w:r>
      <w:r w:rsidR="00C53D87" w:rsidRPr="002B61B6">
        <w:rPr>
          <w:u w:val="single"/>
        </w:rPr>
        <w:t>St Martin's</w:t>
      </w:r>
      <w:r w:rsidR="00C53D87">
        <w:t xml:space="preserve">, in each case the third party owned the property but was not the party contracting with the builder. </w:t>
      </w:r>
      <w:r w:rsidR="002F0424">
        <w:t xml:space="preserve">The authorities probably preserve </w:t>
      </w:r>
      <w:r w:rsidR="000415E2">
        <w:t>a property</w:t>
      </w:r>
      <w:r w:rsidR="002F0424">
        <w:t xml:space="preserve"> link</w:t>
      </w:r>
      <w:r w:rsidR="00660E10">
        <w:t xml:space="preserve"> (perhaps because it most easily justifies requiring </w:t>
      </w:r>
      <w:r w:rsidR="00660E10">
        <w:rPr>
          <w:szCs w:val="24"/>
        </w:rPr>
        <w:t xml:space="preserve">the contracting party to </w:t>
      </w:r>
      <w:r w:rsidR="00660E10">
        <w:t>hold the damages for the third party</w:t>
      </w:r>
      <w:r w:rsidR="00660E10">
        <w:rPr>
          <w:szCs w:val="24"/>
        </w:rPr>
        <w:t>)</w:t>
      </w:r>
      <w:r w:rsidR="002F0424">
        <w:t>, but do not clearly do so.</w:t>
      </w:r>
      <w:r w:rsidR="005814C4">
        <w:t xml:space="preserve"> The majority speeches in </w:t>
      </w:r>
      <w:r w:rsidR="005814C4" w:rsidRPr="00C21217">
        <w:rPr>
          <w:u w:val="single"/>
        </w:rPr>
        <w:t>Panatown</w:t>
      </w:r>
      <w:r w:rsidR="005814C4">
        <w:t xml:space="preserve">, are equivocal. </w:t>
      </w:r>
      <w:r w:rsidR="002F0424">
        <w:t xml:space="preserve">In </w:t>
      </w:r>
      <w:r w:rsidR="002F0424" w:rsidRPr="001217F2">
        <w:rPr>
          <w:u w:val="single"/>
          <w:lang w:eastAsia="en-GB"/>
        </w:rPr>
        <w:t>Swynson Ltd</w:t>
      </w:r>
      <w:r w:rsidR="002F0424" w:rsidRPr="009625A6">
        <w:rPr>
          <w:lang w:eastAsia="en-GB"/>
        </w:rPr>
        <w:t xml:space="preserve"> v </w:t>
      </w:r>
      <w:r w:rsidR="002F0424" w:rsidRPr="001217F2">
        <w:rPr>
          <w:u w:val="single"/>
          <w:lang w:eastAsia="en-GB"/>
        </w:rPr>
        <w:t>Lowick Rose LLP</w:t>
      </w:r>
      <w:r w:rsidR="002F0424">
        <w:rPr>
          <w:lang w:eastAsia="en-GB"/>
        </w:rPr>
        <w:t xml:space="preserve">, </w:t>
      </w:r>
      <w:r w:rsidR="005814C4">
        <w:rPr>
          <w:lang w:eastAsia="en-GB"/>
        </w:rPr>
        <w:t>Lord Sumption would have required a property link for the "narrow" basis,</w:t>
      </w:r>
      <w:r w:rsidR="005814C4">
        <w:rPr>
          <w:rStyle w:val="FootnoteReference"/>
          <w:lang w:eastAsia="en-GB"/>
        </w:rPr>
        <w:footnoteReference w:id="148"/>
      </w:r>
      <w:r w:rsidR="005814C4">
        <w:rPr>
          <w:lang w:eastAsia="en-GB"/>
        </w:rPr>
        <w:t xml:space="preserve"> and emphasised the narrowness </w:t>
      </w:r>
      <w:r w:rsidR="005814C4">
        <w:t xml:space="preserve">of the </w:t>
      </w:r>
      <w:r w:rsidR="005814C4" w:rsidRPr="00C21217">
        <w:rPr>
          <w:u w:val="single"/>
        </w:rPr>
        <w:t>Albazero</w:t>
      </w:r>
      <w:r w:rsidR="005814C4">
        <w:t xml:space="preserve"> exception.</w:t>
      </w:r>
      <w:r w:rsidR="00B55988">
        <w:t xml:space="preserve"> </w:t>
      </w:r>
      <w:r w:rsidR="00682EB1">
        <w:t>Lord Neuberger's view was largely similar,</w:t>
      </w:r>
      <w:r w:rsidR="00682EB1">
        <w:rPr>
          <w:rStyle w:val="FootnoteReference"/>
        </w:rPr>
        <w:footnoteReference w:id="149"/>
      </w:r>
      <w:r w:rsidR="00682EB1">
        <w:t xml:space="preserve"> but </w:t>
      </w:r>
      <w:r w:rsidR="00B55988">
        <w:t>Lord Mance was sil</w:t>
      </w:r>
      <w:r w:rsidR="00682EB1">
        <w:t>ent as to the need for the link.</w:t>
      </w:r>
      <w:r w:rsidR="00B55988">
        <w:rPr>
          <w:rStyle w:val="FootnoteReference"/>
        </w:rPr>
        <w:footnoteReference w:id="150"/>
      </w:r>
      <w:r w:rsidR="00682EB1">
        <w:t xml:space="preserve"> </w:t>
      </w:r>
      <w:r w:rsidR="00660E10">
        <w:t xml:space="preserve">Generally, the courts have been cautious about extending the </w:t>
      </w:r>
      <w:r w:rsidR="00660E10" w:rsidRPr="00660E10">
        <w:rPr>
          <w:u w:val="single"/>
        </w:rPr>
        <w:t>Albazero</w:t>
      </w:r>
      <w:r w:rsidR="00660E10">
        <w:t xml:space="preserve"> exception, but on the other hand, t</w:t>
      </w:r>
      <w:r w:rsidR="00ED6C2F">
        <w:t xml:space="preserve">he argument that otherwise </w:t>
      </w:r>
      <w:r w:rsidR="00ED6C2F" w:rsidRPr="00E269AF">
        <w:rPr>
          <w:rFonts w:eastAsia="Times New Roman"/>
          <w:color w:val="000000"/>
        </w:rPr>
        <w:t xml:space="preserve">a substantial claim </w:t>
      </w:r>
      <w:r w:rsidR="00ED6C2F">
        <w:rPr>
          <w:rFonts w:eastAsia="Times New Roman"/>
          <w:color w:val="000000"/>
        </w:rPr>
        <w:t xml:space="preserve">could </w:t>
      </w:r>
      <w:r w:rsidR="00ED6C2F" w:rsidRPr="00ED6C2F">
        <w:t xml:space="preserve">disappear into a </w:t>
      </w:r>
      <w:r w:rsidR="00ED6C2F">
        <w:t>"</w:t>
      </w:r>
      <w:r w:rsidR="00ED6C2F" w:rsidRPr="00ED6C2F">
        <w:t xml:space="preserve">legal </w:t>
      </w:r>
      <w:r w:rsidR="00ED6C2F" w:rsidRPr="00ED6C2F">
        <w:lastRenderedPageBreak/>
        <w:t>black hole</w:t>
      </w:r>
      <w:r w:rsidR="00ED6C2F">
        <w:t>"</w:t>
      </w:r>
      <w:r w:rsidR="00ED6C2F" w:rsidRPr="00ED6C2F">
        <w:t xml:space="preserve"> does not depend on retention of a property link.</w:t>
      </w:r>
      <w:r w:rsidR="00ED6C2F">
        <w:rPr>
          <w:rStyle w:val="FootnoteReference"/>
        </w:rPr>
        <w:footnoteReference w:id="151"/>
      </w:r>
    </w:p>
    <w:p w14:paraId="327F131F" w14:textId="1A676C00" w:rsidR="001B12C5" w:rsidRDefault="00ED6C2F" w:rsidP="009A7049">
      <w:r>
        <w:t xml:space="preserve">   In conclusion then, </w:t>
      </w:r>
      <w:r w:rsidR="00660E10">
        <w:t xml:space="preserve">while </w:t>
      </w:r>
      <w:r>
        <w:t>it</w:t>
      </w:r>
      <w:r w:rsidR="00682EB1">
        <w:t xml:space="preserve"> cannot be said that F</w:t>
      </w:r>
      <w:r w:rsidR="00C21217">
        <w:t xml:space="preserve">laux J's view in </w:t>
      </w:r>
      <w:r w:rsidR="00C21217" w:rsidRPr="00C21217">
        <w:rPr>
          <w:u w:val="single"/>
        </w:rPr>
        <w:t>The Alexandros T</w:t>
      </w:r>
      <w:r w:rsidR="00C21217">
        <w:t xml:space="preserve"> </w:t>
      </w:r>
      <w:r w:rsidR="00682EB1">
        <w:t>goes entirely beyo</w:t>
      </w:r>
      <w:r w:rsidR="00660E10">
        <w:t xml:space="preserve">nd the earlier authorities, </w:t>
      </w:r>
      <w:r w:rsidR="00682EB1">
        <w:t xml:space="preserve">it certainly represents </w:t>
      </w:r>
      <w:r w:rsidR="00C21217">
        <w:t>a significant widening</w:t>
      </w:r>
      <w:r w:rsidR="00682EB1">
        <w:t xml:space="preserve"> of the principle, as originally stated in </w:t>
      </w:r>
      <w:r w:rsidR="00682EB1" w:rsidRPr="00682EB1">
        <w:rPr>
          <w:u w:val="single"/>
        </w:rPr>
        <w:t>The Albazero</w:t>
      </w:r>
      <w:r w:rsidR="00C21217">
        <w:t>.</w:t>
      </w:r>
    </w:p>
    <w:p w14:paraId="3BAAF1D9" w14:textId="2E7BF69D" w:rsidR="00C41E7F" w:rsidRDefault="00C41E7F" w:rsidP="009A7049">
      <w:r>
        <w:t xml:space="preserve">   Even if </w:t>
      </w:r>
      <w:r w:rsidR="00D37B27">
        <w:t xml:space="preserve">substantial </w:t>
      </w:r>
      <w:r>
        <w:t xml:space="preserve">damages are, in principle, available, that does not negate the possibility of an injunction or (assuming a positive obligation can be found) specific performance; </w:t>
      </w:r>
      <w:r w:rsidR="00D37B27">
        <w:t xml:space="preserve">even substantial </w:t>
      </w:r>
      <w:r w:rsidR="00E32830">
        <w:t>damages will not be an adequate remedy, for the reasons rehearsed earlier.</w:t>
      </w:r>
      <w:r w:rsidR="00E32830">
        <w:rPr>
          <w:rStyle w:val="FootnoteReference"/>
        </w:rPr>
        <w:footnoteReference w:id="152"/>
      </w:r>
    </w:p>
    <w:p w14:paraId="4EBA190E" w14:textId="38BD13D3" w:rsidR="004B5579" w:rsidRDefault="004B5579" w:rsidP="004B5579">
      <w:pPr>
        <w:pStyle w:val="Heading1"/>
      </w:pPr>
      <w:r>
        <w:t>Conclusions</w:t>
      </w:r>
    </w:p>
    <w:p w14:paraId="7A05B422" w14:textId="063CD7D4" w:rsidR="00691B79" w:rsidRDefault="00D37B27" w:rsidP="009331F3">
      <w:pPr>
        <w:rPr>
          <w:lang w:eastAsia="en-GB"/>
        </w:rPr>
      </w:pPr>
      <w:r>
        <w:rPr>
          <w:lang w:eastAsia="en-GB"/>
        </w:rPr>
        <w:lastRenderedPageBreak/>
        <w:t>A</w:t>
      </w:r>
      <w:r w:rsidR="004B5579">
        <w:rPr>
          <w:lang w:eastAsia="en-GB"/>
        </w:rPr>
        <w:t>rbitra</w:t>
      </w:r>
      <w:r w:rsidR="002E4253">
        <w:rPr>
          <w:lang w:eastAsia="en-GB"/>
        </w:rPr>
        <w:t xml:space="preserve">tion </w:t>
      </w:r>
      <w:r w:rsidR="004B5579">
        <w:rPr>
          <w:lang w:eastAsia="en-GB"/>
        </w:rPr>
        <w:t xml:space="preserve">clauses involve an undertaking not to sue other than in the agreed forum, and in principle, damages should be available for their breach. </w:t>
      </w:r>
      <w:r w:rsidR="002E4253">
        <w:rPr>
          <w:lang w:eastAsia="en-GB"/>
        </w:rPr>
        <w:t>In arbitration, and other situations where there is a similar undertaking, t</w:t>
      </w:r>
      <w:r w:rsidR="004B5579">
        <w:rPr>
          <w:lang w:eastAsia="en-GB"/>
        </w:rPr>
        <w:t xml:space="preserve">here are now cases where damages have been awarded, but there must surely be question marks over whether they are </w:t>
      </w:r>
      <w:r w:rsidR="00691B79">
        <w:rPr>
          <w:lang w:eastAsia="en-GB"/>
        </w:rPr>
        <w:t xml:space="preserve">consistent with general principles </w:t>
      </w:r>
      <w:r w:rsidR="002E4253">
        <w:rPr>
          <w:lang w:eastAsia="en-GB"/>
        </w:rPr>
        <w:t>governing their award</w:t>
      </w:r>
      <w:r w:rsidR="00691B79">
        <w:rPr>
          <w:lang w:eastAsia="en-GB"/>
        </w:rPr>
        <w:t>.</w:t>
      </w:r>
    </w:p>
    <w:p w14:paraId="6C0F9529" w14:textId="24E98043" w:rsidR="0037501E" w:rsidRDefault="00691B79" w:rsidP="00EB6E82">
      <w:pPr>
        <w:rPr>
          <w:lang w:eastAsia="en-GB"/>
        </w:rPr>
      </w:pPr>
      <w:r>
        <w:rPr>
          <w:lang w:eastAsia="en-GB"/>
        </w:rPr>
        <w:t xml:space="preserve">   Flaux J in </w:t>
      </w:r>
      <w:r w:rsidRPr="00691B79">
        <w:rPr>
          <w:u w:val="single"/>
          <w:lang w:eastAsia="en-GB"/>
        </w:rPr>
        <w:t>The Front Comor</w:t>
      </w:r>
      <w:r>
        <w:rPr>
          <w:lang w:eastAsia="en-GB"/>
        </w:rPr>
        <w:t xml:space="preserve"> and the Court of Appeal in </w:t>
      </w:r>
      <w:r w:rsidRPr="00691B79">
        <w:rPr>
          <w:u w:val="single"/>
          <w:lang w:eastAsia="en-GB"/>
        </w:rPr>
        <w:t>The Alexandros T</w:t>
      </w:r>
      <w:r>
        <w:rPr>
          <w:lang w:eastAsia="en-GB"/>
        </w:rPr>
        <w:t xml:space="preserve"> were concerned to limit the effects of </w:t>
      </w:r>
      <w:r w:rsidR="009B2815" w:rsidRPr="009B2815">
        <w:rPr>
          <w:u w:val="single"/>
          <w:lang w:eastAsia="en-GB"/>
        </w:rPr>
        <w:t>Turner</w:t>
      </w:r>
      <w:r w:rsidR="009B2815">
        <w:rPr>
          <w:lang w:eastAsia="en-GB"/>
        </w:rPr>
        <w:t xml:space="preserve"> v </w:t>
      </w:r>
      <w:r w:rsidR="009B2815" w:rsidRPr="009B2815">
        <w:rPr>
          <w:u w:val="single"/>
          <w:lang w:eastAsia="en-GB"/>
        </w:rPr>
        <w:t>Grovit</w:t>
      </w:r>
      <w:r w:rsidR="009B2815">
        <w:rPr>
          <w:lang w:eastAsia="en-GB"/>
        </w:rPr>
        <w:t xml:space="preserve"> and </w:t>
      </w:r>
      <w:r w:rsidRPr="00691B79">
        <w:rPr>
          <w:u w:val="single"/>
          <w:lang w:eastAsia="en-GB"/>
        </w:rPr>
        <w:t>The Front Comor</w:t>
      </w:r>
      <w:r w:rsidR="003A36DD" w:rsidRPr="003A36DD">
        <w:rPr>
          <w:lang w:eastAsia="en-GB"/>
        </w:rPr>
        <w:t xml:space="preserve"> (ECJ)</w:t>
      </w:r>
      <w:r w:rsidRPr="003A36DD">
        <w:rPr>
          <w:lang w:eastAsia="en-GB"/>
        </w:rPr>
        <w:t>.</w:t>
      </w:r>
      <w:r w:rsidR="00ED6C2F" w:rsidRPr="003A36DD">
        <w:rPr>
          <w:rStyle w:val="FootnoteReference"/>
          <w:lang w:eastAsia="en-GB"/>
        </w:rPr>
        <w:footnoteReference w:id="153"/>
      </w:r>
      <w:r w:rsidRPr="003A36DD">
        <w:rPr>
          <w:lang w:eastAsia="en-GB"/>
        </w:rPr>
        <w:t xml:space="preserve"> </w:t>
      </w:r>
      <w:r w:rsidR="00E77165">
        <w:rPr>
          <w:lang w:eastAsia="en-GB"/>
        </w:rPr>
        <w:t>I</w:t>
      </w:r>
      <w:r>
        <w:rPr>
          <w:lang w:eastAsia="en-GB"/>
        </w:rPr>
        <w:t>n so doing, they adopted a very narrow view of the European Court case</w:t>
      </w:r>
      <w:r w:rsidR="00E77165">
        <w:rPr>
          <w:lang w:eastAsia="en-GB"/>
        </w:rPr>
        <w:t>s</w:t>
      </w:r>
      <w:r>
        <w:rPr>
          <w:lang w:eastAsia="en-GB"/>
        </w:rPr>
        <w:t xml:space="preserve">, </w:t>
      </w:r>
      <w:r w:rsidR="00EB6E82">
        <w:rPr>
          <w:lang w:eastAsia="en-GB"/>
        </w:rPr>
        <w:t xml:space="preserve">as indeed they had to, since </w:t>
      </w:r>
      <w:r w:rsidR="00BC4805">
        <w:rPr>
          <w:lang w:eastAsia="en-GB"/>
        </w:rPr>
        <w:t>the logic of the ECJ</w:t>
      </w:r>
      <w:r w:rsidR="009B2815">
        <w:rPr>
          <w:lang w:eastAsia="en-GB"/>
        </w:rPr>
        <w:t xml:space="preserve"> reasoning would appear to affect damages actions, just as surely as the anti-suit injunctions with which they were concerned.</w:t>
      </w:r>
      <w:r w:rsidR="00EB6E82">
        <w:rPr>
          <w:lang w:eastAsia="en-GB"/>
        </w:rPr>
        <w:t xml:space="preserve"> In </w:t>
      </w:r>
      <w:r w:rsidR="00EB6E82" w:rsidRPr="00EB6E82">
        <w:rPr>
          <w:u w:val="single"/>
          <w:lang w:eastAsia="en-GB"/>
        </w:rPr>
        <w:t>The Front Comor</w:t>
      </w:r>
      <w:r w:rsidR="00EB6E82">
        <w:rPr>
          <w:lang w:eastAsia="en-GB"/>
        </w:rPr>
        <w:t>, Flaux J</w:t>
      </w:r>
      <w:r w:rsidR="0037501E">
        <w:rPr>
          <w:lang w:eastAsia="en-GB"/>
        </w:rPr>
        <w:t xml:space="preserve">'s views represent a significant extension of the situation in which equitable </w:t>
      </w:r>
      <w:r w:rsidR="0037501E">
        <w:rPr>
          <w:lang w:eastAsia="en-GB"/>
        </w:rPr>
        <w:lastRenderedPageBreak/>
        <w:t>damages are usually awarded.</w:t>
      </w:r>
    </w:p>
    <w:p w14:paraId="1F0D3703" w14:textId="0FBABA86" w:rsidR="009B2815" w:rsidRDefault="009B2815" w:rsidP="009331F3">
      <w:pPr>
        <w:rPr>
          <w:lang w:eastAsia="en-GB"/>
        </w:rPr>
      </w:pPr>
      <w:r>
        <w:rPr>
          <w:lang w:eastAsia="en-GB"/>
        </w:rPr>
        <w:t xml:space="preserve">   In </w:t>
      </w:r>
      <w:r w:rsidRPr="009B2815">
        <w:rPr>
          <w:u w:val="single"/>
          <w:lang w:eastAsia="en-GB"/>
        </w:rPr>
        <w:t>CSAV</w:t>
      </w:r>
      <w:r>
        <w:rPr>
          <w:lang w:eastAsia="en-GB"/>
        </w:rPr>
        <w:t xml:space="preserve"> v </w:t>
      </w:r>
      <w:r w:rsidRPr="009B2815">
        <w:rPr>
          <w:u w:val="single"/>
          <w:lang w:eastAsia="en-GB"/>
        </w:rPr>
        <w:t>Hin-Pro</w:t>
      </w:r>
      <w:r>
        <w:rPr>
          <w:lang w:eastAsia="en-GB"/>
        </w:rPr>
        <w:t xml:space="preserve">, </w:t>
      </w:r>
      <w:r w:rsidR="003B284E">
        <w:rPr>
          <w:lang w:eastAsia="en-GB"/>
        </w:rPr>
        <w:t xml:space="preserve">Cooke J was understandably concerned not to allow the egregious conduct of the defendants to defeat the claimants' rights under the agreement. The basis on which he was prepared to award substantial damages cannot be supported, but the decision can </w:t>
      </w:r>
      <w:r w:rsidR="00BC4805">
        <w:rPr>
          <w:lang w:eastAsia="en-GB"/>
        </w:rPr>
        <w:t xml:space="preserve">perhaps </w:t>
      </w:r>
      <w:r w:rsidR="003B284E">
        <w:rPr>
          <w:lang w:eastAsia="en-GB"/>
        </w:rPr>
        <w:t>be justified in other terms, which are consistent with other authorities on damages.</w:t>
      </w:r>
      <w:r w:rsidR="00BC4805">
        <w:rPr>
          <w:lang w:eastAsia="en-GB"/>
        </w:rPr>
        <w:t xml:space="preserve"> In this case, equitable damages may well have been more appropriate.</w:t>
      </w:r>
    </w:p>
    <w:p w14:paraId="540D4F0C" w14:textId="58C9457A" w:rsidR="0037501E" w:rsidRDefault="003B284E" w:rsidP="009331F3">
      <w:pPr>
        <w:rPr>
          <w:lang w:eastAsia="en-GB"/>
        </w:rPr>
      </w:pPr>
      <w:r>
        <w:rPr>
          <w:lang w:eastAsia="en-GB"/>
        </w:rPr>
        <w:t xml:space="preserve">   In </w:t>
      </w:r>
      <w:r w:rsidRPr="003B284E">
        <w:rPr>
          <w:u w:val="single"/>
          <w:lang w:eastAsia="en-GB"/>
        </w:rPr>
        <w:t>The Alexandros T</w:t>
      </w:r>
      <w:r>
        <w:rPr>
          <w:lang w:eastAsia="en-GB"/>
        </w:rPr>
        <w:t xml:space="preserve">, Flaux J seemed very determined not to allow the European Court decisions to thwart the claimants' expectations under the settlement agreement. </w:t>
      </w:r>
      <w:r w:rsidR="002E4253">
        <w:rPr>
          <w:lang w:eastAsia="en-GB"/>
        </w:rPr>
        <w:t xml:space="preserve">(Again, this is quite understandable.) </w:t>
      </w:r>
      <w:r>
        <w:rPr>
          <w:lang w:eastAsia="en-GB"/>
        </w:rPr>
        <w:t xml:space="preserve">In his construction of the agreements, </w:t>
      </w:r>
      <w:r w:rsidR="0037501E">
        <w:rPr>
          <w:lang w:eastAsia="en-GB"/>
        </w:rPr>
        <w:t xml:space="preserve">his views </w:t>
      </w:r>
      <w:r w:rsidR="00BC4805">
        <w:rPr>
          <w:lang w:eastAsia="en-GB"/>
        </w:rPr>
        <w:t xml:space="preserve">strongly </w:t>
      </w:r>
      <w:r w:rsidR="0037501E">
        <w:rPr>
          <w:lang w:eastAsia="en-GB"/>
        </w:rPr>
        <w:t>fav</w:t>
      </w:r>
      <w:r w:rsidR="00BC4805">
        <w:rPr>
          <w:lang w:eastAsia="en-GB"/>
        </w:rPr>
        <w:t>our the claimants</w:t>
      </w:r>
      <w:r w:rsidR="0037501E">
        <w:rPr>
          <w:lang w:eastAsia="en-GB"/>
        </w:rPr>
        <w:t>.</w:t>
      </w:r>
      <w:r w:rsidR="00BC4805">
        <w:rPr>
          <w:lang w:eastAsia="en-GB"/>
        </w:rPr>
        <w:t xml:space="preserve"> He</w:t>
      </w:r>
      <w:r w:rsidR="0037501E">
        <w:rPr>
          <w:lang w:eastAsia="en-GB"/>
        </w:rPr>
        <w:t xml:space="preserve"> stretches to the limit the application of the Contracts (Rights of Third Parties) Act 1999, the principles upon which specific performance can be awarded, and the recovery by a contracting party of damages suffered by a third party. However, though </w:t>
      </w:r>
      <w:r>
        <w:rPr>
          <w:lang w:eastAsia="en-GB"/>
        </w:rPr>
        <w:t xml:space="preserve">on the main damages issue, he takes a </w:t>
      </w:r>
      <w:r w:rsidR="00E40546">
        <w:rPr>
          <w:lang w:eastAsia="en-GB"/>
        </w:rPr>
        <w:t xml:space="preserve">very wide view of the "narrow" approach in </w:t>
      </w:r>
      <w:r w:rsidR="00E40546" w:rsidRPr="00E40546">
        <w:rPr>
          <w:u w:val="single"/>
          <w:lang w:eastAsia="en-GB"/>
        </w:rPr>
        <w:t>St Martin's</w:t>
      </w:r>
      <w:r w:rsidR="0037501E">
        <w:rPr>
          <w:lang w:eastAsia="en-GB"/>
        </w:rPr>
        <w:t>,</w:t>
      </w:r>
      <w:r w:rsidR="00E40546">
        <w:rPr>
          <w:lang w:eastAsia="en-GB"/>
        </w:rPr>
        <w:t xml:space="preserve"> he </w:t>
      </w:r>
      <w:r w:rsidR="0037501E">
        <w:rPr>
          <w:lang w:eastAsia="en-GB"/>
        </w:rPr>
        <w:lastRenderedPageBreak/>
        <w:t xml:space="preserve">probably </w:t>
      </w:r>
      <w:r w:rsidR="00E40546">
        <w:rPr>
          <w:lang w:eastAsia="en-GB"/>
        </w:rPr>
        <w:t>does not go beyond what the authorities allow.</w:t>
      </w:r>
      <w:r w:rsidR="0037501E">
        <w:rPr>
          <w:lang w:eastAsia="en-GB"/>
        </w:rPr>
        <w:t xml:space="preserve"> </w:t>
      </w:r>
    </w:p>
    <w:p w14:paraId="1E081B77" w14:textId="36A11D11" w:rsidR="00B6214D" w:rsidRDefault="00E40546" w:rsidP="009331F3">
      <w:pPr>
        <w:rPr>
          <w:lang w:eastAsia="en-GB"/>
        </w:rPr>
      </w:pPr>
      <w:r>
        <w:rPr>
          <w:lang w:eastAsia="en-GB"/>
        </w:rPr>
        <w:t xml:space="preserve">   </w:t>
      </w:r>
      <w:r w:rsidR="004B5579">
        <w:rPr>
          <w:lang w:eastAsia="en-GB"/>
        </w:rPr>
        <w:t xml:space="preserve">It is </w:t>
      </w:r>
      <w:r w:rsidR="0037501E">
        <w:rPr>
          <w:lang w:eastAsia="en-GB"/>
        </w:rPr>
        <w:t>unfortunate</w:t>
      </w:r>
      <w:r w:rsidR="004B5579">
        <w:rPr>
          <w:lang w:eastAsia="en-GB"/>
        </w:rPr>
        <w:t xml:space="preserve"> that the cases ha</w:t>
      </w:r>
      <w:r w:rsidR="001978AF">
        <w:rPr>
          <w:lang w:eastAsia="en-GB"/>
        </w:rPr>
        <w:t xml:space="preserve">ve been coloured by </w:t>
      </w:r>
      <w:r w:rsidR="00BC4805">
        <w:rPr>
          <w:lang w:eastAsia="en-GB"/>
        </w:rPr>
        <w:t xml:space="preserve">understandable judicial reaction to </w:t>
      </w:r>
      <w:r w:rsidR="001978AF">
        <w:rPr>
          <w:lang w:eastAsia="en-GB"/>
        </w:rPr>
        <w:t>what appear</w:t>
      </w:r>
      <w:r w:rsidR="004B5579">
        <w:rPr>
          <w:lang w:eastAsia="en-GB"/>
        </w:rPr>
        <w:t xml:space="preserve"> to be deliberate attempts to avoid agreements. </w:t>
      </w:r>
      <w:r>
        <w:rPr>
          <w:lang w:eastAsia="en-GB"/>
        </w:rPr>
        <w:t>D</w:t>
      </w:r>
      <w:r w:rsidR="001978AF">
        <w:rPr>
          <w:lang w:eastAsia="en-GB"/>
        </w:rPr>
        <w:t xml:space="preserve">amages, which should certainly be available, </w:t>
      </w:r>
      <w:r>
        <w:rPr>
          <w:lang w:eastAsia="en-GB"/>
        </w:rPr>
        <w:t>need to be put on to a sound</w:t>
      </w:r>
      <w:r w:rsidR="001978AF">
        <w:rPr>
          <w:lang w:eastAsia="en-GB"/>
        </w:rPr>
        <w:t xml:space="preserve"> footing.</w:t>
      </w:r>
      <w:r>
        <w:rPr>
          <w:lang w:eastAsia="en-GB"/>
        </w:rPr>
        <w:t xml:space="preserve"> The </w:t>
      </w:r>
      <w:r w:rsidR="00BC4805">
        <w:rPr>
          <w:lang w:eastAsia="en-GB"/>
        </w:rPr>
        <w:t>respective roles of common law and equity need to be established. We do not yet have a mature jurisprudence in this important area</w:t>
      </w:r>
      <w:r>
        <w:rPr>
          <w:lang w:eastAsia="en-GB"/>
        </w:rPr>
        <w:t>.</w:t>
      </w:r>
    </w:p>
    <w:p w14:paraId="11792901" w14:textId="7191AC3E" w:rsidR="00E40546" w:rsidRPr="009331F3" w:rsidRDefault="002B1F76" w:rsidP="009331F3">
      <w:pPr>
        <w:rPr>
          <w:lang w:eastAsia="en-GB"/>
        </w:rPr>
      </w:pPr>
      <w:r>
        <w:rPr>
          <w:lang w:eastAsia="en-GB"/>
        </w:rPr>
        <w:t>* Professor of Commercial and Maritime Law, University of Southampton</w:t>
      </w:r>
    </w:p>
    <w:sectPr w:rsidR="00E40546" w:rsidRPr="009331F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8C10F" w14:textId="77777777" w:rsidR="00262111" w:rsidRDefault="00262111" w:rsidP="00D4208C">
      <w:pPr>
        <w:spacing w:before="0" w:line="240" w:lineRule="auto"/>
      </w:pPr>
      <w:r>
        <w:separator/>
      </w:r>
    </w:p>
  </w:endnote>
  <w:endnote w:type="continuationSeparator" w:id="0">
    <w:p w14:paraId="5071BF92" w14:textId="77777777" w:rsidR="00262111" w:rsidRDefault="00262111" w:rsidP="00D420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337922"/>
      <w:docPartObj>
        <w:docPartGallery w:val="Page Numbers (Bottom of Page)"/>
        <w:docPartUnique/>
      </w:docPartObj>
    </w:sdtPr>
    <w:sdtEndPr>
      <w:rPr>
        <w:noProof/>
      </w:rPr>
    </w:sdtEndPr>
    <w:sdtContent>
      <w:p w14:paraId="1DF5D72D" w14:textId="1C1EA888" w:rsidR="00B46D22" w:rsidRDefault="00B46D22">
        <w:pPr>
          <w:pStyle w:val="Footer"/>
          <w:jc w:val="center"/>
        </w:pPr>
        <w:r>
          <w:fldChar w:fldCharType="begin"/>
        </w:r>
        <w:r>
          <w:instrText xml:space="preserve"> PAGE   \* MERGEFORMAT </w:instrText>
        </w:r>
        <w:r>
          <w:fldChar w:fldCharType="separate"/>
        </w:r>
        <w:r w:rsidR="006342C3">
          <w:rPr>
            <w:noProof/>
          </w:rPr>
          <w:t>2</w:t>
        </w:r>
        <w:r>
          <w:rPr>
            <w:noProof/>
          </w:rPr>
          <w:fldChar w:fldCharType="end"/>
        </w:r>
      </w:p>
    </w:sdtContent>
  </w:sdt>
  <w:p w14:paraId="3DCFAA04" w14:textId="77777777" w:rsidR="00B46D22" w:rsidRDefault="00B46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60C02" w14:textId="77777777" w:rsidR="00262111" w:rsidRDefault="00262111" w:rsidP="00D4208C">
      <w:pPr>
        <w:spacing w:before="0" w:line="240" w:lineRule="auto"/>
      </w:pPr>
      <w:r>
        <w:separator/>
      </w:r>
    </w:p>
  </w:footnote>
  <w:footnote w:type="continuationSeparator" w:id="0">
    <w:p w14:paraId="51047BBE" w14:textId="77777777" w:rsidR="00262111" w:rsidRDefault="00262111" w:rsidP="00D4208C">
      <w:pPr>
        <w:spacing w:before="0" w:line="240" w:lineRule="auto"/>
      </w:pPr>
      <w:r>
        <w:continuationSeparator/>
      </w:r>
    </w:p>
  </w:footnote>
  <w:footnote w:id="1">
    <w:p w14:paraId="7B1D7C49" w14:textId="3E01FCE2" w:rsidR="00B46D22" w:rsidRDefault="00B46D22">
      <w:pPr>
        <w:pStyle w:val="FootnoteText"/>
      </w:pPr>
      <w:r>
        <w:rPr>
          <w:rStyle w:val="FootnoteReference"/>
        </w:rPr>
        <w:footnoteRef/>
      </w:r>
      <w:r>
        <w:t>. Section 6(1) of the Arbitration Act 1996 provides that for the purposes of Part I of that Act, "an 'arbitration agreement'</w:t>
      </w:r>
      <w:r w:rsidRPr="008D7758">
        <w:t xml:space="preserve"> means an agreement to submit to arbitration present or future disputes (whether they are contractual or not)</w:t>
      </w:r>
      <w:r>
        <w:t xml:space="preserve">", but on its natural reading it is the disputes, not the arbitration agreement, that need not be contractual. See also generally R. Merkin, "Arbitration Law", Informa (2004 - 2017 looseleaf) at [1.23]; </w:t>
      </w:r>
      <w:r w:rsidRPr="006C5BD8">
        <w:t xml:space="preserve">Departmental Advisory Committee on Arbitration Law, </w:t>
      </w:r>
      <w:r w:rsidRPr="000B10F3">
        <w:t>"Report on the Arbitration Bill"</w:t>
      </w:r>
      <w:r>
        <w:t xml:space="preserve"> (1996) at [41] - [42].</w:t>
      </w:r>
    </w:p>
  </w:footnote>
  <w:footnote w:id="2">
    <w:p w14:paraId="2860C84A" w14:textId="4BA04CAC" w:rsidR="00B46D22" w:rsidRDefault="00B46D22">
      <w:pPr>
        <w:pStyle w:val="FootnoteText"/>
      </w:pPr>
      <w:r>
        <w:rPr>
          <w:rStyle w:val="FootnoteReference"/>
        </w:rPr>
        <w:footnoteRef/>
      </w:r>
      <w:r>
        <w:t xml:space="preserve">. </w:t>
      </w:r>
      <w:r w:rsidRPr="19E08FDE">
        <w:rPr>
          <w:szCs w:val="24"/>
        </w:rPr>
        <w:t>[2013] UKSC 35</w:t>
      </w:r>
      <w:r>
        <w:rPr>
          <w:szCs w:val="24"/>
        </w:rPr>
        <w:t>;</w:t>
      </w:r>
      <w:r w:rsidRPr="000A2468">
        <w:t xml:space="preserve"> </w:t>
      </w:r>
      <w:r>
        <w:t>[2013] 1 W.L.R. 1889; [2013] 2 Lloyd's Rep. 281</w:t>
      </w:r>
      <w:r>
        <w:rPr>
          <w:szCs w:val="24"/>
        </w:rPr>
        <w:t xml:space="preserve"> SC at [1].</w:t>
      </w:r>
    </w:p>
  </w:footnote>
  <w:footnote w:id="3">
    <w:p w14:paraId="38241F46" w14:textId="365E3C15" w:rsidR="00B46D22" w:rsidRDefault="00B46D22">
      <w:pPr>
        <w:pStyle w:val="FootnoteText"/>
      </w:pPr>
      <w:r>
        <w:rPr>
          <w:rStyle w:val="FootnoteReference"/>
        </w:rPr>
        <w:footnoteRef/>
      </w:r>
      <w:r>
        <w:t xml:space="preserve">. </w:t>
      </w:r>
      <w:r w:rsidRPr="001A418F">
        <w:rPr>
          <w:rFonts w:eastAsia="Arial"/>
        </w:rPr>
        <w:t>[1942] A</w:t>
      </w:r>
      <w:r>
        <w:rPr>
          <w:rFonts w:eastAsia="Arial"/>
        </w:rPr>
        <w:t>.</w:t>
      </w:r>
      <w:r w:rsidRPr="001A418F">
        <w:rPr>
          <w:rFonts w:eastAsia="Arial"/>
        </w:rPr>
        <w:t>C</w:t>
      </w:r>
      <w:r>
        <w:rPr>
          <w:rFonts w:eastAsia="Arial"/>
        </w:rPr>
        <w:t>.</w:t>
      </w:r>
      <w:r w:rsidRPr="001A418F">
        <w:rPr>
          <w:rFonts w:eastAsia="Arial"/>
        </w:rPr>
        <w:t xml:space="preserve"> 356</w:t>
      </w:r>
      <w:r>
        <w:rPr>
          <w:rFonts w:eastAsia="Arial"/>
        </w:rPr>
        <w:t xml:space="preserve"> HL at 374.</w:t>
      </w:r>
    </w:p>
  </w:footnote>
  <w:footnote w:id="4">
    <w:p w14:paraId="53072015" w14:textId="13FCF1DE" w:rsidR="00B46D22" w:rsidRDefault="00B46D22">
      <w:pPr>
        <w:pStyle w:val="FootnoteText"/>
      </w:pPr>
      <w:r>
        <w:rPr>
          <w:rStyle w:val="FootnoteReference"/>
        </w:rPr>
        <w:footnoteRef/>
      </w:r>
      <w:r>
        <w:t xml:space="preserve">. There are exceptions. Even the Arbitration Act 1996 is not intended to be an exhaustive code. Breaches of privacy and confidentiality obligations remain governed by the general law: </w:t>
      </w:r>
      <w:r w:rsidRPr="006C5BD8">
        <w:t xml:space="preserve">Departmental Advisory Committee on Arbitration Law, </w:t>
      </w:r>
      <w:r>
        <w:t>fn. 1 above at [10] - [17].</w:t>
      </w:r>
    </w:p>
  </w:footnote>
  <w:footnote w:id="5">
    <w:p w14:paraId="39383720" w14:textId="25772919" w:rsidR="00B46D22" w:rsidRDefault="00B46D22" w:rsidP="000A2468">
      <w:pPr>
        <w:pStyle w:val="FootnoteText"/>
      </w:pPr>
      <w:r>
        <w:rPr>
          <w:rStyle w:val="FootnoteReference"/>
        </w:rPr>
        <w:footnoteRef/>
      </w:r>
      <w:r>
        <w:t>. [2013] 1 W.L.R. 1889</w:t>
      </w:r>
      <w:r>
        <w:rPr>
          <w:szCs w:val="24"/>
        </w:rPr>
        <w:t xml:space="preserve"> SC at [1]. A stay might also be available under the inherent jurisdiction of the court, if for some reason s. 9 does not apply.</w:t>
      </w:r>
    </w:p>
  </w:footnote>
  <w:footnote w:id="6">
    <w:p w14:paraId="2A990654" w14:textId="2B19571E" w:rsidR="00B46D22" w:rsidRPr="00831189" w:rsidRDefault="00B46D22" w:rsidP="00D4208C">
      <w:pPr>
        <w:pStyle w:val="FootnoteText"/>
      </w:pPr>
      <w:r>
        <w:rPr>
          <w:rStyle w:val="FootnoteReference"/>
        </w:rPr>
        <w:footnoteRef/>
      </w:r>
      <w:r>
        <w:t xml:space="preserve">. </w:t>
      </w:r>
      <w:r w:rsidRPr="00114B84">
        <w:rPr>
          <w:highlight w:val="white"/>
        </w:rPr>
        <w:t>[</w:t>
      </w:r>
      <w:r w:rsidRPr="2A2E5389">
        <w:rPr>
          <w:highlight w:val="white"/>
        </w:rPr>
        <w:t>1913] A</w:t>
      </w:r>
      <w:r>
        <w:rPr>
          <w:highlight w:val="white"/>
        </w:rPr>
        <w:t>.</w:t>
      </w:r>
      <w:r w:rsidRPr="2A2E5389">
        <w:rPr>
          <w:highlight w:val="white"/>
        </w:rPr>
        <w:t>C</w:t>
      </w:r>
      <w:r>
        <w:rPr>
          <w:highlight w:val="white"/>
        </w:rPr>
        <w:t>.</w:t>
      </w:r>
      <w:r w:rsidRPr="2A2E5389">
        <w:rPr>
          <w:highlight w:val="white"/>
        </w:rPr>
        <w:t xml:space="preserve"> 241</w:t>
      </w:r>
      <w:r>
        <w:rPr>
          <w:highlight w:val="white"/>
        </w:rPr>
        <w:t xml:space="preserve"> HL at</w:t>
      </w:r>
      <w:r w:rsidRPr="2A2E5389">
        <w:rPr>
          <w:highlight w:val="white"/>
        </w:rPr>
        <w:t xml:space="preserve"> 256</w:t>
      </w:r>
      <w:r>
        <w:t xml:space="preserve">, cited </w:t>
      </w:r>
      <w:r w:rsidRPr="00CF3485">
        <w:rPr>
          <w:highlight w:val="white"/>
          <w:u w:val="single"/>
        </w:rPr>
        <w:t xml:space="preserve">Bremer Vulkan Schiffbau und </w:t>
      </w:r>
      <w:r w:rsidRPr="000A2468">
        <w:rPr>
          <w:highlight w:val="white"/>
          <w:u w:val="single"/>
        </w:rPr>
        <w:t>Maschinenfabrik</w:t>
      </w:r>
      <w:r w:rsidRPr="000A2468">
        <w:rPr>
          <w:highlight w:val="white"/>
        </w:rPr>
        <w:t xml:space="preserve"> v </w:t>
      </w:r>
      <w:r w:rsidRPr="000A2468">
        <w:rPr>
          <w:highlight w:val="white"/>
          <w:u w:val="single"/>
        </w:rPr>
        <w:t>South</w:t>
      </w:r>
      <w:r w:rsidRPr="00CF3485">
        <w:rPr>
          <w:highlight w:val="white"/>
          <w:u w:val="single"/>
        </w:rPr>
        <w:t xml:space="preserve"> India Shipping Corporation Ltd</w:t>
      </w:r>
      <w:r>
        <w:rPr>
          <w:highlight w:val="white"/>
        </w:rPr>
        <w:t xml:space="preserve"> [1981] A.C. 909</w:t>
      </w:r>
      <w:r>
        <w:t xml:space="preserve"> CA at 945 (Roskill LJ). </w:t>
      </w:r>
    </w:p>
  </w:footnote>
  <w:footnote w:id="7">
    <w:p w14:paraId="6A965E60" w14:textId="1A5E1A98" w:rsidR="00B46D22" w:rsidRDefault="00B46D22">
      <w:pPr>
        <w:pStyle w:val="FootnoteText"/>
      </w:pPr>
      <w:r>
        <w:rPr>
          <w:rStyle w:val="FootnoteReference"/>
        </w:rPr>
        <w:footnoteRef/>
      </w:r>
      <w:r>
        <w:t xml:space="preserve">. </w:t>
      </w:r>
      <w:r w:rsidRPr="005A1A46">
        <w:rPr>
          <w:u w:val="single"/>
        </w:rPr>
        <w:t xml:space="preserve">Starlight Shipping </w:t>
      </w:r>
      <w:r w:rsidRPr="001C0CA9">
        <w:rPr>
          <w:u w:val="single"/>
        </w:rPr>
        <w:t>Co</w:t>
      </w:r>
      <w:r w:rsidRPr="001C0CA9">
        <w:t xml:space="preserve"> v </w:t>
      </w:r>
      <w:r w:rsidRPr="001C0CA9">
        <w:rPr>
          <w:u w:val="single"/>
        </w:rPr>
        <w:t>Tai</w:t>
      </w:r>
      <w:r w:rsidRPr="005A1A46">
        <w:rPr>
          <w:u w:val="single"/>
        </w:rPr>
        <w:t xml:space="preserve"> Ping Insurance Co Ltd (The Alexandros T)</w:t>
      </w:r>
      <w:r>
        <w:t xml:space="preserve"> </w:t>
      </w:r>
      <w:r w:rsidRPr="004857E8">
        <w:t xml:space="preserve">[2007] EWHC 1893 (Comm); </w:t>
      </w:r>
      <w:r>
        <w:t>[2008]</w:t>
      </w:r>
      <w:r w:rsidRPr="00032A14">
        <w:t xml:space="preserve"> 1 L</w:t>
      </w:r>
      <w:r>
        <w:t xml:space="preserve">loyd’s Rep. </w:t>
      </w:r>
      <w:r w:rsidRPr="00032A14">
        <w:t>230</w:t>
      </w:r>
      <w:r>
        <w:t xml:space="preserve">; </w:t>
      </w:r>
      <w:r w:rsidRPr="00473E0D">
        <w:rPr>
          <w:szCs w:val="24"/>
        </w:rPr>
        <w:t>[2008] 1 All ER (Comm) 593</w:t>
      </w:r>
      <w:r>
        <w:t xml:space="preserve"> QBD at [12] (Cooke J),</w:t>
      </w:r>
      <w:r w:rsidRPr="001C0CA9">
        <w:rPr>
          <w:color w:val="0000FF"/>
        </w:rPr>
        <w:t xml:space="preserve"> </w:t>
      </w:r>
      <w:r w:rsidRPr="00971F7D">
        <w:t xml:space="preserve">cited </w:t>
      </w:r>
      <w:r w:rsidRPr="00971F7D">
        <w:rPr>
          <w:u w:val="single"/>
        </w:rPr>
        <w:t>Southport Success SA</w:t>
      </w:r>
      <w:r w:rsidRPr="00971F7D">
        <w:t xml:space="preserve"> v T</w:t>
      </w:r>
      <w:r w:rsidRPr="00971F7D">
        <w:rPr>
          <w:u w:val="single"/>
        </w:rPr>
        <w:t>singshan Holding Group Co Ltd (The Anna Bo)</w:t>
      </w:r>
      <w:r w:rsidRPr="00971F7D">
        <w:t xml:space="preserve"> </w:t>
      </w:r>
      <w:r w:rsidRPr="004B44A2">
        <w:t>[2015] EWHC 1974 (Comm); [2015] 2 Lloyd's Rep. 578; [2016] 2 All E.R. (Comm) 403 QBD</w:t>
      </w:r>
      <w:r>
        <w:t xml:space="preserve"> </w:t>
      </w:r>
      <w:r w:rsidRPr="00971F7D">
        <w:t xml:space="preserve">at [35] (Phillips J). </w:t>
      </w:r>
      <w:r w:rsidRPr="0034183B">
        <w:t xml:space="preserve">Similarly, Millett LJ observed in </w:t>
      </w:r>
      <w:r w:rsidRPr="00B37288">
        <w:rPr>
          <w:u w:val="single"/>
        </w:rPr>
        <w:t xml:space="preserve">Aggeliki Charis Compania Maritima </w:t>
      </w:r>
      <w:r w:rsidRPr="00805B82">
        <w:rPr>
          <w:u w:val="single"/>
        </w:rPr>
        <w:t>SA</w:t>
      </w:r>
      <w:r w:rsidRPr="00805B82">
        <w:t xml:space="preserve"> v </w:t>
      </w:r>
      <w:r w:rsidRPr="00805B82">
        <w:rPr>
          <w:u w:val="single"/>
        </w:rPr>
        <w:t>Pagnan</w:t>
      </w:r>
      <w:r w:rsidRPr="00B37288">
        <w:rPr>
          <w:u w:val="single"/>
        </w:rPr>
        <w:t xml:space="preserve"> SpA (The Angelic Grace)</w:t>
      </w:r>
      <w:r w:rsidRPr="00B37288">
        <w:t xml:space="preserve"> </w:t>
      </w:r>
      <w:r w:rsidRPr="0034183B">
        <w:t xml:space="preserve">that "damages are manifestly an inadequate remedy": </w:t>
      </w:r>
      <w:r w:rsidRPr="00B37288">
        <w:t>[1995] 1 Lloyd’s Rep</w:t>
      </w:r>
      <w:r>
        <w:t>.</w:t>
      </w:r>
      <w:r w:rsidRPr="00B37288">
        <w:t xml:space="preserve"> 87</w:t>
      </w:r>
      <w:r>
        <w:t xml:space="preserve"> CA (Civ Div) at 96, cited </w:t>
      </w:r>
      <w:r>
        <w:rPr>
          <w:u w:val="single"/>
        </w:rPr>
        <w:t>STX Pan Ocean Co Ltd</w:t>
      </w:r>
      <w:r>
        <w:t xml:space="preserve"> v </w:t>
      </w:r>
      <w:r>
        <w:rPr>
          <w:u w:val="single"/>
        </w:rPr>
        <w:t>Woori Bank</w:t>
      </w:r>
      <w:r>
        <w:t xml:space="preserve"> </w:t>
      </w:r>
      <w:r w:rsidRPr="009A1AF5">
        <w:t>[2012] EWHC 981 (Comm);</w:t>
      </w:r>
      <w:r>
        <w:t xml:space="preserve"> [2012] 2 Lloyd's Rep. 99 QBD at </w:t>
      </w:r>
      <w:r w:rsidR="00406AF7">
        <w:t>[11] (Flaux J). See also fn. 152</w:t>
      </w:r>
      <w:r>
        <w:t xml:space="preserve"> below, and associated text.</w:t>
      </w:r>
    </w:p>
  </w:footnote>
  <w:footnote w:id="8">
    <w:p w14:paraId="72CB7ADA" w14:textId="77777777" w:rsidR="00B46D22" w:rsidRPr="00831189" w:rsidRDefault="00B46D22" w:rsidP="00682B2C">
      <w:pPr>
        <w:pStyle w:val="FootnoteText"/>
      </w:pPr>
      <w:r>
        <w:rPr>
          <w:rStyle w:val="FootnoteReference"/>
        </w:rPr>
        <w:footnoteRef/>
      </w:r>
      <w:r>
        <w:t xml:space="preserve">. </w:t>
      </w:r>
      <w:r w:rsidRPr="00114B84">
        <w:rPr>
          <w:highlight w:val="white"/>
        </w:rPr>
        <w:t>[</w:t>
      </w:r>
      <w:r w:rsidRPr="2A2E5389">
        <w:rPr>
          <w:highlight w:val="white"/>
        </w:rPr>
        <w:t>1913] A</w:t>
      </w:r>
      <w:r>
        <w:rPr>
          <w:highlight w:val="white"/>
        </w:rPr>
        <w:t>.</w:t>
      </w:r>
      <w:r w:rsidRPr="2A2E5389">
        <w:rPr>
          <w:highlight w:val="white"/>
        </w:rPr>
        <w:t>C</w:t>
      </w:r>
      <w:r>
        <w:rPr>
          <w:highlight w:val="white"/>
        </w:rPr>
        <w:t>.</w:t>
      </w:r>
      <w:r w:rsidRPr="2A2E5389">
        <w:rPr>
          <w:highlight w:val="white"/>
        </w:rPr>
        <w:t xml:space="preserve"> 241</w:t>
      </w:r>
      <w:r>
        <w:rPr>
          <w:highlight w:val="white"/>
        </w:rPr>
        <w:t xml:space="preserve"> HL at</w:t>
      </w:r>
      <w:r w:rsidRPr="2A2E5389">
        <w:rPr>
          <w:highlight w:val="white"/>
        </w:rPr>
        <w:t xml:space="preserve"> 256</w:t>
      </w:r>
      <w:r>
        <w:t xml:space="preserve">, cited </w:t>
      </w:r>
      <w:r w:rsidRPr="00CF3485">
        <w:rPr>
          <w:highlight w:val="white"/>
          <w:u w:val="single"/>
        </w:rPr>
        <w:t xml:space="preserve">Bremer Vulkan Schiffbau und </w:t>
      </w:r>
      <w:r w:rsidRPr="000A2468">
        <w:rPr>
          <w:highlight w:val="white"/>
          <w:u w:val="single"/>
        </w:rPr>
        <w:t>Maschinenfabrik</w:t>
      </w:r>
      <w:r w:rsidRPr="000A2468">
        <w:rPr>
          <w:highlight w:val="white"/>
        </w:rPr>
        <w:t xml:space="preserve"> v </w:t>
      </w:r>
      <w:r w:rsidRPr="000A2468">
        <w:rPr>
          <w:highlight w:val="white"/>
          <w:u w:val="single"/>
        </w:rPr>
        <w:t>South</w:t>
      </w:r>
      <w:r w:rsidRPr="00CF3485">
        <w:rPr>
          <w:highlight w:val="white"/>
          <w:u w:val="single"/>
        </w:rPr>
        <w:t xml:space="preserve"> India Shipping Corporation Ltd</w:t>
      </w:r>
      <w:r>
        <w:rPr>
          <w:highlight w:val="white"/>
        </w:rPr>
        <w:t xml:space="preserve"> [1981] A.C. 909</w:t>
      </w:r>
      <w:r>
        <w:t xml:space="preserve"> CA at 945 (Roskill LJ). </w:t>
      </w:r>
    </w:p>
  </w:footnote>
  <w:footnote w:id="9">
    <w:p w14:paraId="39E99A95" w14:textId="308A8413" w:rsidR="00B46D22" w:rsidRDefault="00B46D22">
      <w:pPr>
        <w:pStyle w:val="FootnoteText"/>
      </w:pPr>
      <w:r>
        <w:rPr>
          <w:rStyle w:val="FootnoteReference"/>
        </w:rPr>
        <w:footnoteRef/>
      </w:r>
      <w:r>
        <w:t xml:space="preserve">. Above </w:t>
      </w:r>
      <w:r w:rsidRPr="00A07625">
        <w:t>fn. 6</w:t>
      </w:r>
      <w:r>
        <w:t xml:space="preserve">, </w:t>
      </w:r>
      <w:r>
        <w:rPr>
          <w:highlight w:val="white"/>
        </w:rPr>
        <w:t xml:space="preserve">the </w:t>
      </w:r>
      <w:r w:rsidRPr="00411510">
        <w:rPr>
          <w:highlight w:val="white"/>
        </w:rPr>
        <w:t>Common Law Procedure Act 1854</w:t>
      </w:r>
      <w:r w:rsidRPr="00411510">
        <w:t xml:space="preserve"> being the starting point.</w:t>
      </w:r>
    </w:p>
  </w:footnote>
  <w:footnote w:id="10">
    <w:p w14:paraId="455BEDD9" w14:textId="47F34003" w:rsidR="00B46D22" w:rsidRDefault="00B46D22">
      <w:pPr>
        <w:pStyle w:val="FootnoteText"/>
      </w:pPr>
      <w:r>
        <w:rPr>
          <w:rStyle w:val="FootnoteReference"/>
        </w:rPr>
        <w:footnoteRef/>
      </w:r>
      <w:r>
        <w:t xml:space="preserve">. To the same effect, </w:t>
      </w:r>
      <w:r w:rsidRPr="00CE55E0">
        <w:rPr>
          <w:u w:val="single"/>
        </w:rPr>
        <w:t xml:space="preserve">Schiffahrtsgesellschaft Detlev </w:t>
      </w:r>
      <w:r w:rsidRPr="00871F06">
        <w:rPr>
          <w:u w:val="single"/>
        </w:rPr>
        <w:t>Appen</w:t>
      </w:r>
      <w:r w:rsidRPr="00871F06">
        <w:t xml:space="preserve"> v </w:t>
      </w:r>
      <w:r w:rsidRPr="00871F06">
        <w:rPr>
          <w:u w:val="single"/>
        </w:rPr>
        <w:t>Voest</w:t>
      </w:r>
      <w:r w:rsidRPr="00CE55E0">
        <w:rPr>
          <w:u w:val="single"/>
        </w:rPr>
        <w:t xml:space="preserve"> Alpine Intertrading (The Jay Bola)</w:t>
      </w:r>
      <w:r w:rsidRPr="004A4D33">
        <w:t xml:space="preserve"> [1997] 2 Lloyd’s Rep</w:t>
      </w:r>
      <w:r>
        <w:t>.</w:t>
      </w:r>
      <w:r w:rsidRPr="004A4D33">
        <w:t xml:space="preserve"> 279</w:t>
      </w:r>
      <w:r>
        <w:t xml:space="preserve"> CA (Civ Div) at 285 (Hobhouse LJ). In </w:t>
      </w:r>
      <w:r w:rsidRPr="00B777E7">
        <w:rPr>
          <w:u w:val="single"/>
        </w:rPr>
        <w:t>The Jay Bola</w:t>
      </w:r>
      <w:r>
        <w:t xml:space="preserve"> itself, the action to be restrained was taken abroad, and the anti-suit injunction was the appropriate remedy.</w:t>
      </w:r>
    </w:p>
  </w:footnote>
  <w:footnote w:id="11">
    <w:p w14:paraId="30A45C17" w14:textId="6A0CFCF6" w:rsidR="00B46D22" w:rsidRDefault="00B46D22" w:rsidP="00BE1EAB">
      <w:pPr>
        <w:pStyle w:val="FootnoteText"/>
      </w:pPr>
      <w:r>
        <w:rPr>
          <w:rStyle w:val="FootnoteReference"/>
        </w:rPr>
        <w:footnoteRef/>
      </w:r>
      <w:r>
        <w:t xml:space="preserve">. </w:t>
      </w:r>
      <w:r w:rsidRPr="006C5BD8">
        <w:t>Departmental Advisory Committee</w:t>
      </w:r>
      <w:r w:rsidR="00406AF7">
        <w:t>, above fn. 1</w:t>
      </w:r>
      <w:r>
        <w:t xml:space="preserve"> at [223], </w:t>
      </w:r>
      <w:r w:rsidRPr="006C5BD8">
        <w:t xml:space="preserve">reflecting </w:t>
      </w:r>
      <w:r>
        <w:t xml:space="preserve">the principles in </w:t>
      </w:r>
      <w:r w:rsidRPr="60BD8E51">
        <w:t>UNCITRAL</w:t>
      </w:r>
      <w:r>
        <w:t>,</w:t>
      </w:r>
      <w:r w:rsidRPr="60BD8E51">
        <w:t xml:space="preserve"> </w:t>
      </w:r>
      <w:r w:rsidRPr="0097412F">
        <w:rPr>
          <w:u w:val="single"/>
        </w:rPr>
        <w:t>Model Law on International Commercial Arbitration</w:t>
      </w:r>
      <w:r w:rsidRPr="60BD8E51">
        <w:t xml:space="preserve"> </w:t>
      </w:r>
      <w:r>
        <w:t>(</w:t>
      </w:r>
      <w:r w:rsidRPr="60BD8E51">
        <w:t>1985</w:t>
      </w:r>
      <w:r>
        <w:t>, revised 2006), cl. 28.</w:t>
      </w:r>
      <w:r w:rsidRPr="006C5BD8">
        <w:t xml:space="preserve"> </w:t>
      </w:r>
    </w:p>
  </w:footnote>
  <w:footnote w:id="12">
    <w:p w14:paraId="79496BD7" w14:textId="002870D6" w:rsidR="00B46D22" w:rsidRDefault="00B46D22">
      <w:pPr>
        <w:pStyle w:val="FootnoteText"/>
      </w:pPr>
      <w:r>
        <w:rPr>
          <w:rStyle w:val="FootnoteReference"/>
        </w:rPr>
        <w:footnoteRef/>
      </w:r>
      <w:r>
        <w:t xml:space="preserve">. e.g. R. Merkin, fn. 1 above at [7.47] - [7.59], esp. [7.57] - [7.59] on the 1996 Act. </w:t>
      </w:r>
    </w:p>
  </w:footnote>
  <w:footnote w:id="13">
    <w:p w14:paraId="745DE324" w14:textId="49167BBA" w:rsidR="00B46D22" w:rsidRDefault="00B46D22" w:rsidP="00E54BF7">
      <w:pPr>
        <w:rPr>
          <w:lang w:eastAsia="en-GB"/>
        </w:rPr>
      </w:pPr>
      <w:r>
        <w:rPr>
          <w:rStyle w:val="FootnoteReference"/>
        </w:rPr>
        <w:footnoteRef/>
      </w:r>
      <w:r>
        <w:t xml:space="preserve">. e.g. cases involving attempts to avoid P &amp; I Clubs pay-to-be-paid clauses: </w:t>
      </w:r>
      <w:r w:rsidRPr="009F08BE">
        <w:rPr>
          <w:u w:val="single"/>
        </w:rPr>
        <w:t>Through Transport Mutual Insu</w:t>
      </w:r>
      <w:r>
        <w:rPr>
          <w:u w:val="single"/>
        </w:rPr>
        <w:t>rance Association (Eurasia) Ltd</w:t>
      </w:r>
      <w:r w:rsidRPr="002459EE">
        <w:t xml:space="preserve"> v </w:t>
      </w:r>
      <w:r w:rsidRPr="009F08BE">
        <w:rPr>
          <w:u w:val="single"/>
        </w:rPr>
        <w:t>New India Assurance Co</w:t>
      </w:r>
      <w:r>
        <w:rPr>
          <w:u w:val="single"/>
        </w:rPr>
        <w:t xml:space="preserve"> Ltd (The Hari Bhum)</w:t>
      </w:r>
      <w:r>
        <w:t xml:space="preserve"> </w:t>
      </w:r>
      <w:r w:rsidRPr="00174F4C">
        <w:t xml:space="preserve">[2004] EWCA Civ 1598; </w:t>
      </w:r>
      <w:r>
        <w:t xml:space="preserve">[2005] 1 Lloyd's Rep. </w:t>
      </w:r>
      <w:r w:rsidRPr="00B91B81">
        <w:t>67</w:t>
      </w:r>
      <w:r>
        <w:t xml:space="preserve">; </w:t>
      </w:r>
      <w:r w:rsidRPr="009D54B4">
        <w:t>[2005] 1 All E.R. (Comm) 715 CA</w:t>
      </w:r>
      <w:r>
        <w:t xml:space="preserve"> (Civ Div); </w:t>
      </w:r>
      <w:r>
        <w:rPr>
          <w:u w:val="single"/>
        </w:rPr>
        <w:t xml:space="preserve">London SS Mutual Insurance Association </w:t>
      </w:r>
      <w:r w:rsidRPr="00B207E8">
        <w:rPr>
          <w:u w:val="single"/>
        </w:rPr>
        <w:t>Ltd</w:t>
      </w:r>
      <w:r w:rsidRPr="00B207E8">
        <w:t xml:space="preserve"> v </w:t>
      </w:r>
      <w:r w:rsidRPr="00B207E8">
        <w:rPr>
          <w:u w:val="single"/>
        </w:rPr>
        <w:t>Kingdom</w:t>
      </w:r>
      <w:r>
        <w:rPr>
          <w:u w:val="single"/>
        </w:rPr>
        <w:t xml:space="preserve"> of Spain (</w:t>
      </w:r>
      <w:r w:rsidRPr="00936AF9">
        <w:rPr>
          <w:u w:val="single"/>
        </w:rPr>
        <w:t>The Prestige (No. 2</w:t>
      </w:r>
      <w:r>
        <w:rPr>
          <w:u w:val="single"/>
        </w:rPr>
        <w:t>)</w:t>
      </w:r>
      <w:r w:rsidRPr="00936AF9">
        <w:rPr>
          <w:u w:val="single"/>
        </w:rPr>
        <w:t>)</w:t>
      </w:r>
      <w:r>
        <w:t xml:space="preserve"> </w:t>
      </w:r>
      <w:r w:rsidRPr="00C26C3E">
        <w:t>[2015] EWCA Civ 333</w:t>
      </w:r>
      <w:r>
        <w:t xml:space="preserve">; </w:t>
      </w:r>
      <w:r w:rsidRPr="00C26C3E">
        <w:t xml:space="preserve">[2015] </w:t>
      </w:r>
      <w:r>
        <w:t xml:space="preserve">2 Lloyd's Rep. </w:t>
      </w:r>
      <w:r w:rsidRPr="00C26C3E">
        <w:t>33</w:t>
      </w:r>
      <w:r>
        <w:t xml:space="preserve"> CA (Civ Div); </w:t>
      </w:r>
      <w:r w:rsidRPr="0049016D">
        <w:rPr>
          <w:u w:val="single"/>
          <w:lang w:eastAsia="en-GB"/>
        </w:rPr>
        <w:t>Shipowners’ Mutual P &amp; I Association (Luxembourg)</w:t>
      </w:r>
      <w:r w:rsidRPr="00616714">
        <w:t xml:space="preserve"> v </w:t>
      </w:r>
      <w:r w:rsidRPr="0049016D">
        <w:rPr>
          <w:u w:val="single"/>
          <w:lang w:eastAsia="en-GB"/>
        </w:rPr>
        <w:t>Containerships Denizcilik Nakliyat ve Ticaret AS (The Yusuf Cepnioglu)</w:t>
      </w:r>
      <w:r>
        <w:rPr>
          <w:lang w:eastAsia="en-GB"/>
        </w:rPr>
        <w:t xml:space="preserve"> [2016] EWCA Civ 386;</w:t>
      </w:r>
      <w:r w:rsidRPr="000A11FB">
        <w:rPr>
          <w:lang w:eastAsia="en-GB"/>
        </w:rPr>
        <w:t xml:space="preserve"> [2016] </w:t>
      </w:r>
      <w:r>
        <w:rPr>
          <w:lang w:eastAsia="en-GB"/>
        </w:rPr>
        <w:t xml:space="preserve">1 Lloyd's Rep. </w:t>
      </w:r>
      <w:r w:rsidRPr="000A11FB">
        <w:rPr>
          <w:lang w:eastAsia="en-GB"/>
        </w:rPr>
        <w:t>641</w:t>
      </w:r>
      <w:r>
        <w:rPr>
          <w:lang w:eastAsia="en-GB"/>
        </w:rPr>
        <w:t xml:space="preserve"> (CA) (Civ Div).</w:t>
      </w:r>
      <w:r>
        <w:t xml:space="preserve"> </w:t>
      </w:r>
      <w:r w:rsidR="00E01F4B">
        <w:t xml:space="preserve">In another context, </w:t>
      </w:r>
      <w:r w:rsidR="00E01F4B" w:rsidRPr="00E01F4B">
        <w:rPr>
          <w:szCs w:val="24"/>
          <w:u w:val="single"/>
        </w:rPr>
        <w:t>Assens Havn</w:t>
      </w:r>
      <w:r w:rsidR="00E01F4B">
        <w:rPr>
          <w:szCs w:val="24"/>
        </w:rPr>
        <w:t xml:space="preserve"> </w:t>
      </w:r>
      <w:r w:rsidR="00E01F4B" w:rsidRPr="00F05EB7">
        <w:rPr>
          <w:szCs w:val="24"/>
        </w:rPr>
        <w:t>v</w:t>
      </w:r>
      <w:r w:rsidR="00E01F4B">
        <w:rPr>
          <w:szCs w:val="24"/>
        </w:rPr>
        <w:t xml:space="preserve"> </w:t>
      </w:r>
      <w:r w:rsidR="00E01F4B" w:rsidRPr="00E01F4B">
        <w:rPr>
          <w:szCs w:val="24"/>
          <w:u w:val="single"/>
        </w:rPr>
        <w:t>Navigators Management (UK) Ltd</w:t>
      </w:r>
      <w:r w:rsidR="00E01F4B">
        <w:rPr>
          <w:szCs w:val="24"/>
        </w:rPr>
        <w:t xml:space="preserve"> </w:t>
      </w:r>
      <w:r w:rsidR="00E01F4B">
        <w:t>(Case C-368/16</w:t>
      </w:r>
      <w:r w:rsidR="00E01F4B" w:rsidRPr="00086AB6">
        <w:t>)</w:t>
      </w:r>
      <w:r w:rsidR="00E01F4B">
        <w:t xml:space="preserve"> CJEU.</w:t>
      </w:r>
    </w:p>
  </w:footnote>
  <w:footnote w:id="14">
    <w:p w14:paraId="3E82C63A" w14:textId="1169D86E" w:rsidR="00B46D22" w:rsidRDefault="00B46D22">
      <w:pPr>
        <w:pStyle w:val="FootnoteText"/>
      </w:pPr>
      <w:r>
        <w:rPr>
          <w:rStyle w:val="FootnoteReference"/>
        </w:rPr>
        <w:footnoteRef/>
      </w:r>
      <w:r>
        <w:t>. See fn. 7 above.</w:t>
      </w:r>
    </w:p>
  </w:footnote>
  <w:footnote w:id="15">
    <w:p w14:paraId="587E2D91" w14:textId="17A30A4C" w:rsidR="00B46D22" w:rsidRDefault="00B46D22" w:rsidP="005F308D">
      <w:r>
        <w:rPr>
          <w:rStyle w:val="FootnoteReference"/>
        </w:rPr>
        <w:footnoteRef/>
      </w:r>
      <w:r>
        <w:t xml:space="preserve">. On the availability of the remedy, see generally </w:t>
      </w:r>
      <w:r>
        <w:rPr>
          <w:u w:val="single"/>
        </w:rPr>
        <w:t>The Angelic Grace</w:t>
      </w:r>
      <w:r>
        <w:t xml:space="preserve">, fn. 7 above at 96 (Millett LJ), cited </w:t>
      </w:r>
      <w:r w:rsidRPr="00587F79">
        <w:rPr>
          <w:u w:val="single"/>
        </w:rPr>
        <w:t xml:space="preserve">STX Pan Ocean Co </w:t>
      </w:r>
      <w:r w:rsidRPr="003D0CA0">
        <w:rPr>
          <w:u w:val="single"/>
        </w:rPr>
        <w:t>Ltd</w:t>
      </w:r>
      <w:r w:rsidRPr="003D0CA0">
        <w:t xml:space="preserve"> v </w:t>
      </w:r>
      <w:r w:rsidRPr="003D0CA0">
        <w:rPr>
          <w:u w:val="single"/>
        </w:rPr>
        <w:t>Woori</w:t>
      </w:r>
      <w:r w:rsidRPr="00587F79">
        <w:rPr>
          <w:u w:val="single"/>
        </w:rPr>
        <w:t xml:space="preserve"> Bank</w:t>
      </w:r>
      <w:r>
        <w:t xml:space="preserve">, fn. 7 above at [11]; [16] (Flaux J); </w:t>
      </w:r>
      <w:r>
        <w:rPr>
          <w:u w:val="single"/>
          <w:lang w:eastAsia="en-GB"/>
        </w:rPr>
        <w:t>The Yusuf Cepnioglu</w:t>
      </w:r>
      <w:r>
        <w:rPr>
          <w:lang w:eastAsia="en-GB"/>
        </w:rPr>
        <w:t>, fn. 13 above at [13]; [22] (Longmore LJ); [48]; [50] (Moore-Bick LJ)</w:t>
      </w:r>
      <w:r>
        <w:t xml:space="preserve">. </w:t>
      </w:r>
    </w:p>
  </w:footnote>
  <w:footnote w:id="16">
    <w:p w14:paraId="6482F628" w14:textId="02C381B7" w:rsidR="00B46D22" w:rsidRDefault="00B46D22" w:rsidP="00C81F21">
      <w:r>
        <w:rPr>
          <w:rStyle w:val="FootnoteReference"/>
        </w:rPr>
        <w:footnoteRef/>
      </w:r>
      <w:r>
        <w:t xml:space="preserve">. </w:t>
      </w:r>
      <w:r w:rsidRPr="005B5ECD">
        <w:rPr>
          <w:u w:val="single"/>
        </w:rPr>
        <w:t>The Front Comor</w:t>
      </w:r>
      <w:r w:rsidRPr="00086AB6">
        <w:t xml:space="preserve"> (Case C-185/07) [2009</w:t>
      </w:r>
      <w:r>
        <w:rPr>
          <w:color w:val="auto"/>
        </w:rPr>
        <w:t xml:space="preserve">] 1 A.C. 1138; </w:t>
      </w:r>
      <w:r w:rsidRPr="001A4766">
        <w:t>[2009] 1 Lloyd's Rep</w:t>
      </w:r>
      <w:r>
        <w:t>.</w:t>
      </w:r>
      <w:r w:rsidRPr="001A4766">
        <w:t xml:space="preserve"> 413</w:t>
      </w:r>
      <w:r>
        <w:rPr>
          <w:color w:val="auto"/>
        </w:rPr>
        <w:t xml:space="preserve"> ECJ, giving effect to European </w:t>
      </w:r>
      <w:r>
        <w:t>Council Regulation (EC) No. 44/2001 of 22 December 2000 on jurisdiction and the recognition and enforcement of judgments in civil and commercial matters (OJ 2001 L 12, p 1)</w:t>
      </w:r>
      <w:r w:rsidR="003E5B8D">
        <w:t xml:space="preserve"> (Brussels Jurisdiction Convention)</w:t>
      </w:r>
      <w:r>
        <w:t xml:space="preserve">. See further </w:t>
      </w:r>
      <w:r w:rsidRPr="003C0159">
        <w:t>fn</w:t>
      </w:r>
      <w:r>
        <w:t>n</w:t>
      </w:r>
      <w:r w:rsidRPr="003C0159">
        <w:t xml:space="preserve">. 33 </w:t>
      </w:r>
      <w:r>
        <w:t xml:space="preserve">- 40 </w:t>
      </w:r>
      <w:r w:rsidRPr="003C0159">
        <w:t>below, and</w:t>
      </w:r>
      <w:r>
        <w:t xml:space="preserve"> associated text.</w:t>
      </w:r>
    </w:p>
  </w:footnote>
  <w:footnote w:id="17">
    <w:p w14:paraId="1711D189" w14:textId="7937911B" w:rsidR="00B46D22" w:rsidRDefault="00B46D22">
      <w:pPr>
        <w:pStyle w:val="FootnoteText"/>
      </w:pPr>
      <w:r>
        <w:rPr>
          <w:rStyle w:val="FootnoteReference"/>
        </w:rPr>
        <w:footnoteRef/>
      </w:r>
      <w:r>
        <w:t xml:space="preserve">. e.g. </w:t>
      </w:r>
      <w:r w:rsidRPr="159CCDB9">
        <w:rPr>
          <w:u w:val="single"/>
        </w:rPr>
        <w:t xml:space="preserve">Compania Sud Americana de Vapores </w:t>
      </w:r>
      <w:r w:rsidRPr="00605933">
        <w:rPr>
          <w:u w:val="single"/>
        </w:rPr>
        <w:t>SA</w:t>
      </w:r>
      <w:r w:rsidRPr="00605933">
        <w:t xml:space="preserve"> v </w:t>
      </w:r>
      <w:r w:rsidRPr="00605933">
        <w:rPr>
          <w:u w:val="single"/>
        </w:rPr>
        <w:t>Hin-Pro</w:t>
      </w:r>
      <w:r w:rsidRPr="159CCDB9">
        <w:rPr>
          <w:u w:val="single"/>
        </w:rPr>
        <w:t xml:space="preserve"> International Logistics Ltd</w:t>
      </w:r>
      <w:r w:rsidRPr="159CCDB9">
        <w:t xml:space="preserve"> </w:t>
      </w:r>
      <w:r w:rsidRPr="00174F4C">
        <w:t xml:space="preserve">[2014] EWHC 3632 (Comm); </w:t>
      </w:r>
      <w:r w:rsidRPr="159CCDB9">
        <w:t>[2015] 1 Lloyd's Rep</w:t>
      </w:r>
      <w:r>
        <w:t>.</w:t>
      </w:r>
      <w:r w:rsidRPr="159CCDB9">
        <w:t xml:space="preserve"> 301</w:t>
      </w:r>
      <w:r>
        <w:t xml:space="preserve"> QBD, affd. other grounds </w:t>
      </w:r>
      <w:r w:rsidRPr="00174F4C">
        <w:t>[2015] EWCA Civ 4</w:t>
      </w:r>
      <w:r>
        <w:t>01; [2015] 2 Lloyd's Rep. 1 CA (C</w:t>
      </w:r>
      <w:r w:rsidR="00406AF7">
        <w:t>iv Div), discussed below, fnn. 98 - 11</w:t>
      </w:r>
      <w:r>
        <w:t>1, and text thereto. Contempt proceedings were indeed taken in this case, this being one of the main issues in the CA.</w:t>
      </w:r>
    </w:p>
  </w:footnote>
  <w:footnote w:id="18">
    <w:p w14:paraId="7FBFB06A" w14:textId="45162587" w:rsidR="00B46D22" w:rsidRDefault="00B46D22">
      <w:pPr>
        <w:pStyle w:val="FootnoteText"/>
      </w:pPr>
      <w:r>
        <w:rPr>
          <w:rStyle w:val="FootnoteReference"/>
        </w:rPr>
        <w:footnoteRef/>
      </w:r>
      <w:r w:rsidR="003940AB">
        <w:t>. See fn. 7 above, fn. 152</w:t>
      </w:r>
      <w:r>
        <w:t xml:space="preserve"> below, and associated text. </w:t>
      </w:r>
    </w:p>
  </w:footnote>
  <w:footnote w:id="19">
    <w:p w14:paraId="53F6DD61" w14:textId="640C802F" w:rsidR="00B46D22" w:rsidRDefault="00B46D22" w:rsidP="00D75BDE">
      <w:r>
        <w:rPr>
          <w:rStyle w:val="FootnoteReference"/>
        </w:rPr>
        <w:footnoteRef/>
      </w:r>
      <w:r>
        <w:t xml:space="preserve">. e.g. R. Merkin, </w:t>
      </w:r>
      <w:r w:rsidR="003940AB">
        <w:t>fn. 1</w:t>
      </w:r>
      <w:r>
        <w:t xml:space="preserve"> above at </w:t>
      </w:r>
      <w:r w:rsidR="003940AB">
        <w:t xml:space="preserve">[8.80] </w:t>
      </w:r>
      <w:r w:rsidR="003940AB" w:rsidRPr="003940AB">
        <w:rPr>
          <w:u w:val="single"/>
        </w:rPr>
        <w:t>et seq</w:t>
      </w:r>
      <w:r>
        <w:t>, and citations therein.</w:t>
      </w:r>
    </w:p>
  </w:footnote>
  <w:footnote w:id="20">
    <w:p w14:paraId="3E0B862C" w14:textId="11D9306E" w:rsidR="00B46D22" w:rsidRDefault="00B46D22">
      <w:pPr>
        <w:pStyle w:val="FootnoteText"/>
      </w:pPr>
      <w:r>
        <w:rPr>
          <w:rStyle w:val="FootnoteReference"/>
        </w:rPr>
        <w:footnoteRef/>
      </w:r>
      <w:r>
        <w:t>. The clause was from Asbatankvoy, and was apparently unamended.</w:t>
      </w:r>
    </w:p>
  </w:footnote>
  <w:footnote w:id="21">
    <w:p w14:paraId="16F42704" w14:textId="653EDD7C" w:rsidR="00B46D22" w:rsidRDefault="00B46D22" w:rsidP="002C7050">
      <w:pPr>
        <w:pStyle w:val="FootnoteText"/>
      </w:pPr>
      <w:r>
        <w:rPr>
          <w:rStyle w:val="FootnoteReference"/>
        </w:rPr>
        <w:footnoteRef/>
      </w:r>
      <w:r>
        <w:t xml:space="preserve">. The substantive issue was whether </w:t>
      </w:r>
      <w:r w:rsidRPr="0012361C">
        <w:t xml:space="preserve">the owners were protected by the errors of navigation exclusion in the charterparty, or under </w:t>
      </w:r>
      <w:r>
        <w:t xml:space="preserve">Art. IV(2)(a) of </w:t>
      </w:r>
      <w:r w:rsidRPr="0012361C">
        <w:t>the Hague Rules</w:t>
      </w:r>
      <w:r>
        <w:t xml:space="preserve">: </w:t>
      </w:r>
      <w:r w:rsidRPr="00BF2142">
        <w:rPr>
          <w:u w:val="single"/>
        </w:rPr>
        <w:t xml:space="preserve">West Tankers </w:t>
      </w:r>
      <w:r w:rsidRPr="00980E85">
        <w:rPr>
          <w:u w:val="single"/>
        </w:rPr>
        <w:t>Inc</w:t>
      </w:r>
      <w:r w:rsidRPr="00980E85">
        <w:t xml:space="preserve"> v </w:t>
      </w:r>
      <w:r w:rsidRPr="00980E85">
        <w:rPr>
          <w:u w:val="single"/>
        </w:rPr>
        <w:t>Ras</w:t>
      </w:r>
      <w:r w:rsidRPr="00BF2142">
        <w:rPr>
          <w:u w:val="single"/>
        </w:rPr>
        <w:t xml:space="preserve"> Riunione Adriatica Di Sicurta (The Front Comor)</w:t>
      </w:r>
      <w:r>
        <w:t xml:space="preserve"> </w:t>
      </w:r>
      <w:r w:rsidRPr="00AF52C5">
        <w:t xml:space="preserve">[2005] EWHC 454 (Comm); </w:t>
      </w:r>
      <w:r w:rsidRPr="004A4D33">
        <w:t>[2005] 2 L</w:t>
      </w:r>
      <w:r>
        <w:t xml:space="preserve">loyd's Rep. </w:t>
      </w:r>
      <w:r w:rsidRPr="004A4D33">
        <w:t>257</w:t>
      </w:r>
      <w:r>
        <w:t xml:space="preserve"> QBD at [6] (Colman J).</w:t>
      </w:r>
    </w:p>
  </w:footnote>
  <w:footnote w:id="22">
    <w:p w14:paraId="334803E5" w14:textId="5F6901A5" w:rsidR="00B46D22" w:rsidRDefault="00B46D22">
      <w:pPr>
        <w:pStyle w:val="FootnoteText"/>
      </w:pPr>
      <w:r>
        <w:rPr>
          <w:rStyle w:val="FootnoteReference"/>
        </w:rPr>
        <w:footnoteRef/>
      </w:r>
      <w:r w:rsidR="003940AB">
        <w:t>. See further fnn. 59 - 67</w:t>
      </w:r>
      <w:r w:rsidRPr="00A2770C">
        <w:rPr>
          <w:color w:val="FF0000"/>
        </w:rPr>
        <w:t xml:space="preserve"> </w:t>
      </w:r>
      <w:r>
        <w:t xml:space="preserve">below and associated text, noting also the precise </w:t>
      </w:r>
      <w:r w:rsidR="003940AB">
        <w:t>formulation of the issue: fn. 59</w:t>
      </w:r>
      <w:r>
        <w:t xml:space="preserve"> below. The Sicilian court had reached no decision by the conclusion of the English proceedings.</w:t>
      </w:r>
    </w:p>
  </w:footnote>
  <w:footnote w:id="23">
    <w:p w14:paraId="49351D83" w14:textId="43EFCA71" w:rsidR="00B46D22" w:rsidRDefault="00B46D22" w:rsidP="002C7050">
      <w:pPr>
        <w:pStyle w:val="FootnoteText"/>
      </w:pPr>
      <w:r>
        <w:rPr>
          <w:rStyle w:val="FootnoteReference"/>
        </w:rPr>
        <w:footnoteRef/>
      </w:r>
      <w:r w:rsidR="003940AB">
        <w:t>. See fn. 21</w:t>
      </w:r>
      <w:r>
        <w:t xml:space="preserve"> above;</w:t>
      </w:r>
      <w:r w:rsidRPr="000B7B3A">
        <w:t xml:space="preserve"> </w:t>
      </w:r>
      <w:r>
        <w:t>J. Hill, "Anti-suit injunctions and a</w:t>
      </w:r>
      <w:r w:rsidRPr="00B86FC6">
        <w:t>rbitration</w:t>
      </w:r>
      <w:r>
        <w:t xml:space="preserve">" </w:t>
      </w:r>
      <w:r w:rsidRPr="00B86FC6">
        <w:t>[2006] L</w:t>
      </w:r>
      <w:r>
        <w:t>.</w:t>
      </w:r>
      <w:r w:rsidRPr="00B86FC6">
        <w:t>M</w:t>
      </w:r>
      <w:r>
        <w:t>.</w:t>
      </w:r>
      <w:r w:rsidRPr="00B86FC6">
        <w:t>C</w:t>
      </w:r>
      <w:r>
        <w:t>.</w:t>
      </w:r>
      <w:r w:rsidRPr="00B86FC6">
        <w:t>L</w:t>
      </w:r>
      <w:r>
        <w:t>.</w:t>
      </w:r>
      <w:r w:rsidRPr="00B86FC6">
        <w:t>Q</w:t>
      </w:r>
      <w:r>
        <w:t>.</w:t>
      </w:r>
      <w:r w:rsidRPr="00B86FC6">
        <w:t xml:space="preserve"> 167</w:t>
      </w:r>
      <w:r>
        <w:t>; Sir Anthony Clarke MR, "The differing approach to commercial litigation in the European Court of Justice and the courts of England &amp; Wales" (2006) 65 Amicus Curiae 2; (2006) 66 Amicus Curiae 2.</w:t>
      </w:r>
    </w:p>
  </w:footnote>
  <w:footnote w:id="24">
    <w:p w14:paraId="14C9C734" w14:textId="5D22FE48" w:rsidR="00B46D22" w:rsidRDefault="00B46D22">
      <w:pPr>
        <w:pStyle w:val="FootnoteText"/>
      </w:pPr>
      <w:r>
        <w:rPr>
          <w:rStyle w:val="FootnoteReference"/>
        </w:rPr>
        <w:footnoteRef/>
      </w:r>
      <w:r>
        <w:t xml:space="preserve">. </w:t>
      </w:r>
      <w:r w:rsidRPr="12487BA9">
        <w:rPr>
          <w:u w:val="single"/>
        </w:rPr>
        <w:t>The Playa Larga</w:t>
      </w:r>
      <w:r>
        <w:t xml:space="preserve"> [1983] 2 Lloyd’s Rep. 171 CA (Civ Div), appd. </w:t>
      </w:r>
      <w:r w:rsidRPr="00B37288">
        <w:rPr>
          <w:u w:val="single"/>
        </w:rPr>
        <w:t>The Angelic Grace</w:t>
      </w:r>
      <w:r>
        <w:t xml:space="preserve">, fn. 7 above e.g. at 89 (Leggatt LJ); consistent with later principles of construction in </w:t>
      </w:r>
      <w:r w:rsidRPr="00CD4CC8">
        <w:rPr>
          <w:u w:val="single"/>
        </w:rPr>
        <w:t xml:space="preserve">Fiona Trust &amp; Holding </w:t>
      </w:r>
      <w:r w:rsidRPr="0067619B">
        <w:rPr>
          <w:u w:val="single"/>
        </w:rPr>
        <w:t>Corp</w:t>
      </w:r>
      <w:r w:rsidRPr="0067619B">
        <w:t xml:space="preserve"> v </w:t>
      </w:r>
      <w:r w:rsidRPr="0067619B">
        <w:rPr>
          <w:u w:val="single"/>
        </w:rPr>
        <w:t>Privalov</w:t>
      </w:r>
      <w:r>
        <w:t xml:space="preserve"> </w:t>
      </w:r>
      <w:r w:rsidRPr="00AD03CF">
        <w:t>[2007] UKHL 40</w:t>
      </w:r>
      <w:r>
        <w:t>; [2008] 1 Lloyd's Rep. 254</w:t>
      </w:r>
      <w:r w:rsidRPr="00C71090">
        <w:t>; [2007] 4 All E.R. 951; [2007] 2 All E.R. (Comm) 1053;</w:t>
      </w:r>
      <w:r>
        <w:t xml:space="preserve"> HL at [11] - [13] (Lord Hoffmann), appd. </w:t>
      </w:r>
      <w:r w:rsidRPr="006F0224">
        <w:rPr>
          <w:u w:val="single"/>
        </w:rPr>
        <w:t xml:space="preserve">Starlight Shipping </w:t>
      </w:r>
      <w:r w:rsidRPr="003D07D6">
        <w:rPr>
          <w:u w:val="single"/>
        </w:rPr>
        <w:t>Co</w:t>
      </w:r>
      <w:r w:rsidRPr="003D07D6">
        <w:t xml:space="preserve"> v </w:t>
      </w:r>
      <w:r w:rsidRPr="003D07D6">
        <w:rPr>
          <w:u w:val="single"/>
        </w:rPr>
        <w:t>Allianz</w:t>
      </w:r>
      <w:r w:rsidRPr="006F0224">
        <w:rPr>
          <w:u w:val="single"/>
        </w:rPr>
        <w:t xml:space="preserve"> Marine &amp; Aviation Versicherungs</w:t>
      </w:r>
      <w:r>
        <w:rPr>
          <w:u w:val="single"/>
        </w:rPr>
        <w:t xml:space="preserve"> AG</w:t>
      </w:r>
      <w:r w:rsidRPr="006F0224">
        <w:rPr>
          <w:u w:val="single"/>
        </w:rPr>
        <w:t xml:space="preserve"> </w:t>
      </w:r>
      <w:r>
        <w:rPr>
          <w:u w:val="single"/>
        </w:rPr>
        <w:t xml:space="preserve">(The </w:t>
      </w:r>
      <w:r w:rsidRPr="005F18AA">
        <w:rPr>
          <w:u w:val="single"/>
        </w:rPr>
        <w:t>Alexandros T</w:t>
      </w:r>
      <w:r>
        <w:rPr>
          <w:u w:val="single"/>
        </w:rPr>
        <w:t>)</w:t>
      </w:r>
      <w:r w:rsidR="003940AB">
        <w:t>, fn. 87</w:t>
      </w:r>
      <w:r>
        <w:t xml:space="preserve"> below at [8] (Longmore LJ). </w:t>
      </w:r>
    </w:p>
  </w:footnote>
  <w:footnote w:id="25">
    <w:p w14:paraId="5CF94DA6" w14:textId="362EF930" w:rsidR="00B46D22" w:rsidRDefault="00B46D22" w:rsidP="0034183B">
      <w:pPr>
        <w:pStyle w:val="FootnoteText"/>
      </w:pPr>
      <w:r>
        <w:rPr>
          <w:rStyle w:val="FootnoteReference"/>
        </w:rPr>
        <w:footnoteRef/>
      </w:r>
      <w:r>
        <w:t xml:space="preserve">. </w:t>
      </w:r>
      <w:r w:rsidRPr="00B37288">
        <w:rPr>
          <w:u w:val="single"/>
        </w:rPr>
        <w:t>The Angelic Grace</w:t>
      </w:r>
      <w:r>
        <w:t xml:space="preserve">, fn. 7 above e.g. at 96 (Millett LJ), cited </w:t>
      </w:r>
      <w:r w:rsidR="003940AB" w:rsidRPr="003940AB">
        <w:rPr>
          <w:u w:val="single"/>
        </w:rPr>
        <w:t>The Front Comor</w:t>
      </w:r>
      <w:r w:rsidR="003940AB">
        <w:t xml:space="preserve"> </w:t>
      </w:r>
      <w:r w:rsidRPr="004A4D33">
        <w:t>[2005] 2 L</w:t>
      </w:r>
      <w:r>
        <w:t xml:space="preserve">loyd's Rep. </w:t>
      </w:r>
      <w:r w:rsidRPr="004A4D33">
        <w:t>257</w:t>
      </w:r>
      <w:r>
        <w:t>, [47].</w:t>
      </w:r>
    </w:p>
  </w:footnote>
  <w:footnote w:id="26">
    <w:p w14:paraId="42F25247" w14:textId="0D702E53" w:rsidR="00B46D22" w:rsidRDefault="00B46D22" w:rsidP="002036B0">
      <w:pPr>
        <w:pStyle w:val="FootnoteText"/>
      </w:pPr>
      <w:r>
        <w:rPr>
          <w:rStyle w:val="FootnoteReference"/>
        </w:rPr>
        <w:footnoteRef/>
      </w:r>
      <w:r>
        <w:t xml:space="preserve">. </w:t>
      </w:r>
      <w:r>
        <w:rPr>
          <w:u w:val="single"/>
        </w:rPr>
        <w:t>The Hari Bhum</w:t>
      </w:r>
      <w:r>
        <w:t xml:space="preserve">, fn. 13 above at [52]; [65] (Clarke LJ) (third party to P &amp; I liability insurance contract). Though doubt has been cast on other aspects of </w:t>
      </w:r>
      <w:r w:rsidRPr="00EF46CF">
        <w:rPr>
          <w:u w:val="single"/>
        </w:rPr>
        <w:t>The Hari Bhum</w:t>
      </w:r>
      <w:r>
        <w:t xml:space="preserve">, </w:t>
      </w:r>
      <w:r w:rsidR="003940AB">
        <w:t>none has</w:t>
      </w:r>
      <w:r w:rsidRPr="007C4863">
        <w:t xml:space="preserve"> been expressed on these parts of Clarke LJ's judgment.</w:t>
      </w:r>
      <w:r>
        <w:t xml:space="preserve"> See also further fnn. 64 - 65 below, and associated text. </w:t>
      </w:r>
      <w:r w:rsidR="00306974">
        <w:t xml:space="preserve">In </w:t>
      </w:r>
      <w:r w:rsidR="00306974" w:rsidRPr="00E01F4B">
        <w:rPr>
          <w:szCs w:val="24"/>
          <w:u w:val="single"/>
        </w:rPr>
        <w:t>Assens Havn</w:t>
      </w:r>
      <w:r w:rsidR="00306974">
        <w:rPr>
          <w:szCs w:val="24"/>
        </w:rPr>
        <w:t xml:space="preserve"> </w:t>
      </w:r>
      <w:r w:rsidR="00306974" w:rsidRPr="00F05EB7">
        <w:rPr>
          <w:szCs w:val="24"/>
        </w:rPr>
        <w:t>v</w:t>
      </w:r>
      <w:r w:rsidR="00306974">
        <w:rPr>
          <w:szCs w:val="24"/>
        </w:rPr>
        <w:t xml:space="preserve"> </w:t>
      </w:r>
      <w:r w:rsidR="00306974" w:rsidRPr="00E01F4B">
        <w:rPr>
          <w:szCs w:val="24"/>
          <w:u w:val="single"/>
        </w:rPr>
        <w:t>Navigators Management (UK) Ltd</w:t>
      </w:r>
      <w:r w:rsidR="00306974">
        <w:rPr>
          <w:szCs w:val="24"/>
        </w:rPr>
        <w:t xml:space="preserve">, fn. 13 above, </w:t>
      </w:r>
      <w:r w:rsidR="00306974">
        <w:t>the CJEU ruled that "</w:t>
      </w:r>
      <w:r w:rsidR="00306974" w:rsidRPr="00F05EB7">
        <w:rPr>
          <w:szCs w:val="24"/>
        </w:rPr>
        <w:t xml:space="preserve">a victim entitled to bring a direct action against the insurer of the party which caused the harm which he has suffered is not bound </w:t>
      </w:r>
      <w:r w:rsidR="00306974">
        <w:rPr>
          <w:szCs w:val="24"/>
        </w:rPr>
        <w:t xml:space="preserve">[at all] </w:t>
      </w:r>
      <w:r w:rsidR="00306974" w:rsidRPr="00F05EB7">
        <w:rPr>
          <w:szCs w:val="24"/>
        </w:rPr>
        <w:t>by an agreement on jurisdiction concluded between the insurer and that party</w:t>
      </w:r>
      <w:r w:rsidR="00306974">
        <w:rPr>
          <w:szCs w:val="24"/>
        </w:rPr>
        <w:t>"</w:t>
      </w:r>
      <w:r w:rsidR="00306974">
        <w:t xml:space="preserve">. This was a decision </w:t>
      </w:r>
      <w:r w:rsidR="007463A7">
        <w:t xml:space="preserve">on </w:t>
      </w:r>
      <w:r w:rsidR="00306974">
        <w:t>the Brussels Jurisdiction Convention</w:t>
      </w:r>
      <w:r w:rsidR="00B8472B">
        <w:t>,</w:t>
      </w:r>
      <w:r w:rsidR="00306974">
        <w:t xml:space="preserve"> which does not apply to arbitration, except possibly on an extremely purposive interpretation: see further fnn. 33; 37 - 45</w:t>
      </w:r>
      <w:r w:rsidR="00B8472B">
        <w:t xml:space="preserve"> below</w:t>
      </w:r>
      <w:r w:rsidR="00306974">
        <w:t>, and text thereto.</w:t>
      </w:r>
    </w:p>
  </w:footnote>
  <w:footnote w:id="27">
    <w:p w14:paraId="15A6BC8B" w14:textId="1819BC80" w:rsidR="00B46D22" w:rsidRDefault="00B46D22">
      <w:pPr>
        <w:pStyle w:val="FootnoteText"/>
      </w:pPr>
      <w:r>
        <w:rPr>
          <w:rStyle w:val="FootnoteReference"/>
        </w:rPr>
        <w:footnoteRef/>
      </w:r>
      <w:r>
        <w:t xml:space="preserve">. The defendant was a third party claiming under the Finnish equivalent of what was then the Third Parties (Rights against Insurers) Act 1930. It was however held in substance to be a claim to enforce the insurance contract against the insurer: e.g. [2005] 1 Lloyd's Rep. </w:t>
      </w:r>
      <w:r w:rsidRPr="00B91B81">
        <w:t>67</w:t>
      </w:r>
      <w:r>
        <w:t xml:space="preserve"> at [58] (Clarke LJ). Similar sentiments were expressed in </w:t>
      </w:r>
      <w:r w:rsidRPr="001E1C80">
        <w:rPr>
          <w:u w:val="single"/>
        </w:rPr>
        <w:t>The Prestige</w:t>
      </w:r>
      <w:r>
        <w:t xml:space="preserve"> and </w:t>
      </w:r>
      <w:r w:rsidRPr="001E1C80">
        <w:rPr>
          <w:u w:val="single"/>
        </w:rPr>
        <w:t>The Yusuf Cepnioglu</w:t>
      </w:r>
      <w:r>
        <w:t>, fn. 13 above.</w:t>
      </w:r>
    </w:p>
  </w:footnote>
  <w:footnote w:id="28">
    <w:p w14:paraId="3D8A6D0D" w14:textId="671C9626" w:rsidR="00B46D22" w:rsidRDefault="00B46D22" w:rsidP="00944E41">
      <w:pPr>
        <w:pStyle w:val="FootnoteText"/>
      </w:pPr>
      <w:r>
        <w:rPr>
          <w:rStyle w:val="FootnoteReference"/>
        </w:rPr>
        <w:footnoteRef/>
      </w:r>
      <w:r>
        <w:t xml:space="preserve">. </w:t>
      </w:r>
      <w:r w:rsidRPr="00355972">
        <w:t>See fn. 10 above.</w:t>
      </w:r>
      <w:r>
        <w:t xml:space="preserve"> </w:t>
      </w:r>
      <w:r w:rsidRPr="00EE158A">
        <w:rPr>
          <w:u w:val="single"/>
        </w:rPr>
        <w:t>The Jay Bola</w:t>
      </w:r>
      <w:r>
        <w:t xml:space="preserve"> also concerned subrog</w:t>
      </w:r>
      <w:r w:rsidR="003E5B8D">
        <w:t>ated insurers, but they had additionally</w:t>
      </w:r>
      <w:r>
        <w:t xml:space="preserve"> taken an assignment of the charterparty through which they claimed.</w:t>
      </w:r>
    </w:p>
  </w:footnote>
  <w:footnote w:id="29">
    <w:p w14:paraId="6988A64B" w14:textId="762ECECB" w:rsidR="00B46D22" w:rsidRDefault="00B46D22">
      <w:pPr>
        <w:pStyle w:val="FootnoteText"/>
      </w:pPr>
      <w:r>
        <w:rPr>
          <w:rStyle w:val="FootnoteReference"/>
        </w:rPr>
        <w:footnoteRef/>
      </w:r>
      <w:r>
        <w:t xml:space="preserve">. </w:t>
      </w:r>
      <w:r w:rsidRPr="004A4D33">
        <w:t>[2005] 2 L</w:t>
      </w:r>
      <w:r>
        <w:t xml:space="preserve">loyd's Rep. </w:t>
      </w:r>
      <w:r w:rsidRPr="004A4D33">
        <w:t>257</w:t>
      </w:r>
      <w:r>
        <w:t xml:space="preserve"> at [24] - [25], Colman J citing </w:t>
      </w:r>
      <w:r w:rsidRPr="004A4D33">
        <w:t>[1997] 2 Lloyd’s Rep</w:t>
      </w:r>
      <w:r>
        <w:t>.</w:t>
      </w:r>
      <w:r w:rsidRPr="004A4D33">
        <w:t xml:space="preserve"> 279</w:t>
      </w:r>
      <w:r>
        <w:t xml:space="preserve"> at 285 (Hobhouse LJ); at 291 (</w:t>
      </w:r>
      <w:r w:rsidRPr="004A4D33">
        <w:t>Sir Richard Scott VC</w:t>
      </w:r>
      <w:r>
        <w:t>).</w:t>
      </w:r>
    </w:p>
  </w:footnote>
  <w:footnote w:id="30">
    <w:p w14:paraId="75379229" w14:textId="6860AC47" w:rsidR="00B46D22" w:rsidRDefault="00B46D22">
      <w:pPr>
        <w:pStyle w:val="FootnoteText"/>
      </w:pPr>
      <w:r>
        <w:rPr>
          <w:rStyle w:val="FootnoteReference"/>
        </w:rPr>
        <w:footnoteRef/>
      </w:r>
      <w:r>
        <w:t>. See fn. 13 above</w:t>
      </w:r>
      <w:r>
        <w:rPr>
          <w:lang w:eastAsia="en-GB"/>
        </w:rPr>
        <w:t>.</w:t>
      </w:r>
    </w:p>
  </w:footnote>
  <w:footnote w:id="31">
    <w:p w14:paraId="5F8B4A68" w14:textId="46CB6865" w:rsidR="00B46D22" w:rsidRDefault="00B46D22">
      <w:pPr>
        <w:pStyle w:val="FootnoteText"/>
      </w:pPr>
      <w:r>
        <w:rPr>
          <w:rStyle w:val="FootnoteReference"/>
        </w:rPr>
        <w:footnoteRef/>
      </w:r>
      <w:r>
        <w:t>. Under s. 82(2) of the 1996 Act, "[r</w:t>
      </w:r>
      <w:r w:rsidRPr="008D7758">
        <w:t>eferences</w:t>
      </w:r>
      <w:r>
        <w:t>]</w:t>
      </w:r>
      <w:r w:rsidRPr="008D7758">
        <w:t xml:space="preserve"> </w:t>
      </w:r>
      <w:r>
        <w:t xml:space="preserve">... </w:t>
      </w:r>
      <w:r w:rsidRPr="008D7758">
        <w:t>to a party to an arbitration agreement include any person claiming under or through a party to the agreement</w:t>
      </w:r>
      <w:r>
        <w:t xml:space="preserve">", and so the third party would be treated as party to the agreement: also </w:t>
      </w:r>
      <w:r w:rsidRPr="005C4803">
        <w:rPr>
          <w:u w:val="single"/>
        </w:rPr>
        <w:t>The Jay Bola</w:t>
      </w:r>
      <w:r>
        <w:t>, fn. 10</w:t>
      </w:r>
      <w:r w:rsidRPr="00256120">
        <w:rPr>
          <w:color w:val="FF0000"/>
        </w:rPr>
        <w:t xml:space="preserve"> </w:t>
      </w:r>
      <w:r>
        <w:t>above at 285 (Hobhouse LJ). See al</w:t>
      </w:r>
      <w:r w:rsidR="003E5B8D">
        <w:t>so R. Merkin, fn. 1</w:t>
      </w:r>
      <w:r>
        <w:t xml:space="preserve"> above at [17.17] </w:t>
      </w:r>
      <w:r w:rsidRPr="007C4863">
        <w:rPr>
          <w:u w:val="single"/>
        </w:rPr>
        <w:t>et seq</w:t>
      </w:r>
      <w:r>
        <w:t>.</w:t>
      </w:r>
    </w:p>
  </w:footnote>
  <w:footnote w:id="32">
    <w:p w14:paraId="52677C5E" w14:textId="584CCE15" w:rsidR="00B46D22" w:rsidRDefault="00B46D22">
      <w:pPr>
        <w:pStyle w:val="FootnoteText"/>
      </w:pPr>
      <w:r>
        <w:rPr>
          <w:rStyle w:val="FootnoteReference"/>
        </w:rPr>
        <w:footnoteRef/>
      </w:r>
      <w:r w:rsidR="003E5B8D">
        <w:t>. See below, fnn. 61 - 66; fnn. 76 - 82</w:t>
      </w:r>
      <w:r>
        <w:t xml:space="preserve">; fnn. </w:t>
      </w:r>
      <w:r w:rsidR="003E5B8D">
        <w:t>107</w:t>
      </w:r>
      <w:r>
        <w:t xml:space="preserve"> - </w:t>
      </w:r>
      <w:r w:rsidR="003E5B8D">
        <w:t>110</w:t>
      </w:r>
      <w:r>
        <w:t>, and associated text.</w:t>
      </w:r>
    </w:p>
  </w:footnote>
  <w:footnote w:id="33">
    <w:p w14:paraId="083BA7CB" w14:textId="5FDA5F3F" w:rsidR="00B46D22" w:rsidRDefault="00B46D22">
      <w:pPr>
        <w:pStyle w:val="FootnoteText"/>
      </w:pPr>
      <w:r>
        <w:rPr>
          <w:rStyle w:val="FootnoteReference"/>
        </w:rPr>
        <w:footnoteRef/>
      </w:r>
      <w:r>
        <w:t xml:space="preserve">. See fn. 16 above, superseded by </w:t>
      </w:r>
      <w:r w:rsidRPr="002B5B51">
        <w:t>Brus</w:t>
      </w:r>
      <w:r>
        <w:t xml:space="preserve">sels Regulation Recast, European Council Regulation (EC) No 1215/2012/EU: </w:t>
      </w:r>
      <w:r w:rsidRPr="00F54981">
        <w:t>also fn. 54 below, and text</w:t>
      </w:r>
      <w:r>
        <w:t xml:space="preserve"> thereto. The </w:t>
      </w:r>
      <w:r w:rsidRPr="008765FE">
        <w:t>Brussels Convention on Jurisdiction and the Enforcement of Judgments in Civil and Commercial Matters</w:t>
      </w:r>
      <w:r>
        <w:t xml:space="preserve"> was in any case adopted as part of UK law by</w:t>
      </w:r>
      <w:r w:rsidRPr="00511B2D">
        <w:t xml:space="preserve"> s. 2(1) of the Civil Juri</w:t>
      </w:r>
      <w:r>
        <w:t>sdiction and Judgments Act 1982.</w:t>
      </w:r>
    </w:p>
  </w:footnote>
  <w:footnote w:id="34">
    <w:p w14:paraId="3F82FF36" w14:textId="4C3649F2" w:rsidR="00B46D22" w:rsidRDefault="00B46D22">
      <w:pPr>
        <w:pStyle w:val="FootnoteText"/>
      </w:pPr>
      <w:r>
        <w:rPr>
          <w:rStyle w:val="FootnoteReference"/>
        </w:rPr>
        <w:footnoteRef/>
      </w:r>
      <w:r>
        <w:t>. The effects of Arts. 27 - 30</w:t>
      </w:r>
      <w:r w:rsidR="003E5B8D">
        <w:t>. See also fnn. 86; 92</w:t>
      </w:r>
      <w:r w:rsidRPr="008C08A4">
        <w:rPr>
          <w:color w:val="C00000"/>
        </w:rPr>
        <w:t xml:space="preserve"> </w:t>
      </w:r>
      <w:r w:rsidRPr="003F11C1">
        <w:t>below, and</w:t>
      </w:r>
      <w:r>
        <w:t xml:space="preserve"> text thereto.</w:t>
      </w:r>
    </w:p>
  </w:footnote>
  <w:footnote w:id="35">
    <w:p w14:paraId="242E0FF6" w14:textId="262964FD" w:rsidR="00B46D22" w:rsidRDefault="00B46D22" w:rsidP="003C141C">
      <w:pPr>
        <w:spacing w:before="200"/>
      </w:pPr>
      <w:r>
        <w:rPr>
          <w:rStyle w:val="FootnoteReference"/>
        </w:rPr>
        <w:footnoteRef/>
      </w:r>
      <w:r>
        <w:t xml:space="preserve">. </w:t>
      </w:r>
      <w:r w:rsidRPr="00B8239A">
        <w:rPr>
          <w:u w:val="single"/>
        </w:rPr>
        <w:t>Turner</w:t>
      </w:r>
      <w:r w:rsidRPr="00901638">
        <w:t xml:space="preserve"> v</w:t>
      </w:r>
      <w:r w:rsidRPr="00326F92">
        <w:t xml:space="preserve"> </w:t>
      </w:r>
      <w:r w:rsidRPr="00B41D66">
        <w:rPr>
          <w:u w:val="single"/>
        </w:rPr>
        <w:t>Grovit</w:t>
      </w:r>
      <w:r w:rsidRPr="00B41D66">
        <w:t xml:space="preserve"> </w:t>
      </w:r>
      <w:r w:rsidRPr="00C175C6">
        <w:t xml:space="preserve">(Case C-159/02) </w:t>
      </w:r>
      <w:r w:rsidRPr="00CF6490">
        <w:t>[2005] A</w:t>
      </w:r>
      <w:r>
        <w:t>.</w:t>
      </w:r>
      <w:r w:rsidRPr="00CF6490">
        <w:t>C</w:t>
      </w:r>
      <w:r>
        <w:t>.</w:t>
      </w:r>
      <w:r w:rsidRPr="00CF6490">
        <w:t xml:space="preserve"> 101</w:t>
      </w:r>
      <w:r>
        <w:t xml:space="preserve">; </w:t>
      </w:r>
      <w:r w:rsidRPr="00C175C6">
        <w:t>[2004</w:t>
      </w:r>
      <w:r>
        <w:t xml:space="preserve">] 2 Lloyd's Rep. 169 ECJ, on a reference from </w:t>
      </w:r>
      <w:r>
        <w:rPr>
          <w:szCs w:val="24"/>
        </w:rPr>
        <w:t>[2001] UKHL 65;</w:t>
      </w:r>
      <w:r>
        <w:t xml:space="preserve"> [2002] 1 W.L.R. 107 HL.</w:t>
      </w:r>
    </w:p>
  </w:footnote>
  <w:footnote w:id="36">
    <w:p w14:paraId="1F44E2C5" w14:textId="47BBFBE4" w:rsidR="00B46D22" w:rsidRDefault="00B46D22">
      <w:pPr>
        <w:pStyle w:val="FootnoteText"/>
      </w:pPr>
      <w:r>
        <w:rPr>
          <w:rStyle w:val="FootnoteReference"/>
        </w:rPr>
        <w:footnoteRef/>
      </w:r>
      <w:r w:rsidR="003E5B8D">
        <w:t xml:space="preserve">. See fnn. 74; </w:t>
      </w:r>
      <w:r>
        <w:t>80 below, and associated text.</w:t>
      </w:r>
    </w:p>
  </w:footnote>
  <w:footnote w:id="37">
    <w:p w14:paraId="3677FD9F" w14:textId="49A3E58E" w:rsidR="00B46D22" w:rsidRDefault="00B46D22">
      <w:pPr>
        <w:pStyle w:val="FootnoteText"/>
      </w:pPr>
      <w:r>
        <w:rPr>
          <w:rStyle w:val="FootnoteReference"/>
        </w:rPr>
        <w:footnoteRef/>
      </w:r>
      <w:r>
        <w:t>. e.g. Art. II(3).</w:t>
      </w:r>
    </w:p>
  </w:footnote>
  <w:footnote w:id="38">
    <w:p w14:paraId="4051F615" w14:textId="740FE0F3" w:rsidR="00B46D22" w:rsidRDefault="00B46D22">
      <w:pPr>
        <w:pStyle w:val="FootnoteText"/>
      </w:pPr>
      <w:r>
        <w:rPr>
          <w:rStyle w:val="FootnoteReference"/>
        </w:rPr>
        <w:footnoteRef/>
      </w:r>
      <w:r>
        <w:t xml:space="preserve">. e.g. </w:t>
      </w:r>
      <w:r w:rsidRPr="001F3829">
        <w:rPr>
          <w:u w:val="single"/>
        </w:rPr>
        <w:t>Marc Rich &amp; Co A.G</w:t>
      </w:r>
      <w:r w:rsidRPr="001F3829">
        <w:t xml:space="preserve">. v </w:t>
      </w:r>
      <w:r w:rsidRPr="001F3829">
        <w:rPr>
          <w:u w:val="single"/>
        </w:rPr>
        <w:t>Societa Italiana Impianti P.A. (The Atlantic Emperor)</w:t>
      </w:r>
      <w:r>
        <w:t xml:space="preserve"> (</w:t>
      </w:r>
      <w:r w:rsidRPr="002B5B51">
        <w:t>Case C-190/89</w:t>
      </w:r>
      <w:r>
        <w:t>) [1992] 1 Lloyd's Rep. 342 ECJ at [1</w:t>
      </w:r>
      <w:r w:rsidR="008C6D02">
        <w:t>7]. Also Brussels Recast, fn. 33</w:t>
      </w:r>
      <w:r>
        <w:t xml:space="preserve"> above, recital 12 of the preamble.</w:t>
      </w:r>
    </w:p>
  </w:footnote>
  <w:footnote w:id="39">
    <w:p w14:paraId="715E09CA" w14:textId="54876F50" w:rsidR="00B46D22" w:rsidRDefault="00B46D22">
      <w:pPr>
        <w:pStyle w:val="FootnoteText"/>
      </w:pPr>
      <w:r>
        <w:rPr>
          <w:rStyle w:val="FootnoteReference"/>
        </w:rPr>
        <w:footnoteRef/>
      </w:r>
      <w:r>
        <w:t xml:space="preserve">. </w:t>
      </w:r>
      <w:r w:rsidRPr="005B5ECD">
        <w:rPr>
          <w:u w:val="single"/>
        </w:rPr>
        <w:t>The Front Comor</w:t>
      </w:r>
      <w:r w:rsidRPr="00C175C6">
        <w:t xml:space="preserve"> </w:t>
      </w:r>
      <w:r>
        <w:t>(</w:t>
      </w:r>
      <w:r w:rsidRPr="00C175C6">
        <w:t>Case C-185/07</w:t>
      </w:r>
      <w:r>
        <w:t>)</w:t>
      </w:r>
      <w:r w:rsidRPr="00C175C6">
        <w:t xml:space="preserve"> </w:t>
      </w:r>
      <w:r w:rsidRPr="001A4766">
        <w:t>[</w:t>
      </w:r>
      <w:r w:rsidRPr="00082504">
        <w:t>2009</w:t>
      </w:r>
      <w:r>
        <w:rPr>
          <w:color w:val="auto"/>
        </w:rPr>
        <w:t>] 1 A.C. 1138</w:t>
      </w:r>
      <w:r>
        <w:t xml:space="preserve"> ECJ at [33].</w:t>
      </w:r>
    </w:p>
  </w:footnote>
  <w:footnote w:id="40">
    <w:p w14:paraId="3D48EF54" w14:textId="1CCE5C99" w:rsidR="00B46D22" w:rsidRDefault="00B46D22" w:rsidP="00D43E52">
      <w:pPr>
        <w:pStyle w:val="FootnoteText"/>
      </w:pPr>
      <w:r>
        <w:rPr>
          <w:rStyle w:val="FootnoteReference"/>
        </w:rPr>
        <w:footnoteRef/>
      </w:r>
      <w:r>
        <w:t xml:space="preserve">. e.g. </w:t>
      </w:r>
      <w:r w:rsidRPr="005B5ECD">
        <w:rPr>
          <w:u w:val="single"/>
        </w:rPr>
        <w:t>The Front Comor</w:t>
      </w:r>
      <w:r>
        <w:t xml:space="preserve"> </w:t>
      </w:r>
      <w:r w:rsidRPr="004A4D33">
        <w:t>[2005] 2 L</w:t>
      </w:r>
      <w:r>
        <w:t xml:space="preserve">loyd's Rep. </w:t>
      </w:r>
      <w:r w:rsidRPr="004A4D33">
        <w:t>257</w:t>
      </w:r>
      <w:r>
        <w:t xml:space="preserve"> at [11] (Colman J).</w:t>
      </w:r>
    </w:p>
  </w:footnote>
  <w:footnote w:id="41">
    <w:p w14:paraId="6E8B6091" w14:textId="158431D2" w:rsidR="00B46D22" w:rsidRDefault="00B46D22" w:rsidP="009C680A">
      <w:pPr>
        <w:pStyle w:val="FootnoteText"/>
      </w:pPr>
      <w:r>
        <w:rPr>
          <w:rStyle w:val="FootnoteReference"/>
        </w:rPr>
        <w:footnoteRef/>
      </w:r>
      <w:r>
        <w:t xml:space="preserve">. </w:t>
      </w:r>
      <w:r w:rsidRPr="004A4D33">
        <w:t>[2005] 2 L</w:t>
      </w:r>
      <w:r>
        <w:t xml:space="preserve">loyd's Rep. </w:t>
      </w:r>
      <w:r w:rsidRPr="004A4D33">
        <w:t>257</w:t>
      </w:r>
      <w:r>
        <w:t xml:space="preserve"> at [10]; [42], Colman J referring to </w:t>
      </w:r>
      <w:r>
        <w:rPr>
          <w:u w:val="single"/>
        </w:rPr>
        <w:t>The Hari Bhum</w:t>
      </w:r>
      <w:r>
        <w:t xml:space="preserve">, fn. 13 above. In the event, no injunction was granted in </w:t>
      </w:r>
      <w:r w:rsidRPr="00BD69D3">
        <w:rPr>
          <w:u w:val="single"/>
        </w:rPr>
        <w:t>The Hari Bhum</w:t>
      </w:r>
      <w:r>
        <w:t xml:space="preserve">, but it could have been, in principle. </w:t>
      </w:r>
      <w:r w:rsidRPr="00BD69D3">
        <w:rPr>
          <w:u w:val="single"/>
        </w:rPr>
        <w:t>The Hari Bhum</w:t>
      </w:r>
      <w:r>
        <w:t xml:space="preserve"> is one of many cases involving attempts to avoid P &amp; I Clubs pay-to-be-paid clauses, which the English arbitrators would have enforced: see fn. 1</w:t>
      </w:r>
      <w:r w:rsidR="008C6D02">
        <w:t>3</w:t>
      </w:r>
      <w:r>
        <w:t xml:space="preserve"> above.</w:t>
      </w:r>
    </w:p>
  </w:footnote>
  <w:footnote w:id="42">
    <w:p w14:paraId="72201E4E" w14:textId="516961F4" w:rsidR="00B46D22" w:rsidRDefault="00B46D22" w:rsidP="00C929DE">
      <w:pPr>
        <w:pStyle w:val="FootnoteText"/>
      </w:pPr>
      <w:r>
        <w:rPr>
          <w:rStyle w:val="FootnoteReference"/>
        </w:rPr>
        <w:footnoteRef/>
      </w:r>
      <w:r>
        <w:t xml:space="preserve">. </w:t>
      </w:r>
      <w:r w:rsidRPr="00AD7E95">
        <w:rPr>
          <w:szCs w:val="24"/>
          <w:u w:val="single"/>
        </w:rPr>
        <w:t xml:space="preserve">West Tankers </w:t>
      </w:r>
      <w:r w:rsidRPr="008379BC">
        <w:rPr>
          <w:u w:val="single"/>
        </w:rPr>
        <w:t>Inc</w:t>
      </w:r>
      <w:r w:rsidRPr="008379BC">
        <w:t xml:space="preserve"> v </w:t>
      </w:r>
      <w:r w:rsidRPr="008379BC">
        <w:rPr>
          <w:u w:val="single"/>
        </w:rPr>
        <w:t>Allianz</w:t>
      </w:r>
      <w:r w:rsidRPr="00AD7E95">
        <w:rPr>
          <w:szCs w:val="24"/>
          <w:u w:val="single"/>
        </w:rPr>
        <w:t xml:space="preserve"> SpA (The Front Comor)</w:t>
      </w:r>
      <w:r>
        <w:rPr>
          <w:szCs w:val="24"/>
        </w:rPr>
        <w:t xml:space="preserve"> </w:t>
      </w:r>
      <w:r w:rsidRPr="00AF52C5">
        <w:rPr>
          <w:highlight w:val="white"/>
        </w:rPr>
        <w:t xml:space="preserve">[2007] UKHL 4; </w:t>
      </w:r>
      <w:r w:rsidRPr="159CCDB9">
        <w:t>[2007] 1 Lloyd’s Rep</w:t>
      </w:r>
      <w:r>
        <w:t>.</w:t>
      </w:r>
      <w:r w:rsidRPr="159CCDB9">
        <w:t xml:space="preserve"> </w:t>
      </w:r>
      <w:r w:rsidRPr="009D54B4">
        <w:t>391; [2007] 1 All E.R. (Comm) 794</w:t>
      </w:r>
      <w:r>
        <w:t xml:space="preserve"> HL, the leapfrog appeal being provided </w:t>
      </w:r>
      <w:r w:rsidRPr="00D43E52">
        <w:t xml:space="preserve">by </w:t>
      </w:r>
      <w:r w:rsidRPr="00D43E52">
        <w:rPr>
          <w:highlight w:val="white"/>
        </w:rPr>
        <w:t>s. 12 of the Administration of Justice Act 1969</w:t>
      </w:r>
      <w:r>
        <w:t>, as amended</w:t>
      </w:r>
      <w:r w:rsidRPr="00D43E52">
        <w:t>.</w:t>
      </w:r>
    </w:p>
  </w:footnote>
  <w:footnote w:id="43">
    <w:p w14:paraId="7E259C3D" w14:textId="4E3E6DDF" w:rsidR="00B46D22" w:rsidRDefault="00B46D22">
      <w:pPr>
        <w:pStyle w:val="FootnoteText"/>
      </w:pPr>
      <w:r>
        <w:rPr>
          <w:rStyle w:val="FootnoteReference"/>
        </w:rPr>
        <w:footnoteRef/>
      </w:r>
      <w:r>
        <w:t xml:space="preserve">. </w:t>
      </w:r>
      <w:r w:rsidRPr="159CCDB9">
        <w:t>[2007] 1 Lloyd’s Rep</w:t>
      </w:r>
      <w:r>
        <w:t>.</w:t>
      </w:r>
      <w:r w:rsidRPr="159CCDB9">
        <w:t xml:space="preserve"> 391</w:t>
      </w:r>
      <w:r>
        <w:t xml:space="preserve"> at [14] - [19].</w:t>
      </w:r>
      <w:r w:rsidRPr="0027039E">
        <w:rPr>
          <w:color w:val="FF0000"/>
        </w:rPr>
        <w:t xml:space="preserve"> </w:t>
      </w:r>
      <w:r>
        <w:t>Lords Nicholls of Birkenhead, Steyn, Rodger of Earlsferry and Mance agreed with Lord Hoffmann.</w:t>
      </w:r>
    </w:p>
  </w:footnote>
  <w:footnote w:id="44">
    <w:p w14:paraId="1E8D7EAB" w14:textId="75A4B379" w:rsidR="00B46D22" w:rsidRDefault="00B46D22">
      <w:pPr>
        <w:pStyle w:val="FootnoteText"/>
      </w:pPr>
      <w:r>
        <w:rPr>
          <w:rStyle w:val="FootnoteReference"/>
        </w:rPr>
        <w:footnoteRef/>
      </w:r>
      <w:r>
        <w:t>. ibid. at [24] - [25].</w:t>
      </w:r>
    </w:p>
  </w:footnote>
  <w:footnote w:id="45">
    <w:p w14:paraId="62B866DB" w14:textId="11C8CB08" w:rsidR="00B46D22" w:rsidRDefault="00B46D22" w:rsidP="006E7BC6">
      <w:pPr>
        <w:pStyle w:val="FootnoteText"/>
      </w:pPr>
      <w:r>
        <w:rPr>
          <w:rStyle w:val="FootnoteReference"/>
        </w:rPr>
        <w:footnoteRef/>
      </w:r>
      <w:r>
        <w:t xml:space="preserve">. </w:t>
      </w:r>
      <w:r w:rsidRPr="005B5ECD">
        <w:rPr>
          <w:u w:val="single"/>
        </w:rPr>
        <w:t>The Front Comor</w:t>
      </w:r>
      <w:r w:rsidRPr="00C175C6">
        <w:t xml:space="preserve"> </w:t>
      </w:r>
      <w:r w:rsidR="008C6D02">
        <w:t>(ECJ), fn. 16</w:t>
      </w:r>
      <w:r>
        <w:t xml:space="preserve"> above.</w:t>
      </w:r>
    </w:p>
  </w:footnote>
  <w:footnote w:id="46">
    <w:p w14:paraId="48918AC1" w14:textId="6EB30F4D" w:rsidR="00B46D22" w:rsidRDefault="00B46D22">
      <w:pPr>
        <w:pStyle w:val="FootnoteText"/>
      </w:pPr>
      <w:r>
        <w:rPr>
          <w:rStyle w:val="FootnoteReference"/>
        </w:rPr>
        <w:footnoteRef/>
      </w:r>
      <w:r>
        <w:t>. See fn. 74 below, and associated text.</w:t>
      </w:r>
    </w:p>
  </w:footnote>
  <w:footnote w:id="47">
    <w:p w14:paraId="574ED2DF" w14:textId="7867BEFB" w:rsidR="00B46D22" w:rsidRDefault="00B46D22" w:rsidP="006E7BC6">
      <w:pPr>
        <w:pStyle w:val="FootnoteText"/>
      </w:pPr>
      <w:r>
        <w:rPr>
          <w:rStyle w:val="FootnoteReference"/>
        </w:rPr>
        <w:footnoteRef/>
      </w:r>
      <w:r>
        <w:t xml:space="preserve">. </w:t>
      </w:r>
      <w:r w:rsidRPr="005C3982">
        <w:rPr>
          <w:u w:val="single"/>
        </w:rPr>
        <w:t>Turner</w:t>
      </w:r>
      <w:r>
        <w:t xml:space="preserve"> v </w:t>
      </w:r>
      <w:r w:rsidRPr="005C3982">
        <w:rPr>
          <w:u w:val="single"/>
        </w:rPr>
        <w:t>Grovit</w:t>
      </w:r>
      <w:r>
        <w:t>, fn. 34 above</w:t>
      </w:r>
      <w:r w:rsidRPr="00635F3C">
        <w:rPr>
          <w:lang w:eastAsia="en-GB"/>
        </w:rPr>
        <w:t xml:space="preserve"> </w:t>
      </w:r>
      <w:r>
        <w:rPr>
          <w:lang w:eastAsia="en-GB"/>
        </w:rPr>
        <w:t>at [24].</w:t>
      </w:r>
    </w:p>
  </w:footnote>
  <w:footnote w:id="48">
    <w:p w14:paraId="05FCA3C2" w14:textId="61B6BFE6" w:rsidR="00B46D22" w:rsidRDefault="00B46D22" w:rsidP="006E7BC6">
      <w:pPr>
        <w:pStyle w:val="FootnoteText"/>
      </w:pPr>
      <w:r>
        <w:rPr>
          <w:rStyle w:val="FootnoteReference"/>
        </w:rPr>
        <w:footnoteRef/>
      </w:r>
      <w:r>
        <w:t xml:space="preserve">. </w:t>
      </w:r>
      <w:r>
        <w:rPr>
          <w:lang w:eastAsia="en-GB"/>
        </w:rPr>
        <w:t>I</w:t>
      </w:r>
      <w:r w:rsidRPr="00635F3C">
        <w:rPr>
          <w:lang w:eastAsia="en-GB"/>
        </w:rPr>
        <w:t xml:space="preserve">n </w:t>
      </w:r>
      <w:r w:rsidRPr="00635F3C">
        <w:rPr>
          <w:u w:val="single"/>
          <w:lang w:eastAsia="en-GB"/>
        </w:rPr>
        <w:t>West Tankers Inc</w:t>
      </w:r>
      <w:r w:rsidRPr="00635F3C">
        <w:rPr>
          <w:lang w:eastAsia="en-GB"/>
        </w:rPr>
        <w:t xml:space="preserve"> v </w:t>
      </w:r>
      <w:r w:rsidRPr="00635F3C">
        <w:rPr>
          <w:u w:val="single"/>
          <w:lang w:eastAsia="en-GB"/>
        </w:rPr>
        <w:t>Allianz SpA (The Front Comor)</w:t>
      </w:r>
      <w:r w:rsidRPr="00635F3C">
        <w:rPr>
          <w:lang w:eastAsia="en-GB"/>
        </w:rPr>
        <w:t xml:space="preserve"> </w:t>
      </w:r>
      <w:r w:rsidRPr="00AF52C5">
        <w:t xml:space="preserve">[2012] EWHC 854 (Comm); </w:t>
      </w:r>
      <w:r w:rsidRPr="00635F3C">
        <w:rPr>
          <w:lang w:eastAsia="en-GB"/>
        </w:rPr>
        <w:t>[2012] 2 Lloyd's Rep</w:t>
      </w:r>
      <w:r>
        <w:rPr>
          <w:lang w:eastAsia="en-GB"/>
        </w:rPr>
        <w:t>.</w:t>
      </w:r>
      <w:r w:rsidRPr="00635F3C">
        <w:rPr>
          <w:lang w:eastAsia="en-GB"/>
        </w:rPr>
        <w:t xml:space="preserve"> 103</w:t>
      </w:r>
      <w:r w:rsidRPr="00F06763">
        <w:t>; [2012] 2 All E.R. (Comm) 395</w:t>
      </w:r>
      <w:r>
        <w:rPr>
          <w:lang w:eastAsia="en-GB"/>
        </w:rPr>
        <w:t xml:space="preserve"> QBD at</w:t>
      </w:r>
      <w:r w:rsidRPr="00635F3C">
        <w:rPr>
          <w:lang w:eastAsia="en-GB"/>
        </w:rPr>
        <w:t xml:space="preserve"> [38]</w:t>
      </w:r>
      <w:r>
        <w:rPr>
          <w:lang w:eastAsia="en-GB"/>
        </w:rPr>
        <w:t xml:space="preserve"> (Flaux J). </w:t>
      </w:r>
      <w:r w:rsidR="008C6D02">
        <w:rPr>
          <w:lang w:eastAsia="en-GB"/>
        </w:rPr>
        <w:t>On this case see further fnn. 58 -  82</w:t>
      </w:r>
      <w:r>
        <w:rPr>
          <w:lang w:eastAsia="en-GB"/>
        </w:rPr>
        <w:t xml:space="preserve"> below, and associated text.</w:t>
      </w:r>
    </w:p>
  </w:footnote>
  <w:footnote w:id="49">
    <w:p w14:paraId="720C0D78" w14:textId="33475AD0" w:rsidR="00B46D22" w:rsidRDefault="00B46D22">
      <w:pPr>
        <w:pStyle w:val="FootnoteText"/>
      </w:pPr>
      <w:r>
        <w:rPr>
          <w:rStyle w:val="FootnoteReference"/>
        </w:rPr>
        <w:footnoteRef/>
      </w:r>
      <w:r>
        <w:t xml:space="preserve">. </w:t>
      </w:r>
      <w:r w:rsidRPr="00CC203E">
        <w:rPr>
          <w:lang w:eastAsia="en-GB"/>
        </w:rPr>
        <w:t>[2009] 1 A.C. 1138</w:t>
      </w:r>
      <w:r>
        <w:rPr>
          <w:lang w:eastAsia="en-GB"/>
        </w:rPr>
        <w:t xml:space="preserve"> </w:t>
      </w:r>
      <w:r>
        <w:t xml:space="preserve">at [34] (Advocate General); at [30] (ECJ), cited respectively at </w:t>
      </w:r>
      <w:r w:rsidRPr="00AD7E95">
        <w:rPr>
          <w:szCs w:val="24"/>
        </w:rPr>
        <w:t xml:space="preserve">[2012] </w:t>
      </w:r>
      <w:r>
        <w:rPr>
          <w:szCs w:val="24"/>
        </w:rPr>
        <w:t>2 Lloyd's Rep.</w:t>
      </w:r>
      <w:r w:rsidRPr="00AD7E95">
        <w:rPr>
          <w:szCs w:val="24"/>
        </w:rPr>
        <w:t xml:space="preserve"> 103</w:t>
      </w:r>
      <w:r>
        <w:rPr>
          <w:szCs w:val="24"/>
        </w:rPr>
        <w:t xml:space="preserve"> </w:t>
      </w:r>
      <w:r>
        <w:t>[19]; [21] (Flaux J).</w:t>
      </w:r>
    </w:p>
  </w:footnote>
  <w:footnote w:id="50">
    <w:p w14:paraId="54FA3AAD" w14:textId="07FA2B93" w:rsidR="00B46D22" w:rsidRDefault="00B46D22">
      <w:pPr>
        <w:pStyle w:val="FootnoteText"/>
      </w:pPr>
      <w:r>
        <w:rPr>
          <w:rStyle w:val="FootnoteReference"/>
        </w:rPr>
        <w:footnoteRef/>
      </w:r>
      <w:r w:rsidR="008C6D02">
        <w:t xml:space="preserve">. See fnn. 80; 94 below, and associated text. </w:t>
      </w:r>
    </w:p>
  </w:footnote>
  <w:footnote w:id="51">
    <w:p w14:paraId="00041596" w14:textId="344E0039" w:rsidR="00B46D22" w:rsidRDefault="00B46D22" w:rsidP="000B294D">
      <w:pPr>
        <w:pStyle w:val="FootnoteText"/>
      </w:pPr>
      <w:r>
        <w:rPr>
          <w:rStyle w:val="FootnoteReference"/>
        </w:rPr>
        <w:footnoteRef/>
      </w:r>
      <w:r>
        <w:t xml:space="preserve">. The </w:t>
      </w:r>
      <w:r>
        <w:rPr>
          <w:lang w:eastAsia="en-GB"/>
        </w:rPr>
        <w:t xml:space="preserve">Great Repeal Bill: White Paper at </w:t>
      </w:r>
      <w:r>
        <w:t>[2.14]. The paper can be found at</w:t>
      </w:r>
      <w:r>
        <w:rPr>
          <w:lang w:eastAsia="en-GB"/>
        </w:rPr>
        <w:t xml:space="preserve">: </w:t>
      </w:r>
      <w:hyperlink r:id="rId1" w:history="1">
        <w:r w:rsidRPr="00CB1D94">
          <w:rPr>
            <w:rStyle w:val="Hyperlink"/>
            <w:lang w:eastAsia="en-GB"/>
          </w:rPr>
          <w:t>https://www.gov.uk/government/publications/the-great-repeal-bill-white-paper/legislating-for-the-united-kingdoms-withdrawal-from-the-european-union</w:t>
        </w:r>
      </w:hyperlink>
      <w:r>
        <w:rPr>
          <w:lang w:eastAsia="en-GB"/>
        </w:rPr>
        <w:t xml:space="preserve"> (HTML version), or </w:t>
      </w:r>
      <w:hyperlink r:id="rId2" w:history="1">
        <w:r w:rsidRPr="00CB1D94">
          <w:rPr>
            <w:rStyle w:val="Hyperlink"/>
            <w:lang w:eastAsia="en-GB"/>
          </w:rPr>
          <w:t>https://www.gov.uk/government/uploads/system/uploads/attachment_data/file/604516/Great_repeal_bill_white_paper_accessible.pdf</w:t>
        </w:r>
      </w:hyperlink>
      <w:r>
        <w:rPr>
          <w:lang w:eastAsia="en-GB"/>
        </w:rPr>
        <w:t xml:space="preserve"> </w:t>
      </w:r>
      <w:r w:rsidRPr="00D17ACE">
        <w:t>(</w:t>
      </w:r>
      <w:r>
        <w:rPr>
          <w:lang w:eastAsia="en-GB"/>
        </w:rPr>
        <w:t>PDF file).</w:t>
      </w:r>
    </w:p>
  </w:footnote>
  <w:footnote w:id="52">
    <w:p w14:paraId="37BCD257" w14:textId="280C8340" w:rsidR="00B46D22" w:rsidRDefault="00B46D22" w:rsidP="000B294D">
      <w:pPr>
        <w:pStyle w:val="FootnoteText"/>
      </w:pPr>
      <w:r>
        <w:rPr>
          <w:rStyle w:val="FootnoteReference"/>
        </w:rPr>
        <w:footnoteRef/>
      </w:r>
      <w:r>
        <w:t>. ibid.</w:t>
      </w:r>
      <w:r>
        <w:rPr>
          <w:lang w:eastAsia="en-GB"/>
        </w:rPr>
        <w:t xml:space="preserve"> at </w:t>
      </w:r>
      <w:r>
        <w:t>[2.16].</w:t>
      </w:r>
    </w:p>
  </w:footnote>
  <w:footnote w:id="53">
    <w:p w14:paraId="57C83C68" w14:textId="1A85295A" w:rsidR="00B46D22" w:rsidRDefault="00B46D22">
      <w:pPr>
        <w:pStyle w:val="FootnoteText"/>
      </w:pPr>
      <w:r>
        <w:rPr>
          <w:rStyle w:val="FootnoteReference"/>
        </w:rPr>
        <w:footnoteRef/>
      </w:r>
      <w:r>
        <w:t xml:space="preserve">. European Union (Withdrawal) Bill 2017, cll. 6(3) - 6(5); Explanatory Notes at [105]; [107]. For full text of Explanatory Notes: </w:t>
      </w:r>
      <w:hyperlink r:id="rId3" w:history="1">
        <w:r w:rsidRPr="000157B0">
          <w:rPr>
            <w:rStyle w:val="Hyperlink"/>
            <w:color w:val="1155CC"/>
            <w:szCs w:val="24"/>
          </w:rPr>
          <w:t>http://www.statewatch.org/news/2017/jul/eu-brexit-rel-bill-explanatory-notes.pdf</w:t>
        </w:r>
      </w:hyperlink>
      <w:r w:rsidRPr="000157B0">
        <w:rPr>
          <w:szCs w:val="24"/>
        </w:rPr>
        <w:t xml:space="preserve"> </w:t>
      </w:r>
      <w:r>
        <w:t>(PDF file).</w:t>
      </w:r>
    </w:p>
  </w:footnote>
  <w:footnote w:id="54">
    <w:p w14:paraId="464410D2" w14:textId="3CB5E033" w:rsidR="00B46D22" w:rsidRDefault="00B46D22">
      <w:pPr>
        <w:pStyle w:val="FootnoteText"/>
      </w:pPr>
      <w:r>
        <w:rPr>
          <w:rStyle w:val="FootnoteReference"/>
        </w:rPr>
        <w:footnoteRef/>
      </w:r>
      <w:r w:rsidR="008C6D02">
        <w:t>. See fn. 33</w:t>
      </w:r>
      <w:r>
        <w:t xml:space="preserve"> above. Art. 1(2)(d) is unchanged, but recital 12 of the preamble, explaining it, is greatly expanded.</w:t>
      </w:r>
    </w:p>
  </w:footnote>
  <w:footnote w:id="55">
    <w:p w14:paraId="6B64D459" w14:textId="3798FB8F" w:rsidR="00B46D22" w:rsidRDefault="00B46D22" w:rsidP="00FD7FFC">
      <w:r>
        <w:rPr>
          <w:rStyle w:val="FootnoteReference"/>
        </w:rPr>
        <w:footnoteRef/>
      </w:r>
      <w:r>
        <w:t xml:space="preserve">. Inference from </w:t>
      </w:r>
      <w:r w:rsidRPr="00E17C97">
        <w:rPr>
          <w:u w:val="single"/>
        </w:rPr>
        <w:t>Gazprom Oao</w:t>
      </w:r>
      <w:r w:rsidRPr="00174F4C">
        <w:t xml:space="preserve"> (Case C-536/13)</w:t>
      </w:r>
      <w:r>
        <w:t xml:space="preserve"> </w:t>
      </w:r>
      <w:r w:rsidRPr="009B5033">
        <w:t>[2015] 1 W.L.R. 4937</w:t>
      </w:r>
      <w:r>
        <w:t>;</w:t>
      </w:r>
      <w:r w:rsidRPr="00174F4C">
        <w:t xml:space="preserve"> [2015] 1 Lloyd's Rep. 610 </w:t>
      </w:r>
      <w:r>
        <w:t>CJEU at [91] (Advocate General): recital 12 in the Recast</w:t>
      </w:r>
      <w:r w:rsidRPr="002B5B51">
        <w:t xml:space="preserve"> preamble, </w:t>
      </w:r>
      <w:r w:rsidRPr="003C141C">
        <w:t>in the manner of</w:t>
      </w:r>
      <w:r w:rsidRPr="002B5B51">
        <w:t xml:space="preserve"> retroactive interpr</w:t>
      </w:r>
      <w:r>
        <w:t xml:space="preserve">etative law, explained how the Art. 1(2)(d) </w:t>
      </w:r>
      <w:r w:rsidRPr="002B5B51">
        <w:t xml:space="preserve">exclusion should </w:t>
      </w:r>
      <w:r>
        <w:t xml:space="preserve">always </w:t>
      </w:r>
      <w:r w:rsidRPr="002B5B51">
        <w:t>have been interpreted</w:t>
      </w:r>
      <w:r w:rsidR="00B52B14">
        <w:t>; A. Briggs, fn. 79</w:t>
      </w:r>
      <w:r>
        <w:t xml:space="preserve"> below at 287 describes the argument as </w:t>
      </w:r>
      <w:r w:rsidRPr="00D53583">
        <w:t>"an exercise in legal gymnastics".</w:t>
      </w:r>
      <w:r>
        <w:t xml:space="preserve"> The CJEU judgment itself appears to support but distinguish </w:t>
      </w:r>
      <w:r w:rsidRPr="001E5EA8">
        <w:rPr>
          <w:u w:val="single"/>
        </w:rPr>
        <w:t>The Front Comor</w:t>
      </w:r>
      <w:r w:rsidRPr="00FD7FFC">
        <w:t xml:space="preserve"> (ECJ): e.g</w:t>
      </w:r>
      <w:r>
        <w:t>. [32] - [44].</w:t>
      </w:r>
    </w:p>
  </w:footnote>
  <w:footnote w:id="56">
    <w:p w14:paraId="746AAF56" w14:textId="1573C8C6" w:rsidR="00B46D22" w:rsidRDefault="00B46D22">
      <w:pPr>
        <w:pStyle w:val="FootnoteText"/>
      </w:pPr>
      <w:r>
        <w:rPr>
          <w:rStyle w:val="FootnoteReference"/>
        </w:rPr>
        <w:footnoteRef/>
      </w:r>
      <w:r w:rsidR="00B52B14">
        <w:t>. See fnn. 98 - 110</w:t>
      </w:r>
      <w:r>
        <w:t xml:space="preserve"> below, and text thereto.</w:t>
      </w:r>
    </w:p>
  </w:footnote>
  <w:footnote w:id="57">
    <w:p w14:paraId="17889216" w14:textId="5E9026DD" w:rsidR="00B46D22" w:rsidRDefault="00B46D22">
      <w:pPr>
        <w:pStyle w:val="FootnoteText"/>
      </w:pPr>
      <w:r>
        <w:rPr>
          <w:rStyle w:val="FootnoteReference"/>
        </w:rPr>
        <w:footnoteRef/>
      </w:r>
      <w:r>
        <w:t xml:space="preserve">. </w:t>
      </w:r>
      <w:r>
        <w:rPr>
          <w:szCs w:val="24"/>
          <w:u w:val="single"/>
        </w:rPr>
        <w:t xml:space="preserve">West Tankers </w:t>
      </w:r>
      <w:r w:rsidRPr="00C175C6">
        <w:rPr>
          <w:u w:val="single"/>
        </w:rPr>
        <w:t>Inc</w:t>
      </w:r>
      <w:r w:rsidRPr="00C175C6">
        <w:t xml:space="preserve"> v </w:t>
      </w:r>
      <w:r w:rsidRPr="00C175C6">
        <w:rPr>
          <w:u w:val="single"/>
        </w:rPr>
        <w:t>Allianz</w:t>
      </w:r>
      <w:r w:rsidRPr="00A13E5A">
        <w:rPr>
          <w:szCs w:val="24"/>
          <w:u w:val="single"/>
        </w:rPr>
        <w:t xml:space="preserve"> SpA (The Front Comor)</w:t>
      </w:r>
      <w:r>
        <w:rPr>
          <w:szCs w:val="24"/>
        </w:rPr>
        <w:t xml:space="preserve"> </w:t>
      </w:r>
      <w:r w:rsidRPr="00F06763">
        <w:t>[2012] EWCA Civ 27; [ [2012] 1 Lloyd's Rep 398; [2012] 2 All E.R. (Comm) 113; CA (Civ</w:t>
      </w:r>
      <w:r>
        <w:rPr>
          <w:szCs w:val="24"/>
        </w:rPr>
        <w:t xml:space="preserve"> Div), on enforcement under Arbitration Act 1996, s. 66.</w:t>
      </w:r>
    </w:p>
  </w:footnote>
  <w:footnote w:id="58">
    <w:p w14:paraId="19E853D8" w14:textId="7D59168E" w:rsidR="00B46D22" w:rsidRDefault="00B46D22">
      <w:pPr>
        <w:pStyle w:val="FootnoteText"/>
      </w:pPr>
      <w:r>
        <w:rPr>
          <w:rStyle w:val="FootnoteReference"/>
        </w:rPr>
        <w:footnoteRef/>
      </w:r>
      <w:r>
        <w:t xml:space="preserve">. On the appointment of the fresh tribunal, </w:t>
      </w:r>
      <w:r w:rsidRPr="00AD7E95">
        <w:rPr>
          <w:szCs w:val="24"/>
          <w:u w:val="single"/>
        </w:rPr>
        <w:t xml:space="preserve">West Tankers </w:t>
      </w:r>
      <w:r w:rsidRPr="008379BC">
        <w:rPr>
          <w:u w:val="single"/>
        </w:rPr>
        <w:t>Inc</w:t>
      </w:r>
      <w:r w:rsidRPr="008379BC">
        <w:t xml:space="preserve"> v </w:t>
      </w:r>
      <w:r w:rsidRPr="008379BC">
        <w:rPr>
          <w:u w:val="single"/>
        </w:rPr>
        <w:t>Allianz</w:t>
      </w:r>
      <w:r w:rsidRPr="00AD7E95">
        <w:rPr>
          <w:szCs w:val="24"/>
          <w:u w:val="single"/>
        </w:rPr>
        <w:t xml:space="preserve"> SpA (The Front Comor)</w:t>
      </w:r>
      <w:r w:rsidR="00B52B14">
        <w:rPr>
          <w:szCs w:val="24"/>
        </w:rPr>
        <w:t>, fn. 48</w:t>
      </w:r>
      <w:r>
        <w:rPr>
          <w:szCs w:val="24"/>
        </w:rPr>
        <w:t xml:space="preserve"> above at [17] (Flaux J).</w:t>
      </w:r>
    </w:p>
  </w:footnote>
  <w:footnote w:id="59">
    <w:p w14:paraId="0B9DAB61" w14:textId="3B355AB7" w:rsidR="00B46D22" w:rsidRDefault="00B46D22">
      <w:pPr>
        <w:pStyle w:val="FootnoteText"/>
      </w:pPr>
      <w:r>
        <w:rPr>
          <w:rStyle w:val="FootnoteReference"/>
        </w:rPr>
        <w:footnoteRef/>
      </w:r>
      <w:r>
        <w:t xml:space="preserve">. </w:t>
      </w:r>
      <w:r w:rsidRPr="00AD7E95">
        <w:rPr>
          <w:szCs w:val="24"/>
        </w:rPr>
        <w:t xml:space="preserve">[2012] </w:t>
      </w:r>
      <w:r>
        <w:rPr>
          <w:szCs w:val="24"/>
        </w:rPr>
        <w:t>2 Lloyd's Rep.</w:t>
      </w:r>
      <w:r w:rsidRPr="00AD7E95">
        <w:rPr>
          <w:szCs w:val="24"/>
        </w:rPr>
        <w:t xml:space="preserve"> 103</w:t>
      </w:r>
      <w:r>
        <w:t xml:space="preserve"> at [3].</w:t>
      </w:r>
    </w:p>
  </w:footnote>
  <w:footnote w:id="60">
    <w:p w14:paraId="2E6DB748" w14:textId="3ACEF585" w:rsidR="00B46D22" w:rsidRDefault="00B46D22">
      <w:pPr>
        <w:pStyle w:val="FootnoteText"/>
      </w:pPr>
      <w:r>
        <w:rPr>
          <w:rStyle w:val="FootnoteReference"/>
        </w:rPr>
        <w:footnoteRef/>
      </w:r>
      <w:r>
        <w:t xml:space="preserve">. </w:t>
      </w:r>
      <w:r>
        <w:rPr>
          <w:szCs w:val="24"/>
        </w:rPr>
        <w:t>ibid.</w:t>
      </w:r>
      <w:r>
        <w:t xml:space="preserve"> at [63].</w:t>
      </w:r>
    </w:p>
  </w:footnote>
  <w:footnote w:id="61">
    <w:p w14:paraId="406C2A22" w14:textId="07086D32" w:rsidR="00B46D22" w:rsidRDefault="00B46D22">
      <w:pPr>
        <w:pStyle w:val="FootnoteText"/>
      </w:pPr>
      <w:r>
        <w:rPr>
          <w:rStyle w:val="FootnoteReference"/>
        </w:rPr>
        <w:footnoteRef/>
      </w:r>
      <w:r>
        <w:t xml:space="preserve">. </w:t>
      </w:r>
      <w:r>
        <w:rPr>
          <w:szCs w:val="24"/>
        </w:rPr>
        <w:t xml:space="preserve">ibid. </w:t>
      </w:r>
      <w:r>
        <w:t>at [16]; also clear from [77].</w:t>
      </w:r>
    </w:p>
  </w:footnote>
  <w:footnote w:id="62">
    <w:p w14:paraId="5688B2A4" w14:textId="66EE8D0B" w:rsidR="00B46D22" w:rsidRDefault="00B46D22">
      <w:pPr>
        <w:pStyle w:val="FootnoteText"/>
      </w:pPr>
      <w:r>
        <w:rPr>
          <w:rStyle w:val="FootnoteReference"/>
        </w:rPr>
        <w:footnoteRef/>
      </w:r>
      <w:r>
        <w:t xml:space="preserve">. e.g. </w:t>
      </w:r>
      <w:r w:rsidRPr="00A06955">
        <w:rPr>
          <w:u w:val="single"/>
        </w:rPr>
        <w:t>Jaggard</w:t>
      </w:r>
      <w:r w:rsidRPr="00A06955">
        <w:t xml:space="preserve"> v </w:t>
      </w:r>
      <w:r w:rsidRPr="00A06955">
        <w:rPr>
          <w:u w:val="single"/>
        </w:rPr>
        <w:t>Sawyer</w:t>
      </w:r>
      <w:r w:rsidRPr="00280008">
        <w:rPr>
          <w:rFonts w:eastAsia="Arial"/>
        </w:rPr>
        <w:t xml:space="preserve"> [1995] 1 W</w:t>
      </w:r>
      <w:r>
        <w:rPr>
          <w:rFonts w:eastAsia="Arial"/>
        </w:rPr>
        <w:t>.</w:t>
      </w:r>
      <w:r w:rsidRPr="00280008">
        <w:rPr>
          <w:rFonts w:eastAsia="Arial"/>
        </w:rPr>
        <w:t>L</w:t>
      </w:r>
      <w:r>
        <w:rPr>
          <w:rFonts w:eastAsia="Arial"/>
        </w:rPr>
        <w:t>.</w:t>
      </w:r>
      <w:r w:rsidRPr="00280008">
        <w:rPr>
          <w:rFonts w:eastAsia="Arial"/>
        </w:rPr>
        <w:t>R</w:t>
      </w:r>
      <w:r>
        <w:rPr>
          <w:rFonts w:eastAsia="Arial"/>
        </w:rPr>
        <w:t>.</w:t>
      </w:r>
      <w:r w:rsidRPr="00280008">
        <w:rPr>
          <w:rFonts w:eastAsia="Arial"/>
        </w:rPr>
        <w:t xml:space="preserve"> 269</w:t>
      </w:r>
      <w:r>
        <w:rPr>
          <w:rFonts w:eastAsia="Arial"/>
        </w:rPr>
        <w:t xml:space="preserve"> CA (Civ Div)</w:t>
      </w:r>
      <w:r>
        <w:t xml:space="preserve"> at 276-277 (Sir Thomas Bingham MR); see also at 284 (Millett LJ).</w:t>
      </w:r>
    </w:p>
  </w:footnote>
  <w:footnote w:id="63">
    <w:p w14:paraId="4DC106C5" w14:textId="09D84C03" w:rsidR="00B46D22" w:rsidRDefault="00B46D22">
      <w:pPr>
        <w:pStyle w:val="FootnoteText"/>
      </w:pPr>
      <w:r>
        <w:rPr>
          <w:rStyle w:val="FootnoteReference"/>
        </w:rPr>
        <w:footnoteRef/>
      </w:r>
      <w:r>
        <w:t xml:space="preserve">. cf. </w:t>
      </w:r>
      <w:r w:rsidRPr="00514FD0">
        <w:rPr>
          <w:u w:val="single"/>
        </w:rPr>
        <w:t>The Alexandros T</w:t>
      </w:r>
      <w:r w:rsidR="00B52B14">
        <w:t>, fn. 87</w:t>
      </w:r>
      <w:r>
        <w:t xml:space="preserve"> below, and associated text, where the agreement contained an express indemnity against the consequences of all (including future) claims. There, a declaration of entitlement to the indemnity would have achieved the same result. On the terms of relief sought there, </w:t>
      </w:r>
      <w:r w:rsidRPr="00514FD0">
        <w:rPr>
          <w:u w:val="single"/>
        </w:rPr>
        <w:t>The Alexandros T</w:t>
      </w:r>
      <w:r w:rsidR="00B52B14">
        <w:t>, fn. 86</w:t>
      </w:r>
      <w:r>
        <w:t xml:space="preserve"> below SC at [18] (</w:t>
      </w:r>
      <w:r w:rsidR="00B52B14">
        <w:t>Lord Clarke); referred to fn. 87</w:t>
      </w:r>
      <w:r>
        <w:t xml:space="preserve"> below CA at [18] (Longmore LJ).</w:t>
      </w:r>
    </w:p>
  </w:footnote>
  <w:footnote w:id="64">
    <w:p w14:paraId="4F3AA9E0" w14:textId="338A0A35" w:rsidR="00B46D22" w:rsidRDefault="00B46D22" w:rsidP="00ED30F2">
      <w:pPr>
        <w:rPr>
          <w:lang w:eastAsia="en-GB"/>
        </w:rPr>
      </w:pPr>
      <w:r>
        <w:rPr>
          <w:rStyle w:val="FootnoteReference"/>
        </w:rPr>
        <w:footnoteRef/>
      </w:r>
      <w:r w:rsidR="00B52B14">
        <w:t>. See fn. 26</w:t>
      </w:r>
      <w:r>
        <w:t xml:space="preserve"> above, and associated text. </w:t>
      </w:r>
    </w:p>
  </w:footnote>
  <w:footnote w:id="65">
    <w:p w14:paraId="711E764F" w14:textId="3F1F1069" w:rsidR="00B46D22" w:rsidRDefault="00B46D22">
      <w:pPr>
        <w:pStyle w:val="FootnoteText"/>
      </w:pPr>
      <w:r>
        <w:rPr>
          <w:rStyle w:val="FootnoteReference"/>
        </w:rPr>
        <w:footnoteRef/>
      </w:r>
      <w:r>
        <w:t>. See fnn. 2</w:t>
      </w:r>
      <w:r w:rsidR="00B52B14">
        <w:t>6; 41</w:t>
      </w:r>
      <w:r>
        <w:t xml:space="preserve"> above.</w:t>
      </w:r>
    </w:p>
  </w:footnote>
  <w:footnote w:id="66">
    <w:p w14:paraId="0239F2F0" w14:textId="1A8BBA52" w:rsidR="00B46D22" w:rsidRDefault="00B46D22">
      <w:pPr>
        <w:pStyle w:val="FootnoteText"/>
      </w:pPr>
      <w:r>
        <w:rPr>
          <w:rStyle w:val="FootnoteReference"/>
        </w:rPr>
        <w:footnoteRef/>
      </w:r>
      <w:r>
        <w:t xml:space="preserve">. e.g. </w:t>
      </w:r>
      <w:r w:rsidRPr="00A06955">
        <w:rPr>
          <w:u w:val="single"/>
        </w:rPr>
        <w:t>Jaggard</w:t>
      </w:r>
      <w:r w:rsidRPr="00A06955">
        <w:t xml:space="preserve"> v </w:t>
      </w:r>
      <w:r w:rsidRPr="00A06955">
        <w:rPr>
          <w:u w:val="single"/>
        </w:rPr>
        <w:t>Sawyer</w:t>
      </w:r>
      <w:r w:rsidR="00B52B14">
        <w:rPr>
          <w:rFonts w:eastAsia="Arial"/>
        </w:rPr>
        <w:t>, fn. 62 above</w:t>
      </w:r>
      <w:r>
        <w:rPr>
          <w:rFonts w:eastAsia="Arial"/>
        </w:rPr>
        <w:t xml:space="preserve"> at 284-285 (Millett LJ), though not necessarily that the injunction could or would have been granted: </w:t>
      </w:r>
      <w:r w:rsidRPr="009A24E6">
        <w:rPr>
          <w:u w:val="single"/>
        </w:rPr>
        <w:t>Pell Frischmann Engineering Ltd</w:t>
      </w:r>
      <w:r>
        <w:t xml:space="preserve"> v </w:t>
      </w:r>
      <w:r w:rsidRPr="009A24E6">
        <w:rPr>
          <w:u w:val="single"/>
        </w:rPr>
        <w:t>Bow Valley Iran Ltd</w:t>
      </w:r>
      <w:r>
        <w:t xml:space="preserve"> [2009] UKPC 45; [2011] 1 W.L.R. 2370 PC (Jersey) at 48 (Lord Walker of Gestingthorpe JSC)</w:t>
      </w:r>
      <w:r>
        <w:rPr>
          <w:rFonts w:eastAsia="Arial"/>
        </w:rPr>
        <w:t xml:space="preserve">. </w:t>
      </w:r>
    </w:p>
  </w:footnote>
  <w:footnote w:id="67">
    <w:p w14:paraId="1D240CCF" w14:textId="5762DEB9" w:rsidR="00B46D22" w:rsidRDefault="00B46D22">
      <w:pPr>
        <w:pStyle w:val="FootnoteText"/>
      </w:pPr>
      <w:r>
        <w:rPr>
          <w:rStyle w:val="FootnoteReference"/>
        </w:rPr>
        <w:footnoteRef/>
      </w:r>
      <w:r>
        <w:t>. Note that this was a s. 69 (error of law) appeal. There was no challenge to the "substantive jurisdiction" of the tribunal under s. 67, and nor was this a case of "</w:t>
      </w:r>
      <w:r w:rsidRPr="008D7758">
        <w:t>the tribunal exceeding its powers</w:t>
      </w:r>
      <w:r>
        <w:t>" within s. 68(2)(b).</w:t>
      </w:r>
    </w:p>
  </w:footnote>
  <w:footnote w:id="68">
    <w:p w14:paraId="6BDD0A66" w14:textId="2CB6AE6F" w:rsidR="00B46D22" w:rsidRDefault="00B46D22">
      <w:pPr>
        <w:pStyle w:val="FootnoteText"/>
      </w:pPr>
      <w:r>
        <w:rPr>
          <w:rStyle w:val="FootnoteReference"/>
        </w:rPr>
        <w:footnoteRef/>
      </w:r>
      <w:r>
        <w:t xml:space="preserve">. </w:t>
      </w:r>
      <w:r w:rsidRPr="0008286E">
        <w:rPr>
          <w:u w:val="single"/>
        </w:rPr>
        <w:t>The Front Comor</w:t>
      </w:r>
      <w:r w:rsidR="00B52B14">
        <w:t xml:space="preserve"> (ECJ), fn. 16</w:t>
      </w:r>
      <w:r>
        <w:t xml:space="preserve"> above.</w:t>
      </w:r>
    </w:p>
  </w:footnote>
  <w:footnote w:id="69">
    <w:p w14:paraId="462C6A41" w14:textId="1D68AA68" w:rsidR="00B46D22" w:rsidRDefault="00B46D22">
      <w:pPr>
        <w:pStyle w:val="FootnoteText"/>
      </w:pPr>
      <w:r>
        <w:rPr>
          <w:rStyle w:val="FootnoteReference"/>
        </w:rPr>
        <w:footnoteRef/>
      </w:r>
      <w:r>
        <w:t xml:space="preserve">. </w:t>
      </w:r>
      <w:r>
        <w:rPr>
          <w:szCs w:val="24"/>
          <w:u w:val="single"/>
        </w:rPr>
        <w:t>The Front Comor</w:t>
      </w:r>
      <w:r w:rsidR="00B52B14">
        <w:rPr>
          <w:szCs w:val="24"/>
        </w:rPr>
        <w:t>, fn. 48</w:t>
      </w:r>
      <w:r>
        <w:rPr>
          <w:szCs w:val="24"/>
        </w:rPr>
        <w:t xml:space="preserve"> above</w:t>
      </w:r>
      <w:r>
        <w:t xml:space="preserve"> at [23] - [25]. Art. 5(3) allows the defendant to be sued "</w:t>
      </w:r>
      <w:r w:rsidRPr="008765FE">
        <w:t>in matters relating to tort, delict or quasi-delict, in the courts for the place where the harmful event occurred or may occur</w:t>
      </w:r>
      <w:r>
        <w:t>", i</w:t>
      </w:r>
      <w:r w:rsidR="00B52B14">
        <w:t>.</w:t>
      </w:r>
      <w:r>
        <w:t>e</w:t>
      </w:r>
      <w:r w:rsidR="00B52B14">
        <w:t>.</w:t>
      </w:r>
      <w:r>
        <w:t xml:space="preserve"> Sicily.</w:t>
      </w:r>
    </w:p>
  </w:footnote>
  <w:footnote w:id="70">
    <w:p w14:paraId="23B698E0" w14:textId="37DCCF5B" w:rsidR="00B46D22" w:rsidRDefault="00B46D22">
      <w:pPr>
        <w:pStyle w:val="FootnoteText"/>
      </w:pPr>
      <w:r>
        <w:rPr>
          <w:rStyle w:val="FootnoteReference"/>
        </w:rPr>
        <w:footnoteRef/>
      </w:r>
      <w:r>
        <w:t>. ibid; also at [51] - [52].</w:t>
      </w:r>
    </w:p>
  </w:footnote>
  <w:footnote w:id="71">
    <w:p w14:paraId="08A0EB3D" w14:textId="5CB707FE" w:rsidR="00B46D22" w:rsidRDefault="00B46D22">
      <w:pPr>
        <w:pStyle w:val="FootnoteText"/>
      </w:pPr>
      <w:r>
        <w:rPr>
          <w:rStyle w:val="FootnoteReference"/>
        </w:rPr>
        <w:footnoteRef/>
      </w:r>
      <w:r>
        <w:t xml:space="preserve">. </w:t>
      </w:r>
      <w:r>
        <w:rPr>
          <w:szCs w:val="24"/>
        </w:rPr>
        <w:t>ibid.</w:t>
      </w:r>
      <w:r>
        <w:t xml:space="preserve"> at [47] (Flaux J).</w:t>
      </w:r>
    </w:p>
  </w:footnote>
  <w:footnote w:id="72">
    <w:p w14:paraId="58E8B3C3" w14:textId="0B25EB82" w:rsidR="00B46D22" w:rsidRDefault="00B46D22">
      <w:pPr>
        <w:pStyle w:val="FootnoteText"/>
      </w:pPr>
      <w:r>
        <w:rPr>
          <w:rStyle w:val="FootnoteReference"/>
        </w:rPr>
        <w:footnoteRef/>
      </w:r>
      <w:r>
        <w:t>. ibid.</w:t>
      </w:r>
    </w:p>
  </w:footnote>
  <w:footnote w:id="73">
    <w:p w14:paraId="16C27076" w14:textId="4954787C" w:rsidR="00B46D22" w:rsidRDefault="00B46D22">
      <w:pPr>
        <w:pStyle w:val="FootnoteText"/>
      </w:pPr>
      <w:r>
        <w:rPr>
          <w:rStyle w:val="FootnoteReference"/>
        </w:rPr>
        <w:footnoteRef/>
      </w:r>
      <w:r>
        <w:t xml:space="preserve">. </w:t>
      </w:r>
      <w:r>
        <w:rPr>
          <w:szCs w:val="24"/>
        </w:rPr>
        <w:t>ibid.</w:t>
      </w:r>
      <w:r>
        <w:t xml:space="preserve"> at [26].</w:t>
      </w:r>
    </w:p>
  </w:footnote>
  <w:footnote w:id="74">
    <w:p w14:paraId="6FF340C6" w14:textId="0D02A6FD" w:rsidR="00B46D22" w:rsidRDefault="00B46D22">
      <w:pPr>
        <w:pStyle w:val="FootnoteText"/>
      </w:pPr>
      <w:r>
        <w:rPr>
          <w:rStyle w:val="FootnoteReference"/>
        </w:rPr>
        <w:footnoteRef/>
      </w:r>
      <w:r>
        <w:t xml:space="preserve">. </w:t>
      </w:r>
      <w:r>
        <w:rPr>
          <w:szCs w:val="24"/>
        </w:rPr>
        <w:t>ibid.</w:t>
      </w:r>
      <w:r>
        <w:t xml:space="preserve"> at [53] - [54], the quote being from [54]. See also at [71]: "</w:t>
      </w:r>
      <w:r w:rsidRPr="00AD7E95">
        <w:rPr>
          <w:szCs w:val="24"/>
        </w:rPr>
        <w:t>the Advocate General has recognised that the arbitral tribunal is free to make an inconsistent award on the merits</w:t>
      </w:r>
      <w:r>
        <w:rPr>
          <w:szCs w:val="24"/>
        </w:rPr>
        <w:t>". Surely, however, a</w:t>
      </w:r>
      <w:r>
        <w:t xml:space="preserve"> damages award for pursuing proceedings elsewhere is quite dissimilar to an award on the merits.</w:t>
      </w:r>
    </w:p>
  </w:footnote>
  <w:footnote w:id="75">
    <w:p w14:paraId="0D937F2C" w14:textId="17EAB4DD" w:rsidR="00B46D22" w:rsidRDefault="00B46D22">
      <w:pPr>
        <w:pStyle w:val="FootnoteText"/>
      </w:pPr>
      <w:r>
        <w:rPr>
          <w:rStyle w:val="FootnoteReference"/>
        </w:rPr>
        <w:footnoteRef/>
      </w:r>
      <w:r>
        <w:t>. See fn. 62 above.</w:t>
      </w:r>
    </w:p>
  </w:footnote>
  <w:footnote w:id="76">
    <w:p w14:paraId="49E9D364" w14:textId="74DB3B0C" w:rsidR="00B46D22" w:rsidRDefault="00B46D22" w:rsidP="001779CB">
      <w:pPr>
        <w:pStyle w:val="FootnoteText"/>
      </w:pPr>
      <w:r>
        <w:rPr>
          <w:rStyle w:val="FootnoteReference"/>
        </w:rPr>
        <w:footnoteRef/>
      </w:r>
      <w:r>
        <w:t xml:space="preserve">. </w:t>
      </w:r>
      <w:r w:rsidRPr="003504CA">
        <w:rPr>
          <w:u w:val="single"/>
        </w:rPr>
        <w:t xml:space="preserve">UST-Kamenogorsk Hydropower Plant </w:t>
      </w:r>
      <w:r w:rsidRPr="00BD3E7E">
        <w:rPr>
          <w:u w:val="single"/>
        </w:rPr>
        <w:t>JSC</w:t>
      </w:r>
      <w:r w:rsidRPr="00BD3E7E">
        <w:t xml:space="preserve"> v </w:t>
      </w:r>
      <w:r w:rsidRPr="00BD3E7E">
        <w:rPr>
          <w:u w:val="single"/>
        </w:rPr>
        <w:t>AES</w:t>
      </w:r>
      <w:r w:rsidRPr="003504CA">
        <w:rPr>
          <w:u w:val="single"/>
        </w:rPr>
        <w:t xml:space="preserve"> UST-Kamenogorsk Hydropower Plant LLP</w:t>
      </w:r>
      <w:r>
        <w:t>, fn. 2 above</w:t>
      </w:r>
      <w:r>
        <w:rPr>
          <w:szCs w:val="24"/>
        </w:rPr>
        <w:t xml:space="preserve">, as interpreted in </w:t>
      </w:r>
      <w:r w:rsidRPr="001933E3">
        <w:rPr>
          <w:u w:val="single"/>
        </w:rPr>
        <w:t xml:space="preserve">Southport Success </w:t>
      </w:r>
      <w:r w:rsidRPr="008727D7">
        <w:rPr>
          <w:u w:val="single"/>
        </w:rPr>
        <w:t>SA</w:t>
      </w:r>
      <w:r w:rsidRPr="008727D7">
        <w:t xml:space="preserve"> v </w:t>
      </w:r>
      <w:r w:rsidRPr="0036485C">
        <w:rPr>
          <w:u w:val="single"/>
        </w:rPr>
        <w:t>T</w:t>
      </w:r>
      <w:r w:rsidRPr="008727D7">
        <w:rPr>
          <w:u w:val="single"/>
        </w:rPr>
        <w:t>singshan</w:t>
      </w:r>
      <w:r w:rsidRPr="001933E3">
        <w:rPr>
          <w:u w:val="single"/>
        </w:rPr>
        <w:t xml:space="preserve"> Holding Group Co Ltd (The Anna Bo)</w:t>
      </w:r>
      <w:r>
        <w:t xml:space="preserve">, fn. 7 above </w:t>
      </w:r>
      <w:r>
        <w:rPr>
          <w:szCs w:val="24"/>
        </w:rPr>
        <w:t xml:space="preserve">at [24] - [25] </w:t>
      </w:r>
      <w:r>
        <w:t>(Phillips J).</w:t>
      </w:r>
    </w:p>
  </w:footnote>
  <w:footnote w:id="77">
    <w:p w14:paraId="714E1C47" w14:textId="7201B97B" w:rsidR="00B46D22" w:rsidRDefault="00B46D22">
      <w:pPr>
        <w:pStyle w:val="FootnoteText"/>
      </w:pPr>
      <w:r>
        <w:rPr>
          <w:rStyle w:val="FootnoteReference"/>
        </w:rPr>
        <w:footnoteRef/>
      </w:r>
      <w:r>
        <w:t>. See fn. 66 above.</w:t>
      </w:r>
    </w:p>
  </w:footnote>
  <w:footnote w:id="78">
    <w:p w14:paraId="3BF788EA" w14:textId="2D9E2997" w:rsidR="00B46D22" w:rsidRDefault="00B46D22" w:rsidP="00B27E1A">
      <w:r>
        <w:rPr>
          <w:rStyle w:val="FootnoteReference"/>
        </w:rPr>
        <w:footnoteRef/>
      </w:r>
      <w:r>
        <w:t xml:space="preserve">. </w:t>
      </w:r>
      <w:r w:rsidRPr="0006137F">
        <w:rPr>
          <w:u w:val="single"/>
        </w:rPr>
        <w:t>Gazprom Oao</w:t>
      </w:r>
      <w:r>
        <w:t xml:space="preserve"> (</w:t>
      </w:r>
      <w:r w:rsidRPr="002B5B51">
        <w:t>Case C-536/13</w:t>
      </w:r>
      <w:r>
        <w:t>), fn. 52 above CJEU.</w:t>
      </w:r>
    </w:p>
  </w:footnote>
  <w:footnote w:id="79">
    <w:p w14:paraId="6636206A" w14:textId="60D3CE20" w:rsidR="00B46D22" w:rsidRDefault="00B46D22" w:rsidP="00B27E1A">
      <w:pPr>
        <w:pStyle w:val="FootnoteText"/>
      </w:pPr>
      <w:r>
        <w:rPr>
          <w:rStyle w:val="FootnoteReference"/>
        </w:rPr>
        <w:footnoteRef/>
      </w:r>
      <w:r>
        <w:t xml:space="preserve">. ibid. Briggs distinguishes between the court exercising an </w:t>
      </w:r>
      <w:r w:rsidRPr="009C69F0">
        <w:t xml:space="preserve">auxiliary and an original jurisdiction, </w:t>
      </w:r>
      <w:r w:rsidRPr="009D242E">
        <w:rPr>
          <w:u w:val="single"/>
        </w:rPr>
        <w:t>The Front Comor</w:t>
      </w:r>
      <w:r w:rsidRPr="009C69F0">
        <w:t xml:space="preserve"> ECJ covering only the latter</w:t>
      </w:r>
      <w:r>
        <w:t>: A. Briggs, "Arbitration and the Brussels Regulation a</w:t>
      </w:r>
      <w:r w:rsidRPr="009C69F0">
        <w:t>gain"</w:t>
      </w:r>
      <w:r>
        <w:t xml:space="preserve"> [2015] L.M.C.L.Q. 285</w:t>
      </w:r>
      <w:r w:rsidRPr="009C69F0">
        <w:t>.</w:t>
      </w:r>
    </w:p>
  </w:footnote>
  <w:footnote w:id="80">
    <w:p w14:paraId="45865D65" w14:textId="7A6D2EA9" w:rsidR="00B46D22" w:rsidRPr="00707067" w:rsidRDefault="00B46D22" w:rsidP="00B27E1A">
      <w:pPr>
        <w:pStyle w:val="FootnoteText"/>
      </w:pPr>
      <w:r>
        <w:rPr>
          <w:rStyle w:val="FootnoteReference"/>
        </w:rPr>
        <w:footnoteRef/>
      </w:r>
      <w:r>
        <w:t xml:space="preserve">. Briggs, ibid., in justifying his distinction </w:t>
      </w:r>
      <w:r w:rsidRPr="00707067">
        <w:t>between a court exercising an auxiliary and an original jurisdiction</w:t>
      </w:r>
      <w:r>
        <w:t xml:space="preserve">, observes at 287 that </w:t>
      </w:r>
      <w:r w:rsidRPr="00707067">
        <w:t>"a judgment given in terms of an award claims to have no effect outside the territorial jurisdiction of the court". But this is also true of an anti-suit injunction</w:t>
      </w:r>
      <w:r>
        <w:t>, which is a personal restraint on a party within the jurisdiction. I suggest that Briggs' arguments are unconvincing.</w:t>
      </w:r>
    </w:p>
  </w:footnote>
  <w:footnote w:id="81">
    <w:p w14:paraId="42D7AADC" w14:textId="0A188CCF" w:rsidR="00B46D22" w:rsidRDefault="00B46D22">
      <w:pPr>
        <w:pStyle w:val="FootnoteText"/>
      </w:pPr>
      <w:r>
        <w:rPr>
          <w:rStyle w:val="FootnoteReference"/>
        </w:rPr>
        <w:footnoteRef/>
      </w:r>
      <w:r>
        <w:t xml:space="preserve">. See </w:t>
      </w:r>
      <w:r w:rsidRPr="006C5BD8">
        <w:t xml:space="preserve">Departmental Advisory Committee on Arbitration Law, </w:t>
      </w:r>
      <w:r w:rsidR="00B52B14">
        <w:t>fn. 1</w:t>
      </w:r>
      <w:r>
        <w:t xml:space="preserve"> above at [234].</w:t>
      </w:r>
    </w:p>
  </w:footnote>
  <w:footnote w:id="82">
    <w:p w14:paraId="4A998736" w14:textId="49E9E5C1" w:rsidR="00B46D22" w:rsidRDefault="00B46D22">
      <w:pPr>
        <w:pStyle w:val="FootnoteText"/>
      </w:pPr>
      <w:r>
        <w:rPr>
          <w:rStyle w:val="FootnoteReference"/>
        </w:rPr>
        <w:footnoteRef/>
      </w:r>
      <w:r>
        <w:t>. See gener</w:t>
      </w:r>
      <w:r w:rsidR="00B52B14">
        <w:t>ally on s. 48, R. Merkin, fn, 1</w:t>
      </w:r>
      <w:r>
        <w:t xml:space="preserve"> above at </w:t>
      </w:r>
      <w:r>
        <w:rPr>
          <w:color w:val="000000"/>
        </w:rPr>
        <w:t>[18.55]; [18.71] - [18.72].</w:t>
      </w:r>
    </w:p>
  </w:footnote>
  <w:footnote w:id="83">
    <w:p w14:paraId="5188756E" w14:textId="23542407" w:rsidR="00B46D22" w:rsidRDefault="00B46D22">
      <w:pPr>
        <w:pStyle w:val="FootnoteText"/>
      </w:pPr>
      <w:r>
        <w:rPr>
          <w:rStyle w:val="FootnoteReference"/>
        </w:rPr>
        <w:footnoteRef/>
      </w:r>
      <w:r>
        <w:t>. See fn. 7 above.</w:t>
      </w:r>
    </w:p>
  </w:footnote>
  <w:footnote w:id="84">
    <w:p w14:paraId="2F92583F" w14:textId="0EE22244" w:rsidR="00B46D22" w:rsidRDefault="00B46D22">
      <w:pPr>
        <w:pStyle w:val="FootnoteText"/>
      </w:pPr>
      <w:r>
        <w:rPr>
          <w:rStyle w:val="FootnoteReference"/>
        </w:rPr>
        <w:footnoteRef/>
      </w:r>
      <w:r w:rsidR="009A4E22">
        <w:t>. See fn. 25</w:t>
      </w:r>
      <w:r>
        <w:t xml:space="preserve"> above, and text thereto. In </w:t>
      </w:r>
      <w:r w:rsidRPr="0062480A">
        <w:rPr>
          <w:u w:val="single"/>
        </w:rPr>
        <w:t>The Alexandros T</w:t>
      </w:r>
      <w:r>
        <w:t xml:space="preserve">, Cooke J also made observations on the relationship between s. 44 of the Arbitration Act 1996 and s. 37 of the Supreme Court Act 1981: </w:t>
      </w:r>
      <w:r>
        <w:rPr>
          <w:color w:val="auto"/>
        </w:rPr>
        <w:t xml:space="preserve">[2008] 1 Lloyd’s Rep. 230 </w:t>
      </w:r>
      <w:r>
        <w:t>at [16] - [37].</w:t>
      </w:r>
    </w:p>
  </w:footnote>
  <w:footnote w:id="85">
    <w:p w14:paraId="09E2EF22" w14:textId="01F7BCE5" w:rsidR="00B46D22" w:rsidRDefault="00B46D22" w:rsidP="00FD6E23">
      <w:pPr>
        <w:pStyle w:val="FootnoteText"/>
      </w:pPr>
      <w:r>
        <w:rPr>
          <w:rStyle w:val="FootnoteReference"/>
        </w:rPr>
        <w:footnoteRef/>
      </w:r>
      <w:r>
        <w:t xml:space="preserve">. Given effect by </w:t>
      </w:r>
      <w:r w:rsidRPr="00CF6490">
        <w:t>Council Regulation (EC) No 44/2001</w:t>
      </w:r>
      <w:r>
        <w:t>, fn. 16 above.</w:t>
      </w:r>
    </w:p>
  </w:footnote>
  <w:footnote w:id="86">
    <w:p w14:paraId="56848103" w14:textId="72094FCD" w:rsidR="00B46D22" w:rsidRDefault="00B46D22">
      <w:pPr>
        <w:pStyle w:val="FootnoteText"/>
      </w:pPr>
      <w:r>
        <w:rPr>
          <w:rStyle w:val="FootnoteReference"/>
        </w:rPr>
        <w:footnoteRef/>
      </w:r>
      <w:r>
        <w:t xml:space="preserve">. </w:t>
      </w:r>
      <w:r w:rsidRPr="006F0224">
        <w:rPr>
          <w:u w:val="single"/>
        </w:rPr>
        <w:t xml:space="preserve">Starlight Shipping </w:t>
      </w:r>
      <w:r w:rsidRPr="00AC7C1A">
        <w:rPr>
          <w:u w:val="single"/>
        </w:rPr>
        <w:t>Co</w:t>
      </w:r>
      <w:r w:rsidRPr="00AC7C1A">
        <w:t xml:space="preserve"> v </w:t>
      </w:r>
      <w:r w:rsidRPr="00AC7C1A">
        <w:rPr>
          <w:u w:val="single"/>
        </w:rPr>
        <w:t>Allianz</w:t>
      </w:r>
      <w:r w:rsidRPr="006F0224">
        <w:rPr>
          <w:u w:val="single"/>
        </w:rPr>
        <w:t xml:space="preserve"> Marine &amp; Aviation Versicherungs</w:t>
      </w:r>
      <w:r>
        <w:rPr>
          <w:u w:val="single"/>
        </w:rPr>
        <w:t xml:space="preserve"> AG</w:t>
      </w:r>
      <w:r w:rsidRPr="006F0224">
        <w:rPr>
          <w:u w:val="single"/>
        </w:rPr>
        <w:t xml:space="preserve"> </w:t>
      </w:r>
      <w:r>
        <w:rPr>
          <w:u w:val="single"/>
        </w:rPr>
        <w:t xml:space="preserve">(The </w:t>
      </w:r>
      <w:r w:rsidRPr="005F18AA">
        <w:rPr>
          <w:u w:val="single"/>
        </w:rPr>
        <w:t>Alexandros T</w:t>
      </w:r>
      <w:r>
        <w:rPr>
          <w:u w:val="single"/>
        </w:rPr>
        <w:t>)</w:t>
      </w:r>
      <w:r w:rsidRPr="00CC0FA0">
        <w:t xml:space="preserve"> </w:t>
      </w:r>
      <w:r w:rsidRPr="00174F4C">
        <w:t xml:space="preserve">[2013] UKSC 70; </w:t>
      </w:r>
      <w:r w:rsidRPr="00CF6490">
        <w:t>[2014] 1 Lloyd's Rep</w:t>
      </w:r>
      <w:r>
        <w:t>.</w:t>
      </w:r>
      <w:r w:rsidRPr="00CF6490">
        <w:t xml:space="preserve"> </w:t>
      </w:r>
      <w:r w:rsidRPr="00550E20">
        <w:t>223; [2014] 1 All E.R. 590 SC</w:t>
      </w:r>
      <w:r>
        <w:t xml:space="preserve">, holding that neither Arts. 27 </w:t>
      </w:r>
      <w:r w:rsidR="009A4E22">
        <w:t>n</w:t>
      </w:r>
      <w:r>
        <w:t>or 28 justified a stay</w:t>
      </w:r>
      <w:r w:rsidRPr="00550E20">
        <w:t>.</w:t>
      </w:r>
    </w:p>
  </w:footnote>
  <w:footnote w:id="87">
    <w:p w14:paraId="556C024F" w14:textId="1F768C3F" w:rsidR="00B46D22" w:rsidRPr="00CF7EE9" w:rsidRDefault="00B46D22" w:rsidP="003665ED">
      <w:r>
        <w:rPr>
          <w:rStyle w:val="FootnoteReference"/>
        </w:rPr>
        <w:footnoteRef/>
      </w:r>
      <w:r>
        <w:t xml:space="preserve">. </w:t>
      </w:r>
      <w:r w:rsidRPr="006F0224">
        <w:rPr>
          <w:u w:val="single"/>
        </w:rPr>
        <w:t xml:space="preserve">Starlight Shipping </w:t>
      </w:r>
      <w:r w:rsidRPr="00AC7C1A">
        <w:rPr>
          <w:u w:val="single"/>
        </w:rPr>
        <w:t>Co</w:t>
      </w:r>
      <w:r w:rsidRPr="00AC7C1A">
        <w:t xml:space="preserve"> v </w:t>
      </w:r>
      <w:r w:rsidRPr="00AC7C1A">
        <w:rPr>
          <w:u w:val="single"/>
        </w:rPr>
        <w:t>Allianz</w:t>
      </w:r>
      <w:r w:rsidRPr="006F0224">
        <w:rPr>
          <w:u w:val="single"/>
        </w:rPr>
        <w:t xml:space="preserve"> Marine &amp; Aviation Versicherungs</w:t>
      </w:r>
      <w:r>
        <w:rPr>
          <w:u w:val="single"/>
        </w:rPr>
        <w:t xml:space="preserve"> AG</w:t>
      </w:r>
      <w:r w:rsidRPr="006F0224">
        <w:rPr>
          <w:u w:val="single"/>
        </w:rPr>
        <w:t xml:space="preserve"> </w:t>
      </w:r>
      <w:r>
        <w:rPr>
          <w:u w:val="single"/>
        </w:rPr>
        <w:t xml:space="preserve">(The </w:t>
      </w:r>
      <w:r w:rsidRPr="005F18AA">
        <w:rPr>
          <w:u w:val="single"/>
        </w:rPr>
        <w:t>Alexandros T</w:t>
      </w:r>
      <w:r>
        <w:rPr>
          <w:u w:val="single"/>
        </w:rPr>
        <w:t>)</w:t>
      </w:r>
      <w:r>
        <w:t xml:space="preserve"> </w:t>
      </w:r>
      <w:r w:rsidRPr="00CF6490">
        <w:t>[2014] EWCA Civ 1010</w:t>
      </w:r>
      <w:r>
        <w:t>; [2014] 2 Lloyd's Rep. 544 CA</w:t>
      </w:r>
      <w:r w:rsidRPr="00174F4C">
        <w:t xml:space="preserve"> </w:t>
      </w:r>
      <w:r w:rsidRPr="00CF7EE9">
        <w:t xml:space="preserve">(Civ Div), on appeal from </w:t>
      </w:r>
      <w:r>
        <w:t xml:space="preserve">[2011] EWHC 3381 (Comm); </w:t>
      </w:r>
      <w:r w:rsidRPr="00CF7EE9">
        <w:t>[2012] 1 Lloyd's Rep. 162 QBD (Burton J).</w:t>
      </w:r>
    </w:p>
  </w:footnote>
  <w:footnote w:id="88">
    <w:p w14:paraId="0D132688" w14:textId="0787DA50" w:rsidR="00B46D22" w:rsidRDefault="00B46D22">
      <w:pPr>
        <w:pStyle w:val="FootnoteText"/>
      </w:pPr>
      <w:r>
        <w:rPr>
          <w:rStyle w:val="FootnoteReference"/>
        </w:rPr>
        <w:footnoteRef/>
      </w:r>
      <w:r>
        <w:t>. See fn. 5 above.</w:t>
      </w:r>
    </w:p>
  </w:footnote>
  <w:footnote w:id="89">
    <w:p w14:paraId="62014DB8" w14:textId="62E1F155" w:rsidR="00B46D22" w:rsidRDefault="00B46D22">
      <w:pPr>
        <w:pStyle w:val="FootnoteText"/>
      </w:pPr>
      <w:r>
        <w:rPr>
          <w:rStyle w:val="FootnoteReference"/>
        </w:rPr>
        <w:footnoteRef/>
      </w:r>
      <w:r>
        <w:t>. There was a different third party issue consi</w:t>
      </w:r>
      <w:r w:rsidR="009A4E22">
        <w:t>dered subsequently: see fnn. 112 - 152</w:t>
      </w:r>
      <w:r>
        <w:t xml:space="preserve"> below, and associated text.</w:t>
      </w:r>
    </w:p>
  </w:footnote>
  <w:footnote w:id="90">
    <w:p w14:paraId="523FC59B" w14:textId="2AD5694A" w:rsidR="00B46D22" w:rsidRDefault="00B46D22">
      <w:pPr>
        <w:pStyle w:val="FootnoteText"/>
      </w:pPr>
      <w:r>
        <w:rPr>
          <w:rStyle w:val="FootnoteReference"/>
        </w:rPr>
        <w:footnoteRef/>
      </w:r>
      <w:r w:rsidR="009A4E22">
        <w:t>. See fn. 74</w:t>
      </w:r>
      <w:r>
        <w:t xml:space="preserve"> above, and associated text.</w:t>
      </w:r>
    </w:p>
  </w:footnote>
  <w:footnote w:id="91">
    <w:p w14:paraId="779920B1" w14:textId="77777777" w:rsidR="00B46D22" w:rsidRDefault="00B46D22" w:rsidP="00C44D0D">
      <w:pPr>
        <w:pStyle w:val="FootnoteText"/>
      </w:pPr>
      <w:r>
        <w:rPr>
          <w:rStyle w:val="FootnoteReference"/>
        </w:rPr>
        <w:footnoteRef/>
      </w:r>
      <w:r>
        <w:t>. [2014] 2 Lloyd's Rep. 544 CA at [15].</w:t>
      </w:r>
    </w:p>
  </w:footnote>
  <w:footnote w:id="92">
    <w:p w14:paraId="5F1D615B" w14:textId="3ADB5BC4" w:rsidR="00B46D22" w:rsidRDefault="00B46D22">
      <w:pPr>
        <w:pStyle w:val="FootnoteText"/>
      </w:pPr>
      <w:r>
        <w:rPr>
          <w:rStyle w:val="FootnoteReference"/>
        </w:rPr>
        <w:footnoteRef/>
      </w:r>
      <w:r w:rsidR="003E5B8D">
        <w:t>. See fn, 86</w:t>
      </w:r>
      <w:r>
        <w:t xml:space="preserve"> above: </w:t>
      </w:r>
      <w:r w:rsidRPr="00CC0FA0">
        <w:t>the causes of action</w:t>
      </w:r>
      <w:r>
        <w:t xml:space="preserve"> were not the same under Art.</w:t>
      </w:r>
      <w:r w:rsidRPr="00CC0FA0">
        <w:t xml:space="preserve"> 27, </w:t>
      </w:r>
      <w:r>
        <w:t>but in respect of related actions under Art. 28, the English court was first seised.</w:t>
      </w:r>
    </w:p>
  </w:footnote>
  <w:footnote w:id="93">
    <w:p w14:paraId="3ED4405D" w14:textId="77777777" w:rsidR="00B46D22" w:rsidRDefault="00B46D22" w:rsidP="001C1A39">
      <w:pPr>
        <w:pStyle w:val="FootnoteText"/>
      </w:pPr>
      <w:r>
        <w:rPr>
          <w:rStyle w:val="FootnoteReference"/>
        </w:rPr>
        <w:footnoteRef/>
      </w:r>
      <w:r>
        <w:t>. [2014] 2 Lloyd's Rep. 544 CA at [15].</w:t>
      </w:r>
    </w:p>
  </w:footnote>
  <w:footnote w:id="94">
    <w:p w14:paraId="3C2F5DCA" w14:textId="529B58F1" w:rsidR="00B46D22" w:rsidRDefault="00B46D22">
      <w:pPr>
        <w:pStyle w:val="FootnoteText"/>
      </w:pPr>
      <w:r>
        <w:rPr>
          <w:rStyle w:val="FootnoteReference"/>
        </w:rPr>
        <w:footnoteRef/>
      </w:r>
      <w:r>
        <w:t xml:space="preserve">. </w:t>
      </w:r>
      <w:r w:rsidRPr="00CF6490">
        <w:t>[2014] 1 Lloyd's Rep</w:t>
      </w:r>
      <w:r>
        <w:t>.</w:t>
      </w:r>
      <w:r w:rsidRPr="00CF6490">
        <w:t xml:space="preserve"> 223</w:t>
      </w:r>
      <w:r>
        <w:t xml:space="preserve"> SC at [132] (Lord Neuberger).</w:t>
      </w:r>
    </w:p>
  </w:footnote>
  <w:footnote w:id="95">
    <w:p w14:paraId="080E7C0F" w14:textId="3B9BEFA3" w:rsidR="00B46D22" w:rsidRDefault="00B46D22">
      <w:pPr>
        <w:pStyle w:val="FootnoteText"/>
      </w:pPr>
      <w:r>
        <w:rPr>
          <w:rStyle w:val="FootnoteReference"/>
        </w:rPr>
        <w:footnoteRef/>
      </w:r>
      <w:r w:rsidR="009A4E22">
        <w:t>. See fnn. 51 - 55</w:t>
      </w:r>
      <w:r>
        <w:t xml:space="preserve"> above, and associated text.</w:t>
      </w:r>
    </w:p>
  </w:footnote>
  <w:footnote w:id="96">
    <w:p w14:paraId="01E58225" w14:textId="6021CB03" w:rsidR="00B46D22" w:rsidRDefault="00B46D22">
      <w:pPr>
        <w:pStyle w:val="FootnoteText"/>
      </w:pPr>
      <w:r>
        <w:rPr>
          <w:rStyle w:val="FootnoteReference"/>
        </w:rPr>
        <w:footnoteRef/>
      </w:r>
      <w:r w:rsidR="009A4E22">
        <w:t>. See fnn. 81 - 82</w:t>
      </w:r>
      <w:r>
        <w:t xml:space="preserve"> above, and associated text.</w:t>
      </w:r>
    </w:p>
  </w:footnote>
  <w:footnote w:id="97">
    <w:p w14:paraId="6EAAA19B" w14:textId="7CCD0FF6" w:rsidR="00B46D22" w:rsidRDefault="00B46D22" w:rsidP="00B17BB5">
      <w:pPr>
        <w:pStyle w:val="FootnoteText"/>
      </w:pPr>
      <w:r>
        <w:rPr>
          <w:rStyle w:val="FootnoteReference"/>
        </w:rPr>
        <w:footnoteRef/>
      </w:r>
      <w:r>
        <w:t xml:space="preserve">. </w:t>
      </w:r>
      <w:r w:rsidR="009A4E22">
        <w:t>ibid</w:t>
      </w:r>
      <w:r>
        <w:t>.</w:t>
      </w:r>
    </w:p>
  </w:footnote>
  <w:footnote w:id="98">
    <w:p w14:paraId="78251A34" w14:textId="5D1E8CF4" w:rsidR="00B46D22" w:rsidRDefault="00B46D22" w:rsidP="00F4791B">
      <w:pPr>
        <w:pStyle w:val="FootnoteText"/>
      </w:pPr>
      <w:r>
        <w:rPr>
          <w:rStyle w:val="FootnoteReference"/>
        </w:rPr>
        <w:footnoteRef/>
      </w:r>
      <w:r>
        <w:t xml:space="preserve">. See fn. 16 above. </w:t>
      </w:r>
    </w:p>
  </w:footnote>
  <w:footnote w:id="99">
    <w:p w14:paraId="12C88B09" w14:textId="439C047C" w:rsidR="00B46D22" w:rsidRDefault="00B46D22">
      <w:pPr>
        <w:pStyle w:val="FootnoteText"/>
      </w:pPr>
      <w:r>
        <w:rPr>
          <w:rStyle w:val="FootnoteReference"/>
        </w:rPr>
        <w:footnoteRef/>
      </w:r>
      <w:r>
        <w:t>. One of the issues, on which the position of Chinese and English courts differed, was over whether the jurisdiction clause was truly exclusive. This was the main substantive issue in the CA: [2015] 2 Lloyd's Rep. 1, esp. at [43] - [78] (Christopher Clarke LJ).</w:t>
      </w:r>
    </w:p>
  </w:footnote>
  <w:footnote w:id="100">
    <w:p w14:paraId="58687EDD" w14:textId="6026E276" w:rsidR="00B46D22" w:rsidRDefault="00B46D22">
      <w:pPr>
        <w:pStyle w:val="FootnoteText"/>
      </w:pPr>
      <w:r>
        <w:rPr>
          <w:rStyle w:val="FootnoteReference"/>
        </w:rPr>
        <w:footnoteRef/>
      </w:r>
      <w:r>
        <w:t xml:space="preserve">. </w:t>
      </w:r>
      <w:r w:rsidRPr="159CCDB9">
        <w:t>[2015] 1 Lloyd's Rep</w:t>
      </w:r>
      <w:r>
        <w:t>.</w:t>
      </w:r>
      <w:r w:rsidRPr="159CCDB9">
        <w:t xml:space="preserve"> 301</w:t>
      </w:r>
      <w:r>
        <w:t xml:space="preserve"> QBD at [38].</w:t>
      </w:r>
    </w:p>
  </w:footnote>
  <w:footnote w:id="101">
    <w:p w14:paraId="51E75EBD" w14:textId="5CD669C1" w:rsidR="00B46D22" w:rsidRDefault="00B46D22">
      <w:pPr>
        <w:pStyle w:val="FootnoteText"/>
      </w:pPr>
      <w:r>
        <w:rPr>
          <w:rStyle w:val="FootnoteReference"/>
        </w:rPr>
        <w:footnoteRef/>
      </w:r>
      <w:r>
        <w:t>. See fn. 5 above.</w:t>
      </w:r>
    </w:p>
  </w:footnote>
  <w:footnote w:id="102">
    <w:p w14:paraId="6A9610FF" w14:textId="59591564" w:rsidR="00B46D22" w:rsidRDefault="00B46D22">
      <w:pPr>
        <w:pStyle w:val="FootnoteText"/>
      </w:pPr>
      <w:r>
        <w:rPr>
          <w:rStyle w:val="FootnoteReference"/>
        </w:rPr>
        <w:footnoteRef/>
      </w:r>
      <w:r>
        <w:t xml:space="preserve">. Indeed, he treated Lord Mance's comments as if they concerned exclusive jurisdiction: </w:t>
      </w:r>
      <w:r w:rsidRPr="159CCDB9">
        <w:t>[2015] 1 Lloyd's Rep</w:t>
      </w:r>
      <w:r>
        <w:t>.</w:t>
      </w:r>
      <w:r w:rsidRPr="159CCDB9">
        <w:t xml:space="preserve"> 301</w:t>
      </w:r>
      <w:r>
        <w:t xml:space="preserve"> at [38].</w:t>
      </w:r>
    </w:p>
  </w:footnote>
  <w:footnote w:id="103">
    <w:p w14:paraId="20983EF9" w14:textId="0923CBBB" w:rsidR="00B46D22" w:rsidRDefault="00B46D22" w:rsidP="007D2425">
      <w:pPr>
        <w:pStyle w:val="FootnoteText"/>
      </w:pPr>
      <w:r>
        <w:rPr>
          <w:rStyle w:val="FootnoteReference"/>
        </w:rPr>
        <w:footnoteRef/>
      </w:r>
      <w:r>
        <w:t>. ibid. at [37].</w:t>
      </w:r>
    </w:p>
  </w:footnote>
  <w:footnote w:id="104">
    <w:p w14:paraId="771EDEE7" w14:textId="7717B922" w:rsidR="00B46D22" w:rsidRDefault="00B46D22">
      <w:pPr>
        <w:pStyle w:val="FootnoteText"/>
      </w:pPr>
      <w:r>
        <w:rPr>
          <w:rStyle w:val="FootnoteReference"/>
        </w:rPr>
        <w:footnoteRef/>
      </w:r>
      <w:r>
        <w:t>. ibid. at [38].</w:t>
      </w:r>
    </w:p>
  </w:footnote>
  <w:footnote w:id="105">
    <w:p w14:paraId="35D4B323" w14:textId="507A3CEF" w:rsidR="00B46D22" w:rsidRDefault="00B46D22">
      <w:pPr>
        <w:pStyle w:val="FootnoteText"/>
      </w:pPr>
      <w:r>
        <w:rPr>
          <w:rStyle w:val="FootnoteReference"/>
        </w:rPr>
        <w:footnoteRef/>
      </w:r>
      <w:r>
        <w:t xml:space="preserve">. </w:t>
      </w:r>
      <w:r w:rsidRPr="00AC5501">
        <w:t>[2014] 2 Lloyd’s Rep</w:t>
      </w:r>
      <w:r>
        <w:t>.</w:t>
      </w:r>
      <w:r w:rsidRPr="00AC5501">
        <w:t xml:space="preserve"> 544 </w:t>
      </w:r>
      <w:r>
        <w:t xml:space="preserve">CA </w:t>
      </w:r>
      <w:r w:rsidRPr="00AC5501">
        <w:t xml:space="preserve">at </w:t>
      </w:r>
      <w:r>
        <w:t>[</w:t>
      </w:r>
      <w:r w:rsidRPr="00AC5501">
        <w:t>20</w:t>
      </w:r>
      <w:r>
        <w:t xml:space="preserve">], where, however, the claims in England </w:t>
      </w:r>
      <w:r w:rsidRPr="008076A6">
        <w:rPr>
          <w:u w:val="single"/>
        </w:rPr>
        <w:t>had</w:t>
      </w:r>
      <w:r>
        <w:t xml:space="preserve"> failed (because permission had been refused to advance them), so the issue did not arise for decision.</w:t>
      </w:r>
    </w:p>
  </w:footnote>
  <w:footnote w:id="106">
    <w:p w14:paraId="24ECBBF1" w14:textId="4DA22FF4" w:rsidR="00B46D22" w:rsidRDefault="00B46D22">
      <w:pPr>
        <w:pStyle w:val="FootnoteText"/>
      </w:pPr>
      <w:r>
        <w:rPr>
          <w:rStyle w:val="FootnoteReference"/>
        </w:rPr>
        <w:footnoteRef/>
      </w:r>
      <w:r>
        <w:t xml:space="preserve">. </w:t>
      </w:r>
      <w:r w:rsidRPr="159CCDB9">
        <w:t>[2015] 1 Lloyd's Rep</w:t>
      </w:r>
      <w:r>
        <w:t>.</w:t>
      </w:r>
      <w:r w:rsidRPr="159CCDB9">
        <w:t xml:space="preserve"> 301</w:t>
      </w:r>
      <w:r>
        <w:t xml:space="preserve"> at [39].</w:t>
      </w:r>
    </w:p>
  </w:footnote>
  <w:footnote w:id="107">
    <w:p w14:paraId="1F1A32F4" w14:textId="54C470C5" w:rsidR="00B46D22" w:rsidRDefault="00B46D22">
      <w:pPr>
        <w:pStyle w:val="FootnoteText"/>
      </w:pPr>
      <w:r>
        <w:rPr>
          <w:rStyle w:val="FootnoteReference"/>
        </w:rPr>
        <w:footnoteRef/>
      </w:r>
      <w:r>
        <w:t xml:space="preserve">. The injunction being refused on the basis of the criteria in </w:t>
      </w:r>
      <w:r w:rsidRPr="004745B9">
        <w:rPr>
          <w:u w:val="single"/>
        </w:rPr>
        <w:t>Shelfer</w:t>
      </w:r>
      <w:r w:rsidRPr="004745B9">
        <w:t xml:space="preserve"> v </w:t>
      </w:r>
      <w:r w:rsidRPr="004745B9">
        <w:rPr>
          <w:u w:val="single"/>
        </w:rPr>
        <w:t>City</w:t>
      </w:r>
      <w:r w:rsidRPr="00280008">
        <w:rPr>
          <w:rFonts w:eastAsia="Arial"/>
          <w:u w:val="single"/>
        </w:rPr>
        <w:t xml:space="preserve"> of London Electric Lighting Co</w:t>
      </w:r>
      <w:r w:rsidRPr="00280008">
        <w:rPr>
          <w:rFonts w:eastAsia="Arial"/>
        </w:rPr>
        <w:t xml:space="preserve"> [1895] 1 Ch. 287</w:t>
      </w:r>
      <w:r>
        <w:rPr>
          <w:rFonts w:eastAsia="Arial"/>
        </w:rPr>
        <w:t xml:space="preserve"> </w:t>
      </w:r>
      <w:r w:rsidRPr="004E1A3C">
        <w:t>CA (Civ Div) at</w:t>
      </w:r>
      <w:r w:rsidRPr="004745B9">
        <w:rPr>
          <w:rFonts w:eastAsia="Arial"/>
          <w:color w:val="FF0000"/>
        </w:rPr>
        <w:t xml:space="preserve"> </w:t>
      </w:r>
      <w:r w:rsidRPr="00280008">
        <w:rPr>
          <w:rFonts w:eastAsia="Arial"/>
        </w:rPr>
        <w:t>322– 323</w:t>
      </w:r>
      <w:r>
        <w:rPr>
          <w:rFonts w:eastAsia="Arial"/>
        </w:rPr>
        <w:t>.</w:t>
      </w:r>
    </w:p>
  </w:footnote>
  <w:footnote w:id="108">
    <w:p w14:paraId="4E3A383E" w14:textId="64F66150" w:rsidR="00B46D22" w:rsidRDefault="00B46D22" w:rsidP="004745B9">
      <w:pPr>
        <w:pStyle w:val="FootnoteText"/>
      </w:pPr>
      <w:r>
        <w:rPr>
          <w:rStyle w:val="FootnoteReference"/>
        </w:rPr>
        <w:footnoteRef/>
      </w:r>
      <w:r>
        <w:t xml:space="preserve">. </w:t>
      </w:r>
      <w:r w:rsidRPr="0035368C">
        <w:rPr>
          <w:szCs w:val="24"/>
          <w:lang w:eastAsia="en-GB"/>
        </w:rPr>
        <w:t>[2016] EWCA Civ 180</w:t>
      </w:r>
      <w:r>
        <w:rPr>
          <w:szCs w:val="24"/>
          <w:lang w:eastAsia="en-GB"/>
        </w:rPr>
        <w:t xml:space="preserve">; </w:t>
      </w:r>
      <w:r w:rsidRPr="0035368C">
        <w:rPr>
          <w:szCs w:val="24"/>
          <w:lang w:eastAsia="en-GB"/>
        </w:rPr>
        <w:t>[2017] Q.B. 1</w:t>
      </w:r>
      <w:r>
        <w:rPr>
          <w:szCs w:val="24"/>
          <w:lang w:eastAsia="en-GB"/>
        </w:rPr>
        <w:t xml:space="preserve"> CA (Civ Div) at [80], Christopher Clarke LJ citing </w:t>
      </w:r>
      <w:r w:rsidRPr="006D0F9A">
        <w:rPr>
          <w:u w:val="single"/>
        </w:rPr>
        <w:t>WWF — World Wide Fund for Nature v World Wrestling Federation Entertainment Inc</w:t>
      </w:r>
      <w:r w:rsidRPr="006D0F9A">
        <w:t xml:space="preserve"> [2008] 1 W</w:t>
      </w:r>
      <w:r>
        <w:t>.</w:t>
      </w:r>
      <w:r w:rsidRPr="006D0F9A">
        <w:t>L</w:t>
      </w:r>
      <w:r>
        <w:t>.</w:t>
      </w:r>
      <w:r w:rsidRPr="006D0F9A">
        <w:t>R</w:t>
      </w:r>
      <w:r>
        <w:t>.</w:t>
      </w:r>
      <w:r w:rsidRPr="006D0F9A">
        <w:t xml:space="preserve"> 445</w:t>
      </w:r>
      <w:r>
        <w:t xml:space="preserve"> </w:t>
      </w:r>
      <w:r>
        <w:rPr>
          <w:szCs w:val="24"/>
          <w:lang w:eastAsia="en-GB"/>
        </w:rPr>
        <w:t>CA (Civ Div) at [59] (Chadwick LJ).</w:t>
      </w:r>
    </w:p>
  </w:footnote>
  <w:footnote w:id="109">
    <w:p w14:paraId="3764AC51" w14:textId="7A33A5FA" w:rsidR="00B46D22" w:rsidRDefault="00B46D22">
      <w:pPr>
        <w:pStyle w:val="FootnoteText"/>
      </w:pPr>
      <w:r>
        <w:rPr>
          <w:rStyle w:val="FootnoteReference"/>
        </w:rPr>
        <w:footnoteRef/>
      </w:r>
      <w:r>
        <w:t xml:space="preserve">. In </w:t>
      </w:r>
      <w:r w:rsidRPr="00553DDB">
        <w:rPr>
          <w:u w:val="single"/>
        </w:rPr>
        <w:t>One Step</w:t>
      </w:r>
      <w:r>
        <w:t xml:space="preserve">, Longmore LJ thought relevant that the breach there was deliberate: </w:t>
      </w:r>
      <w:r w:rsidRPr="0035368C">
        <w:rPr>
          <w:szCs w:val="24"/>
          <w:lang w:eastAsia="en-GB"/>
        </w:rPr>
        <w:t>[2017] Q.B. 1</w:t>
      </w:r>
      <w:r>
        <w:rPr>
          <w:szCs w:val="24"/>
          <w:lang w:eastAsia="en-GB"/>
        </w:rPr>
        <w:t xml:space="preserve"> at [141]; [147].</w:t>
      </w:r>
    </w:p>
  </w:footnote>
  <w:footnote w:id="110">
    <w:p w14:paraId="68ED7319" w14:textId="2FE7FA6C" w:rsidR="00B46D22" w:rsidRDefault="00B46D22" w:rsidP="00583E57">
      <w:pPr>
        <w:pStyle w:val="FootnoteText"/>
      </w:pPr>
      <w:r>
        <w:rPr>
          <w:rStyle w:val="FootnoteReference"/>
        </w:rPr>
        <w:footnoteRef/>
      </w:r>
      <w:r>
        <w:t xml:space="preserve">. A similar measure of damages was applied in </w:t>
      </w:r>
      <w:r w:rsidRPr="00166385">
        <w:rPr>
          <w:u w:val="single"/>
        </w:rPr>
        <w:t>Jaggard</w:t>
      </w:r>
      <w:r>
        <w:t xml:space="preserve"> v </w:t>
      </w:r>
      <w:r w:rsidRPr="00166385">
        <w:rPr>
          <w:u w:val="single"/>
        </w:rPr>
        <w:t>Sawyer</w:t>
      </w:r>
      <w:r w:rsidR="009A4E22">
        <w:t xml:space="preserve">, </w:t>
      </w:r>
      <w:r w:rsidR="009A4E22">
        <w:rPr>
          <w:rFonts w:eastAsia="Arial"/>
        </w:rPr>
        <w:t>fn. 62 above</w:t>
      </w:r>
      <w:r w:rsidRPr="007414D0">
        <w:t xml:space="preserve"> (</w:t>
      </w:r>
      <w:r>
        <w:t xml:space="preserve">where the claimants could also not show a financial loss); often described as </w:t>
      </w:r>
      <w:r w:rsidRPr="00C201B5">
        <w:rPr>
          <w:u w:val="single"/>
        </w:rPr>
        <w:t>Wrotham Park</w:t>
      </w:r>
      <w:r>
        <w:t xml:space="preserve"> damages after </w:t>
      </w:r>
      <w:r w:rsidRPr="007B3B27">
        <w:rPr>
          <w:u w:val="single"/>
        </w:rPr>
        <w:t>Wrotham Park Estate Co Ltd</w:t>
      </w:r>
      <w:r w:rsidRPr="00C533FC">
        <w:t xml:space="preserve"> v </w:t>
      </w:r>
      <w:r w:rsidRPr="007B3B27">
        <w:rPr>
          <w:u w:val="single"/>
        </w:rPr>
        <w:t>Parkside Homes Ltd</w:t>
      </w:r>
      <w:r w:rsidRPr="007B3B27">
        <w:t xml:space="preserve"> [1974] 1 W</w:t>
      </w:r>
      <w:r>
        <w:t>.</w:t>
      </w:r>
      <w:r w:rsidRPr="007B3B27">
        <w:t>L</w:t>
      </w:r>
      <w:r>
        <w:t>.</w:t>
      </w:r>
      <w:r w:rsidRPr="007B3B27">
        <w:t>R</w:t>
      </w:r>
      <w:r>
        <w:t>.</w:t>
      </w:r>
      <w:r w:rsidRPr="007B3B27">
        <w:t xml:space="preserve"> 798</w:t>
      </w:r>
      <w:r>
        <w:t xml:space="preserve"> CA (Civ Div): e.g. </w:t>
      </w:r>
      <w:r w:rsidRPr="0035368C">
        <w:rPr>
          <w:szCs w:val="24"/>
          <w:lang w:eastAsia="en-GB"/>
        </w:rPr>
        <w:t>[2017] Q.B. 1</w:t>
      </w:r>
      <w:r>
        <w:rPr>
          <w:szCs w:val="24"/>
          <w:lang w:eastAsia="en-GB"/>
        </w:rPr>
        <w:t xml:space="preserve"> at [50]</w:t>
      </w:r>
      <w:r>
        <w:t>.</w:t>
      </w:r>
    </w:p>
  </w:footnote>
  <w:footnote w:id="111">
    <w:p w14:paraId="0EBE895E" w14:textId="33A0CA3C" w:rsidR="00B46D22" w:rsidRDefault="00B46D22">
      <w:pPr>
        <w:pStyle w:val="FootnoteText"/>
      </w:pPr>
      <w:r>
        <w:rPr>
          <w:rStyle w:val="FootnoteReference"/>
        </w:rPr>
        <w:footnoteRef/>
      </w:r>
      <w:r w:rsidR="009A4E22">
        <w:t>. See fn. 17</w:t>
      </w:r>
      <w:r>
        <w:t xml:space="preserve"> above.</w:t>
      </w:r>
    </w:p>
  </w:footnote>
  <w:footnote w:id="112">
    <w:p w14:paraId="06C4BF56" w14:textId="16448A4D" w:rsidR="00B46D22" w:rsidRDefault="00B46D22">
      <w:pPr>
        <w:pStyle w:val="FootnoteText"/>
      </w:pPr>
      <w:r>
        <w:rPr>
          <w:rStyle w:val="FootnoteReference"/>
        </w:rPr>
        <w:footnoteRef/>
      </w:r>
      <w:r>
        <w:t xml:space="preserve">. </w:t>
      </w:r>
      <w:r w:rsidRPr="006F0224">
        <w:rPr>
          <w:u w:val="single"/>
        </w:rPr>
        <w:t xml:space="preserve">Starlight Shipping </w:t>
      </w:r>
      <w:r w:rsidRPr="000A06CF">
        <w:rPr>
          <w:u w:val="single"/>
        </w:rPr>
        <w:t>Co</w:t>
      </w:r>
      <w:r w:rsidRPr="000A06CF">
        <w:t xml:space="preserve"> v </w:t>
      </w:r>
      <w:r w:rsidRPr="000A06CF">
        <w:rPr>
          <w:u w:val="single"/>
        </w:rPr>
        <w:t>Allianz</w:t>
      </w:r>
      <w:r w:rsidRPr="006F0224">
        <w:rPr>
          <w:u w:val="single"/>
        </w:rPr>
        <w:t xml:space="preserve"> Marine &amp; Aviation Versicherungs</w:t>
      </w:r>
      <w:r>
        <w:rPr>
          <w:u w:val="single"/>
        </w:rPr>
        <w:t xml:space="preserve"> AG</w:t>
      </w:r>
      <w:r w:rsidRPr="006F0224">
        <w:rPr>
          <w:u w:val="single"/>
        </w:rPr>
        <w:t xml:space="preserve"> </w:t>
      </w:r>
      <w:r>
        <w:rPr>
          <w:u w:val="single"/>
        </w:rPr>
        <w:t xml:space="preserve">(The </w:t>
      </w:r>
      <w:r w:rsidRPr="005F18AA">
        <w:rPr>
          <w:u w:val="single"/>
        </w:rPr>
        <w:t>Alexandros T</w:t>
      </w:r>
      <w:r>
        <w:rPr>
          <w:u w:val="single"/>
        </w:rPr>
        <w:t>)</w:t>
      </w:r>
      <w:r>
        <w:t xml:space="preserve"> </w:t>
      </w:r>
      <w:r w:rsidRPr="00C71090">
        <w:t>[2014] EWHC 3068 (Comm); [2014] 2 Lloyd's Rep. 579; [2015] 2 All E.R. (Comm) 747 (Flaux J).</w:t>
      </w:r>
    </w:p>
  </w:footnote>
  <w:footnote w:id="113">
    <w:p w14:paraId="334B39C1" w14:textId="405BD1FD" w:rsidR="00B46D22" w:rsidRPr="00590DCF" w:rsidRDefault="00B46D22">
      <w:pPr>
        <w:pStyle w:val="FootnoteText"/>
        <w:rPr>
          <w:szCs w:val="24"/>
        </w:rPr>
      </w:pPr>
      <w:r>
        <w:rPr>
          <w:rStyle w:val="FootnoteReference"/>
        </w:rPr>
        <w:footnoteRef/>
      </w:r>
      <w:r>
        <w:t xml:space="preserve">. The three settlements differed in detail. That all three extended to cover claims against third parties was by no means self-evident, and this part of the case involved a fairly generous application of the construction principles from </w:t>
      </w:r>
      <w:r w:rsidRPr="00911557">
        <w:rPr>
          <w:szCs w:val="24"/>
          <w:u w:val="single"/>
        </w:rPr>
        <w:t xml:space="preserve">Rainy </w:t>
      </w:r>
      <w:r w:rsidRPr="00203730">
        <w:rPr>
          <w:u w:val="single"/>
        </w:rPr>
        <w:t>Sky SA</w:t>
      </w:r>
      <w:r w:rsidRPr="00203730">
        <w:t xml:space="preserve"> v </w:t>
      </w:r>
      <w:r w:rsidRPr="00203730">
        <w:rPr>
          <w:u w:val="single"/>
        </w:rPr>
        <w:t>Kookmin</w:t>
      </w:r>
      <w:r w:rsidRPr="00203730">
        <w:rPr>
          <w:szCs w:val="24"/>
          <w:u w:val="single"/>
        </w:rPr>
        <w:t xml:space="preserve"> </w:t>
      </w:r>
      <w:r w:rsidRPr="00203730">
        <w:rPr>
          <w:u w:val="single"/>
        </w:rPr>
        <w:t>Bank</w:t>
      </w:r>
      <w:r w:rsidRPr="00203730">
        <w:t xml:space="preserve"> [2011] 1</w:t>
      </w:r>
      <w:r w:rsidRPr="00911557">
        <w:rPr>
          <w:szCs w:val="24"/>
        </w:rPr>
        <w:t xml:space="preserve"> W.L.R. 2900</w:t>
      </w:r>
      <w:r>
        <w:rPr>
          <w:szCs w:val="24"/>
        </w:rPr>
        <w:t xml:space="preserve"> SC: </w:t>
      </w:r>
      <w:r w:rsidRPr="00F11ECB">
        <w:t>[2014] 2 Lloyd's Rep</w:t>
      </w:r>
      <w:r>
        <w:t>.</w:t>
      </w:r>
      <w:r w:rsidRPr="00F11ECB">
        <w:t xml:space="preserve"> 579</w:t>
      </w:r>
      <w:r>
        <w:t xml:space="preserve"> at [41] - [68]</w:t>
      </w:r>
      <w:r>
        <w:rPr>
          <w:szCs w:val="24"/>
        </w:rPr>
        <w:t>.</w:t>
      </w:r>
    </w:p>
  </w:footnote>
  <w:footnote w:id="114">
    <w:p w14:paraId="50B70CA9" w14:textId="71B9AC10" w:rsidR="00B46D22" w:rsidRDefault="00B46D22">
      <w:pPr>
        <w:pStyle w:val="FootnoteText"/>
      </w:pPr>
      <w:r>
        <w:rPr>
          <w:rStyle w:val="FootnoteReference"/>
        </w:rPr>
        <w:footnoteRef/>
      </w:r>
      <w:r>
        <w:t>. See fn. 5 above.</w:t>
      </w:r>
    </w:p>
  </w:footnote>
  <w:footnote w:id="115">
    <w:p w14:paraId="5AB09222" w14:textId="62DF06A8" w:rsidR="00B46D22" w:rsidRDefault="00B46D22">
      <w:pPr>
        <w:pStyle w:val="FootnoteText"/>
      </w:pPr>
      <w:r>
        <w:rPr>
          <w:rStyle w:val="FootnoteReference"/>
        </w:rPr>
        <w:footnoteRef/>
      </w:r>
      <w:r>
        <w:t>. Arbitration Act 1996, s. 8.</w:t>
      </w:r>
    </w:p>
  </w:footnote>
  <w:footnote w:id="116">
    <w:p w14:paraId="656F5122" w14:textId="3066DDF4" w:rsidR="00B46D22" w:rsidRDefault="00B46D22">
      <w:pPr>
        <w:pStyle w:val="FootnoteText"/>
      </w:pPr>
      <w:r>
        <w:rPr>
          <w:rStyle w:val="FootnoteReference"/>
        </w:rPr>
        <w:footnoteRef/>
      </w:r>
      <w:r>
        <w:t>. Section 1(1)(b) requires that the term "</w:t>
      </w:r>
      <w:r w:rsidRPr="00F11ECB">
        <w:t>purports to confer a benefit</w:t>
      </w:r>
      <w:r>
        <w:t>"</w:t>
      </w:r>
      <w:r w:rsidRPr="00F11ECB">
        <w:t xml:space="preserve"> on </w:t>
      </w:r>
      <w:r>
        <w:t xml:space="preserve">the third party, and s. 1(3) requires the </w:t>
      </w:r>
      <w:r w:rsidRPr="00F11ECB">
        <w:t xml:space="preserve">third party </w:t>
      </w:r>
      <w:r>
        <w:t>to be "</w:t>
      </w:r>
      <w:r w:rsidRPr="00F11ECB">
        <w:t>expressly identified in the contract by name, as a member of a class or as ans</w:t>
      </w:r>
      <w:r>
        <w:t>wering a particular description"</w:t>
      </w:r>
      <w:r w:rsidRPr="00F11ECB">
        <w:t>.</w:t>
      </w:r>
      <w:r>
        <w:t xml:space="preserve"> Flaux J had already construed “u</w:t>
      </w:r>
      <w:r w:rsidRPr="00F11ECB">
        <w:t xml:space="preserve">nderwriters” in </w:t>
      </w:r>
      <w:r>
        <w:t>the se</w:t>
      </w:r>
      <w:r w:rsidRPr="00F11ECB">
        <w:t>ttlement agreement</w:t>
      </w:r>
      <w:r>
        <w:t>s as encompassing</w:t>
      </w:r>
      <w:r w:rsidRPr="00F11ECB">
        <w:t xml:space="preserve"> servants or agents, </w:t>
      </w:r>
      <w:r>
        <w:t>and held that sufficient</w:t>
      </w:r>
      <w:r w:rsidRPr="00F11ECB">
        <w:t xml:space="preserve"> </w:t>
      </w:r>
      <w:r>
        <w:t>to identify</w:t>
      </w:r>
      <w:r w:rsidRPr="00F11ECB">
        <w:t xml:space="preserve"> </w:t>
      </w:r>
      <w:r>
        <w:t xml:space="preserve">the third parties as members of a class, within s. 1(3): </w:t>
      </w:r>
      <w:r w:rsidRPr="00F11ECB">
        <w:t>[2014] 2 Lloyd's Rep</w:t>
      </w:r>
      <w:r>
        <w:t>.</w:t>
      </w:r>
      <w:r w:rsidRPr="00F11ECB">
        <w:t xml:space="preserve"> 579</w:t>
      </w:r>
      <w:r>
        <w:t xml:space="preserve"> at [88].</w:t>
      </w:r>
    </w:p>
  </w:footnote>
  <w:footnote w:id="117">
    <w:p w14:paraId="02CCF618" w14:textId="3A937A4A" w:rsidR="00B46D22" w:rsidRDefault="00B46D22" w:rsidP="00BA2CC7">
      <w:pPr>
        <w:pStyle w:val="FootnoteText"/>
      </w:pPr>
      <w:r>
        <w:rPr>
          <w:rStyle w:val="FootnoteReference"/>
        </w:rPr>
        <w:footnoteRef/>
      </w:r>
      <w:r>
        <w:t xml:space="preserve">. </w:t>
      </w:r>
      <w:r w:rsidRPr="009859B9">
        <w:rPr>
          <w:rFonts w:eastAsia="Arial"/>
          <w:szCs w:val="24"/>
        </w:rPr>
        <w:t>[1996] A</w:t>
      </w:r>
      <w:r>
        <w:rPr>
          <w:rFonts w:eastAsia="Arial"/>
          <w:szCs w:val="24"/>
        </w:rPr>
        <w:t>.</w:t>
      </w:r>
      <w:r w:rsidRPr="009859B9">
        <w:rPr>
          <w:rFonts w:eastAsia="Arial"/>
          <w:szCs w:val="24"/>
        </w:rPr>
        <w:t>C</w:t>
      </w:r>
      <w:r>
        <w:rPr>
          <w:rFonts w:eastAsia="Arial"/>
          <w:szCs w:val="24"/>
        </w:rPr>
        <w:t>.</w:t>
      </w:r>
      <w:r w:rsidRPr="009859B9">
        <w:rPr>
          <w:rFonts w:eastAsia="Arial"/>
          <w:szCs w:val="24"/>
        </w:rPr>
        <w:t xml:space="preserve"> 650</w:t>
      </w:r>
      <w:r>
        <w:rPr>
          <w:rFonts w:eastAsia="Arial"/>
          <w:szCs w:val="24"/>
        </w:rPr>
        <w:t xml:space="preserve"> PC </w:t>
      </w:r>
      <w:r>
        <w:t>at 666 (Lord Goff).</w:t>
      </w:r>
    </w:p>
  </w:footnote>
  <w:footnote w:id="118">
    <w:p w14:paraId="629E143C" w14:textId="05A8E0AD" w:rsidR="00B46D22" w:rsidRDefault="00B46D22">
      <w:pPr>
        <w:pStyle w:val="FootnoteText"/>
      </w:pPr>
      <w:r>
        <w:rPr>
          <w:rStyle w:val="FootnoteReference"/>
        </w:rPr>
        <w:footnoteRef/>
      </w:r>
      <w:r>
        <w:t xml:space="preserve">. e.g. </w:t>
      </w:r>
      <w:r w:rsidRPr="00606BDD">
        <w:rPr>
          <w:rFonts w:eastAsia="Times New Roman"/>
          <w:color w:val="262A2D"/>
          <w:szCs w:val="24"/>
          <w:u w:val="single"/>
          <w:lang w:eastAsia="en-GB"/>
        </w:rPr>
        <w:t xml:space="preserve">Fortress Value Recovery Fund I </w:t>
      </w:r>
      <w:r w:rsidRPr="002D2FE4">
        <w:rPr>
          <w:u w:val="single"/>
        </w:rPr>
        <w:t>LLC</w:t>
      </w:r>
      <w:r w:rsidRPr="002D2FE4">
        <w:t xml:space="preserve"> v </w:t>
      </w:r>
      <w:r w:rsidRPr="002D2FE4">
        <w:rPr>
          <w:u w:val="single"/>
        </w:rPr>
        <w:t>Blue</w:t>
      </w:r>
      <w:r w:rsidRPr="00606BDD">
        <w:rPr>
          <w:rFonts w:eastAsia="Times New Roman"/>
          <w:color w:val="262A2D"/>
          <w:szCs w:val="24"/>
          <w:u w:val="single"/>
          <w:lang w:eastAsia="en-GB"/>
        </w:rPr>
        <w:t xml:space="preserve"> Skye Special Opportunities Fund LP</w:t>
      </w:r>
      <w:r w:rsidRPr="007C4058">
        <w:rPr>
          <w:rFonts w:eastAsia="Times New Roman"/>
          <w:color w:val="262A2D"/>
          <w:szCs w:val="24"/>
          <w:lang w:eastAsia="en-GB"/>
        </w:rPr>
        <w:t xml:space="preserve"> [2013] EWCA Civ 367</w:t>
      </w:r>
      <w:r>
        <w:rPr>
          <w:rFonts w:eastAsia="Times New Roman"/>
          <w:color w:val="262A2D"/>
          <w:szCs w:val="24"/>
          <w:lang w:eastAsia="en-GB"/>
        </w:rPr>
        <w:t>;</w:t>
      </w:r>
      <w:r w:rsidRPr="008E0AEA">
        <w:rPr>
          <w:lang w:eastAsia="en-GB"/>
        </w:rPr>
        <w:t xml:space="preserve"> </w:t>
      </w:r>
      <w:r w:rsidRPr="00054107">
        <w:t>[2013] 1 W.L.R. 3466; [2013] 1 Lloyd's Rep 606; [2013] 2 All E.R. (Comm) 315 CA (</w:t>
      </w:r>
      <w:r>
        <w:rPr>
          <w:lang w:eastAsia="en-GB"/>
        </w:rPr>
        <w:t>Civ Div). See generally R. Merkin, fn. 1 above at [17.55].</w:t>
      </w:r>
    </w:p>
  </w:footnote>
  <w:footnote w:id="119">
    <w:p w14:paraId="5F43F6EC" w14:textId="32E1839B" w:rsidR="00B46D22" w:rsidRDefault="00B46D22" w:rsidP="00495BFD">
      <w:r>
        <w:rPr>
          <w:rStyle w:val="FootnoteReference"/>
        </w:rPr>
        <w:footnoteRef/>
      </w:r>
      <w:r>
        <w:t xml:space="preserve">. In effect </w:t>
      </w:r>
      <w:r w:rsidRPr="008E7231">
        <w:rPr>
          <w:rFonts w:eastAsia="Arial"/>
          <w:u w:val="single"/>
        </w:rPr>
        <w:t xml:space="preserve">Homburg Houtimport </w:t>
      </w:r>
      <w:r w:rsidRPr="00495BFD">
        <w:rPr>
          <w:u w:val="single"/>
        </w:rPr>
        <w:t>BV</w:t>
      </w:r>
      <w:r w:rsidRPr="00495BFD">
        <w:t xml:space="preserve"> v </w:t>
      </w:r>
      <w:r w:rsidRPr="00495BFD">
        <w:rPr>
          <w:u w:val="single"/>
        </w:rPr>
        <w:t>Agrosin</w:t>
      </w:r>
      <w:r w:rsidRPr="008E7231">
        <w:rPr>
          <w:rFonts w:eastAsia="Arial"/>
          <w:u w:val="single"/>
        </w:rPr>
        <w:t xml:space="preserve"> Private Ltd (The Starsin)</w:t>
      </w:r>
      <w:r w:rsidRPr="002F7FD9">
        <w:rPr>
          <w:rFonts w:eastAsia="Arial"/>
        </w:rPr>
        <w:t xml:space="preserve"> </w:t>
      </w:r>
      <w:r w:rsidRPr="00054107">
        <w:t>[2003] UKHL 12; [2004] 1 A.C. 715 HL, but with the arbitration clause and action abro</w:t>
      </w:r>
      <w:r>
        <w:t xml:space="preserve">ad from </w:t>
      </w:r>
      <w:r w:rsidRPr="00495BFD">
        <w:rPr>
          <w:u w:val="single"/>
        </w:rPr>
        <w:t>The Front Comor</w:t>
      </w:r>
      <w:r>
        <w:t xml:space="preserve">. It is also necessary to suppose that the arbitration clause is of sufficient width to cover the tort or delict action, as it was held to be in </w:t>
      </w:r>
      <w:r w:rsidRPr="00495BFD">
        <w:rPr>
          <w:u w:val="single"/>
        </w:rPr>
        <w:t>The Front Comor</w:t>
      </w:r>
      <w:r>
        <w:t>.</w:t>
      </w:r>
    </w:p>
  </w:footnote>
  <w:footnote w:id="120">
    <w:p w14:paraId="4C7FC0BD" w14:textId="75A10671" w:rsidR="00B46D22" w:rsidRDefault="00B46D22">
      <w:pPr>
        <w:pStyle w:val="FootnoteText"/>
      </w:pPr>
      <w:r>
        <w:rPr>
          <w:rStyle w:val="FootnoteReference"/>
        </w:rPr>
        <w:footnoteRef/>
      </w:r>
      <w:r>
        <w:t xml:space="preserve">. Except perhaps for a </w:t>
      </w:r>
      <w:r w:rsidRPr="00787DBA">
        <w:rPr>
          <w:u w:val="single"/>
        </w:rPr>
        <w:t>Scott</w:t>
      </w:r>
      <w:r>
        <w:t xml:space="preserve"> v </w:t>
      </w:r>
      <w:r w:rsidRPr="00787DBA">
        <w:rPr>
          <w:u w:val="single"/>
        </w:rPr>
        <w:t>Avery</w:t>
      </w:r>
      <w:r>
        <w:t xml:space="preserve"> clause: </w:t>
      </w:r>
      <w:r w:rsidRPr="008628FE">
        <w:rPr>
          <w:u w:val="single"/>
        </w:rPr>
        <w:t>Scott</w:t>
      </w:r>
      <w:r>
        <w:t xml:space="preserve"> v </w:t>
      </w:r>
      <w:r w:rsidRPr="008628FE">
        <w:rPr>
          <w:u w:val="single"/>
        </w:rPr>
        <w:t>Avery</w:t>
      </w:r>
      <w:r>
        <w:t xml:space="preserve"> (1856) 5 H.L. Cas. 811 HL; also </w:t>
      </w:r>
      <w:r w:rsidRPr="008249A1">
        <w:rPr>
          <w:u w:val="single"/>
        </w:rPr>
        <w:t>Privity of Contract: Contracts for the Benefit of Third Parties</w:t>
      </w:r>
      <w:r>
        <w:t xml:space="preserve">, </w:t>
      </w:r>
      <w:r w:rsidRPr="002710B4">
        <w:rPr>
          <w:color w:val="000000"/>
        </w:rPr>
        <w:t>Law Com. No. 242</w:t>
      </w:r>
      <w:r>
        <w:rPr>
          <w:color w:val="000000"/>
        </w:rPr>
        <w:t xml:space="preserve"> (</w:t>
      </w:r>
      <w:r>
        <w:t>1996) at [14.17], fn. 23.</w:t>
      </w:r>
    </w:p>
  </w:footnote>
  <w:footnote w:id="121">
    <w:p w14:paraId="3AC019B3" w14:textId="49FA9528" w:rsidR="00B46D22" w:rsidRDefault="00B46D22">
      <w:pPr>
        <w:pStyle w:val="FootnoteText"/>
      </w:pPr>
      <w:r>
        <w:rPr>
          <w:rStyle w:val="FootnoteReference"/>
        </w:rPr>
        <w:footnoteRef/>
      </w:r>
      <w:r>
        <w:t>. The effect of disapplying s. 1.</w:t>
      </w:r>
    </w:p>
  </w:footnote>
  <w:footnote w:id="122">
    <w:p w14:paraId="27A20193" w14:textId="20EB87BE" w:rsidR="00B46D22" w:rsidRDefault="00B46D22">
      <w:pPr>
        <w:pStyle w:val="FootnoteText"/>
      </w:pPr>
      <w:r>
        <w:rPr>
          <w:rStyle w:val="FootnoteReference"/>
        </w:rPr>
        <w:footnoteRef/>
      </w:r>
      <w:r w:rsidR="006B4454">
        <w:t>. See fn. 117</w:t>
      </w:r>
      <w:r>
        <w:t xml:space="preserve"> above at 666.</w:t>
      </w:r>
    </w:p>
  </w:footnote>
  <w:footnote w:id="123">
    <w:p w14:paraId="73143682" w14:textId="3C69EDEE" w:rsidR="00B46D22" w:rsidRDefault="00B46D22">
      <w:pPr>
        <w:pStyle w:val="FootnoteText"/>
      </w:pPr>
      <w:r>
        <w:rPr>
          <w:rStyle w:val="FootnoteReference"/>
        </w:rPr>
        <w:footnoteRef/>
      </w:r>
      <w:r>
        <w:t>. ibid., the passage being equivocal whether Lord Goff's objection applies generally, or just to the construction of the particular clause. A fuller discussion (which would need to consider the juristic basis of the Himalaya clause) is beyond the scope of this article.</w:t>
      </w:r>
    </w:p>
  </w:footnote>
  <w:footnote w:id="124">
    <w:p w14:paraId="613D77B4" w14:textId="4C8CE750" w:rsidR="00B46D22" w:rsidRDefault="00B46D22" w:rsidP="00BA2CC7">
      <w:pPr>
        <w:pStyle w:val="FootnoteText"/>
      </w:pPr>
      <w:r>
        <w:rPr>
          <w:rStyle w:val="FootnoteReference"/>
        </w:rPr>
        <w:footnoteRef/>
      </w:r>
      <w:r>
        <w:t xml:space="preserve">. e.g. R. </w:t>
      </w:r>
      <w:r w:rsidR="009A4E22">
        <w:t>Merkin, fn. 1</w:t>
      </w:r>
      <w:r w:rsidRPr="002C1075">
        <w:t xml:space="preserve"> above </w:t>
      </w:r>
      <w:r w:rsidRPr="00E97DDC">
        <w:t xml:space="preserve">at </w:t>
      </w:r>
      <w:r>
        <w:t>[17.4</w:t>
      </w:r>
      <w:r w:rsidRPr="00E97DDC">
        <w:t>] - [17.6].</w:t>
      </w:r>
    </w:p>
  </w:footnote>
  <w:footnote w:id="125">
    <w:p w14:paraId="204A2AA4" w14:textId="0E14C9AC" w:rsidR="00B46D22" w:rsidRDefault="00B46D22">
      <w:pPr>
        <w:pStyle w:val="FootnoteText"/>
      </w:pPr>
      <w:r>
        <w:rPr>
          <w:rStyle w:val="FootnoteReference"/>
        </w:rPr>
        <w:footnoteRef/>
      </w:r>
      <w:r w:rsidR="006B4454">
        <w:t>. See fnn. 143 - 144</w:t>
      </w:r>
      <w:r>
        <w:t xml:space="preserve"> below, and associated text.</w:t>
      </w:r>
    </w:p>
  </w:footnote>
  <w:footnote w:id="126">
    <w:p w14:paraId="67BFB712" w14:textId="148CF388" w:rsidR="00B46D22" w:rsidRDefault="00B46D22" w:rsidP="00101649">
      <w:r>
        <w:rPr>
          <w:rStyle w:val="FootnoteReference"/>
        </w:rPr>
        <w:footnoteRef/>
      </w:r>
      <w:r>
        <w:t xml:space="preserve">. </w:t>
      </w:r>
      <w:r w:rsidRPr="005B5ECD">
        <w:rPr>
          <w:u w:val="single"/>
        </w:rPr>
        <w:t>The Front Comor</w:t>
      </w:r>
      <w:r w:rsidRPr="00753B89">
        <w:t xml:space="preserve"> (</w:t>
      </w:r>
      <w:r>
        <w:t>ECJ</w:t>
      </w:r>
      <w:r w:rsidRPr="00753B89">
        <w:t>)</w:t>
      </w:r>
      <w:r w:rsidR="006B4454">
        <w:t>, fn. 16</w:t>
      </w:r>
      <w:r>
        <w:t xml:space="preserve"> above, cited at </w:t>
      </w:r>
      <w:r w:rsidRPr="00F11ECB">
        <w:t>[2014] 2 Lloyd's Rep</w:t>
      </w:r>
      <w:r>
        <w:t>.</w:t>
      </w:r>
      <w:r w:rsidRPr="00F11ECB">
        <w:t xml:space="preserve"> 579</w:t>
      </w:r>
      <w:r>
        <w:t xml:space="preserve"> at [74].</w:t>
      </w:r>
    </w:p>
  </w:footnote>
  <w:footnote w:id="127">
    <w:p w14:paraId="69A0E500" w14:textId="5C532015" w:rsidR="00B46D22" w:rsidRDefault="00B46D22" w:rsidP="00101649">
      <w:pPr>
        <w:pStyle w:val="FootnoteText"/>
      </w:pPr>
      <w:r>
        <w:rPr>
          <w:rStyle w:val="FootnoteReference"/>
        </w:rPr>
        <w:footnoteRef/>
      </w:r>
      <w:r w:rsidR="006B4454">
        <w:t>. See fn. 11</w:t>
      </w:r>
      <w:r>
        <w:t xml:space="preserve">2 above </w:t>
      </w:r>
      <w:r w:rsidR="006B4454">
        <w:t xml:space="preserve">at </w:t>
      </w:r>
      <w:r>
        <w:t xml:space="preserve">[69] - [72]. </w:t>
      </w:r>
    </w:p>
  </w:footnote>
  <w:footnote w:id="128">
    <w:p w14:paraId="687D6916" w14:textId="542EDAF9" w:rsidR="00B46D22" w:rsidRDefault="00B46D22">
      <w:pPr>
        <w:pStyle w:val="FootnoteText"/>
      </w:pPr>
      <w:r>
        <w:rPr>
          <w:rStyle w:val="FootnoteReference"/>
        </w:rPr>
        <w:footnoteRef/>
      </w:r>
      <w:r>
        <w:t xml:space="preserve">. Indeed, the conventional view is that "the status of an arbitration clause in England is that it will not be specifically enforced": </w:t>
      </w:r>
      <w:r>
        <w:rPr>
          <w:u w:val="single"/>
        </w:rPr>
        <w:t xml:space="preserve">Pena Copper Mines </w:t>
      </w:r>
      <w:r w:rsidRPr="003816E9">
        <w:rPr>
          <w:u w:val="single"/>
        </w:rPr>
        <w:t>Ltd</w:t>
      </w:r>
      <w:r w:rsidRPr="003816E9">
        <w:t xml:space="preserve"> v </w:t>
      </w:r>
      <w:r w:rsidRPr="003816E9">
        <w:rPr>
          <w:u w:val="single"/>
        </w:rPr>
        <w:t>Rio</w:t>
      </w:r>
      <w:r>
        <w:rPr>
          <w:u w:val="single"/>
        </w:rPr>
        <w:t xml:space="preserve"> Tinto Co</w:t>
      </w:r>
      <w:r w:rsidRPr="0083129B">
        <w:rPr>
          <w:u w:val="single"/>
        </w:rPr>
        <w:t xml:space="preserve"> Ltd</w:t>
      </w:r>
      <w:r w:rsidRPr="00D83D30">
        <w:t xml:space="preserve"> (1911) 105 L.T. 846</w:t>
      </w:r>
      <w:r>
        <w:t xml:space="preserve"> at 852 (</w:t>
      </w:r>
      <w:r w:rsidRPr="00D83D30">
        <w:t>Fletcher Moulton</w:t>
      </w:r>
      <w:r>
        <w:t xml:space="preserve"> LJ), a case in which an anti-suit injunction was awarded.</w:t>
      </w:r>
    </w:p>
  </w:footnote>
  <w:footnote w:id="129">
    <w:p w14:paraId="6521F2F3" w14:textId="595B73EF" w:rsidR="00B46D22" w:rsidRDefault="00B46D22" w:rsidP="00196A96">
      <w:pPr>
        <w:pStyle w:val="FootnoteText"/>
      </w:pPr>
      <w:r>
        <w:rPr>
          <w:rStyle w:val="FootnoteReference"/>
        </w:rPr>
        <w:footnoteRef/>
      </w:r>
      <w:r>
        <w:t xml:space="preserve">. </w:t>
      </w:r>
      <w:r w:rsidRPr="00F11ECB">
        <w:t>[2014] 2 Lloyd's Rep</w:t>
      </w:r>
      <w:r>
        <w:t>.</w:t>
      </w:r>
      <w:r w:rsidRPr="00F11ECB">
        <w:t xml:space="preserve"> 579</w:t>
      </w:r>
      <w:r>
        <w:t xml:space="preserve"> at [74].</w:t>
      </w:r>
    </w:p>
  </w:footnote>
  <w:footnote w:id="130">
    <w:p w14:paraId="5C7E25D0" w14:textId="56E1EB8F" w:rsidR="00B46D22" w:rsidRDefault="00B46D22" w:rsidP="00101649">
      <w:pPr>
        <w:pStyle w:val="FootnoteText"/>
      </w:pPr>
      <w:r>
        <w:rPr>
          <w:rStyle w:val="FootnoteReference"/>
        </w:rPr>
        <w:footnoteRef/>
      </w:r>
      <w:r>
        <w:t>. ibid. at [78].</w:t>
      </w:r>
    </w:p>
  </w:footnote>
  <w:footnote w:id="131">
    <w:p w14:paraId="6F482B98" w14:textId="76ED0116" w:rsidR="00B46D22" w:rsidRDefault="00B46D22" w:rsidP="00B6214D">
      <w:pPr>
        <w:pStyle w:val="FootnoteText"/>
      </w:pPr>
      <w:r>
        <w:rPr>
          <w:rStyle w:val="FootnoteReference"/>
        </w:rPr>
        <w:footnoteRef/>
      </w:r>
      <w:r>
        <w:t>. ibid. at [90] - [93].</w:t>
      </w:r>
    </w:p>
  </w:footnote>
  <w:footnote w:id="132">
    <w:p w14:paraId="3EBD556A" w14:textId="34C1EB4C" w:rsidR="00B46D22" w:rsidRDefault="00B46D22" w:rsidP="00B6214D">
      <w:pPr>
        <w:pStyle w:val="FootnoteText"/>
      </w:pPr>
      <w:r>
        <w:rPr>
          <w:rStyle w:val="FootnoteReference"/>
        </w:rPr>
        <w:footnoteRef/>
      </w:r>
      <w:r>
        <w:t xml:space="preserve">. Though both Lords Goff and Millett (dissenting) expressed doubts in </w:t>
      </w:r>
      <w:r w:rsidRPr="00BE14D3">
        <w:rPr>
          <w:u w:val="single"/>
        </w:rPr>
        <w:t xml:space="preserve">Alfred McAlpine Construction </w:t>
      </w:r>
      <w:r w:rsidRPr="008169E0">
        <w:rPr>
          <w:u w:val="single"/>
        </w:rPr>
        <w:t>Ltd</w:t>
      </w:r>
      <w:r w:rsidRPr="008169E0">
        <w:t xml:space="preserve"> v </w:t>
      </w:r>
      <w:r w:rsidRPr="008169E0">
        <w:rPr>
          <w:u w:val="single"/>
        </w:rPr>
        <w:t>Panatown</w:t>
      </w:r>
      <w:r w:rsidRPr="00BE14D3">
        <w:rPr>
          <w:u w:val="single"/>
        </w:rPr>
        <w:t xml:space="preserve"> Ltd</w:t>
      </w:r>
      <w:r>
        <w:t xml:space="preserve"> [2001] 1 A.C.</w:t>
      </w:r>
      <w:r w:rsidRPr="00E269AF">
        <w:t xml:space="preserve"> 518</w:t>
      </w:r>
      <w:r>
        <w:t xml:space="preserve">, this was accepted as established law by the majority judges in the case: e.g. at 522 (Lord Clyde); 562 (Lord Jauncey); also </w:t>
      </w:r>
      <w:r w:rsidRPr="00E269AF">
        <w:rPr>
          <w:rFonts w:eastAsia="Times New Roman"/>
          <w:color w:val="000000"/>
        </w:rPr>
        <w:t xml:space="preserve">Lord Browne-Wilkinson, in the </w:t>
      </w:r>
      <w:r w:rsidRPr="00603AA7">
        <w:rPr>
          <w:rFonts w:eastAsia="Times New Roman"/>
          <w:color w:val="000000"/>
          <w:u w:val="single"/>
        </w:rPr>
        <w:t>St Martins case</w:t>
      </w:r>
      <w:r w:rsidR="006B4454">
        <w:rPr>
          <w:rFonts w:eastAsia="Times New Roman"/>
          <w:color w:val="000000"/>
        </w:rPr>
        <w:t>, fn. 133</w:t>
      </w:r>
      <w:r>
        <w:rPr>
          <w:rFonts w:eastAsia="Times New Roman"/>
          <w:color w:val="000000"/>
        </w:rPr>
        <w:t xml:space="preserve"> below at 114G</w:t>
      </w:r>
      <w:r>
        <w:t>.</w:t>
      </w:r>
    </w:p>
  </w:footnote>
  <w:footnote w:id="133">
    <w:p w14:paraId="78EAA877" w14:textId="56BB0734" w:rsidR="00B46D22" w:rsidRDefault="00B46D22" w:rsidP="00B711CA">
      <w:pPr>
        <w:pStyle w:val="FootnoteText"/>
      </w:pPr>
      <w:r>
        <w:rPr>
          <w:rStyle w:val="FootnoteReference"/>
        </w:rPr>
        <w:footnoteRef/>
      </w:r>
      <w:r>
        <w:t xml:space="preserve">. </w:t>
      </w:r>
      <w:r w:rsidRPr="0099010A">
        <w:t>[1994] 1 A</w:t>
      </w:r>
      <w:r>
        <w:t>.</w:t>
      </w:r>
      <w:r w:rsidRPr="0099010A">
        <w:t>C</w:t>
      </w:r>
      <w:r>
        <w:t>.</w:t>
      </w:r>
      <w:r w:rsidRPr="0099010A">
        <w:t xml:space="preserve"> 85</w:t>
      </w:r>
      <w:r>
        <w:t xml:space="preserve"> HL, cited </w:t>
      </w:r>
      <w:r w:rsidRPr="00F11ECB">
        <w:t>[2014] 2 Lloyd's Rep</w:t>
      </w:r>
      <w:r>
        <w:t>.</w:t>
      </w:r>
      <w:r w:rsidRPr="00F11ECB">
        <w:t xml:space="preserve"> 579</w:t>
      </w:r>
      <w:r>
        <w:t xml:space="preserve"> at [90].</w:t>
      </w:r>
    </w:p>
  </w:footnote>
  <w:footnote w:id="134">
    <w:p w14:paraId="7A85CF2B" w14:textId="1DBC20A1" w:rsidR="00B46D22" w:rsidRPr="00090BC0" w:rsidRDefault="00B46D22" w:rsidP="00090BC0">
      <w:pPr>
        <w:pStyle w:val="FootnoteText"/>
      </w:pPr>
      <w:r>
        <w:rPr>
          <w:rStyle w:val="FootnoteReference"/>
        </w:rPr>
        <w:footnoteRef/>
      </w:r>
      <w:r>
        <w:t xml:space="preserve">. e.g. </w:t>
      </w:r>
      <w:r w:rsidRPr="00042191">
        <w:rPr>
          <w:u w:val="single"/>
        </w:rPr>
        <w:t>Panatown</w:t>
      </w:r>
      <w:r>
        <w:t xml:space="preserve"> [2001] 1 A.C.</w:t>
      </w:r>
      <w:r w:rsidRPr="00E269AF">
        <w:t xml:space="preserve"> 518</w:t>
      </w:r>
      <w:r>
        <w:t xml:space="preserve"> at 532 (Lord Clyde); </w:t>
      </w:r>
      <w:r>
        <w:rPr>
          <w:color w:val="000000"/>
        </w:rPr>
        <w:t>573 (Lord Jauncey)</w:t>
      </w:r>
      <w:r>
        <w:t>.</w:t>
      </w:r>
    </w:p>
  </w:footnote>
  <w:footnote w:id="135">
    <w:p w14:paraId="54EB685E" w14:textId="46CBD64D" w:rsidR="00B46D22" w:rsidRDefault="00B46D22">
      <w:pPr>
        <w:pStyle w:val="FootnoteText"/>
      </w:pPr>
      <w:r>
        <w:rPr>
          <w:rStyle w:val="FootnoteReference"/>
        </w:rPr>
        <w:footnoteRef/>
      </w:r>
      <w:r>
        <w:t xml:space="preserve">. The difference between majority and minority views in </w:t>
      </w:r>
      <w:r w:rsidRPr="00BE14D3">
        <w:rPr>
          <w:u w:val="single"/>
        </w:rPr>
        <w:t xml:space="preserve">Alfred McAlpine Construction </w:t>
      </w:r>
      <w:r w:rsidRPr="008169E0">
        <w:rPr>
          <w:u w:val="single"/>
        </w:rPr>
        <w:t>Ltd</w:t>
      </w:r>
      <w:r w:rsidRPr="008169E0">
        <w:t xml:space="preserve"> v </w:t>
      </w:r>
      <w:r w:rsidRPr="008169E0">
        <w:rPr>
          <w:u w:val="single"/>
        </w:rPr>
        <w:t>Panatown</w:t>
      </w:r>
      <w:r w:rsidRPr="00BE14D3">
        <w:rPr>
          <w:u w:val="single"/>
        </w:rPr>
        <w:t xml:space="preserve"> Ltd</w:t>
      </w:r>
      <w:r w:rsidR="006B4454">
        <w:t>, fn. 132</w:t>
      </w:r>
      <w:r>
        <w:t xml:space="preserve"> above. </w:t>
      </w:r>
    </w:p>
  </w:footnote>
  <w:footnote w:id="136">
    <w:p w14:paraId="120A6646" w14:textId="3201487C" w:rsidR="00B46D22" w:rsidRDefault="00B46D22">
      <w:pPr>
        <w:pStyle w:val="FootnoteText"/>
      </w:pPr>
      <w:r>
        <w:rPr>
          <w:rStyle w:val="FootnoteReference"/>
        </w:rPr>
        <w:footnoteRef/>
      </w:r>
      <w:r>
        <w:t xml:space="preserve">. </w:t>
      </w:r>
      <w:r w:rsidRPr="006A140C">
        <w:rPr>
          <w:szCs w:val="24"/>
          <w:lang w:eastAsia="en-GB"/>
        </w:rPr>
        <w:t>[2007] EWHC 1716 (QB)</w:t>
      </w:r>
      <w:r>
        <w:rPr>
          <w:szCs w:val="24"/>
          <w:lang w:eastAsia="en-GB"/>
        </w:rPr>
        <w:t>.</w:t>
      </w:r>
    </w:p>
  </w:footnote>
  <w:footnote w:id="137">
    <w:p w14:paraId="019F01F9" w14:textId="086FFB8C" w:rsidR="00B46D22" w:rsidRDefault="00B46D22">
      <w:pPr>
        <w:pStyle w:val="FootnoteText"/>
      </w:pPr>
      <w:r>
        <w:rPr>
          <w:rStyle w:val="FootnoteReference"/>
        </w:rPr>
        <w:footnoteRef/>
      </w:r>
      <w:r>
        <w:t xml:space="preserve">. </w:t>
      </w:r>
      <w:r w:rsidRPr="006A140C">
        <w:rPr>
          <w:szCs w:val="24"/>
          <w:lang w:eastAsia="en-GB"/>
        </w:rPr>
        <w:t>[2007] EWHC 1716 (QB)</w:t>
      </w:r>
      <w:r>
        <w:t xml:space="preserve"> at [69] - [70].</w:t>
      </w:r>
    </w:p>
  </w:footnote>
  <w:footnote w:id="138">
    <w:p w14:paraId="55BA4BCB" w14:textId="545C1B1E" w:rsidR="00B46D22" w:rsidRDefault="00B46D22" w:rsidP="00090BC0">
      <w:pPr>
        <w:pStyle w:val="FootnoteText"/>
      </w:pPr>
      <w:r>
        <w:rPr>
          <w:rStyle w:val="FootnoteReference"/>
        </w:rPr>
        <w:footnoteRef/>
      </w:r>
      <w:r>
        <w:t xml:space="preserve">. </w:t>
      </w:r>
      <w:r w:rsidRPr="00592A78">
        <w:rPr>
          <w:szCs w:val="24"/>
        </w:rPr>
        <w:t>[2001] 1 A</w:t>
      </w:r>
      <w:r>
        <w:rPr>
          <w:szCs w:val="24"/>
        </w:rPr>
        <w:t>.</w:t>
      </w:r>
      <w:r w:rsidRPr="00592A78">
        <w:rPr>
          <w:szCs w:val="24"/>
        </w:rPr>
        <w:t>C</w:t>
      </w:r>
      <w:r>
        <w:rPr>
          <w:szCs w:val="24"/>
        </w:rPr>
        <w:t>.</w:t>
      </w:r>
      <w:r w:rsidRPr="00592A78">
        <w:rPr>
          <w:szCs w:val="24"/>
        </w:rPr>
        <w:t xml:space="preserve"> 518</w:t>
      </w:r>
      <w:r>
        <w:rPr>
          <w:szCs w:val="24"/>
        </w:rPr>
        <w:t>.</w:t>
      </w:r>
    </w:p>
  </w:footnote>
  <w:footnote w:id="139">
    <w:p w14:paraId="5FA9419E" w14:textId="6137B520" w:rsidR="00B46D22" w:rsidRDefault="00B46D22">
      <w:pPr>
        <w:pStyle w:val="FootnoteText"/>
      </w:pPr>
      <w:r>
        <w:rPr>
          <w:rStyle w:val="FootnoteReference"/>
        </w:rPr>
        <w:footnoteRef/>
      </w:r>
      <w:r>
        <w:t xml:space="preserve">. </w:t>
      </w:r>
      <w:r w:rsidRPr="00592A78">
        <w:rPr>
          <w:szCs w:val="24"/>
        </w:rPr>
        <w:t>[2001] 1 A</w:t>
      </w:r>
      <w:r>
        <w:rPr>
          <w:szCs w:val="24"/>
        </w:rPr>
        <w:t>.</w:t>
      </w:r>
      <w:r w:rsidRPr="00592A78">
        <w:rPr>
          <w:szCs w:val="24"/>
        </w:rPr>
        <w:t>C</w:t>
      </w:r>
      <w:r>
        <w:rPr>
          <w:szCs w:val="24"/>
        </w:rPr>
        <w:t>.</w:t>
      </w:r>
      <w:r w:rsidRPr="00592A78">
        <w:rPr>
          <w:szCs w:val="24"/>
        </w:rPr>
        <w:t xml:space="preserve"> 518</w:t>
      </w:r>
      <w:r>
        <w:rPr>
          <w:szCs w:val="24"/>
        </w:rPr>
        <w:t xml:space="preserve"> </w:t>
      </w:r>
      <w:r>
        <w:t xml:space="preserve">at 533 - 534 (Lord Clyde); </w:t>
      </w:r>
      <w:r>
        <w:rPr>
          <w:color w:val="000000"/>
        </w:rPr>
        <w:t xml:space="preserve">570 - 571 (Lord Jauncey); 577 (Lord Browne-Wilkinson). Lord Clyde appeared to doubt the "broad" approach more generally, at 534. See also </w:t>
      </w:r>
      <w:r w:rsidRPr="006A140C">
        <w:rPr>
          <w:szCs w:val="24"/>
          <w:lang w:eastAsia="en-GB"/>
        </w:rPr>
        <w:t>[2007] EWHC 1716 (QB)</w:t>
      </w:r>
      <w:r>
        <w:t xml:space="preserve"> at [76], where Flaux J thought that the majority had rejected the "broader" ground.</w:t>
      </w:r>
    </w:p>
  </w:footnote>
  <w:footnote w:id="140">
    <w:p w14:paraId="15AC6668" w14:textId="4A863C59" w:rsidR="00B46D22" w:rsidRPr="00161AB5" w:rsidRDefault="00B46D22" w:rsidP="00161AB5">
      <w:pPr>
        <w:rPr>
          <w:szCs w:val="24"/>
        </w:rPr>
      </w:pPr>
      <w:r>
        <w:rPr>
          <w:rStyle w:val="FootnoteReference"/>
        </w:rPr>
        <w:footnoteRef/>
      </w:r>
      <w:r>
        <w:t xml:space="preserve">. Also </w:t>
      </w:r>
      <w:r>
        <w:rPr>
          <w:szCs w:val="24"/>
          <w:u w:val="single"/>
        </w:rPr>
        <w:t>Darlington BC</w:t>
      </w:r>
      <w:r w:rsidRPr="00507006">
        <w:rPr>
          <w:szCs w:val="24"/>
        </w:rPr>
        <w:t xml:space="preserve"> v </w:t>
      </w:r>
      <w:r w:rsidRPr="009E1086">
        <w:rPr>
          <w:szCs w:val="24"/>
          <w:u w:val="single"/>
        </w:rPr>
        <w:t>Wiltshier Northern Ltd</w:t>
      </w:r>
      <w:r>
        <w:rPr>
          <w:szCs w:val="24"/>
        </w:rPr>
        <w:t xml:space="preserve"> </w:t>
      </w:r>
      <w:r w:rsidRPr="00507006">
        <w:rPr>
          <w:szCs w:val="24"/>
        </w:rPr>
        <w:t>[1995] 1 W.L.R. 68</w:t>
      </w:r>
      <w:r>
        <w:rPr>
          <w:szCs w:val="24"/>
        </w:rPr>
        <w:t xml:space="preserve"> CA (Civ Div).</w:t>
      </w:r>
    </w:p>
  </w:footnote>
  <w:footnote w:id="141">
    <w:p w14:paraId="469FDA75" w14:textId="6DA673A7" w:rsidR="00B46D22" w:rsidRDefault="00B46D22">
      <w:pPr>
        <w:pStyle w:val="FootnoteText"/>
      </w:pPr>
      <w:r>
        <w:rPr>
          <w:rStyle w:val="FootnoteReference"/>
        </w:rPr>
        <w:footnoteRef/>
      </w:r>
      <w:r>
        <w:t xml:space="preserve">. </w:t>
      </w:r>
      <w:r w:rsidRPr="006A140C">
        <w:rPr>
          <w:szCs w:val="24"/>
          <w:lang w:eastAsia="en-GB"/>
        </w:rPr>
        <w:t>[2007] EWHC 1716 (QB)</w:t>
      </w:r>
      <w:r>
        <w:t xml:space="preserve"> at [71], referring to </w:t>
      </w:r>
      <w:r w:rsidRPr="00042191">
        <w:rPr>
          <w:u w:val="single"/>
        </w:rPr>
        <w:t>The Albazero</w:t>
      </w:r>
      <w:r>
        <w:t xml:space="preserve"> </w:t>
      </w:r>
      <w:r w:rsidRPr="00042191">
        <w:t>[1977] A.C. 774 HL</w:t>
      </w:r>
      <w:r>
        <w:t>, where a CIF seller attempted to recover losses suffered by his buyer who was time-barred</w:t>
      </w:r>
      <w:r w:rsidRPr="00042191">
        <w:t>.</w:t>
      </w:r>
    </w:p>
  </w:footnote>
  <w:footnote w:id="142">
    <w:p w14:paraId="12C689FF" w14:textId="218602DC" w:rsidR="00B46D22" w:rsidRDefault="00B46D22">
      <w:pPr>
        <w:pStyle w:val="FootnoteText"/>
      </w:pPr>
      <w:r>
        <w:rPr>
          <w:rStyle w:val="FootnoteReference"/>
        </w:rPr>
        <w:footnoteRef/>
      </w:r>
      <w:r>
        <w:t xml:space="preserve">. </w:t>
      </w:r>
      <w:r w:rsidRPr="00F11ECB">
        <w:t>[2014] 2 Lloyd's Rep</w:t>
      </w:r>
      <w:r>
        <w:t>.</w:t>
      </w:r>
      <w:r w:rsidRPr="00F11ECB">
        <w:t xml:space="preserve"> 579</w:t>
      </w:r>
      <w:r>
        <w:t xml:space="preserve"> at [93].</w:t>
      </w:r>
    </w:p>
  </w:footnote>
  <w:footnote w:id="143">
    <w:p w14:paraId="2A0A59DE" w14:textId="4B8CCF8A" w:rsidR="00B46D22" w:rsidRDefault="00B46D22">
      <w:pPr>
        <w:pStyle w:val="FootnoteText"/>
      </w:pPr>
      <w:r>
        <w:rPr>
          <w:rStyle w:val="FootnoteReference"/>
        </w:rPr>
        <w:footnoteRef/>
      </w:r>
      <w:r>
        <w:t xml:space="preserve">. As in </w:t>
      </w:r>
      <w:r w:rsidRPr="00ED6C2F">
        <w:rPr>
          <w:u w:val="single"/>
        </w:rPr>
        <w:t>Panatown</w:t>
      </w:r>
      <w:r w:rsidR="006B4454">
        <w:rPr>
          <w:szCs w:val="24"/>
        </w:rPr>
        <w:t xml:space="preserve"> itself, fn. 132</w:t>
      </w:r>
      <w:r>
        <w:rPr>
          <w:szCs w:val="24"/>
        </w:rPr>
        <w:t xml:space="preserve"> above, where, on a 3 - 2 majority, a claim for substantial damages failed for that very reason, or in </w:t>
      </w:r>
      <w:r w:rsidRPr="00D225D6">
        <w:rPr>
          <w:szCs w:val="24"/>
          <w:u w:val="single"/>
        </w:rPr>
        <w:t>DRC</w:t>
      </w:r>
      <w:r>
        <w:rPr>
          <w:szCs w:val="24"/>
        </w:rPr>
        <w:t xml:space="preserve"> v </w:t>
      </w:r>
      <w:r w:rsidRPr="00D225D6">
        <w:rPr>
          <w:szCs w:val="24"/>
          <w:u w:val="single"/>
        </w:rPr>
        <w:t>Ulva</w:t>
      </w:r>
      <w:r>
        <w:rPr>
          <w:szCs w:val="24"/>
        </w:rPr>
        <w:t xml:space="preserve">, fn. 136, where the agreement was clearly expressed to be personal to the parties. </w:t>
      </w:r>
    </w:p>
  </w:footnote>
  <w:footnote w:id="144">
    <w:p w14:paraId="1FF5C17E" w14:textId="61EFAB49" w:rsidR="00B46D22" w:rsidRDefault="00B46D22">
      <w:pPr>
        <w:pStyle w:val="FootnoteText"/>
      </w:pPr>
      <w:r>
        <w:rPr>
          <w:rStyle w:val="FootnoteReference"/>
        </w:rPr>
        <w:footnoteRef/>
      </w:r>
      <w:r>
        <w:t xml:space="preserve">. </w:t>
      </w:r>
      <w:r w:rsidRPr="00F11ECB">
        <w:t>[2014] 2 Lloyd's Rep</w:t>
      </w:r>
      <w:r>
        <w:t>.</w:t>
      </w:r>
      <w:r w:rsidRPr="00F11ECB">
        <w:t xml:space="preserve"> 579</w:t>
      </w:r>
      <w:r>
        <w:t xml:space="preserve"> at [90].</w:t>
      </w:r>
    </w:p>
  </w:footnote>
  <w:footnote w:id="145">
    <w:p w14:paraId="0A9BB4C3" w14:textId="5563A932" w:rsidR="00B46D22" w:rsidRDefault="00B46D22">
      <w:pPr>
        <w:pStyle w:val="FootnoteText"/>
      </w:pPr>
      <w:r>
        <w:rPr>
          <w:rStyle w:val="FootnoteReference"/>
        </w:rPr>
        <w:footnoteRef/>
      </w:r>
      <w:r>
        <w:t xml:space="preserve">. </w:t>
      </w:r>
      <w:r w:rsidRPr="006A140C">
        <w:rPr>
          <w:szCs w:val="24"/>
          <w:lang w:eastAsia="en-GB"/>
        </w:rPr>
        <w:t>[2007] EWHC 1716 (QB)</w:t>
      </w:r>
      <w:r>
        <w:t xml:space="preserve"> at [83]; [85].</w:t>
      </w:r>
    </w:p>
  </w:footnote>
  <w:footnote w:id="146">
    <w:p w14:paraId="34D760C0" w14:textId="5F4C7F31" w:rsidR="00B46D22" w:rsidRDefault="00B46D22">
      <w:pPr>
        <w:pStyle w:val="FootnoteText"/>
      </w:pPr>
      <w:r>
        <w:rPr>
          <w:rStyle w:val="FootnoteReference"/>
        </w:rPr>
        <w:footnoteRef/>
      </w:r>
      <w:r>
        <w:t xml:space="preserve">. </w:t>
      </w:r>
      <w:r w:rsidRPr="003376E4">
        <w:rPr>
          <w:u w:val="single"/>
        </w:rPr>
        <w:t>Dunlop</w:t>
      </w:r>
      <w:r w:rsidRPr="003376E4">
        <w:t xml:space="preserve"> v </w:t>
      </w:r>
      <w:r w:rsidRPr="003376E4">
        <w:rPr>
          <w:u w:val="single"/>
        </w:rPr>
        <w:t>Lambert</w:t>
      </w:r>
      <w:r>
        <w:t xml:space="preserve"> </w:t>
      </w:r>
      <w:r w:rsidRPr="003C4A23">
        <w:t>(1839) 6 Cl</w:t>
      </w:r>
      <w:r>
        <w:t>.</w:t>
      </w:r>
      <w:r w:rsidRPr="003C4A23">
        <w:t xml:space="preserve"> &amp; F</w:t>
      </w:r>
      <w:r>
        <w:t>.</w:t>
      </w:r>
      <w:r w:rsidRPr="003C4A23">
        <w:t xml:space="preserve"> 600</w:t>
      </w:r>
      <w:r>
        <w:t xml:space="preserve"> HL, explained and distinguished in </w:t>
      </w:r>
      <w:r w:rsidRPr="001B12C5">
        <w:rPr>
          <w:u w:val="single"/>
        </w:rPr>
        <w:t>The Albazero</w:t>
      </w:r>
      <w:r>
        <w:t xml:space="preserve"> [1977] A.C. 774 HL (Lord Diplock).</w:t>
      </w:r>
    </w:p>
  </w:footnote>
  <w:footnote w:id="147">
    <w:p w14:paraId="658DDA1E" w14:textId="431A08F6" w:rsidR="00B46D22" w:rsidRDefault="00B46D22">
      <w:pPr>
        <w:pStyle w:val="FootnoteText"/>
      </w:pPr>
      <w:r>
        <w:rPr>
          <w:rStyle w:val="FootnoteReference"/>
        </w:rPr>
        <w:footnoteRef/>
      </w:r>
      <w:r>
        <w:t xml:space="preserve">. </w:t>
      </w:r>
      <w:r w:rsidRPr="00507006">
        <w:rPr>
          <w:szCs w:val="24"/>
        </w:rPr>
        <w:t>[1995] 1 W.L.R. 68</w:t>
      </w:r>
      <w:r>
        <w:rPr>
          <w:szCs w:val="24"/>
        </w:rPr>
        <w:t xml:space="preserve"> CA (Civ Div).</w:t>
      </w:r>
    </w:p>
  </w:footnote>
  <w:footnote w:id="148">
    <w:p w14:paraId="75D45A61" w14:textId="77777777" w:rsidR="00B46D22" w:rsidRDefault="00B46D22" w:rsidP="005814C4">
      <w:pPr>
        <w:pStyle w:val="FootnoteText"/>
      </w:pPr>
      <w:r>
        <w:rPr>
          <w:rStyle w:val="FootnoteReference"/>
        </w:rPr>
        <w:footnoteRef/>
      </w:r>
      <w:r>
        <w:t xml:space="preserve">. </w:t>
      </w:r>
      <w:r w:rsidRPr="009625A6">
        <w:rPr>
          <w:lang w:eastAsia="en-GB"/>
        </w:rPr>
        <w:t>[2017] 2 W.L.R. 1161</w:t>
      </w:r>
      <w:r>
        <w:rPr>
          <w:lang w:eastAsia="en-GB"/>
        </w:rPr>
        <w:t xml:space="preserve"> SC at [17].</w:t>
      </w:r>
    </w:p>
  </w:footnote>
  <w:footnote w:id="149">
    <w:p w14:paraId="18538B38" w14:textId="14CF3259" w:rsidR="00B46D22" w:rsidRDefault="00B46D22">
      <w:pPr>
        <w:pStyle w:val="FootnoteText"/>
      </w:pPr>
      <w:r>
        <w:rPr>
          <w:rStyle w:val="FootnoteReference"/>
        </w:rPr>
        <w:footnoteRef/>
      </w:r>
      <w:r>
        <w:t xml:space="preserve">. </w:t>
      </w:r>
      <w:r>
        <w:rPr>
          <w:lang w:eastAsia="en-GB"/>
        </w:rPr>
        <w:t xml:space="preserve">ibid. </w:t>
      </w:r>
      <w:r>
        <w:t>at [102] - [104]; [107].</w:t>
      </w:r>
    </w:p>
  </w:footnote>
  <w:footnote w:id="150">
    <w:p w14:paraId="2B824E76" w14:textId="7326236C" w:rsidR="00B46D22" w:rsidRDefault="00B46D22">
      <w:pPr>
        <w:pStyle w:val="FootnoteText"/>
      </w:pPr>
      <w:r>
        <w:rPr>
          <w:rStyle w:val="FootnoteReference"/>
        </w:rPr>
        <w:footnoteRef/>
      </w:r>
      <w:r>
        <w:t xml:space="preserve">. </w:t>
      </w:r>
      <w:r>
        <w:rPr>
          <w:lang w:eastAsia="en-GB"/>
        </w:rPr>
        <w:t xml:space="preserve">ibid. </w:t>
      </w:r>
      <w:r>
        <w:t>at [54].</w:t>
      </w:r>
    </w:p>
  </w:footnote>
  <w:footnote w:id="151">
    <w:p w14:paraId="4FFA3059" w14:textId="4C9E4D84" w:rsidR="00B46D22" w:rsidRPr="00ED6C2F" w:rsidRDefault="00B46D22">
      <w:pPr>
        <w:pStyle w:val="FootnoteText"/>
      </w:pPr>
      <w:r>
        <w:rPr>
          <w:rStyle w:val="FootnoteReference"/>
        </w:rPr>
        <w:footnoteRef/>
      </w:r>
      <w:r>
        <w:t xml:space="preserve">. </w:t>
      </w:r>
      <w:r w:rsidRPr="00ED6C2F">
        <w:t xml:space="preserve">This colourful phrase originating </w:t>
      </w:r>
      <w:r w:rsidRPr="00ED6C2F">
        <w:rPr>
          <w:u w:val="single"/>
        </w:rPr>
        <w:t>in GUS Property Management Ltd</w:t>
      </w:r>
      <w:r w:rsidRPr="00ED6C2F">
        <w:t xml:space="preserve"> v </w:t>
      </w:r>
      <w:r w:rsidRPr="00ED6C2F">
        <w:rPr>
          <w:u w:val="single"/>
        </w:rPr>
        <w:t>Littlewoods Mail Order Stores Ltd</w:t>
      </w:r>
      <w:r w:rsidRPr="00ED6C2F">
        <w:t xml:space="preserve"> 1982 SC (HL) 157 at 166 (Lord Stewart).</w:t>
      </w:r>
    </w:p>
  </w:footnote>
  <w:footnote w:id="152">
    <w:p w14:paraId="23DB2353" w14:textId="3570AFD4" w:rsidR="00B46D22" w:rsidRPr="004B1BC7" w:rsidRDefault="00B46D22">
      <w:pPr>
        <w:pStyle w:val="FootnoteText"/>
      </w:pPr>
      <w:r>
        <w:rPr>
          <w:rStyle w:val="FootnoteReference"/>
        </w:rPr>
        <w:footnoteRef/>
      </w:r>
      <w:r>
        <w:t xml:space="preserve">. See fnn. 6 - 7 above, and associated text. Also </w:t>
      </w:r>
      <w:r w:rsidRPr="00F11ECB">
        <w:t>[2014] 2 Lloyd's Rep</w:t>
      </w:r>
      <w:r>
        <w:t>.</w:t>
      </w:r>
      <w:r w:rsidRPr="00F11ECB">
        <w:t xml:space="preserve"> 579</w:t>
      </w:r>
      <w:r>
        <w:t xml:space="preserve"> at [80]: </w:t>
      </w:r>
      <w:r w:rsidRPr="004B1BC7">
        <w:t>"damages would clearly be an inadequate remedy".</w:t>
      </w:r>
    </w:p>
  </w:footnote>
  <w:footnote w:id="153">
    <w:p w14:paraId="200257D0" w14:textId="3DBBBAD2" w:rsidR="00B46D22" w:rsidRDefault="00B46D22">
      <w:pPr>
        <w:pStyle w:val="FootnoteText"/>
      </w:pPr>
      <w:r>
        <w:rPr>
          <w:rStyle w:val="FootnoteReference"/>
        </w:rPr>
        <w:footnoteRef/>
      </w:r>
      <w:r>
        <w:t xml:space="preserve">. For a clear expression of his dislike of the ECJ positiion in </w:t>
      </w:r>
      <w:r w:rsidRPr="00ED6C2F">
        <w:rPr>
          <w:u w:val="single"/>
        </w:rPr>
        <w:t>The Front Comor</w:t>
      </w:r>
      <w:r>
        <w:t xml:space="preserve">, see </w:t>
      </w:r>
      <w:r w:rsidRPr="00AD7E95">
        <w:rPr>
          <w:szCs w:val="24"/>
        </w:rPr>
        <w:t xml:space="preserve">[2012] </w:t>
      </w:r>
      <w:r>
        <w:rPr>
          <w:szCs w:val="24"/>
        </w:rPr>
        <w:t>2 Lloyd's Rep.</w:t>
      </w:r>
      <w:r w:rsidRPr="00AD7E95">
        <w:rPr>
          <w:szCs w:val="24"/>
        </w:rPr>
        <w:t xml:space="preserve"> 103</w:t>
      </w:r>
      <w:r>
        <w:rPr>
          <w:szCs w:val="24"/>
        </w:rPr>
        <w:t xml:space="preserve"> </w:t>
      </w:r>
      <w:r>
        <w:t>at [73] (Flaux J).</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59"/>
    <w:rsid w:val="00000889"/>
    <w:rsid w:val="0000253A"/>
    <w:rsid w:val="00003BBB"/>
    <w:rsid w:val="00004995"/>
    <w:rsid w:val="00004EF9"/>
    <w:rsid w:val="000118D9"/>
    <w:rsid w:val="000157B0"/>
    <w:rsid w:val="000159A2"/>
    <w:rsid w:val="00016EF9"/>
    <w:rsid w:val="00016EFA"/>
    <w:rsid w:val="00021F85"/>
    <w:rsid w:val="000227B5"/>
    <w:rsid w:val="000228AB"/>
    <w:rsid w:val="0003159D"/>
    <w:rsid w:val="000325E5"/>
    <w:rsid w:val="00035941"/>
    <w:rsid w:val="00036969"/>
    <w:rsid w:val="0003757C"/>
    <w:rsid w:val="0004026E"/>
    <w:rsid w:val="00040F6F"/>
    <w:rsid w:val="000415E2"/>
    <w:rsid w:val="00042191"/>
    <w:rsid w:val="0004482E"/>
    <w:rsid w:val="000509E5"/>
    <w:rsid w:val="00054107"/>
    <w:rsid w:val="000552D5"/>
    <w:rsid w:val="000603EB"/>
    <w:rsid w:val="00066917"/>
    <w:rsid w:val="0006775F"/>
    <w:rsid w:val="00071176"/>
    <w:rsid w:val="00072E78"/>
    <w:rsid w:val="00073ACD"/>
    <w:rsid w:val="00082504"/>
    <w:rsid w:val="0008286E"/>
    <w:rsid w:val="00086AB6"/>
    <w:rsid w:val="00090BC0"/>
    <w:rsid w:val="0009110B"/>
    <w:rsid w:val="0009165E"/>
    <w:rsid w:val="000A0479"/>
    <w:rsid w:val="000A06CF"/>
    <w:rsid w:val="000A2468"/>
    <w:rsid w:val="000A62CE"/>
    <w:rsid w:val="000B10F3"/>
    <w:rsid w:val="000B294D"/>
    <w:rsid w:val="000B7B3A"/>
    <w:rsid w:val="000B7D36"/>
    <w:rsid w:val="000C2176"/>
    <w:rsid w:val="000C4158"/>
    <w:rsid w:val="000C77B5"/>
    <w:rsid w:val="000C7836"/>
    <w:rsid w:val="000D07E7"/>
    <w:rsid w:val="000D4B5F"/>
    <w:rsid w:val="000D4C31"/>
    <w:rsid w:val="000D6DCF"/>
    <w:rsid w:val="000E6952"/>
    <w:rsid w:val="000F140B"/>
    <w:rsid w:val="000F40FC"/>
    <w:rsid w:val="000F545C"/>
    <w:rsid w:val="000F5FF0"/>
    <w:rsid w:val="000F6C6C"/>
    <w:rsid w:val="00101649"/>
    <w:rsid w:val="00103406"/>
    <w:rsid w:val="00104355"/>
    <w:rsid w:val="00110B82"/>
    <w:rsid w:val="001135DE"/>
    <w:rsid w:val="001217F2"/>
    <w:rsid w:val="0012361C"/>
    <w:rsid w:val="0012625F"/>
    <w:rsid w:val="00127CB4"/>
    <w:rsid w:val="001300AE"/>
    <w:rsid w:val="00130143"/>
    <w:rsid w:val="001339DE"/>
    <w:rsid w:val="00135C7B"/>
    <w:rsid w:val="001425A7"/>
    <w:rsid w:val="0014565C"/>
    <w:rsid w:val="001466AC"/>
    <w:rsid w:val="00153B3B"/>
    <w:rsid w:val="001605BF"/>
    <w:rsid w:val="00161AB5"/>
    <w:rsid w:val="00162EB6"/>
    <w:rsid w:val="00165858"/>
    <w:rsid w:val="00166385"/>
    <w:rsid w:val="00171E3B"/>
    <w:rsid w:val="00174F4C"/>
    <w:rsid w:val="001763A6"/>
    <w:rsid w:val="001779CB"/>
    <w:rsid w:val="00180181"/>
    <w:rsid w:val="00182DDE"/>
    <w:rsid w:val="00183BFB"/>
    <w:rsid w:val="00196A96"/>
    <w:rsid w:val="00197144"/>
    <w:rsid w:val="001978AF"/>
    <w:rsid w:val="001B12C5"/>
    <w:rsid w:val="001B37B3"/>
    <w:rsid w:val="001B3A6D"/>
    <w:rsid w:val="001B42D0"/>
    <w:rsid w:val="001B5A58"/>
    <w:rsid w:val="001C0CA9"/>
    <w:rsid w:val="001C1A39"/>
    <w:rsid w:val="001C5914"/>
    <w:rsid w:val="001C5A84"/>
    <w:rsid w:val="001C6018"/>
    <w:rsid w:val="001D003D"/>
    <w:rsid w:val="001D01A9"/>
    <w:rsid w:val="001D293B"/>
    <w:rsid w:val="001D4628"/>
    <w:rsid w:val="001D78C7"/>
    <w:rsid w:val="001E1C80"/>
    <w:rsid w:val="001E31E9"/>
    <w:rsid w:val="001E34E7"/>
    <w:rsid w:val="001E4ECE"/>
    <w:rsid w:val="001E5EA8"/>
    <w:rsid w:val="001F21E3"/>
    <w:rsid w:val="001F37EC"/>
    <w:rsid w:val="001F5BB0"/>
    <w:rsid w:val="00200D4C"/>
    <w:rsid w:val="00201CD4"/>
    <w:rsid w:val="002036B0"/>
    <w:rsid w:val="00203730"/>
    <w:rsid w:val="00211CBC"/>
    <w:rsid w:val="00214E1A"/>
    <w:rsid w:val="002234DC"/>
    <w:rsid w:val="002319CA"/>
    <w:rsid w:val="0023539C"/>
    <w:rsid w:val="00236D9D"/>
    <w:rsid w:val="0024021B"/>
    <w:rsid w:val="00243FDC"/>
    <w:rsid w:val="00244A14"/>
    <w:rsid w:val="00252680"/>
    <w:rsid w:val="00256120"/>
    <w:rsid w:val="002578C0"/>
    <w:rsid w:val="00260181"/>
    <w:rsid w:val="00262111"/>
    <w:rsid w:val="0027039E"/>
    <w:rsid w:val="0027221C"/>
    <w:rsid w:val="00280913"/>
    <w:rsid w:val="00282758"/>
    <w:rsid w:val="00290598"/>
    <w:rsid w:val="002906F3"/>
    <w:rsid w:val="00290FB1"/>
    <w:rsid w:val="00293B83"/>
    <w:rsid w:val="00296189"/>
    <w:rsid w:val="002A18AA"/>
    <w:rsid w:val="002A279E"/>
    <w:rsid w:val="002B0DC3"/>
    <w:rsid w:val="002B0FD7"/>
    <w:rsid w:val="002B1F76"/>
    <w:rsid w:val="002B2058"/>
    <w:rsid w:val="002B3604"/>
    <w:rsid w:val="002B61B6"/>
    <w:rsid w:val="002B7230"/>
    <w:rsid w:val="002C1075"/>
    <w:rsid w:val="002C7050"/>
    <w:rsid w:val="002D0993"/>
    <w:rsid w:val="002D2FE4"/>
    <w:rsid w:val="002D7153"/>
    <w:rsid w:val="002E21C3"/>
    <w:rsid w:val="002E3B1D"/>
    <w:rsid w:val="002E4253"/>
    <w:rsid w:val="002E6C10"/>
    <w:rsid w:val="002F0424"/>
    <w:rsid w:val="002F0A5B"/>
    <w:rsid w:val="003025B9"/>
    <w:rsid w:val="00306870"/>
    <w:rsid w:val="0030688C"/>
    <w:rsid w:val="00306974"/>
    <w:rsid w:val="003075A4"/>
    <w:rsid w:val="00313252"/>
    <w:rsid w:val="00316018"/>
    <w:rsid w:val="003170B8"/>
    <w:rsid w:val="0032256B"/>
    <w:rsid w:val="00326F92"/>
    <w:rsid w:val="0033135B"/>
    <w:rsid w:val="003343EC"/>
    <w:rsid w:val="0033453C"/>
    <w:rsid w:val="00336D1A"/>
    <w:rsid w:val="003376E4"/>
    <w:rsid w:val="00341332"/>
    <w:rsid w:val="003416D0"/>
    <w:rsid w:val="0034183B"/>
    <w:rsid w:val="0034222C"/>
    <w:rsid w:val="00343457"/>
    <w:rsid w:val="003478EF"/>
    <w:rsid w:val="00355972"/>
    <w:rsid w:val="0035773C"/>
    <w:rsid w:val="00357CE4"/>
    <w:rsid w:val="00363283"/>
    <w:rsid w:val="0036485C"/>
    <w:rsid w:val="00364CCC"/>
    <w:rsid w:val="003665ED"/>
    <w:rsid w:val="00367D93"/>
    <w:rsid w:val="00371399"/>
    <w:rsid w:val="0037501E"/>
    <w:rsid w:val="003816E9"/>
    <w:rsid w:val="00387C93"/>
    <w:rsid w:val="00391592"/>
    <w:rsid w:val="003917A1"/>
    <w:rsid w:val="00392B68"/>
    <w:rsid w:val="003940AB"/>
    <w:rsid w:val="00395E25"/>
    <w:rsid w:val="003A33AD"/>
    <w:rsid w:val="003A36DD"/>
    <w:rsid w:val="003A4E5F"/>
    <w:rsid w:val="003B183B"/>
    <w:rsid w:val="003B284E"/>
    <w:rsid w:val="003B54E4"/>
    <w:rsid w:val="003B582A"/>
    <w:rsid w:val="003C0159"/>
    <w:rsid w:val="003C141C"/>
    <w:rsid w:val="003C39D0"/>
    <w:rsid w:val="003D0CA0"/>
    <w:rsid w:val="003D73CB"/>
    <w:rsid w:val="003E0F6A"/>
    <w:rsid w:val="003E2945"/>
    <w:rsid w:val="003E491B"/>
    <w:rsid w:val="003E5644"/>
    <w:rsid w:val="003E5700"/>
    <w:rsid w:val="003E5B8D"/>
    <w:rsid w:val="003F11C1"/>
    <w:rsid w:val="00406AF7"/>
    <w:rsid w:val="004110AB"/>
    <w:rsid w:val="00411510"/>
    <w:rsid w:val="00412C3C"/>
    <w:rsid w:val="00416BBB"/>
    <w:rsid w:val="004201CE"/>
    <w:rsid w:val="00421704"/>
    <w:rsid w:val="00423A27"/>
    <w:rsid w:val="004254F9"/>
    <w:rsid w:val="00427B26"/>
    <w:rsid w:val="0043292C"/>
    <w:rsid w:val="004352A8"/>
    <w:rsid w:val="004379FE"/>
    <w:rsid w:val="00442A02"/>
    <w:rsid w:val="00442D5A"/>
    <w:rsid w:val="004452B1"/>
    <w:rsid w:val="00446559"/>
    <w:rsid w:val="00451714"/>
    <w:rsid w:val="00460DED"/>
    <w:rsid w:val="00464724"/>
    <w:rsid w:val="00473A78"/>
    <w:rsid w:val="004745B9"/>
    <w:rsid w:val="00475840"/>
    <w:rsid w:val="00480BAB"/>
    <w:rsid w:val="00484BB4"/>
    <w:rsid w:val="004853B4"/>
    <w:rsid w:val="004857E8"/>
    <w:rsid w:val="004926BC"/>
    <w:rsid w:val="004934D8"/>
    <w:rsid w:val="00495BFD"/>
    <w:rsid w:val="004A4C70"/>
    <w:rsid w:val="004A50C0"/>
    <w:rsid w:val="004A566E"/>
    <w:rsid w:val="004A7C88"/>
    <w:rsid w:val="004B1BC7"/>
    <w:rsid w:val="004B26C4"/>
    <w:rsid w:val="004B44A2"/>
    <w:rsid w:val="004B5579"/>
    <w:rsid w:val="004B7DB9"/>
    <w:rsid w:val="004C04E5"/>
    <w:rsid w:val="004C39C7"/>
    <w:rsid w:val="004D232B"/>
    <w:rsid w:val="004D435B"/>
    <w:rsid w:val="004D4390"/>
    <w:rsid w:val="004D45CB"/>
    <w:rsid w:val="004D54C9"/>
    <w:rsid w:val="004D67E2"/>
    <w:rsid w:val="004D680A"/>
    <w:rsid w:val="004E1A3C"/>
    <w:rsid w:val="004F195D"/>
    <w:rsid w:val="004F2704"/>
    <w:rsid w:val="004F5907"/>
    <w:rsid w:val="004F6F0C"/>
    <w:rsid w:val="004F7785"/>
    <w:rsid w:val="0050161B"/>
    <w:rsid w:val="00501E33"/>
    <w:rsid w:val="005027F2"/>
    <w:rsid w:val="00504768"/>
    <w:rsid w:val="00505738"/>
    <w:rsid w:val="0050576A"/>
    <w:rsid w:val="00505B7C"/>
    <w:rsid w:val="005060D0"/>
    <w:rsid w:val="00510870"/>
    <w:rsid w:val="00511B2D"/>
    <w:rsid w:val="00511C8B"/>
    <w:rsid w:val="00514FD0"/>
    <w:rsid w:val="005152A9"/>
    <w:rsid w:val="005219A7"/>
    <w:rsid w:val="00546C9A"/>
    <w:rsid w:val="00550E20"/>
    <w:rsid w:val="00551EBD"/>
    <w:rsid w:val="00553DDB"/>
    <w:rsid w:val="0055704E"/>
    <w:rsid w:val="00562ECE"/>
    <w:rsid w:val="00577FC8"/>
    <w:rsid w:val="005814C4"/>
    <w:rsid w:val="005831CB"/>
    <w:rsid w:val="00583E57"/>
    <w:rsid w:val="0058664B"/>
    <w:rsid w:val="00587C8C"/>
    <w:rsid w:val="00590DCF"/>
    <w:rsid w:val="00591768"/>
    <w:rsid w:val="00592A78"/>
    <w:rsid w:val="00593FC3"/>
    <w:rsid w:val="005A01E0"/>
    <w:rsid w:val="005A1439"/>
    <w:rsid w:val="005A5A24"/>
    <w:rsid w:val="005B0C22"/>
    <w:rsid w:val="005B4101"/>
    <w:rsid w:val="005B43F2"/>
    <w:rsid w:val="005C3982"/>
    <w:rsid w:val="005C399E"/>
    <w:rsid w:val="005C4803"/>
    <w:rsid w:val="005C6173"/>
    <w:rsid w:val="005D66F5"/>
    <w:rsid w:val="005E3B6E"/>
    <w:rsid w:val="005F0887"/>
    <w:rsid w:val="005F308D"/>
    <w:rsid w:val="005F52D4"/>
    <w:rsid w:val="00606D75"/>
    <w:rsid w:val="006075E2"/>
    <w:rsid w:val="006101DB"/>
    <w:rsid w:val="006128E8"/>
    <w:rsid w:val="00614041"/>
    <w:rsid w:val="00614AD4"/>
    <w:rsid w:val="00615829"/>
    <w:rsid w:val="006163B1"/>
    <w:rsid w:val="00617F92"/>
    <w:rsid w:val="006217B7"/>
    <w:rsid w:val="0062480A"/>
    <w:rsid w:val="00631716"/>
    <w:rsid w:val="006342C3"/>
    <w:rsid w:val="00635150"/>
    <w:rsid w:val="00635F3C"/>
    <w:rsid w:val="00636DC6"/>
    <w:rsid w:val="00637BC5"/>
    <w:rsid w:val="0065186D"/>
    <w:rsid w:val="00651D13"/>
    <w:rsid w:val="00654CA8"/>
    <w:rsid w:val="006574FB"/>
    <w:rsid w:val="00660E10"/>
    <w:rsid w:val="00667F10"/>
    <w:rsid w:val="006712E5"/>
    <w:rsid w:val="006729C3"/>
    <w:rsid w:val="006766C2"/>
    <w:rsid w:val="00682B2C"/>
    <w:rsid w:val="00682EB1"/>
    <w:rsid w:val="006844DA"/>
    <w:rsid w:val="00690E78"/>
    <w:rsid w:val="00691B79"/>
    <w:rsid w:val="00692EE9"/>
    <w:rsid w:val="00697351"/>
    <w:rsid w:val="006A0687"/>
    <w:rsid w:val="006A3F66"/>
    <w:rsid w:val="006A3FAD"/>
    <w:rsid w:val="006B042E"/>
    <w:rsid w:val="006B4454"/>
    <w:rsid w:val="006C0284"/>
    <w:rsid w:val="006C5BD8"/>
    <w:rsid w:val="006D4322"/>
    <w:rsid w:val="006E1642"/>
    <w:rsid w:val="006E5CF4"/>
    <w:rsid w:val="006E68FA"/>
    <w:rsid w:val="006E6973"/>
    <w:rsid w:val="006E698D"/>
    <w:rsid w:val="006E6A3F"/>
    <w:rsid w:val="006E7BC6"/>
    <w:rsid w:val="006E7BD4"/>
    <w:rsid w:val="006F017E"/>
    <w:rsid w:val="006F4FE8"/>
    <w:rsid w:val="00701D2E"/>
    <w:rsid w:val="00707067"/>
    <w:rsid w:val="00707F79"/>
    <w:rsid w:val="00711AD5"/>
    <w:rsid w:val="00716B25"/>
    <w:rsid w:val="0072560E"/>
    <w:rsid w:val="007265FD"/>
    <w:rsid w:val="00731517"/>
    <w:rsid w:val="007327B0"/>
    <w:rsid w:val="0073378B"/>
    <w:rsid w:val="007414D0"/>
    <w:rsid w:val="00742C79"/>
    <w:rsid w:val="007463A7"/>
    <w:rsid w:val="00753367"/>
    <w:rsid w:val="00753B89"/>
    <w:rsid w:val="007561D7"/>
    <w:rsid w:val="00756272"/>
    <w:rsid w:val="00762AC1"/>
    <w:rsid w:val="007716C4"/>
    <w:rsid w:val="00771734"/>
    <w:rsid w:val="007746CC"/>
    <w:rsid w:val="00775CE7"/>
    <w:rsid w:val="00776AAD"/>
    <w:rsid w:val="00780667"/>
    <w:rsid w:val="00782BE6"/>
    <w:rsid w:val="00786B3E"/>
    <w:rsid w:val="00787DBA"/>
    <w:rsid w:val="007919D8"/>
    <w:rsid w:val="00794F7F"/>
    <w:rsid w:val="007952A8"/>
    <w:rsid w:val="00795B04"/>
    <w:rsid w:val="00796D82"/>
    <w:rsid w:val="007A2819"/>
    <w:rsid w:val="007A553D"/>
    <w:rsid w:val="007B14EF"/>
    <w:rsid w:val="007B193A"/>
    <w:rsid w:val="007B4816"/>
    <w:rsid w:val="007C1527"/>
    <w:rsid w:val="007C4863"/>
    <w:rsid w:val="007C5030"/>
    <w:rsid w:val="007C51F4"/>
    <w:rsid w:val="007D2425"/>
    <w:rsid w:val="007E043E"/>
    <w:rsid w:val="007E1253"/>
    <w:rsid w:val="007E619F"/>
    <w:rsid w:val="007E7131"/>
    <w:rsid w:val="007E7976"/>
    <w:rsid w:val="007E7C93"/>
    <w:rsid w:val="007F1469"/>
    <w:rsid w:val="007F4CD8"/>
    <w:rsid w:val="007F661F"/>
    <w:rsid w:val="00800220"/>
    <w:rsid w:val="00801206"/>
    <w:rsid w:val="00802C40"/>
    <w:rsid w:val="008076A6"/>
    <w:rsid w:val="00812EB8"/>
    <w:rsid w:val="008169E0"/>
    <w:rsid w:val="00820F2E"/>
    <w:rsid w:val="00831AB5"/>
    <w:rsid w:val="008326CC"/>
    <w:rsid w:val="00833BCB"/>
    <w:rsid w:val="0083524A"/>
    <w:rsid w:val="0083603E"/>
    <w:rsid w:val="008367DB"/>
    <w:rsid w:val="008379BC"/>
    <w:rsid w:val="0084430E"/>
    <w:rsid w:val="00847726"/>
    <w:rsid w:val="0085289D"/>
    <w:rsid w:val="00852BD9"/>
    <w:rsid w:val="00852C1F"/>
    <w:rsid w:val="0085515F"/>
    <w:rsid w:val="0086228B"/>
    <w:rsid w:val="008634A6"/>
    <w:rsid w:val="00866EB5"/>
    <w:rsid w:val="00871635"/>
    <w:rsid w:val="00871F06"/>
    <w:rsid w:val="00877E0E"/>
    <w:rsid w:val="00882A88"/>
    <w:rsid w:val="00882B52"/>
    <w:rsid w:val="00894423"/>
    <w:rsid w:val="008970C1"/>
    <w:rsid w:val="008A0DD0"/>
    <w:rsid w:val="008A24F8"/>
    <w:rsid w:val="008A3C33"/>
    <w:rsid w:val="008A7267"/>
    <w:rsid w:val="008B218A"/>
    <w:rsid w:val="008B78A8"/>
    <w:rsid w:val="008C0765"/>
    <w:rsid w:val="008C08A4"/>
    <w:rsid w:val="008C16D2"/>
    <w:rsid w:val="008C5223"/>
    <w:rsid w:val="008C6D02"/>
    <w:rsid w:val="008C7CB3"/>
    <w:rsid w:val="008D2983"/>
    <w:rsid w:val="008D395F"/>
    <w:rsid w:val="008E0319"/>
    <w:rsid w:val="008E6933"/>
    <w:rsid w:val="008F0044"/>
    <w:rsid w:val="008F1190"/>
    <w:rsid w:val="008F3DBB"/>
    <w:rsid w:val="008F7BC7"/>
    <w:rsid w:val="0090152C"/>
    <w:rsid w:val="00901638"/>
    <w:rsid w:val="00903DEC"/>
    <w:rsid w:val="00910129"/>
    <w:rsid w:val="00912706"/>
    <w:rsid w:val="0091586B"/>
    <w:rsid w:val="009158BE"/>
    <w:rsid w:val="0091749A"/>
    <w:rsid w:val="00932DBE"/>
    <w:rsid w:val="009331F3"/>
    <w:rsid w:val="0093629F"/>
    <w:rsid w:val="0094143B"/>
    <w:rsid w:val="009419B8"/>
    <w:rsid w:val="00942726"/>
    <w:rsid w:val="009440FF"/>
    <w:rsid w:val="00944E41"/>
    <w:rsid w:val="00947DA8"/>
    <w:rsid w:val="00952E83"/>
    <w:rsid w:val="00954E9B"/>
    <w:rsid w:val="0096350A"/>
    <w:rsid w:val="00971F7D"/>
    <w:rsid w:val="0097412F"/>
    <w:rsid w:val="009743FB"/>
    <w:rsid w:val="009750A6"/>
    <w:rsid w:val="009767BE"/>
    <w:rsid w:val="00981F82"/>
    <w:rsid w:val="009861A1"/>
    <w:rsid w:val="00997F88"/>
    <w:rsid w:val="009A1AF5"/>
    <w:rsid w:val="009A24E6"/>
    <w:rsid w:val="009A250E"/>
    <w:rsid w:val="009A4E22"/>
    <w:rsid w:val="009A5B81"/>
    <w:rsid w:val="009A7049"/>
    <w:rsid w:val="009A7B82"/>
    <w:rsid w:val="009B2815"/>
    <w:rsid w:val="009B3E63"/>
    <w:rsid w:val="009B57CF"/>
    <w:rsid w:val="009C0E76"/>
    <w:rsid w:val="009C0F09"/>
    <w:rsid w:val="009C13ED"/>
    <w:rsid w:val="009C278A"/>
    <w:rsid w:val="009C6681"/>
    <w:rsid w:val="009C680A"/>
    <w:rsid w:val="009C69F0"/>
    <w:rsid w:val="009D242E"/>
    <w:rsid w:val="009D54B4"/>
    <w:rsid w:val="009E0EFE"/>
    <w:rsid w:val="009F25B0"/>
    <w:rsid w:val="009F7331"/>
    <w:rsid w:val="00A026A1"/>
    <w:rsid w:val="00A07625"/>
    <w:rsid w:val="00A10EF5"/>
    <w:rsid w:val="00A11E41"/>
    <w:rsid w:val="00A14213"/>
    <w:rsid w:val="00A21AD4"/>
    <w:rsid w:val="00A222F8"/>
    <w:rsid w:val="00A2770C"/>
    <w:rsid w:val="00A31FFB"/>
    <w:rsid w:val="00A35134"/>
    <w:rsid w:val="00A359E4"/>
    <w:rsid w:val="00A40F96"/>
    <w:rsid w:val="00A41913"/>
    <w:rsid w:val="00A41DF6"/>
    <w:rsid w:val="00A429F7"/>
    <w:rsid w:val="00A54934"/>
    <w:rsid w:val="00A56836"/>
    <w:rsid w:val="00A56D8B"/>
    <w:rsid w:val="00A6408C"/>
    <w:rsid w:val="00A66AA6"/>
    <w:rsid w:val="00A67778"/>
    <w:rsid w:val="00A719DF"/>
    <w:rsid w:val="00A75066"/>
    <w:rsid w:val="00A81121"/>
    <w:rsid w:val="00A84514"/>
    <w:rsid w:val="00A85FC2"/>
    <w:rsid w:val="00A87DE7"/>
    <w:rsid w:val="00A905EC"/>
    <w:rsid w:val="00A90E90"/>
    <w:rsid w:val="00A90FE0"/>
    <w:rsid w:val="00AA0F26"/>
    <w:rsid w:val="00AA235E"/>
    <w:rsid w:val="00AA6D3D"/>
    <w:rsid w:val="00AC5194"/>
    <w:rsid w:val="00AC5501"/>
    <w:rsid w:val="00AC6F97"/>
    <w:rsid w:val="00AC7C1A"/>
    <w:rsid w:val="00AD0533"/>
    <w:rsid w:val="00AE1058"/>
    <w:rsid w:val="00AE3120"/>
    <w:rsid w:val="00AF1761"/>
    <w:rsid w:val="00AF52C5"/>
    <w:rsid w:val="00AF5C11"/>
    <w:rsid w:val="00AF613B"/>
    <w:rsid w:val="00AF727E"/>
    <w:rsid w:val="00AF7B78"/>
    <w:rsid w:val="00B07C1E"/>
    <w:rsid w:val="00B1222F"/>
    <w:rsid w:val="00B12EE8"/>
    <w:rsid w:val="00B14FB7"/>
    <w:rsid w:val="00B17BB5"/>
    <w:rsid w:val="00B207E8"/>
    <w:rsid w:val="00B238C0"/>
    <w:rsid w:val="00B243A9"/>
    <w:rsid w:val="00B27E1A"/>
    <w:rsid w:val="00B33E9A"/>
    <w:rsid w:val="00B346C2"/>
    <w:rsid w:val="00B37E5E"/>
    <w:rsid w:val="00B40558"/>
    <w:rsid w:val="00B406E5"/>
    <w:rsid w:val="00B40A30"/>
    <w:rsid w:val="00B41D66"/>
    <w:rsid w:val="00B45479"/>
    <w:rsid w:val="00B46D22"/>
    <w:rsid w:val="00B525DE"/>
    <w:rsid w:val="00B52B14"/>
    <w:rsid w:val="00B55988"/>
    <w:rsid w:val="00B6214D"/>
    <w:rsid w:val="00B711CA"/>
    <w:rsid w:val="00B71E98"/>
    <w:rsid w:val="00B73DDD"/>
    <w:rsid w:val="00B76019"/>
    <w:rsid w:val="00B777E7"/>
    <w:rsid w:val="00B81C39"/>
    <w:rsid w:val="00B8239A"/>
    <w:rsid w:val="00B8277A"/>
    <w:rsid w:val="00B82894"/>
    <w:rsid w:val="00B8472B"/>
    <w:rsid w:val="00BA2CC7"/>
    <w:rsid w:val="00BA660C"/>
    <w:rsid w:val="00BB2091"/>
    <w:rsid w:val="00BC0608"/>
    <w:rsid w:val="00BC0B9C"/>
    <w:rsid w:val="00BC459E"/>
    <w:rsid w:val="00BC4805"/>
    <w:rsid w:val="00BC5C68"/>
    <w:rsid w:val="00BC7093"/>
    <w:rsid w:val="00BD184E"/>
    <w:rsid w:val="00BD26DC"/>
    <w:rsid w:val="00BD3E7E"/>
    <w:rsid w:val="00BD53BE"/>
    <w:rsid w:val="00BD69D3"/>
    <w:rsid w:val="00BE0966"/>
    <w:rsid w:val="00BE1EAB"/>
    <w:rsid w:val="00BE5F9E"/>
    <w:rsid w:val="00BE730B"/>
    <w:rsid w:val="00BF04D9"/>
    <w:rsid w:val="00BF4D84"/>
    <w:rsid w:val="00C018AC"/>
    <w:rsid w:val="00C01F9F"/>
    <w:rsid w:val="00C040FE"/>
    <w:rsid w:val="00C103C4"/>
    <w:rsid w:val="00C111E0"/>
    <w:rsid w:val="00C175C6"/>
    <w:rsid w:val="00C17A61"/>
    <w:rsid w:val="00C201B5"/>
    <w:rsid w:val="00C21217"/>
    <w:rsid w:val="00C22304"/>
    <w:rsid w:val="00C230E9"/>
    <w:rsid w:val="00C237FA"/>
    <w:rsid w:val="00C2551F"/>
    <w:rsid w:val="00C310B7"/>
    <w:rsid w:val="00C316CC"/>
    <w:rsid w:val="00C40312"/>
    <w:rsid w:val="00C41E7F"/>
    <w:rsid w:val="00C44D0D"/>
    <w:rsid w:val="00C5000E"/>
    <w:rsid w:val="00C531FC"/>
    <w:rsid w:val="00C533FC"/>
    <w:rsid w:val="00C53D87"/>
    <w:rsid w:val="00C64CB6"/>
    <w:rsid w:val="00C6661B"/>
    <w:rsid w:val="00C71090"/>
    <w:rsid w:val="00C71AA5"/>
    <w:rsid w:val="00C81F21"/>
    <w:rsid w:val="00C851B9"/>
    <w:rsid w:val="00C91219"/>
    <w:rsid w:val="00C929DE"/>
    <w:rsid w:val="00C954C5"/>
    <w:rsid w:val="00C972C6"/>
    <w:rsid w:val="00CA0A8B"/>
    <w:rsid w:val="00CA1E1F"/>
    <w:rsid w:val="00CA5760"/>
    <w:rsid w:val="00CB0B40"/>
    <w:rsid w:val="00CC5127"/>
    <w:rsid w:val="00CC7BE4"/>
    <w:rsid w:val="00CD039E"/>
    <w:rsid w:val="00CE01C1"/>
    <w:rsid w:val="00CE1B58"/>
    <w:rsid w:val="00CE48C1"/>
    <w:rsid w:val="00CF1786"/>
    <w:rsid w:val="00CF1B4B"/>
    <w:rsid w:val="00CF55C8"/>
    <w:rsid w:val="00CF7EE9"/>
    <w:rsid w:val="00D06C8C"/>
    <w:rsid w:val="00D172F6"/>
    <w:rsid w:val="00D17ACE"/>
    <w:rsid w:val="00D225D6"/>
    <w:rsid w:val="00D24969"/>
    <w:rsid w:val="00D27A39"/>
    <w:rsid w:val="00D37591"/>
    <w:rsid w:val="00D37B27"/>
    <w:rsid w:val="00D4208C"/>
    <w:rsid w:val="00D43338"/>
    <w:rsid w:val="00D43A5C"/>
    <w:rsid w:val="00D43E52"/>
    <w:rsid w:val="00D47D1D"/>
    <w:rsid w:val="00D53583"/>
    <w:rsid w:val="00D536C2"/>
    <w:rsid w:val="00D564E4"/>
    <w:rsid w:val="00D57B54"/>
    <w:rsid w:val="00D65282"/>
    <w:rsid w:val="00D66750"/>
    <w:rsid w:val="00D71FC8"/>
    <w:rsid w:val="00D7332E"/>
    <w:rsid w:val="00D74E1A"/>
    <w:rsid w:val="00D75BDE"/>
    <w:rsid w:val="00D75FD3"/>
    <w:rsid w:val="00D76B7F"/>
    <w:rsid w:val="00D77804"/>
    <w:rsid w:val="00D77CB9"/>
    <w:rsid w:val="00D82CA0"/>
    <w:rsid w:val="00D958E3"/>
    <w:rsid w:val="00DA5AB8"/>
    <w:rsid w:val="00DA6358"/>
    <w:rsid w:val="00DA682E"/>
    <w:rsid w:val="00DB2A87"/>
    <w:rsid w:val="00DB62C8"/>
    <w:rsid w:val="00DC0988"/>
    <w:rsid w:val="00DC0A13"/>
    <w:rsid w:val="00DC150A"/>
    <w:rsid w:val="00DC2654"/>
    <w:rsid w:val="00DC51FB"/>
    <w:rsid w:val="00DD163E"/>
    <w:rsid w:val="00DD1750"/>
    <w:rsid w:val="00DD47A7"/>
    <w:rsid w:val="00DE0B41"/>
    <w:rsid w:val="00DE6BC1"/>
    <w:rsid w:val="00DE6E3B"/>
    <w:rsid w:val="00DE726E"/>
    <w:rsid w:val="00DF1091"/>
    <w:rsid w:val="00DF307A"/>
    <w:rsid w:val="00DF5C36"/>
    <w:rsid w:val="00DF7428"/>
    <w:rsid w:val="00E01F4B"/>
    <w:rsid w:val="00E02C0C"/>
    <w:rsid w:val="00E0349C"/>
    <w:rsid w:val="00E06BBC"/>
    <w:rsid w:val="00E109B2"/>
    <w:rsid w:val="00E1187F"/>
    <w:rsid w:val="00E12C34"/>
    <w:rsid w:val="00E17C97"/>
    <w:rsid w:val="00E21C5B"/>
    <w:rsid w:val="00E23518"/>
    <w:rsid w:val="00E23C23"/>
    <w:rsid w:val="00E2693D"/>
    <w:rsid w:val="00E271A4"/>
    <w:rsid w:val="00E30344"/>
    <w:rsid w:val="00E32830"/>
    <w:rsid w:val="00E329C4"/>
    <w:rsid w:val="00E32D9C"/>
    <w:rsid w:val="00E342D0"/>
    <w:rsid w:val="00E40546"/>
    <w:rsid w:val="00E42873"/>
    <w:rsid w:val="00E453F1"/>
    <w:rsid w:val="00E54BF7"/>
    <w:rsid w:val="00E555A9"/>
    <w:rsid w:val="00E6127C"/>
    <w:rsid w:val="00E62125"/>
    <w:rsid w:val="00E72C7D"/>
    <w:rsid w:val="00E7491B"/>
    <w:rsid w:val="00E77165"/>
    <w:rsid w:val="00E83D5B"/>
    <w:rsid w:val="00E83FCC"/>
    <w:rsid w:val="00E84C46"/>
    <w:rsid w:val="00E93D22"/>
    <w:rsid w:val="00E958D4"/>
    <w:rsid w:val="00E976E5"/>
    <w:rsid w:val="00E97DDC"/>
    <w:rsid w:val="00EA00DB"/>
    <w:rsid w:val="00EA063C"/>
    <w:rsid w:val="00EB383D"/>
    <w:rsid w:val="00EB6E82"/>
    <w:rsid w:val="00EC5276"/>
    <w:rsid w:val="00ED30F2"/>
    <w:rsid w:val="00ED687D"/>
    <w:rsid w:val="00ED6C2F"/>
    <w:rsid w:val="00EE158A"/>
    <w:rsid w:val="00EE3073"/>
    <w:rsid w:val="00EE351D"/>
    <w:rsid w:val="00EE3D28"/>
    <w:rsid w:val="00EE47B6"/>
    <w:rsid w:val="00EE53BC"/>
    <w:rsid w:val="00EE6366"/>
    <w:rsid w:val="00EF0E12"/>
    <w:rsid w:val="00EF3E06"/>
    <w:rsid w:val="00EF46CF"/>
    <w:rsid w:val="00EF4D8E"/>
    <w:rsid w:val="00F002A2"/>
    <w:rsid w:val="00F03037"/>
    <w:rsid w:val="00F05C86"/>
    <w:rsid w:val="00F06763"/>
    <w:rsid w:val="00F105D2"/>
    <w:rsid w:val="00F15FEF"/>
    <w:rsid w:val="00F17044"/>
    <w:rsid w:val="00F21431"/>
    <w:rsid w:val="00F27CD3"/>
    <w:rsid w:val="00F32896"/>
    <w:rsid w:val="00F3488B"/>
    <w:rsid w:val="00F37EE8"/>
    <w:rsid w:val="00F4791B"/>
    <w:rsid w:val="00F47CB9"/>
    <w:rsid w:val="00F506F7"/>
    <w:rsid w:val="00F54981"/>
    <w:rsid w:val="00F552AD"/>
    <w:rsid w:val="00F66DC4"/>
    <w:rsid w:val="00F67B0D"/>
    <w:rsid w:val="00F71A83"/>
    <w:rsid w:val="00F84300"/>
    <w:rsid w:val="00F84FC4"/>
    <w:rsid w:val="00F86F07"/>
    <w:rsid w:val="00F93FFB"/>
    <w:rsid w:val="00F9401B"/>
    <w:rsid w:val="00FB1CE2"/>
    <w:rsid w:val="00FB1F03"/>
    <w:rsid w:val="00FB355D"/>
    <w:rsid w:val="00FB63FF"/>
    <w:rsid w:val="00FB7EE8"/>
    <w:rsid w:val="00FC3263"/>
    <w:rsid w:val="00FC5C91"/>
    <w:rsid w:val="00FD2BE7"/>
    <w:rsid w:val="00FD4B63"/>
    <w:rsid w:val="00FD6E23"/>
    <w:rsid w:val="00FD6FA7"/>
    <w:rsid w:val="00FD7FFC"/>
    <w:rsid w:val="00FE5B49"/>
    <w:rsid w:val="00FE62B8"/>
    <w:rsid w:val="00FE77EC"/>
    <w:rsid w:val="00FE7F2C"/>
    <w:rsid w:val="00FF1D97"/>
    <w:rsid w:val="00FF1F6A"/>
    <w:rsid w:val="00FF6B6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4BCF8"/>
  <w15:chartTrackingRefBased/>
  <w15:docId w15:val="{A9FB00A9-6C8B-46BF-82CB-0A84E6B6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000000"/>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DDE"/>
    <w:pPr>
      <w:widowControl w:val="0"/>
      <w:spacing w:before="120"/>
    </w:pPr>
    <w:rPr>
      <w:color w:val="000000" w:themeColor="text1"/>
      <w:sz w:val="24"/>
    </w:rPr>
  </w:style>
  <w:style w:type="paragraph" w:styleId="Heading1">
    <w:name w:val="heading 1"/>
    <w:basedOn w:val="Normal"/>
    <w:next w:val="Normal"/>
    <w:link w:val="Heading1Char"/>
    <w:uiPriority w:val="9"/>
    <w:qFormat/>
    <w:rsid w:val="00BF4D84"/>
    <w:pPr>
      <w:outlineLvl w:val="0"/>
    </w:pPr>
    <w:rPr>
      <w:rFonts w:eastAsia="Times New Roman" w:cs="Times New Roman"/>
      <w:b/>
      <w:bCs/>
      <w:kern w:val="36"/>
      <w:szCs w:val="48"/>
      <w:lang w:eastAsia="en-GB"/>
    </w:rPr>
  </w:style>
  <w:style w:type="paragraph" w:styleId="Heading2">
    <w:name w:val="heading 2"/>
    <w:basedOn w:val="Normal"/>
    <w:next w:val="Normal"/>
    <w:link w:val="Heading2Char"/>
    <w:uiPriority w:val="9"/>
    <w:unhideWhenUsed/>
    <w:qFormat/>
    <w:rsid w:val="00BF4D84"/>
    <w:pPr>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9158BE"/>
    <w:pPr>
      <w:keepNext/>
      <w:keepLines/>
      <w:outlineLvl w:val="2"/>
    </w:pPr>
    <w:rPr>
      <w:rFonts w:eastAsiaTheme="majorEastAsia" w:cstheme="majorBidi"/>
      <w:szCs w:val="24"/>
      <w:u w:val="single"/>
    </w:rPr>
  </w:style>
  <w:style w:type="paragraph" w:styleId="Heading4">
    <w:name w:val="heading 4"/>
    <w:basedOn w:val="Normal"/>
    <w:next w:val="Normal"/>
    <w:link w:val="Heading4Char"/>
    <w:uiPriority w:val="9"/>
    <w:unhideWhenUsed/>
    <w:rsid w:val="0093629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rsid w:val="00B81C39"/>
    <w:pPr>
      <w:spacing w:before="100" w:beforeAutospacing="1" w:after="100" w:afterAutospacing="1" w:line="240" w:lineRule="auto"/>
      <w:outlineLvl w:val="4"/>
    </w:pPr>
    <w:rPr>
      <w:rFonts w:ascii="Times New Roman" w:eastAsia="Times New Roman" w:hAnsi="Times New Roman" w:cs="Times New Roman"/>
      <w:b/>
      <w:bCs/>
      <w:color w:val="auto"/>
      <w:sz w:val="20"/>
      <w:szCs w:val="20"/>
      <w:lang w:eastAsia="en-GB"/>
    </w:rPr>
  </w:style>
  <w:style w:type="paragraph" w:styleId="Heading6">
    <w:name w:val="heading 6"/>
    <w:basedOn w:val="Normal"/>
    <w:next w:val="Normal"/>
    <w:link w:val="Heading6Char"/>
    <w:uiPriority w:val="9"/>
    <w:semiHidden/>
    <w:unhideWhenUsed/>
    <w:rsid w:val="00B81C3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D84"/>
    <w:rPr>
      <w:rFonts w:eastAsia="Times New Roman" w:cs="Times New Roman"/>
      <w:b/>
      <w:bCs/>
      <w:color w:val="000000" w:themeColor="text1"/>
      <w:kern w:val="36"/>
      <w:sz w:val="24"/>
      <w:szCs w:val="48"/>
      <w:lang w:eastAsia="en-GB"/>
    </w:rPr>
  </w:style>
  <w:style w:type="character" w:customStyle="1" w:styleId="Heading2Char">
    <w:name w:val="Heading 2 Char"/>
    <w:basedOn w:val="DefaultParagraphFont"/>
    <w:link w:val="Heading2"/>
    <w:uiPriority w:val="9"/>
    <w:rsid w:val="00BF4D84"/>
    <w:rPr>
      <w:rFonts w:eastAsiaTheme="majorEastAsia" w:cstheme="majorBidi"/>
      <w:i/>
      <w:color w:val="000000" w:themeColor="text1"/>
      <w:sz w:val="24"/>
      <w:szCs w:val="26"/>
    </w:rPr>
  </w:style>
  <w:style w:type="character" w:customStyle="1" w:styleId="Heading5Char">
    <w:name w:val="Heading 5 Char"/>
    <w:basedOn w:val="DefaultParagraphFont"/>
    <w:link w:val="Heading5"/>
    <w:uiPriority w:val="9"/>
    <w:rsid w:val="00B81C39"/>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semiHidden/>
    <w:rsid w:val="00B81C39"/>
    <w:rPr>
      <w:rFonts w:asciiTheme="majorHAnsi" w:eastAsiaTheme="majorEastAsia" w:hAnsiTheme="majorHAnsi" w:cstheme="majorBidi"/>
      <w:color w:val="1F4D78" w:themeColor="accent1" w:themeShade="7F"/>
      <w:sz w:val="24"/>
    </w:rPr>
  </w:style>
  <w:style w:type="paragraph" w:styleId="Title">
    <w:name w:val="Title"/>
    <w:basedOn w:val="Normal"/>
    <w:next w:val="Normal"/>
    <w:link w:val="TitleChar"/>
    <w:uiPriority w:val="10"/>
    <w:rsid w:val="00B07C1E"/>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07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07C1E"/>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B07C1E"/>
    <w:rPr>
      <w:rFonts w:eastAsiaTheme="minorEastAsia"/>
      <w:color w:val="5A5A5A" w:themeColor="text1" w:themeTint="A5"/>
      <w:spacing w:val="15"/>
    </w:rPr>
  </w:style>
  <w:style w:type="character" w:styleId="SubtleEmphasis">
    <w:name w:val="Subtle Emphasis"/>
    <w:basedOn w:val="DefaultParagraphFont"/>
    <w:uiPriority w:val="19"/>
    <w:rsid w:val="00B81C39"/>
    <w:rPr>
      <w:i/>
      <w:iCs/>
      <w:color w:val="404040" w:themeColor="text1" w:themeTint="BF"/>
    </w:rPr>
  </w:style>
  <w:style w:type="character" w:styleId="Emphasis">
    <w:name w:val="Emphasis"/>
    <w:basedOn w:val="DefaultParagraphFont"/>
    <w:uiPriority w:val="20"/>
    <w:rsid w:val="0093629F"/>
    <w:rPr>
      <w:i/>
      <w:iCs/>
    </w:rPr>
  </w:style>
  <w:style w:type="character" w:styleId="IntenseEmphasis">
    <w:name w:val="Intense Emphasis"/>
    <w:basedOn w:val="DefaultParagraphFont"/>
    <w:uiPriority w:val="21"/>
    <w:rsid w:val="00B81C39"/>
    <w:rPr>
      <w:i/>
      <w:iCs/>
      <w:color w:val="5B9BD5" w:themeColor="accent1"/>
    </w:rPr>
  </w:style>
  <w:style w:type="character" w:styleId="Strong">
    <w:name w:val="Strong"/>
    <w:basedOn w:val="DefaultParagraphFont"/>
    <w:uiPriority w:val="22"/>
    <w:rsid w:val="0093629F"/>
    <w:rPr>
      <w:b/>
      <w:bCs/>
    </w:rPr>
  </w:style>
  <w:style w:type="paragraph" w:styleId="IntenseQuote">
    <w:name w:val="Intense Quote"/>
    <w:basedOn w:val="Normal"/>
    <w:next w:val="Normal"/>
    <w:link w:val="IntenseQuoteChar"/>
    <w:uiPriority w:val="30"/>
    <w:rsid w:val="00B81C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81C39"/>
    <w:rPr>
      <w:rFonts w:ascii="Arial" w:hAnsi="Arial"/>
      <w:i/>
      <w:iCs/>
      <w:color w:val="5B9BD5" w:themeColor="accent1"/>
      <w:sz w:val="24"/>
    </w:rPr>
  </w:style>
  <w:style w:type="character" w:styleId="SubtleReference">
    <w:name w:val="Subtle Reference"/>
    <w:basedOn w:val="DefaultParagraphFont"/>
    <w:uiPriority w:val="31"/>
    <w:rsid w:val="00B81C39"/>
    <w:rPr>
      <w:smallCaps/>
      <w:color w:val="5A5A5A" w:themeColor="text1" w:themeTint="A5"/>
    </w:rPr>
  </w:style>
  <w:style w:type="character" w:styleId="IntenseReference">
    <w:name w:val="Intense Reference"/>
    <w:basedOn w:val="DefaultParagraphFont"/>
    <w:uiPriority w:val="32"/>
    <w:rsid w:val="00B81C39"/>
    <w:rPr>
      <w:b/>
      <w:bCs/>
      <w:smallCaps/>
      <w:color w:val="5B9BD5" w:themeColor="accent1"/>
      <w:spacing w:val="5"/>
    </w:rPr>
  </w:style>
  <w:style w:type="character" w:styleId="BookTitle">
    <w:name w:val="Book Title"/>
    <w:basedOn w:val="DefaultParagraphFont"/>
    <w:uiPriority w:val="33"/>
    <w:rsid w:val="00B81C39"/>
    <w:rPr>
      <w:b/>
      <w:bCs/>
      <w:i/>
      <w:iCs/>
      <w:spacing w:val="5"/>
    </w:rPr>
  </w:style>
  <w:style w:type="paragraph" w:styleId="ListParagraph">
    <w:name w:val="List Paragraph"/>
    <w:basedOn w:val="Normal"/>
    <w:uiPriority w:val="34"/>
    <w:rsid w:val="00B81C39"/>
    <w:pPr>
      <w:ind w:left="720"/>
      <w:contextualSpacing/>
    </w:pPr>
  </w:style>
  <w:style w:type="paragraph" w:styleId="Quote">
    <w:name w:val="Quote"/>
    <w:basedOn w:val="Normal"/>
    <w:next w:val="Normal"/>
    <w:link w:val="QuoteChar"/>
    <w:uiPriority w:val="29"/>
    <w:qFormat/>
    <w:rsid w:val="005A01E0"/>
    <w:pPr>
      <w:ind w:left="720"/>
    </w:pPr>
  </w:style>
  <w:style w:type="character" w:customStyle="1" w:styleId="QuoteChar">
    <w:name w:val="Quote Char"/>
    <w:basedOn w:val="DefaultParagraphFont"/>
    <w:link w:val="Quote"/>
    <w:uiPriority w:val="29"/>
    <w:rsid w:val="005A01E0"/>
    <w:rPr>
      <w:color w:val="000000" w:themeColor="text1"/>
      <w:sz w:val="24"/>
    </w:rPr>
  </w:style>
  <w:style w:type="paragraph" w:styleId="FootnoteText">
    <w:name w:val="footnote text"/>
    <w:basedOn w:val="Normal"/>
    <w:link w:val="FootnoteTextChar"/>
    <w:uiPriority w:val="99"/>
    <w:unhideWhenUsed/>
    <w:qFormat/>
    <w:rsid w:val="00F506F7"/>
  </w:style>
  <w:style w:type="character" w:customStyle="1" w:styleId="FootnoteTextChar">
    <w:name w:val="Footnote Text Char"/>
    <w:basedOn w:val="DefaultParagraphFont"/>
    <w:link w:val="FootnoteText"/>
    <w:uiPriority w:val="99"/>
    <w:rsid w:val="00F506F7"/>
    <w:rPr>
      <w:color w:val="000000" w:themeColor="text1"/>
      <w:sz w:val="24"/>
    </w:rPr>
  </w:style>
  <w:style w:type="character" w:customStyle="1" w:styleId="Heading3Char">
    <w:name w:val="Heading 3 Char"/>
    <w:basedOn w:val="DefaultParagraphFont"/>
    <w:link w:val="Heading3"/>
    <w:uiPriority w:val="9"/>
    <w:rsid w:val="009158BE"/>
    <w:rPr>
      <w:rFonts w:ascii="Arial" w:eastAsiaTheme="majorEastAsia" w:hAnsi="Arial" w:cstheme="majorBidi"/>
      <w:color w:val="000000" w:themeColor="text1"/>
      <w:sz w:val="24"/>
      <w:szCs w:val="24"/>
      <w:u w:val="single"/>
    </w:rPr>
  </w:style>
  <w:style w:type="paragraph" w:styleId="NoSpacing">
    <w:name w:val="No Spacing"/>
    <w:uiPriority w:val="1"/>
    <w:qFormat/>
    <w:rsid w:val="00423A27"/>
    <w:rPr>
      <w:color w:val="000000" w:themeColor="text1"/>
      <w:sz w:val="24"/>
    </w:rPr>
  </w:style>
  <w:style w:type="character" w:customStyle="1" w:styleId="Heading4Char">
    <w:name w:val="Heading 4 Char"/>
    <w:basedOn w:val="DefaultParagraphFont"/>
    <w:link w:val="Heading4"/>
    <w:uiPriority w:val="9"/>
    <w:rsid w:val="0093629F"/>
    <w:rPr>
      <w:rFonts w:asciiTheme="majorHAnsi" w:eastAsiaTheme="majorEastAsia" w:hAnsiTheme="majorHAnsi" w:cstheme="majorBidi"/>
      <w:i/>
      <w:iCs/>
      <w:color w:val="2E74B5" w:themeColor="accent1" w:themeShade="BF"/>
      <w:sz w:val="24"/>
    </w:rPr>
  </w:style>
  <w:style w:type="paragraph" w:customStyle="1" w:styleId="Redpara">
    <w:name w:val="Red para"/>
    <w:basedOn w:val="Normal"/>
    <w:next w:val="Normal"/>
    <w:qFormat/>
    <w:rsid w:val="0093629F"/>
    <w:rPr>
      <w:rFonts w:eastAsia="Arial"/>
      <w:color w:val="FF0000"/>
      <w:szCs w:val="24"/>
      <w:lang w:eastAsia="en-GB"/>
    </w:rPr>
  </w:style>
  <w:style w:type="paragraph" w:customStyle="1" w:styleId="Doublequote">
    <w:name w:val="Double quote"/>
    <w:basedOn w:val="Normal"/>
    <w:next w:val="Normal"/>
    <w:qFormat/>
    <w:rsid w:val="00866EB5"/>
    <w:pPr>
      <w:ind w:left="1440"/>
    </w:pPr>
  </w:style>
  <w:style w:type="character" w:styleId="FootnoteReference">
    <w:name w:val="footnote reference"/>
    <w:basedOn w:val="DefaultParagraphFont"/>
    <w:uiPriority w:val="99"/>
    <w:unhideWhenUsed/>
    <w:rsid w:val="00D4208C"/>
    <w:rPr>
      <w:vertAlign w:val="superscript"/>
    </w:rPr>
  </w:style>
  <w:style w:type="paragraph" w:customStyle="1" w:styleId="Normal1">
    <w:name w:val="Normal1"/>
    <w:rsid w:val="00756272"/>
    <w:pPr>
      <w:spacing w:before="90" w:after="90" w:line="240" w:lineRule="auto"/>
      <w:ind w:left="90" w:right="90"/>
    </w:pPr>
    <w:rPr>
      <w:rFonts w:eastAsia="Arial"/>
      <w:sz w:val="36"/>
      <w:szCs w:val="20"/>
    </w:rPr>
  </w:style>
  <w:style w:type="paragraph" w:customStyle="1" w:styleId="todelete">
    <w:name w:val="to delete"/>
    <w:rsid w:val="00DE726E"/>
    <w:pPr>
      <w:spacing w:before="120"/>
    </w:pPr>
    <w:rPr>
      <w:rFonts w:eastAsia="Arial"/>
      <w:sz w:val="24"/>
    </w:rPr>
  </w:style>
  <w:style w:type="paragraph" w:styleId="Header">
    <w:name w:val="header"/>
    <w:basedOn w:val="Normal"/>
    <w:link w:val="HeaderChar"/>
    <w:uiPriority w:val="99"/>
    <w:unhideWhenUsed/>
    <w:rsid w:val="0024021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4021B"/>
    <w:rPr>
      <w:color w:val="000000" w:themeColor="text1"/>
      <w:sz w:val="24"/>
    </w:rPr>
  </w:style>
  <w:style w:type="paragraph" w:styleId="Footer">
    <w:name w:val="footer"/>
    <w:basedOn w:val="Normal"/>
    <w:link w:val="FooterChar"/>
    <w:uiPriority w:val="99"/>
    <w:unhideWhenUsed/>
    <w:rsid w:val="0024021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4021B"/>
    <w:rPr>
      <w:color w:val="000000" w:themeColor="text1"/>
      <w:sz w:val="24"/>
    </w:rPr>
  </w:style>
  <w:style w:type="character" w:styleId="Hyperlink">
    <w:name w:val="Hyperlink"/>
    <w:basedOn w:val="DefaultParagraphFont"/>
    <w:uiPriority w:val="99"/>
    <w:unhideWhenUsed/>
    <w:rsid w:val="00D17ACE"/>
    <w:rPr>
      <w:color w:val="0563C1" w:themeColor="hyperlink"/>
      <w:u w:val="single"/>
    </w:rPr>
  </w:style>
  <w:style w:type="character" w:customStyle="1" w:styleId="apple-converted-space">
    <w:name w:val="apple-converted-space"/>
    <w:basedOn w:val="DefaultParagraphFont"/>
    <w:rsid w:val="00AF52C5"/>
  </w:style>
  <w:style w:type="paragraph" w:styleId="NormalWeb">
    <w:name w:val="Normal (Web)"/>
    <w:basedOn w:val="Normal"/>
    <w:uiPriority w:val="99"/>
    <w:unhideWhenUsed/>
    <w:rsid w:val="00C01F9F"/>
    <w:pPr>
      <w:widowControl/>
      <w:spacing w:before="100" w:beforeAutospacing="1" w:after="100" w:afterAutospacing="1" w:line="240" w:lineRule="auto"/>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0873">
      <w:bodyDiv w:val="1"/>
      <w:marLeft w:val="0"/>
      <w:marRight w:val="0"/>
      <w:marTop w:val="0"/>
      <w:marBottom w:val="0"/>
      <w:divBdr>
        <w:top w:val="none" w:sz="0" w:space="0" w:color="auto"/>
        <w:left w:val="none" w:sz="0" w:space="0" w:color="auto"/>
        <w:bottom w:val="none" w:sz="0" w:space="0" w:color="auto"/>
        <w:right w:val="none" w:sz="0" w:space="0" w:color="auto"/>
      </w:divBdr>
    </w:div>
    <w:div w:id="107505527">
      <w:bodyDiv w:val="1"/>
      <w:marLeft w:val="0"/>
      <w:marRight w:val="0"/>
      <w:marTop w:val="0"/>
      <w:marBottom w:val="0"/>
      <w:divBdr>
        <w:top w:val="none" w:sz="0" w:space="0" w:color="auto"/>
        <w:left w:val="none" w:sz="0" w:space="0" w:color="auto"/>
        <w:bottom w:val="none" w:sz="0" w:space="0" w:color="auto"/>
        <w:right w:val="none" w:sz="0" w:space="0" w:color="auto"/>
      </w:divBdr>
    </w:div>
    <w:div w:id="187840198">
      <w:bodyDiv w:val="1"/>
      <w:marLeft w:val="0"/>
      <w:marRight w:val="0"/>
      <w:marTop w:val="0"/>
      <w:marBottom w:val="0"/>
      <w:divBdr>
        <w:top w:val="none" w:sz="0" w:space="0" w:color="auto"/>
        <w:left w:val="none" w:sz="0" w:space="0" w:color="auto"/>
        <w:bottom w:val="none" w:sz="0" w:space="0" w:color="auto"/>
        <w:right w:val="none" w:sz="0" w:space="0" w:color="auto"/>
      </w:divBdr>
    </w:div>
    <w:div w:id="377239948">
      <w:bodyDiv w:val="1"/>
      <w:marLeft w:val="0"/>
      <w:marRight w:val="0"/>
      <w:marTop w:val="0"/>
      <w:marBottom w:val="0"/>
      <w:divBdr>
        <w:top w:val="none" w:sz="0" w:space="0" w:color="auto"/>
        <w:left w:val="none" w:sz="0" w:space="0" w:color="auto"/>
        <w:bottom w:val="none" w:sz="0" w:space="0" w:color="auto"/>
        <w:right w:val="none" w:sz="0" w:space="0" w:color="auto"/>
      </w:divBdr>
    </w:div>
    <w:div w:id="412624951">
      <w:bodyDiv w:val="1"/>
      <w:marLeft w:val="0"/>
      <w:marRight w:val="0"/>
      <w:marTop w:val="0"/>
      <w:marBottom w:val="0"/>
      <w:divBdr>
        <w:top w:val="none" w:sz="0" w:space="0" w:color="auto"/>
        <w:left w:val="none" w:sz="0" w:space="0" w:color="auto"/>
        <w:bottom w:val="none" w:sz="0" w:space="0" w:color="auto"/>
        <w:right w:val="none" w:sz="0" w:space="0" w:color="auto"/>
      </w:divBdr>
    </w:div>
    <w:div w:id="505824872">
      <w:bodyDiv w:val="1"/>
      <w:marLeft w:val="0"/>
      <w:marRight w:val="0"/>
      <w:marTop w:val="0"/>
      <w:marBottom w:val="0"/>
      <w:divBdr>
        <w:top w:val="none" w:sz="0" w:space="0" w:color="auto"/>
        <w:left w:val="none" w:sz="0" w:space="0" w:color="auto"/>
        <w:bottom w:val="none" w:sz="0" w:space="0" w:color="auto"/>
        <w:right w:val="none" w:sz="0" w:space="0" w:color="auto"/>
      </w:divBdr>
    </w:div>
    <w:div w:id="618728654">
      <w:bodyDiv w:val="1"/>
      <w:marLeft w:val="0"/>
      <w:marRight w:val="0"/>
      <w:marTop w:val="0"/>
      <w:marBottom w:val="0"/>
      <w:divBdr>
        <w:top w:val="none" w:sz="0" w:space="0" w:color="auto"/>
        <w:left w:val="none" w:sz="0" w:space="0" w:color="auto"/>
        <w:bottom w:val="none" w:sz="0" w:space="0" w:color="auto"/>
        <w:right w:val="none" w:sz="0" w:space="0" w:color="auto"/>
      </w:divBdr>
    </w:div>
    <w:div w:id="698239387">
      <w:bodyDiv w:val="1"/>
      <w:marLeft w:val="0"/>
      <w:marRight w:val="0"/>
      <w:marTop w:val="0"/>
      <w:marBottom w:val="0"/>
      <w:divBdr>
        <w:top w:val="none" w:sz="0" w:space="0" w:color="auto"/>
        <w:left w:val="none" w:sz="0" w:space="0" w:color="auto"/>
        <w:bottom w:val="none" w:sz="0" w:space="0" w:color="auto"/>
        <w:right w:val="none" w:sz="0" w:space="0" w:color="auto"/>
      </w:divBdr>
    </w:div>
    <w:div w:id="712847989">
      <w:bodyDiv w:val="1"/>
      <w:marLeft w:val="0"/>
      <w:marRight w:val="0"/>
      <w:marTop w:val="0"/>
      <w:marBottom w:val="0"/>
      <w:divBdr>
        <w:top w:val="none" w:sz="0" w:space="0" w:color="auto"/>
        <w:left w:val="none" w:sz="0" w:space="0" w:color="auto"/>
        <w:bottom w:val="none" w:sz="0" w:space="0" w:color="auto"/>
        <w:right w:val="none" w:sz="0" w:space="0" w:color="auto"/>
      </w:divBdr>
    </w:div>
    <w:div w:id="860360913">
      <w:bodyDiv w:val="1"/>
      <w:marLeft w:val="0"/>
      <w:marRight w:val="0"/>
      <w:marTop w:val="0"/>
      <w:marBottom w:val="0"/>
      <w:divBdr>
        <w:top w:val="none" w:sz="0" w:space="0" w:color="auto"/>
        <w:left w:val="none" w:sz="0" w:space="0" w:color="auto"/>
        <w:bottom w:val="none" w:sz="0" w:space="0" w:color="auto"/>
        <w:right w:val="none" w:sz="0" w:space="0" w:color="auto"/>
      </w:divBdr>
    </w:div>
    <w:div w:id="877936547">
      <w:bodyDiv w:val="1"/>
      <w:marLeft w:val="0"/>
      <w:marRight w:val="0"/>
      <w:marTop w:val="0"/>
      <w:marBottom w:val="0"/>
      <w:divBdr>
        <w:top w:val="none" w:sz="0" w:space="0" w:color="auto"/>
        <w:left w:val="none" w:sz="0" w:space="0" w:color="auto"/>
        <w:bottom w:val="none" w:sz="0" w:space="0" w:color="auto"/>
        <w:right w:val="none" w:sz="0" w:space="0" w:color="auto"/>
      </w:divBdr>
    </w:div>
    <w:div w:id="998584238">
      <w:bodyDiv w:val="1"/>
      <w:marLeft w:val="0"/>
      <w:marRight w:val="0"/>
      <w:marTop w:val="0"/>
      <w:marBottom w:val="0"/>
      <w:divBdr>
        <w:top w:val="none" w:sz="0" w:space="0" w:color="auto"/>
        <w:left w:val="none" w:sz="0" w:space="0" w:color="auto"/>
        <w:bottom w:val="none" w:sz="0" w:space="0" w:color="auto"/>
        <w:right w:val="none" w:sz="0" w:space="0" w:color="auto"/>
      </w:divBdr>
    </w:div>
    <w:div w:id="999504938">
      <w:bodyDiv w:val="1"/>
      <w:marLeft w:val="0"/>
      <w:marRight w:val="0"/>
      <w:marTop w:val="0"/>
      <w:marBottom w:val="0"/>
      <w:divBdr>
        <w:top w:val="none" w:sz="0" w:space="0" w:color="auto"/>
        <w:left w:val="none" w:sz="0" w:space="0" w:color="auto"/>
        <w:bottom w:val="none" w:sz="0" w:space="0" w:color="auto"/>
        <w:right w:val="none" w:sz="0" w:space="0" w:color="auto"/>
      </w:divBdr>
    </w:div>
    <w:div w:id="1304434039">
      <w:bodyDiv w:val="1"/>
      <w:marLeft w:val="0"/>
      <w:marRight w:val="0"/>
      <w:marTop w:val="0"/>
      <w:marBottom w:val="0"/>
      <w:divBdr>
        <w:top w:val="none" w:sz="0" w:space="0" w:color="auto"/>
        <w:left w:val="none" w:sz="0" w:space="0" w:color="auto"/>
        <w:bottom w:val="none" w:sz="0" w:space="0" w:color="auto"/>
        <w:right w:val="none" w:sz="0" w:space="0" w:color="auto"/>
      </w:divBdr>
    </w:div>
    <w:div w:id="1398161874">
      <w:bodyDiv w:val="1"/>
      <w:marLeft w:val="0"/>
      <w:marRight w:val="0"/>
      <w:marTop w:val="0"/>
      <w:marBottom w:val="0"/>
      <w:divBdr>
        <w:top w:val="none" w:sz="0" w:space="0" w:color="auto"/>
        <w:left w:val="none" w:sz="0" w:space="0" w:color="auto"/>
        <w:bottom w:val="none" w:sz="0" w:space="0" w:color="auto"/>
        <w:right w:val="none" w:sz="0" w:space="0" w:color="auto"/>
      </w:divBdr>
    </w:div>
    <w:div w:id="1678536376">
      <w:bodyDiv w:val="1"/>
      <w:marLeft w:val="0"/>
      <w:marRight w:val="0"/>
      <w:marTop w:val="0"/>
      <w:marBottom w:val="0"/>
      <w:divBdr>
        <w:top w:val="none" w:sz="0" w:space="0" w:color="auto"/>
        <w:left w:val="none" w:sz="0" w:space="0" w:color="auto"/>
        <w:bottom w:val="none" w:sz="0" w:space="0" w:color="auto"/>
        <w:right w:val="none" w:sz="0" w:space="0" w:color="auto"/>
      </w:divBdr>
    </w:div>
    <w:div w:id="1738163353">
      <w:bodyDiv w:val="1"/>
      <w:marLeft w:val="0"/>
      <w:marRight w:val="0"/>
      <w:marTop w:val="0"/>
      <w:marBottom w:val="0"/>
      <w:divBdr>
        <w:top w:val="none" w:sz="0" w:space="0" w:color="auto"/>
        <w:left w:val="none" w:sz="0" w:space="0" w:color="auto"/>
        <w:bottom w:val="none" w:sz="0" w:space="0" w:color="auto"/>
        <w:right w:val="none" w:sz="0" w:space="0" w:color="auto"/>
      </w:divBdr>
    </w:div>
    <w:div w:id="1875658196">
      <w:bodyDiv w:val="1"/>
      <w:marLeft w:val="0"/>
      <w:marRight w:val="0"/>
      <w:marTop w:val="0"/>
      <w:marBottom w:val="0"/>
      <w:divBdr>
        <w:top w:val="none" w:sz="0" w:space="0" w:color="auto"/>
        <w:left w:val="none" w:sz="0" w:space="0" w:color="auto"/>
        <w:bottom w:val="none" w:sz="0" w:space="0" w:color="auto"/>
        <w:right w:val="none" w:sz="0" w:space="0" w:color="auto"/>
      </w:divBdr>
    </w:div>
    <w:div w:id="1962035934">
      <w:bodyDiv w:val="1"/>
      <w:marLeft w:val="0"/>
      <w:marRight w:val="0"/>
      <w:marTop w:val="0"/>
      <w:marBottom w:val="0"/>
      <w:divBdr>
        <w:top w:val="none" w:sz="0" w:space="0" w:color="auto"/>
        <w:left w:val="none" w:sz="0" w:space="0" w:color="auto"/>
        <w:bottom w:val="none" w:sz="0" w:space="0" w:color="auto"/>
        <w:right w:val="none" w:sz="0" w:space="0" w:color="auto"/>
      </w:divBdr>
    </w:div>
    <w:div w:id="2124111287">
      <w:bodyDiv w:val="1"/>
      <w:marLeft w:val="0"/>
      <w:marRight w:val="0"/>
      <w:marTop w:val="0"/>
      <w:marBottom w:val="0"/>
      <w:divBdr>
        <w:top w:val="none" w:sz="0" w:space="0" w:color="auto"/>
        <w:left w:val="none" w:sz="0" w:space="0" w:color="auto"/>
        <w:bottom w:val="none" w:sz="0" w:space="0" w:color="auto"/>
        <w:right w:val="none" w:sz="0" w:space="0" w:color="auto"/>
      </w:divBdr>
      <w:divsChild>
        <w:div w:id="840968812">
          <w:marLeft w:val="0"/>
          <w:marRight w:val="0"/>
          <w:marTop w:val="0"/>
          <w:marBottom w:val="0"/>
          <w:divBdr>
            <w:top w:val="none" w:sz="0" w:space="0" w:color="auto"/>
            <w:left w:val="none" w:sz="0" w:space="0" w:color="auto"/>
            <w:bottom w:val="none" w:sz="0" w:space="0" w:color="auto"/>
            <w:right w:val="none" w:sz="0" w:space="0" w:color="auto"/>
          </w:divBdr>
        </w:div>
        <w:div w:id="1940717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tatewatch.org/news/2017/jul/eu-brexit-rel-bill-explanatory-notes.pdf" TargetMode="External"/><Relationship Id="rId2" Type="http://schemas.openxmlformats.org/officeDocument/2006/relationships/hyperlink" Target="https://www.gov.uk/government/uploads/system/uploads/attachment_data/file/604516/Great_repeal_bill_white_paper_accessible.pdf" TargetMode="External"/><Relationship Id="rId1" Type="http://schemas.openxmlformats.org/officeDocument/2006/relationships/hyperlink" Target="https://www.gov.uk/government/publications/the-great-repeal-bill-white-paper/legislating-for-the-united-kingdoms-withdrawal-from-the-european-u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BAD03-84A9-4849-BDE4-5E44309E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8688</Words>
  <Characters>44524</Characters>
  <Application>Microsoft Office Word</Application>
  <DocSecurity>4</DocSecurity>
  <Lines>371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dc:creator>
  <cp:keywords/>
  <dc:description/>
  <cp:lastModifiedBy>Lapage K.P.</cp:lastModifiedBy>
  <cp:revision>2</cp:revision>
  <dcterms:created xsi:type="dcterms:W3CDTF">2017-08-11T09:15:00Z</dcterms:created>
  <dcterms:modified xsi:type="dcterms:W3CDTF">2017-08-11T09:15:00Z</dcterms:modified>
</cp:coreProperties>
</file>