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3461C" w14:textId="77777777" w:rsidR="00427B1F" w:rsidRPr="0011464F" w:rsidRDefault="00427B1F" w:rsidP="00D73C19">
      <w:pPr>
        <w:pStyle w:val="Heading2"/>
        <w:rPr>
          <w:rFonts w:asciiTheme="minorHAnsi" w:hAnsiTheme="minorHAnsi"/>
          <w:sz w:val="24"/>
          <w:szCs w:val="24"/>
        </w:rPr>
      </w:pPr>
    </w:p>
    <w:p w14:paraId="48757211" w14:textId="77777777" w:rsidR="00427B1F" w:rsidRPr="00845640" w:rsidRDefault="00427B1F" w:rsidP="001E225F">
      <w:pPr>
        <w:pStyle w:val="Heading2"/>
        <w:spacing w:line="360" w:lineRule="auto"/>
        <w:rPr>
          <w:rFonts w:asciiTheme="minorHAnsi" w:hAnsiTheme="minorHAnsi"/>
          <w:sz w:val="28"/>
          <w:szCs w:val="28"/>
        </w:rPr>
      </w:pPr>
      <w:r w:rsidRPr="00845640">
        <w:rPr>
          <w:rFonts w:asciiTheme="minorHAnsi" w:hAnsiTheme="minorHAnsi"/>
          <w:sz w:val="28"/>
          <w:szCs w:val="28"/>
        </w:rPr>
        <w:t xml:space="preserve">The psychosocial impact of undergoing prostate cancer screening for men with </w:t>
      </w:r>
      <w:r w:rsidRPr="00845640">
        <w:rPr>
          <w:rFonts w:asciiTheme="minorHAnsi" w:hAnsiTheme="minorHAnsi"/>
          <w:i/>
          <w:sz w:val="28"/>
          <w:szCs w:val="28"/>
        </w:rPr>
        <w:t>BRCA1/2</w:t>
      </w:r>
      <w:r w:rsidRPr="00845640">
        <w:rPr>
          <w:rFonts w:asciiTheme="minorHAnsi" w:hAnsiTheme="minorHAnsi"/>
          <w:sz w:val="28"/>
          <w:szCs w:val="28"/>
        </w:rPr>
        <w:t xml:space="preserve"> mutations </w:t>
      </w:r>
    </w:p>
    <w:p w14:paraId="5CA5E478" w14:textId="77777777" w:rsidR="00427B1F" w:rsidRPr="0011464F" w:rsidRDefault="00427B1F" w:rsidP="001E225F">
      <w:pPr>
        <w:pStyle w:val="Heading2"/>
        <w:spacing w:line="360" w:lineRule="auto"/>
        <w:rPr>
          <w:rFonts w:asciiTheme="minorHAnsi" w:hAnsiTheme="minorHAnsi"/>
          <w:sz w:val="24"/>
          <w:szCs w:val="24"/>
        </w:rPr>
      </w:pPr>
    </w:p>
    <w:p w14:paraId="3D0D4B06" w14:textId="010EC516" w:rsidR="00F7440F" w:rsidRPr="00F7440F" w:rsidRDefault="00F7440F" w:rsidP="001E225F">
      <w:pPr>
        <w:keepNext/>
        <w:keepLines/>
        <w:spacing w:after="0" w:line="360" w:lineRule="auto"/>
        <w:outlineLvl w:val="1"/>
        <w:rPr>
          <w:sz w:val="24"/>
        </w:rPr>
      </w:pPr>
      <w:r w:rsidRPr="00F7440F">
        <w:rPr>
          <w:sz w:val="24"/>
        </w:rPr>
        <w:t>Bancroft EK</w:t>
      </w:r>
      <w:r w:rsidRPr="00F7440F">
        <w:rPr>
          <w:sz w:val="24"/>
          <w:vertAlign w:val="superscript"/>
        </w:rPr>
        <w:t>1,2</w:t>
      </w:r>
      <w:r w:rsidRPr="00F7440F">
        <w:rPr>
          <w:sz w:val="24"/>
        </w:rPr>
        <w:t>*, Saya S</w:t>
      </w:r>
      <w:r w:rsidRPr="00F7440F">
        <w:rPr>
          <w:sz w:val="24"/>
          <w:vertAlign w:val="superscript"/>
        </w:rPr>
        <w:t>2</w:t>
      </w:r>
      <w:r w:rsidR="00845640">
        <w:rPr>
          <w:sz w:val="24"/>
          <w:vertAlign w:val="superscript"/>
        </w:rPr>
        <w:t>,1</w:t>
      </w:r>
      <w:r w:rsidRPr="00F7440F">
        <w:rPr>
          <w:sz w:val="24"/>
        </w:rPr>
        <w:t>*, Page EC</w:t>
      </w:r>
      <w:r w:rsidRPr="00F7440F">
        <w:rPr>
          <w:sz w:val="24"/>
          <w:vertAlign w:val="superscript"/>
        </w:rPr>
        <w:t>2</w:t>
      </w:r>
      <w:r w:rsidR="00845640">
        <w:rPr>
          <w:sz w:val="24"/>
          <w:vertAlign w:val="superscript"/>
        </w:rPr>
        <w:t>,1</w:t>
      </w:r>
      <w:r w:rsidRPr="00F7440F">
        <w:rPr>
          <w:sz w:val="24"/>
        </w:rPr>
        <w:t>, Myhill K</w:t>
      </w:r>
      <w:r w:rsidRPr="00F7440F">
        <w:rPr>
          <w:sz w:val="24"/>
          <w:vertAlign w:val="superscript"/>
        </w:rPr>
        <w:t>1,2</w:t>
      </w:r>
      <w:r w:rsidRPr="00F7440F">
        <w:rPr>
          <w:sz w:val="24"/>
        </w:rPr>
        <w:t>, Thomas S</w:t>
      </w:r>
      <w:r w:rsidRPr="00F7440F">
        <w:rPr>
          <w:sz w:val="24"/>
          <w:vertAlign w:val="superscript"/>
        </w:rPr>
        <w:t>1,2</w:t>
      </w:r>
      <w:r w:rsidRPr="00F7440F">
        <w:rPr>
          <w:sz w:val="24"/>
        </w:rPr>
        <w:t>, Pope J</w:t>
      </w:r>
      <w:r w:rsidRPr="00F7440F">
        <w:rPr>
          <w:sz w:val="24"/>
          <w:vertAlign w:val="superscript"/>
        </w:rPr>
        <w:t>2</w:t>
      </w:r>
      <w:r w:rsidR="00845640">
        <w:rPr>
          <w:sz w:val="24"/>
          <w:vertAlign w:val="superscript"/>
        </w:rPr>
        <w:t>,1</w:t>
      </w:r>
      <w:r w:rsidRPr="00F7440F">
        <w:rPr>
          <w:sz w:val="24"/>
        </w:rPr>
        <w:t>, Chamberlain A</w:t>
      </w:r>
      <w:r w:rsidRPr="00F7440F">
        <w:rPr>
          <w:sz w:val="24"/>
          <w:vertAlign w:val="superscript"/>
        </w:rPr>
        <w:t>2</w:t>
      </w:r>
      <w:r w:rsidR="00845640">
        <w:rPr>
          <w:sz w:val="24"/>
          <w:vertAlign w:val="superscript"/>
        </w:rPr>
        <w:t>,1</w:t>
      </w:r>
      <w:r w:rsidRPr="00F7440F">
        <w:rPr>
          <w:sz w:val="24"/>
        </w:rPr>
        <w:t xml:space="preserve">, </w:t>
      </w:r>
    </w:p>
    <w:p w14:paraId="42040A7C" w14:textId="0AC7D1B8" w:rsidR="00F7440F" w:rsidRPr="00D94FA5" w:rsidRDefault="00F7440F" w:rsidP="001E225F">
      <w:pPr>
        <w:spacing w:after="0" w:line="360" w:lineRule="auto"/>
        <w:rPr>
          <w:sz w:val="24"/>
        </w:rPr>
      </w:pPr>
      <w:r w:rsidRPr="00D94FA5">
        <w:rPr>
          <w:sz w:val="24"/>
        </w:rPr>
        <w:t>Hart R</w:t>
      </w:r>
      <w:r w:rsidRPr="00D94FA5">
        <w:rPr>
          <w:sz w:val="24"/>
          <w:vertAlign w:val="superscript"/>
        </w:rPr>
        <w:t>3</w:t>
      </w:r>
      <w:r w:rsidRPr="00D94FA5">
        <w:rPr>
          <w:sz w:val="24"/>
        </w:rPr>
        <w:t>, Glover W</w:t>
      </w:r>
      <w:r w:rsidRPr="00D94FA5">
        <w:rPr>
          <w:sz w:val="24"/>
          <w:vertAlign w:val="superscript"/>
        </w:rPr>
        <w:t>3</w:t>
      </w:r>
      <w:r w:rsidRPr="00D94FA5">
        <w:rPr>
          <w:sz w:val="24"/>
        </w:rPr>
        <w:t>, Cook J</w:t>
      </w:r>
      <w:r w:rsidRPr="00D94FA5">
        <w:rPr>
          <w:sz w:val="24"/>
          <w:vertAlign w:val="superscript"/>
        </w:rPr>
        <w:t>4</w:t>
      </w:r>
      <w:r w:rsidRPr="00D94FA5">
        <w:rPr>
          <w:sz w:val="24"/>
        </w:rPr>
        <w:t xml:space="preserve">, [Sheffield], </w:t>
      </w:r>
      <w:proofErr w:type="spellStart"/>
      <w:r w:rsidRPr="00D94FA5">
        <w:rPr>
          <w:sz w:val="24"/>
        </w:rPr>
        <w:t>Helfand</w:t>
      </w:r>
      <w:proofErr w:type="spellEnd"/>
      <w:r w:rsidRPr="00D94FA5">
        <w:rPr>
          <w:sz w:val="24"/>
        </w:rPr>
        <w:t xml:space="preserve"> B</w:t>
      </w:r>
      <w:r w:rsidRPr="00D94FA5">
        <w:rPr>
          <w:sz w:val="24"/>
          <w:vertAlign w:val="superscript"/>
        </w:rPr>
        <w:t>5</w:t>
      </w:r>
      <w:r w:rsidRPr="00D94FA5">
        <w:rPr>
          <w:sz w:val="24"/>
        </w:rPr>
        <w:t>, Selkirk T</w:t>
      </w:r>
      <w:r w:rsidRPr="00F477D9">
        <w:rPr>
          <w:sz w:val="24"/>
          <w:vertAlign w:val="superscript"/>
        </w:rPr>
        <w:t>5</w:t>
      </w:r>
      <w:r w:rsidRPr="00D94FA5">
        <w:rPr>
          <w:sz w:val="24"/>
        </w:rPr>
        <w:t>, Davidson R</w:t>
      </w:r>
      <w:r w:rsidR="0043638F">
        <w:rPr>
          <w:sz w:val="24"/>
          <w:vertAlign w:val="superscript"/>
        </w:rPr>
        <w:t>6</w:t>
      </w:r>
      <w:r w:rsidRPr="00D94FA5">
        <w:rPr>
          <w:sz w:val="24"/>
        </w:rPr>
        <w:t>, [Glasgow],  Eccles DM</w:t>
      </w:r>
      <w:r w:rsidR="0043638F" w:rsidRPr="00D94FA5">
        <w:rPr>
          <w:sz w:val="24"/>
          <w:vertAlign w:val="superscript"/>
        </w:rPr>
        <w:t>7</w:t>
      </w:r>
      <w:r w:rsidR="0043638F">
        <w:rPr>
          <w:sz w:val="24"/>
          <w:vertAlign w:val="superscript"/>
        </w:rPr>
        <w:t>,8</w:t>
      </w:r>
      <w:r w:rsidRPr="00D94FA5">
        <w:rPr>
          <w:sz w:val="24"/>
        </w:rPr>
        <w:t xml:space="preserve">, [Southampton], </w:t>
      </w:r>
      <w:proofErr w:type="spellStart"/>
      <w:r w:rsidRPr="00D94FA5">
        <w:rPr>
          <w:sz w:val="24"/>
        </w:rPr>
        <w:t>Gadea</w:t>
      </w:r>
      <w:proofErr w:type="spellEnd"/>
      <w:r w:rsidRPr="00D94FA5">
        <w:rPr>
          <w:sz w:val="24"/>
        </w:rPr>
        <w:t xml:space="preserve"> N</w:t>
      </w:r>
      <w:r w:rsidR="0043638F" w:rsidRPr="00D94FA5">
        <w:rPr>
          <w:sz w:val="24"/>
          <w:vertAlign w:val="superscript"/>
        </w:rPr>
        <w:t>9</w:t>
      </w:r>
      <w:r w:rsidRPr="00D94FA5">
        <w:rPr>
          <w:sz w:val="24"/>
        </w:rPr>
        <w:t>, Brewer C</w:t>
      </w:r>
      <w:r w:rsidR="0043638F" w:rsidRPr="00D94FA5">
        <w:rPr>
          <w:sz w:val="24"/>
          <w:vertAlign w:val="superscript"/>
        </w:rPr>
        <w:t>10</w:t>
      </w:r>
      <w:r w:rsidRPr="00D94FA5">
        <w:rPr>
          <w:sz w:val="24"/>
        </w:rPr>
        <w:t xml:space="preserve">, </w:t>
      </w:r>
      <w:proofErr w:type="spellStart"/>
      <w:r w:rsidRPr="00D94FA5">
        <w:rPr>
          <w:sz w:val="24"/>
        </w:rPr>
        <w:t>Barwell</w:t>
      </w:r>
      <w:proofErr w:type="spellEnd"/>
      <w:r w:rsidRPr="00D94FA5">
        <w:rPr>
          <w:sz w:val="24"/>
        </w:rPr>
        <w:t xml:space="preserve"> J</w:t>
      </w:r>
      <w:r w:rsidR="0043638F" w:rsidRPr="00D94FA5">
        <w:rPr>
          <w:sz w:val="24"/>
          <w:vertAlign w:val="superscript"/>
        </w:rPr>
        <w:t>11</w:t>
      </w:r>
      <w:r w:rsidR="0043638F">
        <w:rPr>
          <w:sz w:val="24"/>
          <w:vertAlign w:val="superscript"/>
        </w:rPr>
        <w:t>,12</w:t>
      </w:r>
      <w:r w:rsidRPr="00D94FA5">
        <w:rPr>
          <w:sz w:val="24"/>
        </w:rPr>
        <w:t>, Salinas M</w:t>
      </w:r>
      <w:r w:rsidR="0043638F" w:rsidRPr="00D94FA5">
        <w:rPr>
          <w:sz w:val="24"/>
          <w:vertAlign w:val="superscript"/>
        </w:rPr>
        <w:t>13</w:t>
      </w:r>
      <w:r w:rsidRPr="00D94FA5">
        <w:rPr>
          <w:sz w:val="24"/>
        </w:rPr>
        <w:t>, Greenhalgh L</w:t>
      </w:r>
      <w:r w:rsidR="0043638F" w:rsidRPr="00D94FA5">
        <w:rPr>
          <w:sz w:val="24"/>
          <w:vertAlign w:val="superscript"/>
        </w:rPr>
        <w:t>14</w:t>
      </w:r>
      <w:r w:rsidRPr="00D94FA5">
        <w:rPr>
          <w:sz w:val="24"/>
        </w:rPr>
        <w:t xml:space="preserve">, </w:t>
      </w:r>
      <w:proofErr w:type="spellStart"/>
      <w:r w:rsidRPr="00D94FA5">
        <w:rPr>
          <w:sz w:val="24"/>
        </w:rPr>
        <w:t>Tischkowitz</w:t>
      </w:r>
      <w:proofErr w:type="spellEnd"/>
      <w:r w:rsidRPr="00D94FA5">
        <w:rPr>
          <w:sz w:val="24"/>
        </w:rPr>
        <w:t xml:space="preserve"> M</w:t>
      </w:r>
      <w:r w:rsidR="0043638F" w:rsidRPr="00D94FA5">
        <w:rPr>
          <w:sz w:val="24"/>
          <w:vertAlign w:val="superscript"/>
        </w:rPr>
        <w:t>15</w:t>
      </w:r>
      <w:r w:rsidRPr="00D94FA5">
        <w:rPr>
          <w:sz w:val="24"/>
        </w:rPr>
        <w:t>, Henderson A</w:t>
      </w:r>
      <w:r w:rsidR="0043638F" w:rsidRPr="00D94FA5">
        <w:rPr>
          <w:sz w:val="24"/>
          <w:vertAlign w:val="superscript"/>
        </w:rPr>
        <w:t>16</w:t>
      </w:r>
      <w:r w:rsidRPr="00D94FA5">
        <w:rPr>
          <w:sz w:val="24"/>
        </w:rPr>
        <w:t>, Evans DG</w:t>
      </w:r>
      <w:r w:rsidR="00D94FA5" w:rsidRPr="00D94FA5">
        <w:rPr>
          <w:sz w:val="24"/>
          <w:vertAlign w:val="superscript"/>
        </w:rPr>
        <w:t>17</w:t>
      </w:r>
      <w:r w:rsidRPr="00D94FA5">
        <w:rPr>
          <w:sz w:val="24"/>
        </w:rPr>
        <w:t>, Buys S</w:t>
      </w:r>
      <w:r w:rsidR="00D94FA5" w:rsidRPr="00D94FA5">
        <w:rPr>
          <w:sz w:val="24"/>
          <w:vertAlign w:val="superscript"/>
        </w:rPr>
        <w:t>18</w:t>
      </w:r>
      <w:r w:rsidRPr="00D94FA5">
        <w:rPr>
          <w:sz w:val="24"/>
        </w:rPr>
        <w:t>, IMPACT Study Steering Committee</w:t>
      </w:r>
      <w:r w:rsidR="003A2C92" w:rsidRPr="001E225F">
        <w:rPr>
          <w:sz w:val="24"/>
          <w:vertAlign w:val="superscript"/>
        </w:rPr>
        <w:t>+</w:t>
      </w:r>
      <w:r w:rsidRPr="00D94FA5">
        <w:rPr>
          <w:sz w:val="24"/>
        </w:rPr>
        <w:t>, IMPACT Collaborators</w:t>
      </w:r>
      <w:r w:rsidR="00AE0845" w:rsidRPr="000144C0">
        <w:rPr>
          <w:sz w:val="24"/>
          <w:vertAlign w:val="superscript"/>
        </w:rPr>
        <w:t>+</w:t>
      </w:r>
      <w:r w:rsidRPr="00D94FA5">
        <w:rPr>
          <w:sz w:val="24"/>
        </w:rPr>
        <w:t>, Eeles RA</w:t>
      </w:r>
      <w:r w:rsidR="00D94FA5" w:rsidRPr="00D94FA5">
        <w:rPr>
          <w:sz w:val="24"/>
          <w:vertAlign w:val="superscript"/>
        </w:rPr>
        <w:t>2</w:t>
      </w:r>
      <w:r w:rsidR="006D689B">
        <w:rPr>
          <w:sz w:val="24"/>
          <w:vertAlign w:val="superscript"/>
        </w:rPr>
        <w:t>,1</w:t>
      </w:r>
      <w:r w:rsidRPr="00D94FA5">
        <w:rPr>
          <w:sz w:val="24"/>
        </w:rPr>
        <w:t>, Aaronson N</w:t>
      </w:r>
      <w:r w:rsidR="00A85685">
        <w:rPr>
          <w:sz w:val="24"/>
        </w:rPr>
        <w:t>K</w:t>
      </w:r>
      <w:r w:rsidR="00D94FA5" w:rsidRPr="00D94FA5">
        <w:rPr>
          <w:sz w:val="24"/>
          <w:vertAlign w:val="superscript"/>
        </w:rPr>
        <w:t>19</w:t>
      </w:r>
      <w:r w:rsidRPr="00D94FA5">
        <w:rPr>
          <w:sz w:val="24"/>
        </w:rPr>
        <w:t>.</w:t>
      </w:r>
    </w:p>
    <w:p w14:paraId="743C82E0" w14:textId="77777777" w:rsidR="007D700A" w:rsidRPr="0011464F" w:rsidRDefault="007D700A" w:rsidP="001E225F">
      <w:pPr>
        <w:spacing w:line="360" w:lineRule="auto"/>
        <w:rPr>
          <w:rFonts w:asciiTheme="minorHAnsi" w:hAnsiTheme="minorHAnsi"/>
          <w:sz w:val="24"/>
        </w:rPr>
      </w:pPr>
    </w:p>
    <w:p w14:paraId="5075C19C" w14:textId="57C93FE3" w:rsidR="00427B1F" w:rsidRPr="00D94FA5" w:rsidRDefault="00427B1F" w:rsidP="001E225F">
      <w:pPr>
        <w:pStyle w:val="Heading2"/>
        <w:spacing w:before="0" w:after="0" w:line="360" w:lineRule="auto"/>
        <w:rPr>
          <w:rFonts w:asciiTheme="minorHAnsi" w:hAnsiTheme="minorHAnsi"/>
          <w:b w:val="0"/>
          <w:sz w:val="24"/>
          <w:szCs w:val="24"/>
        </w:rPr>
      </w:pPr>
      <w:r w:rsidRPr="00D94FA5">
        <w:rPr>
          <w:rFonts w:asciiTheme="minorHAnsi" w:hAnsiTheme="minorHAnsi"/>
          <w:b w:val="0"/>
          <w:sz w:val="24"/>
          <w:szCs w:val="24"/>
        </w:rPr>
        <w:t xml:space="preserve">1. </w:t>
      </w:r>
      <w:proofErr w:type="spellStart"/>
      <w:r w:rsidR="00CF6B52" w:rsidRPr="00D94FA5">
        <w:rPr>
          <w:rFonts w:asciiTheme="minorHAnsi" w:hAnsiTheme="minorHAnsi"/>
          <w:b w:val="0"/>
          <w:sz w:val="24"/>
          <w:szCs w:val="24"/>
        </w:rPr>
        <w:t>Oncogenetics</w:t>
      </w:r>
      <w:proofErr w:type="spellEnd"/>
      <w:r w:rsidR="00CF6B52" w:rsidRPr="00D94FA5">
        <w:rPr>
          <w:rFonts w:asciiTheme="minorHAnsi" w:hAnsiTheme="minorHAnsi"/>
          <w:b w:val="0"/>
          <w:sz w:val="24"/>
          <w:szCs w:val="24"/>
        </w:rPr>
        <w:t xml:space="preserve"> Team,</w:t>
      </w:r>
      <w:r w:rsidRPr="00D94FA5">
        <w:rPr>
          <w:rFonts w:asciiTheme="minorHAnsi" w:hAnsiTheme="minorHAnsi"/>
          <w:b w:val="0"/>
          <w:sz w:val="24"/>
          <w:szCs w:val="24"/>
        </w:rPr>
        <w:t xml:space="preserve"> </w:t>
      </w:r>
      <w:proofErr w:type="gramStart"/>
      <w:r w:rsidRPr="00D94FA5">
        <w:rPr>
          <w:rFonts w:asciiTheme="minorHAnsi" w:hAnsiTheme="minorHAnsi"/>
          <w:b w:val="0"/>
          <w:sz w:val="24"/>
          <w:szCs w:val="24"/>
        </w:rPr>
        <w:t>The</w:t>
      </w:r>
      <w:proofErr w:type="gramEnd"/>
      <w:r w:rsidRPr="00D94FA5">
        <w:rPr>
          <w:rFonts w:asciiTheme="minorHAnsi" w:hAnsiTheme="minorHAnsi"/>
          <w:b w:val="0"/>
          <w:sz w:val="24"/>
          <w:szCs w:val="24"/>
        </w:rPr>
        <w:t xml:space="preserve"> Royal Marsden NHS Foundation Trust, London, UK</w:t>
      </w:r>
    </w:p>
    <w:p w14:paraId="767A645B" w14:textId="77777777" w:rsidR="00427B1F" w:rsidRPr="00D94FA5" w:rsidRDefault="00427B1F" w:rsidP="001E225F">
      <w:pPr>
        <w:pStyle w:val="Heading2"/>
        <w:spacing w:before="0" w:after="0" w:line="360" w:lineRule="auto"/>
        <w:rPr>
          <w:rFonts w:asciiTheme="minorHAnsi" w:hAnsiTheme="minorHAnsi"/>
          <w:b w:val="0"/>
          <w:sz w:val="24"/>
          <w:szCs w:val="24"/>
        </w:rPr>
      </w:pPr>
      <w:r w:rsidRPr="00D94FA5">
        <w:rPr>
          <w:rFonts w:asciiTheme="minorHAnsi" w:hAnsiTheme="minorHAnsi"/>
          <w:b w:val="0"/>
          <w:sz w:val="24"/>
          <w:szCs w:val="24"/>
        </w:rPr>
        <w:t xml:space="preserve">2. </w:t>
      </w:r>
      <w:proofErr w:type="spellStart"/>
      <w:r w:rsidRPr="00D94FA5">
        <w:rPr>
          <w:rFonts w:asciiTheme="minorHAnsi" w:hAnsiTheme="minorHAnsi"/>
          <w:b w:val="0"/>
          <w:sz w:val="24"/>
          <w:szCs w:val="24"/>
        </w:rPr>
        <w:t>Oncogenetics</w:t>
      </w:r>
      <w:proofErr w:type="spellEnd"/>
      <w:r w:rsidRPr="00D94FA5">
        <w:rPr>
          <w:rFonts w:asciiTheme="minorHAnsi" w:hAnsiTheme="minorHAnsi"/>
          <w:b w:val="0"/>
          <w:sz w:val="24"/>
          <w:szCs w:val="24"/>
        </w:rPr>
        <w:t xml:space="preserve"> Team, </w:t>
      </w:r>
      <w:proofErr w:type="gramStart"/>
      <w:r w:rsidRPr="00D94FA5">
        <w:rPr>
          <w:rFonts w:asciiTheme="minorHAnsi" w:hAnsiTheme="minorHAnsi"/>
          <w:b w:val="0"/>
          <w:sz w:val="24"/>
          <w:szCs w:val="24"/>
        </w:rPr>
        <w:t>The</w:t>
      </w:r>
      <w:proofErr w:type="gramEnd"/>
      <w:r w:rsidRPr="00D94FA5">
        <w:rPr>
          <w:rFonts w:asciiTheme="minorHAnsi" w:hAnsiTheme="minorHAnsi"/>
          <w:b w:val="0"/>
          <w:sz w:val="24"/>
          <w:szCs w:val="24"/>
        </w:rPr>
        <w:t xml:space="preserve"> Institute of Cancer Research, London, UK</w:t>
      </w:r>
    </w:p>
    <w:p w14:paraId="06C3A9F1" w14:textId="1B5B4623" w:rsidR="00F7440F" w:rsidRPr="00D94FA5" w:rsidRDefault="00427B1F" w:rsidP="001E225F">
      <w:pPr>
        <w:pStyle w:val="Heading2"/>
        <w:spacing w:before="0" w:after="0" w:line="360" w:lineRule="auto"/>
        <w:rPr>
          <w:rFonts w:asciiTheme="minorHAnsi" w:hAnsiTheme="minorHAnsi"/>
          <w:b w:val="0"/>
          <w:sz w:val="24"/>
          <w:szCs w:val="24"/>
        </w:rPr>
      </w:pPr>
      <w:r w:rsidRPr="00D94FA5">
        <w:rPr>
          <w:rFonts w:asciiTheme="minorHAnsi" w:hAnsiTheme="minorHAnsi"/>
          <w:b w:val="0"/>
          <w:sz w:val="24"/>
          <w:szCs w:val="24"/>
        </w:rPr>
        <w:t xml:space="preserve">3. </w:t>
      </w:r>
      <w:r w:rsidR="00F7440F" w:rsidRPr="00D94FA5">
        <w:rPr>
          <w:rFonts w:asciiTheme="minorHAnsi" w:hAnsiTheme="minorHAnsi"/>
          <w:b w:val="0"/>
          <w:sz w:val="24"/>
          <w:szCs w:val="24"/>
        </w:rPr>
        <w:t>Clinical Genetics Unit, Birmingham Women's Hospital, Birmingham, UK</w:t>
      </w:r>
    </w:p>
    <w:p w14:paraId="66F0CAEE" w14:textId="104982B8" w:rsidR="00427B1F" w:rsidRPr="00D94FA5" w:rsidRDefault="00F7440F" w:rsidP="001E225F">
      <w:pPr>
        <w:pStyle w:val="Heading2"/>
        <w:spacing w:before="0" w:after="0" w:line="360" w:lineRule="auto"/>
        <w:rPr>
          <w:rFonts w:asciiTheme="minorHAnsi" w:hAnsiTheme="minorHAnsi"/>
          <w:b w:val="0"/>
          <w:sz w:val="24"/>
          <w:szCs w:val="24"/>
        </w:rPr>
      </w:pPr>
      <w:r w:rsidRPr="00D94FA5">
        <w:rPr>
          <w:rFonts w:asciiTheme="minorHAnsi" w:hAnsiTheme="minorHAnsi"/>
          <w:b w:val="0"/>
          <w:sz w:val="24"/>
          <w:szCs w:val="24"/>
        </w:rPr>
        <w:t xml:space="preserve">4.  Sheffield Clinical Genetics Service, Sheffield Children's </w:t>
      </w:r>
      <w:r w:rsidR="009B1AD1" w:rsidRPr="00D94FA5">
        <w:rPr>
          <w:rFonts w:asciiTheme="minorHAnsi" w:hAnsiTheme="minorHAnsi"/>
          <w:b w:val="0"/>
          <w:sz w:val="24"/>
          <w:szCs w:val="24"/>
        </w:rPr>
        <w:t>Hospital</w:t>
      </w:r>
      <w:r w:rsidRPr="00D94FA5">
        <w:rPr>
          <w:rFonts w:asciiTheme="minorHAnsi" w:hAnsiTheme="minorHAnsi"/>
          <w:b w:val="0"/>
          <w:sz w:val="24"/>
          <w:szCs w:val="24"/>
        </w:rPr>
        <w:t>, Sheffield, UK</w:t>
      </w:r>
    </w:p>
    <w:p w14:paraId="42071D55" w14:textId="6F2896CC" w:rsidR="00F7440F" w:rsidRPr="00D94FA5" w:rsidRDefault="00F7440F" w:rsidP="001E225F">
      <w:pPr>
        <w:spacing w:after="0" w:line="360" w:lineRule="auto"/>
        <w:rPr>
          <w:rFonts w:asciiTheme="minorHAnsi" w:hAnsiTheme="minorHAnsi"/>
          <w:sz w:val="24"/>
        </w:rPr>
      </w:pPr>
      <w:r w:rsidRPr="00D94FA5">
        <w:rPr>
          <w:sz w:val="24"/>
        </w:rPr>
        <w:t xml:space="preserve">5. </w:t>
      </w:r>
      <w:r w:rsidRPr="00D94FA5">
        <w:rPr>
          <w:rFonts w:asciiTheme="minorHAnsi" w:hAnsiTheme="minorHAnsi"/>
          <w:sz w:val="24"/>
        </w:rPr>
        <w:t xml:space="preserve">The John and Carol Walter </w:t>
      </w:r>
      <w:proofErr w:type="spellStart"/>
      <w:r w:rsidRPr="00D94FA5">
        <w:rPr>
          <w:rFonts w:asciiTheme="minorHAnsi" w:hAnsiTheme="minorHAnsi"/>
          <w:sz w:val="24"/>
        </w:rPr>
        <w:t>Center</w:t>
      </w:r>
      <w:proofErr w:type="spellEnd"/>
      <w:r w:rsidRPr="00D94FA5">
        <w:rPr>
          <w:rFonts w:asciiTheme="minorHAnsi" w:hAnsiTheme="minorHAnsi"/>
          <w:sz w:val="24"/>
        </w:rPr>
        <w:t xml:space="preserve"> for Urological Health, North Shore University Health System, Evanston, IL, USA</w:t>
      </w:r>
    </w:p>
    <w:p w14:paraId="48A73959" w14:textId="77777777" w:rsidR="0043638F" w:rsidRPr="00D94FA5" w:rsidRDefault="0043638F" w:rsidP="001E225F">
      <w:pPr>
        <w:spacing w:after="0" w:line="360" w:lineRule="auto"/>
        <w:outlineLvl w:val="0"/>
        <w:rPr>
          <w:rFonts w:asciiTheme="minorHAnsi" w:hAnsiTheme="minorHAnsi"/>
          <w:sz w:val="24"/>
        </w:rPr>
      </w:pPr>
      <w:r w:rsidRPr="00D94FA5">
        <w:rPr>
          <w:rFonts w:asciiTheme="minorHAnsi" w:hAnsiTheme="minorHAnsi"/>
          <w:sz w:val="24"/>
        </w:rPr>
        <w:t xml:space="preserve">6. Duncan Guthrie Institute of Medical Genetics, </w:t>
      </w:r>
      <w:proofErr w:type="spellStart"/>
      <w:r w:rsidRPr="00D94FA5">
        <w:rPr>
          <w:rFonts w:asciiTheme="minorHAnsi" w:hAnsiTheme="minorHAnsi"/>
          <w:sz w:val="24"/>
        </w:rPr>
        <w:t>Yorkhill</w:t>
      </w:r>
      <w:proofErr w:type="spellEnd"/>
      <w:r w:rsidRPr="00D94FA5">
        <w:rPr>
          <w:rFonts w:asciiTheme="minorHAnsi" w:hAnsiTheme="minorHAnsi"/>
          <w:sz w:val="24"/>
        </w:rPr>
        <w:t xml:space="preserve"> NHS Trust, Glasgow, UK</w:t>
      </w:r>
    </w:p>
    <w:p w14:paraId="42750F39" w14:textId="77777777" w:rsidR="0043638F" w:rsidRPr="00D94FA5" w:rsidRDefault="0043638F" w:rsidP="001E225F">
      <w:pPr>
        <w:spacing w:after="0" w:line="360" w:lineRule="auto"/>
        <w:outlineLvl w:val="0"/>
        <w:rPr>
          <w:rFonts w:asciiTheme="minorHAnsi" w:hAnsiTheme="minorHAnsi"/>
          <w:sz w:val="24"/>
        </w:rPr>
      </w:pPr>
      <w:r w:rsidRPr="00D94FA5">
        <w:rPr>
          <w:rFonts w:asciiTheme="minorHAnsi" w:hAnsiTheme="minorHAnsi"/>
          <w:sz w:val="24"/>
        </w:rPr>
        <w:t>7. Wessex Clinical Genetics Service, Princess Anne Hospital, Southampton, UK</w:t>
      </w:r>
    </w:p>
    <w:p w14:paraId="4E3839D7" w14:textId="032DF4AB" w:rsidR="0043638F" w:rsidRPr="00D94FA5" w:rsidRDefault="0043638F" w:rsidP="001E225F">
      <w:pPr>
        <w:spacing w:after="0" w:line="360" w:lineRule="auto"/>
        <w:outlineLvl w:val="0"/>
        <w:rPr>
          <w:rFonts w:asciiTheme="minorHAnsi" w:hAnsiTheme="minorHAnsi"/>
          <w:sz w:val="24"/>
        </w:rPr>
      </w:pPr>
      <w:r w:rsidRPr="00D94FA5">
        <w:rPr>
          <w:rFonts w:asciiTheme="minorHAnsi" w:hAnsiTheme="minorHAnsi"/>
          <w:sz w:val="24"/>
        </w:rPr>
        <w:t>8. Faculty of Medicine, University of Southampton, University Hospital Southampton NHS FT, UK</w:t>
      </w:r>
    </w:p>
    <w:p w14:paraId="34968CDD" w14:textId="4642E771" w:rsidR="0043638F" w:rsidRPr="00D94FA5" w:rsidRDefault="0043638F" w:rsidP="001E225F">
      <w:pPr>
        <w:spacing w:after="0" w:line="360" w:lineRule="auto"/>
        <w:outlineLvl w:val="0"/>
        <w:rPr>
          <w:rFonts w:asciiTheme="minorHAnsi" w:hAnsiTheme="minorHAnsi"/>
          <w:sz w:val="24"/>
        </w:rPr>
      </w:pPr>
      <w:r w:rsidRPr="00D94FA5">
        <w:rPr>
          <w:rFonts w:asciiTheme="minorHAnsi" w:hAnsiTheme="minorHAnsi"/>
          <w:sz w:val="24"/>
        </w:rPr>
        <w:t xml:space="preserve">9. High Risk and Cancer Prevention Clinic, </w:t>
      </w:r>
      <w:proofErr w:type="spellStart"/>
      <w:r w:rsidRPr="00D94FA5">
        <w:rPr>
          <w:rFonts w:asciiTheme="minorHAnsi" w:hAnsiTheme="minorHAnsi"/>
          <w:sz w:val="24"/>
        </w:rPr>
        <w:t>Vall</w:t>
      </w:r>
      <w:proofErr w:type="spellEnd"/>
      <w:r w:rsidRPr="00D94FA5">
        <w:rPr>
          <w:rFonts w:asciiTheme="minorHAnsi" w:hAnsiTheme="minorHAnsi"/>
          <w:sz w:val="24"/>
        </w:rPr>
        <w:t xml:space="preserve"> </w:t>
      </w:r>
      <w:proofErr w:type="spellStart"/>
      <w:r w:rsidRPr="00D94FA5">
        <w:rPr>
          <w:rFonts w:asciiTheme="minorHAnsi" w:hAnsiTheme="minorHAnsi"/>
          <w:sz w:val="24"/>
        </w:rPr>
        <w:t>d'Hebron</w:t>
      </w:r>
      <w:proofErr w:type="spellEnd"/>
      <w:r w:rsidRPr="00D94FA5">
        <w:rPr>
          <w:rFonts w:asciiTheme="minorHAnsi" w:hAnsiTheme="minorHAnsi"/>
          <w:sz w:val="24"/>
        </w:rPr>
        <w:t xml:space="preserve"> University Hospital, Barcelona, Spain</w:t>
      </w:r>
    </w:p>
    <w:p w14:paraId="605371A4" w14:textId="492A64F6" w:rsidR="0043638F" w:rsidRPr="00D94FA5" w:rsidRDefault="0043638F" w:rsidP="001E225F">
      <w:pPr>
        <w:spacing w:after="0" w:line="360" w:lineRule="auto"/>
        <w:rPr>
          <w:rFonts w:asciiTheme="minorHAnsi" w:hAnsiTheme="minorHAnsi"/>
          <w:sz w:val="24"/>
        </w:rPr>
      </w:pPr>
      <w:r w:rsidRPr="00D94FA5">
        <w:rPr>
          <w:sz w:val="24"/>
        </w:rPr>
        <w:t xml:space="preserve">10. Clinical Genetics Department, </w:t>
      </w:r>
      <w:r w:rsidRPr="00D94FA5">
        <w:rPr>
          <w:rFonts w:asciiTheme="minorHAnsi" w:hAnsiTheme="minorHAnsi"/>
          <w:sz w:val="24"/>
        </w:rPr>
        <w:t>Royal Devon and Exeter Hospital, Exeter, UK</w:t>
      </w:r>
    </w:p>
    <w:p w14:paraId="01ECA2B0" w14:textId="5CE587D0" w:rsidR="0043638F" w:rsidRPr="00D94FA5" w:rsidRDefault="0043638F" w:rsidP="001E225F">
      <w:pPr>
        <w:spacing w:after="0" w:line="360" w:lineRule="auto"/>
        <w:rPr>
          <w:rFonts w:asciiTheme="minorHAnsi" w:hAnsiTheme="minorHAnsi"/>
          <w:sz w:val="24"/>
        </w:rPr>
      </w:pPr>
      <w:r w:rsidRPr="00D94FA5">
        <w:rPr>
          <w:rFonts w:asciiTheme="minorHAnsi" w:hAnsiTheme="minorHAnsi"/>
          <w:sz w:val="24"/>
        </w:rPr>
        <w:t xml:space="preserve">11. </w:t>
      </w:r>
      <w:r w:rsidR="009B1AD1" w:rsidRPr="009B1AD1">
        <w:rPr>
          <w:rFonts w:asciiTheme="minorHAnsi" w:hAnsiTheme="minorHAnsi"/>
          <w:sz w:val="24"/>
        </w:rPr>
        <w:t>Department of Genetics,</w:t>
      </w:r>
      <w:r w:rsidR="0056661E">
        <w:rPr>
          <w:rFonts w:asciiTheme="minorHAnsi" w:hAnsiTheme="minorHAnsi"/>
          <w:sz w:val="24"/>
        </w:rPr>
        <w:t xml:space="preserve"> </w:t>
      </w:r>
      <w:r w:rsidRPr="00D94FA5">
        <w:rPr>
          <w:rFonts w:asciiTheme="minorHAnsi" w:hAnsiTheme="minorHAnsi"/>
          <w:sz w:val="24"/>
        </w:rPr>
        <w:t>University of Leicester, Leicester, UK</w:t>
      </w:r>
    </w:p>
    <w:p w14:paraId="128FA119" w14:textId="3EF97EFB" w:rsidR="0043638F" w:rsidRPr="00D94FA5" w:rsidRDefault="0043638F" w:rsidP="001E225F">
      <w:pPr>
        <w:spacing w:after="0" w:line="360" w:lineRule="auto"/>
        <w:rPr>
          <w:rFonts w:asciiTheme="minorHAnsi" w:hAnsiTheme="minorHAnsi"/>
          <w:sz w:val="24"/>
        </w:rPr>
      </w:pPr>
      <w:r w:rsidRPr="00D94FA5">
        <w:rPr>
          <w:rFonts w:asciiTheme="minorHAnsi" w:hAnsiTheme="minorHAnsi"/>
          <w:sz w:val="24"/>
        </w:rPr>
        <w:t xml:space="preserve">12. </w:t>
      </w:r>
      <w:r w:rsidR="009B1AD1">
        <w:rPr>
          <w:rFonts w:asciiTheme="minorHAnsi" w:hAnsiTheme="minorHAnsi"/>
          <w:sz w:val="24"/>
        </w:rPr>
        <w:t xml:space="preserve">Clinical Genetics, </w:t>
      </w:r>
      <w:r w:rsidRPr="00D94FA5">
        <w:rPr>
          <w:rFonts w:asciiTheme="minorHAnsi" w:hAnsiTheme="minorHAnsi"/>
          <w:sz w:val="24"/>
        </w:rPr>
        <w:t>University Hospitals Leicester, Leicester, UK</w:t>
      </w:r>
    </w:p>
    <w:p w14:paraId="73EA8D08" w14:textId="60D36F05" w:rsidR="0043638F" w:rsidRPr="00D94FA5" w:rsidRDefault="0043638F" w:rsidP="001E225F">
      <w:pPr>
        <w:spacing w:after="0" w:line="360" w:lineRule="auto"/>
        <w:rPr>
          <w:rFonts w:asciiTheme="minorHAnsi" w:hAnsiTheme="minorHAnsi"/>
          <w:sz w:val="24"/>
        </w:rPr>
      </w:pPr>
      <w:r w:rsidRPr="00D94FA5">
        <w:rPr>
          <w:rFonts w:asciiTheme="minorHAnsi" w:hAnsiTheme="minorHAnsi"/>
          <w:sz w:val="24"/>
        </w:rPr>
        <w:t xml:space="preserve">13. Hereditary Cancer Program, Catalan Institute of Oncology (ICO-IDIBELL, CIBERONC), </w:t>
      </w:r>
      <w:proofErr w:type="spellStart"/>
      <w:r w:rsidRPr="00D94FA5">
        <w:rPr>
          <w:rFonts w:asciiTheme="minorHAnsi" w:hAnsiTheme="minorHAnsi"/>
          <w:sz w:val="24"/>
        </w:rPr>
        <w:t>L’Hospitalet</w:t>
      </w:r>
      <w:proofErr w:type="spellEnd"/>
      <w:r w:rsidRPr="00D94FA5">
        <w:rPr>
          <w:rFonts w:asciiTheme="minorHAnsi" w:hAnsiTheme="minorHAnsi"/>
          <w:sz w:val="24"/>
        </w:rPr>
        <w:t xml:space="preserve"> de </w:t>
      </w:r>
      <w:proofErr w:type="spellStart"/>
      <w:r w:rsidRPr="00D94FA5">
        <w:rPr>
          <w:rFonts w:asciiTheme="minorHAnsi" w:hAnsiTheme="minorHAnsi"/>
          <w:sz w:val="24"/>
        </w:rPr>
        <w:t>Llobregat</w:t>
      </w:r>
      <w:proofErr w:type="spellEnd"/>
      <w:r w:rsidRPr="00D94FA5">
        <w:rPr>
          <w:rFonts w:asciiTheme="minorHAnsi" w:hAnsiTheme="minorHAnsi"/>
          <w:sz w:val="24"/>
        </w:rPr>
        <w:t>, Barcelona, Spain</w:t>
      </w:r>
    </w:p>
    <w:p w14:paraId="2A56F7BF" w14:textId="42EF1AB0" w:rsidR="0043638F" w:rsidRPr="00D94FA5" w:rsidRDefault="0043638F" w:rsidP="001E225F">
      <w:pPr>
        <w:spacing w:after="0" w:line="360" w:lineRule="auto"/>
        <w:rPr>
          <w:rFonts w:asciiTheme="minorHAnsi" w:hAnsiTheme="minorHAnsi"/>
          <w:sz w:val="24"/>
          <w:lang w:val="en-US"/>
        </w:rPr>
      </w:pPr>
      <w:r w:rsidRPr="00D94FA5">
        <w:rPr>
          <w:rFonts w:asciiTheme="minorHAnsi" w:hAnsiTheme="minorHAnsi"/>
          <w:sz w:val="24"/>
        </w:rPr>
        <w:t xml:space="preserve">14. </w:t>
      </w:r>
      <w:r w:rsidRPr="00D94FA5">
        <w:rPr>
          <w:rFonts w:asciiTheme="minorHAnsi" w:hAnsiTheme="minorHAnsi"/>
          <w:sz w:val="24"/>
          <w:lang w:val="en-US"/>
        </w:rPr>
        <w:t>Cheshire and Mersey Clinical Genetics Service, Liverpool Women’s Hospital, UK</w:t>
      </w:r>
    </w:p>
    <w:p w14:paraId="472967CE" w14:textId="7633D7ED" w:rsidR="0043638F" w:rsidRPr="00D94FA5" w:rsidRDefault="0043638F" w:rsidP="001E225F">
      <w:pPr>
        <w:spacing w:after="0" w:line="360" w:lineRule="auto"/>
        <w:rPr>
          <w:rFonts w:asciiTheme="minorHAnsi" w:hAnsiTheme="minorHAnsi"/>
          <w:sz w:val="24"/>
        </w:rPr>
      </w:pPr>
      <w:r w:rsidRPr="00D94FA5">
        <w:rPr>
          <w:rFonts w:asciiTheme="minorHAnsi" w:hAnsiTheme="minorHAnsi"/>
          <w:sz w:val="24"/>
          <w:lang w:val="en-US"/>
        </w:rPr>
        <w:t xml:space="preserve">15. </w:t>
      </w:r>
      <w:r w:rsidR="0056661E">
        <w:rPr>
          <w:rFonts w:asciiTheme="minorHAnsi" w:hAnsiTheme="minorHAnsi"/>
          <w:sz w:val="24"/>
          <w:lang w:val="en-US"/>
        </w:rPr>
        <w:t xml:space="preserve">Clinical Genetics, </w:t>
      </w:r>
      <w:r w:rsidRPr="00D94FA5">
        <w:rPr>
          <w:rFonts w:asciiTheme="minorHAnsi" w:hAnsiTheme="minorHAnsi"/>
          <w:sz w:val="24"/>
        </w:rPr>
        <w:t>Cambridge University Hospitals NHS Foundation Trust, Cambridge, UK</w:t>
      </w:r>
    </w:p>
    <w:p w14:paraId="61362F14" w14:textId="48B0F720" w:rsidR="00D94FA5" w:rsidRPr="00D94FA5" w:rsidRDefault="0043638F" w:rsidP="001E225F">
      <w:pPr>
        <w:spacing w:after="0" w:line="360" w:lineRule="auto"/>
        <w:outlineLvl w:val="0"/>
        <w:rPr>
          <w:rFonts w:asciiTheme="minorHAnsi" w:hAnsiTheme="minorHAnsi" w:cs="Arial"/>
          <w:color w:val="000000"/>
          <w:sz w:val="24"/>
        </w:rPr>
      </w:pPr>
      <w:r w:rsidRPr="00D94FA5">
        <w:rPr>
          <w:rFonts w:asciiTheme="minorHAnsi" w:hAnsiTheme="minorHAnsi"/>
          <w:sz w:val="24"/>
        </w:rPr>
        <w:t xml:space="preserve">16. </w:t>
      </w:r>
      <w:r w:rsidR="00D94FA5" w:rsidRPr="00D94FA5">
        <w:rPr>
          <w:rFonts w:asciiTheme="minorHAnsi" w:hAnsiTheme="minorHAnsi" w:cs="Arial"/>
          <w:color w:val="000000"/>
          <w:sz w:val="24"/>
        </w:rPr>
        <w:t xml:space="preserve">Northern Genetics Service, Newcastle upon Tyne Hospitals, </w:t>
      </w:r>
      <w:r w:rsidR="0056661E">
        <w:rPr>
          <w:rFonts w:asciiTheme="minorHAnsi" w:hAnsiTheme="minorHAnsi" w:cs="Arial"/>
          <w:color w:val="000000"/>
          <w:sz w:val="24"/>
        </w:rPr>
        <w:t xml:space="preserve">Newcastle, </w:t>
      </w:r>
      <w:r w:rsidR="00D94FA5" w:rsidRPr="00D94FA5">
        <w:rPr>
          <w:rFonts w:asciiTheme="minorHAnsi" w:hAnsiTheme="minorHAnsi" w:cs="Arial"/>
          <w:color w:val="000000"/>
          <w:sz w:val="24"/>
        </w:rPr>
        <w:t>UK</w:t>
      </w:r>
    </w:p>
    <w:p w14:paraId="32C77122" w14:textId="150FEE9C" w:rsidR="00D94FA5" w:rsidRPr="00D94FA5" w:rsidRDefault="00D94FA5" w:rsidP="001E225F">
      <w:pPr>
        <w:spacing w:after="0" w:line="360" w:lineRule="auto"/>
        <w:outlineLvl w:val="0"/>
        <w:rPr>
          <w:rFonts w:asciiTheme="minorHAnsi" w:hAnsiTheme="minorHAnsi" w:cs="Arial"/>
          <w:color w:val="000000"/>
          <w:sz w:val="24"/>
        </w:rPr>
      </w:pPr>
      <w:r w:rsidRPr="00D94FA5">
        <w:rPr>
          <w:rFonts w:asciiTheme="minorHAnsi" w:hAnsiTheme="minorHAnsi" w:cs="Arial"/>
          <w:color w:val="000000"/>
          <w:sz w:val="24"/>
        </w:rPr>
        <w:lastRenderedPageBreak/>
        <w:t xml:space="preserve">17. </w:t>
      </w:r>
      <w:r w:rsidR="0056661E">
        <w:rPr>
          <w:rFonts w:asciiTheme="minorHAnsi" w:hAnsiTheme="minorHAnsi" w:cs="Arial"/>
          <w:color w:val="000000"/>
          <w:sz w:val="24"/>
        </w:rPr>
        <w:t xml:space="preserve">Manchester Centre for </w:t>
      </w:r>
      <w:r w:rsidRPr="00D94FA5">
        <w:rPr>
          <w:rFonts w:asciiTheme="minorHAnsi" w:hAnsiTheme="minorHAnsi" w:cs="Arial"/>
          <w:color w:val="000000"/>
          <w:sz w:val="24"/>
        </w:rPr>
        <w:t>Genomic Medicine, Central Manchester University Hospitals NHS Foundation Trust, Manchester, UK</w:t>
      </w:r>
    </w:p>
    <w:p w14:paraId="2D5ECC72" w14:textId="1F4189C7" w:rsidR="00D94FA5" w:rsidRPr="00D94FA5" w:rsidRDefault="00D94FA5" w:rsidP="001E225F">
      <w:pPr>
        <w:spacing w:after="0" w:line="360" w:lineRule="auto"/>
        <w:outlineLvl w:val="0"/>
        <w:rPr>
          <w:rFonts w:asciiTheme="minorHAnsi" w:hAnsiTheme="minorHAnsi"/>
          <w:sz w:val="24"/>
        </w:rPr>
      </w:pPr>
      <w:r w:rsidRPr="00D94FA5">
        <w:rPr>
          <w:rFonts w:asciiTheme="minorHAnsi" w:hAnsiTheme="minorHAnsi" w:cs="Arial"/>
          <w:color w:val="000000"/>
          <w:sz w:val="24"/>
        </w:rPr>
        <w:t xml:space="preserve">18. </w:t>
      </w:r>
      <w:r w:rsidRPr="00D94FA5">
        <w:rPr>
          <w:rFonts w:asciiTheme="minorHAnsi" w:hAnsiTheme="minorHAnsi"/>
          <w:sz w:val="24"/>
        </w:rPr>
        <w:t xml:space="preserve">Huntsman </w:t>
      </w:r>
      <w:r w:rsidRPr="00D94FA5">
        <w:rPr>
          <w:rFonts w:asciiTheme="minorHAnsi" w:hAnsiTheme="minorHAnsi"/>
          <w:sz w:val="24"/>
          <w:lang w:val="en-US"/>
        </w:rPr>
        <w:t>Cancer Institute</w:t>
      </w:r>
      <w:r w:rsidR="0056661E">
        <w:rPr>
          <w:rFonts w:asciiTheme="minorHAnsi" w:hAnsiTheme="minorHAnsi"/>
          <w:sz w:val="24"/>
          <w:lang w:val="en-US"/>
        </w:rPr>
        <w:t>,</w:t>
      </w:r>
      <w:r w:rsidRPr="00D94FA5">
        <w:rPr>
          <w:rFonts w:asciiTheme="minorHAnsi" w:hAnsiTheme="minorHAnsi"/>
          <w:sz w:val="24"/>
          <w:lang w:val="en-US"/>
        </w:rPr>
        <w:t xml:space="preserve"> </w:t>
      </w:r>
      <w:proofErr w:type="gramStart"/>
      <w:r w:rsidR="0056661E">
        <w:rPr>
          <w:rFonts w:asciiTheme="minorHAnsi" w:hAnsiTheme="minorHAnsi"/>
          <w:sz w:val="24"/>
          <w:lang w:val="en-US"/>
        </w:rPr>
        <w:t>T</w:t>
      </w:r>
      <w:r w:rsidRPr="00D94FA5">
        <w:rPr>
          <w:rFonts w:asciiTheme="minorHAnsi" w:hAnsiTheme="minorHAnsi"/>
          <w:sz w:val="24"/>
          <w:lang w:val="en-US"/>
        </w:rPr>
        <w:t>he</w:t>
      </w:r>
      <w:proofErr w:type="gramEnd"/>
      <w:r w:rsidRPr="00D94FA5">
        <w:rPr>
          <w:rFonts w:asciiTheme="minorHAnsi" w:hAnsiTheme="minorHAnsi"/>
          <w:sz w:val="24"/>
          <w:lang w:val="en-US"/>
        </w:rPr>
        <w:t xml:space="preserve"> University of Utah</w:t>
      </w:r>
      <w:r w:rsidRPr="00D94FA5">
        <w:rPr>
          <w:rFonts w:asciiTheme="minorHAnsi" w:hAnsiTheme="minorHAnsi"/>
          <w:sz w:val="24"/>
        </w:rPr>
        <w:t>, Salt Lake City, UT, USA</w:t>
      </w:r>
    </w:p>
    <w:p w14:paraId="52CE073A" w14:textId="31025C4D" w:rsidR="00D94FA5" w:rsidRPr="00D94FA5" w:rsidRDefault="00D94FA5" w:rsidP="001E225F">
      <w:pPr>
        <w:spacing w:after="0" w:line="360" w:lineRule="auto"/>
        <w:outlineLvl w:val="0"/>
        <w:rPr>
          <w:rFonts w:asciiTheme="minorHAnsi" w:hAnsiTheme="minorHAnsi"/>
          <w:sz w:val="24"/>
        </w:rPr>
      </w:pPr>
      <w:r w:rsidRPr="00D94FA5">
        <w:rPr>
          <w:rFonts w:asciiTheme="minorHAnsi" w:hAnsiTheme="minorHAnsi"/>
          <w:sz w:val="24"/>
        </w:rPr>
        <w:t xml:space="preserve">19. </w:t>
      </w:r>
      <w:r w:rsidR="00A85685">
        <w:rPr>
          <w:rFonts w:asciiTheme="minorHAnsi" w:hAnsiTheme="minorHAnsi"/>
          <w:sz w:val="24"/>
        </w:rPr>
        <w:t xml:space="preserve">Division of Psychosocial Research &amp; Epidemiology, </w:t>
      </w:r>
      <w:proofErr w:type="gramStart"/>
      <w:r w:rsidRPr="00D94FA5">
        <w:rPr>
          <w:rFonts w:asciiTheme="minorHAnsi" w:hAnsiTheme="minorHAnsi"/>
          <w:sz w:val="24"/>
        </w:rPr>
        <w:t>The</w:t>
      </w:r>
      <w:proofErr w:type="gramEnd"/>
      <w:r w:rsidRPr="00D94FA5">
        <w:rPr>
          <w:rFonts w:asciiTheme="minorHAnsi" w:hAnsiTheme="minorHAnsi"/>
          <w:sz w:val="24"/>
        </w:rPr>
        <w:t xml:space="preserve"> Netherlands Cancer Institute, Amsterdam, The Netherlands</w:t>
      </w:r>
    </w:p>
    <w:p w14:paraId="1CA160A2" w14:textId="77777777" w:rsidR="00AE0845" w:rsidRDefault="00AE0845" w:rsidP="001E225F">
      <w:pPr>
        <w:spacing w:after="0" w:line="360" w:lineRule="auto"/>
        <w:rPr>
          <w:rFonts w:asciiTheme="minorHAnsi" w:hAnsiTheme="minorHAnsi"/>
          <w:sz w:val="24"/>
        </w:rPr>
      </w:pPr>
    </w:p>
    <w:p w14:paraId="612DBD99" w14:textId="77777777" w:rsidR="001E225F" w:rsidRDefault="001E225F" w:rsidP="00AE0845">
      <w:pPr>
        <w:spacing w:line="480" w:lineRule="auto"/>
        <w:rPr>
          <w:sz w:val="24"/>
        </w:rPr>
      </w:pPr>
    </w:p>
    <w:p w14:paraId="29012543" w14:textId="77777777" w:rsidR="00AE0845" w:rsidRPr="00BC7F92" w:rsidRDefault="00AE0845" w:rsidP="00AE0845">
      <w:pPr>
        <w:spacing w:line="480" w:lineRule="auto"/>
        <w:rPr>
          <w:sz w:val="24"/>
        </w:rPr>
      </w:pPr>
      <w:r w:rsidRPr="00AE0845">
        <w:rPr>
          <w:sz w:val="24"/>
        </w:rPr>
        <w:t xml:space="preserve">* </w:t>
      </w:r>
      <w:r w:rsidRPr="00BC7F92">
        <w:rPr>
          <w:sz w:val="24"/>
        </w:rPr>
        <w:t>Joint first authorship position</w:t>
      </w:r>
    </w:p>
    <w:p w14:paraId="7DEB44DB" w14:textId="098ABB5E" w:rsidR="00427B1F" w:rsidRPr="0011464F" w:rsidRDefault="00AE0845" w:rsidP="001E225F">
      <w:pPr>
        <w:spacing w:after="0" w:line="360" w:lineRule="auto"/>
        <w:rPr>
          <w:rFonts w:asciiTheme="minorHAnsi" w:hAnsiTheme="minorHAnsi"/>
          <w:sz w:val="24"/>
        </w:rPr>
      </w:pPr>
      <w:r w:rsidRPr="00AE0845">
        <w:rPr>
          <w:rFonts w:asciiTheme="minorHAnsi" w:hAnsiTheme="minorHAnsi"/>
          <w:sz w:val="24"/>
        </w:rPr>
        <w:t xml:space="preserve">+ </w:t>
      </w:r>
      <w:r>
        <w:rPr>
          <w:rFonts w:asciiTheme="minorHAnsi" w:hAnsiTheme="minorHAnsi"/>
          <w:sz w:val="24"/>
        </w:rPr>
        <w:t>Full listing supplied in Appendix 1</w:t>
      </w:r>
      <w:r w:rsidR="001E225F">
        <w:rPr>
          <w:rFonts w:asciiTheme="minorHAnsi" w:hAnsiTheme="minorHAnsi"/>
          <w:sz w:val="24"/>
        </w:rPr>
        <w:t xml:space="preserve"> </w:t>
      </w:r>
      <w:r w:rsidR="00427B1F" w:rsidRPr="0011464F">
        <w:rPr>
          <w:rFonts w:asciiTheme="minorHAnsi" w:hAnsiTheme="minorHAnsi"/>
          <w:sz w:val="24"/>
        </w:rPr>
        <w:t>Corresponding Author:</w:t>
      </w:r>
    </w:p>
    <w:p w14:paraId="2A42B541" w14:textId="77777777" w:rsidR="001E225F" w:rsidRDefault="001E225F" w:rsidP="001E225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heme="minorHAnsi" w:eastAsia="Calibri" w:hAnsiTheme="minorHAnsi" w:cs="Calibri"/>
          <w:sz w:val="24"/>
          <w:szCs w:val="24"/>
        </w:rPr>
      </w:pPr>
    </w:p>
    <w:p w14:paraId="5C30499D" w14:textId="77777777" w:rsidR="001E225F" w:rsidRDefault="001E225F" w:rsidP="001E225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heme="minorHAnsi" w:eastAsia="Calibri" w:hAnsiTheme="minorHAnsi" w:cs="Calibri"/>
          <w:sz w:val="24"/>
          <w:szCs w:val="24"/>
        </w:rPr>
      </w:pPr>
    </w:p>
    <w:p w14:paraId="4385056B" w14:textId="77777777" w:rsidR="001E225F" w:rsidRDefault="001E225F" w:rsidP="001E225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heme="minorHAnsi" w:eastAsia="Calibri" w:hAnsiTheme="minorHAnsi" w:cs="Calibri"/>
          <w:sz w:val="24"/>
          <w:szCs w:val="24"/>
        </w:rPr>
      </w:pPr>
    </w:p>
    <w:p w14:paraId="45BD8649" w14:textId="77777777" w:rsidR="007D700A" w:rsidRPr="0011464F" w:rsidRDefault="007D700A" w:rsidP="001E225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heme="minorHAnsi" w:eastAsia="Calibri" w:hAnsiTheme="minorHAnsi" w:cs="Calibri"/>
          <w:b/>
          <w:bCs/>
          <w:sz w:val="24"/>
          <w:szCs w:val="24"/>
        </w:rPr>
      </w:pPr>
      <w:r w:rsidRPr="0011464F">
        <w:rPr>
          <w:rFonts w:asciiTheme="minorHAnsi" w:eastAsia="Calibri" w:hAnsiTheme="minorHAnsi" w:cs="Calibri"/>
          <w:sz w:val="24"/>
          <w:szCs w:val="24"/>
        </w:rPr>
        <w:t>Elizabeth Bancroft</w:t>
      </w:r>
    </w:p>
    <w:p w14:paraId="12D57AC2" w14:textId="77777777" w:rsidR="007D700A" w:rsidRPr="0011464F" w:rsidRDefault="007D700A" w:rsidP="001E225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heme="minorHAnsi" w:eastAsia="Calibri" w:hAnsiTheme="minorHAnsi" w:cs="Calibri"/>
          <w:sz w:val="24"/>
          <w:szCs w:val="24"/>
        </w:rPr>
      </w:pPr>
      <w:r w:rsidRPr="0011464F">
        <w:rPr>
          <w:rFonts w:asciiTheme="minorHAnsi" w:eastAsia="Calibri" w:hAnsiTheme="minorHAnsi" w:cs="Calibri"/>
          <w:sz w:val="24"/>
          <w:szCs w:val="24"/>
        </w:rPr>
        <w:t>The</w:t>
      </w:r>
      <w:r w:rsidRPr="0011464F">
        <w:rPr>
          <w:rFonts w:asciiTheme="minorHAnsi" w:eastAsia="Calibri" w:hAnsiTheme="minorHAnsi" w:cs="Calibri"/>
          <w:b/>
          <w:bCs/>
          <w:sz w:val="24"/>
          <w:szCs w:val="24"/>
        </w:rPr>
        <w:t xml:space="preserve"> </w:t>
      </w:r>
      <w:r w:rsidRPr="0011464F">
        <w:rPr>
          <w:rFonts w:asciiTheme="minorHAnsi" w:eastAsia="Calibri" w:hAnsiTheme="minorHAnsi" w:cs="Calibri"/>
          <w:sz w:val="24"/>
          <w:szCs w:val="24"/>
        </w:rPr>
        <w:t>Institute of Cancer Research</w:t>
      </w:r>
    </w:p>
    <w:p w14:paraId="22D32EF5" w14:textId="77777777" w:rsidR="007D700A" w:rsidRPr="0011464F" w:rsidRDefault="007D700A" w:rsidP="001E225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heme="minorHAnsi" w:eastAsia="Calibri" w:hAnsiTheme="minorHAnsi" w:cs="Calibri"/>
          <w:sz w:val="24"/>
          <w:szCs w:val="24"/>
        </w:rPr>
      </w:pPr>
      <w:r w:rsidRPr="0011464F">
        <w:rPr>
          <w:rFonts w:asciiTheme="minorHAnsi" w:eastAsia="Calibri" w:hAnsiTheme="minorHAnsi" w:cs="Calibri"/>
          <w:sz w:val="24"/>
          <w:szCs w:val="24"/>
        </w:rPr>
        <w:t xml:space="preserve">123 Old </w:t>
      </w:r>
      <w:proofErr w:type="spellStart"/>
      <w:r w:rsidRPr="0011464F">
        <w:rPr>
          <w:rFonts w:asciiTheme="minorHAnsi" w:eastAsia="Calibri" w:hAnsiTheme="minorHAnsi" w:cs="Calibri"/>
          <w:sz w:val="24"/>
          <w:szCs w:val="24"/>
        </w:rPr>
        <w:t>Brompton</w:t>
      </w:r>
      <w:proofErr w:type="spellEnd"/>
      <w:r w:rsidRPr="0011464F">
        <w:rPr>
          <w:rFonts w:asciiTheme="minorHAnsi" w:eastAsia="Calibri" w:hAnsiTheme="minorHAnsi" w:cs="Calibri"/>
          <w:sz w:val="24"/>
          <w:szCs w:val="24"/>
        </w:rPr>
        <w:t xml:space="preserve"> Rd</w:t>
      </w:r>
    </w:p>
    <w:p w14:paraId="1ABD359D" w14:textId="77777777" w:rsidR="007D700A" w:rsidRPr="0011464F" w:rsidRDefault="007D700A" w:rsidP="001E225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heme="minorHAnsi" w:eastAsia="Calibri" w:hAnsiTheme="minorHAnsi" w:cs="Calibri"/>
          <w:sz w:val="24"/>
          <w:szCs w:val="24"/>
        </w:rPr>
      </w:pPr>
      <w:r w:rsidRPr="0011464F">
        <w:rPr>
          <w:rFonts w:asciiTheme="minorHAnsi" w:eastAsia="Calibri" w:hAnsiTheme="minorHAnsi" w:cs="Calibri"/>
          <w:sz w:val="24"/>
          <w:szCs w:val="24"/>
        </w:rPr>
        <w:t>SW7 3RP</w:t>
      </w:r>
    </w:p>
    <w:p w14:paraId="11A3819E" w14:textId="09AB9875" w:rsidR="007D700A" w:rsidRPr="0011464F" w:rsidRDefault="007D700A" w:rsidP="001E225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heme="minorHAnsi" w:eastAsia="Calibri" w:hAnsiTheme="minorHAnsi" w:cs="Calibri"/>
          <w:sz w:val="24"/>
          <w:szCs w:val="24"/>
        </w:rPr>
      </w:pPr>
      <w:r w:rsidRPr="0011464F">
        <w:rPr>
          <w:rFonts w:asciiTheme="minorHAnsi" w:eastAsia="Calibri" w:hAnsiTheme="minorHAnsi" w:cs="Calibri"/>
          <w:sz w:val="24"/>
          <w:szCs w:val="24"/>
        </w:rPr>
        <w:t>London</w:t>
      </w:r>
      <w:r w:rsidR="00D94FA5">
        <w:rPr>
          <w:rFonts w:asciiTheme="minorHAnsi" w:eastAsia="Calibri" w:hAnsiTheme="minorHAnsi" w:cs="Calibri"/>
          <w:sz w:val="24"/>
          <w:szCs w:val="24"/>
        </w:rPr>
        <w:t xml:space="preserve">, </w:t>
      </w:r>
      <w:r w:rsidRPr="0011464F">
        <w:rPr>
          <w:rFonts w:asciiTheme="minorHAnsi" w:eastAsia="Calibri" w:hAnsiTheme="minorHAnsi" w:cs="Calibri"/>
          <w:sz w:val="24"/>
          <w:szCs w:val="24"/>
        </w:rPr>
        <w:t>UK</w:t>
      </w:r>
    </w:p>
    <w:p w14:paraId="48B04F2F" w14:textId="77777777" w:rsidR="007D700A" w:rsidRPr="0011464F" w:rsidRDefault="007D700A" w:rsidP="001E225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heme="minorHAnsi" w:eastAsia="Calibri" w:hAnsiTheme="minorHAnsi" w:cs="Calibri"/>
          <w:sz w:val="24"/>
          <w:szCs w:val="24"/>
        </w:rPr>
      </w:pPr>
    </w:p>
    <w:p w14:paraId="2EDA8E2D" w14:textId="77777777" w:rsidR="007D700A" w:rsidRPr="0011464F" w:rsidRDefault="007D700A" w:rsidP="001E225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heme="minorHAnsi" w:eastAsia="Calibri" w:hAnsiTheme="minorHAnsi" w:cs="Calibri"/>
          <w:sz w:val="24"/>
          <w:szCs w:val="24"/>
        </w:rPr>
      </w:pPr>
      <w:r w:rsidRPr="0011464F">
        <w:rPr>
          <w:rFonts w:asciiTheme="minorHAnsi" w:eastAsia="Calibri" w:hAnsiTheme="minorHAnsi" w:cs="Calibri"/>
          <w:sz w:val="24"/>
          <w:szCs w:val="24"/>
        </w:rPr>
        <w:t>Tel: 0207 808 2136</w:t>
      </w:r>
    </w:p>
    <w:p w14:paraId="118D0E7F" w14:textId="77777777" w:rsidR="007D700A" w:rsidRPr="0011464F" w:rsidRDefault="007D700A" w:rsidP="001E225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heme="minorHAnsi" w:eastAsia="Calibri" w:hAnsiTheme="minorHAnsi" w:cs="Calibri"/>
          <w:sz w:val="24"/>
          <w:szCs w:val="24"/>
        </w:rPr>
      </w:pPr>
      <w:r w:rsidRPr="0011464F">
        <w:rPr>
          <w:rFonts w:asciiTheme="minorHAnsi" w:eastAsia="Calibri" w:hAnsiTheme="minorHAnsi" w:cs="Calibri"/>
          <w:sz w:val="24"/>
          <w:szCs w:val="24"/>
        </w:rPr>
        <w:t>Fax: 0208 722 4110</w:t>
      </w:r>
    </w:p>
    <w:p w14:paraId="6B71CFD0" w14:textId="77777777" w:rsidR="00427B1F" w:rsidRPr="0011464F" w:rsidRDefault="007D700A" w:rsidP="001E225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heme="minorHAnsi" w:hAnsiTheme="minorHAnsi"/>
          <w:sz w:val="24"/>
          <w:szCs w:val="24"/>
        </w:rPr>
      </w:pPr>
      <w:proofErr w:type="gramStart"/>
      <w:r w:rsidRPr="0011464F">
        <w:rPr>
          <w:rFonts w:asciiTheme="minorHAnsi" w:eastAsia="Calibri" w:hAnsiTheme="minorHAnsi" w:cs="Calibri"/>
          <w:sz w:val="24"/>
          <w:szCs w:val="24"/>
        </w:rPr>
        <w:t>email</w:t>
      </w:r>
      <w:proofErr w:type="gramEnd"/>
      <w:r w:rsidRPr="0011464F">
        <w:rPr>
          <w:rFonts w:asciiTheme="minorHAnsi" w:eastAsia="Calibri" w:hAnsiTheme="minorHAnsi" w:cs="Calibri"/>
          <w:sz w:val="24"/>
          <w:szCs w:val="24"/>
        </w:rPr>
        <w:t xml:space="preserve">: </w:t>
      </w:r>
      <w:hyperlink r:id="rId6" w:history="1">
        <w:r w:rsidRPr="0011464F">
          <w:rPr>
            <w:rStyle w:val="Hyperlink"/>
            <w:rFonts w:asciiTheme="minorHAnsi" w:eastAsia="Calibri" w:hAnsiTheme="minorHAnsi" w:cs="Calibri"/>
            <w:sz w:val="24"/>
            <w:szCs w:val="24"/>
          </w:rPr>
          <w:t>elizabeth.bancroft@rmh.nhs.uk</w:t>
        </w:r>
      </w:hyperlink>
    </w:p>
    <w:p w14:paraId="083E48D1" w14:textId="06281800" w:rsidR="00614147" w:rsidRDefault="00614147" w:rsidP="001E225F">
      <w:pPr>
        <w:spacing w:after="0" w:line="360" w:lineRule="auto"/>
        <w:rPr>
          <w:rFonts w:asciiTheme="minorHAnsi" w:hAnsiTheme="minorHAnsi"/>
          <w:b/>
          <w:sz w:val="24"/>
        </w:rPr>
      </w:pPr>
      <w:r>
        <w:rPr>
          <w:rFonts w:asciiTheme="minorHAnsi" w:hAnsiTheme="minorHAnsi"/>
          <w:sz w:val="24"/>
        </w:rPr>
        <w:br w:type="page"/>
      </w:r>
    </w:p>
    <w:p w14:paraId="4B2D6721" w14:textId="6276580C" w:rsidR="00427B1F" w:rsidRPr="00D94FA5" w:rsidRDefault="00614147" w:rsidP="001E225F">
      <w:pPr>
        <w:pStyle w:val="Heading2"/>
        <w:spacing w:line="360" w:lineRule="auto"/>
        <w:rPr>
          <w:rFonts w:asciiTheme="minorHAnsi" w:hAnsiTheme="minorHAnsi"/>
          <w:sz w:val="24"/>
          <w:szCs w:val="24"/>
        </w:rPr>
      </w:pPr>
      <w:r w:rsidRPr="00D94FA5">
        <w:rPr>
          <w:rFonts w:asciiTheme="minorHAnsi" w:hAnsiTheme="minorHAnsi"/>
          <w:sz w:val="24"/>
          <w:szCs w:val="24"/>
        </w:rPr>
        <w:lastRenderedPageBreak/>
        <w:t>ABSTRACT</w:t>
      </w:r>
    </w:p>
    <w:p w14:paraId="1DC2DA9D" w14:textId="77777777" w:rsidR="00387ECD" w:rsidRPr="00D94FA5" w:rsidRDefault="00387ECD" w:rsidP="001E225F">
      <w:pPr>
        <w:spacing w:line="360" w:lineRule="auto"/>
        <w:rPr>
          <w:sz w:val="24"/>
        </w:rPr>
      </w:pPr>
    </w:p>
    <w:p w14:paraId="236582A5" w14:textId="70D2A6AA" w:rsidR="00387ECD" w:rsidRPr="00D94FA5" w:rsidRDefault="00387ECD" w:rsidP="001E225F">
      <w:pPr>
        <w:spacing w:line="360" w:lineRule="auto"/>
        <w:rPr>
          <w:sz w:val="24"/>
        </w:rPr>
      </w:pPr>
      <w:r w:rsidRPr="00D94FA5">
        <w:rPr>
          <w:b/>
          <w:sz w:val="24"/>
        </w:rPr>
        <w:t xml:space="preserve">Objectives: </w:t>
      </w:r>
      <w:r w:rsidRPr="00D94FA5">
        <w:rPr>
          <w:sz w:val="24"/>
        </w:rPr>
        <w:t xml:space="preserve">To report the baseline results of a longitudinal psychosocial study that forms part of the IMPACT study, a multi-national </w:t>
      </w:r>
      <w:r w:rsidR="00D166FF">
        <w:rPr>
          <w:sz w:val="24"/>
        </w:rPr>
        <w:t>investigation</w:t>
      </w:r>
      <w:r w:rsidRPr="00D94FA5">
        <w:rPr>
          <w:sz w:val="24"/>
        </w:rPr>
        <w:t xml:space="preserve"> of targeted prostate cancer (</w:t>
      </w:r>
      <w:proofErr w:type="spellStart"/>
      <w:r w:rsidRPr="00D94FA5">
        <w:rPr>
          <w:sz w:val="24"/>
        </w:rPr>
        <w:t>PCa</w:t>
      </w:r>
      <w:proofErr w:type="spellEnd"/>
      <w:r w:rsidRPr="00D94FA5">
        <w:rPr>
          <w:sz w:val="24"/>
        </w:rPr>
        <w:t xml:space="preserve">) screening among men with a known pathogenic germline mutation in the </w:t>
      </w:r>
      <w:r w:rsidRPr="00845640">
        <w:rPr>
          <w:i/>
          <w:sz w:val="24"/>
        </w:rPr>
        <w:t xml:space="preserve">BRCA1 </w:t>
      </w:r>
      <w:r w:rsidRPr="00973EC7">
        <w:rPr>
          <w:sz w:val="24"/>
        </w:rPr>
        <w:t>or</w:t>
      </w:r>
      <w:r w:rsidRPr="00845640">
        <w:rPr>
          <w:i/>
          <w:sz w:val="24"/>
        </w:rPr>
        <w:t xml:space="preserve"> BRCA2</w:t>
      </w:r>
      <w:r w:rsidRPr="00D94FA5">
        <w:rPr>
          <w:sz w:val="24"/>
        </w:rPr>
        <w:t xml:space="preserve"> genes.  </w:t>
      </w:r>
    </w:p>
    <w:p w14:paraId="02705E3E" w14:textId="4F1D59DE" w:rsidR="00387ECD" w:rsidRPr="00D94FA5" w:rsidRDefault="00387ECD" w:rsidP="001E225F">
      <w:pPr>
        <w:spacing w:line="360" w:lineRule="auto"/>
        <w:rPr>
          <w:sz w:val="24"/>
        </w:rPr>
      </w:pPr>
      <w:r w:rsidRPr="00D94FA5">
        <w:rPr>
          <w:b/>
          <w:sz w:val="24"/>
        </w:rPr>
        <w:t>Patients and methods:</w:t>
      </w:r>
      <w:r w:rsidRPr="00D94FA5">
        <w:rPr>
          <w:sz w:val="24"/>
        </w:rPr>
        <w:t xml:space="preserve"> Men enrolled in the IMPACT study were invited to complete a questionnaire at collaborating sites prior to each annual screening visit. The questionnaire included sociodemographics and the following measures: Hospital Anxiety and Depression Scale (HADS), Impact of Event Scale (IES), Short Form 36 (SF36), Memorial Anxiety Scale for </w:t>
      </w:r>
      <w:proofErr w:type="spellStart"/>
      <w:r w:rsidRPr="00D94FA5">
        <w:rPr>
          <w:sz w:val="24"/>
        </w:rPr>
        <w:t>PCa</w:t>
      </w:r>
      <w:proofErr w:type="spellEnd"/>
      <w:r w:rsidRPr="00D94FA5">
        <w:rPr>
          <w:sz w:val="24"/>
        </w:rPr>
        <w:t xml:space="preserve"> (MAX-PC), Cancer Worry Scale (CWS), risk perception and knowledge. The results of the baseline questionnaire are presented.</w:t>
      </w:r>
      <w:bookmarkStart w:id="0" w:name="_GoBack"/>
      <w:bookmarkEnd w:id="0"/>
    </w:p>
    <w:p w14:paraId="1649178E" w14:textId="51DE8D2B" w:rsidR="00387ECD" w:rsidRPr="00D94FA5" w:rsidRDefault="00387ECD" w:rsidP="001E225F">
      <w:pPr>
        <w:spacing w:line="360" w:lineRule="auto"/>
        <w:rPr>
          <w:sz w:val="24"/>
        </w:rPr>
      </w:pPr>
      <w:r w:rsidRPr="00D94FA5">
        <w:rPr>
          <w:b/>
          <w:sz w:val="24"/>
        </w:rPr>
        <w:t>Results:</w:t>
      </w:r>
      <w:r w:rsidRPr="00D94FA5">
        <w:rPr>
          <w:sz w:val="24"/>
        </w:rPr>
        <w:t xml:space="preserve"> 432 men completed questionnaires: 98 and 160 had mutations in </w:t>
      </w:r>
      <w:r w:rsidRPr="00D94FA5">
        <w:rPr>
          <w:i/>
          <w:sz w:val="24"/>
        </w:rPr>
        <w:t>BRCA1/BRCA2</w:t>
      </w:r>
      <w:r w:rsidRPr="00D94FA5">
        <w:rPr>
          <w:sz w:val="24"/>
        </w:rPr>
        <w:t xml:space="preserve"> genes</w:t>
      </w:r>
      <w:r w:rsidR="00A85685">
        <w:rPr>
          <w:sz w:val="24"/>
        </w:rPr>
        <w:t>,</w:t>
      </w:r>
      <w:r w:rsidRPr="00D94FA5">
        <w:rPr>
          <w:sz w:val="24"/>
        </w:rPr>
        <w:t xml:space="preserve"> respectively</w:t>
      </w:r>
      <w:r w:rsidR="00A85685">
        <w:rPr>
          <w:sz w:val="24"/>
        </w:rPr>
        <w:t>,</w:t>
      </w:r>
      <w:r w:rsidRPr="00D94FA5">
        <w:rPr>
          <w:sz w:val="24"/>
        </w:rPr>
        <w:t xml:space="preserve"> and 174 were controls (familial mutation negative). Participants’ perception of </w:t>
      </w:r>
      <w:proofErr w:type="spellStart"/>
      <w:r w:rsidRPr="00D94FA5">
        <w:rPr>
          <w:sz w:val="24"/>
        </w:rPr>
        <w:t>PCa</w:t>
      </w:r>
      <w:proofErr w:type="spellEnd"/>
      <w:r w:rsidRPr="00D94FA5">
        <w:rPr>
          <w:sz w:val="24"/>
        </w:rPr>
        <w:t xml:space="preserve"> risk was influenced by genetic status. Knowledge levels were high and unrelated to genetic status. Mean scores for HADS and SF36 were within reported general population norms and mean IES scores were within normal range.</w:t>
      </w:r>
    </w:p>
    <w:p w14:paraId="0D197277" w14:textId="5C50C869" w:rsidR="00387ECD" w:rsidRPr="00D94FA5" w:rsidRDefault="00387ECD" w:rsidP="001E225F">
      <w:pPr>
        <w:spacing w:line="360" w:lineRule="auto"/>
        <w:rPr>
          <w:sz w:val="24"/>
        </w:rPr>
      </w:pPr>
      <w:r w:rsidRPr="00D94FA5">
        <w:rPr>
          <w:sz w:val="24"/>
        </w:rPr>
        <w:t xml:space="preserve">IES mean intrusion and avoidance scores were significantly higher in </w:t>
      </w:r>
      <w:r w:rsidRPr="00D94FA5">
        <w:rPr>
          <w:i/>
          <w:sz w:val="24"/>
        </w:rPr>
        <w:t>BRCA1/2</w:t>
      </w:r>
      <w:r w:rsidRPr="00D94FA5">
        <w:rPr>
          <w:sz w:val="24"/>
        </w:rPr>
        <w:t xml:space="preserve"> carriers than controls and higher in men with increased </w:t>
      </w:r>
      <w:proofErr w:type="spellStart"/>
      <w:r w:rsidRPr="00D94FA5">
        <w:rPr>
          <w:sz w:val="24"/>
        </w:rPr>
        <w:t>PCa</w:t>
      </w:r>
      <w:proofErr w:type="spellEnd"/>
      <w:r w:rsidRPr="00D94FA5">
        <w:rPr>
          <w:sz w:val="24"/>
        </w:rPr>
        <w:t xml:space="preserve"> risk perception. </w:t>
      </w:r>
      <w:r w:rsidR="00A85685">
        <w:rPr>
          <w:sz w:val="24"/>
        </w:rPr>
        <w:t>At the</w:t>
      </w:r>
      <w:r w:rsidRPr="00D94FA5">
        <w:rPr>
          <w:sz w:val="24"/>
        </w:rPr>
        <w:t xml:space="preserve"> multivariate level, risk perception contributed more significantly to variance in IES scores than genetic status. </w:t>
      </w:r>
    </w:p>
    <w:p w14:paraId="5417B9E4" w14:textId="77777777" w:rsidR="001E225F" w:rsidRDefault="00387ECD" w:rsidP="001E225F">
      <w:pPr>
        <w:spacing w:line="360" w:lineRule="auto"/>
        <w:rPr>
          <w:sz w:val="24"/>
        </w:rPr>
      </w:pPr>
      <w:r w:rsidRPr="00D94FA5">
        <w:rPr>
          <w:b/>
          <w:sz w:val="24"/>
        </w:rPr>
        <w:t xml:space="preserve">Conclusion: </w:t>
      </w:r>
      <w:r w:rsidRPr="00D94FA5">
        <w:rPr>
          <w:sz w:val="24"/>
        </w:rPr>
        <w:t xml:space="preserve">This is the first study to report the psychosocial profile of men with </w:t>
      </w:r>
      <w:r w:rsidRPr="00D94FA5">
        <w:rPr>
          <w:i/>
          <w:sz w:val="24"/>
        </w:rPr>
        <w:t>BRCA1/2</w:t>
      </w:r>
      <w:r w:rsidRPr="00D94FA5">
        <w:rPr>
          <w:sz w:val="24"/>
        </w:rPr>
        <w:t xml:space="preserve"> mutations undergoing </w:t>
      </w:r>
      <w:proofErr w:type="spellStart"/>
      <w:r w:rsidRPr="00D94FA5">
        <w:rPr>
          <w:sz w:val="24"/>
        </w:rPr>
        <w:t>PCa</w:t>
      </w:r>
      <w:proofErr w:type="spellEnd"/>
      <w:r w:rsidRPr="00D94FA5">
        <w:rPr>
          <w:sz w:val="24"/>
        </w:rPr>
        <w:t xml:space="preserve"> screening. No clinically concerning levels of general or cancer-specific distress or poor </w:t>
      </w:r>
      <w:r w:rsidR="00A85685">
        <w:rPr>
          <w:sz w:val="24"/>
        </w:rPr>
        <w:t>quality of life</w:t>
      </w:r>
      <w:r w:rsidRPr="00D94FA5">
        <w:rPr>
          <w:sz w:val="24"/>
        </w:rPr>
        <w:t xml:space="preserve"> were detected in the cohort as a whole. A small subset of participants reported higher levels of distress, </w:t>
      </w:r>
      <w:r w:rsidR="00A85685">
        <w:rPr>
          <w:sz w:val="24"/>
        </w:rPr>
        <w:t xml:space="preserve">suggesting the need </w:t>
      </w:r>
      <w:r w:rsidRPr="00D94FA5">
        <w:rPr>
          <w:sz w:val="24"/>
        </w:rPr>
        <w:t>for health</w:t>
      </w:r>
      <w:r w:rsidR="00A85685">
        <w:rPr>
          <w:sz w:val="24"/>
        </w:rPr>
        <w:t xml:space="preserve"> </w:t>
      </w:r>
      <w:r w:rsidRPr="00D94FA5">
        <w:rPr>
          <w:sz w:val="24"/>
        </w:rPr>
        <w:t xml:space="preserve">care professionals to identify these risk factors and offer additional information and support to men seeking </w:t>
      </w:r>
      <w:proofErr w:type="spellStart"/>
      <w:r w:rsidRPr="00D94FA5">
        <w:rPr>
          <w:sz w:val="24"/>
        </w:rPr>
        <w:t>PCa</w:t>
      </w:r>
      <w:proofErr w:type="spellEnd"/>
      <w:r w:rsidRPr="00D94FA5">
        <w:rPr>
          <w:sz w:val="24"/>
        </w:rPr>
        <w:t xml:space="preserve"> screening.</w:t>
      </w:r>
      <w:r w:rsidR="001E225F">
        <w:rPr>
          <w:sz w:val="24"/>
        </w:rPr>
        <w:t xml:space="preserve"> </w:t>
      </w:r>
    </w:p>
    <w:p w14:paraId="049EB99C" w14:textId="77777777" w:rsidR="001E225F" w:rsidRDefault="001E225F" w:rsidP="001E225F">
      <w:pPr>
        <w:spacing w:line="360" w:lineRule="auto"/>
        <w:rPr>
          <w:rFonts w:asciiTheme="minorHAnsi" w:hAnsiTheme="minorHAnsi"/>
          <w:b/>
          <w:sz w:val="24"/>
        </w:rPr>
      </w:pPr>
    </w:p>
    <w:p w14:paraId="587C1CEB" w14:textId="2D4348F4" w:rsidR="00427B1F" w:rsidRPr="00D94FA5" w:rsidRDefault="00F535B5" w:rsidP="001E225F">
      <w:pPr>
        <w:spacing w:line="360" w:lineRule="auto"/>
        <w:rPr>
          <w:rFonts w:asciiTheme="minorHAnsi" w:hAnsiTheme="minorHAnsi"/>
          <w:sz w:val="24"/>
        </w:rPr>
      </w:pPr>
      <w:r w:rsidRPr="001E225F">
        <w:rPr>
          <w:rFonts w:asciiTheme="minorHAnsi" w:hAnsiTheme="minorHAnsi"/>
          <w:b/>
          <w:sz w:val="24"/>
        </w:rPr>
        <w:t>Keywords:</w:t>
      </w:r>
      <w:r w:rsidRPr="00D94FA5">
        <w:rPr>
          <w:rFonts w:asciiTheme="minorHAnsi" w:hAnsiTheme="minorHAnsi"/>
          <w:sz w:val="24"/>
        </w:rPr>
        <w:t xml:space="preserve">  Prostate Cancer, </w:t>
      </w:r>
      <w:r w:rsidR="00A85685" w:rsidRPr="00845640">
        <w:rPr>
          <w:rFonts w:asciiTheme="minorHAnsi" w:hAnsiTheme="minorHAnsi"/>
          <w:i/>
          <w:sz w:val="24"/>
        </w:rPr>
        <w:t>BRCA1, BRCA2</w:t>
      </w:r>
      <w:r w:rsidR="00A85685">
        <w:rPr>
          <w:rFonts w:asciiTheme="minorHAnsi" w:hAnsiTheme="minorHAnsi"/>
          <w:sz w:val="24"/>
        </w:rPr>
        <w:t xml:space="preserve">, Genetic Screening, </w:t>
      </w:r>
      <w:r w:rsidRPr="00D94FA5">
        <w:rPr>
          <w:rFonts w:asciiTheme="minorHAnsi" w:hAnsiTheme="minorHAnsi"/>
          <w:sz w:val="24"/>
        </w:rPr>
        <w:t xml:space="preserve">Psychosocial, Quality of Life </w:t>
      </w:r>
    </w:p>
    <w:p w14:paraId="2C6E368B" w14:textId="3EE174D5" w:rsidR="00427B1F" w:rsidRPr="0011464F" w:rsidRDefault="00427B1F" w:rsidP="001E225F">
      <w:pPr>
        <w:pStyle w:val="Heading2"/>
        <w:spacing w:line="360" w:lineRule="auto"/>
        <w:rPr>
          <w:rFonts w:asciiTheme="minorHAnsi" w:hAnsiTheme="minorHAnsi"/>
          <w:sz w:val="24"/>
          <w:szCs w:val="24"/>
          <w:highlight w:val="yellow"/>
        </w:rPr>
      </w:pPr>
      <w:r w:rsidRPr="0011464F">
        <w:rPr>
          <w:rFonts w:asciiTheme="minorHAnsi" w:hAnsiTheme="minorHAnsi"/>
          <w:sz w:val="24"/>
          <w:szCs w:val="24"/>
          <w:highlight w:val="yellow"/>
        </w:rPr>
        <w:lastRenderedPageBreak/>
        <w:t xml:space="preserve"> </w:t>
      </w:r>
    </w:p>
    <w:p w14:paraId="1B2F3DCD" w14:textId="7D1412F4" w:rsidR="00427B1F" w:rsidRPr="0011464F" w:rsidRDefault="002751A4" w:rsidP="001E225F">
      <w:pPr>
        <w:pStyle w:val="Heading2"/>
        <w:spacing w:line="360" w:lineRule="auto"/>
        <w:rPr>
          <w:rFonts w:asciiTheme="minorHAnsi" w:hAnsiTheme="minorHAnsi"/>
          <w:sz w:val="24"/>
          <w:szCs w:val="24"/>
        </w:rPr>
      </w:pPr>
      <w:r>
        <w:rPr>
          <w:rFonts w:asciiTheme="minorHAnsi" w:hAnsiTheme="minorHAnsi"/>
          <w:sz w:val="24"/>
          <w:szCs w:val="24"/>
        </w:rPr>
        <w:t>INTRODUCTION</w:t>
      </w:r>
    </w:p>
    <w:p w14:paraId="7E62AA00" w14:textId="13843859" w:rsidR="00427B1F" w:rsidRPr="0011464F" w:rsidRDefault="00427B1F" w:rsidP="001E225F">
      <w:pPr>
        <w:pStyle w:val="Heading2"/>
        <w:spacing w:line="360" w:lineRule="auto"/>
        <w:rPr>
          <w:rFonts w:asciiTheme="minorHAnsi" w:hAnsiTheme="minorHAnsi"/>
          <w:b w:val="0"/>
          <w:sz w:val="24"/>
          <w:szCs w:val="24"/>
        </w:rPr>
      </w:pPr>
      <w:r w:rsidRPr="0011464F">
        <w:rPr>
          <w:rFonts w:asciiTheme="minorHAnsi" w:hAnsiTheme="minorHAnsi"/>
          <w:b w:val="0"/>
          <w:sz w:val="24"/>
          <w:szCs w:val="24"/>
        </w:rPr>
        <w:t>Prostate Cancer (</w:t>
      </w:r>
      <w:proofErr w:type="spellStart"/>
      <w:r w:rsidRPr="0011464F">
        <w:rPr>
          <w:rFonts w:asciiTheme="minorHAnsi" w:hAnsiTheme="minorHAnsi"/>
          <w:b w:val="0"/>
          <w:sz w:val="24"/>
          <w:szCs w:val="24"/>
        </w:rPr>
        <w:t>PCa</w:t>
      </w:r>
      <w:proofErr w:type="spellEnd"/>
      <w:r w:rsidRPr="0011464F">
        <w:rPr>
          <w:rFonts w:asciiTheme="minorHAnsi" w:hAnsiTheme="minorHAnsi"/>
          <w:b w:val="0"/>
          <w:sz w:val="24"/>
          <w:szCs w:val="24"/>
        </w:rPr>
        <w:t xml:space="preserve">) is the most common cancer in men in the UK, with 40,000 new cases per year, 10,000 deaths </w:t>
      </w:r>
      <w:r w:rsidR="00BE436B">
        <w:rPr>
          <w:rFonts w:asciiTheme="minorHAnsi" w:hAnsiTheme="minorHAnsi"/>
          <w:b w:val="0"/>
          <w:sz w:val="24"/>
          <w:szCs w:val="24"/>
        </w:rPr>
        <w:t>and a lifetime risk of 1 in 8 [</w:t>
      </w:r>
      <w:r w:rsidRPr="0011464F">
        <w:rPr>
          <w:rFonts w:asciiTheme="minorHAnsi" w:hAnsiTheme="minorHAnsi"/>
          <w:b w:val="0"/>
          <w:sz w:val="24"/>
          <w:szCs w:val="24"/>
        </w:rPr>
        <w:t>1]. Men with</w:t>
      </w:r>
      <w:r w:rsidR="007D700A" w:rsidRPr="0011464F">
        <w:rPr>
          <w:rFonts w:asciiTheme="minorHAnsi" w:hAnsiTheme="minorHAnsi"/>
          <w:b w:val="0"/>
          <w:sz w:val="24"/>
          <w:szCs w:val="24"/>
        </w:rPr>
        <w:t xml:space="preserve"> germline</w:t>
      </w:r>
      <w:r w:rsidRPr="0011464F">
        <w:rPr>
          <w:rFonts w:asciiTheme="minorHAnsi" w:hAnsiTheme="minorHAnsi"/>
          <w:b w:val="0"/>
          <w:sz w:val="24"/>
          <w:szCs w:val="24"/>
        </w:rPr>
        <w:t xml:space="preserve"> </w:t>
      </w:r>
      <w:r w:rsidRPr="0011464F">
        <w:rPr>
          <w:rFonts w:asciiTheme="minorHAnsi" w:hAnsiTheme="minorHAnsi"/>
          <w:b w:val="0"/>
          <w:i/>
          <w:sz w:val="24"/>
          <w:szCs w:val="24"/>
        </w:rPr>
        <w:t>BRCA1</w:t>
      </w:r>
      <w:r w:rsidRPr="0011464F">
        <w:rPr>
          <w:rFonts w:asciiTheme="minorHAnsi" w:hAnsiTheme="minorHAnsi"/>
          <w:b w:val="0"/>
          <w:sz w:val="24"/>
          <w:szCs w:val="24"/>
        </w:rPr>
        <w:t xml:space="preserve"> or </w:t>
      </w:r>
      <w:r w:rsidRPr="0011464F">
        <w:rPr>
          <w:rFonts w:asciiTheme="minorHAnsi" w:hAnsiTheme="minorHAnsi"/>
          <w:b w:val="0"/>
          <w:i/>
          <w:sz w:val="24"/>
          <w:szCs w:val="24"/>
        </w:rPr>
        <w:t>BRCA2</w:t>
      </w:r>
      <w:r w:rsidRPr="0011464F">
        <w:rPr>
          <w:rFonts w:asciiTheme="minorHAnsi" w:hAnsiTheme="minorHAnsi"/>
          <w:b w:val="0"/>
          <w:sz w:val="24"/>
          <w:szCs w:val="24"/>
        </w:rPr>
        <w:t xml:space="preserve"> gene mutations are known </w:t>
      </w:r>
      <w:r w:rsidR="00417B4C" w:rsidRPr="0011464F">
        <w:rPr>
          <w:rFonts w:asciiTheme="minorHAnsi" w:hAnsiTheme="minorHAnsi"/>
          <w:b w:val="0"/>
          <w:sz w:val="24"/>
          <w:szCs w:val="24"/>
        </w:rPr>
        <w:t xml:space="preserve">to be at an increased risk of </w:t>
      </w:r>
      <w:proofErr w:type="spellStart"/>
      <w:r w:rsidR="00417B4C" w:rsidRPr="0011464F">
        <w:rPr>
          <w:rFonts w:asciiTheme="minorHAnsi" w:hAnsiTheme="minorHAnsi"/>
          <w:b w:val="0"/>
          <w:sz w:val="24"/>
          <w:szCs w:val="24"/>
        </w:rPr>
        <w:t>P</w:t>
      </w:r>
      <w:r w:rsidRPr="0011464F">
        <w:rPr>
          <w:rFonts w:asciiTheme="minorHAnsi" w:hAnsiTheme="minorHAnsi"/>
          <w:b w:val="0"/>
          <w:sz w:val="24"/>
          <w:szCs w:val="24"/>
        </w:rPr>
        <w:t>Ca</w:t>
      </w:r>
      <w:proofErr w:type="spellEnd"/>
      <w:r w:rsidR="009244AA">
        <w:rPr>
          <w:rFonts w:asciiTheme="minorHAnsi" w:hAnsiTheme="minorHAnsi"/>
          <w:b w:val="0"/>
          <w:sz w:val="24"/>
          <w:szCs w:val="24"/>
        </w:rPr>
        <w:t xml:space="preserve">. This is </w:t>
      </w:r>
      <w:r w:rsidR="00DB3A8B">
        <w:rPr>
          <w:rFonts w:asciiTheme="minorHAnsi" w:hAnsiTheme="minorHAnsi"/>
          <w:b w:val="0"/>
          <w:sz w:val="24"/>
          <w:szCs w:val="24"/>
        </w:rPr>
        <w:t xml:space="preserve">estimated </w:t>
      </w:r>
      <w:r w:rsidR="009244AA">
        <w:rPr>
          <w:rFonts w:asciiTheme="minorHAnsi" w:hAnsiTheme="minorHAnsi"/>
          <w:b w:val="0"/>
          <w:sz w:val="24"/>
          <w:szCs w:val="24"/>
        </w:rPr>
        <w:t>to be</w:t>
      </w:r>
      <w:r w:rsidRPr="0011464F">
        <w:rPr>
          <w:rFonts w:asciiTheme="minorHAnsi" w:hAnsiTheme="minorHAnsi"/>
          <w:b w:val="0"/>
          <w:sz w:val="24"/>
          <w:szCs w:val="24"/>
        </w:rPr>
        <w:t xml:space="preserve"> 1.8-</w:t>
      </w:r>
      <w:r w:rsidR="00DB3A8B">
        <w:rPr>
          <w:rFonts w:asciiTheme="minorHAnsi" w:hAnsiTheme="minorHAnsi"/>
          <w:b w:val="0"/>
          <w:sz w:val="24"/>
          <w:szCs w:val="24"/>
        </w:rPr>
        <w:t>3</w:t>
      </w:r>
      <w:r w:rsidRPr="0011464F">
        <w:rPr>
          <w:rFonts w:asciiTheme="minorHAnsi" w:hAnsiTheme="minorHAnsi"/>
          <w:b w:val="0"/>
          <w:sz w:val="24"/>
          <w:szCs w:val="24"/>
        </w:rPr>
        <w:t>.</w:t>
      </w:r>
      <w:r w:rsidR="00DB3A8B">
        <w:rPr>
          <w:rFonts w:asciiTheme="minorHAnsi" w:hAnsiTheme="minorHAnsi"/>
          <w:b w:val="0"/>
          <w:sz w:val="24"/>
          <w:szCs w:val="24"/>
        </w:rPr>
        <w:t>75</w:t>
      </w:r>
      <w:r w:rsidRPr="0011464F">
        <w:rPr>
          <w:rFonts w:asciiTheme="minorHAnsi" w:hAnsiTheme="minorHAnsi"/>
          <w:b w:val="0"/>
          <w:sz w:val="24"/>
          <w:szCs w:val="24"/>
        </w:rPr>
        <w:t xml:space="preserve">-fold 2.5-8.6-fold increased risk by age 65 for </w:t>
      </w:r>
      <w:r w:rsidR="00DB3A8B" w:rsidRPr="00DB3A8B">
        <w:rPr>
          <w:rFonts w:asciiTheme="minorHAnsi" w:hAnsiTheme="minorHAnsi"/>
          <w:b w:val="0"/>
          <w:i/>
          <w:sz w:val="24"/>
          <w:szCs w:val="24"/>
        </w:rPr>
        <w:t>BRCA1</w:t>
      </w:r>
      <w:r w:rsidR="00DB3A8B">
        <w:rPr>
          <w:rFonts w:asciiTheme="minorHAnsi" w:hAnsiTheme="minorHAnsi"/>
          <w:b w:val="0"/>
          <w:sz w:val="24"/>
          <w:szCs w:val="24"/>
        </w:rPr>
        <w:t xml:space="preserve"> and </w:t>
      </w:r>
      <w:r w:rsidRPr="0011464F">
        <w:rPr>
          <w:rFonts w:asciiTheme="minorHAnsi" w:hAnsiTheme="minorHAnsi"/>
          <w:b w:val="0"/>
          <w:i/>
          <w:sz w:val="24"/>
          <w:szCs w:val="24"/>
        </w:rPr>
        <w:t>BRCA2</w:t>
      </w:r>
      <w:r w:rsidRPr="0011464F">
        <w:rPr>
          <w:rFonts w:asciiTheme="minorHAnsi" w:hAnsiTheme="minorHAnsi"/>
          <w:b w:val="0"/>
          <w:sz w:val="24"/>
          <w:szCs w:val="24"/>
        </w:rPr>
        <w:t xml:space="preserve"> carriers</w:t>
      </w:r>
      <w:r w:rsidR="009244AA">
        <w:rPr>
          <w:rFonts w:asciiTheme="minorHAnsi" w:hAnsiTheme="minorHAnsi"/>
          <w:b w:val="0"/>
          <w:sz w:val="24"/>
          <w:szCs w:val="24"/>
        </w:rPr>
        <w:t>,</w:t>
      </w:r>
      <w:r w:rsidR="00DB3A8B">
        <w:rPr>
          <w:rFonts w:asciiTheme="minorHAnsi" w:hAnsiTheme="minorHAnsi"/>
          <w:b w:val="0"/>
          <w:sz w:val="24"/>
          <w:szCs w:val="24"/>
        </w:rPr>
        <w:t xml:space="preserve"> respectively</w:t>
      </w:r>
      <w:r w:rsidRPr="0011464F">
        <w:rPr>
          <w:rFonts w:asciiTheme="minorHAnsi" w:hAnsiTheme="minorHAnsi"/>
          <w:b w:val="0"/>
          <w:sz w:val="24"/>
          <w:szCs w:val="24"/>
        </w:rPr>
        <w:t xml:space="preserve"> [2-3]. </w:t>
      </w:r>
      <w:r w:rsidR="00DF1B6A">
        <w:rPr>
          <w:rFonts w:asciiTheme="minorHAnsi" w:hAnsiTheme="minorHAnsi"/>
          <w:b w:val="0"/>
          <w:sz w:val="24"/>
          <w:szCs w:val="24"/>
        </w:rPr>
        <w:t xml:space="preserve">Whilst there is some debate about whether there is a true increased risk of </w:t>
      </w:r>
      <w:proofErr w:type="spellStart"/>
      <w:r w:rsidR="00DF1B6A">
        <w:rPr>
          <w:rFonts w:asciiTheme="minorHAnsi" w:hAnsiTheme="minorHAnsi"/>
          <w:b w:val="0"/>
          <w:sz w:val="24"/>
          <w:szCs w:val="24"/>
        </w:rPr>
        <w:t>PCa</w:t>
      </w:r>
      <w:proofErr w:type="spellEnd"/>
      <w:r w:rsidR="00DF1B6A">
        <w:rPr>
          <w:rFonts w:asciiTheme="minorHAnsi" w:hAnsiTheme="minorHAnsi"/>
          <w:b w:val="0"/>
          <w:sz w:val="24"/>
          <w:szCs w:val="24"/>
        </w:rPr>
        <w:t xml:space="preserve"> for </w:t>
      </w:r>
      <w:r w:rsidR="00DF1B6A" w:rsidRPr="00086928">
        <w:rPr>
          <w:rFonts w:asciiTheme="minorHAnsi" w:hAnsiTheme="minorHAnsi"/>
          <w:b w:val="0"/>
          <w:i/>
          <w:sz w:val="24"/>
          <w:szCs w:val="24"/>
        </w:rPr>
        <w:t>BRCA1</w:t>
      </w:r>
      <w:r w:rsidR="00DF1B6A">
        <w:rPr>
          <w:rFonts w:asciiTheme="minorHAnsi" w:hAnsiTheme="minorHAnsi"/>
          <w:b w:val="0"/>
          <w:sz w:val="24"/>
          <w:szCs w:val="24"/>
        </w:rPr>
        <w:t xml:space="preserve"> carriers, t</w:t>
      </w:r>
      <w:r w:rsidRPr="0011464F">
        <w:rPr>
          <w:rFonts w:asciiTheme="minorHAnsi" w:hAnsiTheme="minorHAnsi"/>
          <w:b w:val="0"/>
          <w:sz w:val="24"/>
          <w:szCs w:val="24"/>
        </w:rPr>
        <w:t xml:space="preserve">here is </w:t>
      </w:r>
      <w:r w:rsidR="00DF1B6A">
        <w:rPr>
          <w:rFonts w:asciiTheme="minorHAnsi" w:hAnsiTheme="minorHAnsi"/>
          <w:b w:val="0"/>
          <w:sz w:val="24"/>
          <w:szCs w:val="24"/>
        </w:rPr>
        <w:t xml:space="preserve">solid evidence </w:t>
      </w:r>
      <w:r w:rsidRPr="0011464F">
        <w:rPr>
          <w:rFonts w:asciiTheme="minorHAnsi" w:hAnsiTheme="minorHAnsi"/>
          <w:b w:val="0"/>
          <w:sz w:val="24"/>
          <w:szCs w:val="24"/>
        </w:rPr>
        <w:t xml:space="preserve">that </w:t>
      </w:r>
      <w:r w:rsidRPr="0011464F">
        <w:rPr>
          <w:rFonts w:asciiTheme="minorHAnsi" w:hAnsiTheme="minorHAnsi"/>
          <w:b w:val="0"/>
          <w:i/>
          <w:sz w:val="24"/>
          <w:szCs w:val="24"/>
        </w:rPr>
        <w:t>BRCA2</w:t>
      </w:r>
      <w:r w:rsidRPr="0011464F">
        <w:rPr>
          <w:rFonts w:asciiTheme="minorHAnsi" w:hAnsiTheme="minorHAnsi"/>
          <w:b w:val="0"/>
          <w:sz w:val="24"/>
          <w:szCs w:val="24"/>
        </w:rPr>
        <w:t xml:space="preserve"> carriers present at a young</w:t>
      </w:r>
      <w:r w:rsidR="00DF1B6A">
        <w:rPr>
          <w:rFonts w:asciiTheme="minorHAnsi" w:hAnsiTheme="minorHAnsi"/>
          <w:b w:val="0"/>
          <w:sz w:val="24"/>
          <w:szCs w:val="24"/>
        </w:rPr>
        <w:t>er</w:t>
      </w:r>
      <w:r w:rsidRPr="0011464F">
        <w:rPr>
          <w:rFonts w:asciiTheme="minorHAnsi" w:hAnsiTheme="minorHAnsi"/>
          <w:b w:val="0"/>
          <w:sz w:val="24"/>
          <w:szCs w:val="24"/>
        </w:rPr>
        <w:t xml:space="preserve"> age </w:t>
      </w:r>
      <w:r w:rsidR="00DB3A8B">
        <w:rPr>
          <w:rFonts w:asciiTheme="minorHAnsi" w:hAnsiTheme="minorHAnsi"/>
          <w:b w:val="0"/>
          <w:sz w:val="24"/>
          <w:szCs w:val="24"/>
        </w:rPr>
        <w:t xml:space="preserve">and with </w:t>
      </w:r>
      <w:r w:rsidRPr="0011464F">
        <w:rPr>
          <w:rFonts w:asciiTheme="minorHAnsi" w:hAnsiTheme="minorHAnsi"/>
          <w:b w:val="0"/>
          <w:sz w:val="24"/>
          <w:szCs w:val="24"/>
        </w:rPr>
        <w:t>aggressive disease [4-</w:t>
      </w:r>
      <w:r w:rsidR="006321CA">
        <w:rPr>
          <w:rFonts w:asciiTheme="minorHAnsi" w:hAnsiTheme="minorHAnsi"/>
          <w:b w:val="0"/>
          <w:sz w:val="24"/>
          <w:szCs w:val="24"/>
        </w:rPr>
        <w:t>5</w:t>
      </w:r>
      <w:r w:rsidRPr="0011464F">
        <w:rPr>
          <w:rFonts w:asciiTheme="minorHAnsi" w:hAnsiTheme="minorHAnsi"/>
          <w:b w:val="0"/>
          <w:sz w:val="24"/>
          <w:szCs w:val="24"/>
        </w:rPr>
        <w:t xml:space="preserve">]. Therefore </w:t>
      </w:r>
      <w:r w:rsidR="00DB3A8B">
        <w:rPr>
          <w:rFonts w:asciiTheme="minorHAnsi" w:hAnsiTheme="minorHAnsi"/>
          <w:b w:val="0"/>
          <w:sz w:val="24"/>
          <w:szCs w:val="24"/>
        </w:rPr>
        <w:t xml:space="preserve">prostate </w:t>
      </w:r>
      <w:r w:rsidRPr="0011464F">
        <w:rPr>
          <w:rFonts w:asciiTheme="minorHAnsi" w:hAnsiTheme="minorHAnsi"/>
          <w:b w:val="0"/>
          <w:sz w:val="24"/>
          <w:szCs w:val="24"/>
        </w:rPr>
        <w:t xml:space="preserve">screening and early detection could </w:t>
      </w:r>
      <w:r w:rsidR="00DF1B6A">
        <w:rPr>
          <w:rFonts w:asciiTheme="minorHAnsi" w:hAnsiTheme="minorHAnsi"/>
          <w:b w:val="0"/>
          <w:sz w:val="24"/>
          <w:szCs w:val="24"/>
        </w:rPr>
        <w:t xml:space="preserve">have an important role in </w:t>
      </w:r>
      <w:r w:rsidRPr="0011464F">
        <w:rPr>
          <w:rFonts w:asciiTheme="minorHAnsi" w:hAnsiTheme="minorHAnsi"/>
          <w:b w:val="0"/>
          <w:sz w:val="24"/>
          <w:szCs w:val="24"/>
        </w:rPr>
        <w:t>reduc</w:t>
      </w:r>
      <w:r w:rsidR="00DF1B6A">
        <w:rPr>
          <w:rFonts w:asciiTheme="minorHAnsi" w:hAnsiTheme="minorHAnsi"/>
          <w:b w:val="0"/>
          <w:sz w:val="24"/>
          <w:szCs w:val="24"/>
        </w:rPr>
        <w:t>ing</w:t>
      </w:r>
      <w:r w:rsidRPr="0011464F">
        <w:rPr>
          <w:rFonts w:asciiTheme="minorHAnsi" w:hAnsiTheme="minorHAnsi"/>
          <w:b w:val="0"/>
          <w:sz w:val="24"/>
          <w:szCs w:val="24"/>
        </w:rPr>
        <w:t xml:space="preserve"> the disease burden</w:t>
      </w:r>
      <w:r w:rsidR="00C770D9">
        <w:rPr>
          <w:rFonts w:asciiTheme="minorHAnsi" w:hAnsiTheme="minorHAnsi"/>
          <w:b w:val="0"/>
          <w:sz w:val="24"/>
          <w:szCs w:val="24"/>
        </w:rPr>
        <w:t xml:space="preserve">, </w:t>
      </w:r>
      <w:proofErr w:type="gramStart"/>
      <w:r w:rsidR="00C770D9">
        <w:rPr>
          <w:rFonts w:asciiTheme="minorHAnsi" w:hAnsiTheme="minorHAnsi"/>
          <w:b w:val="0"/>
          <w:sz w:val="24"/>
          <w:szCs w:val="24"/>
        </w:rPr>
        <w:t xml:space="preserve">particularly </w:t>
      </w:r>
      <w:r w:rsidR="00DF1B6A">
        <w:rPr>
          <w:rFonts w:asciiTheme="minorHAnsi" w:hAnsiTheme="minorHAnsi"/>
          <w:b w:val="0"/>
          <w:sz w:val="24"/>
          <w:szCs w:val="24"/>
        </w:rPr>
        <w:t xml:space="preserve"> in</w:t>
      </w:r>
      <w:proofErr w:type="gramEnd"/>
      <w:r w:rsidR="00DF1B6A">
        <w:rPr>
          <w:rFonts w:asciiTheme="minorHAnsi" w:hAnsiTheme="minorHAnsi"/>
          <w:b w:val="0"/>
          <w:sz w:val="24"/>
          <w:szCs w:val="24"/>
        </w:rPr>
        <w:t xml:space="preserve"> </w:t>
      </w:r>
      <w:r w:rsidR="00DF1B6A" w:rsidRPr="00DF1B6A">
        <w:rPr>
          <w:rFonts w:asciiTheme="minorHAnsi" w:hAnsiTheme="minorHAnsi"/>
          <w:b w:val="0"/>
          <w:i/>
          <w:sz w:val="24"/>
          <w:szCs w:val="24"/>
        </w:rPr>
        <w:t>BRCA2</w:t>
      </w:r>
      <w:r w:rsidR="00DF1B6A">
        <w:rPr>
          <w:rFonts w:asciiTheme="minorHAnsi" w:hAnsiTheme="minorHAnsi"/>
          <w:b w:val="0"/>
          <w:sz w:val="24"/>
          <w:szCs w:val="24"/>
        </w:rPr>
        <w:t xml:space="preserve"> carriers</w:t>
      </w:r>
      <w:r w:rsidRPr="0011464F">
        <w:rPr>
          <w:rFonts w:asciiTheme="minorHAnsi" w:hAnsiTheme="minorHAnsi"/>
          <w:b w:val="0"/>
          <w:sz w:val="24"/>
          <w:szCs w:val="24"/>
        </w:rPr>
        <w:t xml:space="preserve"> [</w:t>
      </w:r>
      <w:r w:rsidR="006321CA">
        <w:rPr>
          <w:rFonts w:asciiTheme="minorHAnsi" w:hAnsiTheme="minorHAnsi"/>
          <w:b w:val="0"/>
          <w:sz w:val="24"/>
          <w:szCs w:val="24"/>
        </w:rPr>
        <w:t>6</w:t>
      </w:r>
      <w:r w:rsidRPr="0011464F">
        <w:rPr>
          <w:rFonts w:asciiTheme="minorHAnsi" w:hAnsiTheme="minorHAnsi"/>
          <w:b w:val="0"/>
          <w:sz w:val="24"/>
          <w:szCs w:val="24"/>
        </w:rPr>
        <w:t>].</w:t>
      </w:r>
    </w:p>
    <w:p w14:paraId="2A20BB9C" w14:textId="27B358FD" w:rsidR="00427B1F" w:rsidRPr="0011464F" w:rsidRDefault="00427B1F" w:rsidP="001E225F">
      <w:pPr>
        <w:pStyle w:val="Heading2"/>
        <w:spacing w:line="360" w:lineRule="auto"/>
        <w:rPr>
          <w:rFonts w:asciiTheme="minorHAnsi" w:hAnsiTheme="minorHAnsi"/>
          <w:b w:val="0"/>
          <w:sz w:val="24"/>
          <w:szCs w:val="24"/>
        </w:rPr>
      </w:pPr>
      <w:r w:rsidRPr="0011464F">
        <w:rPr>
          <w:rFonts w:asciiTheme="minorHAnsi" w:hAnsiTheme="minorHAnsi"/>
          <w:b w:val="0"/>
          <w:sz w:val="24"/>
          <w:szCs w:val="24"/>
        </w:rPr>
        <w:t>There is no international consensus on gen</w:t>
      </w:r>
      <w:r w:rsidR="00417B4C" w:rsidRPr="0011464F">
        <w:rPr>
          <w:rFonts w:asciiTheme="minorHAnsi" w:hAnsiTheme="minorHAnsi"/>
          <w:b w:val="0"/>
          <w:sz w:val="24"/>
          <w:szCs w:val="24"/>
        </w:rPr>
        <w:t xml:space="preserve">eral population screening for </w:t>
      </w:r>
      <w:proofErr w:type="spellStart"/>
      <w:r w:rsidR="00417B4C" w:rsidRPr="0011464F">
        <w:rPr>
          <w:rFonts w:asciiTheme="minorHAnsi" w:hAnsiTheme="minorHAnsi"/>
          <w:b w:val="0"/>
          <w:sz w:val="24"/>
          <w:szCs w:val="24"/>
        </w:rPr>
        <w:t>P</w:t>
      </w:r>
      <w:r w:rsidRPr="0011464F">
        <w:rPr>
          <w:rFonts w:asciiTheme="minorHAnsi" w:hAnsiTheme="minorHAnsi"/>
          <w:b w:val="0"/>
          <w:sz w:val="24"/>
          <w:szCs w:val="24"/>
        </w:rPr>
        <w:t>Ca</w:t>
      </w:r>
      <w:proofErr w:type="spellEnd"/>
      <w:r w:rsidRPr="0011464F">
        <w:rPr>
          <w:rFonts w:asciiTheme="minorHAnsi" w:hAnsiTheme="minorHAnsi"/>
          <w:b w:val="0"/>
          <w:sz w:val="24"/>
          <w:szCs w:val="24"/>
        </w:rPr>
        <w:t xml:space="preserve"> using the PSA test, with studies reporting conflicting effects on mortality from the d</w:t>
      </w:r>
      <w:r w:rsidR="00417B4C" w:rsidRPr="0011464F">
        <w:rPr>
          <w:rFonts w:asciiTheme="minorHAnsi" w:hAnsiTheme="minorHAnsi"/>
          <w:b w:val="0"/>
          <w:sz w:val="24"/>
          <w:szCs w:val="24"/>
        </w:rPr>
        <w:t>isease [</w:t>
      </w:r>
      <w:r w:rsidR="006321CA">
        <w:rPr>
          <w:rFonts w:asciiTheme="minorHAnsi" w:hAnsiTheme="minorHAnsi"/>
          <w:b w:val="0"/>
          <w:sz w:val="24"/>
          <w:szCs w:val="24"/>
        </w:rPr>
        <w:t>7</w:t>
      </w:r>
      <w:proofErr w:type="gramStart"/>
      <w:r w:rsidR="006321CA">
        <w:rPr>
          <w:rFonts w:asciiTheme="minorHAnsi" w:hAnsiTheme="minorHAnsi"/>
          <w:b w:val="0"/>
          <w:sz w:val="24"/>
          <w:szCs w:val="24"/>
        </w:rPr>
        <w:t>,8</w:t>
      </w:r>
      <w:proofErr w:type="gramEnd"/>
      <w:r w:rsidR="00417B4C" w:rsidRPr="0011464F">
        <w:rPr>
          <w:rFonts w:asciiTheme="minorHAnsi" w:hAnsiTheme="minorHAnsi"/>
          <w:b w:val="0"/>
          <w:sz w:val="24"/>
          <w:szCs w:val="24"/>
        </w:rPr>
        <w:t xml:space="preserve">]. Additionally, </w:t>
      </w:r>
      <w:proofErr w:type="spellStart"/>
      <w:r w:rsidR="00417B4C" w:rsidRPr="0011464F">
        <w:rPr>
          <w:rFonts w:asciiTheme="minorHAnsi" w:hAnsiTheme="minorHAnsi"/>
          <w:b w:val="0"/>
          <w:sz w:val="24"/>
          <w:szCs w:val="24"/>
        </w:rPr>
        <w:t>P</w:t>
      </w:r>
      <w:r w:rsidRPr="0011464F">
        <w:rPr>
          <w:rFonts w:asciiTheme="minorHAnsi" w:hAnsiTheme="minorHAnsi"/>
          <w:b w:val="0"/>
          <w:sz w:val="24"/>
          <w:szCs w:val="24"/>
        </w:rPr>
        <w:t>Ca</w:t>
      </w:r>
      <w:proofErr w:type="spellEnd"/>
      <w:r w:rsidRPr="0011464F">
        <w:rPr>
          <w:rFonts w:asciiTheme="minorHAnsi" w:hAnsiTheme="minorHAnsi"/>
          <w:b w:val="0"/>
          <w:sz w:val="24"/>
          <w:szCs w:val="24"/>
        </w:rPr>
        <w:t xml:space="preserve"> treatments have significant long term side</w:t>
      </w:r>
      <w:r w:rsidR="00086928">
        <w:rPr>
          <w:rFonts w:asciiTheme="minorHAnsi" w:hAnsiTheme="minorHAnsi"/>
          <w:b w:val="0"/>
          <w:sz w:val="24"/>
          <w:szCs w:val="24"/>
        </w:rPr>
        <w:t>-</w:t>
      </w:r>
      <w:r w:rsidRPr="0011464F">
        <w:rPr>
          <w:rFonts w:asciiTheme="minorHAnsi" w:hAnsiTheme="minorHAnsi"/>
          <w:b w:val="0"/>
          <w:sz w:val="24"/>
          <w:szCs w:val="24"/>
        </w:rPr>
        <w:t>effects that can impact on masculine identity, physical and psychosocial symptoms and health-related quality of life</w:t>
      </w:r>
      <w:r w:rsidR="00417B4C" w:rsidRPr="0011464F">
        <w:rPr>
          <w:rFonts w:asciiTheme="minorHAnsi" w:hAnsiTheme="minorHAnsi"/>
          <w:b w:val="0"/>
          <w:sz w:val="24"/>
          <w:szCs w:val="24"/>
        </w:rPr>
        <w:t xml:space="preserve"> (</w:t>
      </w:r>
      <w:proofErr w:type="spellStart"/>
      <w:r w:rsidR="00417B4C" w:rsidRPr="0011464F">
        <w:rPr>
          <w:rFonts w:asciiTheme="minorHAnsi" w:hAnsiTheme="minorHAnsi"/>
          <w:b w:val="0"/>
          <w:sz w:val="24"/>
          <w:szCs w:val="24"/>
        </w:rPr>
        <w:t>HRQoL</w:t>
      </w:r>
      <w:proofErr w:type="spellEnd"/>
      <w:r w:rsidR="00417B4C" w:rsidRPr="0011464F">
        <w:rPr>
          <w:rFonts w:asciiTheme="minorHAnsi" w:hAnsiTheme="minorHAnsi"/>
          <w:b w:val="0"/>
          <w:sz w:val="24"/>
          <w:szCs w:val="24"/>
        </w:rPr>
        <w:t>)</w:t>
      </w:r>
      <w:r w:rsidRPr="0011464F">
        <w:rPr>
          <w:rFonts w:asciiTheme="minorHAnsi" w:hAnsiTheme="minorHAnsi"/>
          <w:b w:val="0"/>
          <w:sz w:val="24"/>
          <w:szCs w:val="24"/>
        </w:rPr>
        <w:t xml:space="preserve">. </w:t>
      </w:r>
      <w:r w:rsidR="00ED3E8C">
        <w:rPr>
          <w:rFonts w:asciiTheme="minorHAnsi" w:hAnsiTheme="minorHAnsi"/>
          <w:b w:val="0"/>
          <w:sz w:val="24"/>
          <w:szCs w:val="24"/>
        </w:rPr>
        <w:t>Thus r</w:t>
      </w:r>
      <w:r w:rsidRPr="0011464F">
        <w:rPr>
          <w:rFonts w:asciiTheme="minorHAnsi" w:hAnsiTheme="minorHAnsi"/>
          <w:b w:val="0"/>
          <w:sz w:val="24"/>
          <w:szCs w:val="24"/>
        </w:rPr>
        <w:t xml:space="preserve">esearch is </w:t>
      </w:r>
      <w:r w:rsidR="00ED3E8C">
        <w:rPr>
          <w:rFonts w:asciiTheme="minorHAnsi" w:hAnsiTheme="minorHAnsi"/>
          <w:b w:val="0"/>
          <w:sz w:val="24"/>
          <w:szCs w:val="24"/>
        </w:rPr>
        <w:t xml:space="preserve">needed </w:t>
      </w:r>
      <w:r w:rsidRPr="0011464F">
        <w:rPr>
          <w:rFonts w:asciiTheme="minorHAnsi" w:hAnsiTheme="minorHAnsi"/>
          <w:b w:val="0"/>
          <w:sz w:val="24"/>
          <w:szCs w:val="24"/>
        </w:rPr>
        <w:t>to identify targeted screening tools that can improve</w:t>
      </w:r>
      <w:r w:rsidR="00417B4C" w:rsidRPr="0011464F">
        <w:rPr>
          <w:rFonts w:asciiTheme="minorHAnsi" w:hAnsiTheme="minorHAnsi"/>
          <w:b w:val="0"/>
          <w:sz w:val="24"/>
          <w:szCs w:val="24"/>
        </w:rPr>
        <w:t xml:space="preserve"> the benefit to harm ratio for </w:t>
      </w:r>
      <w:proofErr w:type="spellStart"/>
      <w:r w:rsidR="00417B4C" w:rsidRPr="0011464F">
        <w:rPr>
          <w:rFonts w:asciiTheme="minorHAnsi" w:hAnsiTheme="minorHAnsi"/>
          <w:b w:val="0"/>
          <w:sz w:val="24"/>
          <w:szCs w:val="24"/>
        </w:rPr>
        <w:t>P</w:t>
      </w:r>
      <w:r w:rsidRPr="0011464F">
        <w:rPr>
          <w:rFonts w:asciiTheme="minorHAnsi" w:hAnsiTheme="minorHAnsi"/>
          <w:b w:val="0"/>
          <w:sz w:val="24"/>
          <w:szCs w:val="24"/>
        </w:rPr>
        <w:t>Ca</w:t>
      </w:r>
      <w:proofErr w:type="spellEnd"/>
      <w:r w:rsidRPr="0011464F">
        <w:rPr>
          <w:rFonts w:asciiTheme="minorHAnsi" w:hAnsiTheme="minorHAnsi"/>
          <w:b w:val="0"/>
          <w:sz w:val="24"/>
          <w:szCs w:val="24"/>
        </w:rPr>
        <w:t xml:space="preserve"> screening.</w:t>
      </w:r>
    </w:p>
    <w:p w14:paraId="44CA2205" w14:textId="53D608DE" w:rsidR="00427B1F" w:rsidRPr="0011464F" w:rsidRDefault="00ED3E8C" w:rsidP="001E225F">
      <w:pPr>
        <w:pStyle w:val="Heading2"/>
        <w:spacing w:line="360" w:lineRule="auto"/>
        <w:rPr>
          <w:rFonts w:asciiTheme="minorHAnsi" w:hAnsiTheme="minorHAnsi"/>
          <w:b w:val="0"/>
          <w:sz w:val="24"/>
          <w:szCs w:val="24"/>
        </w:rPr>
      </w:pPr>
      <w:r>
        <w:rPr>
          <w:rFonts w:asciiTheme="minorHAnsi" w:hAnsiTheme="minorHAnsi"/>
          <w:b w:val="0"/>
          <w:sz w:val="24"/>
          <w:szCs w:val="24"/>
        </w:rPr>
        <w:t>The</w:t>
      </w:r>
      <w:r w:rsidR="00427B1F" w:rsidRPr="0011464F">
        <w:rPr>
          <w:rFonts w:asciiTheme="minorHAnsi" w:hAnsiTheme="minorHAnsi"/>
          <w:b w:val="0"/>
          <w:sz w:val="24"/>
          <w:szCs w:val="24"/>
        </w:rPr>
        <w:t xml:space="preserve"> limited </w:t>
      </w:r>
      <w:proofErr w:type="gramStart"/>
      <w:r w:rsidR="00427B1F" w:rsidRPr="0011464F">
        <w:rPr>
          <w:rFonts w:asciiTheme="minorHAnsi" w:hAnsiTheme="minorHAnsi"/>
          <w:b w:val="0"/>
          <w:sz w:val="24"/>
          <w:szCs w:val="24"/>
        </w:rPr>
        <w:t xml:space="preserve">number of studies of screening in men with a family history </w:t>
      </w:r>
      <w:r w:rsidR="002751A4">
        <w:rPr>
          <w:rFonts w:asciiTheme="minorHAnsi" w:hAnsiTheme="minorHAnsi"/>
          <w:b w:val="0"/>
          <w:sz w:val="24"/>
          <w:szCs w:val="24"/>
        </w:rPr>
        <w:t xml:space="preserve">(FH) </w:t>
      </w:r>
      <w:r w:rsidR="00427B1F" w:rsidRPr="0011464F">
        <w:rPr>
          <w:rFonts w:asciiTheme="minorHAnsi" w:hAnsiTheme="minorHAnsi"/>
          <w:b w:val="0"/>
          <w:sz w:val="24"/>
          <w:szCs w:val="24"/>
        </w:rPr>
        <w:t xml:space="preserve">of </w:t>
      </w:r>
      <w:proofErr w:type="spellStart"/>
      <w:r w:rsidR="00427B1F" w:rsidRPr="0011464F">
        <w:rPr>
          <w:rFonts w:asciiTheme="minorHAnsi" w:hAnsiTheme="minorHAnsi"/>
          <w:b w:val="0"/>
          <w:sz w:val="24"/>
          <w:szCs w:val="24"/>
        </w:rPr>
        <w:t>PCa</w:t>
      </w:r>
      <w:proofErr w:type="spellEnd"/>
      <w:r w:rsidR="00427B1F" w:rsidRPr="0011464F">
        <w:rPr>
          <w:rFonts w:asciiTheme="minorHAnsi" w:hAnsiTheme="minorHAnsi"/>
          <w:b w:val="0"/>
          <w:sz w:val="24"/>
          <w:szCs w:val="24"/>
        </w:rPr>
        <w:t xml:space="preserve"> have</w:t>
      </w:r>
      <w:proofErr w:type="gramEnd"/>
      <w:r w:rsidR="00427B1F" w:rsidRPr="0011464F">
        <w:rPr>
          <w:rFonts w:asciiTheme="minorHAnsi" w:hAnsiTheme="minorHAnsi"/>
          <w:b w:val="0"/>
          <w:sz w:val="24"/>
          <w:szCs w:val="24"/>
        </w:rPr>
        <w:t xml:space="preserve"> generally support</w:t>
      </w:r>
      <w:r w:rsidR="00D62285">
        <w:rPr>
          <w:rFonts w:asciiTheme="minorHAnsi" w:hAnsiTheme="minorHAnsi"/>
          <w:b w:val="0"/>
          <w:sz w:val="24"/>
          <w:szCs w:val="24"/>
        </w:rPr>
        <w:t>ed</w:t>
      </w:r>
      <w:r w:rsidR="00427B1F" w:rsidRPr="0011464F">
        <w:rPr>
          <w:rFonts w:asciiTheme="minorHAnsi" w:hAnsiTheme="minorHAnsi"/>
          <w:b w:val="0"/>
          <w:sz w:val="24"/>
          <w:szCs w:val="24"/>
        </w:rPr>
        <w:t xml:space="preserve"> the use of screening in th</w:t>
      </w:r>
      <w:r>
        <w:rPr>
          <w:rFonts w:asciiTheme="minorHAnsi" w:hAnsiTheme="minorHAnsi"/>
          <w:b w:val="0"/>
          <w:sz w:val="24"/>
          <w:szCs w:val="24"/>
        </w:rPr>
        <w:t>is population</w:t>
      </w:r>
      <w:r w:rsidR="00427B1F" w:rsidRPr="0011464F">
        <w:rPr>
          <w:rFonts w:asciiTheme="minorHAnsi" w:hAnsiTheme="minorHAnsi"/>
          <w:b w:val="0"/>
          <w:sz w:val="24"/>
          <w:szCs w:val="24"/>
        </w:rPr>
        <w:t xml:space="preserve"> [</w:t>
      </w:r>
      <w:r w:rsidR="006321CA">
        <w:rPr>
          <w:rFonts w:asciiTheme="minorHAnsi" w:hAnsiTheme="minorHAnsi"/>
          <w:b w:val="0"/>
          <w:sz w:val="24"/>
          <w:szCs w:val="24"/>
        </w:rPr>
        <w:t>9-12</w:t>
      </w:r>
      <w:r w:rsidR="00427B1F" w:rsidRPr="0011464F">
        <w:rPr>
          <w:rFonts w:asciiTheme="minorHAnsi" w:hAnsiTheme="minorHAnsi"/>
          <w:b w:val="0"/>
          <w:sz w:val="24"/>
          <w:szCs w:val="24"/>
        </w:rPr>
        <w:t>]. To our knowledge</w:t>
      </w:r>
      <w:r>
        <w:rPr>
          <w:rFonts w:asciiTheme="minorHAnsi" w:hAnsiTheme="minorHAnsi"/>
          <w:b w:val="0"/>
          <w:sz w:val="24"/>
          <w:szCs w:val="24"/>
        </w:rPr>
        <w:t>,</w:t>
      </w:r>
      <w:r w:rsidR="00427B1F" w:rsidRPr="0011464F">
        <w:rPr>
          <w:rFonts w:asciiTheme="minorHAnsi" w:hAnsiTheme="minorHAnsi"/>
          <w:b w:val="0"/>
          <w:sz w:val="24"/>
          <w:szCs w:val="24"/>
        </w:rPr>
        <w:t xml:space="preserve"> no studies, to date, have </w:t>
      </w:r>
      <w:r>
        <w:rPr>
          <w:rFonts w:asciiTheme="minorHAnsi" w:hAnsiTheme="minorHAnsi"/>
          <w:b w:val="0"/>
          <w:sz w:val="24"/>
          <w:szCs w:val="24"/>
        </w:rPr>
        <w:t xml:space="preserve">prospectively evaluated </w:t>
      </w:r>
      <w:r w:rsidR="00427B1F" w:rsidRPr="0011464F">
        <w:rPr>
          <w:rFonts w:asciiTheme="minorHAnsi" w:hAnsiTheme="minorHAnsi"/>
          <w:b w:val="0"/>
          <w:sz w:val="24"/>
          <w:szCs w:val="24"/>
        </w:rPr>
        <w:t xml:space="preserve">a </w:t>
      </w:r>
      <w:proofErr w:type="spellStart"/>
      <w:r w:rsidR="00427B1F" w:rsidRPr="0011464F">
        <w:rPr>
          <w:rFonts w:asciiTheme="minorHAnsi" w:hAnsiTheme="minorHAnsi"/>
          <w:b w:val="0"/>
          <w:sz w:val="24"/>
          <w:szCs w:val="24"/>
        </w:rPr>
        <w:t>PCa</w:t>
      </w:r>
      <w:proofErr w:type="spellEnd"/>
      <w:r w:rsidR="00427B1F" w:rsidRPr="0011464F">
        <w:rPr>
          <w:rFonts w:asciiTheme="minorHAnsi" w:hAnsiTheme="minorHAnsi"/>
          <w:b w:val="0"/>
          <w:sz w:val="24"/>
          <w:szCs w:val="24"/>
        </w:rPr>
        <w:t xml:space="preserve"> screening programme for </w:t>
      </w:r>
      <w:r w:rsidR="00427B1F" w:rsidRPr="0011464F">
        <w:rPr>
          <w:rFonts w:asciiTheme="minorHAnsi" w:hAnsiTheme="minorHAnsi"/>
          <w:b w:val="0"/>
          <w:i/>
          <w:sz w:val="24"/>
          <w:szCs w:val="24"/>
        </w:rPr>
        <w:t>BRCA1/2</w:t>
      </w:r>
      <w:r w:rsidR="00427B1F" w:rsidRPr="0011464F">
        <w:rPr>
          <w:rFonts w:asciiTheme="minorHAnsi" w:hAnsiTheme="minorHAnsi"/>
          <w:b w:val="0"/>
          <w:sz w:val="24"/>
          <w:szCs w:val="24"/>
        </w:rPr>
        <w:t xml:space="preserve"> mutation carriers. The IMPACT study (Identification of Men with a genetic predisposition to </w:t>
      </w:r>
      <w:proofErr w:type="spellStart"/>
      <w:r w:rsidR="00427B1F" w:rsidRPr="0011464F">
        <w:rPr>
          <w:rFonts w:asciiTheme="minorHAnsi" w:hAnsiTheme="minorHAnsi"/>
          <w:b w:val="0"/>
          <w:sz w:val="24"/>
          <w:szCs w:val="24"/>
        </w:rPr>
        <w:t>ProstAte</w:t>
      </w:r>
      <w:proofErr w:type="spellEnd"/>
      <w:r w:rsidR="00427B1F" w:rsidRPr="0011464F">
        <w:rPr>
          <w:rFonts w:asciiTheme="minorHAnsi" w:hAnsiTheme="minorHAnsi"/>
          <w:b w:val="0"/>
          <w:sz w:val="24"/>
          <w:szCs w:val="24"/>
        </w:rPr>
        <w:t xml:space="preserve"> Cancer: </w:t>
      </w:r>
      <w:r w:rsidR="00DB3A8B" w:rsidRPr="00DB3A8B">
        <w:rPr>
          <w:rFonts w:ascii="Calibri" w:hAnsi="Calibri"/>
          <w:b w:val="0"/>
          <w:sz w:val="24"/>
          <w:szCs w:val="24"/>
        </w:rPr>
        <w:t>Targeted Screening in men at higher genetic risk and controls</w:t>
      </w:r>
      <w:r w:rsidR="00427B1F" w:rsidRPr="0011464F">
        <w:rPr>
          <w:rFonts w:asciiTheme="minorHAnsi" w:hAnsiTheme="minorHAnsi"/>
          <w:b w:val="0"/>
          <w:sz w:val="24"/>
          <w:szCs w:val="24"/>
        </w:rPr>
        <w:t xml:space="preserve">) is an international, multicentre study evaluating the role of targeted PSA screening in men with </w:t>
      </w:r>
      <w:r w:rsidR="00427B1F" w:rsidRPr="0011464F">
        <w:rPr>
          <w:rFonts w:asciiTheme="minorHAnsi" w:hAnsiTheme="minorHAnsi"/>
          <w:b w:val="0"/>
          <w:i/>
          <w:sz w:val="24"/>
          <w:szCs w:val="24"/>
        </w:rPr>
        <w:t>BRCA1/2</w:t>
      </w:r>
      <w:r w:rsidR="00427B1F" w:rsidRPr="0011464F">
        <w:rPr>
          <w:rFonts w:asciiTheme="minorHAnsi" w:hAnsiTheme="minorHAnsi"/>
          <w:b w:val="0"/>
          <w:sz w:val="24"/>
          <w:szCs w:val="24"/>
        </w:rPr>
        <w:t xml:space="preserve"> mutations [</w:t>
      </w:r>
      <w:r w:rsidR="006321CA">
        <w:rPr>
          <w:rFonts w:asciiTheme="minorHAnsi" w:hAnsiTheme="minorHAnsi"/>
          <w:b w:val="0"/>
          <w:sz w:val="24"/>
          <w:szCs w:val="24"/>
        </w:rPr>
        <w:t>6</w:t>
      </w:r>
      <w:r w:rsidR="00427B1F" w:rsidRPr="0011464F">
        <w:rPr>
          <w:rFonts w:asciiTheme="minorHAnsi" w:hAnsiTheme="minorHAnsi"/>
          <w:b w:val="0"/>
          <w:sz w:val="24"/>
          <w:szCs w:val="24"/>
        </w:rPr>
        <w:t xml:space="preserve">].  </w:t>
      </w:r>
    </w:p>
    <w:p w14:paraId="1987E532" w14:textId="77AF0360" w:rsidR="00427B1F" w:rsidRPr="0011464F" w:rsidRDefault="00427B1F" w:rsidP="001E225F">
      <w:pPr>
        <w:pStyle w:val="Heading2"/>
        <w:spacing w:line="360" w:lineRule="auto"/>
        <w:rPr>
          <w:rFonts w:asciiTheme="minorHAnsi" w:hAnsiTheme="minorHAnsi"/>
          <w:b w:val="0"/>
          <w:sz w:val="24"/>
          <w:szCs w:val="24"/>
        </w:rPr>
      </w:pPr>
      <w:r w:rsidRPr="0011464F">
        <w:rPr>
          <w:rFonts w:asciiTheme="minorHAnsi" w:hAnsiTheme="minorHAnsi"/>
          <w:b w:val="0"/>
          <w:sz w:val="24"/>
          <w:szCs w:val="24"/>
        </w:rPr>
        <w:lastRenderedPageBreak/>
        <w:t xml:space="preserve">Evidence supports that genetic testing for mutations in </w:t>
      </w:r>
      <w:r w:rsidRPr="0011464F">
        <w:rPr>
          <w:rFonts w:asciiTheme="minorHAnsi" w:hAnsiTheme="minorHAnsi"/>
          <w:b w:val="0"/>
          <w:i/>
          <w:sz w:val="24"/>
          <w:szCs w:val="24"/>
        </w:rPr>
        <w:t>BRCA1</w:t>
      </w:r>
      <w:r w:rsidRPr="0011464F">
        <w:rPr>
          <w:rFonts w:asciiTheme="minorHAnsi" w:hAnsiTheme="minorHAnsi"/>
          <w:b w:val="0"/>
          <w:sz w:val="24"/>
          <w:szCs w:val="24"/>
        </w:rPr>
        <w:t xml:space="preserve"> and </w:t>
      </w:r>
      <w:r w:rsidRPr="0011464F">
        <w:rPr>
          <w:rFonts w:asciiTheme="minorHAnsi" w:hAnsiTheme="minorHAnsi"/>
          <w:b w:val="0"/>
          <w:i/>
          <w:sz w:val="24"/>
          <w:szCs w:val="24"/>
        </w:rPr>
        <w:t>BRCA2</w:t>
      </w:r>
      <w:r w:rsidRPr="0011464F">
        <w:rPr>
          <w:rFonts w:asciiTheme="minorHAnsi" w:hAnsiTheme="minorHAnsi"/>
          <w:b w:val="0"/>
          <w:sz w:val="24"/>
          <w:szCs w:val="24"/>
        </w:rPr>
        <w:t xml:space="preserve"> does not have a significant long-term psychological impact on most people tested [</w:t>
      </w:r>
      <w:r w:rsidR="006321CA">
        <w:rPr>
          <w:rFonts w:asciiTheme="minorHAnsi" w:hAnsiTheme="minorHAnsi"/>
          <w:b w:val="0"/>
          <w:sz w:val="24"/>
          <w:szCs w:val="24"/>
        </w:rPr>
        <w:t>13</w:t>
      </w:r>
      <w:proofErr w:type="gramStart"/>
      <w:r w:rsidR="006321CA">
        <w:rPr>
          <w:rFonts w:asciiTheme="minorHAnsi" w:hAnsiTheme="minorHAnsi"/>
          <w:b w:val="0"/>
          <w:sz w:val="24"/>
          <w:szCs w:val="24"/>
        </w:rPr>
        <w:t>,14</w:t>
      </w:r>
      <w:proofErr w:type="gramEnd"/>
      <w:r w:rsidRPr="0011464F">
        <w:rPr>
          <w:rFonts w:asciiTheme="minorHAnsi" w:hAnsiTheme="minorHAnsi"/>
          <w:b w:val="0"/>
          <w:sz w:val="24"/>
          <w:szCs w:val="24"/>
        </w:rPr>
        <w:t>]. Studies of men undergoing prostate screening suggest that a minority experience some anxiety, usually while waiting for results</w:t>
      </w:r>
      <w:r w:rsidR="001C01CF">
        <w:rPr>
          <w:rFonts w:asciiTheme="minorHAnsi" w:hAnsiTheme="minorHAnsi"/>
          <w:b w:val="0"/>
          <w:sz w:val="24"/>
          <w:szCs w:val="24"/>
        </w:rPr>
        <w:t xml:space="preserve"> [15-17]</w:t>
      </w:r>
      <w:r w:rsidRPr="0011464F">
        <w:rPr>
          <w:rFonts w:asciiTheme="minorHAnsi" w:hAnsiTheme="minorHAnsi"/>
          <w:b w:val="0"/>
          <w:sz w:val="24"/>
          <w:szCs w:val="24"/>
        </w:rPr>
        <w:t xml:space="preserve">. Risk factors for anxiety include having a </w:t>
      </w:r>
      <w:r w:rsidR="002751A4">
        <w:rPr>
          <w:rFonts w:asciiTheme="minorHAnsi" w:hAnsiTheme="minorHAnsi"/>
          <w:b w:val="0"/>
          <w:sz w:val="24"/>
          <w:szCs w:val="24"/>
        </w:rPr>
        <w:t>FH</w:t>
      </w:r>
      <w:r w:rsidR="009D031C">
        <w:rPr>
          <w:rFonts w:asciiTheme="minorHAnsi" w:hAnsiTheme="minorHAnsi"/>
          <w:b w:val="0"/>
          <w:sz w:val="24"/>
          <w:szCs w:val="24"/>
        </w:rPr>
        <w:t xml:space="preserve"> of </w:t>
      </w:r>
      <w:proofErr w:type="spellStart"/>
      <w:r w:rsidR="00D62285">
        <w:rPr>
          <w:rFonts w:asciiTheme="minorHAnsi" w:hAnsiTheme="minorHAnsi"/>
          <w:b w:val="0"/>
          <w:sz w:val="24"/>
          <w:szCs w:val="24"/>
        </w:rPr>
        <w:t>PCa</w:t>
      </w:r>
      <w:proofErr w:type="spellEnd"/>
      <w:r w:rsidRPr="0011464F">
        <w:rPr>
          <w:rFonts w:asciiTheme="minorHAnsi" w:hAnsiTheme="minorHAnsi"/>
          <w:b w:val="0"/>
          <w:sz w:val="24"/>
          <w:szCs w:val="24"/>
        </w:rPr>
        <w:t>, symptoms or abnormal genetic test results [</w:t>
      </w:r>
      <w:r w:rsidR="006321CA">
        <w:rPr>
          <w:rFonts w:asciiTheme="minorHAnsi" w:hAnsiTheme="minorHAnsi"/>
          <w:b w:val="0"/>
          <w:sz w:val="24"/>
          <w:szCs w:val="24"/>
        </w:rPr>
        <w:t>15</w:t>
      </w:r>
      <w:r w:rsidRPr="0011464F">
        <w:rPr>
          <w:rFonts w:asciiTheme="minorHAnsi" w:hAnsiTheme="minorHAnsi"/>
          <w:b w:val="0"/>
          <w:sz w:val="24"/>
          <w:szCs w:val="24"/>
        </w:rPr>
        <w:t>-</w:t>
      </w:r>
      <w:r w:rsidR="006321CA">
        <w:rPr>
          <w:rFonts w:asciiTheme="minorHAnsi" w:hAnsiTheme="minorHAnsi"/>
          <w:b w:val="0"/>
          <w:sz w:val="24"/>
          <w:szCs w:val="24"/>
        </w:rPr>
        <w:t>17</w:t>
      </w:r>
      <w:r w:rsidRPr="0011464F">
        <w:rPr>
          <w:rFonts w:asciiTheme="minorHAnsi" w:hAnsiTheme="minorHAnsi"/>
          <w:b w:val="0"/>
          <w:sz w:val="24"/>
          <w:szCs w:val="24"/>
        </w:rPr>
        <w:t xml:space="preserve">]. We are not aware of any studies that have reported on the psychological impact of undergoing prostate screening in men with </w:t>
      </w:r>
      <w:r w:rsidRPr="0011464F">
        <w:rPr>
          <w:rFonts w:asciiTheme="minorHAnsi" w:hAnsiTheme="minorHAnsi"/>
          <w:b w:val="0"/>
          <w:i/>
          <w:sz w:val="24"/>
          <w:szCs w:val="24"/>
        </w:rPr>
        <w:t>BRCA1/2</w:t>
      </w:r>
      <w:r w:rsidRPr="0011464F">
        <w:rPr>
          <w:rFonts w:asciiTheme="minorHAnsi" w:hAnsiTheme="minorHAnsi"/>
          <w:b w:val="0"/>
          <w:sz w:val="24"/>
          <w:szCs w:val="24"/>
        </w:rPr>
        <w:t xml:space="preserve"> mutations. </w:t>
      </w:r>
      <w:r w:rsidR="00A05650">
        <w:rPr>
          <w:rFonts w:asciiTheme="minorHAnsi" w:hAnsiTheme="minorHAnsi"/>
          <w:b w:val="0"/>
          <w:sz w:val="24"/>
          <w:szCs w:val="24"/>
        </w:rPr>
        <w:t xml:space="preserve">As </w:t>
      </w:r>
      <w:r w:rsidR="00A05650" w:rsidRPr="001C01CF">
        <w:rPr>
          <w:rFonts w:asciiTheme="minorHAnsi" w:hAnsiTheme="minorHAnsi"/>
          <w:b w:val="0"/>
          <w:i/>
          <w:sz w:val="24"/>
          <w:szCs w:val="24"/>
        </w:rPr>
        <w:t>BRCA1/2</w:t>
      </w:r>
      <w:r w:rsidR="00A05650">
        <w:rPr>
          <w:rFonts w:asciiTheme="minorHAnsi" w:hAnsiTheme="minorHAnsi"/>
          <w:b w:val="0"/>
          <w:sz w:val="24"/>
          <w:szCs w:val="24"/>
        </w:rPr>
        <w:t xml:space="preserve"> mutations confer an increased risk</w:t>
      </w:r>
      <w:r w:rsidR="00ED3E8C">
        <w:rPr>
          <w:rFonts w:asciiTheme="minorHAnsi" w:hAnsiTheme="minorHAnsi"/>
          <w:b w:val="0"/>
          <w:sz w:val="24"/>
          <w:szCs w:val="24"/>
        </w:rPr>
        <w:t>,</w:t>
      </w:r>
      <w:r w:rsidR="00A05650">
        <w:rPr>
          <w:rFonts w:asciiTheme="minorHAnsi" w:hAnsiTheme="minorHAnsi"/>
          <w:b w:val="0"/>
          <w:sz w:val="24"/>
          <w:szCs w:val="24"/>
        </w:rPr>
        <w:t xml:space="preserve"> and </w:t>
      </w:r>
      <w:r w:rsidR="00D62285">
        <w:rPr>
          <w:rFonts w:asciiTheme="minorHAnsi" w:hAnsiTheme="minorHAnsi"/>
          <w:b w:val="0"/>
          <w:sz w:val="24"/>
          <w:szCs w:val="24"/>
        </w:rPr>
        <w:t xml:space="preserve">  </w:t>
      </w:r>
      <w:r w:rsidRPr="0011464F">
        <w:rPr>
          <w:rFonts w:asciiTheme="minorHAnsi" w:hAnsiTheme="minorHAnsi"/>
          <w:b w:val="0"/>
          <w:sz w:val="24"/>
          <w:szCs w:val="24"/>
        </w:rPr>
        <w:t xml:space="preserve">a heightened perception of risk of </w:t>
      </w:r>
      <w:proofErr w:type="spellStart"/>
      <w:r w:rsidR="00086928" w:rsidRPr="006321CA">
        <w:rPr>
          <w:rFonts w:ascii="Calibri" w:hAnsi="Calibri" w:cs="Courier New"/>
          <w:b w:val="0"/>
          <w:sz w:val="24"/>
        </w:rPr>
        <w:t>PCa</w:t>
      </w:r>
      <w:proofErr w:type="spellEnd"/>
      <w:r w:rsidR="00086928" w:rsidRPr="005641E9">
        <w:rPr>
          <w:rFonts w:cs="Courier New"/>
          <w:sz w:val="24"/>
        </w:rPr>
        <w:t xml:space="preserve"> </w:t>
      </w:r>
      <w:r w:rsidRPr="0011464F">
        <w:rPr>
          <w:rFonts w:asciiTheme="minorHAnsi" w:hAnsiTheme="minorHAnsi"/>
          <w:b w:val="0"/>
          <w:sz w:val="24"/>
          <w:szCs w:val="24"/>
        </w:rPr>
        <w:t>may be associated with psychological distress</w:t>
      </w:r>
      <w:r w:rsidR="00417B4C" w:rsidRPr="0011464F">
        <w:rPr>
          <w:rFonts w:asciiTheme="minorHAnsi" w:hAnsiTheme="minorHAnsi"/>
          <w:b w:val="0"/>
          <w:sz w:val="24"/>
          <w:szCs w:val="24"/>
        </w:rPr>
        <w:t xml:space="preserve"> </w:t>
      </w:r>
      <w:r w:rsidRPr="0011464F">
        <w:rPr>
          <w:rFonts w:asciiTheme="minorHAnsi" w:hAnsiTheme="minorHAnsi"/>
          <w:b w:val="0"/>
          <w:sz w:val="24"/>
          <w:szCs w:val="24"/>
        </w:rPr>
        <w:t>[</w:t>
      </w:r>
      <w:r w:rsidR="006321CA">
        <w:rPr>
          <w:rFonts w:asciiTheme="minorHAnsi" w:hAnsiTheme="minorHAnsi"/>
          <w:b w:val="0"/>
          <w:sz w:val="24"/>
          <w:szCs w:val="24"/>
        </w:rPr>
        <w:t>18</w:t>
      </w:r>
      <w:r w:rsidRPr="0011464F">
        <w:rPr>
          <w:rFonts w:asciiTheme="minorHAnsi" w:hAnsiTheme="minorHAnsi"/>
          <w:b w:val="0"/>
          <w:sz w:val="24"/>
          <w:szCs w:val="24"/>
        </w:rPr>
        <w:t>]</w:t>
      </w:r>
      <w:r w:rsidR="00A05650">
        <w:rPr>
          <w:rFonts w:asciiTheme="minorHAnsi" w:hAnsiTheme="minorHAnsi"/>
          <w:b w:val="0"/>
          <w:sz w:val="24"/>
          <w:szCs w:val="24"/>
        </w:rPr>
        <w:t>, we may see higher levels of anxiety in this population</w:t>
      </w:r>
      <w:r w:rsidRPr="0011464F">
        <w:rPr>
          <w:rFonts w:asciiTheme="minorHAnsi" w:hAnsiTheme="minorHAnsi"/>
          <w:b w:val="0"/>
          <w:sz w:val="24"/>
          <w:szCs w:val="24"/>
        </w:rPr>
        <w:t>.</w:t>
      </w:r>
      <w:r w:rsidR="00A05650">
        <w:rPr>
          <w:rFonts w:asciiTheme="minorHAnsi" w:hAnsiTheme="minorHAnsi"/>
          <w:b w:val="0"/>
          <w:sz w:val="24"/>
          <w:szCs w:val="24"/>
        </w:rPr>
        <w:t xml:space="preserve"> However, risk perception has been shown not to reflect true risk in both men </w:t>
      </w:r>
      <w:r w:rsidRPr="0011464F">
        <w:rPr>
          <w:rFonts w:asciiTheme="minorHAnsi" w:hAnsiTheme="minorHAnsi"/>
          <w:b w:val="0"/>
          <w:sz w:val="24"/>
          <w:szCs w:val="24"/>
        </w:rPr>
        <w:t xml:space="preserve">with and without a </w:t>
      </w:r>
      <w:r w:rsidR="002751A4" w:rsidRPr="002751A4">
        <w:rPr>
          <w:rFonts w:cs="Courier New"/>
          <w:b w:val="0"/>
          <w:sz w:val="24"/>
        </w:rPr>
        <w:t>FH</w:t>
      </w:r>
      <w:r w:rsidR="00A05650">
        <w:rPr>
          <w:rFonts w:asciiTheme="minorHAnsi" w:hAnsiTheme="minorHAnsi"/>
          <w:b w:val="0"/>
          <w:sz w:val="24"/>
          <w:szCs w:val="24"/>
        </w:rPr>
        <w:t xml:space="preserve"> of </w:t>
      </w:r>
      <w:proofErr w:type="spellStart"/>
      <w:proofErr w:type="gramStart"/>
      <w:r w:rsidR="00417B4C" w:rsidRPr="0011464F">
        <w:rPr>
          <w:rFonts w:asciiTheme="minorHAnsi" w:hAnsiTheme="minorHAnsi"/>
          <w:b w:val="0"/>
          <w:sz w:val="24"/>
          <w:szCs w:val="24"/>
        </w:rPr>
        <w:t>P</w:t>
      </w:r>
      <w:r w:rsidRPr="0011464F">
        <w:rPr>
          <w:rFonts w:asciiTheme="minorHAnsi" w:hAnsiTheme="minorHAnsi"/>
          <w:b w:val="0"/>
          <w:sz w:val="24"/>
          <w:szCs w:val="24"/>
        </w:rPr>
        <w:t>Ca</w:t>
      </w:r>
      <w:proofErr w:type="spellEnd"/>
      <w:r w:rsidRPr="0011464F">
        <w:rPr>
          <w:rFonts w:asciiTheme="minorHAnsi" w:hAnsiTheme="minorHAnsi"/>
          <w:b w:val="0"/>
          <w:sz w:val="24"/>
          <w:szCs w:val="24"/>
        </w:rPr>
        <w:t xml:space="preserve"> .</w:t>
      </w:r>
      <w:proofErr w:type="gramEnd"/>
      <w:r w:rsidRPr="0011464F">
        <w:rPr>
          <w:rFonts w:asciiTheme="minorHAnsi" w:hAnsiTheme="minorHAnsi"/>
          <w:b w:val="0"/>
          <w:sz w:val="24"/>
          <w:szCs w:val="24"/>
        </w:rPr>
        <w:t xml:space="preserve"> It has also been reported that cancer worry is high in</w:t>
      </w:r>
      <w:r w:rsidR="00417B4C" w:rsidRPr="0011464F">
        <w:rPr>
          <w:rFonts w:asciiTheme="minorHAnsi" w:hAnsiTheme="minorHAnsi"/>
          <w:b w:val="0"/>
          <w:sz w:val="24"/>
          <w:szCs w:val="24"/>
        </w:rPr>
        <w:t xml:space="preserve"> men with a </w:t>
      </w:r>
      <w:r w:rsidR="002751A4" w:rsidRPr="002751A4">
        <w:rPr>
          <w:rFonts w:cs="Courier New"/>
          <w:b w:val="0"/>
          <w:sz w:val="24"/>
        </w:rPr>
        <w:t>FH</w:t>
      </w:r>
      <w:r w:rsidR="00417B4C" w:rsidRPr="0011464F">
        <w:rPr>
          <w:rFonts w:asciiTheme="minorHAnsi" w:hAnsiTheme="minorHAnsi"/>
          <w:b w:val="0"/>
          <w:sz w:val="24"/>
          <w:szCs w:val="24"/>
        </w:rPr>
        <w:t xml:space="preserve"> of </w:t>
      </w:r>
      <w:proofErr w:type="spellStart"/>
      <w:r w:rsidR="00417B4C" w:rsidRPr="0011464F">
        <w:rPr>
          <w:rFonts w:asciiTheme="minorHAnsi" w:hAnsiTheme="minorHAnsi"/>
          <w:b w:val="0"/>
          <w:sz w:val="24"/>
          <w:szCs w:val="24"/>
        </w:rPr>
        <w:t>P</w:t>
      </w:r>
      <w:r w:rsidRPr="0011464F">
        <w:rPr>
          <w:rFonts w:asciiTheme="minorHAnsi" w:hAnsiTheme="minorHAnsi"/>
          <w:b w:val="0"/>
          <w:sz w:val="24"/>
          <w:szCs w:val="24"/>
        </w:rPr>
        <w:t>Ca</w:t>
      </w:r>
      <w:proofErr w:type="spellEnd"/>
      <w:r w:rsidRPr="0011464F">
        <w:rPr>
          <w:rFonts w:asciiTheme="minorHAnsi" w:hAnsiTheme="minorHAnsi"/>
          <w:b w:val="0"/>
          <w:sz w:val="24"/>
          <w:szCs w:val="24"/>
        </w:rPr>
        <w:t>, with the number of relatives dying from the disease predicting level of worry [</w:t>
      </w:r>
      <w:r w:rsidR="006321CA">
        <w:rPr>
          <w:rFonts w:asciiTheme="minorHAnsi" w:hAnsiTheme="minorHAnsi"/>
          <w:b w:val="0"/>
          <w:sz w:val="24"/>
          <w:szCs w:val="24"/>
        </w:rPr>
        <w:t>18</w:t>
      </w:r>
      <w:r w:rsidRPr="0011464F">
        <w:rPr>
          <w:rFonts w:asciiTheme="minorHAnsi" w:hAnsiTheme="minorHAnsi"/>
          <w:b w:val="0"/>
          <w:sz w:val="24"/>
          <w:szCs w:val="24"/>
        </w:rPr>
        <w:t xml:space="preserve">]. However, a low level of </w:t>
      </w:r>
      <w:proofErr w:type="spellStart"/>
      <w:r w:rsidRPr="0011464F">
        <w:rPr>
          <w:rFonts w:asciiTheme="minorHAnsi" w:hAnsiTheme="minorHAnsi"/>
          <w:b w:val="0"/>
          <w:sz w:val="24"/>
          <w:szCs w:val="24"/>
        </w:rPr>
        <w:t>PCa</w:t>
      </w:r>
      <w:proofErr w:type="spellEnd"/>
      <w:r w:rsidRPr="0011464F">
        <w:rPr>
          <w:rFonts w:asciiTheme="minorHAnsi" w:hAnsiTheme="minorHAnsi"/>
          <w:b w:val="0"/>
          <w:sz w:val="24"/>
          <w:szCs w:val="24"/>
        </w:rPr>
        <w:t xml:space="preserve"> worry has also been reported in m</w:t>
      </w:r>
      <w:r w:rsidR="00417B4C" w:rsidRPr="0011464F">
        <w:rPr>
          <w:rFonts w:asciiTheme="minorHAnsi" w:hAnsiTheme="minorHAnsi"/>
          <w:b w:val="0"/>
          <w:sz w:val="24"/>
          <w:szCs w:val="24"/>
        </w:rPr>
        <w:t xml:space="preserve">en with a close relative with </w:t>
      </w:r>
      <w:proofErr w:type="spellStart"/>
      <w:r w:rsidR="00417B4C" w:rsidRPr="0011464F">
        <w:rPr>
          <w:rFonts w:asciiTheme="minorHAnsi" w:hAnsiTheme="minorHAnsi"/>
          <w:b w:val="0"/>
          <w:sz w:val="24"/>
          <w:szCs w:val="24"/>
        </w:rPr>
        <w:t>P</w:t>
      </w:r>
      <w:r w:rsidRPr="0011464F">
        <w:rPr>
          <w:rFonts w:asciiTheme="minorHAnsi" w:hAnsiTheme="minorHAnsi"/>
          <w:b w:val="0"/>
          <w:sz w:val="24"/>
          <w:szCs w:val="24"/>
        </w:rPr>
        <w:t>Ca</w:t>
      </w:r>
      <w:proofErr w:type="spellEnd"/>
      <w:r w:rsidRPr="0011464F">
        <w:rPr>
          <w:rFonts w:asciiTheme="minorHAnsi" w:hAnsiTheme="minorHAnsi"/>
          <w:b w:val="0"/>
          <w:sz w:val="24"/>
          <w:szCs w:val="24"/>
        </w:rPr>
        <w:t xml:space="preserve"> [</w:t>
      </w:r>
      <w:r w:rsidR="006321CA">
        <w:rPr>
          <w:rFonts w:asciiTheme="minorHAnsi" w:hAnsiTheme="minorHAnsi"/>
          <w:b w:val="0"/>
          <w:sz w:val="24"/>
          <w:szCs w:val="24"/>
        </w:rPr>
        <w:t>19</w:t>
      </w:r>
      <w:r w:rsidRPr="0011464F">
        <w:rPr>
          <w:rFonts w:asciiTheme="minorHAnsi" w:hAnsiTheme="minorHAnsi"/>
          <w:b w:val="0"/>
          <w:sz w:val="24"/>
          <w:szCs w:val="24"/>
        </w:rPr>
        <w:t xml:space="preserve">]. </w:t>
      </w:r>
    </w:p>
    <w:p w14:paraId="0D707EAB" w14:textId="0FAF8AB7" w:rsidR="00427B1F" w:rsidRPr="0011464F" w:rsidRDefault="00427B1F" w:rsidP="001E225F">
      <w:pPr>
        <w:pStyle w:val="Heading2"/>
        <w:spacing w:line="360" w:lineRule="auto"/>
        <w:rPr>
          <w:rFonts w:asciiTheme="minorHAnsi" w:hAnsiTheme="minorHAnsi"/>
          <w:b w:val="0"/>
          <w:sz w:val="24"/>
          <w:szCs w:val="24"/>
        </w:rPr>
      </w:pPr>
      <w:r w:rsidRPr="0011464F">
        <w:rPr>
          <w:rFonts w:asciiTheme="minorHAnsi" w:hAnsiTheme="minorHAnsi"/>
          <w:b w:val="0"/>
          <w:sz w:val="24"/>
          <w:szCs w:val="24"/>
        </w:rPr>
        <w:t xml:space="preserve">Many issues arise when counselling men with </w:t>
      </w:r>
      <w:r w:rsidRPr="0011464F">
        <w:rPr>
          <w:rFonts w:asciiTheme="minorHAnsi" w:hAnsiTheme="minorHAnsi"/>
          <w:b w:val="0"/>
          <w:i/>
          <w:sz w:val="24"/>
          <w:szCs w:val="24"/>
        </w:rPr>
        <w:t>BRCA1/2</w:t>
      </w:r>
      <w:r w:rsidRPr="0011464F">
        <w:rPr>
          <w:rFonts w:asciiTheme="minorHAnsi" w:hAnsiTheme="minorHAnsi"/>
          <w:b w:val="0"/>
          <w:sz w:val="24"/>
          <w:szCs w:val="24"/>
        </w:rPr>
        <w:t xml:space="preserve"> </w:t>
      </w:r>
      <w:proofErr w:type="gramStart"/>
      <w:r w:rsidRPr="0011464F">
        <w:rPr>
          <w:rFonts w:asciiTheme="minorHAnsi" w:hAnsiTheme="minorHAnsi"/>
          <w:b w:val="0"/>
          <w:sz w:val="24"/>
          <w:szCs w:val="24"/>
        </w:rPr>
        <w:t>mutations,</w:t>
      </w:r>
      <w:proofErr w:type="gramEnd"/>
      <w:r w:rsidRPr="0011464F">
        <w:rPr>
          <w:rFonts w:asciiTheme="minorHAnsi" w:hAnsiTheme="minorHAnsi"/>
          <w:b w:val="0"/>
          <w:sz w:val="24"/>
          <w:szCs w:val="24"/>
        </w:rPr>
        <w:t xml:space="preserve"> and many factors affect the way </w:t>
      </w:r>
      <w:r w:rsidR="00ED3E8C">
        <w:rPr>
          <w:rFonts w:asciiTheme="minorHAnsi" w:hAnsiTheme="minorHAnsi"/>
          <w:b w:val="0"/>
          <w:sz w:val="24"/>
          <w:szCs w:val="24"/>
        </w:rPr>
        <w:t>in which</w:t>
      </w:r>
      <w:r w:rsidRPr="0011464F">
        <w:rPr>
          <w:rFonts w:asciiTheme="minorHAnsi" w:hAnsiTheme="minorHAnsi"/>
          <w:b w:val="0"/>
          <w:sz w:val="24"/>
          <w:szCs w:val="24"/>
        </w:rPr>
        <w:t xml:space="preserve"> men react to and use the information about their genetic status and risk of developing cancer [</w:t>
      </w:r>
      <w:r w:rsidR="006321CA">
        <w:rPr>
          <w:rFonts w:asciiTheme="minorHAnsi" w:hAnsiTheme="minorHAnsi"/>
          <w:b w:val="0"/>
          <w:sz w:val="24"/>
          <w:szCs w:val="24"/>
        </w:rPr>
        <w:t>20-22</w:t>
      </w:r>
      <w:r w:rsidRPr="0011464F">
        <w:rPr>
          <w:rFonts w:asciiTheme="minorHAnsi" w:hAnsiTheme="minorHAnsi"/>
          <w:b w:val="0"/>
          <w:sz w:val="24"/>
          <w:szCs w:val="24"/>
        </w:rPr>
        <w:t xml:space="preserve">]. Little work, to date, has investigated either the </w:t>
      </w:r>
      <w:proofErr w:type="spellStart"/>
      <w:r w:rsidRPr="0011464F">
        <w:rPr>
          <w:rFonts w:asciiTheme="minorHAnsi" w:hAnsiTheme="minorHAnsi"/>
          <w:b w:val="0"/>
          <w:sz w:val="24"/>
          <w:szCs w:val="24"/>
        </w:rPr>
        <w:t>HRQoL</w:t>
      </w:r>
      <w:proofErr w:type="spellEnd"/>
      <w:r w:rsidRPr="0011464F">
        <w:rPr>
          <w:rFonts w:asciiTheme="minorHAnsi" w:hAnsiTheme="minorHAnsi"/>
          <w:b w:val="0"/>
          <w:sz w:val="24"/>
          <w:szCs w:val="24"/>
        </w:rPr>
        <w:t xml:space="preserve"> impact for a man with a </w:t>
      </w:r>
      <w:r w:rsidRPr="0011464F">
        <w:rPr>
          <w:rFonts w:asciiTheme="minorHAnsi" w:hAnsiTheme="minorHAnsi"/>
          <w:b w:val="0"/>
          <w:i/>
          <w:sz w:val="24"/>
          <w:szCs w:val="24"/>
        </w:rPr>
        <w:t>BRCA1/2</w:t>
      </w:r>
      <w:r w:rsidRPr="0011464F">
        <w:rPr>
          <w:rFonts w:asciiTheme="minorHAnsi" w:hAnsiTheme="minorHAnsi"/>
          <w:b w:val="0"/>
          <w:sz w:val="24"/>
          <w:szCs w:val="24"/>
        </w:rPr>
        <w:t xml:space="preserve"> mutation living with an increased risk of </w:t>
      </w:r>
      <w:proofErr w:type="spellStart"/>
      <w:r w:rsidR="00624679">
        <w:rPr>
          <w:rFonts w:asciiTheme="minorHAnsi" w:hAnsiTheme="minorHAnsi"/>
          <w:b w:val="0"/>
          <w:sz w:val="24"/>
          <w:szCs w:val="24"/>
        </w:rPr>
        <w:t>PCa</w:t>
      </w:r>
      <w:proofErr w:type="spellEnd"/>
      <w:r w:rsidRPr="0011464F">
        <w:rPr>
          <w:rFonts w:asciiTheme="minorHAnsi" w:hAnsiTheme="minorHAnsi"/>
          <w:b w:val="0"/>
          <w:sz w:val="24"/>
          <w:szCs w:val="24"/>
        </w:rPr>
        <w:t xml:space="preserve">, or on those men who have gone on to develop </w:t>
      </w:r>
      <w:proofErr w:type="spellStart"/>
      <w:r w:rsidR="00624679">
        <w:rPr>
          <w:rFonts w:asciiTheme="minorHAnsi" w:hAnsiTheme="minorHAnsi"/>
          <w:b w:val="0"/>
          <w:sz w:val="24"/>
          <w:szCs w:val="24"/>
        </w:rPr>
        <w:t>PCa</w:t>
      </w:r>
      <w:proofErr w:type="spellEnd"/>
      <w:r w:rsidR="00DB3A8B">
        <w:rPr>
          <w:rFonts w:asciiTheme="minorHAnsi" w:hAnsiTheme="minorHAnsi"/>
          <w:b w:val="0"/>
          <w:sz w:val="24"/>
          <w:szCs w:val="24"/>
        </w:rPr>
        <w:t xml:space="preserve"> [2</w:t>
      </w:r>
      <w:r w:rsidR="006321CA">
        <w:rPr>
          <w:rFonts w:asciiTheme="minorHAnsi" w:hAnsiTheme="minorHAnsi"/>
          <w:b w:val="0"/>
          <w:sz w:val="24"/>
          <w:szCs w:val="24"/>
        </w:rPr>
        <w:t>3</w:t>
      </w:r>
      <w:r w:rsidR="00DB3A8B">
        <w:rPr>
          <w:rFonts w:asciiTheme="minorHAnsi" w:hAnsiTheme="minorHAnsi"/>
          <w:b w:val="0"/>
          <w:sz w:val="24"/>
          <w:szCs w:val="24"/>
        </w:rPr>
        <w:t>]</w:t>
      </w:r>
      <w:r w:rsidRPr="0011464F">
        <w:rPr>
          <w:rFonts w:asciiTheme="minorHAnsi" w:hAnsiTheme="minorHAnsi"/>
          <w:b w:val="0"/>
          <w:sz w:val="24"/>
          <w:szCs w:val="24"/>
        </w:rPr>
        <w:t>.</w:t>
      </w:r>
      <w:r w:rsidR="00DC576D">
        <w:rPr>
          <w:rFonts w:asciiTheme="minorHAnsi" w:hAnsiTheme="minorHAnsi"/>
          <w:b w:val="0"/>
          <w:sz w:val="24"/>
          <w:szCs w:val="24"/>
        </w:rPr>
        <w:t xml:space="preserve"> Several studies have confirmed the feasibility of collecting </w:t>
      </w:r>
      <w:proofErr w:type="spellStart"/>
      <w:r w:rsidR="00DC576D">
        <w:rPr>
          <w:rFonts w:asciiTheme="minorHAnsi" w:hAnsiTheme="minorHAnsi"/>
          <w:b w:val="0"/>
          <w:sz w:val="24"/>
          <w:szCs w:val="24"/>
        </w:rPr>
        <w:t>HRQoL</w:t>
      </w:r>
      <w:proofErr w:type="spellEnd"/>
      <w:r w:rsidR="00DC576D">
        <w:rPr>
          <w:rFonts w:asciiTheme="minorHAnsi" w:hAnsiTheme="minorHAnsi"/>
          <w:b w:val="0"/>
          <w:sz w:val="24"/>
          <w:szCs w:val="24"/>
        </w:rPr>
        <w:t xml:space="preserve"> and psychosocial data </w:t>
      </w:r>
      <w:r w:rsidR="004B110E">
        <w:rPr>
          <w:rFonts w:asciiTheme="minorHAnsi" w:hAnsiTheme="minorHAnsi"/>
          <w:b w:val="0"/>
          <w:sz w:val="24"/>
          <w:szCs w:val="24"/>
        </w:rPr>
        <w:t>as part of</w:t>
      </w:r>
      <w:r w:rsidR="00DC576D">
        <w:rPr>
          <w:rFonts w:asciiTheme="minorHAnsi" w:hAnsiTheme="minorHAnsi"/>
          <w:b w:val="0"/>
          <w:sz w:val="24"/>
          <w:szCs w:val="24"/>
        </w:rPr>
        <w:t xml:space="preserve"> large </w:t>
      </w:r>
      <w:proofErr w:type="spellStart"/>
      <w:r w:rsidR="004B110E">
        <w:rPr>
          <w:rFonts w:asciiTheme="minorHAnsi" w:hAnsiTheme="minorHAnsi"/>
          <w:b w:val="0"/>
          <w:sz w:val="24"/>
          <w:szCs w:val="24"/>
        </w:rPr>
        <w:t>PCa</w:t>
      </w:r>
      <w:proofErr w:type="spellEnd"/>
      <w:r w:rsidR="00DC576D">
        <w:rPr>
          <w:rFonts w:asciiTheme="minorHAnsi" w:hAnsiTheme="minorHAnsi"/>
          <w:b w:val="0"/>
          <w:sz w:val="24"/>
          <w:szCs w:val="24"/>
        </w:rPr>
        <w:t xml:space="preserve"> screening trial</w:t>
      </w:r>
      <w:r w:rsidR="004B110E">
        <w:rPr>
          <w:rFonts w:asciiTheme="minorHAnsi" w:hAnsiTheme="minorHAnsi"/>
          <w:b w:val="0"/>
          <w:sz w:val="24"/>
          <w:szCs w:val="24"/>
        </w:rPr>
        <w:t>s</w:t>
      </w:r>
      <w:r w:rsidR="00F70885">
        <w:rPr>
          <w:rFonts w:asciiTheme="minorHAnsi" w:hAnsiTheme="minorHAnsi"/>
          <w:b w:val="0"/>
          <w:sz w:val="24"/>
          <w:szCs w:val="24"/>
        </w:rPr>
        <w:t xml:space="preserve"> [</w:t>
      </w:r>
      <w:r w:rsidR="006321CA">
        <w:rPr>
          <w:rFonts w:asciiTheme="minorHAnsi" w:hAnsiTheme="minorHAnsi"/>
          <w:b w:val="0"/>
          <w:sz w:val="24"/>
          <w:szCs w:val="24"/>
        </w:rPr>
        <w:t>16</w:t>
      </w:r>
      <w:proofErr w:type="gramStart"/>
      <w:r w:rsidR="006321CA">
        <w:rPr>
          <w:rFonts w:asciiTheme="minorHAnsi" w:hAnsiTheme="minorHAnsi"/>
          <w:b w:val="0"/>
          <w:sz w:val="24"/>
          <w:szCs w:val="24"/>
        </w:rPr>
        <w:t>,24</w:t>
      </w:r>
      <w:proofErr w:type="gramEnd"/>
      <w:r w:rsidR="006321CA">
        <w:rPr>
          <w:rFonts w:asciiTheme="minorHAnsi" w:hAnsiTheme="minorHAnsi"/>
          <w:b w:val="0"/>
          <w:sz w:val="24"/>
          <w:szCs w:val="24"/>
        </w:rPr>
        <w:t>-28</w:t>
      </w:r>
      <w:r w:rsidR="00F70885">
        <w:rPr>
          <w:rFonts w:asciiTheme="minorHAnsi" w:hAnsiTheme="minorHAnsi"/>
          <w:b w:val="0"/>
          <w:sz w:val="24"/>
          <w:szCs w:val="24"/>
        </w:rPr>
        <w:t>]</w:t>
      </w:r>
      <w:r w:rsidR="007C537F">
        <w:rPr>
          <w:rFonts w:asciiTheme="minorHAnsi" w:hAnsiTheme="minorHAnsi"/>
          <w:b w:val="0"/>
          <w:sz w:val="24"/>
          <w:szCs w:val="24"/>
        </w:rPr>
        <w:t>.</w:t>
      </w:r>
    </w:p>
    <w:p w14:paraId="2FB80EE2" w14:textId="56A47ADB" w:rsidR="00427B1F" w:rsidRPr="0011464F" w:rsidRDefault="00427B1F" w:rsidP="001E225F">
      <w:pPr>
        <w:pStyle w:val="Heading2"/>
        <w:spacing w:line="360" w:lineRule="auto"/>
        <w:rPr>
          <w:rFonts w:asciiTheme="minorHAnsi" w:hAnsiTheme="minorHAnsi"/>
          <w:b w:val="0"/>
          <w:sz w:val="24"/>
          <w:szCs w:val="24"/>
        </w:rPr>
      </w:pPr>
      <w:r w:rsidRPr="0011464F">
        <w:rPr>
          <w:rFonts w:asciiTheme="minorHAnsi" w:hAnsiTheme="minorHAnsi"/>
          <w:b w:val="0"/>
          <w:sz w:val="24"/>
          <w:szCs w:val="24"/>
        </w:rPr>
        <w:t xml:space="preserve">In this paper we report the baseline results of a longitudinal </w:t>
      </w:r>
      <w:proofErr w:type="spellStart"/>
      <w:r w:rsidRPr="0011464F">
        <w:rPr>
          <w:rFonts w:asciiTheme="minorHAnsi" w:hAnsiTheme="minorHAnsi"/>
          <w:b w:val="0"/>
          <w:sz w:val="24"/>
          <w:szCs w:val="24"/>
        </w:rPr>
        <w:t>HRQoL</w:t>
      </w:r>
      <w:proofErr w:type="spellEnd"/>
      <w:r w:rsidRPr="0011464F">
        <w:rPr>
          <w:rFonts w:asciiTheme="minorHAnsi" w:hAnsiTheme="minorHAnsi"/>
          <w:b w:val="0"/>
          <w:sz w:val="24"/>
          <w:szCs w:val="24"/>
        </w:rPr>
        <w:t xml:space="preserve"> investigation carried out as part of the IMPACT study</w:t>
      </w:r>
      <w:r w:rsidR="00ED3E8C">
        <w:rPr>
          <w:rFonts w:asciiTheme="minorHAnsi" w:hAnsiTheme="minorHAnsi"/>
          <w:b w:val="0"/>
          <w:sz w:val="24"/>
          <w:szCs w:val="24"/>
        </w:rPr>
        <w:t xml:space="preserve">. </w:t>
      </w:r>
      <w:r w:rsidRPr="0011464F">
        <w:rPr>
          <w:rFonts w:asciiTheme="minorHAnsi" w:hAnsiTheme="minorHAnsi"/>
          <w:b w:val="0"/>
          <w:sz w:val="24"/>
          <w:szCs w:val="24"/>
        </w:rPr>
        <w:t>The specific aims of this study are</w:t>
      </w:r>
      <w:r w:rsidR="00ED3E8C">
        <w:rPr>
          <w:rFonts w:asciiTheme="minorHAnsi" w:hAnsiTheme="minorHAnsi"/>
          <w:b w:val="0"/>
          <w:sz w:val="24"/>
          <w:szCs w:val="24"/>
        </w:rPr>
        <w:t>:</w:t>
      </w:r>
      <w:r w:rsidRPr="0011464F">
        <w:rPr>
          <w:rFonts w:asciiTheme="minorHAnsi" w:hAnsiTheme="minorHAnsi"/>
          <w:b w:val="0"/>
          <w:sz w:val="24"/>
          <w:szCs w:val="24"/>
        </w:rPr>
        <w:t xml:space="preserve"> </w:t>
      </w:r>
      <w:r w:rsidR="00624679">
        <w:rPr>
          <w:rFonts w:asciiTheme="minorHAnsi" w:hAnsiTheme="minorHAnsi"/>
          <w:b w:val="0"/>
          <w:sz w:val="24"/>
          <w:szCs w:val="24"/>
        </w:rPr>
        <w:t xml:space="preserve">(1) </w:t>
      </w:r>
      <w:r w:rsidRPr="0011464F">
        <w:rPr>
          <w:rFonts w:asciiTheme="minorHAnsi" w:hAnsiTheme="minorHAnsi"/>
          <w:b w:val="0"/>
          <w:sz w:val="24"/>
          <w:szCs w:val="24"/>
        </w:rPr>
        <w:t>to evaluate the baseline psychosocial profile of men in the IMPACT study</w:t>
      </w:r>
      <w:r w:rsidR="00ED3E8C">
        <w:rPr>
          <w:rFonts w:asciiTheme="minorHAnsi" w:hAnsiTheme="minorHAnsi"/>
          <w:b w:val="0"/>
          <w:sz w:val="24"/>
          <w:szCs w:val="24"/>
        </w:rPr>
        <w:t>;</w:t>
      </w:r>
      <w:r w:rsidRPr="0011464F">
        <w:rPr>
          <w:rFonts w:asciiTheme="minorHAnsi" w:hAnsiTheme="minorHAnsi"/>
          <w:b w:val="0"/>
          <w:sz w:val="24"/>
          <w:szCs w:val="24"/>
        </w:rPr>
        <w:t xml:space="preserve"> and </w:t>
      </w:r>
      <w:r w:rsidR="00624679">
        <w:rPr>
          <w:rFonts w:asciiTheme="minorHAnsi" w:hAnsiTheme="minorHAnsi"/>
          <w:b w:val="0"/>
          <w:sz w:val="24"/>
          <w:szCs w:val="24"/>
        </w:rPr>
        <w:t xml:space="preserve">(2) </w:t>
      </w:r>
      <w:r w:rsidRPr="0011464F">
        <w:rPr>
          <w:rFonts w:asciiTheme="minorHAnsi" w:hAnsiTheme="minorHAnsi"/>
          <w:b w:val="0"/>
          <w:sz w:val="24"/>
          <w:szCs w:val="24"/>
        </w:rPr>
        <w:t xml:space="preserve">to identify </w:t>
      </w:r>
      <w:r w:rsidR="00ED3E8C">
        <w:rPr>
          <w:rFonts w:asciiTheme="minorHAnsi" w:hAnsiTheme="minorHAnsi"/>
          <w:b w:val="0"/>
          <w:sz w:val="24"/>
          <w:szCs w:val="24"/>
        </w:rPr>
        <w:t xml:space="preserve">possible </w:t>
      </w:r>
      <w:r w:rsidRPr="0011464F">
        <w:rPr>
          <w:rFonts w:asciiTheme="minorHAnsi" w:hAnsiTheme="minorHAnsi"/>
          <w:b w:val="0"/>
          <w:sz w:val="24"/>
          <w:szCs w:val="24"/>
        </w:rPr>
        <w:t xml:space="preserve">predictors of high levels of psychological distress or poor </w:t>
      </w:r>
      <w:proofErr w:type="spellStart"/>
      <w:r w:rsidRPr="0011464F">
        <w:rPr>
          <w:rFonts w:asciiTheme="minorHAnsi" w:hAnsiTheme="minorHAnsi"/>
          <w:b w:val="0"/>
          <w:sz w:val="24"/>
          <w:szCs w:val="24"/>
        </w:rPr>
        <w:t>HRQoL</w:t>
      </w:r>
      <w:proofErr w:type="spellEnd"/>
      <w:r w:rsidRPr="0011464F">
        <w:rPr>
          <w:rFonts w:asciiTheme="minorHAnsi" w:hAnsiTheme="minorHAnsi"/>
          <w:b w:val="0"/>
          <w:sz w:val="24"/>
          <w:szCs w:val="24"/>
        </w:rPr>
        <w:t>.</w:t>
      </w:r>
    </w:p>
    <w:p w14:paraId="431FC6BF" w14:textId="77777777" w:rsidR="00427B1F" w:rsidRPr="0011464F" w:rsidRDefault="00427B1F" w:rsidP="001E225F">
      <w:pPr>
        <w:pStyle w:val="Heading2"/>
        <w:spacing w:line="360" w:lineRule="auto"/>
        <w:rPr>
          <w:rFonts w:asciiTheme="minorHAnsi" w:hAnsiTheme="minorHAnsi"/>
          <w:sz w:val="24"/>
          <w:szCs w:val="24"/>
        </w:rPr>
      </w:pPr>
    </w:p>
    <w:p w14:paraId="351874A4" w14:textId="7AE27093" w:rsidR="00427B1F" w:rsidRPr="0011464F" w:rsidRDefault="002751A4" w:rsidP="001E225F">
      <w:pPr>
        <w:pStyle w:val="Heading2"/>
        <w:spacing w:line="360" w:lineRule="auto"/>
        <w:rPr>
          <w:rFonts w:asciiTheme="minorHAnsi" w:hAnsiTheme="minorHAnsi"/>
          <w:sz w:val="24"/>
          <w:szCs w:val="24"/>
        </w:rPr>
      </w:pPr>
      <w:r>
        <w:rPr>
          <w:rFonts w:asciiTheme="minorHAnsi" w:hAnsiTheme="minorHAnsi"/>
          <w:sz w:val="24"/>
          <w:szCs w:val="24"/>
        </w:rPr>
        <w:t xml:space="preserve">PATIENTS AND </w:t>
      </w:r>
      <w:r w:rsidR="00427B1F" w:rsidRPr="0011464F">
        <w:rPr>
          <w:rFonts w:asciiTheme="minorHAnsi" w:hAnsiTheme="minorHAnsi"/>
          <w:sz w:val="24"/>
          <w:szCs w:val="24"/>
        </w:rPr>
        <w:t>METHODS</w:t>
      </w:r>
    </w:p>
    <w:p w14:paraId="063F7699" w14:textId="77777777" w:rsidR="00427B1F" w:rsidRPr="0011464F" w:rsidRDefault="00427B1F" w:rsidP="001E225F">
      <w:pPr>
        <w:pStyle w:val="Heading3"/>
        <w:spacing w:line="360" w:lineRule="auto"/>
        <w:rPr>
          <w:rFonts w:asciiTheme="minorHAnsi" w:hAnsiTheme="minorHAnsi"/>
          <w:b/>
          <w:sz w:val="24"/>
        </w:rPr>
      </w:pPr>
      <w:r w:rsidRPr="0011464F">
        <w:rPr>
          <w:rFonts w:asciiTheme="minorHAnsi" w:hAnsiTheme="minorHAnsi"/>
          <w:b/>
          <w:sz w:val="24"/>
        </w:rPr>
        <w:t>Study sample and procedures</w:t>
      </w:r>
    </w:p>
    <w:p w14:paraId="4BB575D7" w14:textId="4113CF26" w:rsidR="00427B1F" w:rsidRPr="0011464F" w:rsidRDefault="00427B1F" w:rsidP="001E225F">
      <w:pPr>
        <w:spacing w:line="360" w:lineRule="auto"/>
        <w:rPr>
          <w:rFonts w:asciiTheme="minorHAnsi" w:hAnsiTheme="minorHAnsi"/>
          <w:sz w:val="24"/>
        </w:rPr>
      </w:pPr>
      <w:r w:rsidRPr="0011464F">
        <w:rPr>
          <w:rFonts w:asciiTheme="minorHAnsi" w:hAnsiTheme="minorHAnsi"/>
          <w:sz w:val="24"/>
        </w:rPr>
        <w:t xml:space="preserve">The IMPACT study recruited men from families with </w:t>
      </w:r>
      <w:r w:rsidRPr="0011464F">
        <w:rPr>
          <w:rFonts w:asciiTheme="minorHAnsi" w:hAnsiTheme="minorHAnsi"/>
          <w:i/>
          <w:sz w:val="24"/>
        </w:rPr>
        <w:t>BRCA1</w:t>
      </w:r>
      <w:r w:rsidRPr="0011464F">
        <w:rPr>
          <w:rFonts w:asciiTheme="minorHAnsi" w:hAnsiTheme="minorHAnsi"/>
          <w:sz w:val="24"/>
        </w:rPr>
        <w:t xml:space="preserve"> or </w:t>
      </w:r>
      <w:r w:rsidRPr="0011464F">
        <w:rPr>
          <w:rFonts w:asciiTheme="minorHAnsi" w:hAnsiTheme="minorHAnsi"/>
          <w:i/>
          <w:sz w:val="24"/>
        </w:rPr>
        <w:t>BRCA2</w:t>
      </w:r>
      <w:r w:rsidRPr="0011464F">
        <w:rPr>
          <w:rFonts w:asciiTheme="minorHAnsi" w:hAnsiTheme="minorHAnsi"/>
          <w:sz w:val="24"/>
        </w:rPr>
        <w:t xml:space="preserve"> mutations to </w:t>
      </w:r>
      <w:r w:rsidR="00ED3E8C">
        <w:rPr>
          <w:rFonts w:asciiTheme="minorHAnsi" w:hAnsiTheme="minorHAnsi"/>
          <w:sz w:val="24"/>
        </w:rPr>
        <w:t xml:space="preserve">a program of </w:t>
      </w:r>
      <w:r w:rsidRPr="0011464F">
        <w:rPr>
          <w:rFonts w:asciiTheme="minorHAnsi" w:hAnsiTheme="minorHAnsi"/>
          <w:sz w:val="24"/>
        </w:rPr>
        <w:t xml:space="preserve">annual </w:t>
      </w:r>
      <w:proofErr w:type="spellStart"/>
      <w:r w:rsidR="00156AFA" w:rsidRPr="0011464F">
        <w:rPr>
          <w:rFonts w:asciiTheme="minorHAnsi" w:hAnsiTheme="minorHAnsi"/>
          <w:sz w:val="24"/>
        </w:rPr>
        <w:t>PCa</w:t>
      </w:r>
      <w:proofErr w:type="spellEnd"/>
      <w:r w:rsidRPr="0011464F">
        <w:rPr>
          <w:rFonts w:asciiTheme="minorHAnsi" w:hAnsiTheme="minorHAnsi"/>
          <w:sz w:val="24"/>
        </w:rPr>
        <w:t xml:space="preserve"> screening </w:t>
      </w:r>
      <w:r w:rsidR="00ED3E8C">
        <w:rPr>
          <w:rFonts w:asciiTheme="minorHAnsi" w:hAnsiTheme="minorHAnsi"/>
          <w:sz w:val="24"/>
        </w:rPr>
        <w:t xml:space="preserve">via </w:t>
      </w:r>
      <w:r w:rsidRPr="0011464F">
        <w:rPr>
          <w:rFonts w:asciiTheme="minorHAnsi" w:hAnsiTheme="minorHAnsi"/>
          <w:sz w:val="24"/>
        </w:rPr>
        <w:t xml:space="preserve">a PSA test for a minimum of five years. The IMPACT study opened in 2005 and screening will end in 2019. The full design and methods of the IMPACT study have previously been reported </w:t>
      </w:r>
      <w:r w:rsidR="00ED3E8C">
        <w:rPr>
          <w:rFonts w:asciiTheme="minorHAnsi" w:hAnsiTheme="minorHAnsi"/>
          <w:sz w:val="24"/>
        </w:rPr>
        <w:t xml:space="preserve">elsewhere </w:t>
      </w:r>
      <w:r w:rsidRPr="0011464F">
        <w:rPr>
          <w:rFonts w:asciiTheme="minorHAnsi" w:hAnsiTheme="minorHAnsi"/>
          <w:sz w:val="24"/>
        </w:rPr>
        <w:t>[</w:t>
      </w:r>
      <w:r w:rsidR="006321CA">
        <w:rPr>
          <w:rFonts w:asciiTheme="minorHAnsi" w:hAnsiTheme="minorHAnsi"/>
          <w:sz w:val="24"/>
        </w:rPr>
        <w:t>6</w:t>
      </w:r>
      <w:r w:rsidRPr="0011464F">
        <w:rPr>
          <w:rFonts w:asciiTheme="minorHAnsi" w:hAnsiTheme="minorHAnsi"/>
          <w:sz w:val="24"/>
        </w:rPr>
        <w:t xml:space="preserve">]. The IMPACT study protocol was </w:t>
      </w:r>
      <w:r w:rsidRPr="0011464F">
        <w:rPr>
          <w:rFonts w:asciiTheme="minorHAnsi" w:hAnsiTheme="minorHAnsi"/>
          <w:sz w:val="24"/>
        </w:rPr>
        <w:lastRenderedPageBreak/>
        <w:t xml:space="preserve">approved by the West-Midlands Research and Ethics Committee in the United Kingdom (reference 05/MRE07/25) and subsequently by each participating institution’s local </w:t>
      </w:r>
      <w:r w:rsidR="00ED3E8C">
        <w:rPr>
          <w:rFonts w:asciiTheme="minorHAnsi" w:hAnsiTheme="minorHAnsi"/>
          <w:sz w:val="24"/>
        </w:rPr>
        <w:t xml:space="preserve">ethics </w:t>
      </w:r>
      <w:r w:rsidRPr="0011464F">
        <w:rPr>
          <w:rFonts w:asciiTheme="minorHAnsi" w:hAnsiTheme="minorHAnsi"/>
          <w:sz w:val="24"/>
        </w:rPr>
        <w:t>committee.</w:t>
      </w:r>
    </w:p>
    <w:p w14:paraId="0B76A408" w14:textId="5E460917" w:rsidR="00427B1F" w:rsidRPr="0011464F" w:rsidRDefault="00427B1F" w:rsidP="001E225F">
      <w:pPr>
        <w:spacing w:line="360" w:lineRule="auto"/>
        <w:rPr>
          <w:rFonts w:asciiTheme="minorHAnsi" w:hAnsiTheme="minorHAnsi"/>
          <w:sz w:val="24"/>
          <w:lang w:val="en-US"/>
        </w:rPr>
      </w:pPr>
      <w:r w:rsidRPr="0011464F">
        <w:rPr>
          <w:rFonts w:asciiTheme="minorHAnsi" w:hAnsiTheme="minorHAnsi"/>
          <w:sz w:val="24"/>
        </w:rPr>
        <w:t xml:space="preserve">All men eligible for IMPACT were </w:t>
      </w:r>
      <w:r w:rsidR="00ED3E8C">
        <w:rPr>
          <w:rFonts w:asciiTheme="minorHAnsi" w:hAnsiTheme="minorHAnsi"/>
          <w:sz w:val="24"/>
        </w:rPr>
        <w:t xml:space="preserve">also </w:t>
      </w:r>
      <w:r w:rsidRPr="0011464F">
        <w:rPr>
          <w:rFonts w:asciiTheme="minorHAnsi" w:hAnsiTheme="minorHAnsi"/>
          <w:sz w:val="24"/>
        </w:rPr>
        <w:t xml:space="preserve">eligible for the </w:t>
      </w:r>
      <w:proofErr w:type="spellStart"/>
      <w:r w:rsidRPr="0011464F">
        <w:rPr>
          <w:rFonts w:asciiTheme="minorHAnsi" w:hAnsiTheme="minorHAnsi"/>
          <w:sz w:val="24"/>
        </w:rPr>
        <w:t>HRQoL</w:t>
      </w:r>
      <w:proofErr w:type="spellEnd"/>
      <w:r w:rsidRPr="0011464F">
        <w:rPr>
          <w:rFonts w:asciiTheme="minorHAnsi" w:hAnsiTheme="minorHAnsi"/>
          <w:sz w:val="24"/>
        </w:rPr>
        <w:t xml:space="preserve"> study. </w:t>
      </w:r>
      <w:r w:rsidR="00603C9B">
        <w:rPr>
          <w:rFonts w:asciiTheme="minorHAnsi" w:hAnsiTheme="minorHAnsi"/>
          <w:sz w:val="24"/>
        </w:rPr>
        <w:t>Men were</w:t>
      </w:r>
      <w:r w:rsidR="00ED3E8C">
        <w:rPr>
          <w:rFonts w:asciiTheme="minorHAnsi" w:hAnsiTheme="minorHAnsi"/>
          <w:sz w:val="24"/>
        </w:rPr>
        <w:t xml:space="preserve"> eligible for participation if they </w:t>
      </w:r>
      <w:r w:rsidRPr="0011464F">
        <w:rPr>
          <w:rFonts w:asciiTheme="minorHAnsi" w:hAnsiTheme="minorHAnsi"/>
          <w:sz w:val="24"/>
          <w:lang w:val="en-US"/>
        </w:rPr>
        <w:t xml:space="preserve">tested either positive, negative or were at 50% risk of inheriting a </w:t>
      </w:r>
      <w:r w:rsidRPr="0011464F">
        <w:rPr>
          <w:rFonts w:asciiTheme="minorHAnsi" w:hAnsiTheme="minorHAnsi"/>
          <w:i/>
          <w:sz w:val="24"/>
          <w:lang w:val="en-US"/>
        </w:rPr>
        <w:t>BRCA1/2</w:t>
      </w:r>
      <w:r w:rsidRPr="0011464F">
        <w:rPr>
          <w:rFonts w:asciiTheme="minorHAnsi" w:hAnsiTheme="minorHAnsi"/>
          <w:sz w:val="24"/>
          <w:lang w:val="en-US"/>
        </w:rPr>
        <w:t xml:space="preserve"> mutation and were aged 40-69 years. </w:t>
      </w:r>
      <w:r w:rsidRPr="0011464F">
        <w:rPr>
          <w:rFonts w:asciiTheme="minorHAnsi" w:hAnsiTheme="minorHAnsi"/>
          <w:sz w:val="24"/>
        </w:rPr>
        <w:t>Men who test</w:t>
      </w:r>
      <w:r w:rsidR="00603C9B">
        <w:rPr>
          <w:rFonts w:asciiTheme="minorHAnsi" w:hAnsiTheme="minorHAnsi"/>
          <w:sz w:val="24"/>
        </w:rPr>
        <w:t>ed</w:t>
      </w:r>
      <w:r w:rsidRPr="0011464F">
        <w:rPr>
          <w:rFonts w:asciiTheme="minorHAnsi" w:hAnsiTheme="minorHAnsi"/>
          <w:sz w:val="24"/>
        </w:rPr>
        <w:t xml:space="preserve"> negative for the</w:t>
      </w:r>
      <w:r w:rsidR="00A05650">
        <w:rPr>
          <w:rFonts w:asciiTheme="minorHAnsi" w:hAnsiTheme="minorHAnsi"/>
          <w:sz w:val="24"/>
        </w:rPr>
        <w:t>ir familial</w:t>
      </w:r>
      <w:r w:rsidRPr="0011464F">
        <w:rPr>
          <w:rFonts w:asciiTheme="minorHAnsi" w:hAnsiTheme="minorHAnsi"/>
          <w:sz w:val="24"/>
        </w:rPr>
        <w:t xml:space="preserve"> mutation constitute</w:t>
      </w:r>
      <w:r w:rsidR="00603C9B">
        <w:rPr>
          <w:rFonts w:asciiTheme="minorHAnsi" w:hAnsiTheme="minorHAnsi"/>
          <w:sz w:val="24"/>
        </w:rPr>
        <w:t>d</w:t>
      </w:r>
      <w:r w:rsidRPr="0011464F">
        <w:rPr>
          <w:rFonts w:asciiTheme="minorHAnsi" w:hAnsiTheme="minorHAnsi"/>
          <w:sz w:val="24"/>
        </w:rPr>
        <w:t xml:space="preserve"> the control group. </w:t>
      </w:r>
      <w:r w:rsidRPr="0011464F">
        <w:rPr>
          <w:rFonts w:asciiTheme="minorHAnsi" w:hAnsiTheme="minorHAnsi"/>
          <w:sz w:val="24"/>
          <w:lang w:val="en-US"/>
        </w:rPr>
        <w:t xml:space="preserve">Men were excluded if they were known to have </w:t>
      </w:r>
      <w:proofErr w:type="spellStart"/>
      <w:r w:rsidR="00086928">
        <w:rPr>
          <w:rFonts w:asciiTheme="minorHAnsi" w:hAnsiTheme="minorHAnsi"/>
          <w:sz w:val="24"/>
          <w:lang w:val="en-US"/>
        </w:rPr>
        <w:t>PCa</w:t>
      </w:r>
      <w:proofErr w:type="spellEnd"/>
      <w:r w:rsidRPr="0011464F">
        <w:rPr>
          <w:rFonts w:asciiTheme="minorHAnsi" w:hAnsiTheme="minorHAnsi"/>
          <w:sz w:val="24"/>
          <w:lang w:val="en-US"/>
        </w:rPr>
        <w:t xml:space="preserve"> at enrolment or if they had another cancer with a prognosis of less than five years.</w:t>
      </w:r>
    </w:p>
    <w:p w14:paraId="617F8219" w14:textId="1DBC384B" w:rsidR="00427B1F" w:rsidRPr="0011464F" w:rsidRDefault="00427B1F" w:rsidP="001E225F">
      <w:pPr>
        <w:spacing w:line="360" w:lineRule="auto"/>
        <w:rPr>
          <w:rFonts w:asciiTheme="minorHAnsi" w:hAnsiTheme="minorHAnsi"/>
          <w:sz w:val="24"/>
          <w:lang w:val="en-US"/>
        </w:rPr>
      </w:pPr>
      <w:r w:rsidRPr="0011464F">
        <w:rPr>
          <w:rFonts w:asciiTheme="minorHAnsi" w:hAnsiTheme="minorHAnsi"/>
          <w:sz w:val="24"/>
          <w:lang w:val="en-US"/>
        </w:rPr>
        <w:t xml:space="preserve">The </w:t>
      </w:r>
      <w:proofErr w:type="spellStart"/>
      <w:r w:rsidRPr="0011464F">
        <w:rPr>
          <w:rFonts w:asciiTheme="minorHAnsi" w:hAnsiTheme="minorHAnsi"/>
          <w:sz w:val="24"/>
          <w:lang w:val="en-US"/>
        </w:rPr>
        <w:t>HRQoL</w:t>
      </w:r>
      <w:proofErr w:type="spellEnd"/>
      <w:r w:rsidRPr="0011464F">
        <w:rPr>
          <w:rFonts w:asciiTheme="minorHAnsi" w:hAnsiTheme="minorHAnsi"/>
          <w:sz w:val="24"/>
          <w:lang w:val="en-US"/>
        </w:rPr>
        <w:t xml:space="preserve"> study was added to the IMPACT study protocol in 2009. </w:t>
      </w:r>
      <w:r w:rsidR="00816948">
        <w:rPr>
          <w:rFonts w:asciiTheme="minorHAnsi" w:hAnsiTheme="minorHAnsi"/>
          <w:sz w:val="24"/>
          <w:lang w:val="en-US"/>
        </w:rPr>
        <w:t xml:space="preserve">All sites were invited to </w:t>
      </w:r>
      <w:r w:rsidR="00603C9B">
        <w:rPr>
          <w:rFonts w:asciiTheme="minorHAnsi" w:hAnsiTheme="minorHAnsi"/>
          <w:sz w:val="24"/>
          <w:lang w:val="en-US"/>
        </w:rPr>
        <w:t xml:space="preserve">participate </w:t>
      </w:r>
      <w:r w:rsidR="00816948">
        <w:rPr>
          <w:rFonts w:asciiTheme="minorHAnsi" w:hAnsiTheme="minorHAnsi"/>
          <w:sz w:val="24"/>
          <w:lang w:val="en-US"/>
        </w:rPr>
        <w:t xml:space="preserve">in this sub-study. </w:t>
      </w:r>
      <w:r w:rsidRPr="0011464F">
        <w:rPr>
          <w:rFonts w:asciiTheme="minorHAnsi" w:hAnsiTheme="minorHAnsi"/>
          <w:sz w:val="24"/>
          <w:lang w:val="en-US"/>
        </w:rPr>
        <w:t xml:space="preserve">Men taking part in IMPACT at </w:t>
      </w:r>
      <w:r w:rsidR="00816948">
        <w:rPr>
          <w:rFonts w:asciiTheme="minorHAnsi" w:hAnsiTheme="minorHAnsi"/>
          <w:sz w:val="24"/>
          <w:lang w:val="en-US"/>
        </w:rPr>
        <w:t xml:space="preserve">participating </w:t>
      </w:r>
      <w:r w:rsidRPr="0011464F">
        <w:rPr>
          <w:rFonts w:asciiTheme="minorHAnsi" w:hAnsiTheme="minorHAnsi"/>
          <w:sz w:val="24"/>
          <w:lang w:val="en-US"/>
        </w:rPr>
        <w:t xml:space="preserve">sites were approached by letter prior to their next scheduled study appointment with an invitation to take part in the </w:t>
      </w:r>
      <w:proofErr w:type="spellStart"/>
      <w:r w:rsidRPr="0011464F">
        <w:rPr>
          <w:rFonts w:asciiTheme="minorHAnsi" w:hAnsiTheme="minorHAnsi"/>
          <w:sz w:val="24"/>
          <w:lang w:val="en-US"/>
        </w:rPr>
        <w:t>HRQoL</w:t>
      </w:r>
      <w:proofErr w:type="spellEnd"/>
      <w:r w:rsidRPr="0011464F">
        <w:rPr>
          <w:rFonts w:asciiTheme="minorHAnsi" w:hAnsiTheme="minorHAnsi"/>
          <w:sz w:val="24"/>
          <w:lang w:val="en-US"/>
        </w:rPr>
        <w:t xml:space="preserve"> study. Participants joining the </w:t>
      </w:r>
      <w:proofErr w:type="spellStart"/>
      <w:r w:rsidRPr="0011464F">
        <w:rPr>
          <w:rFonts w:asciiTheme="minorHAnsi" w:hAnsiTheme="minorHAnsi"/>
          <w:sz w:val="24"/>
          <w:lang w:val="en-US"/>
        </w:rPr>
        <w:t>HRQoL</w:t>
      </w:r>
      <w:proofErr w:type="spellEnd"/>
      <w:r w:rsidRPr="0011464F">
        <w:rPr>
          <w:rFonts w:asciiTheme="minorHAnsi" w:hAnsiTheme="minorHAnsi"/>
          <w:sz w:val="24"/>
          <w:lang w:val="en-US"/>
        </w:rPr>
        <w:t xml:space="preserve"> study are asked to complete a set of questionnaires annually for 5 years</w:t>
      </w:r>
      <w:r w:rsidR="00603C9B">
        <w:rPr>
          <w:rFonts w:asciiTheme="minorHAnsi" w:hAnsiTheme="minorHAnsi"/>
          <w:sz w:val="24"/>
          <w:lang w:val="en-US"/>
        </w:rPr>
        <w:t>,</w:t>
      </w:r>
      <w:r w:rsidRPr="0011464F">
        <w:rPr>
          <w:rFonts w:asciiTheme="minorHAnsi" w:hAnsiTheme="minorHAnsi"/>
          <w:sz w:val="24"/>
          <w:lang w:val="en-US"/>
        </w:rPr>
        <w:t xml:space="preserve"> with each assessment taking place prior to their annual PSA test. Men were sent the questionnaire by post approximately four weeks prior to their appointment and asked to </w:t>
      </w:r>
      <w:r w:rsidR="00096B23">
        <w:rPr>
          <w:rFonts w:asciiTheme="minorHAnsi" w:hAnsiTheme="minorHAnsi"/>
          <w:sz w:val="24"/>
          <w:lang w:val="en-US"/>
        </w:rPr>
        <w:t xml:space="preserve">mail </w:t>
      </w:r>
      <w:r w:rsidRPr="0011464F">
        <w:rPr>
          <w:rFonts w:asciiTheme="minorHAnsi" w:hAnsiTheme="minorHAnsi"/>
          <w:sz w:val="24"/>
          <w:lang w:val="en-US"/>
        </w:rPr>
        <w:t xml:space="preserve">it back or bring the completed questionnaire to their appointment. Men were split into two cohorts: (1) Prospective Arm - men who joined the </w:t>
      </w:r>
      <w:proofErr w:type="spellStart"/>
      <w:r w:rsidRPr="0011464F">
        <w:rPr>
          <w:rFonts w:asciiTheme="minorHAnsi" w:hAnsiTheme="minorHAnsi"/>
          <w:sz w:val="24"/>
          <w:lang w:val="en-US"/>
        </w:rPr>
        <w:t>HRQoL</w:t>
      </w:r>
      <w:proofErr w:type="spellEnd"/>
      <w:r w:rsidRPr="0011464F">
        <w:rPr>
          <w:rFonts w:asciiTheme="minorHAnsi" w:hAnsiTheme="minorHAnsi"/>
          <w:sz w:val="24"/>
          <w:lang w:val="en-US"/>
        </w:rPr>
        <w:t xml:space="preserve"> study prior to their first PSA screen within the IMPACT study; and (2) Truncated-Prospective Arm - men already enrolled in the IMPACT study before joining the </w:t>
      </w:r>
      <w:proofErr w:type="spellStart"/>
      <w:r w:rsidRPr="0011464F">
        <w:rPr>
          <w:rFonts w:asciiTheme="minorHAnsi" w:hAnsiTheme="minorHAnsi"/>
          <w:sz w:val="24"/>
          <w:lang w:val="en-US"/>
        </w:rPr>
        <w:t>HRQoL</w:t>
      </w:r>
      <w:proofErr w:type="spellEnd"/>
      <w:r w:rsidRPr="0011464F">
        <w:rPr>
          <w:rFonts w:asciiTheme="minorHAnsi" w:hAnsiTheme="minorHAnsi"/>
          <w:sz w:val="24"/>
          <w:lang w:val="en-US"/>
        </w:rPr>
        <w:t xml:space="preserve"> study. The total target sample </w:t>
      </w:r>
      <w:r w:rsidR="00BE54F8">
        <w:rPr>
          <w:rFonts w:asciiTheme="minorHAnsi" w:hAnsiTheme="minorHAnsi"/>
          <w:sz w:val="24"/>
          <w:lang w:val="en-US"/>
        </w:rPr>
        <w:t>was a minimum of</w:t>
      </w:r>
      <w:r w:rsidRPr="0011464F">
        <w:rPr>
          <w:rFonts w:asciiTheme="minorHAnsi" w:hAnsiTheme="minorHAnsi"/>
          <w:sz w:val="24"/>
          <w:lang w:val="en-US"/>
        </w:rPr>
        <w:t xml:space="preserve"> 300 men in each arm. In this analysis, we report on the results of the baseline questionnaires in the prospective cohort.</w:t>
      </w:r>
    </w:p>
    <w:p w14:paraId="73AEE5F3" w14:textId="77777777" w:rsidR="00427B1F" w:rsidRPr="0011464F" w:rsidRDefault="00427B1F" w:rsidP="001E225F">
      <w:pPr>
        <w:pStyle w:val="Heading3"/>
        <w:spacing w:line="360" w:lineRule="auto"/>
        <w:rPr>
          <w:rFonts w:asciiTheme="minorHAnsi" w:hAnsiTheme="minorHAnsi"/>
          <w:sz w:val="24"/>
        </w:rPr>
      </w:pPr>
    </w:p>
    <w:p w14:paraId="17B8988F" w14:textId="77777777" w:rsidR="00427B1F" w:rsidRPr="0011464F" w:rsidRDefault="00427B1F" w:rsidP="001E225F">
      <w:pPr>
        <w:pStyle w:val="Heading3"/>
        <w:spacing w:line="360" w:lineRule="auto"/>
        <w:rPr>
          <w:rFonts w:asciiTheme="minorHAnsi" w:hAnsiTheme="minorHAnsi"/>
          <w:b/>
          <w:color w:val="0000FF"/>
          <w:sz w:val="24"/>
        </w:rPr>
      </w:pPr>
      <w:r w:rsidRPr="0011464F">
        <w:rPr>
          <w:rFonts w:asciiTheme="minorHAnsi" w:hAnsiTheme="minorHAnsi"/>
          <w:b/>
          <w:sz w:val="24"/>
        </w:rPr>
        <w:t xml:space="preserve">Study measures </w:t>
      </w:r>
    </w:p>
    <w:p w14:paraId="1FC17467" w14:textId="6BDB7FA0" w:rsidR="00427B1F" w:rsidRPr="0011464F" w:rsidRDefault="00427B1F" w:rsidP="001E225F">
      <w:pPr>
        <w:pStyle w:val="Heading4"/>
        <w:spacing w:line="360" w:lineRule="auto"/>
        <w:rPr>
          <w:rFonts w:asciiTheme="minorHAnsi" w:hAnsiTheme="minorHAnsi"/>
          <w:sz w:val="24"/>
        </w:rPr>
      </w:pPr>
      <w:r w:rsidRPr="0011464F">
        <w:rPr>
          <w:rFonts w:asciiTheme="minorHAnsi" w:hAnsiTheme="minorHAnsi"/>
          <w:sz w:val="24"/>
        </w:rPr>
        <w:t>Psychological distress</w:t>
      </w:r>
    </w:p>
    <w:p w14:paraId="5B9B4DB6" w14:textId="77777777" w:rsidR="00427B1F" w:rsidRPr="0011464F" w:rsidRDefault="00427B1F" w:rsidP="001E225F">
      <w:pPr>
        <w:spacing w:line="360" w:lineRule="auto"/>
        <w:rPr>
          <w:rFonts w:asciiTheme="minorHAnsi" w:hAnsiTheme="minorHAnsi"/>
          <w:sz w:val="24"/>
        </w:rPr>
      </w:pPr>
      <w:r w:rsidRPr="0011464F">
        <w:rPr>
          <w:rFonts w:asciiTheme="minorHAnsi" w:hAnsiTheme="minorHAnsi"/>
          <w:sz w:val="24"/>
        </w:rPr>
        <w:t xml:space="preserve">Distress was assessed with several measures, including the Hospital Anxiety and Depression Scale (HADS), the Impact of Event Scale (IES), the Cancer Worry Scale – Revised (CWS-R), and the Memorial Anxiety Scale for </w:t>
      </w:r>
      <w:proofErr w:type="spellStart"/>
      <w:r w:rsidR="00086928">
        <w:rPr>
          <w:rFonts w:cs="Courier New"/>
          <w:sz w:val="24"/>
        </w:rPr>
        <w:t>PCa</w:t>
      </w:r>
      <w:proofErr w:type="spellEnd"/>
      <w:r w:rsidR="00086928" w:rsidRPr="005641E9">
        <w:rPr>
          <w:rFonts w:cs="Courier New"/>
          <w:sz w:val="24"/>
        </w:rPr>
        <w:t xml:space="preserve"> </w:t>
      </w:r>
      <w:r w:rsidRPr="0011464F">
        <w:rPr>
          <w:rFonts w:asciiTheme="minorHAnsi" w:hAnsiTheme="minorHAnsi"/>
          <w:sz w:val="24"/>
        </w:rPr>
        <w:t>(MAX-PC). The HADS contains two sub-scales of seven items each which measure the presence and severity of general anxiety and depression [</w:t>
      </w:r>
      <w:r w:rsidR="006321CA">
        <w:rPr>
          <w:rFonts w:asciiTheme="minorHAnsi" w:hAnsiTheme="minorHAnsi"/>
          <w:sz w:val="24"/>
        </w:rPr>
        <w:t>29</w:t>
      </w:r>
      <w:r w:rsidRPr="0011464F">
        <w:rPr>
          <w:rFonts w:asciiTheme="minorHAnsi" w:hAnsiTheme="minorHAnsi"/>
          <w:sz w:val="24"/>
        </w:rPr>
        <w:t>].  Each subscale generates a score ranging from 0-21, where a score of higher than 10 indicates clinically relevant levels of anxiety or depression.</w:t>
      </w:r>
    </w:p>
    <w:p w14:paraId="70012518" w14:textId="46E4BD3C" w:rsidR="00427B1F" w:rsidRPr="0011464F" w:rsidRDefault="00427B1F" w:rsidP="001E225F">
      <w:pPr>
        <w:spacing w:line="360" w:lineRule="auto"/>
        <w:rPr>
          <w:rFonts w:asciiTheme="minorHAnsi" w:hAnsiTheme="minorHAnsi"/>
          <w:sz w:val="24"/>
        </w:rPr>
      </w:pPr>
      <w:r w:rsidRPr="0011464F">
        <w:rPr>
          <w:rFonts w:asciiTheme="minorHAnsi" w:hAnsiTheme="minorHAnsi"/>
          <w:sz w:val="24"/>
        </w:rPr>
        <w:t xml:space="preserve">The IES is a 15 item scale measuring </w:t>
      </w:r>
      <w:proofErr w:type="spellStart"/>
      <w:r w:rsidRPr="0011464F">
        <w:rPr>
          <w:rFonts w:asciiTheme="minorHAnsi" w:hAnsiTheme="minorHAnsi"/>
          <w:sz w:val="24"/>
        </w:rPr>
        <w:t>PCa</w:t>
      </w:r>
      <w:proofErr w:type="spellEnd"/>
      <w:r w:rsidRPr="0011464F">
        <w:rPr>
          <w:rFonts w:asciiTheme="minorHAnsi" w:hAnsiTheme="minorHAnsi"/>
          <w:sz w:val="24"/>
        </w:rPr>
        <w:t xml:space="preserve">-specific distress through the frequency of intrusive or avoidant thoughts about </w:t>
      </w:r>
      <w:proofErr w:type="spellStart"/>
      <w:r w:rsidRPr="0011464F">
        <w:rPr>
          <w:rFonts w:asciiTheme="minorHAnsi" w:hAnsiTheme="minorHAnsi"/>
          <w:sz w:val="24"/>
        </w:rPr>
        <w:t>PCa</w:t>
      </w:r>
      <w:proofErr w:type="spellEnd"/>
      <w:r w:rsidRPr="0011464F">
        <w:rPr>
          <w:rFonts w:asciiTheme="minorHAnsi" w:hAnsiTheme="minorHAnsi"/>
          <w:sz w:val="24"/>
        </w:rPr>
        <w:t xml:space="preserve"> [</w:t>
      </w:r>
      <w:r w:rsidR="006321CA">
        <w:rPr>
          <w:rFonts w:asciiTheme="minorHAnsi" w:hAnsiTheme="minorHAnsi"/>
          <w:sz w:val="24"/>
        </w:rPr>
        <w:t>30</w:t>
      </w:r>
      <w:r w:rsidRPr="0011464F">
        <w:rPr>
          <w:rFonts w:asciiTheme="minorHAnsi" w:hAnsiTheme="minorHAnsi"/>
          <w:sz w:val="24"/>
        </w:rPr>
        <w:t xml:space="preserve">]. </w:t>
      </w:r>
      <w:proofErr w:type="gramStart"/>
      <w:r w:rsidRPr="0011464F">
        <w:rPr>
          <w:rFonts w:asciiTheme="minorHAnsi" w:hAnsiTheme="minorHAnsi"/>
          <w:sz w:val="24"/>
        </w:rPr>
        <w:t xml:space="preserve">Total scores on the intrusion and avoidance scales </w:t>
      </w:r>
      <w:r w:rsidRPr="0011464F">
        <w:rPr>
          <w:rFonts w:asciiTheme="minorHAnsi" w:hAnsiTheme="minorHAnsi"/>
          <w:sz w:val="24"/>
        </w:rPr>
        <w:lastRenderedPageBreak/>
        <w:t>range from 0–35 and 0–40</w:t>
      </w:r>
      <w:r w:rsidR="00934DCD">
        <w:rPr>
          <w:rFonts w:asciiTheme="minorHAnsi" w:hAnsiTheme="minorHAnsi"/>
          <w:sz w:val="24"/>
        </w:rPr>
        <w:t>,</w:t>
      </w:r>
      <w:r w:rsidRPr="0011464F">
        <w:rPr>
          <w:rFonts w:asciiTheme="minorHAnsi" w:hAnsiTheme="minorHAnsi"/>
          <w:sz w:val="24"/>
        </w:rPr>
        <w:t xml:space="preserve"> respectively.</w:t>
      </w:r>
      <w:proofErr w:type="gramEnd"/>
      <w:r w:rsidRPr="0011464F">
        <w:rPr>
          <w:rFonts w:asciiTheme="minorHAnsi" w:hAnsiTheme="minorHAnsi"/>
          <w:sz w:val="24"/>
        </w:rPr>
        <w:t xml:space="preserve"> A high</w:t>
      </w:r>
      <w:r w:rsidR="00934DCD">
        <w:rPr>
          <w:rFonts w:asciiTheme="minorHAnsi" w:hAnsiTheme="minorHAnsi"/>
          <w:sz w:val="24"/>
        </w:rPr>
        <w:t>er</w:t>
      </w:r>
      <w:r w:rsidRPr="0011464F">
        <w:rPr>
          <w:rFonts w:asciiTheme="minorHAnsi" w:hAnsiTheme="minorHAnsi"/>
          <w:sz w:val="24"/>
        </w:rPr>
        <w:t xml:space="preserve"> score indicates </w:t>
      </w:r>
      <w:r w:rsidR="00934DCD">
        <w:rPr>
          <w:rFonts w:asciiTheme="minorHAnsi" w:hAnsiTheme="minorHAnsi"/>
          <w:sz w:val="24"/>
        </w:rPr>
        <w:t xml:space="preserve">more </w:t>
      </w:r>
      <w:r w:rsidRPr="0011464F">
        <w:rPr>
          <w:rFonts w:asciiTheme="minorHAnsi" w:hAnsiTheme="minorHAnsi"/>
          <w:sz w:val="24"/>
        </w:rPr>
        <w:t xml:space="preserve">frequent intrusive/avoidant thoughts about risk of cancer; a score of &gt;8.5 indicates clinically relevant levels of distress. </w:t>
      </w:r>
    </w:p>
    <w:p w14:paraId="76F8EBB9" w14:textId="503C7ADE" w:rsidR="00427B1F" w:rsidRPr="0011464F" w:rsidRDefault="00427B1F" w:rsidP="001E225F">
      <w:pPr>
        <w:spacing w:line="360" w:lineRule="auto"/>
        <w:rPr>
          <w:rFonts w:asciiTheme="minorHAnsi" w:hAnsiTheme="minorHAnsi"/>
          <w:sz w:val="24"/>
        </w:rPr>
      </w:pPr>
      <w:r w:rsidRPr="0011464F">
        <w:rPr>
          <w:rFonts w:asciiTheme="minorHAnsi" w:hAnsiTheme="minorHAnsi"/>
          <w:sz w:val="24"/>
        </w:rPr>
        <w:t>The CWS-R a six item scale that measures worry about the risk of developing cancer and the frequency and impact of that worry on mood and daily functioning [</w:t>
      </w:r>
      <w:r w:rsidR="006321CA">
        <w:rPr>
          <w:rFonts w:asciiTheme="minorHAnsi" w:hAnsiTheme="minorHAnsi"/>
          <w:sz w:val="24"/>
        </w:rPr>
        <w:t>3</w:t>
      </w:r>
      <w:r w:rsidR="006C5C73">
        <w:rPr>
          <w:rFonts w:asciiTheme="minorHAnsi" w:hAnsiTheme="minorHAnsi"/>
          <w:sz w:val="24"/>
        </w:rPr>
        <w:t>1</w:t>
      </w:r>
      <w:r w:rsidRPr="0011464F">
        <w:rPr>
          <w:rFonts w:asciiTheme="minorHAnsi" w:hAnsiTheme="minorHAnsi"/>
          <w:sz w:val="24"/>
        </w:rPr>
        <w:t>,</w:t>
      </w:r>
      <w:r w:rsidR="006321CA">
        <w:rPr>
          <w:rFonts w:asciiTheme="minorHAnsi" w:hAnsiTheme="minorHAnsi"/>
          <w:sz w:val="24"/>
        </w:rPr>
        <w:t>3</w:t>
      </w:r>
      <w:r w:rsidR="006C5C73">
        <w:rPr>
          <w:rFonts w:asciiTheme="minorHAnsi" w:hAnsiTheme="minorHAnsi"/>
          <w:sz w:val="24"/>
        </w:rPr>
        <w:t>2</w:t>
      </w:r>
      <w:r w:rsidRPr="0011464F">
        <w:rPr>
          <w:rFonts w:asciiTheme="minorHAnsi" w:hAnsiTheme="minorHAnsi"/>
          <w:sz w:val="24"/>
        </w:rPr>
        <w:t>].  The CWS uses a score of 1 (no worry) to 4 (maximum worry) for each of the six items, giving a summative score between 4 and 24.  A high score indicates greater worry</w:t>
      </w:r>
      <w:r w:rsidR="00934DCD">
        <w:rPr>
          <w:rFonts w:asciiTheme="minorHAnsi" w:hAnsiTheme="minorHAnsi"/>
          <w:sz w:val="24"/>
        </w:rPr>
        <w:t>,</w:t>
      </w:r>
      <w:r w:rsidRPr="0011464F">
        <w:rPr>
          <w:rFonts w:asciiTheme="minorHAnsi" w:hAnsiTheme="minorHAnsi"/>
          <w:sz w:val="24"/>
        </w:rPr>
        <w:t xml:space="preserve"> but no clinical cut-offs are available.  </w:t>
      </w:r>
    </w:p>
    <w:p w14:paraId="46780886" w14:textId="77777777" w:rsidR="00427B1F" w:rsidRPr="0011464F" w:rsidRDefault="00427B1F" w:rsidP="001E225F">
      <w:pPr>
        <w:spacing w:line="360" w:lineRule="auto"/>
        <w:rPr>
          <w:rFonts w:asciiTheme="minorHAnsi" w:hAnsiTheme="minorHAnsi"/>
          <w:sz w:val="24"/>
        </w:rPr>
      </w:pPr>
      <w:r w:rsidRPr="0011464F">
        <w:rPr>
          <w:rFonts w:asciiTheme="minorHAnsi" w:hAnsiTheme="minorHAnsi"/>
          <w:sz w:val="24"/>
        </w:rPr>
        <w:t xml:space="preserve">The MAX-PC includes three scales assessing </w:t>
      </w:r>
      <w:proofErr w:type="spellStart"/>
      <w:r w:rsidRPr="0011464F">
        <w:rPr>
          <w:rFonts w:asciiTheme="minorHAnsi" w:hAnsiTheme="minorHAnsi"/>
          <w:sz w:val="24"/>
        </w:rPr>
        <w:t>PCa</w:t>
      </w:r>
      <w:proofErr w:type="spellEnd"/>
      <w:r w:rsidRPr="0011464F">
        <w:rPr>
          <w:rFonts w:asciiTheme="minorHAnsi" w:hAnsiTheme="minorHAnsi"/>
          <w:sz w:val="24"/>
        </w:rPr>
        <w:t xml:space="preserve"> anxiety, PSA anxiety, and fear of recurrence. In the current study, we used the </w:t>
      </w:r>
      <w:proofErr w:type="spellStart"/>
      <w:r w:rsidRPr="0011464F">
        <w:rPr>
          <w:rFonts w:asciiTheme="minorHAnsi" w:hAnsiTheme="minorHAnsi"/>
          <w:sz w:val="24"/>
        </w:rPr>
        <w:t>PCa</w:t>
      </w:r>
      <w:proofErr w:type="spellEnd"/>
      <w:r w:rsidRPr="0011464F">
        <w:rPr>
          <w:rFonts w:asciiTheme="minorHAnsi" w:hAnsiTheme="minorHAnsi"/>
          <w:sz w:val="24"/>
        </w:rPr>
        <w:t xml:space="preserve"> anxiety (11 items) and PSA anxiety (3 items) scales [</w:t>
      </w:r>
      <w:r w:rsidR="006321CA">
        <w:rPr>
          <w:rFonts w:asciiTheme="minorHAnsi" w:hAnsiTheme="minorHAnsi"/>
          <w:sz w:val="24"/>
        </w:rPr>
        <w:t>3</w:t>
      </w:r>
      <w:r w:rsidR="006C5C73">
        <w:rPr>
          <w:rFonts w:asciiTheme="minorHAnsi" w:hAnsiTheme="minorHAnsi"/>
          <w:sz w:val="24"/>
        </w:rPr>
        <w:t>3</w:t>
      </w:r>
      <w:r w:rsidRPr="0011464F">
        <w:rPr>
          <w:rFonts w:asciiTheme="minorHAnsi" w:hAnsiTheme="minorHAnsi"/>
          <w:sz w:val="24"/>
        </w:rPr>
        <w:t xml:space="preserve">]. The </w:t>
      </w:r>
      <w:proofErr w:type="spellStart"/>
      <w:r w:rsidRPr="0011464F">
        <w:rPr>
          <w:rFonts w:asciiTheme="minorHAnsi" w:hAnsiTheme="minorHAnsi"/>
          <w:sz w:val="24"/>
        </w:rPr>
        <w:t>PCa</w:t>
      </w:r>
      <w:proofErr w:type="spellEnd"/>
      <w:r w:rsidRPr="0011464F">
        <w:rPr>
          <w:rFonts w:asciiTheme="minorHAnsi" w:hAnsiTheme="minorHAnsi"/>
          <w:sz w:val="24"/>
        </w:rPr>
        <w:t xml:space="preserve"> anxiety scale is scored from 0-33 and the PSA anxiety scale from 0-9, with a higher score indicating higher levels of anxiety.</w:t>
      </w:r>
    </w:p>
    <w:p w14:paraId="05EBE150" w14:textId="77777777" w:rsidR="006321CA" w:rsidRDefault="006321CA" w:rsidP="001E225F">
      <w:pPr>
        <w:pStyle w:val="Heading4"/>
        <w:spacing w:line="360" w:lineRule="auto"/>
        <w:rPr>
          <w:rFonts w:asciiTheme="minorHAnsi" w:hAnsiTheme="minorHAnsi"/>
          <w:sz w:val="24"/>
        </w:rPr>
      </w:pPr>
    </w:p>
    <w:p w14:paraId="452F6B5E" w14:textId="77777777" w:rsidR="00427B1F" w:rsidRPr="0011464F" w:rsidRDefault="00427B1F" w:rsidP="001E225F">
      <w:pPr>
        <w:pStyle w:val="Heading4"/>
        <w:spacing w:line="360" w:lineRule="auto"/>
        <w:rPr>
          <w:rFonts w:asciiTheme="minorHAnsi" w:hAnsiTheme="minorHAnsi"/>
          <w:sz w:val="24"/>
        </w:rPr>
      </w:pPr>
      <w:r w:rsidRPr="0011464F">
        <w:rPr>
          <w:rFonts w:asciiTheme="minorHAnsi" w:hAnsiTheme="minorHAnsi"/>
          <w:sz w:val="24"/>
        </w:rPr>
        <w:t>Health-related quality of life (</w:t>
      </w:r>
      <w:proofErr w:type="spellStart"/>
      <w:r w:rsidRPr="0011464F">
        <w:rPr>
          <w:rFonts w:asciiTheme="minorHAnsi" w:hAnsiTheme="minorHAnsi"/>
          <w:sz w:val="24"/>
        </w:rPr>
        <w:t>HRQ</w:t>
      </w:r>
      <w:r w:rsidR="00DB48C0">
        <w:rPr>
          <w:rFonts w:asciiTheme="minorHAnsi" w:hAnsiTheme="minorHAnsi"/>
          <w:sz w:val="24"/>
        </w:rPr>
        <w:t>o</w:t>
      </w:r>
      <w:r w:rsidRPr="0011464F">
        <w:rPr>
          <w:rFonts w:asciiTheme="minorHAnsi" w:hAnsiTheme="minorHAnsi"/>
          <w:sz w:val="24"/>
        </w:rPr>
        <w:t>L</w:t>
      </w:r>
      <w:proofErr w:type="spellEnd"/>
      <w:r w:rsidRPr="0011464F">
        <w:rPr>
          <w:rFonts w:asciiTheme="minorHAnsi" w:hAnsiTheme="minorHAnsi"/>
          <w:sz w:val="24"/>
        </w:rPr>
        <w:t xml:space="preserve">) </w:t>
      </w:r>
    </w:p>
    <w:p w14:paraId="4736BC8E" w14:textId="4E6BDB06" w:rsidR="00427B1F" w:rsidRDefault="00427B1F" w:rsidP="001E225F">
      <w:pPr>
        <w:spacing w:line="360" w:lineRule="auto"/>
        <w:rPr>
          <w:rFonts w:asciiTheme="minorHAnsi" w:hAnsiTheme="minorHAnsi"/>
          <w:sz w:val="24"/>
        </w:rPr>
      </w:pPr>
      <w:proofErr w:type="spellStart"/>
      <w:r w:rsidRPr="0011464F">
        <w:rPr>
          <w:rFonts w:asciiTheme="minorHAnsi" w:hAnsiTheme="minorHAnsi"/>
          <w:sz w:val="24"/>
        </w:rPr>
        <w:t>HRQ</w:t>
      </w:r>
      <w:r w:rsidR="00DB48C0">
        <w:rPr>
          <w:rFonts w:asciiTheme="minorHAnsi" w:hAnsiTheme="minorHAnsi"/>
          <w:sz w:val="24"/>
        </w:rPr>
        <w:t>o</w:t>
      </w:r>
      <w:r w:rsidRPr="0011464F">
        <w:rPr>
          <w:rFonts w:asciiTheme="minorHAnsi" w:hAnsiTheme="minorHAnsi"/>
          <w:sz w:val="24"/>
        </w:rPr>
        <w:t>L</w:t>
      </w:r>
      <w:proofErr w:type="spellEnd"/>
      <w:r w:rsidRPr="0011464F">
        <w:rPr>
          <w:rFonts w:asciiTheme="minorHAnsi" w:hAnsiTheme="minorHAnsi"/>
          <w:sz w:val="24"/>
        </w:rPr>
        <w:t xml:space="preserve"> was assessed using the SF-36 Health Survey version </w:t>
      </w:r>
      <w:r w:rsidR="00934DCD">
        <w:rPr>
          <w:rFonts w:asciiTheme="minorHAnsi" w:hAnsiTheme="minorHAnsi"/>
          <w:sz w:val="24"/>
        </w:rPr>
        <w:t>2.0</w:t>
      </w:r>
      <w:r w:rsidRPr="0011464F">
        <w:rPr>
          <w:rFonts w:asciiTheme="minorHAnsi" w:hAnsiTheme="minorHAnsi"/>
          <w:sz w:val="24"/>
        </w:rPr>
        <w:t xml:space="preserve"> [</w:t>
      </w:r>
      <w:r w:rsidR="006321CA">
        <w:rPr>
          <w:rFonts w:asciiTheme="minorHAnsi" w:hAnsiTheme="minorHAnsi"/>
          <w:sz w:val="24"/>
        </w:rPr>
        <w:t>3</w:t>
      </w:r>
      <w:r w:rsidR="006C5C73">
        <w:rPr>
          <w:rFonts w:asciiTheme="minorHAnsi" w:hAnsiTheme="minorHAnsi"/>
          <w:sz w:val="24"/>
        </w:rPr>
        <w:t>4</w:t>
      </w:r>
      <w:proofErr w:type="gramStart"/>
      <w:r w:rsidRPr="0011464F">
        <w:rPr>
          <w:rFonts w:asciiTheme="minorHAnsi" w:hAnsiTheme="minorHAnsi"/>
          <w:sz w:val="24"/>
        </w:rPr>
        <w:t>,</w:t>
      </w:r>
      <w:r w:rsidR="006321CA">
        <w:rPr>
          <w:rFonts w:asciiTheme="minorHAnsi" w:hAnsiTheme="minorHAnsi"/>
          <w:sz w:val="24"/>
        </w:rPr>
        <w:t>3</w:t>
      </w:r>
      <w:r w:rsidR="006C5C73">
        <w:rPr>
          <w:rFonts w:asciiTheme="minorHAnsi" w:hAnsiTheme="minorHAnsi"/>
          <w:sz w:val="24"/>
        </w:rPr>
        <w:t>5</w:t>
      </w:r>
      <w:proofErr w:type="gramEnd"/>
      <w:r w:rsidRPr="0011464F">
        <w:rPr>
          <w:rFonts w:asciiTheme="minorHAnsi" w:hAnsiTheme="minorHAnsi"/>
          <w:sz w:val="24"/>
        </w:rPr>
        <w:t xml:space="preserve">]. This questionnaire consists of eight subscales: physical functioning, social functioning, role limitations due to physical, role limitations due to emotional problems, mental health, vitality, pain and general health. Summary scores can also be calculated for two broad areas of subjective </w:t>
      </w:r>
      <w:r w:rsidR="00663F5F" w:rsidRPr="0011464F">
        <w:rPr>
          <w:rFonts w:asciiTheme="minorHAnsi" w:hAnsiTheme="minorHAnsi"/>
          <w:sz w:val="24"/>
        </w:rPr>
        <w:t>wellbeing</w:t>
      </w:r>
      <w:r w:rsidRPr="0011464F">
        <w:rPr>
          <w:rFonts w:asciiTheme="minorHAnsi" w:hAnsiTheme="minorHAnsi"/>
          <w:sz w:val="24"/>
        </w:rPr>
        <w:t xml:space="preserve"> – physical health and mental health. All scales are linearly converted to a 0-100 scale, with a higher score representing better functioning.  </w:t>
      </w:r>
    </w:p>
    <w:p w14:paraId="19EC7166" w14:textId="77777777" w:rsidR="006321CA" w:rsidRDefault="006321CA" w:rsidP="001E225F">
      <w:pPr>
        <w:pStyle w:val="Heading4"/>
        <w:spacing w:line="360" w:lineRule="auto"/>
        <w:rPr>
          <w:rFonts w:asciiTheme="minorHAnsi" w:hAnsiTheme="minorHAnsi"/>
          <w:sz w:val="24"/>
        </w:rPr>
      </w:pPr>
    </w:p>
    <w:p w14:paraId="1EC7196B" w14:textId="77777777" w:rsidR="00427B1F" w:rsidRPr="0011464F" w:rsidRDefault="00427B1F" w:rsidP="001E225F">
      <w:pPr>
        <w:pStyle w:val="Heading4"/>
        <w:spacing w:line="360" w:lineRule="auto"/>
        <w:rPr>
          <w:rFonts w:asciiTheme="minorHAnsi" w:hAnsiTheme="minorHAnsi"/>
          <w:sz w:val="24"/>
        </w:rPr>
      </w:pPr>
      <w:r w:rsidRPr="0011464F">
        <w:rPr>
          <w:rFonts w:asciiTheme="minorHAnsi" w:hAnsiTheme="minorHAnsi"/>
          <w:sz w:val="24"/>
        </w:rPr>
        <w:t>Risk Perception</w:t>
      </w:r>
    </w:p>
    <w:p w14:paraId="5726DCA9" w14:textId="57051482" w:rsidR="00427B1F" w:rsidRPr="0011464F" w:rsidRDefault="00427B1F" w:rsidP="001E225F">
      <w:pPr>
        <w:spacing w:line="360" w:lineRule="auto"/>
        <w:rPr>
          <w:rFonts w:asciiTheme="minorHAnsi" w:hAnsiTheme="minorHAnsi"/>
          <w:sz w:val="24"/>
        </w:rPr>
      </w:pPr>
      <w:r w:rsidRPr="0011464F">
        <w:rPr>
          <w:rFonts w:asciiTheme="minorHAnsi" w:hAnsiTheme="minorHAnsi"/>
          <w:sz w:val="24"/>
        </w:rPr>
        <w:t xml:space="preserve">Men were asked to rate their perceived risk of </w:t>
      </w:r>
      <w:proofErr w:type="spellStart"/>
      <w:r w:rsidRPr="0011464F">
        <w:rPr>
          <w:rFonts w:asciiTheme="minorHAnsi" w:hAnsiTheme="minorHAnsi"/>
          <w:sz w:val="24"/>
        </w:rPr>
        <w:t>PCa</w:t>
      </w:r>
      <w:proofErr w:type="spellEnd"/>
      <w:r w:rsidRPr="0011464F">
        <w:rPr>
          <w:rFonts w:asciiTheme="minorHAnsi" w:hAnsiTheme="minorHAnsi"/>
          <w:sz w:val="24"/>
        </w:rPr>
        <w:t xml:space="preserve"> compared with the average man’s risk</w:t>
      </w:r>
      <w:r w:rsidR="00934DCD">
        <w:rPr>
          <w:rFonts w:asciiTheme="minorHAnsi" w:hAnsiTheme="minorHAnsi"/>
          <w:sz w:val="24"/>
        </w:rPr>
        <w:t>:</w:t>
      </w:r>
      <w:r w:rsidRPr="0011464F">
        <w:rPr>
          <w:rFonts w:asciiTheme="minorHAnsi" w:hAnsiTheme="minorHAnsi"/>
          <w:sz w:val="24"/>
        </w:rPr>
        <w:t xml:space="preserve"> lower, the same, slightly increased, moderately increased or strongly increased [</w:t>
      </w:r>
      <w:r w:rsidR="006321CA">
        <w:rPr>
          <w:rFonts w:asciiTheme="minorHAnsi" w:hAnsiTheme="minorHAnsi"/>
          <w:sz w:val="24"/>
        </w:rPr>
        <w:t>3</w:t>
      </w:r>
      <w:r w:rsidR="006C5C73">
        <w:rPr>
          <w:rFonts w:asciiTheme="minorHAnsi" w:hAnsiTheme="minorHAnsi"/>
          <w:sz w:val="24"/>
        </w:rPr>
        <w:t>6</w:t>
      </w:r>
      <w:r w:rsidRPr="0011464F">
        <w:rPr>
          <w:rFonts w:asciiTheme="minorHAnsi" w:hAnsiTheme="minorHAnsi"/>
          <w:sz w:val="24"/>
        </w:rPr>
        <w:t>].</w:t>
      </w:r>
      <w:r w:rsidR="00ED1E06">
        <w:rPr>
          <w:rFonts w:asciiTheme="minorHAnsi" w:hAnsiTheme="minorHAnsi"/>
          <w:sz w:val="24"/>
        </w:rPr>
        <w:t xml:space="preserve"> </w:t>
      </w:r>
    </w:p>
    <w:p w14:paraId="08EC217B" w14:textId="77777777" w:rsidR="006321CA" w:rsidRDefault="006321CA" w:rsidP="001E225F">
      <w:pPr>
        <w:pStyle w:val="Heading4"/>
        <w:spacing w:line="360" w:lineRule="auto"/>
        <w:rPr>
          <w:rFonts w:asciiTheme="minorHAnsi" w:hAnsiTheme="minorHAnsi"/>
          <w:sz w:val="24"/>
        </w:rPr>
      </w:pPr>
    </w:p>
    <w:p w14:paraId="65CD163E" w14:textId="77777777" w:rsidR="00427B1F" w:rsidRPr="0011464F" w:rsidRDefault="00427B1F" w:rsidP="001E225F">
      <w:pPr>
        <w:pStyle w:val="Heading4"/>
        <w:spacing w:line="360" w:lineRule="auto"/>
        <w:rPr>
          <w:rFonts w:asciiTheme="minorHAnsi" w:hAnsiTheme="minorHAnsi"/>
          <w:sz w:val="24"/>
        </w:rPr>
      </w:pPr>
      <w:r w:rsidRPr="0011464F">
        <w:rPr>
          <w:rFonts w:asciiTheme="minorHAnsi" w:hAnsiTheme="minorHAnsi"/>
          <w:sz w:val="24"/>
        </w:rPr>
        <w:t>Knowledge</w:t>
      </w:r>
    </w:p>
    <w:p w14:paraId="07DB28F6" w14:textId="7AE37FBF" w:rsidR="00427B1F" w:rsidRPr="0011464F" w:rsidRDefault="00427B1F" w:rsidP="001E225F">
      <w:pPr>
        <w:spacing w:line="360" w:lineRule="auto"/>
        <w:rPr>
          <w:rFonts w:asciiTheme="minorHAnsi" w:hAnsiTheme="minorHAnsi"/>
          <w:sz w:val="24"/>
        </w:rPr>
      </w:pPr>
      <w:r w:rsidRPr="0011464F">
        <w:rPr>
          <w:rFonts w:asciiTheme="minorHAnsi" w:hAnsiTheme="minorHAnsi"/>
          <w:sz w:val="24"/>
        </w:rPr>
        <w:t xml:space="preserve">We developed a “knowledge scale” based on a measure developed by </w:t>
      </w:r>
      <w:proofErr w:type="spellStart"/>
      <w:r w:rsidRPr="0011464F">
        <w:rPr>
          <w:rFonts w:asciiTheme="minorHAnsi" w:hAnsiTheme="minorHAnsi"/>
          <w:sz w:val="24"/>
        </w:rPr>
        <w:t>Lerman</w:t>
      </w:r>
      <w:proofErr w:type="spellEnd"/>
      <w:r w:rsidRPr="0011464F">
        <w:rPr>
          <w:rFonts w:asciiTheme="minorHAnsi" w:hAnsiTheme="minorHAnsi"/>
          <w:sz w:val="24"/>
        </w:rPr>
        <w:t xml:space="preserve"> </w:t>
      </w:r>
      <w:r w:rsidRPr="00BE436B">
        <w:rPr>
          <w:rFonts w:asciiTheme="minorHAnsi" w:hAnsiTheme="minorHAnsi"/>
          <w:sz w:val="24"/>
        </w:rPr>
        <w:t>et al</w:t>
      </w:r>
      <w:r w:rsidRPr="0011464F">
        <w:rPr>
          <w:rFonts w:asciiTheme="minorHAnsi" w:hAnsiTheme="minorHAnsi"/>
          <w:sz w:val="24"/>
        </w:rPr>
        <w:t xml:space="preserve"> [</w:t>
      </w:r>
      <w:r w:rsidR="006321CA">
        <w:rPr>
          <w:rFonts w:asciiTheme="minorHAnsi" w:hAnsiTheme="minorHAnsi"/>
          <w:sz w:val="24"/>
        </w:rPr>
        <w:t>3</w:t>
      </w:r>
      <w:r w:rsidR="006C5C73">
        <w:rPr>
          <w:rFonts w:asciiTheme="minorHAnsi" w:hAnsiTheme="minorHAnsi"/>
          <w:sz w:val="24"/>
        </w:rPr>
        <w:t>7</w:t>
      </w:r>
      <w:r w:rsidRPr="0011464F">
        <w:rPr>
          <w:rFonts w:asciiTheme="minorHAnsi" w:hAnsiTheme="minorHAnsi"/>
          <w:sz w:val="24"/>
        </w:rPr>
        <w:t xml:space="preserve">] and </w:t>
      </w:r>
      <w:proofErr w:type="spellStart"/>
      <w:r w:rsidRPr="0011464F">
        <w:rPr>
          <w:rFonts w:asciiTheme="minorHAnsi" w:hAnsiTheme="minorHAnsi"/>
          <w:sz w:val="24"/>
        </w:rPr>
        <w:t>Wonderlick</w:t>
      </w:r>
      <w:proofErr w:type="spellEnd"/>
      <w:r w:rsidRPr="0011464F">
        <w:rPr>
          <w:rFonts w:asciiTheme="minorHAnsi" w:hAnsiTheme="minorHAnsi"/>
          <w:sz w:val="24"/>
        </w:rPr>
        <w:t xml:space="preserve"> </w:t>
      </w:r>
      <w:r w:rsidRPr="00BE436B">
        <w:rPr>
          <w:rFonts w:asciiTheme="minorHAnsi" w:hAnsiTheme="minorHAnsi"/>
          <w:sz w:val="24"/>
        </w:rPr>
        <w:t>et al</w:t>
      </w:r>
      <w:r w:rsidRPr="0011464F">
        <w:rPr>
          <w:rFonts w:asciiTheme="minorHAnsi" w:hAnsiTheme="minorHAnsi"/>
          <w:sz w:val="24"/>
        </w:rPr>
        <w:t xml:space="preserve"> [</w:t>
      </w:r>
      <w:r w:rsidR="006321CA">
        <w:rPr>
          <w:rFonts w:asciiTheme="minorHAnsi" w:hAnsiTheme="minorHAnsi"/>
          <w:sz w:val="24"/>
        </w:rPr>
        <w:t>3</w:t>
      </w:r>
      <w:r w:rsidR="006C5C73">
        <w:rPr>
          <w:rFonts w:asciiTheme="minorHAnsi" w:hAnsiTheme="minorHAnsi"/>
          <w:sz w:val="24"/>
        </w:rPr>
        <w:t>8</w:t>
      </w:r>
      <w:r w:rsidRPr="0011464F">
        <w:rPr>
          <w:rFonts w:asciiTheme="minorHAnsi" w:hAnsiTheme="minorHAnsi"/>
          <w:sz w:val="24"/>
        </w:rPr>
        <w:t xml:space="preserve">].  </w:t>
      </w:r>
      <w:r w:rsidR="00A05650">
        <w:rPr>
          <w:rFonts w:asciiTheme="minorHAnsi" w:hAnsiTheme="minorHAnsi"/>
          <w:sz w:val="24"/>
        </w:rPr>
        <w:t>The</w:t>
      </w:r>
      <w:r w:rsidR="00A05650" w:rsidRPr="0011464F">
        <w:rPr>
          <w:rFonts w:asciiTheme="minorHAnsi" w:hAnsiTheme="minorHAnsi"/>
          <w:sz w:val="24"/>
        </w:rPr>
        <w:t xml:space="preserve"> </w:t>
      </w:r>
      <w:r w:rsidRPr="0011464F">
        <w:rPr>
          <w:rFonts w:asciiTheme="minorHAnsi" w:hAnsiTheme="minorHAnsi"/>
          <w:sz w:val="24"/>
        </w:rPr>
        <w:t>9</w:t>
      </w:r>
      <w:r w:rsidR="00A05650">
        <w:rPr>
          <w:rFonts w:asciiTheme="minorHAnsi" w:hAnsiTheme="minorHAnsi"/>
          <w:sz w:val="24"/>
        </w:rPr>
        <w:t xml:space="preserve"> true/false </w:t>
      </w:r>
      <w:r w:rsidRPr="0011464F">
        <w:rPr>
          <w:rFonts w:asciiTheme="minorHAnsi" w:hAnsiTheme="minorHAnsi"/>
          <w:sz w:val="24"/>
        </w:rPr>
        <w:t>item</w:t>
      </w:r>
      <w:r w:rsidR="00A05650">
        <w:rPr>
          <w:rFonts w:asciiTheme="minorHAnsi" w:hAnsiTheme="minorHAnsi"/>
          <w:sz w:val="24"/>
        </w:rPr>
        <w:t>s</w:t>
      </w:r>
      <w:r w:rsidRPr="0011464F">
        <w:rPr>
          <w:rFonts w:asciiTheme="minorHAnsi" w:hAnsiTheme="minorHAnsi"/>
          <w:sz w:val="24"/>
        </w:rPr>
        <w:t xml:space="preserve"> assess</w:t>
      </w:r>
      <w:r w:rsidR="00A05650">
        <w:rPr>
          <w:rFonts w:asciiTheme="minorHAnsi" w:hAnsiTheme="minorHAnsi"/>
          <w:sz w:val="24"/>
        </w:rPr>
        <w:t>ed</w:t>
      </w:r>
      <w:r w:rsidRPr="0011464F">
        <w:rPr>
          <w:rFonts w:asciiTheme="minorHAnsi" w:hAnsiTheme="minorHAnsi"/>
          <w:sz w:val="24"/>
        </w:rPr>
        <w:t xml:space="preserve"> knowledge of inheritance of </w:t>
      </w:r>
      <w:r w:rsidRPr="0011464F">
        <w:rPr>
          <w:rFonts w:asciiTheme="minorHAnsi" w:hAnsiTheme="minorHAnsi"/>
          <w:i/>
          <w:sz w:val="24"/>
        </w:rPr>
        <w:t>BRCA1/2</w:t>
      </w:r>
      <w:r w:rsidRPr="0011464F">
        <w:rPr>
          <w:rFonts w:asciiTheme="minorHAnsi" w:hAnsiTheme="minorHAnsi"/>
          <w:sz w:val="24"/>
        </w:rPr>
        <w:t xml:space="preserve">, the effect of having an altered gene, and </w:t>
      </w:r>
      <w:r w:rsidR="00376B83">
        <w:rPr>
          <w:rFonts w:asciiTheme="minorHAnsi" w:hAnsiTheme="minorHAnsi"/>
          <w:sz w:val="24"/>
        </w:rPr>
        <w:t xml:space="preserve">risk of </w:t>
      </w:r>
      <w:proofErr w:type="spellStart"/>
      <w:r w:rsidR="00086928">
        <w:rPr>
          <w:rFonts w:cs="Courier New"/>
          <w:sz w:val="24"/>
        </w:rPr>
        <w:t>PCa</w:t>
      </w:r>
      <w:proofErr w:type="spellEnd"/>
      <w:r w:rsidRPr="0011464F">
        <w:rPr>
          <w:rFonts w:asciiTheme="minorHAnsi" w:hAnsiTheme="minorHAnsi"/>
          <w:sz w:val="24"/>
        </w:rPr>
        <w:t>.  Knowledge scores were created by taking the sum of the correct responses to the 9-items.</w:t>
      </w:r>
    </w:p>
    <w:p w14:paraId="7DBF1013" w14:textId="77777777" w:rsidR="00427B1F" w:rsidRPr="0011464F" w:rsidRDefault="00427B1F" w:rsidP="001E225F">
      <w:pPr>
        <w:spacing w:line="360" w:lineRule="auto"/>
        <w:rPr>
          <w:rFonts w:asciiTheme="minorHAnsi" w:hAnsiTheme="minorHAnsi"/>
          <w:sz w:val="24"/>
        </w:rPr>
      </w:pPr>
      <w:r w:rsidRPr="0011464F">
        <w:rPr>
          <w:rFonts w:asciiTheme="minorHAnsi" w:hAnsiTheme="minorHAnsi"/>
          <w:sz w:val="24"/>
        </w:rPr>
        <w:lastRenderedPageBreak/>
        <w:t xml:space="preserve">The internal consistency reliability, as assessed by </w:t>
      </w:r>
      <w:proofErr w:type="spellStart"/>
      <w:r w:rsidRPr="0011464F">
        <w:rPr>
          <w:rFonts w:asciiTheme="minorHAnsi" w:hAnsiTheme="minorHAnsi"/>
          <w:sz w:val="24"/>
        </w:rPr>
        <w:t>Cronbach’s</w:t>
      </w:r>
      <w:proofErr w:type="spellEnd"/>
      <w:r w:rsidRPr="0011464F">
        <w:rPr>
          <w:rFonts w:asciiTheme="minorHAnsi" w:hAnsiTheme="minorHAnsi"/>
          <w:sz w:val="24"/>
        </w:rPr>
        <w:t xml:space="preserve"> coefficient alpha, was high for all measures used, ranging from 0.79 for the SF-36 General Health scale to 0.96 for the SF-36 Role Physical scale. Fourteen of the 15 scales had an alpha coefficient above 0.80.</w:t>
      </w:r>
    </w:p>
    <w:p w14:paraId="25D89746" w14:textId="77777777" w:rsidR="00427B1F" w:rsidRPr="0011464F" w:rsidRDefault="00427B1F" w:rsidP="001E225F">
      <w:pPr>
        <w:pStyle w:val="Heading3"/>
        <w:spacing w:line="360" w:lineRule="auto"/>
        <w:rPr>
          <w:rFonts w:asciiTheme="minorHAnsi" w:hAnsiTheme="minorHAnsi"/>
          <w:b/>
          <w:sz w:val="24"/>
        </w:rPr>
      </w:pPr>
    </w:p>
    <w:p w14:paraId="01302157" w14:textId="78F0B29D" w:rsidR="00427B1F" w:rsidRPr="0011464F" w:rsidRDefault="00AD18FB" w:rsidP="001E225F">
      <w:pPr>
        <w:pStyle w:val="Heading3"/>
        <w:spacing w:line="360" w:lineRule="auto"/>
        <w:rPr>
          <w:rFonts w:asciiTheme="minorHAnsi" w:hAnsiTheme="minorHAnsi"/>
          <w:b/>
          <w:sz w:val="24"/>
        </w:rPr>
      </w:pPr>
      <w:r>
        <w:rPr>
          <w:rFonts w:asciiTheme="minorHAnsi" w:hAnsiTheme="minorHAnsi"/>
          <w:b/>
          <w:sz w:val="24"/>
        </w:rPr>
        <w:t>Statistical analysis</w:t>
      </w:r>
    </w:p>
    <w:p w14:paraId="2E7BAFF8" w14:textId="77777777" w:rsidR="00427B1F" w:rsidRPr="0011464F" w:rsidRDefault="00427B1F" w:rsidP="001E225F">
      <w:pPr>
        <w:spacing w:line="360" w:lineRule="auto"/>
        <w:rPr>
          <w:rFonts w:asciiTheme="minorHAnsi" w:hAnsiTheme="minorHAnsi"/>
          <w:sz w:val="24"/>
        </w:rPr>
      </w:pPr>
      <w:r w:rsidRPr="0011464F">
        <w:rPr>
          <w:rFonts w:asciiTheme="minorHAnsi" w:hAnsiTheme="minorHAnsi"/>
          <w:sz w:val="24"/>
        </w:rPr>
        <w:t xml:space="preserve">The dataset contained a small amount of missing data; for all scales except the SF-36, where </w:t>
      </w:r>
      <w:r w:rsidRPr="0011464F">
        <w:rPr>
          <w:rFonts w:asciiTheme="minorHAnsi" w:hAnsiTheme="minorHAnsi"/>
          <w:sz w:val="24"/>
          <w:u w:val="single"/>
        </w:rPr>
        <w:t>&gt;</w:t>
      </w:r>
      <w:r w:rsidRPr="0011464F">
        <w:rPr>
          <w:rFonts w:asciiTheme="minorHAnsi" w:hAnsiTheme="minorHAnsi"/>
          <w:sz w:val="24"/>
        </w:rPr>
        <w:t xml:space="preserve">75% of a subscale was complete a total score (corrected for the total number of questions) was calculated. Where &lt;75% was completed, data were excluded.  For the SF-36 score, scales were excluded when there was &lt;50% of a sub-scale completed, as per the recommendation of the scale’s authors </w:t>
      </w:r>
      <w:r w:rsidR="00BE436B">
        <w:rPr>
          <w:rFonts w:asciiTheme="minorHAnsi" w:hAnsiTheme="minorHAnsi"/>
          <w:sz w:val="24"/>
        </w:rPr>
        <w:t>[</w:t>
      </w:r>
      <w:r w:rsidR="006C5C73">
        <w:rPr>
          <w:rFonts w:asciiTheme="minorHAnsi" w:hAnsiTheme="minorHAnsi"/>
          <w:sz w:val="24"/>
        </w:rPr>
        <w:t>39</w:t>
      </w:r>
      <w:r w:rsidR="00BE436B">
        <w:rPr>
          <w:rFonts w:asciiTheme="minorHAnsi" w:hAnsiTheme="minorHAnsi"/>
          <w:sz w:val="24"/>
        </w:rPr>
        <w:t>]</w:t>
      </w:r>
      <w:r w:rsidRPr="0011464F">
        <w:rPr>
          <w:rFonts w:asciiTheme="minorHAnsi" w:hAnsiTheme="minorHAnsi"/>
          <w:sz w:val="24"/>
        </w:rPr>
        <w:t>.  Ten percent of the data entered were double-checked for coding accuracy and completeness and no errors were identified.</w:t>
      </w:r>
    </w:p>
    <w:p w14:paraId="5A1A7AC2" w14:textId="18A89AA6" w:rsidR="00427B1F" w:rsidRPr="0011464F" w:rsidRDefault="00BB6EE8" w:rsidP="001E225F">
      <w:pPr>
        <w:spacing w:line="360" w:lineRule="auto"/>
        <w:rPr>
          <w:rFonts w:asciiTheme="minorHAnsi" w:hAnsiTheme="minorHAnsi"/>
          <w:sz w:val="24"/>
        </w:rPr>
      </w:pPr>
      <w:r>
        <w:rPr>
          <w:rFonts w:asciiTheme="minorHAnsi" w:hAnsiTheme="minorHAnsi"/>
          <w:sz w:val="24"/>
        </w:rPr>
        <w:t xml:space="preserve">The </w:t>
      </w:r>
      <w:r w:rsidR="00427B1F" w:rsidRPr="0011464F">
        <w:rPr>
          <w:rFonts w:asciiTheme="minorHAnsi" w:hAnsiTheme="minorHAnsi"/>
          <w:sz w:val="24"/>
        </w:rPr>
        <w:t xml:space="preserve">SPSS 22.0 statistical computer package (SPSS Inc., Chicago) was used to manage and analyse the data. Scores for each questionnaire were calculated in accordance with each scales scoring system. Descriptive statistics, </w:t>
      </w:r>
      <w:r w:rsidR="00427B1F" w:rsidRPr="0011464F">
        <w:rPr>
          <w:rStyle w:val="Strong"/>
          <w:rFonts w:asciiTheme="minorHAnsi" w:hAnsiTheme="minorHAnsi"/>
          <w:b w:val="0"/>
          <w:bCs/>
          <w:sz w:val="24"/>
        </w:rPr>
        <w:t>including means and standard deviations,</w:t>
      </w:r>
      <w:r w:rsidR="00427B1F" w:rsidRPr="0011464F">
        <w:rPr>
          <w:rFonts w:asciiTheme="minorHAnsi" w:hAnsiTheme="minorHAnsi"/>
          <w:sz w:val="24"/>
        </w:rPr>
        <w:t xml:space="preserve"> were used to summarise the sample characteristics and questionnaire data. </w:t>
      </w:r>
    </w:p>
    <w:p w14:paraId="44E45CA0" w14:textId="31E2AA6E" w:rsidR="00427B1F" w:rsidRPr="0011464F" w:rsidRDefault="00427B1F" w:rsidP="001E225F">
      <w:pPr>
        <w:spacing w:line="360" w:lineRule="auto"/>
        <w:rPr>
          <w:rFonts w:asciiTheme="minorHAnsi" w:hAnsiTheme="minorHAnsi"/>
          <w:sz w:val="24"/>
        </w:rPr>
      </w:pPr>
      <w:r w:rsidRPr="0011464F">
        <w:rPr>
          <w:rFonts w:asciiTheme="minorHAnsi" w:hAnsiTheme="minorHAnsi"/>
          <w:sz w:val="24"/>
        </w:rPr>
        <w:t xml:space="preserve">All psychometric scales (HADS, IES, </w:t>
      </w:r>
      <w:r w:rsidR="00BE54F8">
        <w:rPr>
          <w:rFonts w:asciiTheme="minorHAnsi" w:hAnsiTheme="minorHAnsi"/>
          <w:sz w:val="24"/>
        </w:rPr>
        <w:t>SF-36</w:t>
      </w:r>
      <w:r w:rsidRPr="0011464F">
        <w:rPr>
          <w:rFonts w:asciiTheme="minorHAnsi" w:hAnsiTheme="minorHAnsi"/>
          <w:sz w:val="24"/>
        </w:rPr>
        <w:t xml:space="preserve">, MAX-PC and CWS) were skewed towards better scores. Neither log nor square root transformations of these scales produced normal distributions, but given the large sample size within each genetic cohort, parametric tests were utilised. </w:t>
      </w:r>
      <w:r w:rsidR="00C147BE">
        <w:rPr>
          <w:rFonts w:asciiTheme="minorHAnsi" w:hAnsiTheme="minorHAnsi"/>
          <w:sz w:val="24"/>
        </w:rPr>
        <w:t>To minimise the potential effect of multiple testing on the Type I error rate, a</w:t>
      </w:r>
      <w:r w:rsidRPr="0011464F">
        <w:rPr>
          <w:rFonts w:asciiTheme="minorHAnsi" w:hAnsiTheme="minorHAnsi"/>
          <w:sz w:val="24"/>
        </w:rPr>
        <w:t xml:space="preserve"> p value of &lt;0.</w:t>
      </w:r>
      <w:r w:rsidR="00C147BE" w:rsidRPr="0011464F">
        <w:rPr>
          <w:rFonts w:asciiTheme="minorHAnsi" w:hAnsiTheme="minorHAnsi"/>
          <w:sz w:val="24"/>
        </w:rPr>
        <w:t>0</w:t>
      </w:r>
      <w:r w:rsidR="00C147BE">
        <w:rPr>
          <w:rFonts w:asciiTheme="minorHAnsi" w:hAnsiTheme="minorHAnsi"/>
          <w:sz w:val="24"/>
        </w:rPr>
        <w:t>1</w:t>
      </w:r>
      <w:r w:rsidR="00C147BE" w:rsidRPr="0011464F">
        <w:rPr>
          <w:rFonts w:asciiTheme="minorHAnsi" w:hAnsiTheme="minorHAnsi"/>
          <w:sz w:val="24"/>
        </w:rPr>
        <w:t xml:space="preserve"> </w:t>
      </w:r>
      <w:r w:rsidRPr="0011464F">
        <w:rPr>
          <w:rFonts w:asciiTheme="minorHAnsi" w:hAnsiTheme="minorHAnsi"/>
          <w:sz w:val="24"/>
        </w:rPr>
        <w:t>was regarded as statistically significant.</w:t>
      </w:r>
    </w:p>
    <w:p w14:paraId="07C236C0" w14:textId="262AD831" w:rsidR="00427B1F" w:rsidRPr="0011464F" w:rsidRDefault="00427B1F" w:rsidP="001E225F">
      <w:pPr>
        <w:spacing w:line="360" w:lineRule="auto"/>
        <w:rPr>
          <w:rFonts w:asciiTheme="minorHAnsi" w:hAnsiTheme="minorHAnsi"/>
          <w:sz w:val="24"/>
        </w:rPr>
      </w:pPr>
      <w:proofErr w:type="spellStart"/>
      <w:r w:rsidRPr="0011464F">
        <w:rPr>
          <w:rFonts w:asciiTheme="minorHAnsi" w:hAnsiTheme="minorHAnsi"/>
          <w:sz w:val="24"/>
        </w:rPr>
        <w:t>Univariate</w:t>
      </w:r>
      <w:proofErr w:type="spellEnd"/>
      <w:r w:rsidRPr="0011464F">
        <w:rPr>
          <w:rFonts w:asciiTheme="minorHAnsi" w:hAnsiTheme="minorHAnsi"/>
          <w:sz w:val="24"/>
        </w:rPr>
        <w:t xml:space="preserve"> analysis examined if there were any measurable differences at baseline between </w:t>
      </w:r>
      <w:r w:rsidRPr="0011464F">
        <w:rPr>
          <w:rFonts w:asciiTheme="minorHAnsi" w:hAnsiTheme="minorHAnsi"/>
          <w:i/>
          <w:sz w:val="24"/>
        </w:rPr>
        <w:t>BRCA1</w:t>
      </w:r>
      <w:r w:rsidRPr="0011464F">
        <w:rPr>
          <w:rFonts w:asciiTheme="minorHAnsi" w:hAnsiTheme="minorHAnsi"/>
          <w:sz w:val="24"/>
        </w:rPr>
        <w:t xml:space="preserve"> carriers, </w:t>
      </w:r>
      <w:r w:rsidRPr="0011464F">
        <w:rPr>
          <w:rFonts w:asciiTheme="minorHAnsi" w:hAnsiTheme="minorHAnsi"/>
          <w:i/>
          <w:sz w:val="24"/>
        </w:rPr>
        <w:t>BRCA2</w:t>
      </w:r>
      <w:r w:rsidRPr="0011464F">
        <w:rPr>
          <w:rFonts w:asciiTheme="minorHAnsi" w:hAnsiTheme="minorHAnsi"/>
          <w:sz w:val="24"/>
        </w:rPr>
        <w:t xml:space="preserve"> carriers and controls on the dependent variables risk perception, </w:t>
      </w:r>
      <w:proofErr w:type="spellStart"/>
      <w:r w:rsidRPr="0011464F">
        <w:rPr>
          <w:rFonts w:asciiTheme="minorHAnsi" w:hAnsiTheme="minorHAnsi"/>
          <w:sz w:val="24"/>
        </w:rPr>
        <w:t>HRQoL</w:t>
      </w:r>
      <w:proofErr w:type="spellEnd"/>
      <w:r w:rsidRPr="0011464F">
        <w:rPr>
          <w:rFonts w:asciiTheme="minorHAnsi" w:hAnsiTheme="minorHAnsi"/>
          <w:sz w:val="24"/>
        </w:rPr>
        <w:t xml:space="preserve"> (SF36), the psychological measures (HADS, IES, </w:t>
      </w:r>
      <w:proofErr w:type="gramStart"/>
      <w:r w:rsidRPr="0011464F">
        <w:rPr>
          <w:rFonts w:asciiTheme="minorHAnsi" w:hAnsiTheme="minorHAnsi"/>
          <w:sz w:val="24"/>
        </w:rPr>
        <w:t>MAX</w:t>
      </w:r>
      <w:proofErr w:type="gramEnd"/>
      <w:r w:rsidRPr="0011464F">
        <w:rPr>
          <w:rFonts w:asciiTheme="minorHAnsi" w:hAnsiTheme="minorHAnsi"/>
          <w:sz w:val="24"/>
        </w:rPr>
        <w:t xml:space="preserve">-PC) or knowledge.  A UK dataset was used as a normative comparator for </w:t>
      </w:r>
      <w:proofErr w:type="spellStart"/>
      <w:r w:rsidRPr="0011464F">
        <w:rPr>
          <w:rFonts w:asciiTheme="minorHAnsi" w:hAnsiTheme="minorHAnsi"/>
          <w:sz w:val="24"/>
        </w:rPr>
        <w:t>HRQoL</w:t>
      </w:r>
      <w:proofErr w:type="spellEnd"/>
      <w:r w:rsidR="00B64D4C">
        <w:rPr>
          <w:rFonts w:asciiTheme="minorHAnsi" w:hAnsiTheme="minorHAnsi"/>
          <w:sz w:val="24"/>
        </w:rPr>
        <w:t>, by randomly selecting individual</w:t>
      </w:r>
      <w:r w:rsidR="00866861">
        <w:rPr>
          <w:rFonts w:asciiTheme="minorHAnsi" w:hAnsiTheme="minorHAnsi"/>
          <w:sz w:val="24"/>
        </w:rPr>
        <w:t>s matched to our sample on age.  M</w:t>
      </w:r>
      <w:r w:rsidR="00B64D4C">
        <w:rPr>
          <w:rFonts w:asciiTheme="minorHAnsi" w:hAnsiTheme="minorHAnsi"/>
          <w:sz w:val="24"/>
        </w:rPr>
        <w:t xml:space="preserve">eans </w:t>
      </w:r>
      <w:r w:rsidR="00866861">
        <w:rPr>
          <w:rFonts w:asciiTheme="minorHAnsi" w:hAnsiTheme="minorHAnsi"/>
          <w:sz w:val="24"/>
        </w:rPr>
        <w:t xml:space="preserve">were then </w:t>
      </w:r>
      <w:r w:rsidR="00B64D4C">
        <w:rPr>
          <w:rFonts w:asciiTheme="minorHAnsi" w:hAnsiTheme="minorHAnsi"/>
          <w:sz w:val="24"/>
        </w:rPr>
        <w:t>compared using a paired Student’s t-test</w:t>
      </w:r>
      <w:r w:rsidRPr="0011464F">
        <w:rPr>
          <w:rFonts w:asciiTheme="minorHAnsi" w:hAnsiTheme="minorHAnsi"/>
          <w:sz w:val="24"/>
        </w:rPr>
        <w:t xml:space="preserve"> </w:t>
      </w:r>
      <w:r w:rsidR="00954674">
        <w:rPr>
          <w:rFonts w:asciiTheme="minorHAnsi" w:hAnsiTheme="minorHAnsi"/>
          <w:sz w:val="24"/>
        </w:rPr>
        <w:t>[</w:t>
      </w:r>
      <w:r w:rsidR="006321CA">
        <w:rPr>
          <w:rFonts w:asciiTheme="minorHAnsi" w:hAnsiTheme="minorHAnsi"/>
          <w:sz w:val="24"/>
        </w:rPr>
        <w:t>3</w:t>
      </w:r>
      <w:r w:rsidR="006C5C73">
        <w:rPr>
          <w:rFonts w:asciiTheme="minorHAnsi" w:hAnsiTheme="minorHAnsi"/>
          <w:sz w:val="24"/>
        </w:rPr>
        <w:t>4</w:t>
      </w:r>
      <w:r w:rsidR="00954674">
        <w:rPr>
          <w:rFonts w:asciiTheme="minorHAnsi" w:hAnsiTheme="minorHAnsi"/>
          <w:sz w:val="24"/>
        </w:rPr>
        <w:t>]</w:t>
      </w:r>
      <w:r w:rsidRPr="0011464F">
        <w:rPr>
          <w:rFonts w:asciiTheme="minorHAnsi" w:hAnsiTheme="minorHAnsi"/>
          <w:sz w:val="24"/>
        </w:rPr>
        <w:t xml:space="preserve">.  Only those aged up to 64 were recruited to this large study and so only men aged 40 to 64 from our sample were used </w:t>
      </w:r>
      <w:r w:rsidR="00BE54F8">
        <w:rPr>
          <w:rFonts w:asciiTheme="minorHAnsi" w:hAnsiTheme="minorHAnsi"/>
          <w:sz w:val="24"/>
        </w:rPr>
        <w:t>as a comparison</w:t>
      </w:r>
      <w:r w:rsidRPr="0011464F">
        <w:rPr>
          <w:rFonts w:asciiTheme="minorHAnsi" w:hAnsiTheme="minorHAnsi"/>
          <w:sz w:val="24"/>
        </w:rPr>
        <w:t>.</w:t>
      </w:r>
    </w:p>
    <w:p w14:paraId="40BB284F" w14:textId="3A69A612" w:rsidR="00427B1F" w:rsidRPr="0011464F" w:rsidRDefault="00427B1F" w:rsidP="001E225F">
      <w:pPr>
        <w:spacing w:line="360" w:lineRule="auto"/>
        <w:jc w:val="both"/>
        <w:rPr>
          <w:rFonts w:asciiTheme="minorHAnsi" w:hAnsiTheme="minorHAnsi" w:cs="Courier New"/>
          <w:sz w:val="24"/>
        </w:rPr>
      </w:pPr>
      <w:r w:rsidRPr="0011464F">
        <w:rPr>
          <w:rFonts w:asciiTheme="minorHAnsi" w:hAnsiTheme="minorHAnsi" w:cs="Courier New"/>
          <w:sz w:val="24"/>
        </w:rPr>
        <w:t xml:space="preserve">The impact of other variables on psychosocial outcomes was also explored.  Independent variables included demographics (age, employment status and education), prior PSA screening, </w:t>
      </w:r>
      <w:r w:rsidR="002751A4" w:rsidRPr="002751A4">
        <w:rPr>
          <w:rFonts w:cs="Courier New"/>
          <w:sz w:val="24"/>
        </w:rPr>
        <w:t>FH</w:t>
      </w:r>
      <w:r w:rsidR="002751A4">
        <w:rPr>
          <w:rFonts w:cs="Courier New"/>
          <w:sz w:val="24"/>
        </w:rPr>
        <w:t xml:space="preserve"> </w:t>
      </w:r>
      <w:r w:rsidRPr="0011464F">
        <w:rPr>
          <w:rFonts w:asciiTheme="minorHAnsi" w:hAnsiTheme="minorHAnsi" w:cs="Courier New"/>
          <w:sz w:val="24"/>
        </w:rPr>
        <w:t xml:space="preserve">of </w:t>
      </w:r>
      <w:proofErr w:type="spellStart"/>
      <w:r w:rsidR="00086928">
        <w:rPr>
          <w:rFonts w:cs="Courier New"/>
          <w:sz w:val="24"/>
        </w:rPr>
        <w:t>PCa</w:t>
      </w:r>
      <w:proofErr w:type="spellEnd"/>
      <w:r w:rsidRPr="0011464F">
        <w:rPr>
          <w:rFonts w:asciiTheme="minorHAnsi" w:hAnsiTheme="minorHAnsi" w:cs="Courier New"/>
          <w:sz w:val="24"/>
        </w:rPr>
        <w:t xml:space="preserve">, time since genetic testing, and co-morbidities coded from clinical </w:t>
      </w:r>
      <w:r w:rsidRPr="0011464F">
        <w:rPr>
          <w:rFonts w:asciiTheme="minorHAnsi" w:hAnsiTheme="minorHAnsi" w:cs="Courier New"/>
          <w:sz w:val="24"/>
        </w:rPr>
        <w:lastRenderedPageBreak/>
        <w:t xml:space="preserve">interview into </w:t>
      </w:r>
      <w:r w:rsidR="00A85844">
        <w:rPr>
          <w:rFonts w:asciiTheme="minorHAnsi" w:hAnsiTheme="minorHAnsi" w:cs="Courier New"/>
          <w:sz w:val="24"/>
        </w:rPr>
        <w:t>a</w:t>
      </w:r>
      <w:r w:rsidRPr="0011464F">
        <w:rPr>
          <w:rFonts w:asciiTheme="minorHAnsi" w:hAnsiTheme="minorHAnsi" w:cs="Courier New"/>
          <w:sz w:val="24"/>
        </w:rPr>
        <w:t xml:space="preserve"> </w:t>
      </w:r>
      <w:proofErr w:type="spellStart"/>
      <w:r w:rsidRPr="0011464F">
        <w:rPr>
          <w:rFonts w:asciiTheme="minorHAnsi" w:hAnsiTheme="minorHAnsi" w:cs="Courier New"/>
          <w:sz w:val="24"/>
        </w:rPr>
        <w:t>Charlson</w:t>
      </w:r>
      <w:proofErr w:type="spellEnd"/>
      <w:r w:rsidRPr="0011464F">
        <w:rPr>
          <w:rFonts w:asciiTheme="minorHAnsi" w:hAnsiTheme="minorHAnsi" w:cs="Courier New"/>
          <w:sz w:val="24"/>
        </w:rPr>
        <w:t xml:space="preserve"> Co-morbidity Index</w:t>
      </w:r>
      <w:r w:rsidR="00A85844">
        <w:rPr>
          <w:rFonts w:asciiTheme="minorHAnsi" w:hAnsiTheme="minorHAnsi" w:cs="Courier New"/>
          <w:sz w:val="24"/>
        </w:rPr>
        <w:t xml:space="preserve"> score</w:t>
      </w:r>
      <w:r w:rsidR="004019A2">
        <w:rPr>
          <w:rFonts w:asciiTheme="minorHAnsi" w:hAnsiTheme="minorHAnsi" w:cs="Courier New"/>
          <w:sz w:val="24"/>
        </w:rPr>
        <w:t xml:space="preserve"> </w:t>
      </w:r>
      <w:r w:rsidR="001C01CF">
        <w:rPr>
          <w:rFonts w:asciiTheme="minorHAnsi" w:hAnsiTheme="minorHAnsi" w:cs="Courier New"/>
          <w:sz w:val="24"/>
        </w:rPr>
        <w:t>[40]</w:t>
      </w:r>
      <w:r w:rsidRPr="0011464F">
        <w:rPr>
          <w:rFonts w:asciiTheme="minorHAnsi" w:hAnsiTheme="minorHAnsi" w:cs="Courier New"/>
          <w:sz w:val="24"/>
        </w:rPr>
        <w:t xml:space="preserve">.  Knowledge of genetics and </w:t>
      </w:r>
      <w:proofErr w:type="spellStart"/>
      <w:r w:rsidR="00086928">
        <w:rPr>
          <w:rFonts w:cs="Courier New"/>
          <w:sz w:val="24"/>
        </w:rPr>
        <w:t>PCa</w:t>
      </w:r>
      <w:proofErr w:type="spellEnd"/>
      <w:r w:rsidR="00086928" w:rsidRPr="005641E9">
        <w:rPr>
          <w:rFonts w:cs="Courier New"/>
          <w:sz w:val="24"/>
        </w:rPr>
        <w:t xml:space="preserve"> </w:t>
      </w:r>
      <w:r w:rsidRPr="0011464F">
        <w:rPr>
          <w:rFonts w:asciiTheme="minorHAnsi" w:hAnsiTheme="minorHAnsi" w:cs="Courier New"/>
          <w:sz w:val="24"/>
        </w:rPr>
        <w:t>and risk perception were also included as independent variables, to examine their impact on psychosocial outcomes.</w:t>
      </w:r>
    </w:p>
    <w:p w14:paraId="67064041" w14:textId="7FB5278A" w:rsidR="00427B1F" w:rsidRPr="0011464F" w:rsidRDefault="00427B1F" w:rsidP="001E225F">
      <w:pPr>
        <w:spacing w:line="360" w:lineRule="auto"/>
        <w:rPr>
          <w:rFonts w:asciiTheme="minorHAnsi" w:hAnsiTheme="minorHAnsi"/>
          <w:sz w:val="24"/>
        </w:rPr>
      </w:pPr>
      <w:r w:rsidRPr="0011464F">
        <w:rPr>
          <w:rFonts w:asciiTheme="minorHAnsi" w:hAnsiTheme="minorHAnsi"/>
          <w:sz w:val="24"/>
        </w:rPr>
        <w:t>The associations were investigated initially with analysis of variance, Student’s t-tests, chi-squared tests and Pearson’s correlations</w:t>
      </w:r>
      <w:r w:rsidR="004019A2">
        <w:rPr>
          <w:rFonts w:asciiTheme="minorHAnsi" w:hAnsiTheme="minorHAnsi"/>
          <w:sz w:val="24"/>
        </w:rPr>
        <w:t>, as appropriate</w:t>
      </w:r>
      <w:r w:rsidRPr="0011464F">
        <w:rPr>
          <w:rFonts w:asciiTheme="minorHAnsi" w:hAnsiTheme="minorHAnsi"/>
          <w:sz w:val="24"/>
        </w:rPr>
        <w:t xml:space="preserve">. For categorical independent variables, strength of association was calculated with Cohen’s </w:t>
      </w:r>
      <w:r w:rsidRPr="0011464F">
        <w:rPr>
          <w:rFonts w:asciiTheme="minorHAnsi" w:hAnsiTheme="minorHAnsi"/>
          <w:i/>
          <w:sz w:val="24"/>
        </w:rPr>
        <w:t>d</w:t>
      </w:r>
      <w:r w:rsidRPr="0011464F">
        <w:rPr>
          <w:rFonts w:asciiTheme="minorHAnsi" w:hAnsiTheme="minorHAnsi"/>
          <w:sz w:val="24"/>
        </w:rPr>
        <w:t xml:space="preserve"> for any significant relationship.  Subsequently, multivariate linear regression analyses were performed employing all independent variables found to be associated significantly at the </w:t>
      </w:r>
      <w:proofErr w:type="spellStart"/>
      <w:r w:rsidRPr="0011464F">
        <w:rPr>
          <w:rFonts w:asciiTheme="minorHAnsi" w:hAnsiTheme="minorHAnsi"/>
          <w:sz w:val="24"/>
        </w:rPr>
        <w:t>univariate</w:t>
      </w:r>
      <w:proofErr w:type="spellEnd"/>
      <w:r w:rsidRPr="0011464F">
        <w:rPr>
          <w:rFonts w:asciiTheme="minorHAnsi" w:hAnsiTheme="minorHAnsi"/>
          <w:sz w:val="24"/>
        </w:rPr>
        <w:t xml:space="preserve"> level with a psychosocial outcome.</w:t>
      </w:r>
    </w:p>
    <w:p w14:paraId="75DBEA7B" w14:textId="77777777" w:rsidR="00427B1F" w:rsidRPr="0011464F" w:rsidRDefault="00427B1F" w:rsidP="001E225F">
      <w:pPr>
        <w:spacing w:after="160" w:line="360" w:lineRule="auto"/>
        <w:rPr>
          <w:rFonts w:asciiTheme="minorHAnsi" w:hAnsiTheme="minorHAnsi" w:cs="Courier New"/>
          <w:b/>
          <w:sz w:val="24"/>
        </w:rPr>
      </w:pPr>
      <w:r w:rsidRPr="0011464F">
        <w:rPr>
          <w:rFonts w:asciiTheme="minorHAnsi" w:hAnsiTheme="minorHAnsi" w:cs="Courier New"/>
          <w:b/>
          <w:sz w:val="24"/>
        </w:rPr>
        <w:br w:type="page"/>
      </w:r>
    </w:p>
    <w:p w14:paraId="10BF6DF8" w14:textId="77777777" w:rsidR="00427B1F" w:rsidRPr="0011464F" w:rsidRDefault="00427B1F" w:rsidP="001E225F">
      <w:pPr>
        <w:pStyle w:val="Heading2"/>
        <w:spacing w:line="360" w:lineRule="auto"/>
        <w:rPr>
          <w:rFonts w:asciiTheme="minorHAnsi" w:hAnsiTheme="minorHAnsi"/>
          <w:sz w:val="24"/>
          <w:szCs w:val="24"/>
        </w:rPr>
      </w:pPr>
      <w:r w:rsidRPr="0011464F">
        <w:rPr>
          <w:rFonts w:asciiTheme="minorHAnsi" w:hAnsiTheme="minorHAnsi"/>
          <w:sz w:val="24"/>
          <w:szCs w:val="24"/>
        </w:rPr>
        <w:lastRenderedPageBreak/>
        <w:t>RESULTS</w:t>
      </w:r>
    </w:p>
    <w:p w14:paraId="1AEA6B2F" w14:textId="77777777" w:rsidR="00427B1F" w:rsidRPr="00CD0DC8" w:rsidRDefault="00427B1F" w:rsidP="001E225F">
      <w:pPr>
        <w:pStyle w:val="Heading3"/>
        <w:spacing w:line="360" w:lineRule="auto"/>
        <w:rPr>
          <w:rFonts w:asciiTheme="minorHAnsi" w:hAnsiTheme="minorHAnsi"/>
          <w:b/>
          <w:sz w:val="24"/>
        </w:rPr>
      </w:pPr>
      <w:r w:rsidRPr="00CD0DC8">
        <w:rPr>
          <w:rFonts w:asciiTheme="minorHAnsi" w:hAnsiTheme="minorHAnsi"/>
          <w:b/>
          <w:sz w:val="24"/>
        </w:rPr>
        <w:t>Sample characteristics and response rate</w:t>
      </w:r>
    </w:p>
    <w:p w14:paraId="2E1EA45F" w14:textId="2566B3D7" w:rsidR="00427B1F" w:rsidRPr="0011464F" w:rsidRDefault="007C5292" w:rsidP="001E225F">
      <w:pPr>
        <w:spacing w:line="360" w:lineRule="auto"/>
        <w:rPr>
          <w:rFonts w:asciiTheme="minorHAnsi" w:hAnsiTheme="minorHAnsi"/>
          <w:sz w:val="24"/>
        </w:rPr>
      </w:pPr>
      <w:r w:rsidRPr="00CD0DC8">
        <w:rPr>
          <w:sz w:val="24"/>
        </w:rPr>
        <w:t xml:space="preserve">Of the </w:t>
      </w:r>
      <w:r w:rsidR="008A0339" w:rsidRPr="00CD0DC8">
        <w:rPr>
          <w:sz w:val="24"/>
        </w:rPr>
        <w:t>65</w:t>
      </w:r>
      <w:r w:rsidRPr="00CD0DC8">
        <w:rPr>
          <w:sz w:val="24"/>
        </w:rPr>
        <w:t xml:space="preserve"> centres participating in the IMPACT study, </w:t>
      </w:r>
      <w:r w:rsidR="00CD0DC8" w:rsidRPr="00CD0DC8">
        <w:rPr>
          <w:sz w:val="24"/>
        </w:rPr>
        <w:t>23</w:t>
      </w:r>
      <w:r w:rsidRPr="00CD0DC8">
        <w:rPr>
          <w:sz w:val="24"/>
        </w:rPr>
        <w:t xml:space="preserve"> agreed to take part in the </w:t>
      </w:r>
      <w:proofErr w:type="spellStart"/>
      <w:r w:rsidRPr="00CD0DC8">
        <w:rPr>
          <w:sz w:val="24"/>
        </w:rPr>
        <w:t>HRQoL</w:t>
      </w:r>
      <w:proofErr w:type="spellEnd"/>
      <w:r w:rsidRPr="00CD0DC8">
        <w:rPr>
          <w:sz w:val="24"/>
        </w:rPr>
        <w:t xml:space="preserve"> sub</w:t>
      </w:r>
      <w:r w:rsidR="00864588">
        <w:rPr>
          <w:sz w:val="24"/>
        </w:rPr>
        <w:t>-</w:t>
      </w:r>
      <w:r w:rsidRPr="00CD0DC8">
        <w:rPr>
          <w:sz w:val="24"/>
        </w:rPr>
        <w:t>study</w:t>
      </w:r>
      <w:r w:rsidR="00CD0DC8" w:rsidRPr="00CD0DC8">
        <w:rPr>
          <w:sz w:val="24"/>
        </w:rPr>
        <w:t>, including all 19 UK centres</w:t>
      </w:r>
      <w:r w:rsidR="00CD0DC8">
        <w:rPr>
          <w:sz w:val="24"/>
        </w:rPr>
        <w:t>, 2 in Spain and 2 in the United States</w:t>
      </w:r>
      <w:r w:rsidRPr="00CD0DC8">
        <w:rPr>
          <w:sz w:val="24"/>
        </w:rPr>
        <w:t>. The main reasons for choosing not to participate as a cent</w:t>
      </w:r>
      <w:r w:rsidR="008A0339" w:rsidRPr="00CD0DC8">
        <w:rPr>
          <w:sz w:val="24"/>
        </w:rPr>
        <w:t>re</w:t>
      </w:r>
      <w:r w:rsidRPr="00CD0DC8">
        <w:rPr>
          <w:sz w:val="24"/>
        </w:rPr>
        <w:t xml:space="preserve"> were </w:t>
      </w:r>
      <w:r w:rsidR="00CD0DC8" w:rsidRPr="00CD0DC8">
        <w:rPr>
          <w:sz w:val="24"/>
        </w:rPr>
        <w:t>financial</w:t>
      </w:r>
      <w:r w:rsidR="00864588">
        <w:rPr>
          <w:sz w:val="24"/>
        </w:rPr>
        <w:t>;</w:t>
      </w:r>
      <w:r w:rsidR="00CD0DC8" w:rsidRPr="00CD0DC8">
        <w:rPr>
          <w:sz w:val="24"/>
        </w:rPr>
        <w:t xml:space="preserve"> there was no specific funding to support this sub</w:t>
      </w:r>
      <w:r w:rsidR="00864588">
        <w:rPr>
          <w:sz w:val="24"/>
        </w:rPr>
        <w:t>-</w:t>
      </w:r>
      <w:r w:rsidR="00CD0DC8" w:rsidRPr="00CD0DC8">
        <w:rPr>
          <w:sz w:val="24"/>
        </w:rPr>
        <w:t xml:space="preserve">study at collaborating sites </w:t>
      </w:r>
      <w:r w:rsidR="00CD0DC8">
        <w:rPr>
          <w:sz w:val="24"/>
        </w:rPr>
        <w:t>outside of</w:t>
      </w:r>
      <w:r w:rsidR="00CD0DC8" w:rsidRPr="00CD0DC8">
        <w:rPr>
          <w:sz w:val="24"/>
        </w:rPr>
        <w:t xml:space="preserve"> the UK.  </w:t>
      </w:r>
      <w:r w:rsidR="00427B1F" w:rsidRPr="00CD0DC8">
        <w:rPr>
          <w:rFonts w:asciiTheme="minorHAnsi" w:hAnsiTheme="minorHAnsi"/>
          <w:sz w:val="24"/>
        </w:rPr>
        <w:t xml:space="preserve">A total of 780 men enrolled in the </w:t>
      </w:r>
      <w:proofErr w:type="spellStart"/>
      <w:r w:rsidR="00427B1F" w:rsidRPr="00CD0DC8">
        <w:rPr>
          <w:rFonts w:asciiTheme="minorHAnsi" w:hAnsiTheme="minorHAnsi"/>
          <w:sz w:val="24"/>
        </w:rPr>
        <w:t>HRQoL</w:t>
      </w:r>
      <w:proofErr w:type="spellEnd"/>
      <w:r w:rsidR="00427B1F" w:rsidRPr="00CD0DC8">
        <w:rPr>
          <w:rFonts w:asciiTheme="minorHAnsi" w:hAnsiTheme="minorHAnsi"/>
          <w:sz w:val="24"/>
        </w:rPr>
        <w:t xml:space="preserve"> study, of </w:t>
      </w:r>
      <w:proofErr w:type="gramStart"/>
      <w:r w:rsidR="00A41635" w:rsidRPr="00CD0DC8">
        <w:rPr>
          <w:rFonts w:asciiTheme="minorHAnsi" w:hAnsiTheme="minorHAnsi"/>
          <w:sz w:val="24"/>
        </w:rPr>
        <w:t>whom</w:t>
      </w:r>
      <w:proofErr w:type="gramEnd"/>
      <w:r w:rsidR="00427B1F" w:rsidRPr="00CD0DC8">
        <w:rPr>
          <w:rFonts w:asciiTheme="minorHAnsi" w:hAnsiTheme="minorHAnsi"/>
          <w:sz w:val="24"/>
        </w:rPr>
        <w:t xml:space="preserve"> </w:t>
      </w:r>
      <w:r w:rsidR="00A41635" w:rsidRPr="00CD0DC8">
        <w:rPr>
          <w:rFonts w:asciiTheme="minorHAnsi" w:hAnsiTheme="minorHAnsi"/>
          <w:sz w:val="24"/>
        </w:rPr>
        <w:t>476</w:t>
      </w:r>
      <w:r w:rsidR="00427B1F" w:rsidRPr="00CD0DC8">
        <w:rPr>
          <w:rFonts w:asciiTheme="minorHAnsi" w:hAnsiTheme="minorHAnsi"/>
          <w:sz w:val="24"/>
        </w:rPr>
        <w:t xml:space="preserve"> enrolled prior to their </w:t>
      </w:r>
      <w:r w:rsidR="001E45A4" w:rsidRPr="00CD0DC8">
        <w:rPr>
          <w:rFonts w:asciiTheme="minorHAnsi" w:hAnsiTheme="minorHAnsi"/>
          <w:sz w:val="24"/>
        </w:rPr>
        <w:t xml:space="preserve">first </w:t>
      </w:r>
      <w:r w:rsidR="00427B1F" w:rsidRPr="00CD0DC8">
        <w:rPr>
          <w:rFonts w:asciiTheme="minorHAnsi" w:hAnsiTheme="minorHAnsi"/>
          <w:sz w:val="24"/>
        </w:rPr>
        <w:t>screening visit (prospective cohort</w:t>
      </w:r>
      <w:r w:rsidR="006871BD">
        <w:rPr>
          <w:rFonts w:asciiTheme="minorHAnsi" w:hAnsiTheme="minorHAnsi"/>
          <w:sz w:val="24"/>
        </w:rPr>
        <w:t>,</w:t>
      </w:r>
      <w:r w:rsidR="00427B1F" w:rsidRPr="00CD0DC8">
        <w:rPr>
          <w:rFonts w:asciiTheme="minorHAnsi" w:hAnsiTheme="minorHAnsi"/>
          <w:sz w:val="24"/>
        </w:rPr>
        <w:t xml:space="preserve"> reported here). </w:t>
      </w:r>
      <w:r w:rsidRPr="00CD0DC8">
        <w:rPr>
          <w:rFonts w:asciiTheme="minorHAnsi" w:hAnsiTheme="minorHAnsi"/>
          <w:sz w:val="24"/>
        </w:rPr>
        <w:t xml:space="preserve"> </w:t>
      </w:r>
      <w:r w:rsidR="00CD0DC8">
        <w:rPr>
          <w:rFonts w:asciiTheme="minorHAnsi" w:hAnsiTheme="minorHAnsi"/>
          <w:sz w:val="24"/>
        </w:rPr>
        <w:t>This corresponds to 26% of the participants in the IMPACT study taking part in this sub</w:t>
      </w:r>
      <w:r w:rsidR="00864588">
        <w:rPr>
          <w:rFonts w:asciiTheme="minorHAnsi" w:hAnsiTheme="minorHAnsi"/>
          <w:sz w:val="24"/>
        </w:rPr>
        <w:t>-</w:t>
      </w:r>
      <w:r w:rsidR="00CD0DC8">
        <w:rPr>
          <w:rFonts w:asciiTheme="minorHAnsi" w:hAnsiTheme="minorHAnsi"/>
          <w:sz w:val="24"/>
        </w:rPr>
        <w:t xml:space="preserve">study. </w:t>
      </w:r>
      <w:r w:rsidR="00427B1F" w:rsidRPr="00CD0DC8">
        <w:rPr>
          <w:rFonts w:asciiTheme="minorHAnsi" w:hAnsiTheme="minorHAnsi"/>
          <w:sz w:val="24"/>
        </w:rPr>
        <w:t>Those who returned their questionnaire &gt;1 month after their initial screening visit or had not returned the study consent form were excluded (n=35), as were 9 men who were untested for their familial mutation, remaining at 50% risk.  Thus the data presented are from 432 men</w:t>
      </w:r>
      <w:r w:rsidR="00427B1F" w:rsidRPr="0011464F">
        <w:rPr>
          <w:rFonts w:asciiTheme="minorHAnsi" w:hAnsiTheme="minorHAnsi"/>
          <w:sz w:val="24"/>
        </w:rPr>
        <w:t>, 351 of whom were recruited in the United Kingdom, 50 from the United States and 31 from Spain.</w:t>
      </w:r>
    </w:p>
    <w:p w14:paraId="2669FDA2" w14:textId="6DD4C80B" w:rsidR="00427B1F" w:rsidRDefault="00427B1F" w:rsidP="001E225F">
      <w:pPr>
        <w:spacing w:line="360" w:lineRule="auto"/>
        <w:rPr>
          <w:rFonts w:asciiTheme="minorHAnsi" w:hAnsiTheme="minorHAnsi"/>
          <w:sz w:val="24"/>
        </w:rPr>
      </w:pPr>
      <w:r w:rsidRPr="0011464F">
        <w:rPr>
          <w:rFonts w:asciiTheme="minorHAnsi" w:hAnsiTheme="minorHAnsi"/>
          <w:sz w:val="24"/>
        </w:rPr>
        <w:t xml:space="preserve">Uptake </w:t>
      </w:r>
      <w:r w:rsidR="00C31CAB">
        <w:rPr>
          <w:rFonts w:asciiTheme="minorHAnsi" w:hAnsiTheme="minorHAnsi"/>
          <w:sz w:val="24"/>
        </w:rPr>
        <w:t>into</w:t>
      </w:r>
      <w:r w:rsidRPr="0011464F">
        <w:rPr>
          <w:rFonts w:asciiTheme="minorHAnsi" w:hAnsiTheme="minorHAnsi"/>
          <w:sz w:val="24"/>
        </w:rPr>
        <w:t xml:space="preserve"> the </w:t>
      </w:r>
      <w:proofErr w:type="spellStart"/>
      <w:r w:rsidRPr="0011464F">
        <w:rPr>
          <w:rFonts w:asciiTheme="minorHAnsi" w:hAnsiTheme="minorHAnsi"/>
          <w:sz w:val="24"/>
        </w:rPr>
        <w:t>HRQoL</w:t>
      </w:r>
      <w:proofErr w:type="spellEnd"/>
      <w:r w:rsidRPr="0011464F">
        <w:rPr>
          <w:rFonts w:asciiTheme="minorHAnsi" w:hAnsiTheme="minorHAnsi"/>
          <w:sz w:val="24"/>
        </w:rPr>
        <w:t xml:space="preserve"> sub</w:t>
      </w:r>
      <w:r w:rsidR="00864588">
        <w:rPr>
          <w:rFonts w:asciiTheme="minorHAnsi" w:hAnsiTheme="minorHAnsi"/>
          <w:sz w:val="24"/>
        </w:rPr>
        <w:t>-</w:t>
      </w:r>
      <w:r w:rsidRPr="0011464F">
        <w:rPr>
          <w:rFonts w:asciiTheme="minorHAnsi" w:hAnsiTheme="minorHAnsi"/>
          <w:sz w:val="24"/>
        </w:rPr>
        <w:t xml:space="preserve">study was 85-100% at participating sites. There was no significant difference in the participants’ sociodemographics (employment </w:t>
      </w:r>
      <w:r w:rsidR="00864588">
        <w:rPr>
          <w:rFonts w:asciiTheme="minorHAnsi" w:hAnsiTheme="minorHAnsi"/>
          <w:sz w:val="24"/>
        </w:rPr>
        <w:t xml:space="preserve">status </w:t>
      </w:r>
      <w:proofErr w:type="gramStart"/>
      <w:r w:rsidR="00864588">
        <w:rPr>
          <w:rFonts w:asciiTheme="minorHAnsi" w:hAnsiTheme="minorHAnsi"/>
          <w:sz w:val="24"/>
        </w:rPr>
        <w:t>or  education</w:t>
      </w:r>
      <w:proofErr w:type="gramEnd"/>
      <w:r w:rsidR="00864588">
        <w:rPr>
          <w:rFonts w:asciiTheme="minorHAnsi" w:hAnsiTheme="minorHAnsi"/>
          <w:sz w:val="24"/>
        </w:rPr>
        <w:t xml:space="preserve"> between the men </w:t>
      </w:r>
      <w:r w:rsidRPr="0011464F">
        <w:rPr>
          <w:rFonts w:asciiTheme="minorHAnsi" w:hAnsiTheme="minorHAnsi"/>
          <w:sz w:val="24"/>
        </w:rPr>
        <w:t xml:space="preserve">in this sub-study </w:t>
      </w:r>
      <w:r w:rsidR="00864588">
        <w:rPr>
          <w:rFonts w:asciiTheme="minorHAnsi" w:hAnsiTheme="minorHAnsi"/>
          <w:sz w:val="24"/>
        </w:rPr>
        <w:t xml:space="preserve">and those in the parent </w:t>
      </w:r>
      <w:r w:rsidRPr="0011464F">
        <w:rPr>
          <w:rFonts w:asciiTheme="minorHAnsi" w:hAnsiTheme="minorHAnsi"/>
          <w:sz w:val="24"/>
        </w:rPr>
        <w:t>IMPACT study.</w:t>
      </w:r>
    </w:p>
    <w:p w14:paraId="4B33F9CE" w14:textId="170B2DFB" w:rsidR="00427B1F" w:rsidRPr="0011464F" w:rsidRDefault="00C31CAB" w:rsidP="001E225F">
      <w:pPr>
        <w:spacing w:line="360" w:lineRule="auto"/>
        <w:rPr>
          <w:rFonts w:asciiTheme="minorHAnsi" w:hAnsiTheme="minorHAnsi"/>
          <w:sz w:val="24"/>
        </w:rPr>
      </w:pPr>
      <w:r w:rsidRPr="0011464F">
        <w:rPr>
          <w:rFonts w:asciiTheme="minorHAnsi" w:hAnsiTheme="minorHAnsi"/>
          <w:sz w:val="24"/>
        </w:rPr>
        <w:t xml:space="preserve">Ninety-eight men (22.7%) carried a mutation in the </w:t>
      </w:r>
      <w:r w:rsidRPr="00A41635">
        <w:rPr>
          <w:rFonts w:asciiTheme="minorHAnsi" w:hAnsiTheme="minorHAnsi"/>
          <w:i/>
          <w:sz w:val="24"/>
        </w:rPr>
        <w:t>BRCA1</w:t>
      </w:r>
      <w:r w:rsidRPr="0011464F">
        <w:rPr>
          <w:rFonts w:asciiTheme="minorHAnsi" w:hAnsiTheme="minorHAnsi"/>
          <w:sz w:val="24"/>
        </w:rPr>
        <w:t xml:space="preserve"> gene, 160 (37.0%) </w:t>
      </w:r>
      <w:r>
        <w:rPr>
          <w:rFonts w:asciiTheme="minorHAnsi" w:hAnsiTheme="minorHAnsi"/>
          <w:sz w:val="24"/>
        </w:rPr>
        <w:t>carried a mutation in the</w:t>
      </w:r>
      <w:r w:rsidRPr="0011464F">
        <w:rPr>
          <w:rFonts w:asciiTheme="minorHAnsi" w:hAnsiTheme="minorHAnsi"/>
          <w:sz w:val="24"/>
        </w:rPr>
        <w:t xml:space="preserve"> </w:t>
      </w:r>
      <w:r w:rsidRPr="00A41635">
        <w:rPr>
          <w:rFonts w:asciiTheme="minorHAnsi" w:hAnsiTheme="minorHAnsi"/>
          <w:i/>
          <w:sz w:val="24"/>
        </w:rPr>
        <w:t>BRCA2</w:t>
      </w:r>
      <w:r w:rsidRPr="0011464F">
        <w:rPr>
          <w:rFonts w:asciiTheme="minorHAnsi" w:hAnsiTheme="minorHAnsi"/>
          <w:sz w:val="24"/>
        </w:rPr>
        <w:t xml:space="preserve"> </w:t>
      </w:r>
      <w:r>
        <w:rPr>
          <w:rFonts w:asciiTheme="minorHAnsi" w:hAnsiTheme="minorHAnsi"/>
          <w:sz w:val="24"/>
        </w:rPr>
        <w:t>gene</w:t>
      </w:r>
      <w:r w:rsidRPr="0011464F">
        <w:rPr>
          <w:rFonts w:asciiTheme="minorHAnsi" w:hAnsiTheme="minorHAnsi"/>
          <w:sz w:val="24"/>
        </w:rPr>
        <w:t xml:space="preserve"> and 174 (40.3%) were controls.</w:t>
      </w:r>
      <w:r w:rsidR="00864588">
        <w:rPr>
          <w:rFonts w:asciiTheme="minorHAnsi" w:hAnsiTheme="minorHAnsi"/>
          <w:sz w:val="24"/>
        </w:rPr>
        <w:t xml:space="preserve"> </w:t>
      </w:r>
      <w:r w:rsidR="00427B1F" w:rsidRPr="0011464F">
        <w:rPr>
          <w:rFonts w:asciiTheme="minorHAnsi" w:hAnsiTheme="minorHAnsi"/>
          <w:sz w:val="24"/>
        </w:rPr>
        <w:t>The median time from undergoing genetic testing to joining the IMPACT study was 7.2 months (range 0 months – 15.4 years); 47.4% of men joined within 6 months of testing</w:t>
      </w:r>
      <w:r w:rsidR="002166CB">
        <w:rPr>
          <w:rFonts w:asciiTheme="minorHAnsi" w:hAnsiTheme="minorHAnsi"/>
          <w:sz w:val="24"/>
        </w:rPr>
        <w:t xml:space="preserve">, </w:t>
      </w:r>
      <w:proofErr w:type="gramStart"/>
      <w:r w:rsidR="002166CB">
        <w:rPr>
          <w:rFonts w:asciiTheme="minorHAnsi" w:hAnsiTheme="minorHAnsi"/>
          <w:sz w:val="24"/>
        </w:rPr>
        <w:t>and</w:t>
      </w:r>
      <w:r w:rsidR="00427B1F" w:rsidRPr="0011464F">
        <w:rPr>
          <w:rFonts w:asciiTheme="minorHAnsi" w:hAnsiTheme="minorHAnsi"/>
          <w:sz w:val="24"/>
        </w:rPr>
        <w:t xml:space="preserve">  39.6</w:t>
      </w:r>
      <w:proofErr w:type="gramEnd"/>
      <w:r w:rsidR="00427B1F" w:rsidRPr="0011464F">
        <w:rPr>
          <w:rFonts w:asciiTheme="minorHAnsi" w:hAnsiTheme="minorHAnsi"/>
          <w:sz w:val="24"/>
        </w:rPr>
        <w:t>% of men had had at least one PSA measurement before they joined the IMPACT study.</w:t>
      </w:r>
    </w:p>
    <w:p w14:paraId="24033864" w14:textId="77777777" w:rsidR="00427B1F" w:rsidRPr="0011464F" w:rsidRDefault="00427B1F" w:rsidP="001E225F">
      <w:pPr>
        <w:spacing w:line="360" w:lineRule="auto"/>
        <w:rPr>
          <w:rFonts w:asciiTheme="minorHAnsi" w:hAnsiTheme="minorHAnsi"/>
          <w:sz w:val="24"/>
        </w:rPr>
      </w:pPr>
      <w:r w:rsidRPr="0011464F">
        <w:rPr>
          <w:rFonts w:asciiTheme="minorHAnsi" w:hAnsiTheme="minorHAnsi"/>
          <w:sz w:val="24"/>
        </w:rPr>
        <w:t xml:space="preserve">The sociodemographics and family cancer history of the cohort are shown in </w:t>
      </w:r>
      <w:r w:rsidRPr="0011464F">
        <w:rPr>
          <w:rFonts w:asciiTheme="minorHAnsi" w:hAnsiTheme="minorHAnsi"/>
          <w:sz w:val="24"/>
        </w:rPr>
        <w:fldChar w:fldCharType="begin"/>
      </w:r>
      <w:r w:rsidRPr="0011464F">
        <w:rPr>
          <w:rFonts w:asciiTheme="minorHAnsi" w:hAnsiTheme="minorHAnsi"/>
          <w:sz w:val="24"/>
        </w:rPr>
        <w:instrText xml:space="preserve"> REF _Ref488305803 \h </w:instrText>
      </w:r>
      <w:r w:rsidR="0011464F" w:rsidRPr="0011464F">
        <w:rPr>
          <w:rFonts w:asciiTheme="minorHAnsi" w:hAnsiTheme="minorHAnsi"/>
          <w:sz w:val="24"/>
        </w:rPr>
        <w:instrText xml:space="preserve"> \* MERGEFORMAT </w:instrText>
      </w:r>
      <w:r w:rsidRPr="0011464F">
        <w:rPr>
          <w:rFonts w:asciiTheme="minorHAnsi" w:hAnsiTheme="minorHAnsi"/>
          <w:sz w:val="24"/>
        </w:rPr>
      </w:r>
      <w:r w:rsidRPr="0011464F">
        <w:rPr>
          <w:rFonts w:asciiTheme="minorHAnsi" w:hAnsiTheme="minorHAnsi"/>
          <w:sz w:val="24"/>
        </w:rPr>
        <w:fldChar w:fldCharType="separate"/>
      </w:r>
      <w:r w:rsidR="007D700A" w:rsidRPr="0011464F">
        <w:rPr>
          <w:rFonts w:asciiTheme="minorHAnsi" w:hAnsiTheme="minorHAnsi"/>
          <w:sz w:val="24"/>
        </w:rPr>
        <w:t xml:space="preserve">Table </w:t>
      </w:r>
      <w:r w:rsidR="007D700A" w:rsidRPr="0011464F">
        <w:rPr>
          <w:rFonts w:asciiTheme="minorHAnsi" w:hAnsiTheme="minorHAnsi"/>
          <w:noProof/>
          <w:sz w:val="24"/>
        </w:rPr>
        <w:t>1</w:t>
      </w:r>
      <w:r w:rsidRPr="0011464F">
        <w:rPr>
          <w:rFonts w:asciiTheme="minorHAnsi" w:hAnsiTheme="minorHAnsi"/>
          <w:sz w:val="24"/>
        </w:rPr>
        <w:fldChar w:fldCharType="end"/>
      </w:r>
      <w:r w:rsidRPr="0011464F">
        <w:rPr>
          <w:rFonts w:asciiTheme="minorHAnsi" w:hAnsiTheme="minorHAnsi"/>
          <w:sz w:val="24"/>
        </w:rPr>
        <w:t>.  The mean age of men when they completed the baseline questionnaire was 53.1 years. The majority were Caucasian (98.9%), in higher managerial or professional occupations (55.3%), and well-educated, with 37.7% having college degrees or postgraduate qualifications.</w:t>
      </w:r>
    </w:p>
    <w:p w14:paraId="7ED4D87D" w14:textId="77777777" w:rsidR="0011464F" w:rsidRDefault="0011464F" w:rsidP="001E225F">
      <w:pPr>
        <w:pStyle w:val="Heading3"/>
        <w:spacing w:line="360" w:lineRule="auto"/>
        <w:rPr>
          <w:b/>
          <w:sz w:val="24"/>
        </w:rPr>
      </w:pPr>
    </w:p>
    <w:p w14:paraId="468223E1" w14:textId="77777777" w:rsidR="00427B1F" w:rsidRPr="0011464F" w:rsidRDefault="00427B1F" w:rsidP="001E225F">
      <w:pPr>
        <w:pStyle w:val="Heading3"/>
        <w:spacing w:line="360" w:lineRule="auto"/>
        <w:rPr>
          <w:b/>
          <w:sz w:val="24"/>
        </w:rPr>
      </w:pPr>
      <w:r w:rsidRPr="0011464F">
        <w:rPr>
          <w:b/>
          <w:sz w:val="24"/>
        </w:rPr>
        <w:t xml:space="preserve">Risk perception and knowledge </w:t>
      </w:r>
    </w:p>
    <w:p w14:paraId="09A73AF2" w14:textId="04C743D3" w:rsidR="00427B1F" w:rsidRPr="0011464F" w:rsidRDefault="00427B1F" w:rsidP="001E225F">
      <w:pPr>
        <w:spacing w:line="360" w:lineRule="auto"/>
        <w:rPr>
          <w:sz w:val="24"/>
        </w:rPr>
      </w:pPr>
      <w:r w:rsidRPr="0011464F">
        <w:rPr>
          <w:sz w:val="24"/>
        </w:rPr>
        <w:t xml:space="preserve">Participants’ perception of their lifetime risk of </w:t>
      </w:r>
      <w:proofErr w:type="spellStart"/>
      <w:r w:rsidRPr="0011464F">
        <w:rPr>
          <w:sz w:val="24"/>
        </w:rPr>
        <w:t>PCa</w:t>
      </w:r>
      <w:proofErr w:type="spellEnd"/>
      <w:r w:rsidRPr="0011464F">
        <w:rPr>
          <w:sz w:val="24"/>
        </w:rPr>
        <w:t xml:space="preserve"> was influenced </w:t>
      </w:r>
      <w:r w:rsidR="00007B73">
        <w:rPr>
          <w:sz w:val="24"/>
        </w:rPr>
        <w:t xml:space="preserve">significantly </w:t>
      </w:r>
      <w:r w:rsidRPr="0011464F">
        <w:rPr>
          <w:sz w:val="24"/>
        </w:rPr>
        <w:t>by their carrier status (p&lt;0.001)</w:t>
      </w:r>
      <w:r w:rsidR="00295F3C">
        <w:rPr>
          <w:sz w:val="24"/>
        </w:rPr>
        <w:t xml:space="preserve"> </w:t>
      </w:r>
      <w:r w:rsidR="0047752A">
        <w:rPr>
          <w:sz w:val="24"/>
        </w:rPr>
        <w:t>(</w:t>
      </w:r>
      <w:r w:rsidR="007D674C">
        <w:rPr>
          <w:sz w:val="24"/>
        </w:rPr>
        <w:t>T</w:t>
      </w:r>
      <w:r w:rsidR="00295F3C" w:rsidRPr="0047752A">
        <w:rPr>
          <w:sz w:val="24"/>
        </w:rPr>
        <w:t>able</w:t>
      </w:r>
      <w:r w:rsidR="000F74A2" w:rsidRPr="0047752A">
        <w:rPr>
          <w:sz w:val="24"/>
        </w:rPr>
        <w:t xml:space="preserve"> </w:t>
      </w:r>
      <w:r w:rsidR="007D674C">
        <w:rPr>
          <w:sz w:val="24"/>
        </w:rPr>
        <w:t>2</w:t>
      </w:r>
      <w:r w:rsidR="0047752A">
        <w:rPr>
          <w:sz w:val="24"/>
        </w:rPr>
        <w:t>)</w:t>
      </w:r>
      <w:r w:rsidRPr="0011464F">
        <w:rPr>
          <w:sz w:val="24"/>
        </w:rPr>
        <w:t xml:space="preserve">.  </w:t>
      </w:r>
      <w:r w:rsidRPr="0011464F">
        <w:rPr>
          <w:i/>
          <w:sz w:val="24"/>
        </w:rPr>
        <w:t>BRCA2</w:t>
      </w:r>
      <w:r w:rsidRPr="0011464F">
        <w:rPr>
          <w:sz w:val="24"/>
        </w:rPr>
        <w:t xml:space="preserve"> carriers were more likely to rate their risk of </w:t>
      </w:r>
      <w:proofErr w:type="spellStart"/>
      <w:r w:rsidR="00086928">
        <w:rPr>
          <w:rFonts w:cs="Courier New"/>
          <w:sz w:val="24"/>
        </w:rPr>
        <w:t>PCa</w:t>
      </w:r>
      <w:proofErr w:type="spellEnd"/>
      <w:r w:rsidR="00086928" w:rsidRPr="005641E9">
        <w:rPr>
          <w:rFonts w:cs="Courier New"/>
          <w:sz w:val="24"/>
        </w:rPr>
        <w:t xml:space="preserve"> </w:t>
      </w:r>
      <w:r w:rsidRPr="0011464F">
        <w:rPr>
          <w:sz w:val="24"/>
        </w:rPr>
        <w:lastRenderedPageBreak/>
        <w:t>as moderately or strongly increased compared to the general population than the control group.</w:t>
      </w:r>
      <w:r w:rsidR="00723544">
        <w:rPr>
          <w:sz w:val="24"/>
        </w:rPr>
        <w:t xml:space="preserve"> </w:t>
      </w:r>
    </w:p>
    <w:p w14:paraId="6F8CFEF9" w14:textId="06DB880C" w:rsidR="00427B1F" w:rsidRDefault="00427B1F" w:rsidP="001E225F">
      <w:pPr>
        <w:spacing w:line="360" w:lineRule="auto"/>
        <w:rPr>
          <w:sz w:val="24"/>
        </w:rPr>
      </w:pPr>
      <w:r w:rsidRPr="0011464F">
        <w:rPr>
          <w:sz w:val="24"/>
        </w:rPr>
        <w:t>Knowledge scores were not impacted by the genetic status of the participant, time since genetic testing or education level.  F</w:t>
      </w:r>
      <w:r w:rsidR="002751A4">
        <w:rPr>
          <w:sz w:val="24"/>
        </w:rPr>
        <w:t>H</w:t>
      </w:r>
      <w:r w:rsidRPr="0011464F">
        <w:rPr>
          <w:sz w:val="24"/>
        </w:rPr>
        <w:t xml:space="preserve"> of </w:t>
      </w:r>
      <w:proofErr w:type="spellStart"/>
      <w:r w:rsidR="00086928">
        <w:rPr>
          <w:rFonts w:cs="Courier New"/>
          <w:sz w:val="24"/>
        </w:rPr>
        <w:t>PCa</w:t>
      </w:r>
      <w:proofErr w:type="spellEnd"/>
      <w:r w:rsidRPr="0011464F">
        <w:rPr>
          <w:sz w:val="24"/>
        </w:rPr>
        <w:t xml:space="preserve">, education level, time since genetic testing and age were not significantly associated with any of the </w:t>
      </w:r>
      <w:r w:rsidR="00650665">
        <w:rPr>
          <w:sz w:val="24"/>
        </w:rPr>
        <w:t>outcome variables</w:t>
      </w:r>
      <w:r w:rsidR="007C5292">
        <w:rPr>
          <w:sz w:val="24"/>
        </w:rPr>
        <w:t>.</w:t>
      </w:r>
    </w:p>
    <w:p w14:paraId="0F1E84FB" w14:textId="77777777" w:rsidR="0011464F" w:rsidRDefault="0011464F" w:rsidP="001E225F">
      <w:pPr>
        <w:pStyle w:val="Heading3"/>
        <w:spacing w:line="360" w:lineRule="auto"/>
        <w:rPr>
          <w:b/>
          <w:sz w:val="24"/>
        </w:rPr>
      </w:pPr>
    </w:p>
    <w:p w14:paraId="20E041AA" w14:textId="77777777" w:rsidR="00427B1F" w:rsidRPr="0011464F" w:rsidRDefault="00427B1F" w:rsidP="001E225F">
      <w:pPr>
        <w:pStyle w:val="Heading3"/>
        <w:spacing w:line="360" w:lineRule="auto"/>
        <w:rPr>
          <w:b/>
          <w:sz w:val="24"/>
        </w:rPr>
      </w:pPr>
      <w:r w:rsidRPr="0011464F">
        <w:rPr>
          <w:b/>
          <w:sz w:val="24"/>
        </w:rPr>
        <w:t>SF-36</w:t>
      </w:r>
    </w:p>
    <w:p w14:paraId="5643DE3D" w14:textId="1E9351F2" w:rsidR="00427B1F" w:rsidRDefault="00427B1F" w:rsidP="001E225F">
      <w:pPr>
        <w:spacing w:line="360" w:lineRule="auto"/>
        <w:rPr>
          <w:sz w:val="24"/>
        </w:rPr>
      </w:pPr>
      <w:r w:rsidRPr="0011464F">
        <w:rPr>
          <w:sz w:val="24"/>
        </w:rPr>
        <w:t xml:space="preserve">Overall physical functioning SF36 scores did not differ </w:t>
      </w:r>
      <w:r w:rsidR="00007B73">
        <w:rPr>
          <w:sz w:val="24"/>
        </w:rPr>
        <w:t xml:space="preserve">significantly from </w:t>
      </w:r>
      <w:r w:rsidRPr="0011464F">
        <w:rPr>
          <w:sz w:val="24"/>
        </w:rPr>
        <w:t xml:space="preserve">the normative sample (IMPACT sample </w:t>
      </w:r>
      <w:r w:rsidR="0077539E">
        <w:rPr>
          <w:sz w:val="24"/>
        </w:rPr>
        <w:t xml:space="preserve">aged </w:t>
      </w:r>
      <w:r w:rsidRPr="0011464F">
        <w:rPr>
          <w:sz w:val="24"/>
        </w:rPr>
        <w:t xml:space="preserve">40-64 mean: 48.1; matched norm sample mean: 47.5, p=0.52).  The overall mental functioning SF36 score was significantly </w:t>
      </w:r>
      <w:r w:rsidR="0047752A" w:rsidRPr="0083364D">
        <w:rPr>
          <w:sz w:val="24"/>
        </w:rPr>
        <w:t>better</w:t>
      </w:r>
      <w:r w:rsidRPr="0083364D">
        <w:rPr>
          <w:sz w:val="24"/>
        </w:rPr>
        <w:t xml:space="preserve"> </w:t>
      </w:r>
      <w:r w:rsidR="00AB3C30" w:rsidRPr="0083364D">
        <w:rPr>
          <w:sz w:val="24"/>
        </w:rPr>
        <w:t xml:space="preserve">in our cohort compared with the normative sample, </w:t>
      </w:r>
      <w:r w:rsidR="00007B73">
        <w:rPr>
          <w:sz w:val="24"/>
        </w:rPr>
        <w:t>but</w:t>
      </w:r>
      <w:r w:rsidRPr="0083364D">
        <w:rPr>
          <w:sz w:val="24"/>
        </w:rPr>
        <w:t xml:space="preserve"> the effect size </w:t>
      </w:r>
      <w:r w:rsidR="0077539E">
        <w:rPr>
          <w:sz w:val="24"/>
        </w:rPr>
        <w:t>was</w:t>
      </w:r>
      <w:r w:rsidRPr="0083364D">
        <w:rPr>
          <w:sz w:val="24"/>
        </w:rPr>
        <w:t xml:space="preserve"> small </w:t>
      </w:r>
      <w:r w:rsidR="0047752A" w:rsidRPr="0083364D">
        <w:rPr>
          <w:sz w:val="24"/>
        </w:rPr>
        <w:t xml:space="preserve">and both </w:t>
      </w:r>
      <w:r w:rsidR="00007B73">
        <w:rPr>
          <w:sz w:val="24"/>
        </w:rPr>
        <w:t xml:space="preserve">mean </w:t>
      </w:r>
      <w:r w:rsidR="0047752A" w:rsidRPr="0083364D">
        <w:rPr>
          <w:sz w:val="24"/>
        </w:rPr>
        <w:t xml:space="preserve">values </w:t>
      </w:r>
      <w:r w:rsidR="0083364D" w:rsidRPr="0083364D">
        <w:rPr>
          <w:sz w:val="24"/>
        </w:rPr>
        <w:t xml:space="preserve">were </w:t>
      </w:r>
      <w:r w:rsidR="0047752A" w:rsidRPr="0083364D">
        <w:rPr>
          <w:sz w:val="24"/>
        </w:rPr>
        <w:t xml:space="preserve">close to the </w:t>
      </w:r>
      <w:r w:rsidR="00690355">
        <w:rPr>
          <w:sz w:val="24"/>
        </w:rPr>
        <w:t xml:space="preserve">standardised </w:t>
      </w:r>
      <w:r w:rsidR="0083364D" w:rsidRPr="0083364D">
        <w:rPr>
          <w:sz w:val="24"/>
        </w:rPr>
        <w:t>mea</w:t>
      </w:r>
      <w:r w:rsidR="0083364D">
        <w:rPr>
          <w:sz w:val="24"/>
        </w:rPr>
        <w:t>n</w:t>
      </w:r>
      <w:r w:rsidR="00690355">
        <w:rPr>
          <w:sz w:val="24"/>
        </w:rPr>
        <w:t xml:space="preserve"> of 50</w:t>
      </w:r>
      <w:r w:rsidR="0047752A">
        <w:rPr>
          <w:sz w:val="24"/>
        </w:rPr>
        <w:t xml:space="preserve"> </w:t>
      </w:r>
      <w:r w:rsidRPr="0011464F">
        <w:rPr>
          <w:sz w:val="24"/>
        </w:rPr>
        <w:t xml:space="preserve">(IMPACT sample 40-64 mean: 52.0; matched norm sample mean: 49.8, p=0.008, Cohen’s </w:t>
      </w:r>
      <w:r w:rsidRPr="0011464F">
        <w:rPr>
          <w:i/>
          <w:sz w:val="24"/>
        </w:rPr>
        <w:t>d</w:t>
      </w:r>
      <w:r w:rsidRPr="0011464F">
        <w:rPr>
          <w:sz w:val="24"/>
        </w:rPr>
        <w:t xml:space="preserve">=0.21).  Means also did not differ </w:t>
      </w:r>
      <w:r w:rsidR="00EA31FA">
        <w:rPr>
          <w:sz w:val="24"/>
        </w:rPr>
        <w:t xml:space="preserve">significantly </w:t>
      </w:r>
      <w:r w:rsidRPr="0011464F">
        <w:rPr>
          <w:sz w:val="24"/>
        </w:rPr>
        <w:t>across genetic group</w:t>
      </w:r>
      <w:r w:rsidR="00EA31FA">
        <w:rPr>
          <w:sz w:val="24"/>
        </w:rPr>
        <w:t>s</w:t>
      </w:r>
      <w:r w:rsidRPr="0011464F">
        <w:rPr>
          <w:sz w:val="24"/>
        </w:rPr>
        <w:t>.</w:t>
      </w:r>
    </w:p>
    <w:p w14:paraId="7F5CE5D6" w14:textId="77777777" w:rsidR="00C147BE" w:rsidRPr="0011464F" w:rsidRDefault="00C147BE" w:rsidP="001E225F">
      <w:pPr>
        <w:spacing w:line="360" w:lineRule="auto"/>
        <w:rPr>
          <w:sz w:val="24"/>
        </w:rPr>
      </w:pPr>
    </w:p>
    <w:p w14:paraId="37F5B91F" w14:textId="77777777" w:rsidR="00427B1F" w:rsidRPr="0011464F" w:rsidRDefault="00427B1F" w:rsidP="001E225F">
      <w:pPr>
        <w:pStyle w:val="Heading3"/>
        <w:spacing w:line="360" w:lineRule="auto"/>
        <w:rPr>
          <w:b/>
        </w:rPr>
      </w:pPr>
      <w:r w:rsidRPr="0011464F">
        <w:rPr>
          <w:b/>
        </w:rPr>
        <w:t>HADS</w:t>
      </w:r>
    </w:p>
    <w:p w14:paraId="68CB9AEC" w14:textId="5DDBD46F" w:rsidR="00427B1F" w:rsidRPr="0011464F" w:rsidRDefault="00427B1F" w:rsidP="001E225F">
      <w:pPr>
        <w:spacing w:line="360" w:lineRule="auto"/>
        <w:rPr>
          <w:rFonts w:asciiTheme="minorHAnsi" w:hAnsiTheme="minorHAnsi"/>
          <w:sz w:val="24"/>
        </w:rPr>
      </w:pPr>
      <w:r w:rsidRPr="0011464F">
        <w:rPr>
          <w:rFonts w:asciiTheme="minorHAnsi" w:hAnsiTheme="minorHAnsi"/>
          <w:sz w:val="24"/>
        </w:rPr>
        <w:t>The overall mean anxiety and depression scores f</w:t>
      </w:r>
      <w:r w:rsidR="00007B73">
        <w:rPr>
          <w:rFonts w:asciiTheme="minorHAnsi" w:hAnsiTheme="minorHAnsi"/>
          <w:sz w:val="24"/>
        </w:rPr>
        <w:t>or</w:t>
      </w:r>
      <w:r w:rsidRPr="0011464F">
        <w:rPr>
          <w:rFonts w:asciiTheme="minorHAnsi" w:hAnsiTheme="minorHAnsi"/>
          <w:sz w:val="24"/>
        </w:rPr>
        <w:t xml:space="preserve"> the HADS scale were 4.9 and 2.8</w:t>
      </w:r>
      <w:r w:rsidR="00007B73">
        <w:rPr>
          <w:rFonts w:asciiTheme="minorHAnsi" w:hAnsiTheme="minorHAnsi"/>
          <w:sz w:val="24"/>
        </w:rPr>
        <w:t>,</w:t>
      </w:r>
      <w:r w:rsidRPr="0011464F">
        <w:rPr>
          <w:rFonts w:asciiTheme="minorHAnsi" w:hAnsiTheme="minorHAnsi"/>
          <w:sz w:val="24"/>
        </w:rPr>
        <w:t xml:space="preserve"> respectively</w:t>
      </w:r>
      <w:r w:rsidR="00EA31FA">
        <w:rPr>
          <w:rFonts w:asciiTheme="minorHAnsi" w:hAnsiTheme="minorHAnsi"/>
          <w:sz w:val="24"/>
        </w:rPr>
        <w:t>,</w:t>
      </w:r>
      <w:r w:rsidRPr="0011464F">
        <w:rPr>
          <w:rFonts w:asciiTheme="minorHAnsi" w:hAnsiTheme="minorHAnsi"/>
          <w:sz w:val="24"/>
        </w:rPr>
        <w:t xml:space="preserve"> which w</w:t>
      </w:r>
      <w:r w:rsidR="00007B73">
        <w:rPr>
          <w:rFonts w:asciiTheme="minorHAnsi" w:hAnsiTheme="minorHAnsi"/>
          <w:sz w:val="24"/>
        </w:rPr>
        <w:t>ere</w:t>
      </w:r>
      <w:r w:rsidRPr="0011464F">
        <w:rPr>
          <w:rFonts w:asciiTheme="minorHAnsi" w:hAnsiTheme="minorHAnsi"/>
          <w:sz w:val="24"/>
        </w:rPr>
        <w:t xml:space="preserve"> not higher than previously reported general population norms </w:t>
      </w:r>
      <w:r w:rsidR="00954674">
        <w:rPr>
          <w:rFonts w:asciiTheme="minorHAnsi" w:hAnsiTheme="minorHAnsi"/>
          <w:sz w:val="24"/>
        </w:rPr>
        <w:t>[</w:t>
      </w:r>
      <w:r w:rsidR="001C01CF">
        <w:rPr>
          <w:rFonts w:asciiTheme="minorHAnsi" w:hAnsiTheme="minorHAnsi"/>
          <w:sz w:val="24"/>
        </w:rPr>
        <w:t>41</w:t>
      </w:r>
      <w:r w:rsidR="00954674">
        <w:rPr>
          <w:rFonts w:asciiTheme="minorHAnsi" w:hAnsiTheme="minorHAnsi"/>
          <w:sz w:val="24"/>
        </w:rPr>
        <w:t>]</w:t>
      </w:r>
      <w:r w:rsidRPr="0011464F">
        <w:rPr>
          <w:rFonts w:asciiTheme="minorHAnsi" w:hAnsiTheme="minorHAnsi"/>
          <w:sz w:val="24"/>
        </w:rPr>
        <w:t>.  The means across different genetic risk groups also did not differ significantly (</w:t>
      </w:r>
      <w:r w:rsidR="00C844C9">
        <w:rPr>
          <w:rFonts w:asciiTheme="minorHAnsi" w:hAnsiTheme="minorHAnsi"/>
          <w:sz w:val="24"/>
        </w:rPr>
        <w:t xml:space="preserve">Table 2; </w:t>
      </w:r>
      <w:r w:rsidRPr="0011464F">
        <w:rPr>
          <w:rFonts w:asciiTheme="minorHAnsi" w:hAnsiTheme="minorHAnsi"/>
          <w:sz w:val="24"/>
        </w:rPr>
        <w:t xml:space="preserve">anxiety: p=0.99; depression: p=0.75). </w:t>
      </w:r>
    </w:p>
    <w:p w14:paraId="66034692" w14:textId="2D7AEF00" w:rsidR="00254E4A" w:rsidRDefault="00156F9F" w:rsidP="001E225F">
      <w:pPr>
        <w:spacing w:line="360" w:lineRule="auto"/>
        <w:rPr>
          <w:rFonts w:asciiTheme="minorHAnsi" w:hAnsiTheme="minorHAnsi"/>
          <w:sz w:val="24"/>
        </w:rPr>
      </w:pPr>
      <w:r>
        <w:rPr>
          <w:rFonts w:asciiTheme="minorHAnsi" w:hAnsiTheme="minorHAnsi"/>
          <w:sz w:val="24"/>
        </w:rPr>
        <w:t xml:space="preserve">None of the independent variables showed a significant association with either the anxiety or depression scores.  </w:t>
      </w:r>
      <w:r w:rsidR="00427B1F" w:rsidRPr="0011464F">
        <w:rPr>
          <w:rFonts w:asciiTheme="minorHAnsi" w:hAnsiTheme="minorHAnsi"/>
          <w:sz w:val="24"/>
        </w:rPr>
        <w:t xml:space="preserve">Those with higher risk perception </w:t>
      </w:r>
      <w:r>
        <w:rPr>
          <w:rFonts w:asciiTheme="minorHAnsi" w:hAnsiTheme="minorHAnsi"/>
          <w:sz w:val="24"/>
        </w:rPr>
        <w:t xml:space="preserve">had slightly higher </w:t>
      </w:r>
      <w:r w:rsidR="00427B1F" w:rsidRPr="0011464F">
        <w:rPr>
          <w:rFonts w:asciiTheme="minorHAnsi" w:hAnsiTheme="minorHAnsi"/>
          <w:sz w:val="24"/>
        </w:rPr>
        <w:t>score</w:t>
      </w:r>
      <w:r>
        <w:rPr>
          <w:rFonts w:asciiTheme="minorHAnsi" w:hAnsiTheme="minorHAnsi"/>
          <w:sz w:val="24"/>
        </w:rPr>
        <w:t>s</w:t>
      </w:r>
      <w:r w:rsidR="00427B1F" w:rsidRPr="0011464F">
        <w:rPr>
          <w:rFonts w:asciiTheme="minorHAnsi" w:hAnsiTheme="minorHAnsi"/>
          <w:sz w:val="24"/>
        </w:rPr>
        <w:t xml:space="preserve"> on the </w:t>
      </w:r>
      <w:proofErr w:type="gramStart"/>
      <w:r w:rsidR="00427B1F" w:rsidRPr="0011464F">
        <w:rPr>
          <w:rFonts w:asciiTheme="minorHAnsi" w:hAnsiTheme="minorHAnsi"/>
          <w:sz w:val="24"/>
        </w:rPr>
        <w:t>anxiety  and</w:t>
      </w:r>
      <w:proofErr w:type="gramEnd"/>
      <w:r w:rsidR="00427B1F" w:rsidRPr="0011464F">
        <w:rPr>
          <w:rFonts w:asciiTheme="minorHAnsi" w:hAnsiTheme="minorHAnsi"/>
          <w:sz w:val="24"/>
        </w:rPr>
        <w:t xml:space="preserve"> depression sc</w:t>
      </w:r>
      <w:r w:rsidR="00EA31FA">
        <w:rPr>
          <w:rFonts w:asciiTheme="minorHAnsi" w:hAnsiTheme="minorHAnsi"/>
          <w:sz w:val="24"/>
        </w:rPr>
        <w:t>ales</w:t>
      </w:r>
      <w:r w:rsidR="00427B1F" w:rsidRPr="0011464F">
        <w:rPr>
          <w:rFonts w:asciiTheme="minorHAnsi" w:hAnsiTheme="minorHAnsi"/>
          <w:sz w:val="24"/>
        </w:rPr>
        <w:t xml:space="preserve"> (</w:t>
      </w:r>
      <w:r>
        <w:rPr>
          <w:rFonts w:asciiTheme="minorHAnsi" w:hAnsiTheme="minorHAnsi"/>
          <w:sz w:val="24"/>
        </w:rPr>
        <w:t xml:space="preserve">Table 3, p=0.02 and </w:t>
      </w:r>
      <w:r w:rsidR="00427B1F" w:rsidRPr="0011464F">
        <w:rPr>
          <w:rFonts w:asciiTheme="minorHAnsi" w:hAnsiTheme="minorHAnsi"/>
          <w:sz w:val="24"/>
        </w:rPr>
        <w:t>p=0.03</w:t>
      </w:r>
      <w:r>
        <w:rPr>
          <w:rFonts w:asciiTheme="minorHAnsi" w:hAnsiTheme="minorHAnsi"/>
          <w:sz w:val="24"/>
        </w:rPr>
        <w:t xml:space="preserve"> respectively</w:t>
      </w:r>
      <w:r w:rsidR="00427B1F" w:rsidRPr="0011464F">
        <w:rPr>
          <w:rFonts w:asciiTheme="minorHAnsi" w:hAnsiTheme="minorHAnsi"/>
          <w:sz w:val="24"/>
        </w:rPr>
        <w:t>)</w:t>
      </w:r>
      <w:r>
        <w:rPr>
          <w:rFonts w:asciiTheme="minorHAnsi" w:hAnsiTheme="minorHAnsi"/>
          <w:sz w:val="24"/>
        </w:rPr>
        <w:t>, though not significantly so</w:t>
      </w:r>
      <w:r w:rsidR="00427B1F" w:rsidRPr="0011464F">
        <w:rPr>
          <w:rFonts w:asciiTheme="minorHAnsi" w:hAnsiTheme="minorHAnsi"/>
          <w:sz w:val="24"/>
        </w:rPr>
        <w:t xml:space="preserve">. </w:t>
      </w:r>
    </w:p>
    <w:p w14:paraId="29EA4319" w14:textId="77777777" w:rsidR="00C147BE" w:rsidRPr="0011464F" w:rsidRDefault="00C147BE" w:rsidP="001E225F">
      <w:pPr>
        <w:spacing w:line="360" w:lineRule="auto"/>
        <w:rPr>
          <w:rFonts w:asciiTheme="minorHAnsi" w:hAnsiTheme="minorHAnsi"/>
          <w:sz w:val="24"/>
        </w:rPr>
      </w:pPr>
    </w:p>
    <w:p w14:paraId="5E6B3F4D" w14:textId="77777777" w:rsidR="00427B1F" w:rsidRPr="0011464F" w:rsidRDefault="00427B1F" w:rsidP="001E225F">
      <w:pPr>
        <w:pStyle w:val="Heading3"/>
        <w:spacing w:line="360" w:lineRule="auto"/>
        <w:rPr>
          <w:rFonts w:asciiTheme="minorHAnsi" w:hAnsiTheme="minorHAnsi"/>
          <w:b/>
          <w:sz w:val="24"/>
        </w:rPr>
      </w:pPr>
      <w:r w:rsidRPr="0011464F">
        <w:rPr>
          <w:rFonts w:asciiTheme="minorHAnsi" w:hAnsiTheme="minorHAnsi"/>
          <w:b/>
          <w:sz w:val="24"/>
        </w:rPr>
        <w:t>IES, CWS, MAX-PC</w:t>
      </w:r>
    </w:p>
    <w:p w14:paraId="536843BD" w14:textId="079D5080" w:rsidR="00427B1F" w:rsidRPr="0011464F" w:rsidRDefault="00225915" w:rsidP="001E225F">
      <w:pPr>
        <w:spacing w:line="360" w:lineRule="auto"/>
        <w:rPr>
          <w:rFonts w:asciiTheme="minorHAnsi" w:hAnsiTheme="minorHAnsi"/>
          <w:sz w:val="24"/>
        </w:rPr>
      </w:pPr>
      <w:r>
        <w:rPr>
          <w:rFonts w:asciiTheme="minorHAnsi" w:hAnsiTheme="minorHAnsi"/>
          <w:sz w:val="24"/>
        </w:rPr>
        <w:t>At</w:t>
      </w:r>
      <w:r w:rsidR="00427B1F" w:rsidRPr="0011464F">
        <w:rPr>
          <w:rFonts w:asciiTheme="minorHAnsi" w:hAnsiTheme="minorHAnsi"/>
          <w:sz w:val="24"/>
        </w:rPr>
        <w:t xml:space="preserve"> the </w:t>
      </w:r>
      <w:proofErr w:type="spellStart"/>
      <w:r w:rsidR="00427B1F" w:rsidRPr="0011464F">
        <w:rPr>
          <w:rFonts w:asciiTheme="minorHAnsi" w:hAnsiTheme="minorHAnsi"/>
          <w:sz w:val="24"/>
        </w:rPr>
        <w:t>univariate</w:t>
      </w:r>
      <w:proofErr w:type="spellEnd"/>
      <w:r w:rsidR="00427B1F" w:rsidRPr="0011464F">
        <w:rPr>
          <w:rFonts w:asciiTheme="minorHAnsi" w:hAnsiTheme="minorHAnsi"/>
          <w:sz w:val="24"/>
        </w:rPr>
        <w:t xml:space="preserve"> level, the mean intrusion and avoidance scores on the IES scale were significantly higher in both </w:t>
      </w:r>
      <w:r w:rsidR="00427B1F" w:rsidRPr="0011464F">
        <w:rPr>
          <w:rFonts w:asciiTheme="minorHAnsi" w:hAnsiTheme="minorHAnsi"/>
          <w:i/>
          <w:sz w:val="24"/>
        </w:rPr>
        <w:t>BRCA1</w:t>
      </w:r>
      <w:r w:rsidR="00427B1F" w:rsidRPr="0011464F">
        <w:rPr>
          <w:rFonts w:asciiTheme="minorHAnsi" w:hAnsiTheme="minorHAnsi"/>
          <w:sz w:val="24"/>
        </w:rPr>
        <w:t xml:space="preserve"> and </w:t>
      </w:r>
      <w:r w:rsidR="00427B1F" w:rsidRPr="0011464F">
        <w:rPr>
          <w:rFonts w:asciiTheme="minorHAnsi" w:hAnsiTheme="minorHAnsi"/>
          <w:i/>
          <w:sz w:val="24"/>
        </w:rPr>
        <w:t>BRCA2</w:t>
      </w:r>
      <w:r w:rsidR="00427B1F" w:rsidRPr="0011464F">
        <w:rPr>
          <w:rFonts w:asciiTheme="minorHAnsi" w:hAnsiTheme="minorHAnsi"/>
          <w:sz w:val="24"/>
        </w:rPr>
        <w:t xml:space="preserve"> carriers compared with controls (Table 2, intrusion: p=0.001; avoidance: p&lt;0.0001) and higher in those who perceived their </w:t>
      </w:r>
      <w:proofErr w:type="spellStart"/>
      <w:r w:rsidR="00086928">
        <w:rPr>
          <w:rFonts w:cs="Courier New"/>
          <w:sz w:val="24"/>
        </w:rPr>
        <w:t>PCa</w:t>
      </w:r>
      <w:proofErr w:type="spellEnd"/>
      <w:r w:rsidR="00086928" w:rsidRPr="005641E9">
        <w:rPr>
          <w:rFonts w:cs="Courier New"/>
          <w:sz w:val="24"/>
        </w:rPr>
        <w:t xml:space="preserve"> </w:t>
      </w:r>
      <w:r w:rsidR="00427B1F" w:rsidRPr="0011464F">
        <w:rPr>
          <w:rFonts w:asciiTheme="minorHAnsi" w:hAnsiTheme="minorHAnsi"/>
          <w:sz w:val="24"/>
        </w:rPr>
        <w:t xml:space="preserve">risk </w:t>
      </w:r>
      <w:r w:rsidR="00427B1F" w:rsidRPr="0011464F">
        <w:rPr>
          <w:rFonts w:asciiTheme="minorHAnsi" w:hAnsiTheme="minorHAnsi"/>
          <w:sz w:val="24"/>
        </w:rPr>
        <w:lastRenderedPageBreak/>
        <w:t>as moderately or strongly increased (Table 3, intrusion: p&lt;0.001; avoidance: p=0.001).  However</w:t>
      </w:r>
      <w:r w:rsidR="006B55B1">
        <w:rPr>
          <w:rFonts w:asciiTheme="minorHAnsi" w:hAnsiTheme="minorHAnsi"/>
          <w:sz w:val="24"/>
        </w:rPr>
        <w:t>,</w:t>
      </w:r>
      <w:r w:rsidR="00427B1F" w:rsidRPr="0011464F">
        <w:rPr>
          <w:rFonts w:asciiTheme="minorHAnsi" w:hAnsiTheme="minorHAnsi"/>
          <w:sz w:val="24"/>
        </w:rPr>
        <w:t xml:space="preserve"> </w:t>
      </w:r>
      <w:r w:rsidR="00007B73">
        <w:rPr>
          <w:rFonts w:asciiTheme="minorHAnsi" w:hAnsiTheme="minorHAnsi"/>
          <w:sz w:val="24"/>
        </w:rPr>
        <w:t>at the</w:t>
      </w:r>
      <w:r w:rsidR="00427B1F" w:rsidRPr="0011464F">
        <w:rPr>
          <w:rFonts w:asciiTheme="minorHAnsi" w:hAnsiTheme="minorHAnsi"/>
          <w:sz w:val="24"/>
        </w:rPr>
        <w:t xml:space="preserve"> multivariate level, risk perception contributed more significantly to the variation in IES scores than genetic status</w:t>
      </w:r>
      <w:r w:rsidR="002218C8">
        <w:rPr>
          <w:rFonts w:asciiTheme="minorHAnsi" w:hAnsiTheme="minorHAnsi"/>
          <w:sz w:val="24"/>
        </w:rPr>
        <w:t xml:space="preserve"> (Table </w:t>
      </w:r>
      <w:r w:rsidR="00901E79">
        <w:rPr>
          <w:rFonts w:asciiTheme="minorHAnsi" w:hAnsiTheme="minorHAnsi"/>
          <w:sz w:val="24"/>
        </w:rPr>
        <w:t>4</w:t>
      </w:r>
      <w:r w:rsidR="002218C8">
        <w:rPr>
          <w:rFonts w:asciiTheme="minorHAnsi" w:hAnsiTheme="minorHAnsi"/>
          <w:sz w:val="24"/>
        </w:rPr>
        <w:t>)</w:t>
      </w:r>
      <w:r w:rsidR="00427B1F" w:rsidRPr="0011464F">
        <w:rPr>
          <w:rFonts w:asciiTheme="minorHAnsi" w:hAnsiTheme="minorHAnsi"/>
          <w:sz w:val="24"/>
        </w:rPr>
        <w:t>.</w:t>
      </w:r>
    </w:p>
    <w:p w14:paraId="61FB9089" w14:textId="43197CA3" w:rsidR="00427B1F" w:rsidRPr="0011464F" w:rsidRDefault="00427B1F" w:rsidP="001E225F">
      <w:pPr>
        <w:spacing w:line="360" w:lineRule="auto"/>
        <w:rPr>
          <w:rFonts w:asciiTheme="minorHAnsi" w:hAnsiTheme="minorHAnsi"/>
          <w:sz w:val="24"/>
        </w:rPr>
      </w:pPr>
      <w:r w:rsidRPr="0011464F">
        <w:rPr>
          <w:rFonts w:asciiTheme="minorHAnsi" w:hAnsiTheme="minorHAnsi"/>
          <w:sz w:val="24"/>
        </w:rPr>
        <w:t xml:space="preserve">A similar pattern was seen for the cancer worry score. Scores were generally low and </w:t>
      </w:r>
      <w:proofErr w:type="spellStart"/>
      <w:r w:rsidRPr="0011464F">
        <w:rPr>
          <w:rFonts w:asciiTheme="minorHAnsi" w:hAnsiTheme="minorHAnsi"/>
          <w:sz w:val="24"/>
        </w:rPr>
        <w:t>univariately</w:t>
      </w:r>
      <w:proofErr w:type="spellEnd"/>
      <w:r w:rsidRPr="0011464F">
        <w:rPr>
          <w:rFonts w:asciiTheme="minorHAnsi" w:hAnsiTheme="minorHAnsi"/>
          <w:sz w:val="24"/>
        </w:rPr>
        <w:t xml:space="preserve"> associated with genetic status (Table 2, CWS: p=0.004) and risk perception (Table 3, CWS: p&lt;0.001). Again, risk perception was more </w:t>
      </w:r>
      <w:r w:rsidR="00007B73">
        <w:rPr>
          <w:rFonts w:asciiTheme="minorHAnsi" w:hAnsiTheme="minorHAnsi"/>
          <w:sz w:val="24"/>
        </w:rPr>
        <w:t>highly</w:t>
      </w:r>
      <w:r w:rsidRPr="0011464F">
        <w:rPr>
          <w:rFonts w:asciiTheme="minorHAnsi" w:hAnsiTheme="minorHAnsi"/>
          <w:sz w:val="24"/>
        </w:rPr>
        <w:t xml:space="preserve"> associated with higher cancer worry than genetic status in the multivariate model</w:t>
      </w:r>
      <w:r w:rsidR="002218C8">
        <w:rPr>
          <w:rFonts w:asciiTheme="minorHAnsi" w:hAnsiTheme="minorHAnsi"/>
          <w:sz w:val="24"/>
        </w:rPr>
        <w:t xml:space="preserve"> (Table </w:t>
      </w:r>
      <w:r w:rsidR="007D674C">
        <w:rPr>
          <w:rFonts w:asciiTheme="minorHAnsi" w:hAnsiTheme="minorHAnsi"/>
          <w:sz w:val="24"/>
        </w:rPr>
        <w:t>4</w:t>
      </w:r>
      <w:r w:rsidR="002218C8">
        <w:rPr>
          <w:rFonts w:asciiTheme="minorHAnsi" w:hAnsiTheme="minorHAnsi"/>
          <w:sz w:val="24"/>
        </w:rPr>
        <w:t>)</w:t>
      </w:r>
      <w:r w:rsidRPr="0011464F">
        <w:rPr>
          <w:rFonts w:asciiTheme="minorHAnsi" w:hAnsiTheme="minorHAnsi"/>
          <w:sz w:val="24"/>
        </w:rPr>
        <w:t>.</w:t>
      </w:r>
    </w:p>
    <w:p w14:paraId="0AE4C0AC" w14:textId="43CF5D2B" w:rsidR="00427B1F" w:rsidRPr="0011464F" w:rsidRDefault="00086928" w:rsidP="001E225F">
      <w:pPr>
        <w:spacing w:line="360" w:lineRule="auto"/>
        <w:jc w:val="both"/>
        <w:rPr>
          <w:rFonts w:asciiTheme="minorHAnsi" w:hAnsiTheme="minorHAnsi" w:cs="Courier New"/>
          <w:sz w:val="24"/>
        </w:rPr>
      </w:pPr>
      <w:proofErr w:type="spellStart"/>
      <w:r>
        <w:rPr>
          <w:rFonts w:cs="Courier New"/>
          <w:sz w:val="24"/>
        </w:rPr>
        <w:t>PCa</w:t>
      </w:r>
      <w:proofErr w:type="spellEnd"/>
      <w:r w:rsidRPr="005641E9">
        <w:rPr>
          <w:rFonts w:cs="Courier New"/>
          <w:sz w:val="24"/>
        </w:rPr>
        <w:t xml:space="preserve"> </w:t>
      </w:r>
      <w:r w:rsidR="00427B1F" w:rsidRPr="0011464F">
        <w:rPr>
          <w:rFonts w:asciiTheme="minorHAnsi" w:hAnsiTheme="minorHAnsi" w:cs="Courier New"/>
          <w:sz w:val="24"/>
        </w:rPr>
        <w:t xml:space="preserve">anxiety scores (MAX-PC) were only associated with risk perception </w:t>
      </w:r>
      <w:proofErr w:type="gramStart"/>
      <w:r w:rsidR="00427B1F" w:rsidRPr="0011464F">
        <w:rPr>
          <w:rFonts w:asciiTheme="minorHAnsi" w:hAnsiTheme="minorHAnsi" w:cs="Courier New"/>
          <w:sz w:val="24"/>
        </w:rPr>
        <w:t>( p</w:t>
      </w:r>
      <w:proofErr w:type="gramEnd"/>
      <w:r w:rsidR="00427B1F" w:rsidRPr="0011464F">
        <w:rPr>
          <w:rFonts w:asciiTheme="minorHAnsi" w:hAnsiTheme="minorHAnsi" w:cs="Courier New"/>
          <w:sz w:val="24"/>
        </w:rPr>
        <w:t xml:space="preserve"> &lt;0.001) and so a multivariate analysis was not undertaken.</w:t>
      </w:r>
    </w:p>
    <w:p w14:paraId="04C0455A" w14:textId="77777777" w:rsidR="0037421C" w:rsidRDefault="0037421C" w:rsidP="001E225F">
      <w:pPr>
        <w:pStyle w:val="Caption"/>
        <w:keepNext/>
        <w:spacing w:before="200" w:after="0" w:line="360" w:lineRule="auto"/>
        <w:rPr>
          <w:sz w:val="24"/>
          <w:szCs w:val="24"/>
        </w:rPr>
      </w:pPr>
    </w:p>
    <w:p w14:paraId="646FC647" w14:textId="77777777" w:rsidR="00427B1F" w:rsidRDefault="00427B1F" w:rsidP="001E225F">
      <w:pPr>
        <w:spacing w:after="160" w:line="360" w:lineRule="auto"/>
        <w:rPr>
          <w:rFonts w:cs="Courier New"/>
          <w:b/>
        </w:rPr>
      </w:pPr>
    </w:p>
    <w:p w14:paraId="2F1673CD" w14:textId="77777777" w:rsidR="00182A02" w:rsidRDefault="00182A02" w:rsidP="001E225F">
      <w:pPr>
        <w:spacing w:after="0" w:line="360" w:lineRule="auto"/>
        <w:rPr>
          <w:rFonts w:cs="Courier New"/>
          <w:b/>
          <w:sz w:val="24"/>
        </w:rPr>
      </w:pPr>
      <w:r>
        <w:rPr>
          <w:rFonts w:cs="Courier New"/>
          <w:b/>
          <w:sz w:val="24"/>
        </w:rPr>
        <w:br w:type="page"/>
      </w:r>
    </w:p>
    <w:p w14:paraId="0B65496E" w14:textId="77777777" w:rsidR="00427B1F" w:rsidRPr="005641E9" w:rsidRDefault="0011464F" w:rsidP="001E225F">
      <w:pPr>
        <w:spacing w:after="160" w:line="360" w:lineRule="auto"/>
        <w:rPr>
          <w:rFonts w:cs="Courier New"/>
          <w:b/>
          <w:sz w:val="24"/>
        </w:rPr>
      </w:pPr>
      <w:r w:rsidRPr="005641E9">
        <w:rPr>
          <w:rFonts w:cs="Courier New"/>
          <w:b/>
          <w:sz w:val="24"/>
        </w:rPr>
        <w:lastRenderedPageBreak/>
        <w:t>DISCUSSION</w:t>
      </w:r>
    </w:p>
    <w:p w14:paraId="7BB80BDD" w14:textId="4137CE6B" w:rsidR="007C537F" w:rsidRPr="0037664A" w:rsidRDefault="002218C8" w:rsidP="001E225F">
      <w:pPr>
        <w:spacing w:after="160" w:line="360" w:lineRule="auto"/>
        <w:rPr>
          <w:rFonts w:cs="Courier New"/>
          <w:sz w:val="24"/>
        </w:rPr>
      </w:pPr>
      <w:r w:rsidRPr="00C42D9B">
        <w:rPr>
          <w:sz w:val="24"/>
        </w:rPr>
        <w:t xml:space="preserve">This study </w:t>
      </w:r>
      <w:r w:rsidR="00007B73">
        <w:rPr>
          <w:sz w:val="24"/>
        </w:rPr>
        <w:t xml:space="preserve">investigated </w:t>
      </w:r>
      <w:r w:rsidRPr="00C42D9B">
        <w:rPr>
          <w:sz w:val="24"/>
        </w:rPr>
        <w:t xml:space="preserve">the baseline </w:t>
      </w:r>
      <w:proofErr w:type="spellStart"/>
      <w:r w:rsidR="007C537F" w:rsidRPr="00C42D9B">
        <w:rPr>
          <w:sz w:val="24"/>
        </w:rPr>
        <w:t>HRQoL</w:t>
      </w:r>
      <w:proofErr w:type="spellEnd"/>
      <w:r w:rsidR="007C537F" w:rsidRPr="00C42D9B">
        <w:rPr>
          <w:sz w:val="24"/>
        </w:rPr>
        <w:t xml:space="preserve"> and </w:t>
      </w:r>
      <w:r w:rsidRPr="00C42D9B">
        <w:rPr>
          <w:sz w:val="24"/>
        </w:rPr>
        <w:t>psychosocial profile</w:t>
      </w:r>
      <w:r w:rsidR="007C537F" w:rsidRPr="00C42D9B">
        <w:rPr>
          <w:sz w:val="24"/>
        </w:rPr>
        <w:t>s</w:t>
      </w:r>
      <w:r w:rsidRPr="00C42D9B">
        <w:rPr>
          <w:sz w:val="24"/>
        </w:rPr>
        <w:t xml:space="preserve"> of men taking part in the IMPACT study</w:t>
      </w:r>
      <w:r w:rsidR="00CA78A5" w:rsidRPr="00C42D9B">
        <w:rPr>
          <w:sz w:val="24"/>
        </w:rPr>
        <w:t>, prior to th</w:t>
      </w:r>
      <w:r w:rsidR="001843E1" w:rsidRPr="00C42D9B">
        <w:rPr>
          <w:sz w:val="24"/>
        </w:rPr>
        <w:t>eir first screening appointment. The results</w:t>
      </w:r>
      <w:r w:rsidR="00086928" w:rsidRPr="00C42D9B">
        <w:rPr>
          <w:sz w:val="24"/>
        </w:rPr>
        <w:t xml:space="preserve"> </w:t>
      </w:r>
      <w:r w:rsidR="00007B73">
        <w:rPr>
          <w:sz w:val="24"/>
        </w:rPr>
        <w:t>indicate</w:t>
      </w:r>
      <w:r w:rsidR="00086928" w:rsidRPr="00C42D9B">
        <w:rPr>
          <w:sz w:val="24"/>
        </w:rPr>
        <w:t xml:space="preserve"> that </w:t>
      </w:r>
      <w:r w:rsidR="001843E1" w:rsidRPr="00C42D9B">
        <w:rPr>
          <w:sz w:val="24"/>
        </w:rPr>
        <w:t>participants,</w:t>
      </w:r>
      <w:r w:rsidR="007C537F" w:rsidRPr="00C42D9B">
        <w:rPr>
          <w:sz w:val="24"/>
        </w:rPr>
        <w:t xml:space="preserve"> in general</w:t>
      </w:r>
      <w:r w:rsidR="001843E1" w:rsidRPr="00C42D9B">
        <w:rPr>
          <w:sz w:val="24"/>
        </w:rPr>
        <w:t>,</w:t>
      </w:r>
      <w:r w:rsidR="007C537F" w:rsidRPr="00C42D9B">
        <w:rPr>
          <w:sz w:val="24"/>
        </w:rPr>
        <w:t xml:space="preserve"> do not </w:t>
      </w:r>
      <w:r w:rsidR="001843E1" w:rsidRPr="00C42D9B">
        <w:rPr>
          <w:sz w:val="24"/>
        </w:rPr>
        <w:t xml:space="preserve">have clinically concerning levels of general or cancer-specific distress </w:t>
      </w:r>
      <w:r w:rsidR="00C42D9B" w:rsidRPr="00C42D9B">
        <w:rPr>
          <w:sz w:val="24"/>
        </w:rPr>
        <w:t xml:space="preserve">or poor </w:t>
      </w:r>
      <w:proofErr w:type="spellStart"/>
      <w:r w:rsidR="00C42D9B" w:rsidRPr="00C42D9B">
        <w:rPr>
          <w:sz w:val="24"/>
        </w:rPr>
        <w:t>HRQoL</w:t>
      </w:r>
      <w:proofErr w:type="spellEnd"/>
      <w:r w:rsidR="00C42D9B" w:rsidRPr="00C42D9B">
        <w:rPr>
          <w:sz w:val="24"/>
        </w:rPr>
        <w:t>. A small subset of participants ha</w:t>
      </w:r>
      <w:r w:rsidR="00C844C9">
        <w:rPr>
          <w:sz w:val="24"/>
        </w:rPr>
        <w:t>s</w:t>
      </w:r>
      <w:r w:rsidR="00C42D9B" w:rsidRPr="00C42D9B">
        <w:rPr>
          <w:sz w:val="24"/>
        </w:rPr>
        <w:t xml:space="preserve"> higher levels of distress, but perception of risk contributed more </w:t>
      </w:r>
      <w:r w:rsidR="00C42D9B" w:rsidRPr="00C42D9B">
        <w:rPr>
          <w:rFonts w:cs="Courier New"/>
          <w:sz w:val="24"/>
        </w:rPr>
        <w:t xml:space="preserve">to </w:t>
      </w:r>
      <w:r w:rsidR="00E00652">
        <w:rPr>
          <w:rFonts w:cs="Courier New"/>
          <w:sz w:val="24"/>
        </w:rPr>
        <w:t xml:space="preserve">explaining </w:t>
      </w:r>
      <w:r w:rsidR="00C844C9">
        <w:rPr>
          <w:rFonts w:cs="Courier New"/>
          <w:sz w:val="24"/>
        </w:rPr>
        <w:t>the</w:t>
      </w:r>
      <w:r w:rsidR="00C844C9" w:rsidRPr="00C42D9B">
        <w:rPr>
          <w:rFonts w:cs="Courier New"/>
          <w:sz w:val="24"/>
        </w:rPr>
        <w:t xml:space="preserve"> </w:t>
      </w:r>
      <w:r w:rsidR="00C42D9B" w:rsidRPr="00C42D9B">
        <w:rPr>
          <w:rFonts w:cs="Courier New"/>
          <w:sz w:val="24"/>
        </w:rPr>
        <w:t>varia</w:t>
      </w:r>
      <w:r w:rsidR="00C844C9">
        <w:rPr>
          <w:rFonts w:cs="Courier New"/>
          <w:sz w:val="24"/>
        </w:rPr>
        <w:t>nce in distress level</w:t>
      </w:r>
      <w:r w:rsidR="00C42D9B" w:rsidRPr="00C42D9B">
        <w:rPr>
          <w:rFonts w:cs="Courier New"/>
          <w:sz w:val="24"/>
        </w:rPr>
        <w:t xml:space="preserve"> than </w:t>
      </w:r>
      <w:r w:rsidR="00007B73">
        <w:rPr>
          <w:rFonts w:cs="Courier New"/>
          <w:sz w:val="24"/>
        </w:rPr>
        <w:t xml:space="preserve">did </w:t>
      </w:r>
      <w:r w:rsidR="00C42D9B" w:rsidRPr="00C42D9B">
        <w:rPr>
          <w:rFonts w:cs="Courier New"/>
          <w:sz w:val="24"/>
        </w:rPr>
        <w:t>genetic status</w:t>
      </w:r>
      <w:r w:rsidR="007C537F" w:rsidRPr="00F37C8E">
        <w:rPr>
          <w:sz w:val="24"/>
        </w:rPr>
        <w:t>.</w:t>
      </w:r>
      <w:r w:rsidR="007C537F" w:rsidRPr="00C42D9B">
        <w:rPr>
          <w:b/>
          <w:sz w:val="24"/>
        </w:rPr>
        <w:t xml:space="preserve"> </w:t>
      </w:r>
      <w:r w:rsidR="007C537F" w:rsidRPr="00C42D9B">
        <w:rPr>
          <w:rFonts w:cs="Courier New"/>
          <w:sz w:val="24"/>
        </w:rPr>
        <w:t xml:space="preserve">General population screening studies in </w:t>
      </w:r>
      <w:r w:rsidR="00E00652">
        <w:rPr>
          <w:rFonts w:cs="Courier New"/>
          <w:sz w:val="24"/>
        </w:rPr>
        <w:t xml:space="preserve">the </w:t>
      </w:r>
      <w:r w:rsidR="007C537F" w:rsidRPr="00C42D9B">
        <w:rPr>
          <w:rFonts w:cs="Courier New"/>
          <w:sz w:val="24"/>
        </w:rPr>
        <w:t>UK and European series have reported similar findings</w:t>
      </w:r>
      <w:r w:rsidR="00E00652">
        <w:rPr>
          <w:rFonts w:cs="Courier New"/>
          <w:sz w:val="24"/>
        </w:rPr>
        <w:t>;</w:t>
      </w:r>
      <w:r w:rsidR="007C537F" w:rsidRPr="00C42D9B">
        <w:rPr>
          <w:rFonts w:cs="Courier New"/>
          <w:sz w:val="24"/>
        </w:rPr>
        <w:t xml:space="preserve"> that </w:t>
      </w:r>
      <w:proofErr w:type="spellStart"/>
      <w:r w:rsidR="007C537F" w:rsidRPr="00C42D9B">
        <w:rPr>
          <w:rFonts w:cs="Courier New"/>
          <w:sz w:val="24"/>
        </w:rPr>
        <w:t>PCa</w:t>
      </w:r>
      <w:proofErr w:type="spellEnd"/>
      <w:r w:rsidR="007C537F" w:rsidRPr="00C42D9B">
        <w:rPr>
          <w:rFonts w:cs="Courier New"/>
          <w:sz w:val="24"/>
        </w:rPr>
        <w:t xml:space="preserve"> screening does not have a detrimental effect on measures of </w:t>
      </w:r>
      <w:proofErr w:type="spellStart"/>
      <w:r w:rsidR="007C537F" w:rsidRPr="00C42D9B">
        <w:rPr>
          <w:rFonts w:cs="Courier New"/>
          <w:sz w:val="24"/>
        </w:rPr>
        <w:t>HRQoL</w:t>
      </w:r>
      <w:proofErr w:type="spellEnd"/>
      <w:r w:rsidR="007C537F" w:rsidRPr="00C42D9B">
        <w:rPr>
          <w:rFonts w:cs="Courier New"/>
          <w:sz w:val="24"/>
        </w:rPr>
        <w:t xml:space="preserve"> and psychological health [</w:t>
      </w:r>
      <w:r w:rsidR="006321CA">
        <w:rPr>
          <w:rFonts w:cs="Courier New"/>
          <w:sz w:val="24"/>
        </w:rPr>
        <w:t>28</w:t>
      </w:r>
      <w:proofErr w:type="gramStart"/>
      <w:r w:rsidR="006321CA">
        <w:rPr>
          <w:rFonts w:cs="Courier New"/>
          <w:sz w:val="24"/>
        </w:rPr>
        <w:t>,</w:t>
      </w:r>
      <w:r w:rsidR="001C01CF">
        <w:rPr>
          <w:rFonts w:cs="Courier New"/>
          <w:sz w:val="24"/>
        </w:rPr>
        <w:t>42</w:t>
      </w:r>
      <w:r w:rsidR="006321CA">
        <w:rPr>
          <w:rFonts w:cs="Courier New"/>
          <w:sz w:val="24"/>
        </w:rPr>
        <w:t>,</w:t>
      </w:r>
      <w:r w:rsidR="001C01CF">
        <w:rPr>
          <w:rFonts w:cs="Courier New"/>
          <w:sz w:val="24"/>
        </w:rPr>
        <w:t>43</w:t>
      </w:r>
      <w:proofErr w:type="gramEnd"/>
      <w:r w:rsidR="007C537F" w:rsidRPr="00C42D9B">
        <w:rPr>
          <w:rFonts w:cs="Courier New"/>
          <w:sz w:val="24"/>
        </w:rPr>
        <w:t>].</w:t>
      </w:r>
      <w:r w:rsidR="007C537F">
        <w:rPr>
          <w:rFonts w:cs="Courier New"/>
          <w:sz w:val="24"/>
        </w:rPr>
        <w:t xml:space="preserve"> </w:t>
      </w:r>
    </w:p>
    <w:p w14:paraId="5EAC0F2D" w14:textId="454E82D5" w:rsidR="00427B1F" w:rsidRPr="005641E9" w:rsidRDefault="00582B31" w:rsidP="001E225F">
      <w:pPr>
        <w:spacing w:line="360" w:lineRule="auto"/>
        <w:rPr>
          <w:rFonts w:cs="Courier New"/>
          <w:sz w:val="24"/>
        </w:rPr>
      </w:pPr>
      <w:r w:rsidRPr="005641E9">
        <w:rPr>
          <w:rFonts w:cs="Courier New"/>
          <w:sz w:val="24"/>
        </w:rPr>
        <w:t>It was reassuring that p</w:t>
      </w:r>
      <w:r w:rsidR="00427B1F" w:rsidRPr="005641E9">
        <w:rPr>
          <w:rFonts w:cs="Courier New"/>
          <w:sz w:val="24"/>
        </w:rPr>
        <w:t>articipants’ perception</w:t>
      </w:r>
      <w:r w:rsidR="00A92872">
        <w:rPr>
          <w:rFonts w:cs="Courier New"/>
          <w:sz w:val="24"/>
        </w:rPr>
        <w:t>s</w:t>
      </w:r>
      <w:r w:rsidR="00427B1F" w:rsidRPr="005641E9">
        <w:rPr>
          <w:rFonts w:cs="Courier New"/>
          <w:sz w:val="24"/>
        </w:rPr>
        <w:t xml:space="preserve"> of </w:t>
      </w:r>
      <w:proofErr w:type="spellStart"/>
      <w:r w:rsidR="001E45A4">
        <w:rPr>
          <w:rFonts w:cs="Courier New"/>
          <w:sz w:val="24"/>
        </w:rPr>
        <w:t>PCa</w:t>
      </w:r>
      <w:proofErr w:type="spellEnd"/>
      <w:r w:rsidR="001E45A4">
        <w:rPr>
          <w:rFonts w:cs="Courier New"/>
          <w:sz w:val="24"/>
        </w:rPr>
        <w:t xml:space="preserve"> </w:t>
      </w:r>
      <w:r w:rsidR="00A92872">
        <w:rPr>
          <w:rFonts w:cs="Courier New"/>
          <w:sz w:val="24"/>
        </w:rPr>
        <w:t>r</w:t>
      </w:r>
      <w:r w:rsidR="00427B1F" w:rsidRPr="005641E9">
        <w:rPr>
          <w:rFonts w:cs="Courier New"/>
          <w:sz w:val="24"/>
        </w:rPr>
        <w:t xml:space="preserve">isk </w:t>
      </w:r>
      <w:r w:rsidR="001E45A4">
        <w:rPr>
          <w:rFonts w:cs="Courier New"/>
          <w:sz w:val="24"/>
        </w:rPr>
        <w:t>w</w:t>
      </w:r>
      <w:r w:rsidR="00E00652">
        <w:rPr>
          <w:rFonts w:cs="Courier New"/>
          <w:sz w:val="24"/>
        </w:rPr>
        <w:t>ere</w:t>
      </w:r>
      <w:r w:rsidR="001E45A4">
        <w:rPr>
          <w:rFonts w:cs="Courier New"/>
          <w:sz w:val="24"/>
        </w:rPr>
        <w:t xml:space="preserve"> </w:t>
      </w:r>
      <w:r w:rsidR="00427B1F" w:rsidRPr="005641E9">
        <w:rPr>
          <w:rFonts w:cs="Courier New"/>
          <w:sz w:val="24"/>
        </w:rPr>
        <w:t>influenced by carrier status</w:t>
      </w:r>
      <w:r w:rsidR="001E45A4">
        <w:rPr>
          <w:rFonts w:cs="Courier New"/>
          <w:sz w:val="24"/>
        </w:rPr>
        <w:t>,</w:t>
      </w:r>
      <w:r w:rsidR="00ED1E06" w:rsidRPr="005641E9">
        <w:rPr>
          <w:rFonts w:cs="Courier New"/>
          <w:sz w:val="24"/>
        </w:rPr>
        <w:t xml:space="preserve"> </w:t>
      </w:r>
      <w:r w:rsidR="00857CD2">
        <w:rPr>
          <w:rFonts w:cs="Courier New"/>
          <w:sz w:val="24"/>
        </w:rPr>
        <w:t xml:space="preserve">largely </w:t>
      </w:r>
      <w:r w:rsidR="001E45A4">
        <w:rPr>
          <w:rFonts w:cs="Courier New"/>
          <w:sz w:val="24"/>
        </w:rPr>
        <w:t xml:space="preserve">reflecting </w:t>
      </w:r>
      <w:r w:rsidR="00857CD2">
        <w:rPr>
          <w:rFonts w:cs="Courier New"/>
          <w:sz w:val="24"/>
        </w:rPr>
        <w:t xml:space="preserve">what would have been communicated during genetic counselling </w:t>
      </w:r>
      <w:r w:rsidR="00C839CC">
        <w:rPr>
          <w:rFonts w:cs="Courier New"/>
          <w:sz w:val="24"/>
        </w:rPr>
        <w:t>[</w:t>
      </w:r>
      <w:r w:rsidR="00C839CC" w:rsidRPr="00CA78A5">
        <w:rPr>
          <w:rFonts w:cs="Courier New"/>
          <w:sz w:val="24"/>
        </w:rPr>
        <w:t>2,3</w:t>
      </w:r>
      <w:r w:rsidR="00C839CC">
        <w:rPr>
          <w:rFonts w:cs="Courier New"/>
          <w:sz w:val="24"/>
        </w:rPr>
        <w:t>]</w:t>
      </w:r>
      <w:r w:rsidR="00857CD2">
        <w:rPr>
          <w:rFonts w:cs="Courier New"/>
          <w:sz w:val="24"/>
        </w:rPr>
        <w:t xml:space="preserve">. </w:t>
      </w:r>
      <w:r w:rsidR="00EF4E99">
        <w:rPr>
          <w:rFonts w:cs="Courier New"/>
          <w:sz w:val="24"/>
        </w:rPr>
        <w:t xml:space="preserve">As expected, </w:t>
      </w:r>
      <w:r w:rsidRPr="005641E9">
        <w:rPr>
          <w:rFonts w:cs="Courier New"/>
          <w:i/>
          <w:sz w:val="24"/>
        </w:rPr>
        <w:t>BRCA2</w:t>
      </w:r>
      <w:r w:rsidRPr="005641E9">
        <w:rPr>
          <w:rFonts w:cs="Courier New"/>
          <w:sz w:val="24"/>
        </w:rPr>
        <w:t xml:space="preserve"> mutation</w:t>
      </w:r>
      <w:r w:rsidR="00ED1E06" w:rsidRPr="005641E9">
        <w:rPr>
          <w:rFonts w:cs="Courier New"/>
          <w:sz w:val="24"/>
        </w:rPr>
        <w:t xml:space="preserve"> carrier</w:t>
      </w:r>
      <w:r w:rsidRPr="005641E9">
        <w:rPr>
          <w:rFonts w:cs="Courier New"/>
          <w:sz w:val="24"/>
        </w:rPr>
        <w:t xml:space="preserve">s </w:t>
      </w:r>
      <w:r w:rsidR="00E00652">
        <w:rPr>
          <w:rFonts w:cs="Courier New"/>
          <w:sz w:val="24"/>
        </w:rPr>
        <w:t xml:space="preserve">had </w:t>
      </w:r>
      <w:r w:rsidRPr="005641E9">
        <w:rPr>
          <w:rFonts w:cs="Courier New"/>
          <w:sz w:val="24"/>
        </w:rPr>
        <w:t xml:space="preserve">the highest perceived risk of </w:t>
      </w:r>
      <w:proofErr w:type="spellStart"/>
      <w:r w:rsidRPr="005641E9">
        <w:rPr>
          <w:rFonts w:cs="Courier New"/>
          <w:sz w:val="24"/>
        </w:rPr>
        <w:t>PCa</w:t>
      </w:r>
      <w:proofErr w:type="spellEnd"/>
      <w:r w:rsidR="00857CD2">
        <w:rPr>
          <w:rFonts w:cs="Courier New"/>
          <w:sz w:val="24"/>
        </w:rPr>
        <w:t xml:space="preserve">, </w:t>
      </w:r>
      <w:r w:rsidR="00EF4E99">
        <w:rPr>
          <w:rFonts w:cs="Courier New"/>
          <w:sz w:val="24"/>
        </w:rPr>
        <w:t xml:space="preserve">most </w:t>
      </w:r>
      <w:r w:rsidR="00A92872">
        <w:rPr>
          <w:rFonts w:cs="Courier New"/>
          <w:sz w:val="24"/>
        </w:rPr>
        <w:t xml:space="preserve">frequently classifying </w:t>
      </w:r>
      <w:r w:rsidR="001E45A4">
        <w:rPr>
          <w:rFonts w:cs="Courier New"/>
          <w:sz w:val="24"/>
        </w:rPr>
        <w:t xml:space="preserve">risk </w:t>
      </w:r>
      <w:r w:rsidR="00A92872">
        <w:rPr>
          <w:rFonts w:cs="Courier New"/>
          <w:sz w:val="24"/>
        </w:rPr>
        <w:t>as ‘</w:t>
      </w:r>
      <w:r w:rsidR="00857CD2" w:rsidRPr="00A92872">
        <w:rPr>
          <w:rFonts w:cs="Courier New"/>
          <w:sz w:val="24"/>
        </w:rPr>
        <w:t>slightly</w:t>
      </w:r>
      <w:r w:rsidR="00A92872">
        <w:rPr>
          <w:rFonts w:cs="Courier New"/>
          <w:sz w:val="24"/>
        </w:rPr>
        <w:t>’</w:t>
      </w:r>
      <w:r w:rsidR="00857CD2" w:rsidRPr="00A92872">
        <w:rPr>
          <w:rFonts w:cs="Courier New"/>
          <w:sz w:val="24"/>
        </w:rPr>
        <w:t xml:space="preserve"> or </w:t>
      </w:r>
      <w:r w:rsidR="00A92872">
        <w:rPr>
          <w:rFonts w:cs="Courier New"/>
          <w:sz w:val="24"/>
        </w:rPr>
        <w:t>‘</w:t>
      </w:r>
      <w:r w:rsidR="00857CD2" w:rsidRPr="00A92872">
        <w:rPr>
          <w:rFonts w:cs="Courier New"/>
          <w:sz w:val="24"/>
        </w:rPr>
        <w:t>moderately</w:t>
      </w:r>
      <w:r w:rsidR="00A92872">
        <w:rPr>
          <w:rFonts w:cs="Courier New"/>
          <w:sz w:val="24"/>
        </w:rPr>
        <w:t>’</w:t>
      </w:r>
      <w:r w:rsidR="00857CD2">
        <w:rPr>
          <w:rFonts w:cs="Courier New"/>
          <w:sz w:val="24"/>
        </w:rPr>
        <w:t xml:space="preserve"> increased,</w:t>
      </w:r>
      <w:r w:rsidRPr="005641E9">
        <w:rPr>
          <w:rFonts w:cs="Courier New"/>
          <w:sz w:val="24"/>
        </w:rPr>
        <w:t xml:space="preserve"> and </w:t>
      </w:r>
      <w:r w:rsidR="00A92872">
        <w:rPr>
          <w:rFonts w:cs="Courier New"/>
          <w:sz w:val="24"/>
        </w:rPr>
        <w:t xml:space="preserve">controls most frequently </w:t>
      </w:r>
      <w:r w:rsidR="001E45A4">
        <w:rPr>
          <w:rFonts w:cs="Courier New"/>
          <w:sz w:val="24"/>
        </w:rPr>
        <w:t xml:space="preserve">classifying </w:t>
      </w:r>
      <w:r w:rsidR="00A92872">
        <w:rPr>
          <w:rFonts w:cs="Courier New"/>
          <w:sz w:val="24"/>
        </w:rPr>
        <w:t xml:space="preserve">risk </w:t>
      </w:r>
      <w:r w:rsidR="001E45A4">
        <w:rPr>
          <w:rFonts w:cs="Courier New"/>
          <w:sz w:val="24"/>
        </w:rPr>
        <w:t>as</w:t>
      </w:r>
      <w:r w:rsidR="00A92872">
        <w:rPr>
          <w:rFonts w:cs="Courier New"/>
          <w:sz w:val="24"/>
        </w:rPr>
        <w:t xml:space="preserve"> the ‘same’ as the </w:t>
      </w:r>
      <w:r w:rsidR="00ED1E06" w:rsidRPr="005641E9">
        <w:rPr>
          <w:rFonts w:cs="Courier New"/>
          <w:sz w:val="24"/>
        </w:rPr>
        <w:t>general population.</w:t>
      </w:r>
      <w:r w:rsidR="00427B1F" w:rsidRPr="005641E9">
        <w:rPr>
          <w:rFonts w:cs="Courier New"/>
          <w:sz w:val="24"/>
        </w:rPr>
        <w:t xml:space="preserve"> </w:t>
      </w:r>
    </w:p>
    <w:p w14:paraId="09CF0EC9" w14:textId="286A9F59" w:rsidR="00F21FAA" w:rsidRDefault="001E45A4" w:rsidP="001E225F">
      <w:pPr>
        <w:spacing w:line="360" w:lineRule="auto"/>
        <w:rPr>
          <w:rFonts w:cs="Courier New"/>
          <w:sz w:val="24"/>
        </w:rPr>
      </w:pPr>
      <w:r>
        <w:rPr>
          <w:rFonts w:cs="Courier New"/>
          <w:sz w:val="24"/>
        </w:rPr>
        <w:t>K</w:t>
      </w:r>
      <w:r w:rsidR="002C3103">
        <w:rPr>
          <w:rFonts w:cs="Courier New"/>
          <w:sz w:val="24"/>
        </w:rPr>
        <w:t xml:space="preserve">nowledge levels </w:t>
      </w:r>
      <w:r>
        <w:rPr>
          <w:rFonts w:cs="Courier New"/>
          <w:sz w:val="24"/>
        </w:rPr>
        <w:t>were high across the cohorts, irrespective of genetic status, education level and time since testing, demonstrating</w:t>
      </w:r>
      <w:r w:rsidRPr="005641E9">
        <w:rPr>
          <w:rFonts w:cs="Courier New"/>
          <w:sz w:val="24"/>
        </w:rPr>
        <w:t xml:space="preserve"> </w:t>
      </w:r>
      <w:r w:rsidR="002C3103" w:rsidRPr="005641E9">
        <w:rPr>
          <w:rFonts w:cs="Courier New"/>
          <w:sz w:val="24"/>
        </w:rPr>
        <w:t xml:space="preserve">that </w:t>
      </w:r>
      <w:r>
        <w:rPr>
          <w:rFonts w:cs="Courier New"/>
          <w:sz w:val="24"/>
        </w:rPr>
        <w:t>men</w:t>
      </w:r>
      <w:r w:rsidR="002C3103" w:rsidRPr="005641E9">
        <w:rPr>
          <w:rFonts w:cs="Courier New"/>
          <w:sz w:val="24"/>
        </w:rPr>
        <w:t xml:space="preserve"> retain</w:t>
      </w:r>
      <w:r>
        <w:rPr>
          <w:rFonts w:cs="Courier New"/>
          <w:sz w:val="24"/>
        </w:rPr>
        <w:t>ed</w:t>
      </w:r>
      <w:r w:rsidR="002C3103" w:rsidRPr="005641E9">
        <w:rPr>
          <w:rFonts w:cs="Courier New"/>
          <w:sz w:val="24"/>
        </w:rPr>
        <w:t xml:space="preserve"> accurate information about inheritance of </w:t>
      </w:r>
      <w:r w:rsidR="002C3103" w:rsidRPr="00AE727E">
        <w:rPr>
          <w:rFonts w:cs="Courier New"/>
          <w:i/>
          <w:sz w:val="24"/>
        </w:rPr>
        <w:t>BRCA</w:t>
      </w:r>
      <w:r w:rsidR="002C3103" w:rsidRPr="005641E9">
        <w:rPr>
          <w:rFonts w:cs="Courier New"/>
          <w:sz w:val="24"/>
        </w:rPr>
        <w:t xml:space="preserve"> mutations</w:t>
      </w:r>
      <w:r w:rsidR="002C3103">
        <w:rPr>
          <w:rFonts w:cs="Courier New"/>
          <w:sz w:val="24"/>
        </w:rPr>
        <w:t xml:space="preserve"> and cancer risk</w:t>
      </w:r>
      <w:r w:rsidR="00F21FAA" w:rsidRPr="005641E9">
        <w:rPr>
          <w:rFonts w:cs="Courier New"/>
          <w:sz w:val="24"/>
        </w:rPr>
        <w:t>.</w:t>
      </w:r>
      <w:r w:rsidR="002C3103">
        <w:rPr>
          <w:rFonts w:cs="Courier New"/>
          <w:sz w:val="24"/>
        </w:rPr>
        <w:t xml:space="preserve"> </w:t>
      </w:r>
      <w:r w:rsidR="00CA78A5">
        <w:rPr>
          <w:rFonts w:cs="Courier New"/>
          <w:sz w:val="24"/>
        </w:rPr>
        <w:t>The</w:t>
      </w:r>
      <w:r w:rsidR="002C3103">
        <w:rPr>
          <w:rFonts w:cs="Courier New"/>
          <w:sz w:val="24"/>
        </w:rPr>
        <w:t xml:space="preserve"> knowledge questionnaire </w:t>
      </w:r>
      <w:r w:rsidR="00CA78A5">
        <w:rPr>
          <w:rFonts w:cs="Courier New"/>
          <w:sz w:val="24"/>
        </w:rPr>
        <w:t xml:space="preserve">was </w:t>
      </w:r>
      <w:r w:rsidR="002C3103">
        <w:rPr>
          <w:rFonts w:cs="Courier New"/>
          <w:sz w:val="24"/>
        </w:rPr>
        <w:t>designed specifically for this</w:t>
      </w:r>
      <w:r w:rsidR="0047752A">
        <w:rPr>
          <w:rFonts w:cs="Courier New"/>
          <w:sz w:val="24"/>
        </w:rPr>
        <w:t xml:space="preserve"> </w:t>
      </w:r>
      <w:r w:rsidR="002C3103">
        <w:rPr>
          <w:rFonts w:cs="Courier New"/>
          <w:sz w:val="24"/>
        </w:rPr>
        <w:t>study</w:t>
      </w:r>
      <w:r w:rsidR="00007B73">
        <w:rPr>
          <w:rFonts w:cs="Courier New"/>
          <w:sz w:val="24"/>
        </w:rPr>
        <w:t>,</w:t>
      </w:r>
      <w:r w:rsidR="002C3103">
        <w:rPr>
          <w:rFonts w:cs="Courier New"/>
          <w:sz w:val="24"/>
        </w:rPr>
        <w:t xml:space="preserve"> </w:t>
      </w:r>
      <w:r w:rsidR="00CA78A5">
        <w:rPr>
          <w:rFonts w:cs="Courier New"/>
          <w:sz w:val="24"/>
        </w:rPr>
        <w:t>but</w:t>
      </w:r>
      <w:r w:rsidR="00AE727E">
        <w:rPr>
          <w:rFonts w:cs="Courier New"/>
          <w:sz w:val="24"/>
        </w:rPr>
        <w:t xml:space="preserve"> was adapted from that used in other studies [</w:t>
      </w:r>
      <w:r w:rsidR="006321CA">
        <w:rPr>
          <w:rFonts w:cs="Courier New"/>
          <w:sz w:val="24"/>
        </w:rPr>
        <w:t>3</w:t>
      </w:r>
      <w:r w:rsidR="006C5C73">
        <w:rPr>
          <w:rFonts w:cs="Courier New"/>
          <w:sz w:val="24"/>
        </w:rPr>
        <w:t>7</w:t>
      </w:r>
      <w:proofErr w:type="gramStart"/>
      <w:r w:rsidR="006321CA">
        <w:rPr>
          <w:rFonts w:cs="Courier New"/>
          <w:sz w:val="24"/>
        </w:rPr>
        <w:t>,3</w:t>
      </w:r>
      <w:r w:rsidR="006C5C73">
        <w:rPr>
          <w:rFonts w:cs="Courier New"/>
          <w:sz w:val="24"/>
        </w:rPr>
        <w:t>8</w:t>
      </w:r>
      <w:proofErr w:type="gramEnd"/>
      <w:r w:rsidR="00AE727E">
        <w:rPr>
          <w:rFonts w:cs="Courier New"/>
          <w:sz w:val="24"/>
        </w:rPr>
        <w:t>]</w:t>
      </w:r>
      <w:r w:rsidR="00CA78A5">
        <w:rPr>
          <w:rFonts w:cs="Courier New"/>
          <w:sz w:val="24"/>
        </w:rPr>
        <w:t xml:space="preserve">. These studies reported </w:t>
      </w:r>
      <w:r w:rsidR="00AE727E">
        <w:rPr>
          <w:rFonts w:cs="Courier New"/>
          <w:sz w:val="24"/>
        </w:rPr>
        <w:t>knowledge levels to be around 50%</w:t>
      </w:r>
      <w:r w:rsidR="00CA78A5">
        <w:rPr>
          <w:rFonts w:cs="Courier New"/>
          <w:sz w:val="24"/>
        </w:rPr>
        <w:t xml:space="preserve"> in </w:t>
      </w:r>
      <w:r w:rsidR="00AE727E">
        <w:rPr>
          <w:rFonts w:cs="Courier New"/>
          <w:sz w:val="24"/>
        </w:rPr>
        <w:t xml:space="preserve">women at risk of breast cancer prior to genetic testing. The high levels of knowledge </w:t>
      </w:r>
      <w:r w:rsidR="00DA1DB1">
        <w:rPr>
          <w:rFonts w:cs="Courier New"/>
          <w:sz w:val="24"/>
        </w:rPr>
        <w:t xml:space="preserve">reported </w:t>
      </w:r>
      <w:r w:rsidR="00AE727E">
        <w:rPr>
          <w:rFonts w:cs="Courier New"/>
          <w:sz w:val="24"/>
        </w:rPr>
        <w:t xml:space="preserve">in our cohort could </w:t>
      </w:r>
      <w:r w:rsidR="00E00652">
        <w:rPr>
          <w:rFonts w:cs="Courier New"/>
          <w:sz w:val="24"/>
        </w:rPr>
        <w:t xml:space="preserve">reflect </w:t>
      </w:r>
      <w:r w:rsidR="00AE727E">
        <w:rPr>
          <w:rFonts w:cs="Courier New"/>
          <w:sz w:val="24"/>
        </w:rPr>
        <w:t xml:space="preserve">their participation </w:t>
      </w:r>
      <w:r w:rsidR="005C1429">
        <w:rPr>
          <w:rFonts w:cs="Courier New"/>
          <w:sz w:val="24"/>
        </w:rPr>
        <w:t xml:space="preserve">in the </w:t>
      </w:r>
      <w:r w:rsidR="00DA1DB1">
        <w:rPr>
          <w:rFonts w:cs="Courier New"/>
          <w:sz w:val="24"/>
        </w:rPr>
        <w:t xml:space="preserve">IMPACT </w:t>
      </w:r>
      <w:r w:rsidR="005C1429">
        <w:rPr>
          <w:rFonts w:cs="Courier New"/>
          <w:sz w:val="24"/>
        </w:rPr>
        <w:t>study</w:t>
      </w:r>
      <w:r w:rsidR="00CA78A5">
        <w:rPr>
          <w:rFonts w:cs="Courier New"/>
          <w:sz w:val="24"/>
        </w:rPr>
        <w:t>,</w:t>
      </w:r>
      <w:r w:rsidR="00723544" w:rsidRPr="005641E9">
        <w:rPr>
          <w:rFonts w:cs="Courier New"/>
          <w:sz w:val="24"/>
        </w:rPr>
        <w:t xml:space="preserve"> </w:t>
      </w:r>
      <w:r w:rsidR="00E00652">
        <w:rPr>
          <w:rFonts w:cs="Courier New"/>
          <w:sz w:val="24"/>
        </w:rPr>
        <w:t xml:space="preserve">where they </w:t>
      </w:r>
      <w:r w:rsidR="005C1429">
        <w:rPr>
          <w:rFonts w:cs="Courier New"/>
          <w:sz w:val="24"/>
        </w:rPr>
        <w:t xml:space="preserve">recently revisited their risk status in making a decision to </w:t>
      </w:r>
      <w:r w:rsidR="00DA1DB1">
        <w:rPr>
          <w:rFonts w:cs="Courier New"/>
          <w:sz w:val="24"/>
        </w:rPr>
        <w:t>undergo screening</w:t>
      </w:r>
      <w:r w:rsidR="00723544" w:rsidRPr="005641E9">
        <w:rPr>
          <w:rFonts w:cs="Courier New"/>
          <w:sz w:val="24"/>
        </w:rPr>
        <w:t xml:space="preserve">. </w:t>
      </w:r>
      <w:r w:rsidR="005C1429">
        <w:rPr>
          <w:rFonts w:cs="Courier New"/>
          <w:sz w:val="24"/>
        </w:rPr>
        <w:t>However, men were asked to complete these questionnaires prior to their first meeting with the study team</w:t>
      </w:r>
      <w:r w:rsidR="00007B73">
        <w:rPr>
          <w:rFonts w:cs="Courier New"/>
          <w:sz w:val="24"/>
        </w:rPr>
        <w:t>,</w:t>
      </w:r>
      <w:r w:rsidR="005C1429">
        <w:rPr>
          <w:rFonts w:cs="Courier New"/>
          <w:sz w:val="24"/>
        </w:rPr>
        <w:t xml:space="preserve"> and so </w:t>
      </w:r>
      <w:r w:rsidR="00007B73">
        <w:rPr>
          <w:rFonts w:cs="Courier New"/>
          <w:sz w:val="24"/>
        </w:rPr>
        <w:t xml:space="preserve">they </w:t>
      </w:r>
      <w:r w:rsidR="005C1429">
        <w:rPr>
          <w:rFonts w:cs="Courier New"/>
          <w:sz w:val="24"/>
        </w:rPr>
        <w:t xml:space="preserve">may not have had a detailed discussion about risk </w:t>
      </w:r>
      <w:r w:rsidR="00CA78A5">
        <w:rPr>
          <w:rFonts w:cs="Courier New"/>
          <w:sz w:val="24"/>
        </w:rPr>
        <w:t xml:space="preserve">of </w:t>
      </w:r>
      <w:proofErr w:type="spellStart"/>
      <w:r w:rsidR="00CA78A5">
        <w:rPr>
          <w:rFonts w:cs="Courier New"/>
          <w:sz w:val="24"/>
        </w:rPr>
        <w:t>PC</w:t>
      </w:r>
      <w:r w:rsidR="00F37C8E">
        <w:rPr>
          <w:rFonts w:cs="Courier New"/>
          <w:sz w:val="24"/>
        </w:rPr>
        <w:t>a</w:t>
      </w:r>
      <w:proofErr w:type="spellEnd"/>
      <w:r w:rsidR="00CA78A5">
        <w:rPr>
          <w:rFonts w:cs="Courier New"/>
          <w:sz w:val="24"/>
        </w:rPr>
        <w:t xml:space="preserve"> </w:t>
      </w:r>
      <w:r w:rsidR="005C1429">
        <w:rPr>
          <w:rFonts w:cs="Courier New"/>
          <w:sz w:val="24"/>
        </w:rPr>
        <w:t xml:space="preserve">since </w:t>
      </w:r>
      <w:r w:rsidR="00E00652">
        <w:rPr>
          <w:rFonts w:cs="Courier New"/>
          <w:sz w:val="24"/>
        </w:rPr>
        <w:t xml:space="preserve">being informed about </w:t>
      </w:r>
      <w:r w:rsidR="005C1429">
        <w:rPr>
          <w:rFonts w:cs="Courier New"/>
          <w:sz w:val="24"/>
        </w:rPr>
        <w:t xml:space="preserve">their genetic </w:t>
      </w:r>
      <w:r w:rsidR="00CA78A5">
        <w:rPr>
          <w:rFonts w:cs="Courier New"/>
          <w:sz w:val="24"/>
        </w:rPr>
        <w:t>status</w:t>
      </w:r>
      <w:r w:rsidR="005C1429">
        <w:rPr>
          <w:rFonts w:cs="Courier New"/>
          <w:sz w:val="24"/>
        </w:rPr>
        <w:t xml:space="preserve">. </w:t>
      </w:r>
      <w:r w:rsidR="00AE727E">
        <w:rPr>
          <w:rFonts w:cs="Courier New"/>
          <w:sz w:val="24"/>
        </w:rPr>
        <w:t xml:space="preserve">The </w:t>
      </w:r>
      <w:r w:rsidR="005C1429">
        <w:rPr>
          <w:rFonts w:cs="Courier New"/>
          <w:sz w:val="24"/>
        </w:rPr>
        <w:t xml:space="preserve">sociodemographics of the </w:t>
      </w:r>
      <w:r w:rsidR="00AE727E">
        <w:rPr>
          <w:rFonts w:cs="Courier New"/>
          <w:sz w:val="24"/>
        </w:rPr>
        <w:t xml:space="preserve">cohort </w:t>
      </w:r>
      <w:r w:rsidR="005C1429">
        <w:rPr>
          <w:rFonts w:cs="Courier New"/>
          <w:sz w:val="24"/>
        </w:rPr>
        <w:t xml:space="preserve">indicate that the participants </w:t>
      </w:r>
      <w:r w:rsidR="00E00652">
        <w:rPr>
          <w:rFonts w:cs="Courier New"/>
          <w:sz w:val="24"/>
        </w:rPr>
        <w:t>were</w:t>
      </w:r>
      <w:r w:rsidR="005C1429">
        <w:rPr>
          <w:rFonts w:cs="Courier New"/>
          <w:sz w:val="24"/>
        </w:rPr>
        <w:t xml:space="preserve"> </w:t>
      </w:r>
      <w:r w:rsidR="00AE727E">
        <w:rPr>
          <w:rFonts w:cs="Courier New"/>
          <w:sz w:val="24"/>
        </w:rPr>
        <w:t>highly educated</w:t>
      </w:r>
      <w:r w:rsidR="00E00652">
        <w:rPr>
          <w:rFonts w:cs="Courier New"/>
          <w:sz w:val="24"/>
        </w:rPr>
        <w:t>,</w:t>
      </w:r>
      <w:r w:rsidR="00AE727E">
        <w:rPr>
          <w:rFonts w:cs="Courier New"/>
          <w:sz w:val="24"/>
        </w:rPr>
        <w:t xml:space="preserve"> which has been found to </w:t>
      </w:r>
      <w:r w:rsidR="00E00652">
        <w:rPr>
          <w:rFonts w:cs="Courier New"/>
          <w:sz w:val="24"/>
        </w:rPr>
        <w:t xml:space="preserve">be associated positively with an individual’s </w:t>
      </w:r>
      <w:r w:rsidR="00AE727E" w:rsidRPr="00AE727E">
        <w:rPr>
          <w:rFonts w:cs="Courier New"/>
          <w:sz w:val="24"/>
        </w:rPr>
        <w:t>ability to learn information comm</w:t>
      </w:r>
      <w:r w:rsidR="00AE727E">
        <w:rPr>
          <w:rFonts w:cs="Courier New"/>
          <w:sz w:val="24"/>
        </w:rPr>
        <w:t>unicated during genetic counselling [</w:t>
      </w:r>
      <w:r w:rsidR="006321CA">
        <w:rPr>
          <w:rFonts w:cs="Courier New"/>
          <w:sz w:val="24"/>
        </w:rPr>
        <w:t>4</w:t>
      </w:r>
      <w:r w:rsidR="001C01CF">
        <w:rPr>
          <w:rFonts w:cs="Courier New"/>
          <w:sz w:val="24"/>
        </w:rPr>
        <w:t>4</w:t>
      </w:r>
      <w:r w:rsidR="00AE727E">
        <w:rPr>
          <w:rFonts w:cs="Courier New"/>
          <w:sz w:val="24"/>
        </w:rPr>
        <w:t>].</w:t>
      </w:r>
    </w:p>
    <w:p w14:paraId="6776FBE6" w14:textId="63760E1C" w:rsidR="00427B1F" w:rsidRDefault="00954674" w:rsidP="001E225F">
      <w:pPr>
        <w:spacing w:line="360" w:lineRule="auto"/>
        <w:rPr>
          <w:rFonts w:cs="Courier New"/>
          <w:sz w:val="24"/>
        </w:rPr>
      </w:pPr>
      <w:proofErr w:type="spellStart"/>
      <w:r>
        <w:rPr>
          <w:rFonts w:cs="Courier New"/>
          <w:sz w:val="24"/>
        </w:rPr>
        <w:t>HRQoL</w:t>
      </w:r>
      <w:proofErr w:type="spellEnd"/>
      <w:r w:rsidR="001A0367">
        <w:rPr>
          <w:rFonts w:cs="Courier New"/>
          <w:sz w:val="24"/>
        </w:rPr>
        <w:t xml:space="preserve"> </w:t>
      </w:r>
      <w:r w:rsidR="00E00652">
        <w:rPr>
          <w:rFonts w:cs="Courier New"/>
          <w:sz w:val="24"/>
        </w:rPr>
        <w:t>assessments</w:t>
      </w:r>
      <w:r w:rsidR="001A0367">
        <w:rPr>
          <w:rFonts w:cs="Courier New"/>
          <w:sz w:val="24"/>
        </w:rPr>
        <w:t xml:space="preserve"> did not detect any clinically relevant differences</w:t>
      </w:r>
      <w:r w:rsidR="00FD0991">
        <w:rPr>
          <w:rFonts w:cs="Courier New"/>
          <w:sz w:val="24"/>
        </w:rPr>
        <w:t xml:space="preserve"> in either </w:t>
      </w:r>
      <w:r>
        <w:rPr>
          <w:rFonts w:cs="Courier New"/>
          <w:sz w:val="24"/>
        </w:rPr>
        <w:t>physical</w:t>
      </w:r>
      <w:r w:rsidR="00FD0991">
        <w:rPr>
          <w:rFonts w:cs="Courier New"/>
          <w:sz w:val="24"/>
        </w:rPr>
        <w:t xml:space="preserve"> or</w:t>
      </w:r>
      <w:r>
        <w:rPr>
          <w:rFonts w:cs="Courier New"/>
          <w:sz w:val="24"/>
        </w:rPr>
        <w:t xml:space="preserve"> mental health</w:t>
      </w:r>
      <w:r w:rsidR="001A0367">
        <w:rPr>
          <w:rFonts w:cs="Courier New"/>
          <w:sz w:val="24"/>
        </w:rPr>
        <w:t xml:space="preserve"> when compared with general population </w:t>
      </w:r>
      <w:r w:rsidR="00FD0991">
        <w:rPr>
          <w:rFonts w:cs="Courier New"/>
          <w:sz w:val="24"/>
        </w:rPr>
        <w:t xml:space="preserve">samples, both </w:t>
      </w:r>
      <w:r w:rsidR="001A0367">
        <w:rPr>
          <w:rFonts w:cs="Courier New"/>
          <w:sz w:val="24"/>
        </w:rPr>
        <w:t>matched and unmatched</w:t>
      </w:r>
      <w:r w:rsidR="000A3DA5">
        <w:rPr>
          <w:rFonts w:cs="Courier New"/>
          <w:sz w:val="24"/>
        </w:rPr>
        <w:t xml:space="preserve"> by age</w:t>
      </w:r>
      <w:r w:rsidR="001A0367">
        <w:rPr>
          <w:rFonts w:cs="Courier New"/>
          <w:sz w:val="24"/>
        </w:rPr>
        <w:t xml:space="preserve"> </w:t>
      </w:r>
      <w:r>
        <w:rPr>
          <w:rFonts w:cs="Courier New"/>
          <w:sz w:val="24"/>
        </w:rPr>
        <w:t>[</w:t>
      </w:r>
      <w:r w:rsidR="006321CA">
        <w:rPr>
          <w:rFonts w:cs="Courier New"/>
          <w:sz w:val="24"/>
        </w:rPr>
        <w:t>3</w:t>
      </w:r>
      <w:r w:rsidR="006C5C73">
        <w:rPr>
          <w:rFonts w:cs="Courier New"/>
          <w:sz w:val="24"/>
        </w:rPr>
        <w:t>4</w:t>
      </w:r>
      <w:r>
        <w:rPr>
          <w:rFonts w:cs="Courier New"/>
          <w:sz w:val="24"/>
        </w:rPr>
        <w:t>]</w:t>
      </w:r>
      <w:r w:rsidR="00FD0991">
        <w:rPr>
          <w:rFonts w:cs="Courier New"/>
          <w:sz w:val="24"/>
        </w:rPr>
        <w:t xml:space="preserve">. Our results support those </w:t>
      </w:r>
      <w:r w:rsidR="00385857">
        <w:rPr>
          <w:rFonts w:cs="Courier New"/>
          <w:sz w:val="24"/>
        </w:rPr>
        <w:t>of the Finnish E</w:t>
      </w:r>
      <w:r w:rsidR="00064FDE">
        <w:rPr>
          <w:rFonts w:cs="Courier New"/>
          <w:sz w:val="24"/>
        </w:rPr>
        <w:t xml:space="preserve">uropean </w:t>
      </w:r>
      <w:r w:rsidR="00385857">
        <w:rPr>
          <w:rFonts w:cs="Courier New"/>
          <w:sz w:val="24"/>
        </w:rPr>
        <w:t>R</w:t>
      </w:r>
      <w:r w:rsidR="00064FDE">
        <w:rPr>
          <w:rFonts w:cs="Courier New"/>
          <w:sz w:val="24"/>
        </w:rPr>
        <w:t xml:space="preserve">andomised Screening for </w:t>
      </w:r>
      <w:r w:rsidR="00385857">
        <w:rPr>
          <w:rFonts w:cs="Courier New"/>
          <w:sz w:val="24"/>
        </w:rPr>
        <w:t>P</w:t>
      </w:r>
      <w:r w:rsidR="00064FDE">
        <w:rPr>
          <w:rFonts w:cs="Courier New"/>
          <w:sz w:val="24"/>
        </w:rPr>
        <w:t>rostate Cancer study</w:t>
      </w:r>
      <w:r w:rsidR="00385857">
        <w:rPr>
          <w:rFonts w:cs="Courier New"/>
          <w:sz w:val="24"/>
        </w:rPr>
        <w:t xml:space="preserve"> cohort in which </w:t>
      </w:r>
      <w:proofErr w:type="spellStart"/>
      <w:r w:rsidR="00385857">
        <w:rPr>
          <w:rFonts w:cs="Courier New"/>
          <w:sz w:val="24"/>
        </w:rPr>
        <w:t>HRQoL</w:t>
      </w:r>
      <w:proofErr w:type="spellEnd"/>
      <w:r w:rsidR="00385857">
        <w:rPr>
          <w:rFonts w:cs="Courier New"/>
          <w:sz w:val="24"/>
        </w:rPr>
        <w:t xml:space="preserve"> was </w:t>
      </w:r>
      <w:r w:rsidR="00FD0991">
        <w:rPr>
          <w:rFonts w:cs="Courier New"/>
          <w:sz w:val="24"/>
        </w:rPr>
        <w:t xml:space="preserve">also assessed with </w:t>
      </w:r>
      <w:r w:rsidR="00385857">
        <w:rPr>
          <w:rFonts w:cs="Courier New"/>
          <w:sz w:val="24"/>
        </w:rPr>
        <w:t xml:space="preserve">the SF36 </w:t>
      </w:r>
      <w:r w:rsidR="00F70885">
        <w:rPr>
          <w:rFonts w:cs="Courier New"/>
          <w:sz w:val="24"/>
        </w:rPr>
        <w:lastRenderedPageBreak/>
        <w:t>[</w:t>
      </w:r>
      <w:r w:rsidR="001C01CF">
        <w:rPr>
          <w:rFonts w:cs="Courier New"/>
          <w:sz w:val="24"/>
        </w:rPr>
        <w:t>43</w:t>
      </w:r>
      <w:r w:rsidR="00F70885">
        <w:rPr>
          <w:rFonts w:cs="Courier New"/>
          <w:sz w:val="24"/>
        </w:rPr>
        <w:t>]</w:t>
      </w:r>
      <w:r w:rsidR="0057623A">
        <w:rPr>
          <w:rFonts w:cs="Courier New"/>
          <w:sz w:val="24"/>
        </w:rPr>
        <w:t xml:space="preserve">. </w:t>
      </w:r>
      <w:r>
        <w:rPr>
          <w:rFonts w:cs="Courier New"/>
          <w:sz w:val="24"/>
        </w:rPr>
        <w:t xml:space="preserve">As in our cohort, </w:t>
      </w:r>
      <w:proofErr w:type="spellStart"/>
      <w:r w:rsidR="0057623A">
        <w:rPr>
          <w:rFonts w:cs="Courier New"/>
          <w:sz w:val="24"/>
        </w:rPr>
        <w:t>HRQoL</w:t>
      </w:r>
      <w:proofErr w:type="spellEnd"/>
      <w:r w:rsidR="0057623A">
        <w:rPr>
          <w:rFonts w:cs="Courier New"/>
          <w:sz w:val="24"/>
        </w:rPr>
        <w:t xml:space="preserve"> scores were observed to be higher than </w:t>
      </w:r>
      <w:r w:rsidR="006E646D">
        <w:rPr>
          <w:rFonts w:cs="Courier New"/>
          <w:sz w:val="24"/>
        </w:rPr>
        <w:t xml:space="preserve">in </w:t>
      </w:r>
      <w:r w:rsidR="0057623A">
        <w:rPr>
          <w:rFonts w:cs="Courier New"/>
          <w:sz w:val="24"/>
        </w:rPr>
        <w:t>the general F</w:t>
      </w:r>
      <w:r>
        <w:rPr>
          <w:rFonts w:cs="Courier New"/>
          <w:sz w:val="24"/>
        </w:rPr>
        <w:t xml:space="preserve">innish population </w:t>
      </w:r>
      <w:r w:rsidR="00F70885">
        <w:rPr>
          <w:rFonts w:cs="Courier New"/>
          <w:sz w:val="24"/>
        </w:rPr>
        <w:t>[</w:t>
      </w:r>
      <w:r w:rsidR="001C01CF">
        <w:rPr>
          <w:rFonts w:cs="Courier New"/>
          <w:sz w:val="24"/>
        </w:rPr>
        <w:t>43</w:t>
      </w:r>
      <w:r w:rsidR="00F70885">
        <w:rPr>
          <w:rFonts w:cs="Courier New"/>
          <w:sz w:val="24"/>
        </w:rPr>
        <w:t>]</w:t>
      </w:r>
      <w:r w:rsidR="0057623A">
        <w:rPr>
          <w:rFonts w:cs="Courier New"/>
          <w:sz w:val="24"/>
        </w:rPr>
        <w:t xml:space="preserve">, </w:t>
      </w:r>
      <w:r w:rsidR="00DA1DB1">
        <w:rPr>
          <w:rFonts w:cs="Courier New"/>
          <w:sz w:val="24"/>
        </w:rPr>
        <w:t>but not at clinically significant levels</w:t>
      </w:r>
      <w:r w:rsidR="006E646D">
        <w:rPr>
          <w:rFonts w:cs="Courier New"/>
          <w:sz w:val="24"/>
        </w:rPr>
        <w:t xml:space="preserve">; this was </w:t>
      </w:r>
      <w:r w:rsidR="0057623A">
        <w:rPr>
          <w:rFonts w:cs="Courier New"/>
          <w:sz w:val="24"/>
        </w:rPr>
        <w:t xml:space="preserve">hypothesised to be because </w:t>
      </w:r>
      <w:r w:rsidR="006E646D">
        <w:rPr>
          <w:rFonts w:cs="Courier New"/>
          <w:sz w:val="24"/>
        </w:rPr>
        <w:t xml:space="preserve">the </w:t>
      </w:r>
      <w:r w:rsidR="0057623A">
        <w:rPr>
          <w:rFonts w:cs="Courier New"/>
          <w:sz w:val="24"/>
        </w:rPr>
        <w:t>men were generally healthy and well educated. However the</w:t>
      </w:r>
      <w:r w:rsidR="00DA1DB1">
        <w:rPr>
          <w:rFonts w:cs="Courier New"/>
          <w:sz w:val="24"/>
        </w:rPr>
        <w:t xml:space="preserve"> Finnish</w:t>
      </w:r>
      <w:r w:rsidR="0057623A">
        <w:rPr>
          <w:rFonts w:cs="Courier New"/>
          <w:sz w:val="24"/>
        </w:rPr>
        <w:t xml:space="preserve"> cohort was not age-matched</w:t>
      </w:r>
      <w:r w:rsidR="00D12895">
        <w:rPr>
          <w:rFonts w:cs="Courier New"/>
          <w:sz w:val="24"/>
        </w:rPr>
        <w:t xml:space="preserve">, </w:t>
      </w:r>
      <w:r w:rsidR="0057623A">
        <w:rPr>
          <w:rFonts w:cs="Courier New"/>
          <w:sz w:val="24"/>
        </w:rPr>
        <w:t>which may have conferred some bias</w:t>
      </w:r>
      <w:r>
        <w:rPr>
          <w:rFonts w:cs="Courier New"/>
          <w:sz w:val="24"/>
        </w:rPr>
        <w:t xml:space="preserve">. </w:t>
      </w:r>
      <w:r w:rsidR="0057623A">
        <w:rPr>
          <w:rFonts w:cs="Courier New"/>
          <w:sz w:val="24"/>
        </w:rPr>
        <w:t xml:space="preserve"> </w:t>
      </w:r>
    </w:p>
    <w:p w14:paraId="5AAAA050" w14:textId="2914ED75" w:rsidR="001C798D" w:rsidRDefault="001A0367" w:rsidP="001E225F">
      <w:pPr>
        <w:spacing w:line="360" w:lineRule="auto"/>
        <w:rPr>
          <w:rFonts w:cs="Courier New"/>
          <w:sz w:val="24"/>
        </w:rPr>
      </w:pPr>
      <w:r w:rsidRPr="001A0367">
        <w:rPr>
          <w:rFonts w:cs="Courier New"/>
          <w:sz w:val="24"/>
        </w:rPr>
        <w:t xml:space="preserve">In terms of </w:t>
      </w:r>
      <w:r>
        <w:rPr>
          <w:rFonts w:cs="Courier New"/>
          <w:sz w:val="24"/>
        </w:rPr>
        <w:t>general distress, scores were within previously reported population norms</w:t>
      </w:r>
      <w:r w:rsidR="00B802E2">
        <w:rPr>
          <w:rFonts w:cs="Courier New"/>
          <w:sz w:val="24"/>
        </w:rPr>
        <w:t xml:space="preserve"> </w:t>
      </w:r>
      <w:r w:rsidR="006321CA">
        <w:rPr>
          <w:rFonts w:cs="Courier New"/>
          <w:sz w:val="24"/>
        </w:rPr>
        <w:t>[</w:t>
      </w:r>
      <w:r w:rsidR="001C01CF">
        <w:rPr>
          <w:rFonts w:cs="Courier New"/>
          <w:sz w:val="24"/>
        </w:rPr>
        <w:t>41</w:t>
      </w:r>
      <w:r w:rsidR="00954674">
        <w:rPr>
          <w:rFonts w:cs="Courier New"/>
          <w:sz w:val="24"/>
        </w:rPr>
        <w:t>]</w:t>
      </w:r>
      <w:r>
        <w:rPr>
          <w:rFonts w:cs="Courier New"/>
          <w:sz w:val="24"/>
        </w:rPr>
        <w:t xml:space="preserve"> and no differences </w:t>
      </w:r>
      <w:r w:rsidR="00B21010">
        <w:rPr>
          <w:rFonts w:cs="Courier New"/>
          <w:sz w:val="24"/>
        </w:rPr>
        <w:t xml:space="preserve">were observed </w:t>
      </w:r>
      <w:r>
        <w:rPr>
          <w:rFonts w:cs="Courier New"/>
          <w:sz w:val="24"/>
        </w:rPr>
        <w:t>between carriers and controls</w:t>
      </w:r>
      <w:r w:rsidR="00954674">
        <w:rPr>
          <w:rFonts w:cs="Courier New"/>
          <w:sz w:val="24"/>
        </w:rPr>
        <w:t xml:space="preserve">. </w:t>
      </w:r>
      <w:r w:rsidR="00DA1DB1">
        <w:rPr>
          <w:rFonts w:cs="Courier New"/>
          <w:sz w:val="24"/>
        </w:rPr>
        <w:t>For</w:t>
      </w:r>
      <w:r w:rsidR="00364EA7">
        <w:rPr>
          <w:rFonts w:cs="Courier New"/>
          <w:sz w:val="24"/>
        </w:rPr>
        <w:t xml:space="preserve"> cancer-specific distress, a s</w:t>
      </w:r>
      <w:r w:rsidR="00364EA7" w:rsidRPr="005641E9">
        <w:rPr>
          <w:rFonts w:cs="Courier New"/>
          <w:sz w:val="24"/>
        </w:rPr>
        <w:t xml:space="preserve">ignificant difference </w:t>
      </w:r>
      <w:r w:rsidR="00364EA7">
        <w:rPr>
          <w:rFonts w:cs="Courier New"/>
          <w:sz w:val="24"/>
        </w:rPr>
        <w:t xml:space="preserve">was </w:t>
      </w:r>
      <w:r w:rsidR="00B21010">
        <w:rPr>
          <w:rFonts w:cs="Courier New"/>
          <w:sz w:val="24"/>
        </w:rPr>
        <w:t>found</w:t>
      </w:r>
      <w:r w:rsidR="00364EA7">
        <w:rPr>
          <w:rFonts w:cs="Courier New"/>
          <w:sz w:val="24"/>
        </w:rPr>
        <w:t xml:space="preserve"> </w:t>
      </w:r>
      <w:r w:rsidR="00364EA7" w:rsidRPr="005641E9">
        <w:rPr>
          <w:rFonts w:cs="Courier New"/>
          <w:sz w:val="24"/>
        </w:rPr>
        <w:t xml:space="preserve">between </w:t>
      </w:r>
      <w:r w:rsidR="00364EA7" w:rsidRPr="00364EA7">
        <w:rPr>
          <w:rFonts w:cs="Courier New"/>
          <w:i/>
          <w:sz w:val="24"/>
        </w:rPr>
        <w:t xml:space="preserve">BRCA </w:t>
      </w:r>
      <w:r w:rsidR="00364EA7" w:rsidRPr="005641E9">
        <w:rPr>
          <w:rFonts w:cs="Courier New"/>
          <w:sz w:val="24"/>
        </w:rPr>
        <w:t xml:space="preserve">carriers and controls </w:t>
      </w:r>
      <w:r w:rsidR="00364EA7">
        <w:rPr>
          <w:rFonts w:cs="Courier New"/>
          <w:sz w:val="24"/>
        </w:rPr>
        <w:t xml:space="preserve">for both the </w:t>
      </w:r>
      <w:r w:rsidR="00364EA7" w:rsidRPr="005641E9">
        <w:rPr>
          <w:rFonts w:cs="Courier New"/>
          <w:sz w:val="24"/>
        </w:rPr>
        <w:t>IES and CWS.</w:t>
      </w:r>
      <w:r w:rsidR="00364EA7">
        <w:rPr>
          <w:rFonts w:cs="Courier New"/>
          <w:sz w:val="24"/>
        </w:rPr>
        <w:t xml:space="preserve"> However the difference</w:t>
      </w:r>
      <w:r w:rsidR="00B21010">
        <w:rPr>
          <w:rFonts w:cs="Courier New"/>
          <w:sz w:val="24"/>
        </w:rPr>
        <w:t>s</w:t>
      </w:r>
      <w:r w:rsidR="00364EA7">
        <w:rPr>
          <w:rFonts w:cs="Courier New"/>
          <w:sz w:val="24"/>
        </w:rPr>
        <w:t xml:space="preserve"> w</w:t>
      </w:r>
      <w:r w:rsidR="00B21010">
        <w:rPr>
          <w:rFonts w:cs="Courier New"/>
          <w:sz w:val="24"/>
        </w:rPr>
        <w:t>ere</w:t>
      </w:r>
      <w:r w:rsidR="00364EA7">
        <w:rPr>
          <w:rFonts w:cs="Courier New"/>
          <w:sz w:val="24"/>
        </w:rPr>
        <w:t xml:space="preserve"> small and mean</w:t>
      </w:r>
      <w:r w:rsidR="00B21010">
        <w:rPr>
          <w:rFonts w:cs="Courier New"/>
          <w:sz w:val="24"/>
        </w:rPr>
        <w:t xml:space="preserve"> scores </w:t>
      </w:r>
      <w:r w:rsidR="00364EA7">
        <w:rPr>
          <w:rFonts w:cs="Courier New"/>
          <w:sz w:val="24"/>
        </w:rPr>
        <w:t>remained below clinically relevant levels for the IES. Importantly</w:t>
      </w:r>
      <w:r w:rsidR="00B21010">
        <w:rPr>
          <w:rFonts w:cs="Courier New"/>
          <w:sz w:val="24"/>
        </w:rPr>
        <w:t>, at the</w:t>
      </w:r>
      <w:r w:rsidR="00364EA7">
        <w:rPr>
          <w:rFonts w:cs="Courier New"/>
          <w:sz w:val="24"/>
        </w:rPr>
        <w:t xml:space="preserve"> multivariate </w:t>
      </w:r>
      <w:r w:rsidR="00B21010">
        <w:rPr>
          <w:rFonts w:cs="Courier New"/>
          <w:sz w:val="24"/>
        </w:rPr>
        <w:t>level,</w:t>
      </w:r>
      <w:r w:rsidR="00364EA7">
        <w:rPr>
          <w:rFonts w:cs="Courier New"/>
          <w:sz w:val="24"/>
        </w:rPr>
        <w:t xml:space="preserve"> risk perception </w:t>
      </w:r>
      <w:r w:rsidR="00351E07">
        <w:rPr>
          <w:rFonts w:cs="Courier New"/>
          <w:sz w:val="24"/>
        </w:rPr>
        <w:t xml:space="preserve">was </w:t>
      </w:r>
      <w:r w:rsidR="00364EA7">
        <w:rPr>
          <w:rFonts w:cs="Courier New"/>
          <w:sz w:val="24"/>
        </w:rPr>
        <w:t xml:space="preserve">found to have a </w:t>
      </w:r>
      <w:r w:rsidR="00B21010">
        <w:rPr>
          <w:rFonts w:cs="Courier New"/>
          <w:sz w:val="24"/>
        </w:rPr>
        <w:t xml:space="preserve">stronger association with distress levels </w:t>
      </w:r>
      <w:r w:rsidR="00364EA7">
        <w:rPr>
          <w:rFonts w:cs="Courier New"/>
          <w:sz w:val="24"/>
        </w:rPr>
        <w:t xml:space="preserve">than genetic status itself. </w:t>
      </w:r>
    </w:p>
    <w:p w14:paraId="5ED4FD45" w14:textId="10D68802" w:rsidR="00364EA7" w:rsidRDefault="00DA1DB1" w:rsidP="001E225F">
      <w:pPr>
        <w:spacing w:line="360" w:lineRule="auto"/>
        <w:rPr>
          <w:rFonts w:cs="Courier New"/>
          <w:sz w:val="24"/>
        </w:rPr>
      </w:pPr>
      <w:r>
        <w:rPr>
          <w:rFonts w:cs="Courier New"/>
          <w:sz w:val="24"/>
        </w:rPr>
        <w:t>There was n</w:t>
      </w:r>
      <w:r w:rsidR="0017524A" w:rsidRPr="0017524A">
        <w:rPr>
          <w:rFonts w:cs="Courier New"/>
          <w:sz w:val="24"/>
        </w:rPr>
        <w:t xml:space="preserve">o </w:t>
      </w:r>
      <w:r w:rsidR="00B21010">
        <w:rPr>
          <w:rFonts w:cs="Courier New"/>
          <w:sz w:val="24"/>
        </w:rPr>
        <w:t xml:space="preserve">significant </w:t>
      </w:r>
      <w:r w:rsidR="0017524A" w:rsidRPr="0017524A">
        <w:rPr>
          <w:rFonts w:cs="Courier New"/>
          <w:sz w:val="24"/>
        </w:rPr>
        <w:t xml:space="preserve">association </w:t>
      </w:r>
      <w:r w:rsidR="00B21010">
        <w:rPr>
          <w:rFonts w:cs="Courier New"/>
          <w:sz w:val="24"/>
        </w:rPr>
        <w:t xml:space="preserve">observed </w:t>
      </w:r>
      <w:r w:rsidR="0017524A" w:rsidRPr="0017524A">
        <w:rPr>
          <w:rFonts w:cs="Courier New"/>
          <w:sz w:val="24"/>
        </w:rPr>
        <w:t xml:space="preserve">between anxiety and having a </w:t>
      </w:r>
      <w:r w:rsidR="002751A4">
        <w:rPr>
          <w:rFonts w:cs="Courier New"/>
          <w:sz w:val="24"/>
        </w:rPr>
        <w:t>FH</w:t>
      </w:r>
      <w:r w:rsidR="0017524A" w:rsidRPr="0017524A">
        <w:rPr>
          <w:rFonts w:cs="Courier New"/>
          <w:sz w:val="24"/>
        </w:rPr>
        <w:t xml:space="preserve"> o</w:t>
      </w:r>
      <w:r>
        <w:rPr>
          <w:rFonts w:cs="Courier New"/>
          <w:sz w:val="24"/>
        </w:rPr>
        <w:t>f</w:t>
      </w:r>
      <w:r w:rsidR="0017524A" w:rsidRPr="0017524A">
        <w:rPr>
          <w:rFonts w:cs="Courier New"/>
          <w:sz w:val="24"/>
        </w:rPr>
        <w:t xml:space="preserve"> </w:t>
      </w:r>
      <w:proofErr w:type="spellStart"/>
      <w:r w:rsidR="0017524A" w:rsidRPr="0017524A">
        <w:rPr>
          <w:rFonts w:cs="Courier New"/>
          <w:sz w:val="24"/>
        </w:rPr>
        <w:t>PCa</w:t>
      </w:r>
      <w:proofErr w:type="spellEnd"/>
      <w:r w:rsidR="0017524A" w:rsidRPr="0017524A">
        <w:rPr>
          <w:rFonts w:cs="Courier New"/>
          <w:sz w:val="24"/>
        </w:rPr>
        <w:t xml:space="preserve">, supporting previous reports </w:t>
      </w:r>
      <w:r w:rsidR="00F70885">
        <w:rPr>
          <w:rFonts w:cs="Courier New"/>
          <w:sz w:val="24"/>
        </w:rPr>
        <w:t>[</w:t>
      </w:r>
      <w:r w:rsidR="006321CA">
        <w:rPr>
          <w:rFonts w:cs="Courier New"/>
          <w:sz w:val="24"/>
        </w:rPr>
        <w:t>15</w:t>
      </w:r>
      <w:proofErr w:type="gramStart"/>
      <w:r w:rsidR="006321CA">
        <w:rPr>
          <w:rFonts w:cs="Courier New"/>
          <w:sz w:val="24"/>
        </w:rPr>
        <w:t>,24,28,</w:t>
      </w:r>
      <w:r w:rsidR="001C01CF">
        <w:rPr>
          <w:rFonts w:cs="Courier New"/>
          <w:sz w:val="24"/>
        </w:rPr>
        <w:t>42</w:t>
      </w:r>
      <w:r w:rsidR="006321CA">
        <w:rPr>
          <w:rFonts w:cs="Courier New"/>
          <w:sz w:val="24"/>
        </w:rPr>
        <w:t>,</w:t>
      </w:r>
      <w:r w:rsidR="001C01CF">
        <w:rPr>
          <w:rFonts w:cs="Courier New"/>
          <w:sz w:val="24"/>
        </w:rPr>
        <w:t>45</w:t>
      </w:r>
      <w:proofErr w:type="gramEnd"/>
      <w:r w:rsidR="00F70885">
        <w:rPr>
          <w:rFonts w:cs="Courier New"/>
          <w:sz w:val="24"/>
        </w:rPr>
        <w:t>]</w:t>
      </w:r>
      <w:r w:rsidR="0017524A">
        <w:rPr>
          <w:rFonts w:cs="Courier New"/>
          <w:sz w:val="24"/>
        </w:rPr>
        <w:t>. M</w:t>
      </w:r>
      <w:r w:rsidR="00364EA7" w:rsidRPr="005641E9">
        <w:rPr>
          <w:rFonts w:cs="Courier New"/>
          <w:sz w:val="24"/>
        </w:rPr>
        <w:t xml:space="preserve">en </w:t>
      </w:r>
      <w:r w:rsidR="00AE36CE" w:rsidRPr="005641E9">
        <w:rPr>
          <w:rFonts w:cs="Courier New"/>
          <w:sz w:val="24"/>
        </w:rPr>
        <w:t>report</w:t>
      </w:r>
      <w:r w:rsidR="00AE36CE">
        <w:rPr>
          <w:rFonts w:cs="Courier New"/>
          <w:sz w:val="24"/>
        </w:rPr>
        <w:t>ing</w:t>
      </w:r>
      <w:r w:rsidR="00AE36CE" w:rsidRPr="005641E9">
        <w:rPr>
          <w:rFonts w:cs="Courier New"/>
          <w:sz w:val="24"/>
        </w:rPr>
        <w:t xml:space="preserve"> </w:t>
      </w:r>
      <w:r w:rsidR="00364EA7" w:rsidRPr="005641E9">
        <w:rPr>
          <w:rFonts w:cs="Courier New"/>
          <w:sz w:val="24"/>
        </w:rPr>
        <w:t xml:space="preserve">higher </w:t>
      </w:r>
      <w:proofErr w:type="spellStart"/>
      <w:r w:rsidR="00364EA7" w:rsidRPr="005641E9">
        <w:rPr>
          <w:rFonts w:cs="Courier New"/>
          <w:sz w:val="24"/>
        </w:rPr>
        <w:t>PC</w:t>
      </w:r>
      <w:r w:rsidR="00364EA7">
        <w:rPr>
          <w:rFonts w:cs="Courier New"/>
          <w:sz w:val="24"/>
        </w:rPr>
        <w:t>a</w:t>
      </w:r>
      <w:proofErr w:type="spellEnd"/>
      <w:r w:rsidR="0017524A">
        <w:rPr>
          <w:rFonts w:cs="Courier New"/>
          <w:sz w:val="24"/>
        </w:rPr>
        <w:t xml:space="preserve"> risk perception were found to have c</w:t>
      </w:r>
      <w:r w:rsidR="00364EA7" w:rsidRPr="005641E9">
        <w:rPr>
          <w:rFonts w:cs="Courier New"/>
          <w:sz w:val="24"/>
        </w:rPr>
        <w:t xml:space="preserve">onsistently higher scores across all psychological distress scales (general and cancer-specific). </w:t>
      </w:r>
      <w:r w:rsidR="0098456D">
        <w:rPr>
          <w:rFonts w:cs="Courier New"/>
          <w:sz w:val="24"/>
        </w:rPr>
        <w:t xml:space="preserve">Similar results were reported by Taylor et al </w:t>
      </w:r>
      <w:r w:rsidR="00F70885">
        <w:rPr>
          <w:rFonts w:cs="Courier New"/>
          <w:sz w:val="24"/>
        </w:rPr>
        <w:t>[</w:t>
      </w:r>
      <w:r w:rsidR="006321CA">
        <w:rPr>
          <w:rFonts w:cs="Courier New"/>
          <w:sz w:val="24"/>
        </w:rPr>
        <w:t>24</w:t>
      </w:r>
      <w:r w:rsidR="00F70885">
        <w:rPr>
          <w:rFonts w:cs="Courier New"/>
          <w:sz w:val="24"/>
        </w:rPr>
        <w:t>]</w:t>
      </w:r>
      <w:r w:rsidR="0098456D">
        <w:rPr>
          <w:rFonts w:cs="Courier New"/>
          <w:sz w:val="24"/>
        </w:rPr>
        <w:t xml:space="preserve">. </w:t>
      </w:r>
      <w:r w:rsidR="00364EA7" w:rsidRPr="005641E9">
        <w:rPr>
          <w:rFonts w:cs="Courier New"/>
          <w:sz w:val="24"/>
        </w:rPr>
        <w:t xml:space="preserve">However, the effect size was small across all scales and no group had a mean </w:t>
      </w:r>
      <w:r w:rsidR="00B21010">
        <w:rPr>
          <w:rFonts w:cs="Courier New"/>
          <w:sz w:val="24"/>
        </w:rPr>
        <w:t xml:space="preserve">distress score </w:t>
      </w:r>
      <w:r w:rsidR="00364EA7" w:rsidRPr="005641E9">
        <w:rPr>
          <w:rFonts w:cs="Courier New"/>
          <w:sz w:val="24"/>
        </w:rPr>
        <w:t xml:space="preserve">that reached clinically significant levels, where such thresholds </w:t>
      </w:r>
      <w:r w:rsidR="00B21010">
        <w:rPr>
          <w:rFonts w:cs="Courier New"/>
          <w:sz w:val="24"/>
        </w:rPr>
        <w:t>were</w:t>
      </w:r>
      <w:r w:rsidR="00364EA7" w:rsidRPr="005641E9">
        <w:rPr>
          <w:rFonts w:cs="Courier New"/>
          <w:sz w:val="24"/>
        </w:rPr>
        <w:t xml:space="preserve"> available </w:t>
      </w:r>
      <w:r w:rsidR="00954674">
        <w:rPr>
          <w:rFonts w:cs="Courier New"/>
          <w:sz w:val="24"/>
        </w:rPr>
        <w:t>[</w:t>
      </w:r>
      <w:r w:rsidR="006321CA">
        <w:rPr>
          <w:rFonts w:cs="Courier New"/>
          <w:sz w:val="24"/>
        </w:rPr>
        <w:t>3</w:t>
      </w:r>
      <w:r w:rsidR="006C5C73">
        <w:rPr>
          <w:rFonts w:cs="Courier New"/>
          <w:sz w:val="24"/>
        </w:rPr>
        <w:t>0</w:t>
      </w:r>
      <w:proofErr w:type="gramStart"/>
      <w:r w:rsidR="006321CA">
        <w:rPr>
          <w:rFonts w:cs="Courier New"/>
          <w:sz w:val="24"/>
        </w:rPr>
        <w:t>,</w:t>
      </w:r>
      <w:r w:rsidR="001C01CF">
        <w:rPr>
          <w:rFonts w:cs="Courier New"/>
          <w:sz w:val="24"/>
        </w:rPr>
        <w:t>41</w:t>
      </w:r>
      <w:proofErr w:type="gramEnd"/>
      <w:r w:rsidR="0098456D">
        <w:rPr>
          <w:rFonts w:cs="Courier New"/>
          <w:sz w:val="24"/>
        </w:rPr>
        <w:t>]</w:t>
      </w:r>
      <w:r w:rsidR="00364EA7" w:rsidRPr="005641E9">
        <w:rPr>
          <w:rFonts w:cs="Courier New"/>
          <w:sz w:val="24"/>
        </w:rPr>
        <w:t>. Therefore</w:t>
      </w:r>
      <w:r w:rsidR="00B21010">
        <w:rPr>
          <w:rFonts w:cs="Courier New"/>
          <w:sz w:val="24"/>
        </w:rPr>
        <w:t>,</w:t>
      </w:r>
      <w:r w:rsidR="00364EA7" w:rsidRPr="005641E9">
        <w:rPr>
          <w:rFonts w:cs="Courier New"/>
          <w:sz w:val="24"/>
        </w:rPr>
        <w:t xml:space="preserve"> it is fair to conclude that, </w:t>
      </w:r>
      <w:r w:rsidR="00364EA7">
        <w:rPr>
          <w:rFonts w:cs="Courier New"/>
          <w:sz w:val="24"/>
        </w:rPr>
        <w:t>whilst having a modest impact on men’s distress levels</w:t>
      </w:r>
      <w:r w:rsidR="00364EA7" w:rsidRPr="005641E9">
        <w:rPr>
          <w:rFonts w:cs="Courier New"/>
          <w:sz w:val="24"/>
        </w:rPr>
        <w:t xml:space="preserve">, a high </w:t>
      </w:r>
      <w:r w:rsidR="00B21010">
        <w:rPr>
          <w:rFonts w:cs="Courier New"/>
          <w:sz w:val="24"/>
        </w:rPr>
        <w:t xml:space="preserve">perceived </w:t>
      </w:r>
      <w:proofErr w:type="spellStart"/>
      <w:r w:rsidR="00364EA7" w:rsidRPr="005641E9">
        <w:rPr>
          <w:rFonts w:cs="Courier New"/>
          <w:sz w:val="24"/>
        </w:rPr>
        <w:t>PCa</w:t>
      </w:r>
      <w:proofErr w:type="spellEnd"/>
      <w:r w:rsidR="00364EA7" w:rsidRPr="005641E9">
        <w:rPr>
          <w:rFonts w:cs="Courier New"/>
          <w:sz w:val="24"/>
        </w:rPr>
        <w:t xml:space="preserve"> risk </w:t>
      </w:r>
      <w:r w:rsidR="00B21010">
        <w:rPr>
          <w:rFonts w:cs="Courier New"/>
          <w:sz w:val="24"/>
        </w:rPr>
        <w:t xml:space="preserve">is not associated strongly with </w:t>
      </w:r>
      <w:r w:rsidR="00364EA7" w:rsidRPr="005641E9">
        <w:rPr>
          <w:rFonts w:cs="Courier New"/>
          <w:sz w:val="24"/>
        </w:rPr>
        <w:t xml:space="preserve">clinically significant levels of distress in this cohort. </w:t>
      </w:r>
    </w:p>
    <w:p w14:paraId="2C052299" w14:textId="0E913847" w:rsidR="000F2E73" w:rsidRDefault="000F2E73" w:rsidP="001E225F">
      <w:pPr>
        <w:spacing w:line="360" w:lineRule="auto"/>
        <w:rPr>
          <w:rFonts w:cs="Courier New"/>
          <w:sz w:val="24"/>
        </w:rPr>
      </w:pPr>
      <w:r>
        <w:rPr>
          <w:rFonts w:cs="Courier New"/>
          <w:sz w:val="24"/>
        </w:rPr>
        <w:t xml:space="preserve">A number of studies have </w:t>
      </w:r>
      <w:r w:rsidR="00B21010">
        <w:rPr>
          <w:rFonts w:cs="Courier New"/>
          <w:sz w:val="24"/>
        </w:rPr>
        <w:t xml:space="preserve">reported </w:t>
      </w:r>
      <w:r>
        <w:rPr>
          <w:rFonts w:cs="Courier New"/>
          <w:sz w:val="24"/>
        </w:rPr>
        <w:t xml:space="preserve">that </w:t>
      </w:r>
      <w:r w:rsidR="00B21010">
        <w:rPr>
          <w:rFonts w:cs="Courier New"/>
          <w:sz w:val="24"/>
        </w:rPr>
        <w:t xml:space="preserve">anxiety surrounding </w:t>
      </w:r>
      <w:r>
        <w:rPr>
          <w:rFonts w:cs="Courier New"/>
          <w:sz w:val="24"/>
        </w:rPr>
        <w:t>cancer screening affect</w:t>
      </w:r>
      <w:r w:rsidR="00AE36CE">
        <w:rPr>
          <w:rFonts w:cs="Courier New"/>
          <w:sz w:val="24"/>
        </w:rPr>
        <w:t>s</w:t>
      </w:r>
      <w:r>
        <w:rPr>
          <w:rFonts w:cs="Courier New"/>
          <w:sz w:val="24"/>
        </w:rPr>
        <w:t xml:space="preserve"> a small number of people who are predisposed to anxiety</w:t>
      </w:r>
      <w:r w:rsidR="0017524A">
        <w:rPr>
          <w:rFonts w:cs="Courier New"/>
          <w:sz w:val="24"/>
        </w:rPr>
        <w:t xml:space="preserve">, and </w:t>
      </w:r>
      <w:r w:rsidR="00B21010">
        <w:rPr>
          <w:rFonts w:cs="Courier New"/>
          <w:sz w:val="24"/>
        </w:rPr>
        <w:t xml:space="preserve">that </w:t>
      </w:r>
      <w:r w:rsidR="0017524A">
        <w:rPr>
          <w:rFonts w:cs="Courier New"/>
          <w:sz w:val="24"/>
        </w:rPr>
        <w:t>this anxiety continues throughout participation in cancer screening</w:t>
      </w:r>
      <w:r>
        <w:rPr>
          <w:rFonts w:cs="Courier New"/>
          <w:sz w:val="24"/>
        </w:rPr>
        <w:t xml:space="preserve"> </w:t>
      </w:r>
      <w:r w:rsidR="00D22CE2">
        <w:rPr>
          <w:rFonts w:cs="Courier New"/>
          <w:sz w:val="24"/>
        </w:rPr>
        <w:t>[</w:t>
      </w:r>
      <w:r w:rsidR="006321CA">
        <w:rPr>
          <w:rFonts w:cs="Courier New"/>
          <w:sz w:val="24"/>
        </w:rPr>
        <w:t>16</w:t>
      </w:r>
      <w:proofErr w:type="gramStart"/>
      <w:r w:rsidR="006321CA">
        <w:rPr>
          <w:rFonts w:cs="Courier New"/>
          <w:sz w:val="24"/>
        </w:rPr>
        <w:t>,27,28,</w:t>
      </w:r>
      <w:r w:rsidR="001C01CF">
        <w:rPr>
          <w:rFonts w:cs="Courier New"/>
          <w:sz w:val="24"/>
        </w:rPr>
        <w:t>42</w:t>
      </w:r>
      <w:r w:rsidR="006321CA">
        <w:rPr>
          <w:rFonts w:cs="Courier New"/>
          <w:sz w:val="24"/>
        </w:rPr>
        <w:t>,</w:t>
      </w:r>
      <w:r w:rsidR="001C01CF">
        <w:rPr>
          <w:rFonts w:cs="Courier New"/>
          <w:sz w:val="24"/>
        </w:rPr>
        <w:t>46</w:t>
      </w:r>
      <w:proofErr w:type="gramEnd"/>
      <w:r w:rsidR="00F70885">
        <w:rPr>
          <w:rFonts w:cs="Courier New"/>
          <w:sz w:val="24"/>
        </w:rPr>
        <w:t>]</w:t>
      </w:r>
      <w:r>
        <w:rPr>
          <w:rFonts w:cs="Courier New"/>
          <w:sz w:val="24"/>
        </w:rPr>
        <w:t xml:space="preserve">. </w:t>
      </w:r>
      <w:r w:rsidR="00EF0CDD">
        <w:rPr>
          <w:rFonts w:cs="Courier New"/>
          <w:sz w:val="24"/>
        </w:rPr>
        <w:t>Our data support this finding, with a small proportion of men reporting clinically significant levels of distress</w:t>
      </w:r>
      <w:r w:rsidR="003F6BEE">
        <w:rPr>
          <w:rFonts w:cs="Courier New"/>
          <w:sz w:val="24"/>
        </w:rPr>
        <w:t xml:space="preserve">. It will be important to compare these baseline levels with subsequent screening rounds in IMPACT </w:t>
      </w:r>
      <w:r w:rsidR="00AD2672">
        <w:rPr>
          <w:rFonts w:cs="Courier New"/>
          <w:sz w:val="24"/>
        </w:rPr>
        <w:t xml:space="preserve">and </w:t>
      </w:r>
      <w:r w:rsidR="00B21010">
        <w:rPr>
          <w:rFonts w:cs="Courier New"/>
          <w:sz w:val="24"/>
        </w:rPr>
        <w:t xml:space="preserve">to </w:t>
      </w:r>
      <w:r w:rsidR="00AD2672">
        <w:rPr>
          <w:rFonts w:cs="Courier New"/>
          <w:sz w:val="24"/>
        </w:rPr>
        <w:t>include previous high PSA results as a covariate</w:t>
      </w:r>
      <w:r w:rsidR="00B21010">
        <w:rPr>
          <w:rFonts w:cs="Courier New"/>
          <w:sz w:val="24"/>
        </w:rPr>
        <w:t>,</w:t>
      </w:r>
      <w:r w:rsidR="003F6BEE">
        <w:rPr>
          <w:rFonts w:cs="Courier New"/>
          <w:sz w:val="24"/>
        </w:rPr>
        <w:t xml:space="preserve"> as both the European and American screening studies report high levels of anxiety in men </w:t>
      </w:r>
      <w:r w:rsidR="00DA1DB1">
        <w:rPr>
          <w:rFonts w:cs="Courier New"/>
          <w:sz w:val="24"/>
        </w:rPr>
        <w:t>with</w:t>
      </w:r>
      <w:r w:rsidR="003F6BEE">
        <w:rPr>
          <w:rFonts w:cs="Courier New"/>
          <w:sz w:val="24"/>
        </w:rPr>
        <w:t xml:space="preserve"> previously elevated PSA </w:t>
      </w:r>
      <w:r w:rsidR="00B21010">
        <w:rPr>
          <w:rFonts w:cs="Courier New"/>
          <w:sz w:val="24"/>
        </w:rPr>
        <w:t>levels</w:t>
      </w:r>
      <w:r w:rsidR="003F6BEE">
        <w:rPr>
          <w:rFonts w:cs="Courier New"/>
          <w:sz w:val="24"/>
        </w:rPr>
        <w:t xml:space="preserve"> </w:t>
      </w:r>
      <w:r w:rsidR="00D22CE2">
        <w:rPr>
          <w:rFonts w:cs="Courier New"/>
          <w:sz w:val="24"/>
        </w:rPr>
        <w:t>[</w:t>
      </w:r>
      <w:r w:rsidR="006321CA">
        <w:rPr>
          <w:rFonts w:cs="Courier New"/>
          <w:sz w:val="24"/>
        </w:rPr>
        <w:t>26</w:t>
      </w:r>
      <w:proofErr w:type="gramStart"/>
      <w:r w:rsidR="003F6BEE">
        <w:rPr>
          <w:rFonts w:cs="Courier New"/>
          <w:sz w:val="24"/>
        </w:rPr>
        <w:t>,</w:t>
      </w:r>
      <w:r w:rsidR="006321CA">
        <w:rPr>
          <w:rFonts w:cs="Courier New"/>
          <w:sz w:val="24"/>
        </w:rPr>
        <w:t>2</w:t>
      </w:r>
      <w:r w:rsidR="00F70885">
        <w:rPr>
          <w:rFonts w:cs="Courier New"/>
          <w:sz w:val="24"/>
        </w:rPr>
        <w:t>7</w:t>
      </w:r>
      <w:proofErr w:type="gramEnd"/>
      <w:r w:rsidR="00F70885">
        <w:rPr>
          <w:rFonts w:cs="Courier New"/>
          <w:sz w:val="24"/>
        </w:rPr>
        <w:t>]</w:t>
      </w:r>
      <w:r w:rsidR="003F6BEE">
        <w:rPr>
          <w:rFonts w:cs="Courier New"/>
          <w:sz w:val="24"/>
        </w:rPr>
        <w:t xml:space="preserve">. </w:t>
      </w:r>
      <w:r w:rsidR="00EF0CDD">
        <w:rPr>
          <w:rFonts w:cs="Courier New"/>
          <w:sz w:val="24"/>
        </w:rPr>
        <w:t xml:space="preserve">Identifying men with a predisposition to high levels of psychological distress could </w:t>
      </w:r>
      <w:r w:rsidR="00B21010">
        <w:rPr>
          <w:rFonts w:cs="Courier New"/>
          <w:sz w:val="24"/>
        </w:rPr>
        <w:t xml:space="preserve">facilitate providing timely </w:t>
      </w:r>
      <w:r w:rsidR="00EF0CDD">
        <w:rPr>
          <w:rFonts w:cs="Courier New"/>
          <w:sz w:val="24"/>
        </w:rPr>
        <w:t>support to manage this distress</w:t>
      </w:r>
      <w:r w:rsidR="00E35A45">
        <w:rPr>
          <w:rFonts w:cs="Courier New"/>
          <w:sz w:val="24"/>
        </w:rPr>
        <w:t xml:space="preserve"> and potentially increase adherence with screening recommendations</w:t>
      </w:r>
      <w:r w:rsidR="00EF0CDD">
        <w:rPr>
          <w:rFonts w:cs="Courier New"/>
          <w:sz w:val="24"/>
        </w:rPr>
        <w:t xml:space="preserve">. </w:t>
      </w:r>
    </w:p>
    <w:p w14:paraId="5C0D1BF3" w14:textId="6CB5F9F7" w:rsidR="00191F8D" w:rsidRDefault="0017524A" w:rsidP="001E225F">
      <w:pPr>
        <w:spacing w:line="360" w:lineRule="auto"/>
        <w:rPr>
          <w:rFonts w:cs="Courier New"/>
          <w:sz w:val="24"/>
        </w:rPr>
      </w:pPr>
      <w:r w:rsidRPr="0017524A">
        <w:rPr>
          <w:rFonts w:cs="Courier New"/>
          <w:sz w:val="24"/>
        </w:rPr>
        <w:lastRenderedPageBreak/>
        <w:t xml:space="preserve">We did not </w:t>
      </w:r>
      <w:r w:rsidR="00B21010">
        <w:rPr>
          <w:rFonts w:cs="Courier New"/>
          <w:sz w:val="24"/>
        </w:rPr>
        <w:t>observe</w:t>
      </w:r>
      <w:r w:rsidRPr="0017524A">
        <w:rPr>
          <w:rFonts w:cs="Courier New"/>
          <w:sz w:val="24"/>
        </w:rPr>
        <w:t xml:space="preserve"> a</w:t>
      </w:r>
      <w:r w:rsidR="00B21010">
        <w:rPr>
          <w:rFonts w:cs="Courier New"/>
          <w:sz w:val="24"/>
        </w:rPr>
        <w:t xml:space="preserve"> significant</w:t>
      </w:r>
      <w:r w:rsidRPr="0017524A">
        <w:rPr>
          <w:rFonts w:cs="Courier New"/>
          <w:sz w:val="24"/>
        </w:rPr>
        <w:t xml:space="preserve"> association </w:t>
      </w:r>
      <w:r w:rsidR="00DA1DB1">
        <w:rPr>
          <w:rFonts w:cs="Courier New"/>
          <w:sz w:val="24"/>
        </w:rPr>
        <w:t>between</w:t>
      </w:r>
      <w:r w:rsidR="00DA1DB1" w:rsidRPr="0017524A">
        <w:rPr>
          <w:rFonts w:cs="Courier New"/>
          <w:sz w:val="24"/>
        </w:rPr>
        <w:t xml:space="preserve"> </w:t>
      </w:r>
      <w:r w:rsidRPr="0017524A">
        <w:rPr>
          <w:rFonts w:cs="Courier New"/>
          <w:sz w:val="24"/>
        </w:rPr>
        <w:t xml:space="preserve">distress </w:t>
      </w:r>
      <w:r w:rsidR="00DA1DB1">
        <w:rPr>
          <w:rFonts w:cs="Courier New"/>
          <w:sz w:val="24"/>
        </w:rPr>
        <w:t>and</w:t>
      </w:r>
      <w:r w:rsidR="00DA1DB1" w:rsidRPr="0017524A">
        <w:rPr>
          <w:rFonts w:cs="Courier New"/>
          <w:sz w:val="24"/>
        </w:rPr>
        <w:t xml:space="preserve"> </w:t>
      </w:r>
      <w:r w:rsidRPr="0017524A">
        <w:rPr>
          <w:rFonts w:cs="Courier New"/>
          <w:sz w:val="24"/>
        </w:rPr>
        <w:t>age</w:t>
      </w:r>
      <w:r w:rsidR="00B21010">
        <w:rPr>
          <w:rFonts w:cs="Courier New"/>
          <w:sz w:val="24"/>
        </w:rPr>
        <w:t>. While this supports several earlier studies</w:t>
      </w:r>
      <w:r w:rsidRPr="0017524A">
        <w:rPr>
          <w:rFonts w:cs="Courier New"/>
          <w:sz w:val="24"/>
        </w:rPr>
        <w:t xml:space="preserve"> </w:t>
      </w:r>
      <w:r w:rsidR="00F70885">
        <w:rPr>
          <w:rFonts w:cs="Courier New"/>
          <w:sz w:val="24"/>
        </w:rPr>
        <w:t>[</w:t>
      </w:r>
      <w:r w:rsidR="006321CA">
        <w:rPr>
          <w:rFonts w:cs="Courier New"/>
          <w:sz w:val="24"/>
        </w:rPr>
        <w:t>16</w:t>
      </w:r>
      <w:proofErr w:type="gramStart"/>
      <w:r w:rsidRPr="0017524A">
        <w:rPr>
          <w:rFonts w:cs="Courier New"/>
          <w:sz w:val="24"/>
        </w:rPr>
        <w:t>,</w:t>
      </w:r>
      <w:r w:rsidR="001C01CF">
        <w:rPr>
          <w:rFonts w:cs="Courier New"/>
          <w:sz w:val="24"/>
        </w:rPr>
        <w:t>42</w:t>
      </w:r>
      <w:proofErr w:type="gramEnd"/>
      <w:r w:rsidR="00F70885">
        <w:rPr>
          <w:rFonts w:cs="Courier New"/>
          <w:sz w:val="24"/>
        </w:rPr>
        <w:t>]</w:t>
      </w:r>
      <w:r w:rsidRPr="0017524A">
        <w:rPr>
          <w:rFonts w:cs="Courier New"/>
          <w:sz w:val="24"/>
        </w:rPr>
        <w:t xml:space="preserve">, one study </w:t>
      </w:r>
      <w:r w:rsidR="00B21010">
        <w:rPr>
          <w:rFonts w:cs="Courier New"/>
          <w:sz w:val="24"/>
        </w:rPr>
        <w:t xml:space="preserve">reported </w:t>
      </w:r>
      <w:r w:rsidRPr="0017524A">
        <w:rPr>
          <w:rFonts w:cs="Courier New"/>
          <w:sz w:val="24"/>
        </w:rPr>
        <w:t xml:space="preserve">an inverse relationship between age and distress levels </w:t>
      </w:r>
      <w:r w:rsidR="00D22CE2">
        <w:rPr>
          <w:rFonts w:cs="Courier New"/>
          <w:sz w:val="24"/>
        </w:rPr>
        <w:t>[</w:t>
      </w:r>
      <w:r w:rsidR="006321CA">
        <w:rPr>
          <w:rFonts w:cs="Courier New"/>
          <w:sz w:val="24"/>
        </w:rPr>
        <w:t>27</w:t>
      </w:r>
      <w:r w:rsidR="00D22CE2">
        <w:rPr>
          <w:rFonts w:cs="Courier New"/>
          <w:sz w:val="24"/>
        </w:rPr>
        <w:t>]</w:t>
      </w:r>
      <w:r w:rsidRPr="0017524A">
        <w:rPr>
          <w:rFonts w:cs="Courier New"/>
          <w:sz w:val="24"/>
        </w:rPr>
        <w:t xml:space="preserve">. </w:t>
      </w:r>
      <w:r>
        <w:rPr>
          <w:rFonts w:cs="Courier New"/>
          <w:sz w:val="24"/>
        </w:rPr>
        <w:t xml:space="preserve"> </w:t>
      </w:r>
    </w:p>
    <w:p w14:paraId="7DF62758" w14:textId="702139E7" w:rsidR="003F6BEE" w:rsidRDefault="003F6BEE" w:rsidP="001E225F">
      <w:pPr>
        <w:spacing w:line="360" w:lineRule="auto"/>
        <w:outlineLvl w:val="0"/>
        <w:rPr>
          <w:rFonts w:cs="Courier New"/>
          <w:sz w:val="24"/>
        </w:rPr>
      </w:pPr>
      <w:r>
        <w:rPr>
          <w:rFonts w:cs="Courier New"/>
          <w:sz w:val="24"/>
        </w:rPr>
        <w:t xml:space="preserve">It is important to consider whether we would </w:t>
      </w:r>
      <w:r w:rsidR="006E646D">
        <w:rPr>
          <w:rFonts w:cs="Courier New"/>
          <w:sz w:val="24"/>
        </w:rPr>
        <w:t xml:space="preserve">have observed </w:t>
      </w:r>
      <w:r>
        <w:rPr>
          <w:rFonts w:cs="Courier New"/>
          <w:sz w:val="24"/>
        </w:rPr>
        <w:t>different</w:t>
      </w:r>
      <w:r w:rsidR="00FE016A">
        <w:rPr>
          <w:rFonts w:cs="Courier New"/>
          <w:sz w:val="24"/>
        </w:rPr>
        <w:t xml:space="preserve"> </w:t>
      </w:r>
      <w:r>
        <w:rPr>
          <w:rFonts w:cs="Courier New"/>
          <w:sz w:val="24"/>
        </w:rPr>
        <w:t>result</w:t>
      </w:r>
      <w:r w:rsidR="00FE016A">
        <w:rPr>
          <w:rFonts w:cs="Courier New"/>
          <w:sz w:val="24"/>
        </w:rPr>
        <w:t>s</w:t>
      </w:r>
      <w:r>
        <w:rPr>
          <w:rFonts w:cs="Courier New"/>
          <w:sz w:val="24"/>
        </w:rPr>
        <w:t xml:space="preserve"> if all men in </w:t>
      </w:r>
      <w:r w:rsidR="006E646D">
        <w:rPr>
          <w:rFonts w:cs="Courier New"/>
          <w:sz w:val="24"/>
        </w:rPr>
        <w:t xml:space="preserve">the </w:t>
      </w:r>
      <w:r>
        <w:rPr>
          <w:rFonts w:cs="Courier New"/>
          <w:sz w:val="24"/>
        </w:rPr>
        <w:t xml:space="preserve">IMPACT </w:t>
      </w:r>
      <w:r w:rsidR="006E646D">
        <w:rPr>
          <w:rFonts w:cs="Courier New"/>
          <w:sz w:val="24"/>
        </w:rPr>
        <w:t xml:space="preserve">study </w:t>
      </w:r>
      <w:r>
        <w:rPr>
          <w:rFonts w:cs="Courier New"/>
          <w:sz w:val="24"/>
        </w:rPr>
        <w:t xml:space="preserve">had been included in this psychosocial sub-study. However we found no difference in sociodemographics between the men in the sub-study and those in the </w:t>
      </w:r>
      <w:r w:rsidR="006E646D">
        <w:rPr>
          <w:rFonts w:cs="Courier New"/>
          <w:sz w:val="24"/>
        </w:rPr>
        <w:t xml:space="preserve">IMPACT </w:t>
      </w:r>
      <w:r>
        <w:rPr>
          <w:rFonts w:cs="Courier New"/>
          <w:sz w:val="24"/>
        </w:rPr>
        <w:t xml:space="preserve">study as a whole. It could be that those more predisposed to anxiety may be inclined not to join the </w:t>
      </w:r>
      <w:r w:rsidR="006E646D">
        <w:rPr>
          <w:rFonts w:cs="Courier New"/>
          <w:sz w:val="24"/>
        </w:rPr>
        <w:t>psychosocial sub-</w:t>
      </w:r>
      <w:r w:rsidR="009C1855">
        <w:rPr>
          <w:rFonts w:cs="Courier New"/>
          <w:sz w:val="24"/>
        </w:rPr>
        <w:t xml:space="preserve">study; </w:t>
      </w:r>
      <w:r>
        <w:rPr>
          <w:rFonts w:cs="Courier New"/>
          <w:sz w:val="24"/>
        </w:rPr>
        <w:t xml:space="preserve">however no evidence of this has been found by others </w:t>
      </w:r>
      <w:r w:rsidR="00F70885">
        <w:rPr>
          <w:rFonts w:cs="Courier New"/>
          <w:sz w:val="24"/>
        </w:rPr>
        <w:t>[</w:t>
      </w:r>
      <w:r w:rsidR="006321CA">
        <w:rPr>
          <w:rFonts w:cs="Courier New"/>
          <w:sz w:val="24"/>
        </w:rPr>
        <w:t>28</w:t>
      </w:r>
      <w:r w:rsidR="00F70885">
        <w:rPr>
          <w:rFonts w:cs="Courier New"/>
          <w:sz w:val="24"/>
        </w:rPr>
        <w:t>].</w:t>
      </w:r>
    </w:p>
    <w:p w14:paraId="675054A6" w14:textId="0D6DA606" w:rsidR="00D25168" w:rsidRDefault="003F6BEE" w:rsidP="001E225F">
      <w:pPr>
        <w:spacing w:line="360" w:lineRule="auto"/>
        <w:outlineLvl w:val="0"/>
        <w:rPr>
          <w:rFonts w:cs="Courier New"/>
          <w:sz w:val="24"/>
        </w:rPr>
      </w:pPr>
      <w:r>
        <w:rPr>
          <w:rFonts w:cs="Courier New"/>
          <w:sz w:val="24"/>
        </w:rPr>
        <w:t xml:space="preserve">We </w:t>
      </w:r>
      <w:r w:rsidR="009C1855">
        <w:rPr>
          <w:rFonts w:cs="Courier New"/>
          <w:sz w:val="24"/>
        </w:rPr>
        <w:t xml:space="preserve">obtained </w:t>
      </w:r>
      <w:r>
        <w:rPr>
          <w:rFonts w:cs="Courier New"/>
          <w:sz w:val="24"/>
        </w:rPr>
        <w:t xml:space="preserve">a very high </w:t>
      </w:r>
      <w:r w:rsidR="009C1855">
        <w:rPr>
          <w:rFonts w:cs="Courier New"/>
          <w:sz w:val="24"/>
        </w:rPr>
        <w:t xml:space="preserve">uptake </w:t>
      </w:r>
      <w:r>
        <w:rPr>
          <w:rFonts w:cs="Courier New"/>
          <w:sz w:val="24"/>
        </w:rPr>
        <w:t xml:space="preserve">level </w:t>
      </w:r>
      <w:r w:rsidR="009C1855">
        <w:rPr>
          <w:rFonts w:cs="Courier New"/>
          <w:sz w:val="24"/>
        </w:rPr>
        <w:t xml:space="preserve">for </w:t>
      </w:r>
      <w:r>
        <w:rPr>
          <w:rFonts w:cs="Courier New"/>
          <w:sz w:val="24"/>
        </w:rPr>
        <w:t xml:space="preserve">the psychosocial sub-study, with at least </w:t>
      </w:r>
      <w:r w:rsidR="00A41635" w:rsidRPr="005641E9">
        <w:rPr>
          <w:rFonts w:cs="Courier New"/>
          <w:sz w:val="24"/>
        </w:rPr>
        <w:t>85%</w:t>
      </w:r>
      <w:r>
        <w:rPr>
          <w:rFonts w:cs="Courier New"/>
          <w:sz w:val="24"/>
        </w:rPr>
        <w:t xml:space="preserve"> opting </w:t>
      </w:r>
      <w:r w:rsidR="00B42A76">
        <w:rPr>
          <w:rFonts w:cs="Courier New"/>
          <w:sz w:val="24"/>
        </w:rPr>
        <w:t>in</w:t>
      </w:r>
      <w:r>
        <w:rPr>
          <w:rFonts w:cs="Courier New"/>
          <w:sz w:val="24"/>
        </w:rPr>
        <w:t xml:space="preserve"> at </w:t>
      </w:r>
      <w:r w:rsidR="00A41635" w:rsidRPr="005641E9">
        <w:rPr>
          <w:rFonts w:cs="Courier New"/>
          <w:sz w:val="24"/>
        </w:rPr>
        <w:t>participating sites</w:t>
      </w:r>
      <w:r>
        <w:rPr>
          <w:rFonts w:cs="Courier New"/>
          <w:sz w:val="24"/>
        </w:rPr>
        <w:t xml:space="preserve">. Uptake was </w:t>
      </w:r>
      <w:r w:rsidR="00D109CF">
        <w:rPr>
          <w:rFonts w:cs="Courier New"/>
          <w:sz w:val="24"/>
        </w:rPr>
        <w:t xml:space="preserve">also found to be high in </w:t>
      </w:r>
      <w:r>
        <w:rPr>
          <w:rFonts w:cs="Courier New"/>
          <w:sz w:val="24"/>
        </w:rPr>
        <w:t>the</w:t>
      </w:r>
      <w:r w:rsidR="00D109CF">
        <w:rPr>
          <w:rFonts w:cs="Courier New"/>
          <w:sz w:val="24"/>
        </w:rPr>
        <w:t xml:space="preserve"> ERSPC</w:t>
      </w:r>
      <w:r>
        <w:rPr>
          <w:rFonts w:cs="Courier New"/>
          <w:sz w:val="24"/>
        </w:rPr>
        <w:t xml:space="preserve"> Swedish cohort</w:t>
      </w:r>
      <w:r w:rsidR="00D25168">
        <w:rPr>
          <w:rFonts w:cs="Courier New"/>
          <w:sz w:val="24"/>
        </w:rPr>
        <w:t>, with 84-94%</w:t>
      </w:r>
      <w:r>
        <w:rPr>
          <w:rFonts w:cs="Courier New"/>
          <w:sz w:val="24"/>
        </w:rPr>
        <w:t xml:space="preserve"> of men with abnormal PSA levels </w:t>
      </w:r>
      <w:r w:rsidR="00D109CF">
        <w:rPr>
          <w:rFonts w:cs="Courier New"/>
          <w:sz w:val="24"/>
        </w:rPr>
        <w:t>completing a questionnaire measuring anxiety</w:t>
      </w:r>
      <w:r w:rsidR="00D25168">
        <w:rPr>
          <w:rFonts w:cs="Courier New"/>
          <w:sz w:val="24"/>
        </w:rPr>
        <w:t xml:space="preserve"> levels </w:t>
      </w:r>
      <w:r w:rsidR="00BE436B">
        <w:rPr>
          <w:rFonts w:cs="Courier New"/>
          <w:sz w:val="24"/>
        </w:rPr>
        <w:t>[</w:t>
      </w:r>
      <w:r w:rsidR="006321CA">
        <w:rPr>
          <w:rFonts w:cs="Courier New"/>
          <w:sz w:val="24"/>
        </w:rPr>
        <w:t>27</w:t>
      </w:r>
      <w:r w:rsidR="00BE436B">
        <w:rPr>
          <w:rFonts w:cs="Courier New"/>
          <w:sz w:val="24"/>
        </w:rPr>
        <w:t>]</w:t>
      </w:r>
      <w:r w:rsidR="00D109CF">
        <w:rPr>
          <w:rFonts w:cs="Courier New"/>
          <w:sz w:val="24"/>
        </w:rPr>
        <w:t xml:space="preserve">. </w:t>
      </w:r>
      <w:r w:rsidR="00D25168">
        <w:rPr>
          <w:rFonts w:cs="Courier New"/>
          <w:sz w:val="24"/>
        </w:rPr>
        <w:t xml:space="preserve"> </w:t>
      </w:r>
      <w:r w:rsidR="009C1855">
        <w:rPr>
          <w:rFonts w:cs="Courier New"/>
          <w:sz w:val="24"/>
        </w:rPr>
        <w:t xml:space="preserve">This high participation rate </w:t>
      </w:r>
      <w:r w:rsidR="00D25168">
        <w:rPr>
          <w:rFonts w:cs="Courier New"/>
          <w:sz w:val="24"/>
        </w:rPr>
        <w:t xml:space="preserve">is likely </w:t>
      </w:r>
      <w:r w:rsidR="009C1855">
        <w:rPr>
          <w:rFonts w:cs="Courier New"/>
          <w:sz w:val="24"/>
        </w:rPr>
        <w:t>due to</w:t>
      </w:r>
      <w:r w:rsidR="00D25168">
        <w:rPr>
          <w:rFonts w:cs="Courier New"/>
          <w:sz w:val="24"/>
        </w:rPr>
        <w:t xml:space="preserve"> </w:t>
      </w:r>
      <w:r w:rsidR="00B42A76">
        <w:rPr>
          <w:rFonts w:cs="Courier New"/>
          <w:sz w:val="24"/>
        </w:rPr>
        <w:t xml:space="preserve">the </w:t>
      </w:r>
      <w:r w:rsidR="00D25168">
        <w:rPr>
          <w:rFonts w:cs="Courier New"/>
          <w:sz w:val="24"/>
        </w:rPr>
        <w:t xml:space="preserve">embedding </w:t>
      </w:r>
      <w:r w:rsidR="00B42A76">
        <w:rPr>
          <w:rFonts w:cs="Courier New"/>
          <w:sz w:val="24"/>
        </w:rPr>
        <w:t xml:space="preserve">of </w:t>
      </w:r>
      <w:r w:rsidR="00D25168">
        <w:rPr>
          <w:rFonts w:cs="Courier New"/>
          <w:sz w:val="24"/>
        </w:rPr>
        <w:t xml:space="preserve">this psychosocial study into an existing screening study, and therefore inviting participants who are already highly motivated to contribute to research. </w:t>
      </w:r>
    </w:p>
    <w:p w14:paraId="0FCC63E9" w14:textId="61806883" w:rsidR="00077130" w:rsidRDefault="00077130" w:rsidP="001E225F">
      <w:pPr>
        <w:spacing w:line="360" w:lineRule="auto"/>
        <w:outlineLvl w:val="0"/>
        <w:rPr>
          <w:rFonts w:cs="Courier New"/>
          <w:sz w:val="24"/>
        </w:rPr>
      </w:pPr>
      <w:proofErr w:type="gramStart"/>
      <w:r>
        <w:rPr>
          <w:rFonts w:cs="Courier New"/>
          <w:sz w:val="24"/>
        </w:rPr>
        <w:t>A strength</w:t>
      </w:r>
      <w:proofErr w:type="gramEnd"/>
      <w:r>
        <w:rPr>
          <w:rFonts w:cs="Courier New"/>
          <w:sz w:val="24"/>
        </w:rPr>
        <w:t xml:space="preserve"> of the present study is the use of a number of different</w:t>
      </w:r>
      <w:r w:rsidR="006E646D">
        <w:rPr>
          <w:rFonts w:cs="Courier New"/>
          <w:sz w:val="24"/>
        </w:rPr>
        <w:t>, standardized</w:t>
      </w:r>
      <w:r>
        <w:rPr>
          <w:rFonts w:cs="Courier New"/>
          <w:sz w:val="24"/>
        </w:rPr>
        <w:t xml:space="preserve"> psychological measures</w:t>
      </w:r>
      <w:r w:rsidR="00B42A76">
        <w:rPr>
          <w:rFonts w:cs="Courier New"/>
          <w:sz w:val="24"/>
        </w:rPr>
        <w:t xml:space="preserve"> </w:t>
      </w:r>
      <w:r w:rsidR="006E646D">
        <w:rPr>
          <w:rFonts w:cs="Courier New"/>
          <w:sz w:val="24"/>
        </w:rPr>
        <w:t xml:space="preserve">that </w:t>
      </w:r>
      <w:r w:rsidR="00B42A76">
        <w:rPr>
          <w:rFonts w:cs="Courier New"/>
          <w:sz w:val="24"/>
        </w:rPr>
        <w:t>offer extensive insight into the psychosocial profile of the participants and</w:t>
      </w:r>
      <w:r w:rsidR="006E646D">
        <w:rPr>
          <w:rFonts w:cs="Courier New"/>
          <w:sz w:val="24"/>
        </w:rPr>
        <w:t xml:space="preserve"> that allow comparison of</w:t>
      </w:r>
      <w:r w:rsidR="00B42A76">
        <w:rPr>
          <w:rFonts w:cs="Courier New"/>
          <w:sz w:val="24"/>
        </w:rPr>
        <w:t xml:space="preserve"> the results </w:t>
      </w:r>
      <w:r w:rsidR="006E646D">
        <w:rPr>
          <w:rFonts w:cs="Courier New"/>
          <w:sz w:val="24"/>
        </w:rPr>
        <w:t>with</w:t>
      </w:r>
      <w:r w:rsidR="00B42A76">
        <w:rPr>
          <w:rFonts w:cs="Courier New"/>
          <w:sz w:val="24"/>
        </w:rPr>
        <w:t xml:space="preserve"> a number of other </w:t>
      </w:r>
      <w:proofErr w:type="spellStart"/>
      <w:r w:rsidR="00B42A76">
        <w:rPr>
          <w:rFonts w:cs="Courier New"/>
          <w:sz w:val="24"/>
        </w:rPr>
        <w:t>PCa</w:t>
      </w:r>
      <w:proofErr w:type="spellEnd"/>
      <w:r w:rsidR="00B42A76">
        <w:rPr>
          <w:rFonts w:cs="Courier New"/>
          <w:sz w:val="24"/>
        </w:rPr>
        <w:t xml:space="preserve"> screening studies </w:t>
      </w:r>
      <w:r w:rsidR="009C1855">
        <w:rPr>
          <w:rFonts w:cs="Courier New"/>
          <w:sz w:val="24"/>
        </w:rPr>
        <w:t>that</w:t>
      </w:r>
      <w:r w:rsidR="00B42A76">
        <w:rPr>
          <w:rFonts w:cs="Courier New"/>
          <w:sz w:val="24"/>
        </w:rPr>
        <w:t xml:space="preserve"> have used </w:t>
      </w:r>
      <w:r w:rsidR="009C1855">
        <w:rPr>
          <w:rFonts w:cs="Courier New"/>
          <w:sz w:val="24"/>
        </w:rPr>
        <w:t>the same or similar</w:t>
      </w:r>
      <w:r w:rsidR="00B42A76">
        <w:rPr>
          <w:rFonts w:cs="Courier New"/>
          <w:sz w:val="24"/>
        </w:rPr>
        <w:t xml:space="preserve"> measures</w:t>
      </w:r>
      <w:r w:rsidR="006E646D">
        <w:rPr>
          <w:rFonts w:cs="Courier New"/>
          <w:sz w:val="24"/>
        </w:rPr>
        <w:t>.</w:t>
      </w:r>
    </w:p>
    <w:p w14:paraId="6620DB77" w14:textId="77777777" w:rsidR="006E646D" w:rsidRDefault="006E646D" w:rsidP="001E225F">
      <w:pPr>
        <w:spacing w:line="360" w:lineRule="auto"/>
        <w:outlineLvl w:val="0"/>
        <w:rPr>
          <w:rFonts w:cs="Courier New"/>
          <w:sz w:val="24"/>
        </w:rPr>
      </w:pPr>
    </w:p>
    <w:p w14:paraId="28744085" w14:textId="67302EDD" w:rsidR="00427B1F" w:rsidRPr="00E35A45" w:rsidRDefault="006E646D" w:rsidP="001E225F">
      <w:pPr>
        <w:spacing w:line="360" w:lineRule="auto"/>
        <w:rPr>
          <w:rFonts w:cs="Courier New"/>
          <w:sz w:val="24"/>
        </w:rPr>
      </w:pPr>
      <w:r>
        <w:rPr>
          <w:rFonts w:cs="Courier New"/>
          <w:sz w:val="24"/>
        </w:rPr>
        <w:t>We would not</w:t>
      </w:r>
      <w:r w:rsidR="00FE016A">
        <w:rPr>
          <w:rFonts w:cs="Courier New"/>
          <w:sz w:val="24"/>
        </w:rPr>
        <w:t>e</w:t>
      </w:r>
      <w:r>
        <w:rPr>
          <w:rFonts w:cs="Courier New"/>
          <w:sz w:val="24"/>
        </w:rPr>
        <w:t xml:space="preserve"> that our sample was restricted to </w:t>
      </w:r>
      <w:r w:rsidR="00607E8C" w:rsidRPr="00E35A45">
        <w:rPr>
          <w:sz w:val="24"/>
        </w:rPr>
        <w:t xml:space="preserve">men who have </w:t>
      </w:r>
      <w:r w:rsidR="004B28D7" w:rsidRPr="00E35A45">
        <w:rPr>
          <w:sz w:val="24"/>
        </w:rPr>
        <w:t xml:space="preserve">previously engaged with health services by undergoing genetic testing and who </w:t>
      </w:r>
      <w:r w:rsidR="00607E8C" w:rsidRPr="00E35A45">
        <w:rPr>
          <w:sz w:val="24"/>
        </w:rPr>
        <w:t xml:space="preserve">responded </w:t>
      </w:r>
      <w:r>
        <w:rPr>
          <w:sz w:val="24"/>
        </w:rPr>
        <w:t xml:space="preserve">positively </w:t>
      </w:r>
      <w:r w:rsidR="00607E8C" w:rsidRPr="00E35A45">
        <w:rPr>
          <w:sz w:val="24"/>
        </w:rPr>
        <w:t>to an invitation to take part in a research study</w:t>
      </w:r>
      <w:r w:rsidR="004B28D7" w:rsidRPr="00E35A45">
        <w:rPr>
          <w:sz w:val="24"/>
        </w:rPr>
        <w:t>.</w:t>
      </w:r>
      <w:r w:rsidR="00607E8C" w:rsidRPr="00E35A45">
        <w:rPr>
          <w:sz w:val="24"/>
        </w:rPr>
        <w:t xml:space="preserve"> </w:t>
      </w:r>
      <w:r w:rsidR="004B28D7" w:rsidRPr="00E35A45">
        <w:rPr>
          <w:sz w:val="24"/>
        </w:rPr>
        <w:t xml:space="preserve">In addition, there was limited variability in ethnicity </w:t>
      </w:r>
      <w:r w:rsidR="009C1855">
        <w:rPr>
          <w:sz w:val="24"/>
        </w:rPr>
        <w:t>and other</w:t>
      </w:r>
      <w:r w:rsidR="004B28D7" w:rsidRPr="00E35A45">
        <w:rPr>
          <w:sz w:val="24"/>
        </w:rPr>
        <w:t xml:space="preserve"> sociodemographics</w:t>
      </w:r>
      <w:r w:rsidR="009C1855">
        <w:rPr>
          <w:sz w:val="24"/>
        </w:rPr>
        <w:t xml:space="preserve">, which may limit </w:t>
      </w:r>
      <w:r>
        <w:rPr>
          <w:sz w:val="24"/>
        </w:rPr>
        <w:t xml:space="preserve">to some degree </w:t>
      </w:r>
      <w:r w:rsidR="009C1855">
        <w:rPr>
          <w:sz w:val="24"/>
        </w:rPr>
        <w:t xml:space="preserve">the </w:t>
      </w:r>
      <w:r w:rsidR="004B28D7" w:rsidRPr="00E35A45">
        <w:rPr>
          <w:sz w:val="24"/>
        </w:rPr>
        <w:t xml:space="preserve">generalisablity of the findings. </w:t>
      </w:r>
    </w:p>
    <w:p w14:paraId="0EDBEFE2" w14:textId="3178B59A" w:rsidR="00427B1F" w:rsidRPr="00E35A45" w:rsidRDefault="004B28D7" w:rsidP="001E225F">
      <w:pPr>
        <w:spacing w:line="360" w:lineRule="auto"/>
        <w:jc w:val="both"/>
        <w:rPr>
          <w:rFonts w:cs="Courier New"/>
          <w:sz w:val="24"/>
        </w:rPr>
      </w:pPr>
      <w:r w:rsidRPr="00E35A45">
        <w:rPr>
          <w:rFonts w:cs="Courier New"/>
          <w:sz w:val="24"/>
        </w:rPr>
        <w:t xml:space="preserve">The data presented represent a snapshot of men’s psychosocial profiles when they joined the IMPACT study. Follow-up data will inform whether the </w:t>
      </w:r>
      <w:proofErr w:type="spellStart"/>
      <w:r w:rsidRPr="00E35A45">
        <w:rPr>
          <w:rFonts w:cs="Courier New"/>
          <w:sz w:val="24"/>
        </w:rPr>
        <w:t>PCa</w:t>
      </w:r>
      <w:proofErr w:type="spellEnd"/>
      <w:r w:rsidRPr="00E35A45">
        <w:rPr>
          <w:rFonts w:cs="Courier New"/>
          <w:sz w:val="24"/>
        </w:rPr>
        <w:t xml:space="preserve"> screening process has an impact on </w:t>
      </w:r>
      <w:proofErr w:type="spellStart"/>
      <w:r w:rsidRPr="00E35A45">
        <w:rPr>
          <w:rFonts w:cs="Courier New"/>
          <w:sz w:val="24"/>
        </w:rPr>
        <w:t>HRQoL</w:t>
      </w:r>
      <w:proofErr w:type="spellEnd"/>
      <w:r w:rsidRPr="00E35A45">
        <w:rPr>
          <w:rFonts w:cs="Courier New"/>
          <w:sz w:val="24"/>
        </w:rPr>
        <w:t xml:space="preserve"> or distress </w:t>
      </w:r>
      <w:r w:rsidR="006E646D">
        <w:rPr>
          <w:rFonts w:cs="Courier New"/>
          <w:sz w:val="24"/>
        </w:rPr>
        <w:t xml:space="preserve">over time. </w:t>
      </w:r>
    </w:p>
    <w:p w14:paraId="268E621B" w14:textId="77777777" w:rsidR="00427B1F" w:rsidRPr="00D22CE2" w:rsidRDefault="00427B1F" w:rsidP="001E225F">
      <w:pPr>
        <w:spacing w:line="360" w:lineRule="auto"/>
        <w:rPr>
          <w:rFonts w:cs="Courier New"/>
          <w:b/>
          <w:sz w:val="24"/>
          <w:highlight w:val="green"/>
        </w:rPr>
      </w:pPr>
    </w:p>
    <w:p w14:paraId="3F5677B5" w14:textId="77777777" w:rsidR="00427B1F" w:rsidRPr="00E35A45" w:rsidRDefault="00427B1F" w:rsidP="001E225F">
      <w:pPr>
        <w:spacing w:line="360" w:lineRule="auto"/>
        <w:outlineLvl w:val="0"/>
        <w:rPr>
          <w:rFonts w:cs="Courier New"/>
          <w:b/>
          <w:sz w:val="24"/>
        </w:rPr>
      </w:pPr>
      <w:r w:rsidRPr="00E35A45">
        <w:rPr>
          <w:rFonts w:cs="Courier New"/>
          <w:b/>
          <w:sz w:val="24"/>
        </w:rPr>
        <w:t xml:space="preserve">CONCLUSIONS AND </w:t>
      </w:r>
      <w:r w:rsidR="00D25168" w:rsidRPr="00E35A45">
        <w:rPr>
          <w:rFonts w:cs="Courier New"/>
          <w:b/>
          <w:sz w:val="24"/>
        </w:rPr>
        <w:t xml:space="preserve">CLINICAL </w:t>
      </w:r>
      <w:r w:rsidRPr="00E35A45">
        <w:rPr>
          <w:rFonts w:cs="Courier New"/>
          <w:b/>
          <w:sz w:val="24"/>
        </w:rPr>
        <w:t xml:space="preserve">IMPLICATIONS </w:t>
      </w:r>
    </w:p>
    <w:p w14:paraId="3EAE7BCD" w14:textId="52AC16E7" w:rsidR="00E35A45" w:rsidRPr="00E35A45" w:rsidRDefault="006E646D" w:rsidP="001E225F">
      <w:pPr>
        <w:spacing w:line="360" w:lineRule="auto"/>
        <w:outlineLvl w:val="0"/>
        <w:rPr>
          <w:sz w:val="24"/>
        </w:rPr>
      </w:pPr>
      <w:r>
        <w:rPr>
          <w:rFonts w:cs="Courier New"/>
          <w:sz w:val="24"/>
        </w:rPr>
        <w:lastRenderedPageBreak/>
        <w:t>To the best of our knowledge, t</w:t>
      </w:r>
      <w:r w:rsidR="00E35A45" w:rsidRPr="00E35A45">
        <w:rPr>
          <w:rFonts w:cs="Courier New"/>
          <w:sz w:val="24"/>
        </w:rPr>
        <w:t xml:space="preserve">his is the first study to report the </w:t>
      </w:r>
      <w:r w:rsidR="007C537F" w:rsidRPr="00E35A45">
        <w:rPr>
          <w:rFonts w:cs="Courier New"/>
          <w:sz w:val="24"/>
        </w:rPr>
        <w:t xml:space="preserve">psychosocial </w:t>
      </w:r>
      <w:r w:rsidR="00E35A45" w:rsidRPr="00E35A45">
        <w:rPr>
          <w:rFonts w:cs="Courier New"/>
          <w:sz w:val="24"/>
        </w:rPr>
        <w:t xml:space="preserve">and </w:t>
      </w:r>
      <w:proofErr w:type="spellStart"/>
      <w:r w:rsidR="00E35A45" w:rsidRPr="00E35A45">
        <w:rPr>
          <w:rFonts w:cs="Courier New"/>
          <w:sz w:val="24"/>
        </w:rPr>
        <w:t>HRQoL</w:t>
      </w:r>
      <w:proofErr w:type="spellEnd"/>
      <w:r w:rsidR="00E35A45" w:rsidRPr="00E35A45">
        <w:rPr>
          <w:rFonts w:cs="Courier New"/>
          <w:sz w:val="24"/>
        </w:rPr>
        <w:t xml:space="preserve"> </w:t>
      </w:r>
      <w:r w:rsidR="007C537F" w:rsidRPr="00E35A45">
        <w:rPr>
          <w:rFonts w:cs="Courier New"/>
          <w:sz w:val="24"/>
        </w:rPr>
        <w:t xml:space="preserve">profile of men </w:t>
      </w:r>
      <w:r w:rsidR="00E35A45" w:rsidRPr="00E35A45">
        <w:rPr>
          <w:rFonts w:cs="Courier New"/>
          <w:sz w:val="24"/>
        </w:rPr>
        <w:t xml:space="preserve">with </w:t>
      </w:r>
      <w:r w:rsidR="00E35A45" w:rsidRPr="00845640">
        <w:rPr>
          <w:rFonts w:cs="Courier New"/>
          <w:i/>
          <w:sz w:val="24"/>
        </w:rPr>
        <w:t>BRCA1/2</w:t>
      </w:r>
      <w:r w:rsidR="00E35A45" w:rsidRPr="00E35A45">
        <w:rPr>
          <w:rFonts w:cs="Courier New"/>
          <w:sz w:val="24"/>
        </w:rPr>
        <w:t xml:space="preserve"> mutations taking part in a </w:t>
      </w:r>
      <w:proofErr w:type="spellStart"/>
      <w:r w:rsidR="00E35A45" w:rsidRPr="00E35A45">
        <w:rPr>
          <w:rFonts w:cs="Courier New"/>
          <w:sz w:val="24"/>
        </w:rPr>
        <w:t>PCa</w:t>
      </w:r>
      <w:proofErr w:type="spellEnd"/>
      <w:r w:rsidR="00E35A45" w:rsidRPr="00E35A45">
        <w:rPr>
          <w:rFonts w:cs="Courier New"/>
          <w:sz w:val="24"/>
        </w:rPr>
        <w:t xml:space="preserve"> screening study. </w:t>
      </w:r>
      <w:r>
        <w:rPr>
          <w:rFonts w:cs="Courier New"/>
          <w:sz w:val="24"/>
        </w:rPr>
        <w:t xml:space="preserve">Uptake into the study was very high, and </w:t>
      </w:r>
      <w:r w:rsidR="00E35A45" w:rsidRPr="00E35A45">
        <w:rPr>
          <w:rFonts w:cs="Courier New"/>
          <w:sz w:val="24"/>
        </w:rPr>
        <w:t xml:space="preserve">participants had very high levels of knowledge about genetics and </w:t>
      </w:r>
      <w:proofErr w:type="spellStart"/>
      <w:r w:rsidR="00E35A45" w:rsidRPr="00E35A45">
        <w:rPr>
          <w:rFonts w:cs="Courier New"/>
          <w:sz w:val="24"/>
        </w:rPr>
        <w:t>PCa</w:t>
      </w:r>
      <w:proofErr w:type="spellEnd"/>
      <w:r w:rsidR="00E35A45" w:rsidRPr="00E35A45">
        <w:rPr>
          <w:rFonts w:cs="Courier New"/>
          <w:sz w:val="24"/>
        </w:rPr>
        <w:t>.</w:t>
      </w:r>
      <w:r>
        <w:rPr>
          <w:rFonts w:cs="Courier New"/>
          <w:sz w:val="24"/>
        </w:rPr>
        <w:t xml:space="preserve"> </w:t>
      </w:r>
      <w:r w:rsidR="00E35A45" w:rsidRPr="00E35A45">
        <w:rPr>
          <w:rFonts w:cs="Courier New"/>
          <w:sz w:val="24"/>
        </w:rPr>
        <w:t xml:space="preserve">As a whole, the cohort did not demonstrate any </w:t>
      </w:r>
      <w:r w:rsidR="00E35A45" w:rsidRPr="00E35A45">
        <w:rPr>
          <w:sz w:val="24"/>
        </w:rPr>
        <w:t xml:space="preserve">clinically concerning levels of general or cancer-specific distress or poor </w:t>
      </w:r>
      <w:proofErr w:type="spellStart"/>
      <w:r w:rsidR="00E35A45" w:rsidRPr="00E35A45">
        <w:rPr>
          <w:sz w:val="24"/>
        </w:rPr>
        <w:t>HRQoL</w:t>
      </w:r>
      <w:proofErr w:type="spellEnd"/>
      <w:r w:rsidR="00E35A45" w:rsidRPr="00E35A45">
        <w:rPr>
          <w:sz w:val="24"/>
        </w:rPr>
        <w:t xml:space="preserve">. A small subset of participants reported higher levels of distress, but perception of risk </w:t>
      </w:r>
      <w:r w:rsidR="00351E07">
        <w:rPr>
          <w:sz w:val="24"/>
        </w:rPr>
        <w:t xml:space="preserve">was </w:t>
      </w:r>
      <w:r w:rsidR="009C1855">
        <w:rPr>
          <w:sz w:val="24"/>
        </w:rPr>
        <w:t xml:space="preserve">more strongly associated with </w:t>
      </w:r>
      <w:r w:rsidR="00230B87">
        <w:rPr>
          <w:rFonts w:cs="Courier New"/>
          <w:sz w:val="24"/>
        </w:rPr>
        <w:t xml:space="preserve">distress levels </w:t>
      </w:r>
      <w:r w:rsidR="00E35A45" w:rsidRPr="00E35A45">
        <w:rPr>
          <w:rFonts w:cs="Courier New"/>
          <w:sz w:val="24"/>
        </w:rPr>
        <w:t xml:space="preserve">than </w:t>
      </w:r>
      <w:r>
        <w:rPr>
          <w:rFonts w:cs="Courier New"/>
          <w:sz w:val="24"/>
        </w:rPr>
        <w:t xml:space="preserve">was </w:t>
      </w:r>
      <w:r w:rsidR="00E35A45" w:rsidRPr="00E35A45">
        <w:rPr>
          <w:rFonts w:cs="Courier New"/>
          <w:sz w:val="24"/>
        </w:rPr>
        <w:t>genetic status</w:t>
      </w:r>
      <w:r w:rsidR="00E35A45" w:rsidRPr="00E35A45">
        <w:rPr>
          <w:sz w:val="24"/>
        </w:rPr>
        <w:t xml:space="preserve">. It is important for health care professionals to be aware of these predictors of distress so that men </w:t>
      </w:r>
      <w:r w:rsidR="00B42A76">
        <w:rPr>
          <w:sz w:val="24"/>
        </w:rPr>
        <w:t xml:space="preserve">with potential for </w:t>
      </w:r>
      <w:r w:rsidR="009C1855">
        <w:rPr>
          <w:sz w:val="24"/>
        </w:rPr>
        <w:t>heightened distress</w:t>
      </w:r>
      <w:r w:rsidR="00E35A45" w:rsidRPr="00E35A45">
        <w:rPr>
          <w:sz w:val="24"/>
        </w:rPr>
        <w:t xml:space="preserve"> can be identified and adequate counselling and support can be offered. Follow-up data will determine whether these factors have an impact on adherence with screening </w:t>
      </w:r>
      <w:r w:rsidR="003F5732">
        <w:rPr>
          <w:sz w:val="24"/>
        </w:rPr>
        <w:t>and</w:t>
      </w:r>
      <w:r w:rsidR="00E35A45" w:rsidRPr="00E35A45">
        <w:rPr>
          <w:sz w:val="24"/>
        </w:rPr>
        <w:t xml:space="preserve"> whether men experiencing abnormal </w:t>
      </w:r>
      <w:r w:rsidR="009C1855">
        <w:rPr>
          <w:sz w:val="24"/>
        </w:rPr>
        <w:t xml:space="preserve">PSA </w:t>
      </w:r>
      <w:r w:rsidR="00E35A45" w:rsidRPr="00E35A45">
        <w:rPr>
          <w:sz w:val="24"/>
        </w:rPr>
        <w:t xml:space="preserve">results experience more distress. </w:t>
      </w:r>
    </w:p>
    <w:p w14:paraId="46D0346D" w14:textId="77777777" w:rsidR="00E35A45" w:rsidRPr="00E35A45" w:rsidRDefault="00E35A45" w:rsidP="001E225F">
      <w:pPr>
        <w:spacing w:line="360" w:lineRule="auto"/>
        <w:outlineLvl w:val="0"/>
        <w:rPr>
          <w:rFonts w:cs="Courier New"/>
          <w:sz w:val="24"/>
        </w:rPr>
      </w:pPr>
      <w:r w:rsidRPr="00E35A45">
        <w:rPr>
          <w:sz w:val="24"/>
        </w:rPr>
        <w:t xml:space="preserve"> </w:t>
      </w:r>
    </w:p>
    <w:p w14:paraId="3C7801FB" w14:textId="77777777" w:rsidR="00427B1F" w:rsidRPr="00E35A45" w:rsidRDefault="00427B1F" w:rsidP="001E225F">
      <w:pPr>
        <w:spacing w:line="360" w:lineRule="auto"/>
        <w:jc w:val="both"/>
        <w:outlineLvl w:val="0"/>
        <w:rPr>
          <w:rFonts w:cs="Courier New"/>
          <w:b/>
          <w:sz w:val="24"/>
        </w:rPr>
      </w:pPr>
      <w:r w:rsidRPr="00E35A45">
        <w:rPr>
          <w:rFonts w:cs="Courier New"/>
          <w:b/>
          <w:sz w:val="24"/>
        </w:rPr>
        <w:t>ACKNOWLEDGEMENTS</w:t>
      </w:r>
    </w:p>
    <w:p w14:paraId="62F0BF7E" w14:textId="45B7488E" w:rsidR="007F6269" w:rsidRDefault="007F6269" w:rsidP="001E225F">
      <w:pPr>
        <w:spacing w:line="360" w:lineRule="auto"/>
        <w:jc w:val="both"/>
        <w:rPr>
          <w:rFonts w:cs="Courier New"/>
          <w:sz w:val="24"/>
        </w:rPr>
      </w:pPr>
      <w:r w:rsidRPr="007F6269">
        <w:rPr>
          <w:rFonts w:cs="Courier New"/>
          <w:sz w:val="24"/>
        </w:rPr>
        <w:t xml:space="preserve">This research is coordinated by </w:t>
      </w:r>
      <w:r w:rsidR="00FE016A">
        <w:rPr>
          <w:rFonts w:cs="Courier New"/>
          <w:sz w:val="24"/>
        </w:rPr>
        <w:t>T</w:t>
      </w:r>
      <w:r w:rsidRPr="007F6269">
        <w:rPr>
          <w:rFonts w:cs="Courier New"/>
          <w:sz w:val="24"/>
        </w:rPr>
        <w:t>he Institute of Cancer Research, London, UK and is supported by grants from Cancer Research UK (Grant references (C5047/A21332, C5047/A13232 and C5047/A17528) and The Ron</w:t>
      </w:r>
      <w:r>
        <w:rPr>
          <w:rFonts w:cs="Courier New"/>
          <w:sz w:val="24"/>
        </w:rPr>
        <w:t xml:space="preserve">ald and Rita </w:t>
      </w:r>
      <w:proofErr w:type="spellStart"/>
      <w:r>
        <w:rPr>
          <w:rFonts w:cs="Courier New"/>
          <w:sz w:val="24"/>
        </w:rPr>
        <w:t>McAulay</w:t>
      </w:r>
      <w:proofErr w:type="spellEnd"/>
      <w:r>
        <w:rPr>
          <w:rFonts w:cs="Courier New"/>
          <w:sz w:val="24"/>
        </w:rPr>
        <w:t xml:space="preserve"> Foundation</w:t>
      </w:r>
      <w:r w:rsidR="00427B1F" w:rsidRPr="00E35A45">
        <w:rPr>
          <w:rFonts w:cs="Courier New"/>
          <w:sz w:val="24"/>
        </w:rPr>
        <w:t>. We acknowledge support from the National Institute for Health Research (NIHR) to the Biomedical Research Centre</w:t>
      </w:r>
      <w:r>
        <w:rPr>
          <w:rFonts w:cs="Courier New"/>
          <w:sz w:val="24"/>
        </w:rPr>
        <w:t>s</w:t>
      </w:r>
      <w:r w:rsidR="00427B1F" w:rsidRPr="00E35A45">
        <w:rPr>
          <w:rFonts w:cs="Courier New"/>
          <w:sz w:val="24"/>
        </w:rPr>
        <w:t xml:space="preserve"> at The Institute of Cancer Research and Royal Marsden Foundation NHS Trust</w:t>
      </w:r>
      <w:r>
        <w:rPr>
          <w:rFonts w:cs="Courier New"/>
          <w:sz w:val="24"/>
        </w:rPr>
        <w:t xml:space="preserve">, </w:t>
      </w:r>
      <w:r w:rsidRPr="007F6269">
        <w:rPr>
          <w:rFonts w:cs="Courier New"/>
          <w:sz w:val="24"/>
        </w:rPr>
        <w:t>at Central Manchester Foundation Trust and the Oxford Biomedical Research Centre Program.</w:t>
      </w:r>
      <w:r w:rsidR="00427B1F" w:rsidRPr="00E35A45">
        <w:rPr>
          <w:rFonts w:cs="Courier New"/>
          <w:sz w:val="24"/>
        </w:rPr>
        <w:t xml:space="preserve"> The Institute of Cancer Research is the Sponsor of the IMPACT study. </w:t>
      </w:r>
      <w:r w:rsidR="007269DB">
        <w:rPr>
          <w:rFonts w:cs="Courier New"/>
          <w:sz w:val="24"/>
        </w:rPr>
        <w:t xml:space="preserve">We thank </w:t>
      </w:r>
      <w:r w:rsidRPr="007F6269">
        <w:rPr>
          <w:rFonts w:cs="Courier New"/>
          <w:sz w:val="24"/>
        </w:rPr>
        <w:t xml:space="preserve">Mr and Mrs Jack Baker for </w:t>
      </w:r>
      <w:r w:rsidR="007269DB">
        <w:rPr>
          <w:rFonts w:cs="Courier New"/>
          <w:sz w:val="24"/>
        </w:rPr>
        <w:t xml:space="preserve">support for </w:t>
      </w:r>
      <w:r w:rsidRPr="007F6269">
        <w:rPr>
          <w:rFonts w:cs="Courier New"/>
          <w:sz w:val="24"/>
        </w:rPr>
        <w:t xml:space="preserve">the study in </w:t>
      </w:r>
      <w:proofErr w:type="spellStart"/>
      <w:r w:rsidRPr="007F6269">
        <w:rPr>
          <w:rFonts w:cs="Courier New"/>
          <w:sz w:val="24"/>
        </w:rPr>
        <w:t>NorthShore</w:t>
      </w:r>
      <w:proofErr w:type="spellEnd"/>
      <w:r w:rsidRPr="007F6269">
        <w:rPr>
          <w:rFonts w:cs="Courier New"/>
          <w:sz w:val="24"/>
        </w:rPr>
        <w:t xml:space="preserve"> University </w:t>
      </w:r>
      <w:proofErr w:type="spellStart"/>
      <w:r w:rsidRPr="007F6269">
        <w:rPr>
          <w:rFonts w:cs="Courier New"/>
          <w:sz w:val="24"/>
        </w:rPr>
        <w:t>HealthSystem</w:t>
      </w:r>
      <w:proofErr w:type="spellEnd"/>
      <w:r w:rsidRPr="007F6269">
        <w:rPr>
          <w:rFonts w:cs="Courier New"/>
          <w:sz w:val="24"/>
        </w:rPr>
        <w:t>, Evanston, Illinois</w:t>
      </w:r>
      <w:r>
        <w:rPr>
          <w:rFonts w:cs="Courier New"/>
          <w:sz w:val="24"/>
        </w:rPr>
        <w:t>.</w:t>
      </w:r>
      <w:r w:rsidRPr="007F6269">
        <w:rPr>
          <w:rFonts w:cs="Courier New"/>
          <w:sz w:val="24"/>
        </w:rPr>
        <w:t xml:space="preserve"> </w:t>
      </w:r>
    </w:p>
    <w:p w14:paraId="0ED1CBA1" w14:textId="77777777" w:rsidR="002751A4" w:rsidRDefault="002751A4" w:rsidP="001E225F">
      <w:pPr>
        <w:spacing w:line="360" w:lineRule="auto"/>
        <w:jc w:val="both"/>
        <w:rPr>
          <w:rFonts w:cs="Courier New"/>
          <w:sz w:val="24"/>
        </w:rPr>
      </w:pPr>
    </w:p>
    <w:p w14:paraId="217DA4B9" w14:textId="6C2520C0" w:rsidR="002751A4" w:rsidRPr="002751A4" w:rsidRDefault="002751A4" w:rsidP="001E225F">
      <w:pPr>
        <w:spacing w:line="360" w:lineRule="auto"/>
        <w:jc w:val="both"/>
        <w:rPr>
          <w:rFonts w:cs="Courier New"/>
          <w:b/>
          <w:sz w:val="24"/>
        </w:rPr>
      </w:pPr>
      <w:r w:rsidRPr="002751A4">
        <w:rPr>
          <w:rFonts w:cs="Courier New"/>
          <w:b/>
          <w:sz w:val="24"/>
        </w:rPr>
        <w:t>CONFLICTS OF INTEREST</w:t>
      </w:r>
    </w:p>
    <w:p w14:paraId="2DFF50B9" w14:textId="77777777" w:rsidR="002751A4" w:rsidRPr="002751A4" w:rsidRDefault="002751A4" w:rsidP="001E225F">
      <w:pPr>
        <w:spacing w:line="360" w:lineRule="auto"/>
        <w:outlineLvl w:val="0"/>
        <w:rPr>
          <w:rFonts w:cs="Courier New"/>
          <w:sz w:val="24"/>
        </w:rPr>
      </w:pPr>
      <w:r w:rsidRPr="002751A4">
        <w:rPr>
          <w:rFonts w:cs="Courier New"/>
          <w:sz w:val="24"/>
        </w:rPr>
        <w:t>Prof Rosalind Eeles – Janssen: provided medical education support to GU ASCO Feb 2013. Succinct Communications: received an honorarium and expenses for attending and speaking at UK Cancer Convention Oct 2013</w:t>
      </w:r>
    </w:p>
    <w:p w14:paraId="36C8836D" w14:textId="77777777" w:rsidR="002751A4" w:rsidRPr="002751A4" w:rsidRDefault="002751A4" w:rsidP="001E225F">
      <w:pPr>
        <w:spacing w:line="360" w:lineRule="auto"/>
        <w:outlineLvl w:val="0"/>
        <w:rPr>
          <w:rFonts w:cs="Courier New"/>
          <w:sz w:val="24"/>
        </w:rPr>
      </w:pPr>
    </w:p>
    <w:p w14:paraId="18901D8C" w14:textId="139DDF70" w:rsidR="00427B1F" w:rsidRPr="00D22CE2" w:rsidRDefault="002751A4" w:rsidP="001E225F">
      <w:pPr>
        <w:spacing w:line="360" w:lineRule="auto"/>
        <w:outlineLvl w:val="0"/>
        <w:rPr>
          <w:rFonts w:asciiTheme="minorHAnsi" w:hAnsiTheme="minorHAnsi" w:cs="Courier New"/>
          <w:b/>
          <w:sz w:val="24"/>
        </w:rPr>
      </w:pPr>
      <w:r w:rsidRPr="009B1AD1">
        <w:rPr>
          <w:rFonts w:cs="Courier New"/>
          <w:sz w:val="24"/>
        </w:rPr>
        <w:t>The authors have no other conflict of interest to declare</w:t>
      </w:r>
      <w:r w:rsidR="00427B1F" w:rsidRPr="00DF4624">
        <w:rPr>
          <w:rFonts w:cs="Courier New"/>
          <w:b/>
        </w:rPr>
        <w:br w:type="page"/>
      </w:r>
      <w:r w:rsidR="00427B1F" w:rsidRPr="007F6269">
        <w:rPr>
          <w:rFonts w:asciiTheme="minorHAnsi" w:hAnsiTheme="minorHAnsi" w:cs="Courier New"/>
          <w:b/>
          <w:sz w:val="24"/>
        </w:rPr>
        <w:lastRenderedPageBreak/>
        <w:t>REFERENCES</w:t>
      </w:r>
    </w:p>
    <w:p w14:paraId="6BCA3828" w14:textId="77777777" w:rsidR="00427B1F" w:rsidRPr="00D22CE2" w:rsidRDefault="00427B1F" w:rsidP="001E225F">
      <w:pPr>
        <w:spacing w:line="360" w:lineRule="auto"/>
        <w:outlineLvl w:val="0"/>
        <w:rPr>
          <w:rFonts w:asciiTheme="minorHAnsi" w:hAnsiTheme="minorHAnsi" w:cs="Courier New"/>
          <w:b/>
          <w:sz w:val="24"/>
        </w:rPr>
      </w:pPr>
    </w:p>
    <w:p w14:paraId="47D94E7E" w14:textId="77777777" w:rsidR="00427B1F" w:rsidRPr="00D22CE2" w:rsidRDefault="00427B1F" w:rsidP="001E225F">
      <w:pPr>
        <w:spacing w:line="360" w:lineRule="auto"/>
        <w:outlineLvl w:val="0"/>
        <w:rPr>
          <w:rFonts w:asciiTheme="minorHAnsi" w:hAnsiTheme="minorHAnsi" w:cs="Courier New"/>
          <w:sz w:val="24"/>
        </w:rPr>
      </w:pPr>
      <w:r w:rsidRPr="00D22CE2">
        <w:rPr>
          <w:rFonts w:asciiTheme="minorHAnsi" w:hAnsiTheme="minorHAnsi" w:cs="Courier New"/>
          <w:sz w:val="24"/>
        </w:rPr>
        <w:t xml:space="preserve">[1] Cancer Research UK. </w:t>
      </w:r>
      <w:proofErr w:type="gramStart"/>
      <w:r w:rsidRPr="00D22CE2">
        <w:rPr>
          <w:rFonts w:asciiTheme="minorHAnsi" w:hAnsiTheme="minorHAnsi" w:cs="Courier New"/>
          <w:sz w:val="24"/>
        </w:rPr>
        <w:t xml:space="preserve">Cancer Research UK </w:t>
      </w:r>
      <w:proofErr w:type="spellStart"/>
      <w:r w:rsidRPr="00D22CE2">
        <w:rPr>
          <w:rFonts w:asciiTheme="minorHAnsi" w:hAnsiTheme="minorHAnsi" w:cs="Courier New"/>
          <w:sz w:val="24"/>
        </w:rPr>
        <w:t>CancerStats</w:t>
      </w:r>
      <w:proofErr w:type="spellEnd"/>
      <w:r w:rsidRPr="00D22CE2">
        <w:rPr>
          <w:rFonts w:asciiTheme="minorHAnsi" w:hAnsiTheme="minorHAnsi" w:cs="Courier New"/>
          <w:sz w:val="24"/>
        </w:rPr>
        <w:t>.</w:t>
      </w:r>
      <w:proofErr w:type="gramEnd"/>
      <w:r w:rsidRPr="00D22CE2">
        <w:rPr>
          <w:rFonts w:asciiTheme="minorHAnsi" w:hAnsiTheme="minorHAnsi" w:cs="Courier New"/>
          <w:sz w:val="24"/>
        </w:rPr>
        <w:t xml:space="preserve"> Available at: http://info.cancerresearchuk.org/cancerstats [Accessed 01/04/2015]</w:t>
      </w:r>
    </w:p>
    <w:p w14:paraId="76A50A44" w14:textId="77777777" w:rsidR="00427B1F" w:rsidRPr="00D22CE2" w:rsidRDefault="00427B1F" w:rsidP="001E225F">
      <w:pPr>
        <w:spacing w:line="360" w:lineRule="auto"/>
        <w:outlineLvl w:val="0"/>
        <w:rPr>
          <w:rFonts w:asciiTheme="minorHAnsi" w:hAnsiTheme="minorHAnsi" w:cs="Courier New"/>
          <w:sz w:val="24"/>
        </w:rPr>
      </w:pPr>
    </w:p>
    <w:p w14:paraId="3487D262" w14:textId="22409CC3" w:rsidR="00427B1F" w:rsidRPr="00064FDE" w:rsidRDefault="00427B1F" w:rsidP="001E225F">
      <w:pPr>
        <w:spacing w:line="360" w:lineRule="auto"/>
        <w:outlineLvl w:val="0"/>
        <w:rPr>
          <w:rFonts w:asciiTheme="minorHAnsi" w:hAnsiTheme="minorHAnsi" w:cs="Courier New"/>
          <w:sz w:val="24"/>
          <w:lang w:val="nl-NL"/>
        </w:rPr>
      </w:pPr>
      <w:r w:rsidRPr="00064FDE">
        <w:rPr>
          <w:rFonts w:asciiTheme="minorHAnsi" w:hAnsiTheme="minorHAnsi" w:cs="Courier New"/>
          <w:sz w:val="24"/>
          <w:lang w:val="nl-NL"/>
        </w:rPr>
        <w:t xml:space="preserve">[2] Leongamornlert D, Mahmud N, Tymrakiewicz M, et al. </w:t>
      </w:r>
      <w:r w:rsidRPr="00D22CE2">
        <w:rPr>
          <w:rFonts w:asciiTheme="minorHAnsi" w:hAnsiTheme="minorHAnsi" w:cs="Courier New"/>
          <w:sz w:val="24"/>
        </w:rPr>
        <w:t xml:space="preserve">Germline BRCA1 mutations increase prostate cancer risk. </w:t>
      </w:r>
      <w:r w:rsidRPr="00064FDE">
        <w:rPr>
          <w:rFonts w:asciiTheme="minorHAnsi" w:hAnsiTheme="minorHAnsi" w:cs="Courier New"/>
          <w:i/>
          <w:sz w:val="24"/>
          <w:lang w:val="nl-NL"/>
        </w:rPr>
        <w:t>Br J Cancer</w:t>
      </w:r>
      <w:r w:rsidRPr="00064FDE">
        <w:rPr>
          <w:rFonts w:asciiTheme="minorHAnsi" w:hAnsiTheme="minorHAnsi" w:cs="Courier New"/>
          <w:sz w:val="24"/>
          <w:lang w:val="nl-NL"/>
        </w:rPr>
        <w:t xml:space="preserve"> 2012;</w:t>
      </w:r>
      <w:r w:rsidR="00704316" w:rsidRPr="00064FDE">
        <w:rPr>
          <w:rFonts w:asciiTheme="minorHAnsi" w:hAnsiTheme="minorHAnsi" w:cs="Courier New"/>
          <w:sz w:val="24"/>
          <w:lang w:val="nl-NL"/>
        </w:rPr>
        <w:t xml:space="preserve"> </w:t>
      </w:r>
      <w:r w:rsidRPr="00064FDE">
        <w:rPr>
          <w:rFonts w:asciiTheme="minorHAnsi" w:hAnsiTheme="minorHAnsi" w:cs="Courier New"/>
          <w:sz w:val="24"/>
          <w:lang w:val="nl-NL"/>
        </w:rPr>
        <w:t>106:</w:t>
      </w:r>
      <w:r w:rsidR="00704316" w:rsidRPr="00064FDE">
        <w:rPr>
          <w:rFonts w:asciiTheme="minorHAnsi" w:hAnsiTheme="minorHAnsi" w:cs="Courier New"/>
          <w:sz w:val="24"/>
          <w:lang w:val="nl-NL"/>
        </w:rPr>
        <w:t xml:space="preserve"> </w:t>
      </w:r>
      <w:r w:rsidRPr="00064FDE">
        <w:rPr>
          <w:rFonts w:asciiTheme="minorHAnsi" w:hAnsiTheme="minorHAnsi" w:cs="Courier New"/>
          <w:sz w:val="24"/>
          <w:lang w:val="nl-NL"/>
        </w:rPr>
        <w:t>1697-701.</w:t>
      </w:r>
    </w:p>
    <w:p w14:paraId="599EC0DB" w14:textId="77777777" w:rsidR="00427B1F" w:rsidRPr="00064FDE" w:rsidRDefault="00427B1F" w:rsidP="001E225F">
      <w:pPr>
        <w:spacing w:line="360" w:lineRule="auto"/>
        <w:outlineLvl w:val="0"/>
        <w:rPr>
          <w:rFonts w:asciiTheme="minorHAnsi" w:hAnsiTheme="minorHAnsi" w:cs="Courier New"/>
          <w:sz w:val="24"/>
          <w:lang w:val="nl-NL"/>
        </w:rPr>
      </w:pPr>
    </w:p>
    <w:p w14:paraId="3A5987CC" w14:textId="1CAC4962" w:rsidR="00C839CC" w:rsidRPr="00D22CE2" w:rsidRDefault="00427B1F" w:rsidP="001E225F">
      <w:pPr>
        <w:spacing w:line="360" w:lineRule="auto"/>
        <w:rPr>
          <w:rFonts w:asciiTheme="minorHAnsi" w:hAnsiTheme="minorHAnsi"/>
          <w:sz w:val="24"/>
        </w:rPr>
      </w:pPr>
      <w:r w:rsidRPr="00064FDE">
        <w:rPr>
          <w:rFonts w:asciiTheme="minorHAnsi" w:hAnsiTheme="minorHAnsi" w:cs="Courier New"/>
          <w:sz w:val="24"/>
          <w:lang w:val="nl-NL"/>
        </w:rPr>
        <w:t xml:space="preserve">[3] </w:t>
      </w:r>
      <w:r w:rsidR="00C839CC" w:rsidRPr="00064FDE">
        <w:rPr>
          <w:rFonts w:asciiTheme="minorHAnsi" w:hAnsiTheme="minorHAnsi"/>
          <w:sz w:val="24"/>
          <w:lang w:val="nl-NL"/>
        </w:rPr>
        <w:t xml:space="preserve">Kote-Jarai Z, Leongamornlert D, Saunders E, et al. </w:t>
      </w:r>
      <w:r w:rsidR="00C839CC" w:rsidRPr="00D22CE2">
        <w:rPr>
          <w:rFonts w:asciiTheme="minorHAnsi" w:hAnsiTheme="minorHAnsi"/>
          <w:sz w:val="24"/>
        </w:rPr>
        <w:t xml:space="preserve">BRCA2 is a moderate penetrance gene contributing to young-onset prostate cancer: implications for genetic testing in prostate cancer patients. </w:t>
      </w:r>
      <w:r w:rsidR="00C839CC" w:rsidRPr="00614147">
        <w:rPr>
          <w:rFonts w:asciiTheme="minorHAnsi" w:hAnsiTheme="minorHAnsi"/>
          <w:i/>
          <w:sz w:val="24"/>
        </w:rPr>
        <w:t>Br J Cancer</w:t>
      </w:r>
      <w:r w:rsidR="00C839CC" w:rsidRPr="00D22CE2">
        <w:rPr>
          <w:rFonts w:asciiTheme="minorHAnsi" w:hAnsiTheme="minorHAnsi"/>
          <w:sz w:val="24"/>
        </w:rPr>
        <w:t xml:space="preserve"> 2011</w:t>
      </w:r>
      <w:r w:rsidR="00704316">
        <w:rPr>
          <w:rFonts w:asciiTheme="minorHAnsi" w:hAnsiTheme="minorHAnsi"/>
          <w:sz w:val="24"/>
        </w:rPr>
        <w:t xml:space="preserve">; </w:t>
      </w:r>
      <w:r w:rsidR="00C839CC" w:rsidRPr="00D22CE2">
        <w:rPr>
          <w:rFonts w:asciiTheme="minorHAnsi" w:hAnsiTheme="minorHAnsi"/>
          <w:sz w:val="24"/>
        </w:rPr>
        <w:t>105(8):</w:t>
      </w:r>
      <w:r w:rsidR="00704316">
        <w:rPr>
          <w:rFonts w:asciiTheme="minorHAnsi" w:hAnsiTheme="minorHAnsi"/>
          <w:sz w:val="24"/>
        </w:rPr>
        <w:t xml:space="preserve"> </w:t>
      </w:r>
      <w:r w:rsidR="00C839CC" w:rsidRPr="00D22CE2">
        <w:rPr>
          <w:rFonts w:asciiTheme="minorHAnsi" w:hAnsiTheme="minorHAnsi"/>
          <w:sz w:val="24"/>
        </w:rPr>
        <w:t xml:space="preserve">1230-4. </w:t>
      </w:r>
    </w:p>
    <w:p w14:paraId="17BB68B7" w14:textId="77777777" w:rsidR="00427B1F" w:rsidRPr="00D22CE2" w:rsidRDefault="00427B1F" w:rsidP="001E225F">
      <w:pPr>
        <w:spacing w:line="360" w:lineRule="auto"/>
        <w:outlineLvl w:val="0"/>
        <w:rPr>
          <w:rFonts w:asciiTheme="minorHAnsi" w:hAnsiTheme="minorHAnsi" w:cs="Courier New"/>
          <w:sz w:val="24"/>
        </w:rPr>
      </w:pPr>
    </w:p>
    <w:p w14:paraId="0BACF286" w14:textId="752AF659" w:rsidR="00427B1F" w:rsidRPr="00D22CE2" w:rsidRDefault="00427B1F" w:rsidP="001E225F">
      <w:pPr>
        <w:spacing w:line="360" w:lineRule="auto"/>
        <w:outlineLvl w:val="0"/>
        <w:rPr>
          <w:rFonts w:asciiTheme="minorHAnsi" w:hAnsiTheme="minorHAnsi" w:cs="Courier New"/>
          <w:sz w:val="24"/>
        </w:rPr>
      </w:pPr>
      <w:r w:rsidRPr="00D22CE2">
        <w:rPr>
          <w:rFonts w:asciiTheme="minorHAnsi" w:hAnsiTheme="minorHAnsi" w:cs="Courier New"/>
          <w:sz w:val="24"/>
        </w:rPr>
        <w:t xml:space="preserve">[4] Castro E, Goh C, Olmos D, et al. Germline BRCA mutations are associated with higher risk of nodal involvement, distant metastasis, and poor survival outcomes in prostate cancer. </w:t>
      </w:r>
      <w:r w:rsidRPr="00614147">
        <w:rPr>
          <w:rFonts w:asciiTheme="minorHAnsi" w:hAnsiTheme="minorHAnsi" w:cs="Courier New"/>
          <w:i/>
          <w:sz w:val="24"/>
        </w:rPr>
        <w:t xml:space="preserve">J </w:t>
      </w:r>
      <w:proofErr w:type="spellStart"/>
      <w:r w:rsidRPr="00614147">
        <w:rPr>
          <w:rFonts w:asciiTheme="minorHAnsi" w:hAnsiTheme="minorHAnsi" w:cs="Courier New"/>
          <w:i/>
          <w:sz w:val="24"/>
        </w:rPr>
        <w:t>Clin</w:t>
      </w:r>
      <w:proofErr w:type="spellEnd"/>
      <w:r w:rsidRPr="00614147">
        <w:rPr>
          <w:rFonts w:asciiTheme="minorHAnsi" w:hAnsiTheme="minorHAnsi" w:cs="Courier New"/>
          <w:i/>
          <w:sz w:val="24"/>
        </w:rPr>
        <w:t xml:space="preserve"> </w:t>
      </w:r>
      <w:proofErr w:type="spellStart"/>
      <w:r w:rsidRPr="00614147">
        <w:rPr>
          <w:rFonts w:asciiTheme="minorHAnsi" w:hAnsiTheme="minorHAnsi" w:cs="Courier New"/>
          <w:i/>
          <w:sz w:val="24"/>
        </w:rPr>
        <w:t>Oncol</w:t>
      </w:r>
      <w:proofErr w:type="spellEnd"/>
      <w:r w:rsidRPr="00614147">
        <w:rPr>
          <w:rFonts w:asciiTheme="minorHAnsi" w:hAnsiTheme="minorHAnsi" w:cs="Courier New"/>
          <w:i/>
          <w:sz w:val="24"/>
        </w:rPr>
        <w:t xml:space="preserve"> </w:t>
      </w:r>
      <w:r w:rsidRPr="00D22CE2">
        <w:rPr>
          <w:rFonts w:asciiTheme="minorHAnsi" w:hAnsiTheme="minorHAnsi" w:cs="Courier New"/>
          <w:sz w:val="24"/>
        </w:rPr>
        <w:t>2013;</w:t>
      </w:r>
      <w:r w:rsidR="00704316">
        <w:rPr>
          <w:rFonts w:asciiTheme="minorHAnsi" w:hAnsiTheme="minorHAnsi" w:cs="Courier New"/>
          <w:sz w:val="24"/>
        </w:rPr>
        <w:t xml:space="preserve"> </w:t>
      </w:r>
      <w:r w:rsidRPr="00D22CE2">
        <w:rPr>
          <w:rFonts w:asciiTheme="minorHAnsi" w:hAnsiTheme="minorHAnsi" w:cs="Courier New"/>
          <w:sz w:val="24"/>
        </w:rPr>
        <w:t>31:</w:t>
      </w:r>
      <w:r w:rsidR="00704316">
        <w:rPr>
          <w:rFonts w:asciiTheme="minorHAnsi" w:hAnsiTheme="minorHAnsi" w:cs="Courier New"/>
          <w:sz w:val="24"/>
        </w:rPr>
        <w:t xml:space="preserve"> </w:t>
      </w:r>
      <w:r w:rsidRPr="00D22CE2">
        <w:rPr>
          <w:rFonts w:asciiTheme="minorHAnsi" w:hAnsiTheme="minorHAnsi" w:cs="Courier New"/>
          <w:sz w:val="24"/>
        </w:rPr>
        <w:t>1748-57.</w:t>
      </w:r>
    </w:p>
    <w:p w14:paraId="04E0C172" w14:textId="77777777" w:rsidR="00427B1F" w:rsidRPr="00D22CE2" w:rsidRDefault="00427B1F" w:rsidP="001E225F">
      <w:pPr>
        <w:spacing w:line="360" w:lineRule="auto"/>
        <w:outlineLvl w:val="0"/>
        <w:rPr>
          <w:rFonts w:asciiTheme="minorHAnsi" w:hAnsiTheme="minorHAnsi" w:cs="Courier New"/>
          <w:sz w:val="24"/>
        </w:rPr>
      </w:pPr>
    </w:p>
    <w:p w14:paraId="3D69DFD2" w14:textId="1A62D974" w:rsidR="00427B1F" w:rsidRPr="00D22CE2" w:rsidRDefault="00427B1F" w:rsidP="001E225F">
      <w:pPr>
        <w:spacing w:line="360" w:lineRule="auto"/>
        <w:outlineLvl w:val="0"/>
        <w:rPr>
          <w:rFonts w:asciiTheme="minorHAnsi" w:hAnsiTheme="minorHAnsi" w:cs="Courier New"/>
          <w:sz w:val="24"/>
          <w:lang w:val="fr-FR"/>
        </w:rPr>
      </w:pPr>
      <w:r w:rsidRPr="00D22CE2">
        <w:rPr>
          <w:rFonts w:asciiTheme="minorHAnsi" w:hAnsiTheme="minorHAnsi" w:cs="Courier New"/>
          <w:sz w:val="24"/>
          <w:lang w:val="fr-FR"/>
        </w:rPr>
        <w:t>[</w:t>
      </w:r>
      <w:r w:rsidR="00E66C47">
        <w:rPr>
          <w:rFonts w:asciiTheme="minorHAnsi" w:hAnsiTheme="minorHAnsi" w:cs="Courier New"/>
          <w:sz w:val="24"/>
          <w:lang w:val="fr-FR"/>
        </w:rPr>
        <w:t>5</w:t>
      </w:r>
      <w:r w:rsidRPr="00D22CE2">
        <w:rPr>
          <w:rFonts w:asciiTheme="minorHAnsi" w:hAnsiTheme="minorHAnsi" w:cs="Courier New"/>
          <w:sz w:val="24"/>
          <w:lang w:val="fr-FR"/>
        </w:rPr>
        <w:t xml:space="preserve">] </w:t>
      </w:r>
      <w:proofErr w:type="spellStart"/>
      <w:r w:rsidRPr="00D22CE2">
        <w:rPr>
          <w:rFonts w:asciiTheme="minorHAnsi" w:hAnsiTheme="minorHAnsi" w:cs="Courier New"/>
          <w:sz w:val="24"/>
          <w:lang w:val="fr-FR"/>
        </w:rPr>
        <w:t>Gallagher</w:t>
      </w:r>
      <w:proofErr w:type="spellEnd"/>
      <w:r w:rsidRPr="00D22CE2">
        <w:rPr>
          <w:rFonts w:asciiTheme="minorHAnsi" w:hAnsiTheme="minorHAnsi" w:cs="Courier New"/>
          <w:sz w:val="24"/>
          <w:lang w:val="fr-FR"/>
        </w:rPr>
        <w:t xml:space="preserve"> DJ, Gaudet MM, Pal P, et al. </w:t>
      </w:r>
      <w:r w:rsidRPr="00D22CE2">
        <w:rPr>
          <w:rFonts w:asciiTheme="minorHAnsi" w:hAnsiTheme="minorHAnsi" w:cs="Courier New"/>
          <w:sz w:val="24"/>
        </w:rPr>
        <w:t xml:space="preserve">Germline BRCA mutations denote a </w:t>
      </w:r>
      <w:proofErr w:type="spellStart"/>
      <w:r w:rsidRPr="00D22CE2">
        <w:rPr>
          <w:rFonts w:asciiTheme="minorHAnsi" w:hAnsiTheme="minorHAnsi" w:cs="Courier New"/>
          <w:sz w:val="24"/>
        </w:rPr>
        <w:t>clinicopathologic</w:t>
      </w:r>
      <w:proofErr w:type="spellEnd"/>
      <w:r w:rsidRPr="00D22CE2">
        <w:rPr>
          <w:rFonts w:asciiTheme="minorHAnsi" w:hAnsiTheme="minorHAnsi" w:cs="Courier New"/>
          <w:sz w:val="24"/>
        </w:rPr>
        <w:t xml:space="preserve"> subset of prostate cancer. </w:t>
      </w:r>
      <w:r w:rsidRPr="00614147">
        <w:rPr>
          <w:rFonts w:asciiTheme="minorHAnsi" w:hAnsiTheme="minorHAnsi" w:cs="Courier New"/>
          <w:i/>
          <w:sz w:val="24"/>
          <w:lang w:val="fr-FR"/>
        </w:rPr>
        <w:t xml:space="preserve">Clin Cancer </w:t>
      </w:r>
      <w:proofErr w:type="spellStart"/>
      <w:r w:rsidRPr="00614147">
        <w:rPr>
          <w:rFonts w:asciiTheme="minorHAnsi" w:hAnsiTheme="minorHAnsi" w:cs="Courier New"/>
          <w:i/>
          <w:sz w:val="24"/>
          <w:lang w:val="fr-FR"/>
        </w:rPr>
        <w:t>Res</w:t>
      </w:r>
      <w:proofErr w:type="spellEnd"/>
      <w:r w:rsidRPr="00D22CE2">
        <w:rPr>
          <w:rFonts w:asciiTheme="minorHAnsi" w:hAnsiTheme="minorHAnsi" w:cs="Courier New"/>
          <w:sz w:val="24"/>
          <w:lang w:val="fr-FR"/>
        </w:rPr>
        <w:t xml:space="preserve"> 2010;</w:t>
      </w:r>
      <w:r w:rsidR="00704316">
        <w:rPr>
          <w:rFonts w:asciiTheme="minorHAnsi" w:hAnsiTheme="minorHAnsi" w:cs="Courier New"/>
          <w:sz w:val="24"/>
          <w:lang w:val="fr-FR"/>
        </w:rPr>
        <w:t xml:space="preserve"> </w:t>
      </w:r>
      <w:r w:rsidRPr="00D22CE2">
        <w:rPr>
          <w:rFonts w:asciiTheme="minorHAnsi" w:hAnsiTheme="minorHAnsi" w:cs="Courier New"/>
          <w:sz w:val="24"/>
          <w:lang w:val="fr-FR"/>
        </w:rPr>
        <w:t>16:</w:t>
      </w:r>
      <w:r w:rsidR="00704316">
        <w:rPr>
          <w:rFonts w:asciiTheme="minorHAnsi" w:hAnsiTheme="minorHAnsi" w:cs="Courier New"/>
          <w:sz w:val="24"/>
          <w:lang w:val="fr-FR"/>
        </w:rPr>
        <w:t xml:space="preserve"> </w:t>
      </w:r>
      <w:r w:rsidRPr="00D22CE2">
        <w:rPr>
          <w:rFonts w:asciiTheme="minorHAnsi" w:hAnsiTheme="minorHAnsi" w:cs="Courier New"/>
          <w:sz w:val="24"/>
          <w:lang w:val="fr-FR"/>
        </w:rPr>
        <w:t>2115-21.</w:t>
      </w:r>
    </w:p>
    <w:p w14:paraId="21BC57FA" w14:textId="77777777" w:rsidR="00427B1F" w:rsidRPr="00D22CE2" w:rsidRDefault="00427B1F" w:rsidP="001E225F">
      <w:pPr>
        <w:spacing w:line="360" w:lineRule="auto"/>
        <w:outlineLvl w:val="0"/>
        <w:rPr>
          <w:rFonts w:asciiTheme="minorHAnsi" w:hAnsiTheme="minorHAnsi" w:cs="Courier New"/>
          <w:sz w:val="24"/>
          <w:lang w:val="fr-FR"/>
        </w:rPr>
      </w:pPr>
    </w:p>
    <w:p w14:paraId="5187DFBF" w14:textId="327D0651" w:rsidR="00427B1F" w:rsidRPr="00D22CE2" w:rsidRDefault="00427B1F" w:rsidP="001E225F">
      <w:pPr>
        <w:spacing w:line="360" w:lineRule="auto"/>
        <w:outlineLvl w:val="0"/>
        <w:rPr>
          <w:rFonts w:asciiTheme="minorHAnsi" w:hAnsiTheme="minorHAnsi" w:cs="Courier New"/>
          <w:sz w:val="24"/>
          <w:lang w:val="da-DK"/>
        </w:rPr>
      </w:pPr>
      <w:r w:rsidRPr="00D22CE2">
        <w:rPr>
          <w:rFonts w:asciiTheme="minorHAnsi" w:hAnsiTheme="minorHAnsi" w:cs="Courier New"/>
          <w:sz w:val="24"/>
          <w:lang w:val="da-DK"/>
        </w:rPr>
        <w:t>[</w:t>
      </w:r>
      <w:r w:rsidR="00E66C47">
        <w:rPr>
          <w:rFonts w:asciiTheme="minorHAnsi" w:hAnsiTheme="minorHAnsi" w:cs="Courier New"/>
          <w:sz w:val="24"/>
          <w:lang w:val="da-DK"/>
        </w:rPr>
        <w:t>6</w:t>
      </w:r>
      <w:r w:rsidRPr="00D22CE2">
        <w:rPr>
          <w:rFonts w:asciiTheme="minorHAnsi" w:hAnsiTheme="minorHAnsi" w:cs="Courier New"/>
          <w:sz w:val="24"/>
          <w:lang w:val="da-DK"/>
        </w:rPr>
        <w:t xml:space="preserve">] Bancroft EK, Page EC, Castro E, et al. </w:t>
      </w:r>
      <w:r w:rsidRPr="00D22CE2">
        <w:rPr>
          <w:rFonts w:asciiTheme="minorHAnsi" w:hAnsiTheme="minorHAnsi" w:cs="Courier New"/>
          <w:sz w:val="24"/>
        </w:rPr>
        <w:t xml:space="preserve">Targeted prostate cancer screening in BRCA1 and BRCA2 mutation carriers: results from the initial screening round of the IMPACT study. </w:t>
      </w:r>
      <w:r w:rsidRPr="00614147">
        <w:rPr>
          <w:rFonts w:asciiTheme="minorHAnsi" w:hAnsiTheme="minorHAnsi" w:cs="Courier New"/>
          <w:i/>
          <w:sz w:val="24"/>
          <w:lang w:val="da-DK"/>
        </w:rPr>
        <w:t>Eur Urol</w:t>
      </w:r>
      <w:r w:rsidRPr="00D22CE2">
        <w:rPr>
          <w:rFonts w:asciiTheme="minorHAnsi" w:hAnsiTheme="minorHAnsi" w:cs="Courier New"/>
          <w:sz w:val="24"/>
          <w:lang w:val="da-DK"/>
        </w:rPr>
        <w:t xml:space="preserve"> 2014</w:t>
      </w:r>
      <w:r w:rsidR="00704316">
        <w:rPr>
          <w:rFonts w:asciiTheme="minorHAnsi" w:hAnsiTheme="minorHAnsi" w:cs="Courier New"/>
          <w:sz w:val="24"/>
          <w:lang w:val="da-DK"/>
        </w:rPr>
        <w:t>;</w:t>
      </w:r>
      <w:r w:rsidRPr="00D22CE2">
        <w:rPr>
          <w:rFonts w:asciiTheme="minorHAnsi" w:hAnsiTheme="minorHAnsi" w:cs="Courier New"/>
          <w:sz w:val="24"/>
          <w:lang w:val="da-DK"/>
        </w:rPr>
        <w:t xml:space="preserve"> 66(3):</w:t>
      </w:r>
      <w:r w:rsidR="00704316">
        <w:rPr>
          <w:rFonts w:asciiTheme="minorHAnsi" w:hAnsiTheme="minorHAnsi" w:cs="Courier New"/>
          <w:sz w:val="24"/>
          <w:lang w:val="da-DK"/>
        </w:rPr>
        <w:t xml:space="preserve"> </w:t>
      </w:r>
      <w:r w:rsidRPr="00D22CE2">
        <w:rPr>
          <w:rFonts w:asciiTheme="minorHAnsi" w:hAnsiTheme="minorHAnsi" w:cs="Courier New"/>
          <w:sz w:val="24"/>
          <w:lang w:val="da-DK"/>
        </w:rPr>
        <w:t>489-99.</w:t>
      </w:r>
    </w:p>
    <w:p w14:paraId="649F78A1" w14:textId="77777777" w:rsidR="00427B1F" w:rsidRPr="00D22CE2" w:rsidRDefault="00427B1F" w:rsidP="001E225F">
      <w:pPr>
        <w:spacing w:line="360" w:lineRule="auto"/>
        <w:outlineLvl w:val="0"/>
        <w:rPr>
          <w:rFonts w:asciiTheme="minorHAnsi" w:hAnsiTheme="minorHAnsi" w:cs="Courier New"/>
          <w:sz w:val="24"/>
          <w:lang w:val="da-DK"/>
        </w:rPr>
      </w:pPr>
    </w:p>
    <w:p w14:paraId="54E394F3" w14:textId="26361B3F" w:rsidR="00427B1F" w:rsidRPr="00D22CE2" w:rsidRDefault="00427B1F" w:rsidP="001E225F">
      <w:pPr>
        <w:spacing w:line="360" w:lineRule="auto"/>
        <w:outlineLvl w:val="0"/>
        <w:rPr>
          <w:rFonts w:asciiTheme="minorHAnsi" w:hAnsiTheme="minorHAnsi" w:cs="Courier New"/>
          <w:sz w:val="24"/>
        </w:rPr>
      </w:pPr>
      <w:r w:rsidRPr="00D22CE2">
        <w:rPr>
          <w:rFonts w:asciiTheme="minorHAnsi" w:hAnsiTheme="minorHAnsi" w:cs="Courier New"/>
          <w:sz w:val="24"/>
          <w:lang w:val="it-IT"/>
        </w:rPr>
        <w:t>[</w:t>
      </w:r>
      <w:r w:rsidR="00E66C47">
        <w:rPr>
          <w:rFonts w:asciiTheme="minorHAnsi" w:hAnsiTheme="minorHAnsi" w:cs="Courier New"/>
          <w:sz w:val="24"/>
          <w:lang w:val="it-IT"/>
        </w:rPr>
        <w:t>7</w:t>
      </w:r>
      <w:r w:rsidRPr="00D22CE2">
        <w:rPr>
          <w:rFonts w:asciiTheme="minorHAnsi" w:hAnsiTheme="minorHAnsi" w:cs="Courier New"/>
          <w:sz w:val="24"/>
          <w:lang w:val="it-IT"/>
        </w:rPr>
        <w:t xml:space="preserve">] Andriole GL, Crawford ED, Grubb RL, 3rd, et al. </w:t>
      </w:r>
      <w:r w:rsidRPr="00D22CE2">
        <w:rPr>
          <w:rFonts w:asciiTheme="minorHAnsi" w:hAnsiTheme="minorHAnsi" w:cs="Courier New"/>
          <w:sz w:val="24"/>
        </w:rPr>
        <w:t xml:space="preserve">Prostate cancer screening in the randomized Prostate, Lung, Colorectal, and Ovarian Cancer Screening Trial: mortality results after 13 years of follow-up. </w:t>
      </w:r>
      <w:proofErr w:type="gramStart"/>
      <w:r w:rsidRPr="00614147">
        <w:rPr>
          <w:rFonts w:asciiTheme="minorHAnsi" w:hAnsiTheme="minorHAnsi" w:cs="Courier New"/>
          <w:i/>
          <w:sz w:val="24"/>
        </w:rPr>
        <w:t xml:space="preserve">J </w:t>
      </w:r>
      <w:proofErr w:type="spellStart"/>
      <w:r w:rsidRPr="00614147">
        <w:rPr>
          <w:rFonts w:asciiTheme="minorHAnsi" w:hAnsiTheme="minorHAnsi" w:cs="Courier New"/>
          <w:i/>
          <w:sz w:val="24"/>
        </w:rPr>
        <w:t>Natl</w:t>
      </w:r>
      <w:proofErr w:type="spellEnd"/>
      <w:r w:rsidRPr="00614147">
        <w:rPr>
          <w:rFonts w:asciiTheme="minorHAnsi" w:hAnsiTheme="minorHAnsi" w:cs="Courier New"/>
          <w:i/>
          <w:sz w:val="24"/>
        </w:rPr>
        <w:t xml:space="preserve"> Cancer </w:t>
      </w:r>
      <w:proofErr w:type="spellStart"/>
      <w:r w:rsidRPr="00614147">
        <w:rPr>
          <w:rFonts w:asciiTheme="minorHAnsi" w:hAnsiTheme="minorHAnsi" w:cs="Courier New"/>
          <w:i/>
          <w:sz w:val="24"/>
        </w:rPr>
        <w:t>Inst</w:t>
      </w:r>
      <w:proofErr w:type="spellEnd"/>
      <w:r w:rsidRPr="00D22CE2">
        <w:rPr>
          <w:rFonts w:asciiTheme="minorHAnsi" w:hAnsiTheme="minorHAnsi" w:cs="Courier New"/>
          <w:sz w:val="24"/>
        </w:rPr>
        <w:t xml:space="preserve"> 2012;</w:t>
      </w:r>
      <w:r w:rsidR="00704316">
        <w:rPr>
          <w:rFonts w:asciiTheme="minorHAnsi" w:hAnsiTheme="minorHAnsi" w:cs="Courier New"/>
          <w:sz w:val="24"/>
        </w:rPr>
        <w:t xml:space="preserve"> </w:t>
      </w:r>
      <w:r w:rsidRPr="00D22CE2">
        <w:rPr>
          <w:rFonts w:asciiTheme="minorHAnsi" w:hAnsiTheme="minorHAnsi" w:cs="Courier New"/>
          <w:sz w:val="24"/>
        </w:rPr>
        <w:t>104:</w:t>
      </w:r>
      <w:r w:rsidR="00704316">
        <w:rPr>
          <w:rFonts w:asciiTheme="minorHAnsi" w:hAnsiTheme="minorHAnsi" w:cs="Courier New"/>
          <w:sz w:val="24"/>
        </w:rPr>
        <w:t xml:space="preserve"> </w:t>
      </w:r>
      <w:r w:rsidRPr="00D22CE2">
        <w:rPr>
          <w:rFonts w:asciiTheme="minorHAnsi" w:hAnsiTheme="minorHAnsi" w:cs="Courier New"/>
          <w:sz w:val="24"/>
        </w:rPr>
        <w:t>125-32.</w:t>
      </w:r>
      <w:proofErr w:type="gramEnd"/>
    </w:p>
    <w:p w14:paraId="39D60DA9" w14:textId="77777777" w:rsidR="00427B1F" w:rsidRPr="00D22CE2" w:rsidRDefault="00427B1F" w:rsidP="001E225F">
      <w:pPr>
        <w:spacing w:line="360" w:lineRule="auto"/>
        <w:outlineLvl w:val="0"/>
        <w:rPr>
          <w:rFonts w:asciiTheme="minorHAnsi" w:hAnsiTheme="minorHAnsi" w:cs="Courier New"/>
          <w:sz w:val="24"/>
        </w:rPr>
      </w:pPr>
    </w:p>
    <w:p w14:paraId="63D6EF00" w14:textId="5440F8F0" w:rsidR="00427B1F" w:rsidRPr="00D22CE2" w:rsidRDefault="00E66C47" w:rsidP="001E225F">
      <w:pPr>
        <w:spacing w:line="360" w:lineRule="auto"/>
        <w:outlineLvl w:val="0"/>
        <w:rPr>
          <w:rFonts w:asciiTheme="minorHAnsi" w:hAnsiTheme="minorHAnsi" w:cs="Courier New"/>
          <w:sz w:val="24"/>
          <w:lang w:val="da-DK"/>
        </w:rPr>
      </w:pPr>
      <w:r>
        <w:rPr>
          <w:rFonts w:asciiTheme="minorHAnsi" w:hAnsiTheme="minorHAnsi" w:cs="Courier New"/>
          <w:sz w:val="24"/>
        </w:rPr>
        <w:lastRenderedPageBreak/>
        <w:t>[8</w:t>
      </w:r>
      <w:r w:rsidR="00427B1F" w:rsidRPr="00D22CE2">
        <w:rPr>
          <w:rFonts w:asciiTheme="minorHAnsi" w:hAnsiTheme="minorHAnsi" w:cs="Courier New"/>
          <w:sz w:val="24"/>
        </w:rPr>
        <w:t xml:space="preserve">] Schroder FH, </w:t>
      </w:r>
      <w:proofErr w:type="spellStart"/>
      <w:r w:rsidR="00427B1F" w:rsidRPr="00D22CE2">
        <w:rPr>
          <w:rFonts w:asciiTheme="minorHAnsi" w:hAnsiTheme="minorHAnsi" w:cs="Courier New"/>
          <w:sz w:val="24"/>
        </w:rPr>
        <w:t>Hugosson</w:t>
      </w:r>
      <w:proofErr w:type="spellEnd"/>
      <w:r w:rsidR="00427B1F" w:rsidRPr="00D22CE2">
        <w:rPr>
          <w:rFonts w:asciiTheme="minorHAnsi" w:hAnsiTheme="minorHAnsi" w:cs="Courier New"/>
          <w:sz w:val="24"/>
        </w:rPr>
        <w:t xml:space="preserve"> J, </w:t>
      </w:r>
      <w:proofErr w:type="spellStart"/>
      <w:r w:rsidR="00427B1F" w:rsidRPr="00D22CE2">
        <w:rPr>
          <w:rFonts w:asciiTheme="minorHAnsi" w:hAnsiTheme="minorHAnsi" w:cs="Courier New"/>
          <w:sz w:val="24"/>
        </w:rPr>
        <w:t>Roobol</w:t>
      </w:r>
      <w:proofErr w:type="spellEnd"/>
      <w:r w:rsidR="00427B1F" w:rsidRPr="00D22CE2">
        <w:rPr>
          <w:rFonts w:asciiTheme="minorHAnsi" w:hAnsiTheme="minorHAnsi" w:cs="Courier New"/>
          <w:sz w:val="24"/>
        </w:rPr>
        <w:t xml:space="preserve"> MJ, et al. Prostate-cancer mortality at 11 years of follow-up. </w:t>
      </w:r>
      <w:r w:rsidR="00427B1F" w:rsidRPr="00614147">
        <w:rPr>
          <w:rFonts w:asciiTheme="minorHAnsi" w:hAnsiTheme="minorHAnsi" w:cs="Courier New"/>
          <w:i/>
          <w:sz w:val="24"/>
          <w:lang w:val="da-DK"/>
        </w:rPr>
        <w:t>N Engl J Med</w:t>
      </w:r>
      <w:r w:rsidR="00427B1F" w:rsidRPr="00D22CE2">
        <w:rPr>
          <w:rFonts w:asciiTheme="minorHAnsi" w:hAnsiTheme="minorHAnsi" w:cs="Courier New"/>
          <w:sz w:val="24"/>
          <w:lang w:val="da-DK"/>
        </w:rPr>
        <w:t xml:space="preserve"> 2012;</w:t>
      </w:r>
      <w:r w:rsidR="00704316">
        <w:rPr>
          <w:rFonts w:asciiTheme="minorHAnsi" w:hAnsiTheme="minorHAnsi" w:cs="Courier New"/>
          <w:sz w:val="24"/>
          <w:lang w:val="da-DK"/>
        </w:rPr>
        <w:t xml:space="preserve"> </w:t>
      </w:r>
      <w:r w:rsidR="00427B1F" w:rsidRPr="00D22CE2">
        <w:rPr>
          <w:rFonts w:asciiTheme="minorHAnsi" w:hAnsiTheme="minorHAnsi" w:cs="Courier New"/>
          <w:sz w:val="24"/>
          <w:lang w:val="da-DK"/>
        </w:rPr>
        <w:t>366:</w:t>
      </w:r>
      <w:r w:rsidR="00704316">
        <w:rPr>
          <w:rFonts w:asciiTheme="minorHAnsi" w:hAnsiTheme="minorHAnsi" w:cs="Courier New"/>
          <w:sz w:val="24"/>
          <w:lang w:val="da-DK"/>
        </w:rPr>
        <w:t xml:space="preserve"> </w:t>
      </w:r>
      <w:r w:rsidR="00427B1F" w:rsidRPr="00D22CE2">
        <w:rPr>
          <w:rFonts w:asciiTheme="minorHAnsi" w:hAnsiTheme="minorHAnsi" w:cs="Courier New"/>
          <w:sz w:val="24"/>
          <w:lang w:val="da-DK"/>
        </w:rPr>
        <w:t>981-90.</w:t>
      </w:r>
    </w:p>
    <w:p w14:paraId="479BAE56" w14:textId="77777777" w:rsidR="00427B1F" w:rsidRPr="00D22CE2" w:rsidRDefault="00427B1F" w:rsidP="001E225F">
      <w:pPr>
        <w:spacing w:line="360" w:lineRule="auto"/>
        <w:outlineLvl w:val="0"/>
        <w:rPr>
          <w:rFonts w:asciiTheme="minorHAnsi" w:hAnsiTheme="minorHAnsi" w:cs="Courier New"/>
          <w:sz w:val="24"/>
          <w:lang w:val="da-DK"/>
        </w:rPr>
      </w:pPr>
    </w:p>
    <w:p w14:paraId="3A7C0331" w14:textId="617A3CBF" w:rsidR="00427B1F" w:rsidRPr="00064FDE" w:rsidRDefault="00427B1F" w:rsidP="001E225F">
      <w:pPr>
        <w:spacing w:line="360" w:lineRule="auto"/>
        <w:outlineLvl w:val="0"/>
        <w:rPr>
          <w:rFonts w:asciiTheme="minorHAnsi" w:hAnsiTheme="minorHAnsi" w:cs="Courier New"/>
          <w:sz w:val="24"/>
          <w:lang w:val="nl-NL"/>
        </w:rPr>
      </w:pPr>
      <w:r w:rsidRPr="00F6290C">
        <w:rPr>
          <w:rFonts w:asciiTheme="minorHAnsi" w:hAnsiTheme="minorHAnsi" w:cs="Courier New"/>
          <w:sz w:val="24"/>
          <w:lang w:val="en-US"/>
        </w:rPr>
        <w:t>[</w:t>
      </w:r>
      <w:r w:rsidR="00E66C47" w:rsidRPr="00F6290C">
        <w:rPr>
          <w:rFonts w:asciiTheme="minorHAnsi" w:hAnsiTheme="minorHAnsi" w:cs="Courier New"/>
          <w:sz w:val="24"/>
          <w:lang w:val="en-US"/>
        </w:rPr>
        <w:t>9</w:t>
      </w:r>
      <w:r w:rsidRPr="00F6290C">
        <w:rPr>
          <w:rFonts w:asciiTheme="minorHAnsi" w:hAnsiTheme="minorHAnsi" w:cs="Courier New"/>
          <w:sz w:val="24"/>
          <w:lang w:val="en-US"/>
        </w:rPr>
        <w:t xml:space="preserve">] </w:t>
      </w:r>
      <w:proofErr w:type="spellStart"/>
      <w:r w:rsidRPr="00F6290C">
        <w:rPr>
          <w:rFonts w:asciiTheme="minorHAnsi" w:hAnsiTheme="minorHAnsi" w:cs="Courier New"/>
          <w:sz w:val="24"/>
          <w:lang w:val="en-US"/>
        </w:rPr>
        <w:t>Catalona</w:t>
      </w:r>
      <w:proofErr w:type="spellEnd"/>
      <w:r w:rsidRPr="00F6290C">
        <w:rPr>
          <w:rFonts w:asciiTheme="minorHAnsi" w:hAnsiTheme="minorHAnsi" w:cs="Courier New"/>
          <w:sz w:val="24"/>
          <w:lang w:val="en-US"/>
        </w:rPr>
        <w:t xml:space="preserve"> WJ, </w:t>
      </w:r>
      <w:proofErr w:type="spellStart"/>
      <w:r w:rsidRPr="00F6290C">
        <w:rPr>
          <w:rFonts w:asciiTheme="minorHAnsi" w:hAnsiTheme="minorHAnsi" w:cs="Courier New"/>
          <w:sz w:val="24"/>
          <w:lang w:val="en-US"/>
        </w:rPr>
        <w:t>Antenor</w:t>
      </w:r>
      <w:proofErr w:type="spellEnd"/>
      <w:r w:rsidRPr="00F6290C">
        <w:rPr>
          <w:rFonts w:asciiTheme="minorHAnsi" w:hAnsiTheme="minorHAnsi" w:cs="Courier New"/>
          <w:sz w:val="24"/>
          <w:lang w:val="en-US"/>
        </w:rPr>
        <w:t xml:space="preserve"> JA, Roehl KA, </w:t>
      </w:r>
      <w:proofErr w:type="spellStart"/>
      <w:r w:rsidRPr="00F6290C">
        <w:rPr>
          <w:rFonts w:asciiTheme="minorHAnsi" w:hAnsiTheme="minorHAnsi" w:cs="Courier New"/>
          <w:sz w:val="24"/>
          <w:lang w:val="en-US"/>
        </w:rPr>
        <w:t>Moul</w:t>
      </w:r>
      <w:proofErr w:type="spellEnd"/>
      <w:r w:rsidRPr="00F6290C">
        <w:rPr>
          <w:rFonts w:asciiTheme="minorHAnsi" w:hAnsiTheme="minorHAnsi" w:cs="Courier New"/>
          <w:sz w:val="24"/>
          <w:lang w:val="en-US"/>
        </w:rPr>
        <w:t xml:space="preserve"> JW. </w:t>
      </w:r>
      <w:proofErr w:type="gramStart"/>
      <w:r w:rsidRPr="00D22CE2">
        <w:rPr>
          <w:rFonts w:asciiTheme="minorHAnsi" w:hAnsiTheme="minorHAnsi" w:cs="Courier New"/>
          <w:sz w:val="24"/>
        </w:rPr>
        <w:t>Screening for prostate cancer in high risk populations.</w:t>
      </w:r>
      <w:proofErr w:type="gramEnd"/>
      <w:r w:rsidRPr="00D22CE2">
        <w:rPr>
          <w:rFonts w:asciiTheme="minorHAnsi" w:hAnsiTheme="minorHAnsi" w:cs="Courier New"/>
          <w:sz w:val="24"/>
        </w:rPr>
        <w:t xml:space="preserve"> </w:t>
      </w:r>
      <w:r w:rsidRPr="00064FDE">
        <w:rPr>
          <w:rFonts w:asciiTheme="minorHAnsi" w:hAnsiTheme="minorHAnsi" w:cs="Courier New"/>
          <w:i/>
          <w:sz w:val="24"/>
          <w:lang w:val="nl-NL"/>
        </w:rPr>
        <w:t>J Urol</w:t>
      </w:r>
      <w:r w:rsidRPr="00064FDE">
        <w:rPr>
          <w:rFonts w:asciiTheme="minorHAnsi" w:hAnsiTheme="minorHAnsi" w:cs="Courier New"/>
          <w:sz w:val="24"/>
          <w:lang w:val="nl-NL"/>
        </w:rPr>
        <w:t xml:space="preserve"> 2002;</w:t>
      </w:r>
      <w:r w:rsidR="00704316" w:rsidRPr="00064FDE">
        <w:rPr>
          <w:rFonts w:asciiTheme="minorHAnsi" w:hAnsiTheme="minorHAnsi" w:cs="Courier New"/>
          <w:sz w:val="24"/>
          <w:lang w:val="nl-NL"/>
        </w:rPr>
        <w:t xml:space="preserve"> </w:t>
      </w:r>
      <w:r w:rsidRPr="00064FDE">
        <w:rPr>
          <w:rFonts w:asciiTheme="minorHAnsi" w:hAnsiTheme="minorHAnsi" w:cs="Courier New"/>
          <w:sz w:val="24"/>
          <w:lang w:val="nl-NL"/>
        </w:rPr>
        <w:t>168:</w:t>
      </w:r>
      <w:r w:rsidR="00704316" w:rsidRPr="00064FDE">
        <w:rPr>
          <w:rFonts w:asciiTheme="minorHAnsi" w:hAnsiTheme="minorHAnsi" w:cs="Courier New"/>
          <w:sz w:val="24"/>
          <w:lang w:val="nl-NL"/>
        </w:rPr>
        <w:t xml:space="preserve"> </w:t>
      </w:r>
      <w:r w:rsidRPr="00064FDE">
        <w:rPr>
          <w:rFonts w:asciiTheme="minorHAnsi" w:hAnsiTheme="minorHAnsi" w:cs="Courier New"/>
          <w:sz w:val="24"/>
          <w:lang w:val="nl-NL"/>
        </w:rPr>
        <w:t>1980-3; discussion 3-4.</w:t>
      </w:r>
    </w:p>
    <w:p w14:paraId="4293427F" w14:textId="77777777" w:rsidR="00427B1F" w:rsidRPr="00064FDE" w:rsidRDefault="00427B1F" w:rsidP="001E225F">
      <w:pPr>
        <w:spacing w:line="360" w:lineRule="auto"/>
        <w:outlineLvl w:val="0"/>
        <w:rPr>
          <w:rFonts w:asciiTheme="minorHAnsi" w:hAnsiTheme="minorHAnsi" w:cs="Courier New"/>
          <w:sz w:val="24"/>
          <w:lang w:val="nl-NL"/>
        </w:rPr>
      </w:pPr>
    </w:p>
    <w:p w14:paraId="266AD7DB" w14:textId="2FEDEAE0" w:rsidR="00427B1F" w:rsidRPr="00064FDE" w:rsidRDefault="00427B1F" w:rsidP="001E225F">
      <w:pPr>
        <w:spacing w:line="360" w:lineRule="auto"/>
        <w:outlineLvl w:val="0"/>
        <w:rPr>
          <w:rFonts w:asciiTheme="minorHAnsi" w:hAnsiTheme="minorHAnsi" w:cs="Courier New"/>
          <w:sz w:val="24"/>
          <w:lang w:val="nl-NL"/>
        </w:rPr>
      </w:pPr>
      <w:r w:rsidRPr="00D22CE2">
        <w:rPr>
          <w:rFonts w:asciiTheme="minorHAnsi" w:hAnsiTheme="minorHAnsi" w:cs="Courier New"/>
          <w:sz w:val="24"/>
          <w:lang w:val="da-DK"/>
        </w:rPr>
        <w:t>[1</w:t>
      </w:r>
      <w:r w:rsidR="00E66C47">
        <w:rPr>
          <w:rFonts w:asciiTheme="minorHAnsi" w:hAnsiTheme="minorHAnsi" w:cs="Courier New"/>
          <w:sz w:val="24"/>
          <w:lang w:val="da-DK"/>
        </w:rPr>
        <w:t>0</w:t>
      </w:r>
      <w:r w:rsidRPr="00D22CE2">
        <w:rPr>
          <w:rFonts w:asciiTheme="minorHAnsi" w:hAnsiTheme="minorHAnsi" w:cs="Courier New"/>
          <w:sz w:val="24"/>
          <w:lang w:val="da-DK"/>
        </w:rPr>
        <w:t xml:space="preserve">] Kiemeney LA, Broeders MJ, Pelger M, et al. </w:t>
      </w:r>
      <w:proofErr w:type="gramStart"/>
      <w:r w:rsidRPr="00D22CE2">
        <w:rPr>
          <w:rFonts w:asciiTheme="minorHAnsi" w:hAnsiTheme="minorHAnsi" w:cs="Courier New"/>
          <w:sz w:val="24"/>
        </w:rPr>
        <w:t>Screening for prostate cancer in Dutch hereditary prostate cancer families.</w:t>
      </w:r>
      <w:proofErr w:type="gramEnd"/>
      <w:r w:rsidRPr="00D22CE2">
        <w:rPr>
          <w:rFonts w:asciiTheme="minorHAnsi" w:hAnsiTheme="minorHAnsi" w:cs="Courier New"/>
          <w:sz w:val="24"/>
        </w:rPr>
        <w:t xml:space="preserve"> </w:t>
      </w:r>
      <w:r w:rsidRPr="00064FDE">
        <w:rPr>
          <w:rFonts w:asciiTheme="minorHAnsi" w:hAnsiTheme="minorHAnsi" w:cs="Courier New"/>
          <w:i/>
          <w:sz w:val="24"/>
          <w:lang w:val="nl-NL"/>
        </w:rPr>
        <w:t>Int J Cancer</w:t>
      </w:r>
      <w:r w:rsidRPr="00064FDE">
        <w:rPr>
          <w:rFonts w:asciiTheme="minorHAnsi" w:hAnsiTheme="minorHAnsi" w:cs="Courier New"/>
          <w:sz w:val="24"/>
          <w:lang w:val="nl-NL"/>
        </w:rPr>
        <w:t xml:space="preserve"> 2008;</w:t>
      </w:r>
      <w:r w:rsidR="00704316" w:rsidRPr="00064FDE">
        <w:rPr>
          <w:rFonts w:asciiTheme="minorHAnsi" w:hAnsiTheme="minorHAnsi" w:cs="Courier New"/>
          <w:sz w:val="24"/>
          <w:lang w:val="nl-NL"/>
        </w:rPr>
        <w:t xml:space="preserve"> </w:t>
      </w:r>
      <w:r w:rsidRPr="00064FDE">
        <w:rPr>
          <w:rFonts w:asciiTheme="minorHAnsi" w:hAnsiTheme="minorHAnsi" w:cs="Courier New"/>
          <w:sz w:val="24"/>
          <w:lang w:val="nl-NL"/>
        </w:rPr>
        <w:t>122:</w:t>
      </w:r>
      <w:r w:rsidR="00704316" w:rsidRPr="00064FDE">
        <w:rPr>
          <w:rFonts w:asciiTheme="minorHAnsi" w:hAnsiTheme="minorHAnsi" w:cs="Courier New"/>
          <w:sz w:val="24"/>
          <w:lang w:val="nl-NL"/>
        </w:rPr>
        <w:t xml:space="preserve"> </w:t>
      </w:r>
      <w:r w:rsidRPr="00064FDE">
        <w:rPr>
          <w:rFonts w:asciiTheme="minorHAnsi" w:hAnsiTheme="minorHAnsi" w:cs="Courier New"/>
          <w:sz w:val="24"/>
          <w:lang w:val="nl-NL"/>
        </w:rPr>
        <w:t>871-6.</w:t>
      </w:r>
    </w:p>
    <w:p w14:paraId="6BE7BE9A" w14:textId="77777777" w:rsidR="00427B1F" w:rsidRPr="00064FDE" w:rsidRDefault="00427B1F" w:rsidP="001E225F">
      <w:pPr>
        <w:spacing w:line="360" w:lineRule="auto"/>
        <w:outlineLvl w:val="0"/>
        <w:rPr>
          <w:rFonts w:asciiTheme="minorHAnsi" w:hAnsiTheme="minorHAnsi" w:cs="Courier New"/>
          <w:sz w:val="24"/>
          <w:lang w:val="nl-NL"/>
        </w:rPr>
      </w:pPr>
    </w:p>
    <w:p w14:paraId="3488162D" w14:textId="3CA1E5CF" w:rsidR="00427B1F" w:rsidRPr="00D22CE2" w:rsidRDefault="00427B1F" w:rsidP="001E225F">
      <w:pPr>
        <w:spacing w:line="360" w:lineRule="auto"/>
        <w:outlineLvl w:val="0"/>
        <w:rPr>
          <w:rFonts w:asciiTheme="minorHAnsi" w:hAnsiTheme="minorHAnsi" w:cs="Courier New"/>
          <w:sz w:val="24"/>
        </w:rPr>
      </w:pPr>
      <w:r w:rsidRPr="00064FDE">
        <w:rPr>
          <w:rFonts w:asciiTheme="minorHAnsi" w:hAnsiTheme="minorHAnsi" w:cs="Courier New"/>
          <w:sz w:val="24"/>
          <w:lang w:val="nl-NL"/>
        </w:rPr>
        <w:t>[1</w:t>
      </w:r>
      <w:r w:rsidR="00E66C47" w:rsidRPr="00064FDE">
        <w:rPr>
          <w:rFonts w:asciiTheme="minorHAnsi" w:hAnsiTheme="minorHAnsi" w:cs="Courier New"/>
          <w:sz w:val="24"/>
          <w:lang w:val="nl-NL"/>
        </w:rPr>
        <w:t>1</w:t>
      </w:r>
      <w:r w:rsidRPr="00064FDE">
        <w:rPr>
          <w:rFonts w:asciiTheme="minorHAnsi" w:hAnsiTheme="minorHAnsi" w:cs="Courier New"/>
          <w:sz w:val="24"/>
          <w:lang w:val="nl-NL"/>
        </w:rPr>
        <w:t xml:space="preserve">] Makinen T, Tammela TL, Stenman UH, et al. </w:t>
      </w:r>
      <w:proofErr w:type="gramStart"/>
      <w:r w:rsidRPr="00D22CE2">
        <w:rPr>
          <w:rFonts w:asciiTheme="minorHAnsi" w:hAnsiTheme="minorHAnsi" w:cs="Courier New"/>
          <w:sz w:val="24"/>
        </w:rPr>
        <w:t>Family history and prostate cancer screening with prostate-specific antigen.</w:t>
      </w:r>
      <w:proofErr w:type="gramEnd"/>
      <w:r w:rsidRPr="00D22CE2">
        <w:rPr>
          <w:rFonts w:asciiTheme="minorHAnsi" w:hAnsiTheme="minorHAnsi" w:cs="Courier New"/>
          <w:sz w:val="24"/>
        </w:rPr>
        <w:t xml:space="preserve"> </w:t>
      </w:r>
      <w:r w:rsidRPr="00614147">
        <w:rPr>
          <w:rFonts w:asciiTheme="minorHAnsi" w:hAnsiTheme="minorHAnsi" w:cs="Courier New"/>
          <w:i/>
          <w:sz w:val="24"/>
        </w:rPr>
        <w:t xml:space="preserve">J </w:t>
      </w:r>
      <w:proofErr w:type="spellStart"/>
      <w:r w:rsidRPr="00614147">
        <w:rPr>
          <w:rFonts w:asciiTheme="minorHAnsi" w:hAnsiTheme="minorHAnsi" w:cs="Courier New"/>
          <w:i/>
          <w:sz w:val="24"/>
        </w:rPr>
        <w:t>Clin</w:t>
      </w:r>
      <w:proofErr w:type="spellEnd"/>
      <w:r w:rsidRPr="00614147">
        <w:rPr>
          <w:rFonts w:asciiTheme="minorHAnsi" w:hAnsiTheme="minorHAnsi" w:cs="Courier New"/>
          <w:i/>
          <w:sz w:val="24"/>
        </w:rPr>
        <w:t xml:space="preserve"> </w:t>
      </w:r>
      <w:proofErr w:type="spellStart"/>
      <w:r w:rsidRPr="00614147">
        <w:rPr>
          <w:rFonts w:asciiTheme="minorHAnsi" w:hAnsiTheme="minorHAnsi" w:cs="Courier New"/>
          <w:i/>
          <w:sz w:val="24"/>
        </w:rPr>
        <w:t>Oncol</w:t>
      </w:r>
      <w:proofErr w:type="spellEnd"/>
      <w:r w:rsidRPr="00D22CE2">
        <w:rPr>
          <w:rFonts w:asciiTheme="minorHAnsi" w:hAnsiTheme="minorHAnsi" w:cs="Courier New"/>
          <w:sz w:val="24"/>
        </w:rPr>
        <w:t xml:space="preserve"> 2002;</w:t>
      </w:r>
      <w:r w:rsidR="00704316">
        <w:rPr>
          <w:rFonts w:asciiTheme="minorHAnsi" w:hAnsiTheme="minorHAnsi" w:cs="Courier New"/>
          <w:sz w:val="24"/>
        </w:rPr>
        <w:t xml:space="preserve"> </w:t>
      </w:r>
      <w:r w:rsidRPr="00D22CE2">
        <w:rPr>
          <w:rFonts w:asciiTheme="minorHAnsi" w:hAnsiTheme="minorHAnsi" w:cs="Courier New"/>
          <w:sz w:val="24"/>
        </w:rPr>
        <w:t>20:</w:t>
      </w:r>
      <w:r w:rsidR="00704316">
        <w:rPr>
          <w:rFonts w:asciiTheme="minorHAnsi" w:hAnsiTheme="minorHAnsi" w:cs="Courier New"/>
          <w:sz w:val="24"/>
        </w:rPr>
        <w:t xml:space="preserve"> </w:t>
      </w:r>
      <w:r w:rsidRPr="00D22CE2">
        <w:rPr>
          <w:rFonts w:asciiTheme="minorHAnsi" w:hAnsiTheme="minorHAnsi" w:cs="Courier New"/>
          <w:sz w:val="24"/>
        </w:rPr>
        <w:t>2658-63.</w:t>
      </w:r>
    </w:p>
    <w:p w14:paraId="63C79C7B" w14:textId="77777777" w:rsidR="00427B1F" w:rsidRPr="00D22CE2" w:rsidRDefault="00427B1F" w:rsidP="001E225F">
      <w:pPr>
        <w:spacing w:line="360" w:lineRule="auto"/>
        <w:outlineLvl w:val="0"/>
        <w:rPr>
          <w:rFonts w:asciiTheme="minorHAnsi" w:hAnsiTheme="minorHAnsi" w:cs="Courier New"/>
          <w:sz w:val="24"/>
        </w:rPr>
      </w:pPr>
    </w:p>
    <w:p w14:paraId="7BCAF63E" w14:textId="771E3A22" w:rsidR="00427B1F" w:rsidRPr="00D22CE2" w:rsidRDefault="00427B1F" w:rsidP="001E225F">
      <w:pPr>
        <w:spacing w:line="360" w:lineRule="auto"/>
        <w:outlineLvl w:val="0"/>
        <w:rPr>
          <w:rFonts w:asciiTheme="minorHAnsi" w:hAnsiTheme="minorHAnsi" w:cs="Courier New"/>
          <w:sz w:val="24"/>
        </w:rPr>
      </w:pPr>
      <w:r w:rsidRPr="00D22CE2">
        <w:rPr>
          <w:rFonts w:asciiTheme="minorHAnsi" w:hAnsiTheme="minorHAnsi" w:cs="Courier New"/>
          <w:sz w:val="24"/>
        </w:rPr>
        <w:t>[</w:t>
      </w:r>
      <w:r w:rsidR="00E66C47">
        <w:rPr>
          <w:rFonts w:asciiTheme="minorHAnsi" w:hAnsiTheme="minorHAnsi" w:cs="Courier New"/>
          <w:sz w:val="24"/>
        </w:rPr>
        <w:t>12</w:t>
      </w:r>
      <w:r w:rsidRPr="00D22CE2">
        <w:rPr>
          <w:rFonts w:asciiTheme="minorHAnsi" w:hAnsiTheme="minorHAnsi" w:cs="Courier New"/>
          <w:sz w:val="24"/>
        </w:rPr>
        <w:t xml:space="preserve">]  </w:t>
      </w:r>
      <w:proofErr w:type="spellStart"/>
      <w:r w:rsidRPr="00D22CE2">
        <w:rPr>
          <w:rFonts w:asciiTheme="minorHAnsi" w:hAnsiTheme="minorHAnsi" w:cs="Courier New"/>
          <w:sz w:val="24"/>
        </w:rPr>
        <w:t>Uzzo</w:t>
      </w:r>
      <w:proofErr w:type="spellEnd"/>
      <w:r w:rsidRPr="00D22CE2">
        <w:rPr>
          <w:rFonts w:asciiTheme="minorHAnsi" w:hAnsiTheme="minorHAnsi" w:cs="Courier New"/>
          <w:sz w:val="24"/>
        </w:rPr>
        <w:t xml:space="preserve"> RG, </w:t>
      </w:r>
      <w:proofErr w:type="spellStart"/>
      <w:r w:rsidRPr="00D22CE2">
        <w:rPr>
          <w:rFonts w:asciiTheme="minorHAnsi" w:hAnsiTheme="minorHAnsi" w:cs="Courier New"/>
          <w:sz w:val="24"/>
        </w:rPr>
        <w:t>Pinover</w:t>
      </w:r>
      <w:proofErr w:type="spellEnd"/>
      <w:r w:rsidRPr="00D22CE2">
        <w:rPr>
          <w:rFonts w:asciiTheme="minorHAnsi" w:hAnsiTheme="minorHAnsi" w:cs="Courier New"/>
          <w:sz w:val="24"/>
        </w:rPr>
        <w:t xml:space="preserve"> WH, </w:t>
      </w:r>
      <w:proofErr w:type="spellStart"/>
      <w:r w:rsidRPr="00D22CE2">
        <w:rPr>
          <w:rFonts w:asciiTheme="minorHAnsi" w:hAnsiTheme="minorHAnsi" w:cs="Courier New"/>
          <w:sz w:val="24"/>
        </w:rPr>
        <w:t>Horwitz</w:t>
      </w:r>
      <w:proofErr w:type="spellEnd"/>
      <w:r w:rsidRPr="00D22CE2">
        <w:rPr>
          <w:rFonts w:asciiTheme="minorHAnsi" w:hAnsiTheme="minorHAnsi" w:cs="Courier New"/>
          <w:sz w:val="24"/>
        </w:rPr>
        <w:t xml:space="preserve"> EM, et al. Free prostate-specific antigen improves prostate cancer detection in a high-risk population of men with a normal total PSA and digital</w:t>
      </w:r>
      <w:r w:rsidR="00BE436B" w:rsidRPr="00D22CE2">
        <w:rPr>
          <w:rFonts w:asciiTheme="minorHAnsi" w:hAnsiTheme="minorHAnsi" w:cs="Courier New"/>
          <w:sz w:val="24"/>
        </w:rPr>
        <w:t xml:space="preserve"> </w:t>
      </w:r>
      <w:r w:rsidRPr="00D22CE2">
        <w:rPr>
          <w:rFonts w:asciiTheme="minorHAnsi" w:hAnsiTheme="minorHAnsi" w:cs="Courier New"/>
          <w:sz w:val="24"/>
        </w:rPr>
        <w:t xml:space="preserve">rectal examination. </w:t>
      </w:r>
      <w:r w:rsidRPr="00614147">
        <w:rPr>
          <w:rFonts w:asciiTheme="minorHAnsi" w:hAnsiTheme="minorHAnsi" w:cs="Courier New"/>
          <w:i/>
          <w:sz w:val="24"/>
        </w:rPr>
        <w:t>Urology</w:t>
      </w:r>
      <w:r w:rsidRPr="00D22CE2">
        <w:rPr>
          <w:rFonts w:asciiTheme="minorHAnsi" w:hAnsiTheme="minorHAnsi" w:cs="Courier New"/>
          <w:sz w:val="24"/>
        </w:rPr>
        <w:t xml:space="preserve"> 2003;</w:t>
      </w:r>
      <w:r w:rsidR="00704316">
        <w:rPr>
          <w:rFonts w:asciiTheme="minorHAnsi" w:hAnsiTheme="minorHAnsi" w:cs="Courier New"/>
          <w:sz w:val="24"/>
        </w:rPr>
        <w:t xml:space="preserve"> </w:t>
      </w:r>
      <w:r w:rsidRPr="00D22CE2">
        <w:rPr>
          <w:rFonts w:asciiTheme="minorHAnsi" w:hAnsiTheme="minorHAnsi" w:cs="Courier New"/>
          <w:sz w:val="24"/>
        </w:rPr>
        <w:t>61:</w:t>
      </w:r>
      <w:r w:rsidR="00704316">
        <w:rPr>
          <w:rFonts w:asciiTheme="minorHAnsi" w:hAnsiTheme="minorHAnsi" w:cs="Courier New"/>
          <w:sz w:val="24"/>
        </w:rPr>
        <w:t xml:space="preserve"> </w:t>
      </w:r>
      <w:r w:rsidRPr="00D22CE2">
        <w:rPr>
          <w:rFonts w:asciiTheme="minorHAnsi" w:hAnsiTheme="minorHAnsi" w:cs="Courier New"/>
          <w:sz w:val="24"/>
        </w:rPr>
        <w:t>754-9.</w:t>
      </w:r>
    </w:p>
    <w:p w14:paraId="3455A761" w14:textId="77777777" w:rsidR="00427B1F" w:rsidRPr="00D22CE2" w:rsidRDefault="00427B1F" w:rsidP="001E225F">
      <w:pPr>
        <w:spacing w:line="360" w:lineRule="auto"/>
        <w:outlineLvl w:val="0"/>
        <w:rPr>
          <w:rFonts w:asciiTheme="minorHAnsi" w:hAnsiTheme="minorHAnsi" w:cs="Courier New"/>
          <w:sz w:val="24"/>
        </w:rPr>
      </w:pPr>
    </w:p>
    <w:p w14:paraId="5502FBA5" w14:textId="3B9934F1" w:rsidR="00427B1F" w:rsidRPr="00D22CE2" w:rsidRDefault="00427B1F" w:rsidP="001E225F">
      <w:pPr>
        <w:spacing w:line="360" w:lineRule="auto"/>
        <w:outlineLvl w:val="0"/>
        <w:rPr>
          <w:rFonts w:asciiTheme="minorHAnsi" w:hAnsiTheme="minorHAnsi" w:cs="Courier New"/>
          <w:sz w:val="24"/>
        </w:rPr>
      </w:pPr>
      <w:r w:rsidRPr="00D22CE2">
        <w:rPr>
          <w:rFonts w:asciiTheme="minorHAnsi" w:hAnsiTheme="minorHAnsi" w:cs="Courier New"/>
          <w:sz w:val="24"/>
        </w:rPr>
        <w:t>[</w:t>
      </w:r>
      <w:r w:rsidR="00E66C47">
        <w:rPr>
          <w:rFonts w:asciiTheme="minorHAnsi" w:hAnsiTheme="minorHAnsi" w:cs="Courier New"/>
          <w:sz w:val="24"/>
        </w:rPr>
        <w:t>13</w:t>
      </w:r>
      <w:r w:rsidRPr="00D22CE2">
        <w:rPr>
          <w:rFonts w:asciiTheme="minorHAnsi" w:hAnsiTheme="minorHAnsi" w:cs="Courier New"/>
          <w:sz w:val="24"/>
        </w:rPr>
        <w:t xml:space="preserve">] Foster C, Watson M, Eeles R, et al. Predictive genetic testing for BRCA1/2 in a UK clinical cohort: three-year follow-up. </w:t>
      </w:r>
      <w:r w:rsidRPr="00614147">
        <w:rPr>
          <w:rFonts w:asciiTheme="minorHAnsi" w:hAnsiTheme="minorHAnsi" w:cs="Courier New"/>
          <w:i/>
          <w:sz w:val="24"/>
        </w:rPr>
        <w:t>Br J Cancer</w:t>
      </w:r>
      <w:r w:rsidRPr="00D22CE2">
        <w:rPr>
          <w:rFonts w:asciiTheme="minorHAnsi" w:hAnsiTheme="minorHAnsi" w:cs="Courier New"/>
          <w:sz w:val="24"/>
        </w:rPr>
        <w:t xml:space="preserve"> 2007;</w:t>
      </w:r>
      <w:r w:rsidR="00704316">
        <w:rPr>
          <w:rFonts w:asciiTheme="minorHAnsi" w:hAnsiTheme="minorHAnsi" w:cs="Courier New"/>
          <w:sz w:val="24"/>
        </w:rPr>
        <w:t xml:space="preserve"> </w:t>
      </w:r>
      <w:r w:rsidRPr="00D22CE2">
        <w:rPr>
          <w:rFonts w:asciiTheme="minorHAnsi" w:hAnsiTheme="minorHAnsi" w:cs="Courier New"/>
          <w:sz w:val="24"/>
        </w:rPr>
        <w:t>96:</w:t>
      </w:r>
      <w:r w:rsidR="00704316">
        <w:rPr>
          <w:rFonts w:asciiTheme="minorHAnsi" w:hAnsiTheme="minorHAnsi" w:cs="Courier New"/>
          <w:sz w:val="24"/>
        </w:rPr>
        <w:t xml:space="preserve"> </w:t>
      </w:r>
      <w:r w:rsidRPr="00D22CE2">
        <w:rPr>
          <w:rFonts w:asciiTheme="minorHAnsi" w:hAnsiTheme="minorHAnsi" w:cs="Courier New"/>
          <w:sz w:val="24"/>
        </w:rPr>
        <w:t>718–724.</w:t>
      </w:r>
    </w:p>
    <w:p w14:paraId="6E7CC6C0" w14:textId="77777777" w:rsidR="00427B1F" w:rsidRPr="00D22CE2" w:rsidRDefault="00427B1F" w:rsidP="001E225F">
      <w:pPr>
        <w:spacing w:line="360" w:lineRule="auto"/>
        <w:outlineLvl w:val="0"/>
        <w:rPr>
          <w:rFonts w:asciiTheme="minorHAnsi" w:hAnsiTheme="minorHAnsi" w:cs="Courier New"/>
          <w:sz w:val="24"/>
        </w:rPr>
      </w:pPr>
    </w:p>
    <w:p w14:paraId="43E19D79" w14:textId="7F90C5E2" w:rsidR="00427B1F" w:rsidRPr="00D22CE2" w:rsidRDefault="00427B1F" w:rsidP="001E225F">
      <w:pPr>
        <w:spacing w:line="360" w:lineRule="auto"/>
        <w:outlineLvl w:val="0"/>
        <w:rPr>
          <w:rFonts w:asciiTheme="minorHAnsi" w:hAnsiTheme="minorHAnsi" w:cs="Courier New"/>
          <w:sz w:val="24"/>
        </w:rPr>
      </w:pPr>
      <w:r w:rsidRPr="00D22CE2">
        <w:rPr>
          <w:rFonts w:asciiTheme="minorHAnsi" w:hAnsiTheme="minorHAnsi" w:cs="Courier New"/>
          <w:sz w:val="24"/>
        </w:rPr>
        <w:t>[</w:t>
      </w:r>
      <w:r w:rsidR="00E66C47">
        <w:rPr>
          <w:rFonts w:asciiTheme="minorHAnsi" w:hAnsiTheme="minorHAnsi" w:cs="Courier New"/>
          <w:sz w:val="24"/>
        </w:rPr>
        <w:t>14</w:t>
      </w:r>
      <w:r w:rsidRPr="00D22CE2">
        <w:rPr>
          <w:rFonts w:asciiTheme="minorHAnsi" w:hAnsiTheme="minorHAnsi" w:cs="Courier New"/>
          <w:sz w:val="24"/>
        </w:rPr>
        <w:t xml:space="preserve">] </w:t>
      </w:r>
      <w:proofErr w:type="spellStart"/>
      <w:r w:rsidRPr="00D22CE2">
        <w:rPr>
          <w:rFonts w:asciiTheme="minorHAnsi" w:hAnsiTheme="minorHAnsi" w:cs="Courier New"/>
          <w:sz w:val="24"/>
        </w:rPr>
        <w:t>Meiser</w:t>
      </w:r>
      <w:proofErr w:type="spellEnd"/>
      <w:r w:rsidRPr="00D22CE2">
        <w:rPr>
          <w:rFonts w:asciiTheme="minorHAnsi" w:hAnsiTheme="minorHAnsi" w:cs="Courier New"/>
          <w:sz w:val="24"/>
        </w:rPr>
        <w:t xml:space="preserve"> B. Psychological impact of genetic testing for cancer susceptibility: an update of the literature. </w:t>
      </w:r>
      <w:r w:rsidRPr="00614147">
        <w:rPr>
          <w:rFonts w:asciiTheme="minorHAnsi" w:hAnsiTheme="minorHAnsi" w:cs="Courier New"/>
          <w:i/>
          <w:sz w:val="24"/>
        </w:rPr>
        <w:t>Psycho-Oncology</w:t>
      </w:r>
      <w:r w:rsidRPr="00D22CE2">
        <w:rPr>
          <w:rFonts w:asciiTheme="minorHAnsi" w:hAnsiTheme="minorHAnsi" w:cs="Courier New"/>
          <w:sz w:val="24"/>
        </w:rPr>
        <w:t xml:space="preserve"> 2005;</w:t>
      </w:r>
      <w:r w:rsidR="00704316">
        <w:rPr>
          <w:rFonts w:asciiTheme="minorHAnsi" w:hAnsiTheme="minorHAnsi" w:cs="Courier New"/>
          <w:sz w:val="24"/>
        </w:rPr>
        <w:t xml:space="preserve"> </w:t>
      </w:r>
      <w:r w:rsidRPr="00D22CE2">
        <w:rPr>
          <w:rFonts w:asciiTheme="minorHAnsi" w:hAnsiTheme="minorHAnsi" w:cs="Courier New"/>
          <w:sz w:val="24"/>
        </w:rPr>
        <w:t>14: 1060–1074.</w:t>
      </w:r>
    </w:p>
    <w:p w14:paraId="4163102F" w14:textId="77777777" w:rsidR="00427B1F" w:rsidRPr="00D22CE2" w:rsidRDefault="00427B1F" w:rsidP="001E225F">
      <w:pPr>
        <w:spacing w:line="360" w:lineRule="auto"/>
        <w:outlineLvl w:val="0"/>
        <w:rPr>
          <w:rFonts w:asciiTheme="minorHAnsi" w:hAnsiTheme="minorHAnsi" w:cs="Courier New"/>
          <w:sz w:val="24"/>
        </w:rPr>
      </w:pPr>
    </w:p>
    <w:p w14:paraId="1070C420" w14:textId="7334EBD7" w:rsidR="00427B1F" w:rsidRPr="00D22CE2" w:rsidRDefault="00427B1F" w:rsidP="001E225F">
      <w:pPr>
        <w:spacing w:line="360" w:lineRule="auto"/>
        <w:outlineLvl w:val="0"/>
        <w:rPr>
          <w:rFonts w:asciiTheme="minorHAnsi" w:hAnsiTheme="minorHAnsi" w:cs="Courier New"/>
          <w:sz w:val="24"/>
          <w:lang w:val="da-DK"/>
        </w:rPr>
      </w:pPr>
      <w:r w:rsidRPr="00D22CE2">
        <w:rPr>
          <w:rFonts w:asciiTheme="minorHAnsi" w:hAnsiTheme="minorHAnsi" w:cs="Courier New"/>
          <w:sz w:val="24"/>
        </w:rPr>
        <w:t>[</w:t>
      </w:r>
      <w:r w:rsidR="00E66C47">
        <w:rPr>
          <w:rFonts w:asciiTheme="minorHAnsi" w:hAnsiTheme="minorHAnsi" w:cs="Courier New"/>
          <w:sz w:val="24"/>
        </w:rPr>
        <w:t>15</w:t>
      </w:r>
      <w:r w:rsidRPr="00D22CE2">
        <w:rPr>
          <w:rFonts w:asciiTheme="minorHAnsi" w:hAnsiTheme="minorHAnsi" w:cs="Courier New"/>
          <w:sz w:val="24"/>
        </w:rPr>
        <w:t xml:space="preserve">] </w:t>
      </w:r>
      <w:proofErr w:type="spellStart"/>
      <w:r w:rsidRPr="00D22CE2">
        <w:rPr>
          <w:rFonts w:asciiTheme="minorHAnsi" w:hAnsiTheme="minorHAnsi" w:cs="Courier New"/>
          <w:sz w:val="24"/>
        </w:rPr>
        <w:t>Sweetman</w:t>
      </w:r>
      <w:proofErr w:type="spellEnd"/>
      <w:r w:rsidRPr="00D22CE2">
        <w:rPr>
          <w:rFonts w:asciiTheme="minorHAnsi" w:hAnsiTheme="minorHAnsi" w:cs="Courier New"/>
          <w:sz w:val="24"/>
        </w:rPr>
        <w:t xml:space="preserve"> J, Watson M, Norman A, et al. Feasibility of familial PSA screening: psychosocial issues and screening adherence. </w:t>
      </w:r>
      <w:r w:rsidRPr="00614147">
        <w:rPr>
          <w:rFonts w:asciiTheme="minorHAnsi" w:hAnsiTheme="minorHAnsi" w:cs="Courier New"/>
          <w:i/>
          <w:sz w:val="24"/>
          <w:lang w:val="da-DK"/>
        </w:rPr>
        <w:t>Br J Cancer</w:t>
      </w:r>
      <w:r w:rsidRPr="00D22CE2">
        <w:rPr>
          <w:rFonts w:asciiTheme="minorHAnsi" w:hAnsiTheme="minorHAnsi" w:cs="Courier New"/>
          <w:sz w:val="24"/>
          <w:lang w:val="da-DK"/>
        </w:rPr>
        <w:t xml:space="preserve"> 2006;</w:t>
      </w:r>
      <w:r w:rsidR="00704316">
        <w:rPr>
          <w:rFonts w:asciiTheme="minorHAnsi" w:hAnsiTheme="minorHAnsi" w:cs="Courier New"/>
          <w:sz w:val="24"/>
          <w:lang w:val="da-DK"/>
        </w:rPr>
        <w:t xml:space="preserve"> </w:t>
      </w:r>
      <w:r w:rsidRPr="00D22CE2">
        <w:rPr>
          <w:rFonts w:asciiTheme="minorHAnsi" w:hAnsiTheme="minorHAnsi" w:cs="Courier New"/>
          <w:sz w:val="24"/>
          <w:lang w:val="da-DK"/>
        </w:rPr>
        <w:t>94:</w:t>
      </w:r>
      <w:r w:rsidR="00704316">
        <w:rPr>
          <w:rFonts w:asciiTheme="minorHAnsi" w:hAnsiTheme="minorHAnsi" w:cs="Courier New"/>
          <w:sz w:val="24"/>
          <w:lang w:val="da-DK"/>
        </w:rPr>
        <w:t xml:space="preserve"> </w:t>
      </w:r>
      <w:r w:rsidRPr="00D22CE2">
        <w:rPr>
          <w:rFonts w:asciiTheme="minorHAnsi" w:hAnsiTheme="minorHAnsi" w:cs="Courier New"/>
          <w:sz w:val="24"/>
          <w:lang w:val="da-DK"/>
        </w:rPr>
        <w:t>507–512.</w:t>
      </w:r>
    </w:p>
    <w:p w14:paraId="5120CC6D" w14:textId="77777777" w:rsidR="00427B1F" w:rsidRPr="00D22CE2" w:rsidRDefault="00427B1F" w:rsidP="001E225F">
      <w:pPr>
        <w:spacing w:line="360" w:lineRule="auto"/>
        <w:outlineLvl w:val="0"/>
        <w:rPr>
          <w:rFonts w:asciiTheme="minorHAnsi" w:hAnsiTheme="minorHAnsi" w:cs="Courier New"/>
          <w:sz w:val="24"/>
          <w:lang w:val="da-DK"/>
        </w:rPr>
      </w:pPr>
    </w:p>
    <w:p w14:paraId="724F5267" w14:textId="118D8131" w:rsidR="00427B1F" w:rsidRPr="00F6290C" w:rsidRDefault="00427B1F" w:rsidP="001E225F">
      <w:pPr>
        <w:spacing w:line="360" w:lineRule="auto"/>
        <w:outlineLvl w:val="0"/>
        <w:rPr>
          <w:rFonts w:asciiTheme="minorHAnsi" w:hAnsiTheme="minorHAnsi" w:cs="Courier New"/>
          <w:sz w:val="24"/>
          <w:lang w:val="nl-NL"/>
        </w:rPr>
      </w:pPr>
      <w:r w:rsidRPr="00D22CE2">
        <w:rPr>
          <w:rFonts w:asciiTheme="minorHAnsi" w:hAnsiTheme="minorHAnsi" w:cs="Courier New"/>
          <w:sz w:val="24"/>
          <w:lang w:val="da-DK"/>
        </w:rPr>
        <w:t>[</w:t>
      </w:r>
      <w:r w:rsidR="00E66C47">
        <w:rPr>
          <w:rFonts w:asciiTheme="minorHAnsi" w:hAnsiTheme="minorHAnsi" w:cs="Courier New"/>
          <w:sz w:val="24"/>
          <w:lang w:val="da-DK"/>
        </w:rPr>
        <w:t>16</w:t>
      </w:r>
      <w:r w:rsidRPr="00D22CE2">
        <w:rPr>
          <w:rFonts w:asciiTheme="minorHAnsi" w:hAnsiTheme="minorHAnsi" w:cs="Courier New"/>
          <w:sz w:val="24"/>
          <w:lang w:val="da-DK"/>
        </w:rPr>
        <w:t xml:space="preserve">] Brindle LA, Oliver SE, Dedman D, et al. </w:t>
      </w:r>
      <w:proofErr w:type="gramStart"/>
      <w:r w:rsidRPr="00D22CE2">
        <w:rPr>
          <w:rFonts w:asciiTheme="minorHAnsi" w:hAnsiTheme="minorHAnsi" w:cs="Courier New"/>
          <w:sz w:val="24"/>
        </w:rPr>
        <w:t>Measuring the psychosocial impact of population-based prostate-specific antigen testing for prostate cancer in the UK.</w:t>
      </w:r>
      <w:proofErr w:type="gramEnd"/>
      <w:r w:rsidRPr="00D22CE2">
        <w:rPr>
          <w:rFonts w:asciiTheme="minorHAnsi" w:hAnsiTheme="minorHAnsi" w:cs="Courier New"/>
          <w:sz w:val="24"/>
        </w:rPr>
        <w:t xml:space="preserve"> </w:t>
      </w:r>
      <w:r w:rsidR="00704316" w:rsidRPr="00F6290C">
        <w:rPr>
          <w:rFonts w:asciiTheme="minorHAnsi" w:hAnsiTheme="minorHAnsi" w:cs="Courier New"/>
          <w:i/>
          <w:sz w:val="24"/>
          <w:lang w:val="nl-NL"/>
        </w:rPr>
        <w:t>BJUI Int</w:t>
      </w:r>
      <w:r w:rsidRPr="00F6290C">
        <w:rPr>
          <w:rFonts w:asciiTheme="minorHAnsi" w:hAnsiTheme="minorHAnsi" w:cs="Courier New"/>
          <w:sz w:val="24"/>
          <w:lang w:val="nl-NL"/>
        </w:rPr>
        <w:t xml:space="preserve"> 2006;</w:t>
      </w:r>
      <w:r w:rsidR="00704316" w:rsidRPr="00F6290C">
        <w:rPr>
          <w:rFonts w:asciiTheme="minorHAnsi" w:hAnsiTheme="minorHAnsi" w:cs="Courier New"/>
          <w:sz w:val="24"/>
          <w:lang w:val="nl-NL"/>
        </w:rPr>
        <w:t xml:space="preserve"> </w:t>
      </w:r>
      <w:r w:rsidRPr="00F6290C">
        <w:rPr>
          <w:rFonts w:asciiTheme="minorHAnsi" w:hAnsiTheme="minorHAnsi" w:cs="Courier New"/>
          <w:sz w:val="24"/>
          <w:lang w:val="nl-NL"/>
        </w:rPr>
        <w:t>98: 777–782.</w:t>
      </w:r>
    </w:p>
    <w:p w14:paraId="68192D54" w14:textId="77777777" w:rsidR="00427B1F" w:rsidRPr="00F6290C" w:rsidRDefault="00427B1F" w:rsidP="001E225F">
      <w:pPr>
        <w:spacing w:line="360" w:lineRule="auto"/>
        <w:outlineLvl w:val="0"/>
        <w:rPr>
          <w:rFonts w:asciiTheme="minorHAnsi" w:hAnsiTheme="minorHAnsi" w:cs="Courier New"/>
          <w:sz w:val="24"/>
          <w:lang w:val="nl-NL"/>
        </w:rPr>
      </w:pPr>
    </w:p>
    <w:p w14:paraId="28ECEFB8" w14:textId="7CA1F829" w:rsidR="00427B1F" w:rsidRPr="00064FDE" w:rsidRDefault="00427B1F" w:rsidP="001E225F">
      <w:pPr>
        <w:spacing w:line="360" w:lineRule="auto"/>
        <w:outlineLvl w:val="0"/>
        <w:rPr>
          <w:rFonts w:asciiTheme="minorHAnsi" w:hAnsiTheme="minorHAnsi" w:cs="Courier New"/>
          <w:sz w:val="24"/>
          <w:lang w:val="nl-NL"/>
        </w:rPr>
      </w:pPr>
      <w:r w:rsidRPr="00064FDE">
        <w:rPr>
          <w:rFonts w:asciiTheme="minorHAnsi" w:hAnsiTheme="minorHAnsi" w:cs="Courier New"/>
          <w:sz w:val="24"/>
          <w:lang w:val="nl-NL"/>
        </w:rPr>
        <w:t>[</w:t>
      </w:r>
      <w:r w:rsidR="00E66C47" w:rsidRPr="00064FDE">
        <w:rPr>
          <w:rFonts w:asciiTheme="minorHAnsi" w:hAnsiTheme="minorHAnsi" w:cs="Courier New"/>
          <w:sz w:val="24"/>
          <w:lang w:val="nl-NL"/>
        </w:rPr>
        <w:t>17</w:t>
      </w:r>
      <w:r w:rsidRPr="00064FDE">
        <w:rPr>
          <w:rFonts w:asciiTheme="minorHAnsi" w:hAnsiTheme="minorHAnsi" w:cs="Courier New"/>
          <w:sz w:val="24"/>
          <w:lang w:val="nl-NL"/>
        </w:rPr>
        <w:t xml:space="preserve">] Bancroft EK, Castro E, Bancroft G et al. </w:t>
      </w:r>
      <w:proofErr w:type="gramStart"/>
      <w:r w:rsidRPr="00D22CE2">
        <w:rPr>
          <w:rFonts w:asciiTheme="minorHAnsi" w:hAnsiTheme="minorHAnsi" w:cs="Courier New"/>
          <w:sz w:val="24"/>
        </w:rPr>
        <w:t>The psychological impact of undergoing genetic-risk profiling in men with a family history of prostate cancer.</w:t>
      </w:r>
      <w:proofErr w:type="gramEnd"/>
      <w:r w:rsidRPr="00D22CE2">
        <w:rPr>
          <w:rFonts w:asciiTheme="minorHAnsi" w:hAnsiTheme="minorHAnsi" w:cs="Courier New"/>
          <w:sz w:val="24"/>
        </w:rPr>
        <w:t xml:space="preserve"> </w:t>
      </w:r>
      <w:r w:rsidRPr="00064FDE">
        <w:rPr>
          <w:rFonts w:asciiTheme="minorHAnsi" w:hAnsiTheme="minorHAnsi" w:cs="Courier New"/>
          <w:i/>
          <w:sz w:val="24"/>
          <w:lang w:val="nl-NL"/>
        </w:rPr>
        <w:t>Psycho-onc</w:t>
      </w:r>
      <w:r w:rsidRPr="00064FDE">
        <w:rPr>
          <w:rFonts w:asciiTheme="minorHAnsi" w:hAnsiTheme="minorHAnsi" w:cs="Courier New"/>
          <w:sz w:val="24"/>
          <w:lang w:val="nl-NL"/>
        </w:rPr>
        <w:t xml:space="preserve"> 2015</w:t>
      </w:r>
      <w:r w:rsidR="00704316" w:rsidRPr="00064FDE">
        <w:rPr>
          <w:rFonts w:asciiTheme="minorHAnsi" w:hAnsiTheme="minorHAnsi" w:cs="Courier New"/>
          <w:sz w:val="24"/>
          <w:lang w:val="nl-NL"/>
        </w:rPr>
        <w:t>;</w:t>
      </w:r>
      <w:r w:rsidRPr="00064FDE">
        <w:rPr>
          <w:rFonts w:asciiTheme="minorHAnsi" w:hAnsiTheme="minorHAnsi" w:cs="Courier New"/>
          <w:sz w:val="24"/>
          <w:lang w:val="nl-NL"/>
        </w:rPr>
        <w:t xml:space="preserve"> </w:t>
      </w:r>
      <w:r w:rsidR="00704316" w:rsidRPr="00064FDE">
        <w:rPr>
          <w:rFonts w:asciiTheme="minorHAnsi" w:hAnsiTheme="minorHAnsi" w:cs="Courier New"/>
          <w:sz w:val="24"/>
          <w:lang w:val="nl-NL"/>
        </w:rPr>
        <w:t>24(11): 1492-9.</w:t>
      </w:r>
      <w:r w:rsidR="00704316" w:rsidRPr="00064FDE" w:rsidDel="00704316">
        <w:rPr>
          <w:rFonts w:asciiTheme="minorHAnsi" w:hAnsiTheme="minorHAnsi" w:cs="Courier New"/>
          <w:sz w:val="24"/>
          <w:lang w:val="nl-NL"/>
        </w:rPr>
        <w:t xml:space="preserve"> </w:t>
      </w:r>
    </w:p>
    <w:p w14:paraId="24B53785" w14:textId="77777777" w:rsidR="00427B1F" w:rsidRPr="00064FDE" w:rsidRDefault="00427B1F" w:rsidP="001E225F">
      <w:pPr>
        <w:spacing w:line="360" w:lineRule="auto"/>
        <w:outlineLvl w:val="0"/>
        <w:rPr>
          <w:rFonts w:asciiTheme="minorHAnsi" w:hAnsiTheme="minorHAnsi" w:cs="Courier New"/>
          <w:sz w:val="24"/>
          <w:lang w:val="nl-NL"/>
        </w:rPr>
      </w:pPr>
    </w:p>
    <w:p w14:paraId="571F9C57" w14:textId="7A36E927" w:rsidR="00427B1F" w:rsidRPr="00D22CE2" w:rsidRDefault="00427B1F" w:rsidP="001E225F">
      <w:pPr>
        <w:spacing w:line="360" w:lineRule="auto"/>
        <w:outlineLvl w:val="0"/>
        <w:rPr>
          <w:rFonts w:asciiTheme="minorHAnsi" w:hAnsiTheme="minorHAnsi" w:cs="Courier New"/>
          <w:sz w:val="24"/>
          <w:lang w:val="da-DK"/>
        </w:rPr>
      </w:pPr>
      <w:r w:rsidRPr="00D22CE2">
        <w:rPr>
          <w:rFonts w:asciiTheme="minorHAnsi" w:hAnsiTheme="minorHAnsi" w:cs="Courier New"/>
          <w:sz w:val="24"/>
          <w:lang w:val="fr-FR"/>
        </w:rPr>
        <w:t>[</w:t>
      </w:r>
      <w:r w:rsidR="00E66C47">
        <w:rPr>
          <w:rFonts w:asciiTheme="minorHAnsi" w:hAnsiTheme="minorHAnsi" w:cs="Courier New"/>
          <w:sz w:val="24"/>
          <w:lang w:val="fr-FR"/>
        </w:rPr>
        <w:t>18</w:t>
      </w:r>
      <w:r w:rsidRPr="00D22CE2">
        <w:rPr>
          <w:rFonts w:asciiTheme="minorHAnsi" w:hAnsiTheme="minorHAnsi" w:cs="Courier New"/>
          <w:sz w:val="24"/>
          <w:lang w:val="fr-FR"/>
        </w:rPr>
        <w:t xml:space="preserve">] </w:t>
      </w:r>
      <w:proofErr w:type="spellStart"/>
      <w:r w:rsidRPr="00D22CE2">
        <w:rPr>
          <w:rFonts w:asciiTheme="minorHAnsi" w:hAnsiTheme="minorHAnsi" w:cs="Courier New"/>
          <w:sz w:val="24"/>
          <w:lang w:val="fr-FR"/>
        </w:rPr>
        <w:t>Bratt</w:t>
      </w:r>
      <w:proofErr w:type="spellEnd"/>
      <w:r w:rsidRPr="00D22CE2">
        <w:rPr>
          <w:rFonts w:asciiTheme="minorHAnsi" w:hAnsiTheme="minorHAnsi" w:cs="Courier New"/>
          <w:sz w:val="24"/>
          <w:lang w:val="fr-FR"/>
        </w:rPr>
        <w:t xml:space="preserve"> O, </w:t>
      </w:r>
      <w:proofErr w:type="spellStart"/>
      <w:r w:rsidRPr="00D22CE2">
        <w:rPr>
          <w:rFonts w:asciiTheme="minorHAnsi" w:hAnsiTheme="minorHAnsi" w:cs="Courier New"/>
          <w:sz w:val="24"/>
          <w:lang w:val="fr-FR"/>
        </w:rPr>
        <w:t>Damber</w:t>
      </w:r>
      <w:proofErr w:type="spellEnd"/>
      <w:r w:rsidRPr="00D22CE2">
        <w:rPr>
          <w:rFonts w:asciiTheme="minorHAnsi" w:hAnsiTheme="minorHAnsi" w:cs="Courier New"/>
          <w:sz w:val="24"/>
          <w:lang w:val="fr-FR"/>
        </w:rPr>
        <w:t xml:space="preserve"> JE, </w:t>
      </w:r>
      <w:proofErr w:type="spellStart"/>
      <w:r w:rsidRPr="00D22CE2">
        <w:rPr>
          <w:rFonts w:asciiTheme="minorHAnsi" w:hAnsiTheme="minorHAnsi" w:cs="Courier New"/>
          <w:sz w:val="24"/>
          <w:lang w:val="fr-FR"/>
        </w:rPr>
        <w:t>Emanuelsson</w:t>
      </w:r>
      <w:proofErr w:type="spellEnd"/>
      <w:r w:rsidRPr="00D22CE2">
        <w:rPr>
          <w:rFonts w:asciiTheme="minorHAnsi" w:hAnsiTheme="minorHAnsi" w:cs="Courier New"/>
          <w:sz w:val="24"/>
          <w:lang w:val="fr-FR"/>
        </w:rPr>
        <w:t xml:space="preserve"> M, et al. </w:t>
      </w:r>
      <w:proofErr w:type="gramStart"/>
      <w:r w:rsidRPr="00D22CE2">
        <w:rPr>
          <w:rFonts w:asciiTheme="minorHAnsi" w:hAnsiTheme="minorHAnsi" w:cs="Courier New"/>
          <w:sz w:val="24"/>
        </w:rPr>
        <w:t>Risk perception, screening practice and interest in genetic testing among unaffected men in families with hereditary prostate cancer.</w:t>
      </w:r>
      <w:proofErr w:type="gramEnd"/>
      <w:r w:rsidRPr="00D22CE2">
        <w:rPr>
          <w:rFonts w:asciiTheme="minorHAnsi" w:hAnsiTheme="minorHAnsi" w:cs="Courier New"/>
          <w:sz w:val="24"/>
        </w:rPr>
        <w:t xml:space="preserve"> </w:t>
      </w:r>
      <w:r w:rsidRPr="00614147">
        <w:rPr>
          <w:rFonts w:asciiTheme="minorHAnsi" w:hAnsiTheme="minorHAnsi" w:cs="Courier New"/>
          <w:i/>
          <w:sz w:val="24"/>
          <w:lang w:val="da-DK"/>
        </w:rPr>
        <w:t>Eur J Cancer</w:t>
      </w:r>
      <w:r w:rsidRPr="00D22CE2">
        <w:rPr>
          <w:rFonts w:asciiTheme="minorHAnsi" w:hAnsiTheme="minorHAnsi" w:cs="Courier New"/>
          <w:sz w:val="24"/>
          <w:lang w:val="da-DK"/>
        </w:rPr>
        <w:t xml:space="preserve"> 2000;</w:t>
      </w:r>
      <w:r w:rsidR="00704316">
        <w:rPr>
          <w:rFonts w:asciiTheme="minorHAnsi" w:hAnsiTheme="minorHAnsi" w:cs="Courier New"/>
          <w:sz w:val="24"/>
          <w:lang w:val="da-DK"/>
        </w:rPr>
        <w:t xml:space="preserve"> </w:t>
      </w:r>
      <w:r w:rsidRPr="00D22CE2">
        <w:rPr>
          <w:rFonts w:asciiTheme="minorHAnsi" w:hAnsiTheme="minorHAnsi" w:cs="Courier New"/>
          <w:sz w:val="24"/>
          <w:lang w:val="da-DK"/>
        </w:rPr>
        <w:t>36:</w:t>
      </w:r>
      <w:r w:rsidR="00704316">
        <w:rPr>
          <w:rFonts w:asciiTheme="minorHAnsi" w:hAnsiTheme="minorHAnsi" w:cs="Courier New"/>
          <w:sz w:val="24"/>
          <w:lang w:val="da-DK"/>
        </w:rPr>
        <w:t xml:space="preserve"> </w:t>
      </w:r>
      <w:r w:rsidRPr="00D22CE2">
        <w:rPr>
          <w:rFonts w:asciiTheme="minorHAnsi" w:hAnsiTheme="minorHAnsi" w:cs="Courier New"/>
          <w:sz w:val="24"/>
          <w:lang w:val="da-DK"/>
        </w:rPr>
        <w:t>235–241.</w:t>
      </w:r>
    </w:p>
    <w:p w14:paraId="72BDAA31" w14:textId="77777777" w:rsidR="00427B1F" w:rsidRPr="00D22CE2" w:rsidRDefault="00427B1F" w:rsidP="001E225F">
      <w:pPr>
        <w:spacing w:line="360" w:lineRule="auto"/>
        <w:outlineLvl w:val="0"/>
        <w:rPr>
          <w:rFonts w:asciiTheme="minorHAnsi" w:hAnsiTheme="minorHAnsi" w:cs="Courier New"/>
          <w:sz w:val="24"/>
          <w:lang w:val="da-DK"/>
        </w:rPr>
      </w:pPr>
    </w:p>
    <w:p w14:paraId="71370BEA" w14:textId="143F2A96" w:rsidR="00427B1F" w:rsidRPr="00D22CE2" w:rsidRDefault="00427B1F" w:rsidP="001E225F">
      <w:pPr>
        <w:spacing w:line="360" w:lineRule="auto"/>
        <w:outlineLvl w:val="0"/>
        <w:rPr>
          <w:rFonts w:asciiTheme="minorHAnsi" w:hAnsiTheme="minorHAnsi" w:cs="Courier New"/>
          <w:sz w:val="24"/>
        </w:rPr>
      </w:pPr>
      <w:r w:rsidRPr="00D22CE2">
        <w:rPr>
          <w:rFonts w:asciiTheme="minorHAnsi" w:hAnsiTheme="minorHAnsi" w:cs="Courier New"/>
          <w:sz w:val="24"/>
          <w:lang w:val="da-DK"/>
        </w:rPr>
        <w:t>[</w:t>
      </w:r>
      <w:r w:rsidR="00E66C47">
        <w:rPr>
          <w:rFonts w:asciiTheme="minorHAnsi" w:hAnsiTheme="minorHAnsi" w:cs="Courier New"/>
          <w:sz w:val="24"/>
          <w:lang w:val="da-DK"/>
        </w:rPr>
        <w:t>19</w:t>
      </w:r>
      <w:r w:rsidRPr="00D22CE2">
        <w:rPr>
          <w:rFonts w:asciiTheme="minorHAnsi" w:hAnsiTheme="minorHAnsi" w:cs="Courier New"/>
          <w:sz w:val="24"/>
          <w:lang w:val="da-DK"/>
        </w:rPr>
        <w:t xml:space="preserve">] Cormier L, Guillemin F, Valeri A, et al. </w:t>
      </w:r>
      <w:r w:rsidRPr="00D22CE2">
        <w:rPr>
          <w:rFonts w:asciiTheme="minorHAnsi" w:hAnsiTheme="minorHAnsi" w:cs="Courier New"/>
          <w:sz w:val="24"/>
        </w:rPr>
        <w:t xml:space="preserve">Impact of prostate cancer screening on health related quality of life in at-risk families. </w:t>
      </w:r>
      <w:r w:rsidRPr="00614147">
        <w:rPr>
          <w:rFonts w:asciiTheme="minorHAnsi" w:hAnsiTheme="minorHAnsi" w:cs="Courier New"/>
          <w:i/>
          <w:sz w:val="24"/>
        </w:rPr>
        <w:t>Urology</w:t>
      </w:r>
      <w:r w:rsidRPr="00D22CE2">
        <w:rPr>
          <w:rFonts w:asciiTheme="minorHAnsi" w:hAnsiTheme="minorHAnsi" w:cs="Courier New"/>
          <w:sz w:val="24"/>
        </w:rPr>
        <w:t xml:space="preserve"> 2001;</w:t>
      </w:r>
      <w:r w:rsidR="00704316">
        <w:rPr>
          <w:rFonts w:asciiTheme="minorHAnsi" w:hAnsiTheme="minorHAnsi" w:cs="Courier New"/>
          <w:sz w:val="24"/>
        </w:rPr>
        <w:t xml:space="preserve"> </w:t>
      </w:r>
      <w:r w:rsidRPr="00D22CE2">
        <w:rPr>
          <w:rFonts w:asciiTheme="minorHAnsi" w:hAnsiTheme="minorHAnsi" w:cs="Courier New"/>
          <w:sz w:val="24"/>
        </w:rPr>
        <w:t>59:</w:t>
      </w:r>
      <w:r w:rsidR="00704316">
        <w:rPr>
          <w:rFonts w:asciiTheme="minorHAnsi" w:hAnsiTheme="minorHAnsi" w:cs="Courier New"/>
          <w:sz w:val="24"/>
        </w:rPr>
        <w:t xml:space="preserve"> </w:t>
      </w:r>
      <w:r w:rsidRPr="00D22CE2">
        <w:rPr>
          <w:rFonts w:asciiTheme="minorHAnsi" w:hAnsiTheme="minorHAnsi" w:cs="Courier New"/>
          <w:sz w:val="24"/>
        </w:rPr>
        <w:t>901–906.</w:t>
      </w:r>
    </w:p>
    <w:p w14:paraId="67D1026C" w14:textId="77777777" w:rsidR="00427B1F" w:rsidRPr="00D22CE2" w:rsidRDefault="00427B1F" w:rsidP="001E225F">
      <w:pPr>
        <w:spacing w:line="360" w:lineRule="auto"/>
        <w:outlineLvl w:val="0"/>
        <w:rPr>
          <w:rFonts w:asciiTheme="minorHAnsi" w:hAnsiTheme="minorHAnsi" w:cs="Courier New"/>
          <w:sz w:val="24"/>
        </w:rPr>
      </w:pPr>
    </w:p>
    <w:p w14:paraId="5856D129" w14:textId="3A4DE0E6" w:rsidR="00427B1F" w:rsidRPr="00D22CE2" w:rsidRDefault="00427B1F" w:rsidP="001E225F">
      <w:pPr>
        <w:spacing w:line="360" w:lineRule="auto"/>
        <w:outlineLvl w:val="0"/>
        <w:rPr>
          <w:rFonts w:asciiTheme="minorHAnsi" w:hAnsiTheme="minorHAnsi" w:cs="Courier New"/>
          <w:sz w:val="24"/>
        </w:rPr>
      </w:pPr>
      <w:r w:rsidRPr="00B70974">
        <w:rPr>
          <w:rFonts w:asciiTheme="minorHAnsi" w:hAnsiTheme="minorHAnsi" w:cs="Courier New"/>
          <w:sz w:val="24"/>
          <w:lang w:val="nl-NL"/>
        </w:rPr>
        <w:t>[</w:t>
      </w:r>
      <w:r w:rsidR="00E66C47" w:rsidRPr="00B70974">
        <w:rPr>
          <w:rFonts w:asciiTheme="minorHAnsi" w:hAnsiTheme="minorHAnsi" w:cs="Courier New"/>
          <w:sz w:val="24"/>
          <w:lang w:val="nl-NL"/>
        </w:rPr>
        <w:t>20</w:t>
      </w:r>
      <w:r w:rsidRPr="00B70974">
        <w:rPr>
          <w:rFonts w:asciiTheme="minorHAnsi" w:hAnsiTheme="minorHAnsi" w:cs="Courier New"/>
          <w:sz w:val="24"/>
          <w:lang w:val="nl-NL"/>
        </w:rPr>
        <w:t xml:space="preserve">] Strømsvik N, Raheim M, Gjengedal E.. </w:t>
      </w:r>
      <w:proofErr w:type="gramStart"/>
      <w:r w:rsidRPr="00D22CE2">
        <w:rPr>
          <w:rFonts w:asciiTheme="minorHAnsi" w:hAnsiTheme="minorHAnsi" w:cs="Courier New"/>
          <w:sz w:val="24"/>
        </w:rPr>
        <w:t>Cancer worry among Norwegian male BRCA 1/2 mutation carriers.</w:t>
      </w:r>
      <w:proofErr w:type="gramEnd"/>
      <w:r w:rsidRPr="00D22CE2">
        <w:rPr>
          <w:rFonts w:asciiTheme="minorHAnsi" w:hAnsiTheme="minorHAnsi" w:cs="Courier New"/>
          <w:sz w:val="24"/>
        </w:rPr>
        <w:t xml:space="preserve"> </w:t>
      </w:r>
      <w:r w:rsidRPr="00614147">
        <w:rPr>
          <w:rFonts w:asciiTheme="minorHAnsi" w:hAnsiTheme="minorHAnsi" w:cs="Courier New"/>
          <w:i/>
          <w:sz w:val="24"/>
        </w:rPr>
        <w:t>Familial Cancer</w:t>
      </w:r>
      <w:r w:rsidR="00704316">
        <w:rPr>
          <w:rFonts w:asciiTheme="minorHAnsi" w:hAnsiTheme="minorHAnsi" w:cs="Courier New"/>
          <w:sz w:val="24"/>
        </w:rPr>
        <w:t xml:space="preserve"> 2011;</w:t>
      </w:r>
      <w:r w:rsidRPr="00D22CE2">
        <w:rPr>
          <w:rFonts w:asciiTheme="minorHAnsi" w:hAnsiTheme="minorHAnsi" w:cs="Courier New"/>
          <w:sz w:val="24"/>
        </w:rPr>
        <w:t xml:space="preserve"> 10</w:t>
      </w:r>
      <w:r w:rsidR="00704316">
        <w:rPr>
          <w:rFonts w:asciiTheme="minorHAnsi" w:hAnsiTheme="minorHAnsi" w:cs="Courier New"/>
          <w:sz w:val="24"/>
        </w:rPr>
        <w:t>:</w:t>
      </w:r>
      <w:r w:rsidR="00704316" w:rsidRPr="00D22CE2">
        <w:rPr>
          <w:rFonts w:asciiTheme="minorHAnsi" w:hAnsiTheme="minorHAnsi" w:cs="Courier New"/>
          <w:sz w:val="24"/>
        </w:rPr>
        <w:t xml:space="preserve"> </w:t>
      </w:r>
      <w:r w:rsidRPr="00D22CE2">
        <w:rPr>
          <w:rFonts w:asciiTheme="minorHAnsi" w:hAnsiTheme="minorHAnsi" w:cs="Courier New"/>
          <w:sz w:val="24"/>
        </w:rPr>
        <w:t>597-603.</w:t>
      </w:r>
    </w:p>
    <w:p w14:paraId="15A2E944" w14:textId="77777777" w:rsidR="00427B1F" w:rsidRPr="00D22CE2" w:rsidRDefault="00427B1F" w:rsidP="001E225F">
      <w:pPr>
        <w:spacing w:line="360" w:lineRule="auto"/>
        <w:outlineLvl w:val="0"/>
        <w:rPr>
          <w:rFonts w:asciiTheme="minorHAnsi" w:hAnsiTheme="minorHAnsi" w:cs="Courier New"/>
          <w:sz w:val="24"/>
        </w:rPr>
      </w:pPr>
    </w:p>
    <w:p w14:paraId="25DB813D" w14:textId="22136DAC" w:rsidR="00427B1F" w:rsidRPr="00D22CE2" w:rsidRDefault="00427B1F" w:rsidP="001E225F">
      <w:pPr>
        <w:spacing w:line="360" w:lineRule="auto"/>
        <w:outlineLvl w:val="0"/>
        <w:rPr>
          <w:rFonts w:asciiTheme="minorHAnsi" w:hAnsiTheme="minorHAnsi" w:cs="Courier New"/>
          <w:sz w:val="24"/>
        </w:rPr>
      </w:pPr>
      <w:r w:rsidRPr="00D22CE2">
        <w:rPr>
          <w:rFonts w:asciiTheme="minorHAnsi" w:hAnsiTheme="minorHAnsi" w:cs="Courier New"/>
          <w:sz w:val="24"/>
        </w:rPr>
        <w:t>[</w:t>
      </w:r>
      <w:r w:rsidR="00E66C47">
        <w:rPr>
          <w:rFonts w:asciiTheme="minorHAnsi" w:hAnsiTheme="minorHAnsi" w:cs="Courier New"/>
          <w:sz w:val="24"/>
        </w:rPr>
        <w:t>21</w:t>
      </w:r>
      <w:r w:rsidRPr="00D22CE2">
        <w:rPr>
          <w:rFonts w:asciiTheme="minorHAnsi" w:hAnsiTheme="minorHAnsi" w:cs="Courier New"/>
          <w:sz w:val="24"/>
        </w:rPr>
        <w:t>] Hallowell N, Ardern-Jones A, Eeles R</w:t>
      </w:r>
      <w:r w:rsidR="00A81CD8">
        <w:rPr>
          <w:rFonts w:asciiTheme="minorHAnsi" w:hAnsiTheme="minorHAnsi" w:cs="Courier New"/>
          <w:sz w:val="24"/>
        </w:rPr>
        <w:t xml:space="preserve">et </w:t>
      </w:r>
      <w:proofErr w:type="gramStart"/>
      <w:r w:rsidR="00A81CD8">
        <w:rPr>
          <w:rFonts w:asciiTheme="minorHAnsi" w:hAnsiTheme="minorHAnsi" w:cs="Courier New"/>
          <w:sz w:val="24"/>
        </w:rPr>
        <w:t>al</w:t>
      </w:r>
      <w:r w:rsidRPr="00D22CE2">
        <w:rPr>
          <w:rFonts w:asciiTheme="minorHAnsi" w:hAnsiTheme="minorHAnsi" w:cs="Courier New"/>
          <w:sz w:val="24"/>
        </w:rPr>
        <w:t xml:space="preserve"> .</w:t>
      </w:r>
      <w:proofErr w:type="gramEnd"/>
      <w:r w:rsidRPr="00D22CE2">
        <w:rPr>
          <w:rFonts w:asciiTheme="minorHAnsi" w:hAnsiTheme="minorHAnsi" w:cs="Courier New"/>
          <w:sz w:val="24"/>
        </w:rPr>
        <w:t xml:space="preserve"> Communication about genetic testing in families of male BRCA1/2 carriers and non-carriers: patterns, priorities and problems</w:t>
      </w:r>
      <w:r w:rsidR="00704316">
        <w:rPr>
          <w:rFonts w:asciiTheme="minorHAnsi" w:hAnsiTheme="minorHAnsi" w:cs="Courier New"/>
          <w:sz w:val="24"/>
        </w:rPr>
        <w:t>.</w:t>
      </w:r>
      <w:r w:rsidRPr="00D22CE2">
        <w:rPr>
          <w:rFonts w:asciiTheme="minorHAnsi" w:hAnsiTheme="minorHAnsi" w:cs="Courier New"/>
          <w:sz w:val="24"/>
        </w:rPr>
        <w:t xml:space="preserve"> </w:t>
      </w:r>
      <w:r w:rsidRPr="00614147">
        <w:rPr>
          <w:rFonts w:asciiTheme="minorHAnsi" w:hAnsiTheme="minorHAnsi" w:cs="Courier New"/>
          <w:i/>
          <w:sz w:val="24"/>
        </w:rPr>
        <w:t>Clinical Genetics</w:t>
      </w:r>
      <w:r w:rsidR="00704316">
        <w:rPr>
          <w:rFonts w:asciiTheme="minorHAnsi" w:hAnsiTheme="minorHAnsi" w:cs="Courier New"/>
          <w:sz w:val="24"/>
        </w:rPr>
        <w:t xml:space="preserve"> 2005;</w:t>
      </w:r>
      <w:r w:rsidRPr="00D22CE2">
        <w:rPr>
          <w:rFonts w:asciiTheme="minorHAnsi" w:hAnsiTheme="minorHAnsi" w:cs="Courier New"/>
          <w:sz w:val="24"/>
        </w:rPr>
        <w:t xml:space="preserve"> 67(6):</w:t>
      </w:r>
      <w:r w:rsidR="00704316">
        <w:rPr>
          <w:rFonts w:asciiTheme="minorHAnsi" w:hAnsiTheme="minorHAnsi" w:cs="Courier New"/>
          <w:sz w:val="24"/>
        </w:rPr>
        <w:t xml:space="preserve"> </w:t>
      </w:r>
      <w:r w:rsidRPr="00D22CE2">
        <w:rPr>
          <w:rFonts w:asciiTheme="minorHAnsi" w:hAnsiTheme="minorHAnsi" w:cs="Courier New"/>
          <w:sz w:val="24"/>
        </w:rPr>
        <w:t>492-502.</w:t>
      </w:r>
    </w:p>
    <w:p w14:paraId="70F9C917" w14:textId="77777777" w:rsidR="00427B1F" w:rsidRPr="00D22CE2" w:rsidRDefault="00427B1F" w:rsidP="001E225F">
      <w:pPr>
        <w:spacing w:line="360" w:lineRule="auto"/>
        <w:outlineLvl w:val="0"/>
        <w:rPr>
          <w:rFonts w:asciiTheme="minorHAnsi" w:hAnsiTheme="minorHAnsi" w:cs="Courier New"/>
          <w:sz w:val="24"/>
        </w:rPr>
      </w:pPr>
    </w:p>
    <w:p w14:paraId="39A45F95" w14:textId="7DED26A6" w:rsidR="00427B1F" w:rsidRDefault="00427B1F" w:rsidP="001E225F">
      <w:pPr>
        <w:spacing w:line="360" w:lineRule="auto"/>
        <w:outlineLvl w:val="0"/>
        <w:rPr>
          <w:rFonts w:asciiTheme="minorHAnsi" w:hAnsiTheme="minorHAnsi" w:cs="Courier New"/>
          <w:sz w:val="24"/>
        </w:rPr>
      </w:pPr>
      <w:r w:rsidRPr="00D22CE2">
        <w:rPr>
          <w:rFonts w:asciiTheme="minorHAnsi" w:hAnsiTheme="minorHAnsi" w:cs="Courier New"/>
          <w:sz w:val="24"/>
        </w:rPr>
        <w:t>[</w:t>
      </w:r>
      <w:r w:rsidR="00E66C47">
        <w:rPr>
          <w:rFonts w:asciiTheme="minorHAnsi" w:hAnsiTheme="minorHAnsi" w:cs="Courier New"/>
          <w:sz w:val="24"/>
        </w:rPr>
        <w:t>22</w:t>
      </w:r>
      <w:r w:rsidRPr="00D22CE2">
        <w:rPr>
          <w:rFonts w:asciiTheme="minorHAnsi" w:hAnsiTheme="minorHAnsi" w:cs="Courier New"/>
          <w:sz w:val="24"/>
        </w:rPr>
        <w:t>] Hallowell N</w:t>
      </w:r>
      <w:proofErr w:type="gramStart"/>
      <w:r w:rsidRPr="00D22CE2">
        <w:rPr>
          <w:rFonts w:asciiTheme="minorHAnsi" w:hAnsiTheme="minorHAnsi" w:cs="Courier New"/>
          <w:sz w:val="24"/>
        </w:rPr>
        <w:t>,  Arden</w:t>
      </w:r>
      <w:proofErr w:type="gramEnd"/>
      <w:r w:rsidRPr="00D22CE2">
        <w:rPr>
          <w:rFonts w:asciiTheme="minorHAnsi" w:hAnsiTheme="minorHAnsi" w:cs="Courier New"/>
          <w:sz w:val="24"/>
        </w:rPr>
        <w:t xml:space="preserve">-Jones A, Eeles R </w:t>
      </w:r>
      <w:r w:rsidR="00A81CD8">
        <w:rPr>
          <w:rFonts w:asciiTheme="minorHAnsi" w:hAnsiTheme="minorHAnsi" w:cs="Courier New"/>
          <w:sz w:val="24"/>
        </w:rPr>
        <w:t>et al</w:t>
      </w:r>
      <w:r w:rsidRPr="00D22CE2">
        <w:rPr>
          <w:rFonts w:asciiTheme="minorHAnsi" w:hAnsiTheme="minorHAnsi" w:cs="Courier New"/>
          <w:sz w:val="24"/>
        </w:rPr>
        <w:t xml:space="preserve">. Guilt, blame and responsibility: men's understanding of their role in the transmission of BRCA1/2 mutations within their family. </w:t>
      </w:r>
      <w:r w:rsidRPr="00614147">
        <w:rPr>
          <w:rFonts w:asciiTheme="minorHAnsi" w:hAnsiTheme="minorHAnsi" w:cs="Courier New"/>
          <w:i/>
          <w:sz w:val="24"/>
        </w:rPr>
        <w:t xml:space="preserve">Sociology of Health </w:t>
      </w:r>
      <w:r w:rsidR="00704316" w:rsidRPr="00614147">
        <w:rPr>
          <w:rFonts w:asciiTheme="minorHAnsi" w:hAnsiTheme="minorHAnsi" w:cs="Courier New"/>
          <w:i/>
          <w:sz w:val="24"/>
        </w:rPr>
        <w:t xml:space="preserve">and </w:t>
      </w:r>
      <w:r w:rsidRPr="00614147">
        <w:rPr>
          <w:rFonts w:asciiTheme="minorHAnsi" w:hAnsiTheme="minorHAnsi" w:cs="Courier New"/>
          <w:i/>
          <w:sz w:val="24"/>
        </w:rPr>
        <w:t>Illness</w:t>
      </w:r>
      <w:r w:rsidR="00704316">
        <w:rPr>
          <w:rFonts w:asciiTheme="minorHAnsi" w:hAnsiTheme="minorHAnsi" w:cs="Courier New"/>
          <w:sz w:val="24"/>
        </w:rPr>
        <w:t xml:space="preserve"> 2006;</w:t>
      </w:r>
      <w:r w:rsidRPr="00D22CE2">
        <w:rPr>
          <w:rFonts w:asciiTheme="minorHAnsi" w:hAnsiTheme="minorHAnsi" w:cs="Courier New"/>
          <w:sz w:val="24"/>
        </w:rPr>
        <w:t xml:space="preserve"> 28 (7)</w:t>
      </w:r>
      <w:r w:rsidR="00704316">
        <w:rPr>
          <w:rFonts w:asciiTheme="minorHAnsi" w:hAnsiTheme="minorHAnsi" w:cs="Courier New"/>
          <w:sz w:val="24"/>
        </w:rPr>
        <w:t>:</w:t>
      </w:r>
      <w:r w:rsidRPr="00D22CE2">
        <w:rPr>
          <w:rFonts w:asciiTheme="minorHAnsi" w:hAnsiTheme="minorHAnsi" w:cs="Courier New"/>
          <w:sz w:val="24"/>
        </w:rPr>
        <w:t xml:space="preserve"> 969-88.</w:t>
      </w:r>
    </w:p>
    <w:p w14:paraId="71F3A414" w14:textId="77777777" w:rsidR="00F37C8E" w:rsidRDefault="00F37C8E" w:rsidP="001E225F">
      <w:pPr>
        <w:spacing w:line="360" w:lineRule="auto"/>
        <w:outlineLvl w:val="0"/>
        <w:rPr>
          <w:rFonts w:asciiTheme="minorHAnsi" w:hAnsiTheme="minorHAnsi" w:cs="Courier New"/>
          <w:sz w:val="24"/>
        </w:rPr>
      </w:pPr>
    </w:p>
    <w:p w14:paraId="2AEA8203" w14:textId="35A46AD1" w:rsidR="00F37C8E" w:rsidRPr="00D22CE2" w:rsidRDefault="00F37C8E" w:rsidP="001E225F">
      <w:pPr>
        <w:spacing w:line="360" w:lineRule="auto"/>
        <w:rPr>
          <w:rFonts w:asciiTheme="minorHAnsi" w:hAnsiTheme="minorHAnsi"/>
          <w:sz w:val="24"/>
        </w:rPr>
      </w:pPr>
      <w:r w:rsidRPr="00B70974">
        <w:rPr>
          <w:rFonts w:asciiTheme="minorHAnsi" w:hAnsiTheme="minorHAnsi" w:cs="Courier New"/>
          <w:sz w:val="24"/>
          <w:lang w:val="nl-NL"/>
        </w:rPr>
        <w:t xml:space="preserve">[23] </w:t>
      </w:r>
      <w:r w:rsidRPr="00B70974">
        <w:rPr>
          <w:rFonts w:asciiTheme="minorHAnsi" w:hAnsiTheme="minorHAnsi"/>
          <w:sz w:val="24"/>
          <w:lang w:val="nl-NL"/>
        </w:rPr>
        <w:t>Moynihan C, Bancroft EK, Mitra A</w:t>
      </w:r>
      <w:r w:rsidR="00A81CD8" w:rsidRPr="00B70974">
        <w:rPr>
          <w:rFonts w:asciiTheme="minorHAnsi" w:hAnsiTheme="minorHAnsi"/>
          <w:sz w:val="24"/>
          <w:lang w:val="nl-NL"/>
        </w:rPr>
        <w:t xml:space="preserve"> et al</w:t>
      </w:r>
      <w:r w:rsidRPr="00B70974">
        <w:rPr>
          <w:rFonts w:asciiTheme="minorHAnsi" w:hAnsiTheme="minorHAnsi"/>
          <w:sz w:val="24"/>
          <w:lang w:val="nl-NL"/>
        </w:rPr>
        <w:t xml:space="preserve">. </w:t>
      </w:r>
      <w:r w:rsidRPr="00D22CE2">
        <w:rPr>
          <w:rFonts w:asciiTheme="minorHAnsi" w:hAnsiTheme="minorHAnsi"/>
          <w:sz w:val="24"/>
        </w:rPr>
        <w:t xml:space="preserve">Ambiguity in a masculine world: Being a BRCA1/2 mutation carrier and a man with prostate cancer. </w:t>
      </w:r>
      <w:proofErr w:type="spellStart"/>
      <w:proofErr w:type="gramStart"/>
      <w:r w:rsidRPr="00D22CE2">
        <w:rPr>
          <w:rFonts w:asciiTheme="minorHAnsi" w:hAnsiTheme="minorHAnsi"/>
          <w:sz w:val="24"/>
        </w:rPr>
        <w:t>Psychooncology</w:t>
      </w:r>
      <w:proofErr w:type="spellEnd"/>
      <w:r w:rsidRPr="00D22CE2">
        <w:rPr>
          <w:rFonts w:asciiTheme="minorHAnsi" w:hAnsiTheme="minorHAnsi"/>
          <w:sz w:val="24"/>
        </w:rPr>
        <w:t>.</w:t>
      </w:r>
      <w:proofErr w:type="gramEnd"/>
      <w:r w:rsidRPr="00D22CE2">
        <w:rPr>
          <w:rFonts w:asciiTheme="minorHAnsi" w:hAnsiTheme="minorHAnsi"/>
          <w:sz w:val="24"/>
        </w:rPr>
        <w:t xml:space="preserve"> </w:t>
      </w:r>
      <w:proofErr w:type="gramStart"/>
      <w:r w:rsidRPr="00D22CE2">
        <w:rPr>
          <w:rFonts w:asciiTheme="minorHAnsi" w:hAnsiTheme="minorHAnsi"/>
          <w:sz w:val="24"/>
        </w:rPr>
        <w:t>2017 Aug 15.</w:t>
      </w:r>
      <w:proofErr w:type="gramEnd"/>
      <w:r w:rsidRPr="00D22CE2">
        <w:rPr>
          <w:rFonts w:asciiTheme="minorHAnsi" w:hAnsiTheme="minorHAnsi"/>
          <w:sz w:val="24"/>
        </w:rPr>
        <w:t xml:space="preserve"> [</w:t>
      </w:r>
      <w:proofErr w:type="spellStart"/>
      <w:r w:rsidRPr="00D22CE2">
        <w:rPr>
          <w:rFonts w:asciiTheme="minorHAnsi" w:hAnsiTheme="minorHAnsi"/>
          <w:sz w:val="24"/>
        </w:rPr>
        <w:t>Epub</w:t>
      </w:r>
      <w:proofErr w:type="spellEnd"/>
      <w:r w:rsidRPr="00D22CE2">
        <w:rPr>
          <w:rFonts w:asciiTheme="minorHAnsi" w:hAnsiTheme="minorHAnsi"/>
          <w:sz w:val="24"/>
        </w:rPr>
        <w:t xml:space="preserve"> ahead of print]</w:t>
      </w:r>
    </w:p>
    <w:p w14:paraId="018A728D" w14:textId="77777777" w:rsidR="00F37C8E" w:rsidRDefault="00F37C8E" w:rsidP="001E225F">
      <w:pPr>
        <w:spacing w:line="360" w:lineRule="auto"/>
        <w:outlineLvl w:val="0"/>
        <w:rPr>
          <w:rFonts w:asciiTheme="minorHAnsi" w:hAnsiTheme="minorHAnsi" w:cs="Courier New"/>
          <w:sz w:val="24"/>
        </w:rPr>
      </w:pPr>
    </w:p>
    <w:p w14:paraId="37594D4F" w14:textId="2A51D2BA" w:rsidR="00F37C8E" w:rsidRDefault="00F37C8E" w:rsidP="001E225F">
      <w:pPr>
        <w:spacing w:line="360" w:lineRule="auto"/>
        <w:rPr>
          <w:rFonts w:asciiTheme="minorHAnsi" w:hAnsiTheme="minorHAnsi"/>
          <w:sz w:val="24"/>
        </w:rPr>
      </w:pPr>
      <w:r w:rsidRPr="00D22CE2">
        <w:rPr>
          <w:rFonts w:asciiTheme="minorHAnsi" w:hAnsiTheme="minorHAnsi"/>
          <w:sz w:val="24"/>
        </w:rPr>
        <w:lastRenderedPageBreak/>
        <w:t>[</w:t>
      </w:r>
      <w:r>
        <w:rPr>
          <w:rFonts w:asciiTheme="minorHAnsi" w:hAnsiTheme="minorHAnsi"/>
          <w:sz w:val="24"/>
        </w:rPr>
        <w:t>24</w:t>
      </w:r>
      <w:r w:rsidRPr="00D22CE2">
        <w:rPr>
          <w:rFonts w:asciiTheme="minorHAnsi" w:hAnsiTheme="minorHAnsi"/>
          <w:sz w:val="24"/>
        </w:rPr>
        <w:t xml:space="preserve">] Taylor KL, Di </w:t>
      </w:r>
      <w:proofErr w:type="spellStart"/>
      <w:r w:rsidRPr="00D22CE2">
        <w:rPr>
          <w:rFonts w:asciiTheme="minorHAnsi" w:hAnsiTheme="minorHAnsi"/>
          <w:sz w:val="24"/>
        </w:rPr>
        <w:t>Placido</w:t>
      </w:r>
      <w:proofErr w:type="spellEnd"/>
      <w:r w:rsidRPr="00D22CE2">
        <w:rPr>
          <w:rFonts w:asciiTheme="minorHAnsi" w:hAnsiTheme="minorHAnsi"/>
          <w:sz w:val="24"/>
        </w:rPr>
        <w:t xml:space="preserve"> J, </w:t>
      </w:r>
      <w:proofErr w:type="spellStart"/>
      <w:r w:rsidRPr="00D22CE2">
        <w:rPr>
          <w:rFonts w:asciiTheme="minorHAnsi" w:hAnsiTheme="minorHAnsi"/>
          <w:sz w:val="24"/>
        </w:rPr>
        <w:t>Redd</w:t>
      </w:r>
      <w:proofErr w:type="spellEnd"/>
      <w:r w:rsidRPr="00D22CE2">
        <w:rPr>
          <w:rFonts w:asciiTheme="minorHAnsi" w:hAnsiTheme="minorHAnsi"/>
          <w:sz w:val="24"/>
        </w:rPr>
        <w:t xml:space="preserve"> WH, </w:t>
      </w:r>
      <w:proofErr w:type="spellStart"/>
      <w:r w:rsidRPr="00D22CE2">
        <w:rPr>
          <w:rFonts w:asciiTheme="minorHAnsi" w:hAnsiTheme="minorHAnsi"/>
          <w:sz w:val="24"/>
        </w:rPr>
        <w:t>Faccenda</w:t>
      </w:r>
      <w:proofErr w:type="spellEnd"/>
      <w:r w:rsidRPr="00D22CE2">
        <w:rPr>
          <w:rFonts w:asciiTheme="minorHAnsi" w:hAnsiTheme="minorHAnsi"/>
          <w:sz w:val="24"/>
        </w:rPr>
        <w:t xml:space="preserve"> K, Greer L, </w:t>
      </w:r>
      <w:proofErr w:type="spellStart"/>
      <w:r w:rsidRPr="00D22CE2">
        <w:rPr>
          <w:rFonts w:asciiTheme="minorHAnsi" w:hAnsiTheme="minorHAnsi"/>
          <w:sz w:val="24"/>
        </w:rPr>
        <w:t>Perlmutter</w:t>
      </w:r>
      <w:proofErr w:type="spellEnd"/>
      <w:r w:rsidRPr="00D22CE2">
        <w:rPr>
          <w:rFonts w:asciiTheme="minorHAnsi" w:hAnsiTheme="minorHAnsi"/>
          <w:sz w:val="24"/>
        </w:rPr>
        <w:t xml:space="preserve"> A. Demographics, family histories, and psychological characteristics of prostate carcinoma screening participants. </w:t>
      </w:r>
      <w:r w:rsidRPr="00614147">
        <w:rPr>
          <w:rFonts w:asciiTheme="minorHAnsi" w:hAnsiTheme="minorHAnsi"/>
          <w:i/>
          <w:sz w:val="24"/>
        </w:rPr>
        <w:t>Cancer</w:t>
      </w:r>
      <w:r w:rsidRPr="00D22CE2">
        <w:rPr>
          <w:rFonts w:asciiTheme="minorHAnsi" w:hAnsiTheme="minorHAnsi"/>
          <w:sz w:val="24"/>
        </w:rPr>
        <w:t xml:space="preserve"> 1999</w:t>
      </w:r>
      <w:proofErr w:type="gramStart"/>
      <w:r w:rsidR="00704316">
        <w:rPr>
          <w:rFonts w:asciiTheme="minorHAnsi" w:hAnsiTheme="minorHAnsi"/>
          <w:sz w:val="24"/>
        </w:rPr>
        <w:t>;</w:t>
      </w:r>
      <w:r w:rsidRPr="00D22CE2">
        <w:rPr>
          <w:rFonts w:asciiTheme="minorHAnsi" w:hAnsiTheme="minorHAnsi"/>
          <w:sz w:val="24"/>
        </w:rPr>
        <w:t>85</w:t>
      </w:r>
      <w:proofErr w:type="gramEnd"/>
      <w:r w:rsidRPr="00D22CE2">
        <w:rPr>
          <w:rFonts w:asciiTheme="minorHAnsi" w:hAnsiTheme="minorHAnsi"/>
          <w:sz w:val="24"/>
        </w:rPr>
        <w:t>(6):</w:t>
      </w:r>
      <w:r w:rsidR="00704316">
        <w:rPr>
          <w:rFonts w:asciiTheme="minorHAnsi" w:hAnsiTheme="minorHAnsi"/>
          <w:sz w:val="24"/>
        </w:rPr>
        <w:t xml:space="preserve"> </w:t>
      </w:r>
      <w:r w:rsidRPr="00D22CE2">
        <w:rPr>
          <w:rFonts w:asciiTheme="minorHAnsi" w:hAnsiTheme="minorHAnsi"/>
          <w:sz w:val="24"/>
        </w:rPr>
        <w:t>1305-12.</w:t>
      </w:r>
    </w:p>
    <w:p w14:paraId="77F7B17B" w14:textId="77777777" w:rsidR="00F37C8E" w:rsidRDefault="00F37C8E" w:rsidP="001E225F">
      <w:pPr>
        <w:spacing w:line="360" w:lineRule="auto"/>
        <w:rPr>
          <w:rFonts w:asciiTheme="minorHAnsi" w:hAnsiTheme="minorHAnsi"/>
          <w:sz w:val="24"/>
        </w:rPr>
      </w:pPr>
    </w:p>
    <w:p w14:paraId="7460A28F" w14:textId="529D5C39" w:rsidR="00F37C8E" w:rsidRPr="00D22CE2" w:rsidRDefault="00F37C8E" w:rsidP="001E225F">
      <w:pPr>
        <w:spacing w:line="360" w:lineRule="auto"/>
        <w:rPr>
          <w:rFonts w:asciiTheme="minorHAnsi" w:hAnsiTheme="minorHAnsi"/>
          <w:sz w:val="24"/>
        </w:rPr>
      </w:pPr>
      <w:r w:rsidRPr="00D22CE2">
        <w:rPr>
          <w:rFonts w:asciiTheme="minorHAnsi" w:hAnsiTheme="minorHAnsi" w:cs="Courier New"/>
          <w:sz w:val="24"/>
        </w:rPr>
        <w:t>[</w:t>
      </w:r>
      <w:r>
        <w:rPr>
          <w:rFonts w:asciiTheme="minorHAnsi" w:hAnsiTheme="minorHAnsi" w:cs="Courier New"/>
          <w:sz w:val="24"/>
        </w:rPr>
        <w:t>25</w:t>
      </w:r>
      <w:r w:rsidRPr="00D22CE2">
        <w:rPr>
          <w:rFonts w:asciiTheme="minorHAnsi" w:hAnsiTheme="minorHAnsi" w:cs="Courier New"/>
          <w:sz w:val="24"/>
        </w:rPr>
        <w:t xml:space="preserve">] </w:t>
      </w:r>
      <w:r w:rsidRPr="00D22CE2">
        <w:rPr>
          <w:rFonts w:asciiTheme="minorHAnsi" w:hAnsiTheme="minorHAnsi"/>
          <w:sz w:val="24"/>
        </w:rPr>
        <w:t xml:space="preserve">Taylor KL, Shelby R, </w:t>
      </w:r>
      <w:proofErr w:type="spellStart"/>
      <w:r w:rsidRPr="00D22CE2">
        <w:rPr>
          <w:rFonts w:asciiTheme="minorHAnsi" w:hAnsiTheme="minorHAnsi"/>
          <w:sz w:val="24"/>
        </w:rPr>
        <w:t>Kerner</w:t>
      </w:r>
      <w:proofErr w:type="spellEnd"/>
      <w:r w:rsidRPr="00D22CE2">
        <w:rPr>
          <w:rFonts w:asciiTheme="minorHAnsi" w:hAnsiTheme="minorHAnsi"/>
          <w:sz w:val="24"/>
        </w:rPr>
        <w:t xml:space="preserve"> J, </w:t>
      </w:r>
      <w:proofErr w:type="spellStart"/>
      <w:r w:rsidRPr="00D22CE2">
        <w:rPr>
          <w:rFonts w:asciiTheme="minorHAnsi" w:hAnsiTheme="minorHAnsi"/>
          <w:sz w:val="24"/>
        </w:rPr>
        <w:t>Redd</w:t>
      </w:r>
      <w:proofErr w:type="spellEnd"/>
      <w:r w:rsidRPr="00D22CE2">
        <w:rPr>
          <w:rFonts w:asciiTheme="minorHAnsi" w:hAnsiTheme="minorHAnsi"/>
          <w:sz w:val="24"/>
        </w:rPr>
        <w:t xml:space="preserve"> W, Lynch J. Impact of undergoing prostate carcinoma screening on prostate carcinoma-related knowledge and distress. </w:t>
      </w:r>
      <w:r w:rsidRPr="00614147">
        <w:rPr>
          <w:rFonts w:asciiTheme="minorHAnsi" w:hAnsiTheme="minorHAnsi"/>
          <w:i/>
          <w:sz w:val="24"/>
        </w:rPr>
        <w:t>Cancer</w:t>
      </w:r>
      <w:r w:rsidRPr="00D22CE2">
        <w:rPr>
          <w:rFonts w:asciiTheme="minorHAnsi" w:hAnsiTheme="minorHAnsi"/>
          <w:sz w:val="24"/>
        </w:rPr>
        <w:t xml:space="preserve"> 2002</w:t>
      </w:r>
      <w:proofErr w:type="gramStart"/>
      <w:r w:rsidR="00704316">
        <w:rPr>
          <w:rFonts w:asciiTheme="minorHAnsi" w:hAnsiTheme="minorHAnsi"/>
          <w:sz w:val="24"/>
        </w:rPr>
        <w:t>;</w:t>
      </w:r>
      <w:r w:rsidRPr="00D22CE2">
        <w:rPr>
          <w:rFonts w:asciiTheme="minorHAnsi" w:hAnsiTheme="minorHAnsi"/>
          <w:sz w:val="24"/>
        </w:rPr>
        <w:t>95</w:t>
      </w:r>
      <w:proofErr w:type="gramEnd"/>
      <w:r w:rsidRPr="00D22CE2">
        <w:rPr>
          <w:rFonts w:asciiTheme="minorHAnsi" w:hAnsiTheme="minorHAnsi"/>
          <w:sz w:val="24"/>
        </w:rPr>
        <w:t>(5):</w:t>
      </w:r>
      <w:r w:rsidR="00704316">
        <w:rPr>
          <w:rFonts w:asciiTheme="minorHAnsi" w:hAnsiTheme="minorHAnsi"/>
          <w:sz w:val="24"/>
        </w:rPr>
        <w:t xml:space="preserve"> </w:t>
      </w:r>
      <w:r w:rsidRPr="00D22CE2">
        <w:rPr>
          <w:rFonts w:asciiTheme="minorHAnsi" w:hAnsiTheme="minorHAnsi"/>
          <w:sz w:val="24"/>
        </w:rPr>
        <w:t>1037-44.</w:t>
      </w:r>
    </w:p>
    <w:p w14:paraId="3A4930ED" w14:textId="77777777" w:rsidR="00F37C8E" w:rsidRPr="00D22CE2" w:rsidRDefault="00F37C8E" w:rsidP="001E225F">
      <w:pPr>
        <w:spacing w:line="360" w:lineRule="auto"/>
        <w:rPr>
          <w:rFonts w:asciiTheme="minorHAnsi" w:hAnsiTheme="minorHAnsi"/>
          <w:sz w:val="24"/>
        </w:rPr>
      </w:pPr>
    </w:p>
    <w:p w14:paraId="24E6BA02" w14:textId="4FB39FF3" w:rsidR="00F37C8E" w:rsidRPr="00D22CE2" w:rsidRDefault="00F37C8E" w:rsidP="001E225F">
      <w:pPr>
        <w:spacing w:line="360" w:lineRule="auto"/>
        <w:rPr>
          <w:rFonts w:asciiTheme="minorHAnsi" w:hAnsiTheme="minorHAnsi"/>
          <w:sz w:val="24"/>
        </w:rPr>
      </w:pPr>
      <w:r w:rsidRPr="00D22CE2">
        <w:rPr>
          <w:rFonts w:asciiTheme="minorHAnsi" w:hAnsiTheme="minorHAnsi" w:cs="Courier New"/>
          <w:sz w:val="24"/>
        </w:rPr>
        <w:t>[</w:t>
      </w:r>
      <w:r>
        <w:rPr>
          <w:rFonts w:asciiTheme="minorHAnsi" w:hAnsiTheme="minorHAnsi" w:cs="Courier New"/>
          <w:sz w:val="24"/>
        </w:rPr>
        <w:t>26</w:t>
      </w:r>
      <w:r w:rsidRPr="00D22CE2">
        <w:rPr>
          <w:rFonts w:asciiTheme="minorHAnsi" w:hAnsiTheme="minorHAnsi" w:cs="Courier New"/>
          <w:sz w:val="24"/>
        </w:rPr>
        <w:t xml:space="preserve">] </w:t>
      </w:r>
      <w:r w:rsidRPr="00D22CE2">
        <w:rPr>
          <w:rFonts w:asciiTheme="minorHAnsi" w:hAnsiTheme="minorHAnsi"/>
          <w:sz w:val="24"/>
        </w:rPr>
        <w:t xml:space="preserve">Taylor KL, Shelby R, </w:t>
      </w:r>
      <w:proofErr w:type="spellStart"/>
      <w:r w:rsidRPr="00D22CE2">
        <w:rPr>
          <w:rFonts w:asciiTheme="minorHAnsi" w:hAnsiTheme="minorHAnsi"/>
          <w:sz w:val="24"/>
        </w:rPr>
        <w:t>Gelmann</w:t>
      </w:r>
      <w:proofErr w:type="spellEnd"/>
      <w:r w:rsidRPr="00D22CE2">
        <w:rPr>
          <w:rFonts w:asciiTheme="minorHAnsi" w:hAnsiTheme="minorHAnsi"/>
          <w:sz w:val="24"/>
        </w:rPr>
        <w:t xml:space="preserve"> E, McGuire C. Quality of life and trial adherence among participants in the prostate, lung, colorectal, and ovarian cancer screening trial. </w:t>
      </w:r>
      <w:r w:rsidRPr="00614147">
        <w:rPr>
          <w:rFonts w:asciiTheme="minorHAnsi" w:hAnsiTheme="minorHAnsi"/>
          <w:i/>
          <w:sz w:val="24"/>
        </w:rPr>
        <w:t xml:space="preserve">J </w:t>
      </w:r>
      <w:proofErr w:type="spellStart"/>
      <w:r w:rsidRPr="00614147">
        <w:rPr>
          <w:rFonts w:asciiTheme="minorHAnsi" w:hAnsiTheme="minorHAnsi"/>
          <w:i/>
          <w:sz w:val="24"/>
        </w:rPr>
        <w:t>Natl</w:t>
      </w:r>
      <w:proofErr w:type="spellEnd"/>
      <w:r w:rsidRPr="00614147">
        <w:rPr>
          <w:rFonts w:asciiTheme="minorHAnsi" w:hAnsiTheme="minorHAnsi"/>
          <w:i/>
          <w:sz w:val="24"/>
        </w:rPr>
        <w:t xml:space="preserve"> Cancer </w:t>
      </w:r>
      <w:proofErr w:type="spellStart"/>
      <w:r w:rsidRPr="00614147">
        <w:rPr>
          <w:rFonts w:asciiTheme="minorHAnsi" w:hAnsiTheme="minorHAnsi"/>
          <w:i/>
          <w:sz w:val="24"/>
        </w:rPr>
        <w:t>Inst</w:t>
      </w:r>
      <w:proofErr w:type="spellEnd"/>
      <w:r w:rsidRPr="00D22CE2">
        <w:rPr>
          <w:rFonts w:asciiTheme="minorHAnsi" w:hAnsiTheme="minorHAnsi"/>
          <w:sz w:val="24"/>
        </w:rPr>
        <w:t xml:space="preserve"> 2004;</w:t>
      </w:r>
      <w:r w:rsidR="00704316">
        <w:rPr>
          <w:rFonts w:asciiTheme="minorHAnsi" w:hAnsiTheme="minorHAnsi"/>
          <w:sz w:val="24"/>
        </w:rPr>
        <w:t xml:space="preserve"> </w:t>
      </w:r>
      <w:r w:rsidRPr="00D22CE2">
        <w:rPr>
          <w:rFonts w:asciiTheme="minorHAnsi" w:hAnsiTheme="minorHAnsi"/>
          <w:sz w:val="24"/>
        </w:rPr>
        <w:t>96(14):</w:t>
      </w:r>
      <w:r w:rsidR="00704316">
        <w:rPr>
          <w:rFonts w:asciiTheme="minorHAnsi" w:hAnsiTheme="minorHAnsi"/>
          <w:sz w:val="24"/>
        </w:rPr>
        <w:t xml:space="preserve"> </w:t>
      </w:r>
      <w:r w:rsidRPr="00D22CE2">
        <w:rPr>
          <w:rFonts w:asciiTheme="minorHAnsi" w:hAnsiTheme="minorHAnsi"/>
          <w:sz w:val="24"/>
        </w:rPr>
        <w:t>1083-94.</w:t>
      </w:r>
    </w:p>
    <w:p w14:paraId="427AA443" w14:textId="77777777" w:rsidR="00F37C8E" w:rsidRPr="00D22CE2" w:rsidRDefault="00F37C8E" w:rsidP="001E225F">
      <w:pPr>
        <w:spacing w:line="360" w:lineRule="auto"/>
        <w:outlineLvl w:val="0"/>
        <w:rPr>
          <w:rFonts w:asciiTheme="minorHAnsi" w:hAnsiTheme="minorHAnsi" w:cs="Courier New"/>
          <w:sz w:val="24"/>
        </w:rPr>
      </w:pPr>
    </w:p>
    <w:p w14:paraId="75FC6764" w14:textId="1D2EDF6D" w:rsidR="00F37C8E" w:rsidRPr="00064FDE" w:rsidRDefault="00F37C8E" w:rsidP="001E225F">
      <w:pPr>
        <w:spacing w:line="360" w:lineRule="auto"/>
        <w:outlineLvl w:val="0"/>
        <w:rPr>
          <w:rFonts w:asciiTheme="minorHAnsi" w:hAnsiTheme="minorHAnsi" w:cs="Courier New"/>
          <w:sz w:val="24"/>
          <w:lang w:val="nl-NL"/>
        </w:rPr>
      </w:pPr>
      <w:r w:rsidRPr="00D22CE2">
        <w:rPr>
          <w:rFonts w:asciiTheme="minorHAnsi" w:hAnsiTheme="minorHAnsi" w:cs="Courier New"/>
          <w:sz w:val="24"/>
        </w:rPr>
        <w:t>[</w:t>
      </w:r>
      <w:r>
        <w:rPr>
          <w:rFonts w:asciiTheme="minorHAnsi" w:hAnsiTheme="minorHAnsi" w:cs="Courier New"/>
          <w:sz w:val="24"/>
        </w:rPr>
        <w:t>27</w:t>
      </w:r>
      <w:r w:rsidRPr="00D22CE2">
        <w:rPr>
          <w:rFonts w:asciiTheme="minorHAnsi" w:hAnsiTheme="minorHAnsi" w:cs="Courier New"/>
          <w:sz w:val="24"/>
        </w:rPr>
        <w:t xml:space="preserve">] </w:t>
      </w:r>
      <w:proofErr w:type="spellStart"/>
      <w:r w:rsidRPr="00D22CE2">
        <w:rPr>
          <w:rFonts w:asciiTheme="minorHAnsi" w:hAnsiTheme="minorHAnsi" w:cs="Courier New"/>
          <w:sz w:val="24"/>
        </w:rPr>
        <w:t>Carlsson</w:t>
      </w:r>
      <w:proofErr w:type="spellEnd"/>
      <w:r w:rsidRPr="00D22CE2">
        <w:rPr>
          <w:rFonts w:asciiTheme="minorHAnsi" w:hAnsiTheme="minorHAnsi" w:cs="Courier New"/>
          <w:sz w:val="24"/>
        </w:rPr>
        <w:t xml:space="preserve"> S, </w:t>
      </w:r>
      <w:proofErr w:type="spellStart"/>
      <w:r w:rsidRPr="00D22CE2">
        <w:rPr>
          <w:rFonts w:asciiTheme="minorHAnsi" w:hAnsiTheme="minorHAnsi" w:cs="Courier New"/>
          <w:sz w:val="24"/>
        </w:rPr>
        <w:t>Aus</w:t>
      </w:r>
      <w:proofErr w:type="spellEnd"/>
      <w:r w:rsidRPr="00D22CE2">
        <w:rPr>
          <w:rFonts w:asciiTheme="minorHAnsi" w:hAnsiTheme="minorHAnsi" w:cs="Courier New"/>
          <w:sz w:val="24"/>
        </w:rPr>
        <w:t xml:space="preserve"> G, </w:t>
      </w:r>
      <w:proofErr w:type="spellStart"/>
      <w:r w:rsidRPr="00D22CE2">
        <w:rPr>
          <w:rFonts w:asciiTheme="minorHAnsi" w:hAnsiTheme="minorHAnsi" w:cs="Courier New"/>
          <w:sz w:val="24"/>
        </w:rPr>
        <w:t>Wessman</w:t>
      </w:r>
      <w:proofErr w:type="spellEnd"/>
      <w:r w:rsidRPr="00D22CE2">
        <w:rPr>
          <w:rFonts w:asciiTheme="minorHAnsi" w:hAnsiTheme="minorHAnsi" w:cs="Courier New"/>
          <w:sz w:val="24"/>
        </w:rPr>
        <w:t xml:space="preserve"> C, </w:t>
      </w:r>
      <w:proofErr w:type="spellStart"/>
      <w:r w:rsidRPr="00D22CE2">
        <w:rPr>
          <w:rFonts w:asciiTheme="minorHAnsi" w:hAnsiTheme="minorHAnsi" w:cs="Courier New"/>
          <w:sz w:val="24"/>
        </w:rPr>
        <w:t>Hugosson</w:t>
      </w:r>
      <w:proofErr w:type="spellEnd"/>
      <w:r w:rsidRPr="00D22CE2">
        <w:rPr>
          <w:rFonts w:asciiTheme="minorHAnsi" w:hAnsiTheme="minorHAnsi" w:cs="Courier New"/>
          <w:sz w:val="24"/>
        </w:rPr>
        <w:t xml:space="preserve"> J. Anxiety associated with prostate cancer screening with special reference to men with a positive screening test (elevated PSA) - Results from a prospective, population-based, randomised study. </w:t>
      </w:r>
      <w:r w:rsidRPr="00064FDE">
        <w:rPr>
          <w:rFonts w:asciiTheme="minorHAnsi" w:hAnsiTheme="minorHAnsi" w:cs="Courier New"/>
          <w:i/>
          <w:sz w:val="24"/>
          <w:lang w:val="nl-NL"/>
        </w:rPr>
        <w:t>Eur J Cancer</w:t>
      </w:r>
      <w:r w:rsidRPr="00064FDE">
        <w:rPr>
          <w:rFonts w:asciiTheme="minorHAnsi" w:hAnsiTheme="minorHAnsi" w:cs="Courier New"/>
          <w:sz w:val="24"/>
          <w:lang w:val="nl-NL"/>
        </w:rPr>
        <w:t xml:space="preserve"> 2007</w:t>
      </w:r>
      <w:r w:rsidR="00704316" w:rsidRPr="00064FDE">
        <w:rPr>
          <w:rFonts w:asciiTheme="minorHAnsi" w:hAnsiTheme="minorHAnsi" w:cs="Courier New"/>
          <w:sz w:val="24"/>
          <w:lang w:val="nl-NL"/>
        </w:rPr>
        <w:t>;</w:t>
      </w:r>
      <w:r w:rsidRPr="00064FDE">
        <w:rPr>
          <w:rFonts w:asciiTheme="minorHAnsi" w:hAnsiTheme="minorHAnsi" w:cs="Courier New"/>
          <w:sz w:val="24"/>
          <w:lang w:val="nl-NL"/>
        </w:rPr>
        <w:t xml:space="preserve"> 43(14):</w:t>
      </w:r>
      <w:r w:rsidR="00704316" w:rsidRPr="00064FDE">
        <w:rPr>
          <w:rFonts w:asciiTheme="minorHAnsi" w:hAnsiTheme="minorHAnsi" w:cs="Courier New"/>
          <w:sz w:val="24"/>
          <w:lang w:val="nl-NL"/>
        </w:rPr>
        <w:t xml:space="preserve"> </w:t>
      </w:r>
      <w:r w:rsidRPr="00064FDE">
        <w:rPr>
          <w:rFonts w:asciiTheme="minorHAnsi" w:hAnsiTheme="minorHAnsi" w:cs="Courier New"/>
          <w:sz w:val="24"/>
          <w:lang w:val="nl-NL"/>
        </w:rPr>
        <w:t xml:space="preserve">2109-16. </w:t>
      </w:r>
    </w:p>
    <w:p w14:paraId="6F176B59" w14:textId="77777777" w:rsidR="00F37C8E" w:rsidRPr="00064FDE" w:rsidRDefault="00F37C8E" w:rsidP="001E225F">
      <w:pPr>
        <w:spacing w:line="360" w:lineRule="auto"/>
        <w:outlineLvl w:val="0"/>
        <w:rPr>
          <w:rFonts w:asciiTheme="minorHAnsi" w:hAnsiTheme="minorHAnsi" w:cs="Courier New"/>
          <w:sz w:val="24"/>
          <w:lang w:val="nl-NL"/>
        </w:rPr>
      </w:pPr>
    </w:p>
    <w:p w14:paraId="707E37A1" w14:textId="05A34440" w:rsidR="00F37C8E" w:rsidRPr="00D22CE2" w:rsidRDefault="00F37C8E" w:rsidP="001E225F">
      <w:pPr>
        <w:spacing w:line="360" w:lineRule="auto"/>
        <w:outlineLvl w:val="0"/>
        <w:rPr>
          <w:rFonts w:asciiTheme="minorHAnsi" w:hAnsiTheme="minorHAnsi" w:cs="Courier New"/>
          <w:sz w:val="24"/>
        </w:rPr>
      </w:pPr>
      <w:r w:rsidRPr="00064FDE">
        <w:rPr>
          <w:rFonts w:asciiTheme="minorHAnsi" w:hAnsiTheme="minorHAnsi" w:cs="Courier New"/>
          <w:sz w:val="24"/>
          <w:lang w:val="nl-NL"/>
        </w:rPr>
        <w:t xml:space="preserve">[28] Essink-Bot ML, de Koning HJ, Nijs HGT, Kirkels WJ, van der Maas PJ, Schroder FH. </w:t>
      </w:r>
      <w:proofErr w:type="gramStart"/>
      <w:r w:rsidRPr="00D22CE2">
        <w:rPr>
          <w:rFonts w:asciiTheme="minorHAnsi" w:hAnsiTheme="minorHAnsi" w:cs="Courier New"/>
          <w:sz w:val="24"/>
        </w:rPr>
        <w:t>Short-term effects of population-based screening for prostate cancer on health-related quality of life.</w:t>
      </w:r>
      <w:proofErr w:type="gramEnd"/>
      <w:r w:rsidRPr="00D22CE2">
        <w:rPr>
          <w:rFonts w:asciiTheme="minorHAnsi" w:hAnsiTheme="minorHAnsi" w:cs="Courier New"/>
          <w:sz w:val="24"/>
        </w:rPr>
        <w:t xml:space="preserve"> </w:t>
      </w:r>
      <w:r w:rsidRPr="00614147">
        <w:rPr>
          <w:rFonts w:asciiTheme="minorHAnsi" w:hAnsiTheme="minorHAnsi" w:cs="Courier New"/>
          <w:i/>
          <w:sz w:val="24"/>
        </w:rPr>
        <w:t xml:space="preserve">J </w:t>
      </w:r>
      <w:proofErr w:type="spellStart"/>
      <w:r w:rsidRPr="00614147">
        <w:rPr>
          <w:rFonts w:asciiTheme="minorHAnsi" w:hAnsiTheme="minorHAnsi" w:cs="Courier New"/>
          <w:i/>
          <w:sz w:val="24"/>
        </w:rPr>
        <w:t>Natl</w:t>
      </w:r>
      <w:proofErr w:type="spellEnd"/>
      <w:r w:rsidRPr="00614147">
        <w:rPr>
          <w:rFonts w:asciiTheme="minorHAnsi" w:hAnsiTheme="minorHAnsi" w:cs="Courier New"/>
          <w:i/>
          <w:sz w:val="24"/>
        </w:rPr>
        <w:t xml:space="preserve"> Cancer </w:t>
      </w:r>
      <w:proofErr w:type="spellStart"/>
      <w:r w:rsidRPr="00614147">
        <w:rPr>
          <w:rFonts w:asciiTheme="minorHAnsi" w:hAnsiTheme="minorHAnsi" w:cs="Courier New"/>
          <w:i/>
          <w:sz w:val="24"/>
        </w:rPr>
        <w:t>Inst</w:t>
      </w:r>
      <w:proofErr w:type="spellEnd"/>
      <w:r w:rsidRPr="00D22CE2">
        <w:rPr>
          <w:rFonts w:asciiTheme="minorHAnsi" w:hAnsiTheme="minorHAnsi" w:cs="Courier New"/>
          <w:sz w:val="24"/>
        </w:rPr>
        <w:t xml:space="preserve"> 1998;</w:t>
      </w:r>
      <w:r w:rsidR="00704316">
        <w:rPr>
          <w:rFonts w:asciiTheme="minorHAnsi" w:hAnsiTheme="minorHAnsi" w:cs="Courier New"/>
          <w:sz w:val="24"/>
        </w:rPr>
        <w:t xml:space="preserve"> </w:t>
      </w:r>
      <w:r w:rsidRPr="00D22CE2">
        <w:rPr>
          <w:rFonts w:asciiTheme="minorHAnsi" w:hAnsiTheme="minorHAnsi" w:cs="Courier New"/>
          <w:sz w:val="24"/>
        </w:rPr>
        <w:t>90:</w:t>
      </w:r>
      <w:r w:rsidR="00704316">
        <w:rPr>
          <w:rFonts w:asciiTheme="minorHAnsi" w:hAnsiTheme="minorHAnsi" w:cs="Courier New"/>
          <w:sz w:val="24"/>
        </w:rPr>
        <w:t xml:space="preserve"> </w:t>
      </w:r>
      <w:r w:rsidRPr="00D22CE2">
        <w:rPr>
          <w:rFonts w:asciiTheme="minorHAnsi" w:hAnsiTheme="minorHAnsi" w:cs="Courier New"/>
          <w:sz w:val="24"/>
        </w:rPr>
        <w:t>925–31</w:t>
      </w:r>
    </w:p>
    <w:p w14:paraId="352916E5" w14:textId="77777777" w:rsidR="00F37C8E" w:rsidRPr="00D22CE2" w:rsidRDefault="00F37C8E" w:rsidP="001E225F">
      <w:pPr>
        <w:spacing w:line="360" w:lineRule="auto"/>
        <w:outlineLvl w:val="0"/>
        <w:rPr>
          <w:rFonts w:asciiTheme="minorHAnsi" w:hAnsiTheme="minorHAnsi" w:cs="Courier New"/>
          <w:sz w:val="24"/>
        </w:rPr>
      </w:pPr>
    </w:p>
    <w:p w14:paraId="04602F54" w14:textId="73237CEE" w:rsidR="00427B1F" w:rsidRPr="00D22CE2" w:rsidRDefault="00427B1F" w:rsidP="001E225F">
      <w:pPr>
        <w:spacing w:line="360" w:lineRule="auto"/>
        <w:outlineLvl w:val="0"/>
        <w:rPr>
          <w:rFonts w:asciiTheme="minorHAnsi" w:hAnsiTheme="minorHAnsi" w:cs="Courier New"/>
          <w:sz w:val="24"/>
        </w:rPr>
      </w:pPr>
      <w:r w:rsidRPr="00D22CE2">
        <w:rPr>
          <w:rFonts w:asciiTheme="minorHAnsi" w:hAnsiTheme="minorHAnsi" w:cs="Courier New"/>
          <w:sz w:val="24"/>
        </w:rPr>
        <w:t>[</w:t>
      </w:r>
      <w:r w:rsidR="00E66C47">
        <w:rPr>
          <w:rFonts w:asciiTheme="minorHAnsi" w:hAnsiTheme="minorHAnsi" w:cs="Courier New"/>
          <w:sz w:val="24"/>
        </w:rPr>
        <w:t>2</w:t>
      </w:r>
      <w:r w:rsidRPr="00D22CE2">
        <w:rPr>
          <w:rFonts w:asciiTheme="minorHAnsi" w:hAnsiTheme="minorHAnsi" w:cs="Courier New"/>
          <w:sz w:val="24"/>
        </w:rPr>
        <w:t xml:space="preserve">9] </w:t>
      </w:r>
      <w:proofErr w:type="spellStart"/>
      <w:r w:rsidRPr="00D22CE2">
        <w:rPr>
          <w:rFonts w:asciiTheme="minorHAnsi" w:hAnsiTheme="minorHAnsi" w:cs="Courier New"/>
          <w:sz w:val="24"/>
        </w:rPr>
        <w:t>Zigmund</w:t>
      </w:r>
      <w:proofErr w:type="spellEnd"/>
      <w:r w:rsidRPr="00D22CE2">
        <w:rPr>
          <w:rFonts w:asciiTheme="minorHAnsi" w:hAnsiTheme="minorHAnsi" w:cs="Courier New"/>
          <w:sz w:val="24"/>
        </w:rPr>
        <w:t xml:space="preserve"> AS, </w:t>
      </w:r>
      <w:proofErr w:type="spellStart"/>
      <w:r w:rsidRPr="00D22CE2">
        <w:rPr>
          <w:rFonts w:asciiTheme="minorHAnsi" w:hAnsiTheme="minorHAnsi" w:cs="Courier New"/>
          <w:sz w:val="24"/>
        </w:rPr>
        <w:t>Snaith</w:t>
      </w:r>
      <w:proofErr w:type="spellEnd"/>
      <w:r w:rsidRPr="00D22CE2">
        <w:rPr>
          <w:rFonts w:asciiTheme="minorHAnsi" w:hAnsiTheme="minorHAnsi" w:cs="Courier New"/>
          <w:sz w:val="24"/>
        </w:rPr>
        <w:t xml:space="preserve"> RP. </w:t>
      </w:r>
      <w:proofErr w:type="gramStart"/>
      <w:r w:rsidRPr="00D22CE2">
        <w:rPr>
          <w:rFonts w:asciiTheme="minorHAnsi" w:hAnsiTheme="minorHAnsi" w:cs="Courier New"/>
          <w:sz w:val="24"/>
        </w:rPr>
        <w:t>The Hospital Anxiety and Depression Scale.</w:t>
      </w:r>
      <w:proofErr w:type="gramEnd"/>
      <w:r w:rsidRPr="00D22CE2">
        <w:rPr>
          <w:rFonts w:asciiTheme="minorHAnsi" w:hAnsiTheme="minorHAnsi" w:cs="Courier New"/>
          <w:sz w:val="24"/>
        </w:rPr>
        <w:t xml:space="preserve"> </w:t>
      </w:r>
      <w:proofErr w:type="spellStart"/>
      <w:proofErr w:type="gramStart"/>
      <w:r w:rsidRPr="00614147">
        <w:rPr>
          <w:rFonts w:asciiTheme="minorHAnsi" w:hAnsiTheme="minorHAnsi" w:cs="Courier New"/>
          <w:i/>
          <w:sz w:val="24"/>
        </w:rPr>
        <w:t>Acta</w:t>
      </w:r>
      <w:proofErr w:type="spellEnd"/>
      <w:r w:rsidRPr="00614147">
        <w:rPr>
          <w:rFonts w:asciiTheme="minorHAnsi" w:hAnsiTheme="minorHAnsi" w:cs="Courier New"/>
          <w:i/>
          <w:sz w:val="24"/>
        </w:rPr>
        <w:t xml:space="preserve"> </w:t>
      </w:r>
      <w:proofErr w:type="spellStart"/>
      <w:r w:rsidRPr="00614147">
        <w:rPr>
          <w:rFonts w:asciiTheme="minorHAnsi" w:hAnsiTheme="minorHAnsi" w:cs="Courier New"/>
          <w:i/>
          <w:sz w:val="24"/>
        </w:rPr>
        <w:t>Psychiatrica</w:t>
      </w:r>
      <w:proofErr w:type="spellEnd"/>
      <w:r w:rsidRPr="00614147">
        <w:rPr>
          <w:rFonts w:asciiTheme="minorHAnsi" w:hAnsiTheme="minorHAnsi" w:cs="Courier New"/>
          <w:i/>
          <w:sz w:val="24"/>
        </w:rPr>
        <w:t xml:space="preserve"> Scandinavia</w:t>
      </w:r>
      <w:r w:rsidRPr="00D22CE2">
        <w:rPr>
          <w:rFonts w:asciiTheme="minorHAnsi" w:hAnsiTheme="minorHAnsi" w:cs="Courier New"/>
          <w:sz w:val="24"/>
        </w:rPr>
        <w:t xml:space="preserve"> 1983;</w:t>
      </w:r>
      <w:r w:rsidR="00704316">
        <w:rPr>
          <w:rFonts w:asciiTheme="minorHAnsi" w:hAnsiTheme="minorHAnsi" w:cs="Courier New"/>
          <w:sz w:val="24"/>
        </w:rPr>
        <w:t xml:space="preserve"> </w:t>
      </w:r>
      <w:r w:rsidRPr="00D22CE2">
        <w:rPr>
          <w:rFonts w:asciiTheme="minorHAnsi" w:hAnsiTheme="minorHAnsi" w:cs="Courier New"/>
          <w:sz w:val="24"/>
        </w:rPr>
        <w:t>67:</w:t>
      </w:r>
      <w:r w:rsidR="00704316">
        <w:rPr>
          <w:rFonts w:asciiTheme="minorHAnsi" w:hAnsiTheme="minorHAnsi" w:cs="Courier New"/>
          <w:sz w:val="24"/>
        </w:rPr>
        <w:t xml:space="preserve"> </w:t>
      </w:r>
      <w:r w:rsidRPr="00D22CE2">
        <w:rPr>
          <w:rFonts w:asciiTheme="minorHAnsi" w:hAnsiTheme="minorHAnsi" w:cs="Courier New"/>
          <w:sz w:val="24"/>
        </w:rPr>
        <w:t>361–370.</w:t>
      </w:r>
      <w:proofErr w:type="gramEnd"/>
    </w:p>
    <w:p w14:paraId="79045EB6" w14:textId="77777777" w:rsidR="00427B1F" w:rsidRPr="00D22CE2" w:rsidRDefault="00427B1F" w:rsidP="001E225F">
      <w:pPr>
        <w:spacing w:line="360" w:lineRule="auto"/>
        <w:outlineLvl w:val="0"/>
        <w:rPr>
          <w:rFonts w:asciiTheme="minorHAnsi" w:hAnsiTheme="minorHAnsi" w:cs="Courier New"/>
          <w:sz w:val="24"/>
        </w:rPr>
      </w:pPr>
    </w:p>
    <w:p w14:paraId="37B26AF9" w14:textId="2A3E07CE" w:rsidR="00427B1F" w:rsidRPr="00D22CE2" w:rsidRDefault="00427B1F" w:rsidP="001E225F">
      <w:pPr>
        <w:spacing w:line="360" w:lineRule="auto"/>
        <w:outlineLvl w:val="0"/>
        <w:rPr>
          <w:rFonts w:asciiTheme="minorHAnsi" w:hAnsiTheme="minorHAnsi" w:cs="Courier New"/>
          <w:sz w:val="24"/>
        </w:rPr>
      </w:pPr>
      <w:r w:rsidRPr="00D22CE2">
        <w:rPr>
          <w:rFonts w:asciiTheme="minorHAnsi" w:hAnsiTheme="minorHAnsi" w:cs="Courier New"/>
          <w:sz w:val="24"/>
        </w:rPr>
        <w:t>[</w:t>
      </w:r>
      <w:r w:rsidR="00E66C47">
        <w:rPr>
          <w:rFonts w:asciiTheme="minorHAnsi" w:hAnsiTheme="minorHAnsi" w:cs="Courier New"/>
          <w:sz w:val="24"/>
        </w:rPr>
        <w:t>3</w:t>
      </w:r>
      <w:r w:rsidRPr="00D22CE2">
        <w:rPr>
          <w:rFonts w:asciiTheme="minorHAnsi" w:hAnsiTheme="minorHAnsi" w:cs="Courier New"/>
          <w:sz w:val="24"/>
        </w:rPr>
        <w:t xml:space="preserve">0] Horowitz M. Stress response syndromes and their treatment. In Goldberger L. &amp; </w:t>
      </w:r>
      <w:proofErr w:type="spellStart"/>
      <w:r w:rsidRPr="00D22CE2">
        <w:rPr>
          <w:rFonts w:asciiTheme="minorHAnsi" w:hAnsiTheme="minorHAnsi" w:cs="Courier New"/>
          <w:sz w:val="24"/>
        </w:rPr>
        <w:t>Breznitz</w:t>
      </w:r>
      <w:proofErr w:type="spellEnd"/>
      <w:r w:rsidRPr="00D22CE2">
        <w:rPr>
          <w:rFonts w:asciiTheme="minorHAnsi" w:hAnsiTheme="minorHAnsi" w:cs="Courier New"/>
          <w:sz w:val="24"/>
        </w:rPr>
        <w:t xml:space="preserve"> S. (</w:t>
      </w:r>
      <w:proofErr w:type="spellStart"/>
      <w:r w:rsidRPr="00D22CE2">
        <w:rPr>
          <w:rFonts w:asciiTheme="minorHAnsi" w:hAnsiTheme="minorHAnsi" w:cs="Courier New"/>
          <w:sz w:val="24"/>
        </w:rPr>
        <w:t>Eds</w:t>
      </w:r>
      <w:proofErr w:type="spellEnd"/>
      <w:r w:rsidRPr="00D22CE2">
        <w:rPr>
          <w:rFonts w:asciiTheme="minorHAnsi" w:hAnsiTheme="minorHAnsi" w:cs="Courier New"/>
          <w:sz w:val="24"/>
        </w:rPr>
        <w:t>) Handbook of stress: Theoretical and clinical aspects pp.711–732. New York: Free Press</w:t>
      </w:r>
      <w:r w:rsidR="00704316">
        <w:rPr>
          <w:rFonts w:asciiTheme="minorHAnsi" w:hAnsiTheme="minorHAnsi" w:cs="Courier New"/>
          <w:sz w:val="24"/>
        </w:rPr>
        <w:t xml:space="preserve"> 1982</w:t>
      </w:r>
      <w:r w:rsidRPr="00D22CE2">
        <w:rPr>
          <w:rFonts w:asciiTheme="minorHAnsi" w:hAnsiTheme="minorHAnsi" w:cs="Courier New"/>
          <w:sz w:val="24"/>
        </w:rPr>
        <w:t>.</w:t>
      </w:r>
    </w:p>
    <w:p w14:paraId="52BE99DD" w14:textId="77777777" w:rsidR="00427B1F" w:rsidRPr="00D22CE2" w:rsidRDefault="00427B1F" w:rsidP="001E225F">
      <w:pPr>
        <w:spacing w:line="360" w:lineRule="auto"/>
        <w:outlineLvl w:val="0"/>
        <w:rPr>
          <w:rFonts w:asciiTheme="minorHAnsi" w:hAnsiTheme="minorHAnsi" w:cs="Courier New"/>
          <w:sz w:val="24"/>
        </w:rPr>
      </w:pPr>
    </w:p>
    <w:p w14:paraId="75219118" w14:textId="22F57B07" w:rsidR="00427B1F" w:rsidRPr="00D22CE2" w:rsidRDefault="00427B1F" w:rsidP="001E225F">
      <w:pPr>
        <w:spacing w:line="360" w:lineRule="auto"/>
        <w:outlineLvl w:val="0"/>
        <w:rPr>
          <w:rFonts w:asciiTheme="minorHAnsi" w:hAnsiTheme="minorHAnsi" w:cs="Courier New"/>
          <w:sz w:val="24"/>
        </w:rPr>
      </w:pPr>
      <w:r w:rsidRPr="00D22CE2">
        <w:rPr>
          <w:rFonts w:asciiTheme="minorHAnsi" w:hAnsiTheme="minorHAnsi" w:cs="Courier New"/>
          <w:sz w:val="24"/>
        </w:rPr>
        <w:lastRenderedPageBreak/>
        <w:t>[</w:t>
      </w:r>
      <w:r w:rsidR="00E66C47">
        <w:rPr>
          <w:rFonts w:asciiTheme="minorHAnsi" w:hAnsiTheme="minorHAnsi" w:cs="Courier New"/>
          <w:sz w:val="24"/>
        </w:rPr>
        <w:t>3</w:t>
      </w:r>
      <w:r w:rsidR="006C5C73">
        <w:rPr>
          <w:rFonts w:asciiTheme="minorHAnsi" w:hAnsiTheme="minorHAnsi" w:cs="Courier New"/>
          <w:sz w:val="24"/>
        </w:rPr>
        <w:t>1</w:t>
      </w:r>
      <w:r w:rsidRPr="00D22CE2">
        <w:rPr>
          <w:rFonts w:asciiTheme="minorHAnsi" w:hAnsiTheme="minorHAnsi" w:cs="Courier New"/>
          <w:sz w:val="24"/>
        </w:rPr>
        <w:t xml:space="preserve">] </w:t>
      </w:r>
      <w:proofErr w:type="spellStart"/>
      <w:r w:rsidR="00A81CD8" w:rsidRPr="00A81CD8">
        <w:rPr>
          <w:rFonts w:asciiTheme="minorHAnsi" w:hAnsiTheme="minorHAnsi" w:cs="Courier New"/>
          <w:sz w:val="24"/>
        </w:rPr>
        <w:t>Lerman</w:t>
      </w:r>
      <w:proofErr w:type="spellEnd"/>
      <w:r w:rsidR="00A81CD8" w:rsidRPr="00A81CD8">
        <w:rPr>
          <w:rFonts w:asciiTheme="minorHAnsi" w:hAnsiTheme="minorHAnsi" w:cs="Courier New"/>
          <w:sz w:val="24"/>
        </w:rPr>
        <w:t xml:space="preserve"> C, </w:t>
      </w:r>
      <w:proofErr w:type="spellStart"/>
      <w:r w:rsidR="00A81CD8" w:rsidRPr="00A81CD8">
        <w:rPr>
          <w:rFonts w:asciiTheme="minorHAnsi" w:hAnsiTheme="minorHAnsi" w:cs="Courier New"/>
          <w:sz w:val="24"/>
        </w:rPr>
        <w:t>Trock</w:t>
      </w:r>
      <w:proofErr w:type="spellEnd"/>
      <w:r w:rsidR="00A81CD8" w:rsidRPr="00A81CD8">
        <w:rPr>
          <w:rFonts w:asciiTheme="minorHAnsi" w:hAnsiTheme="minorHAnsi" w:cs="Courier New"/>
          <w:sz w:val="24"/>
        </w:rPr>
        <w:t xml:space="preserve"> B, </w:t>
      </w:r>
      <w:proofErr w:type="spellStart"/>
      <w:r w:rsidR="00A81CD8" w:rsidRPr="00A81CD8">
        <w:rPr>
          <w:rFonts w:asciiTheme="minorHAnsi" w:hAnsiTheme="minorHAnsi" w:cs="Courier New"/>
          <w:sz w:val="24"/>
        </w:rPr>
        <w:t>Rimer</w:t>
      </w:r>
      <w:proofErr w:type="spellEnd"/>
      <w:r w:rsidR="00A81CD8" w:rsidRPr="00A81CD8">
        <w:rPr>
          <w:rFonts w:asciiTheme="minorHAnsi" w:hAnsiTheme="minorHAnsi" w:cs="Courier New"/>
          <w:sz w:val="24"/>
        </w:rPr>
        <w:t xml:space="preserve"> BK, Boyce A, Jepson C, </w:t>
      </w:r>
      <w:proofErr w:type="spellStart"/>
      <w:r w:rsidR="00A81CD8" w:rsidRPr="00A81CD8">
        <w:rPr>
          <w:rFonts w:asciiTheme="minorHAnsi" w:hAnsiTheme="minorHAnsi" w:cs="Courier New"/>
          <w:sz w:val="24"/>
        </w:rPr>
        <w:t>Engstrom</w:t>
      </w:r>
      <w:proofErr w:type="spellEnd"/>
      <w:r w:rsidR="00A81CD8" w:rsidRPr="00A81CD8">
        <w:rPr>
          <w:rFonts w:asciiTheme="minorHAnsi" w:hAnsiTheme="minorHAnsi" w:cs="Courier New"/>
          <w:sz w:val="24"/>
        </w:rPr>
        <w:t xml:space="preserve"> PF.</w:t>
      </w:r>
      <w:r w:rsidR="00A81CD8" w:rsidRPr="00A81CD8" w:rsidDel="00A81CD8">
        <w:rPr>
          <w:rFonts w:asciiTheme="minorHAnsi" w:hAnsiTheme="minorHAnsi" w:cs="Courier New"/>
          <w:sz w:val="24"/>
        </w:rPr>
        <w:t xml:space="preserve"> </w:t>
      </w:r>
      <w:r w:rsidRPr="00D22CE2">
        <w:rPr>
          <w:rFonts w:asciiTheme="minorHAnsi" w:hAnsiTheme="minorHAnsi" w:cs="Courier New"/>
          <w:sz w:val="24"/>
        </w:rPr>
        <w:t xml:space="preserve">Psychological and behavioural implications of abnormal mammograms. </w:t>
      </w:r>
      <w:r w:rsidRPr="00614147">
        <w:rPr>
          <w:rFonts w:asciiTheme="minorHAnsi" w:hAnsiTheme="minorHAnsi" w:cs="Courier New"/>
          <w:i/>
          <w:sz w:val="24"/>
        </w:rPr>
        <w:t>Ann Intern Med</w:t>
      </w:r>
      <w:r w:rsidRPr="00D22CE2">
        <w:rPr>
          <w:rFonts w:asciiTheme="minorHAnsi" w:hAnsiTheme="minorHAnsi" w:cs="Courier New"/>
          <w:sz w:val="24"/>
        </w:rPr>
        <w:t xml:space="preserve"> 1991;</w:t>
      </w:r>
      <w:r w:rsidR="00704316">
        <w:rPr>
          <w:rFonts w:asciiTheme="minorHAnsi" w:hAnsiTheme="minorHAnsi" w:cs="Courier New"/>
          <w:sz w:val="24"/>
        </w:rPr>
        <w:t xml:space="preserve"> </w:t>
      </w:r>
      <w:r w:rsidRPr="00D22CE2">
        <w:rPr>
          <w:rFonts w:asciiTheme="minorHAnsi" w:hAnsiTheme="minorHAnsi" w:cs="Courier New"/>
          <w:sz w:val="24"/>
        </w:rPr>
        <w:t>114:</w:t>
      </w:r>
      <w:r w:rsidR="00704316">
        <w:rPr>
          <w:rFonts w:asciiTheme="minorHAnsi" w:hAnsiTheme="minorHAnsi" w:cs="Courier New"/>
          <w:sz w:val="24"/>
        </w:rPr>
        <w:t xml:space="preserve"> </w:t>
      </w:r>
      <w:r w:rsidRPr="00D22CE2">
        <w:rPr>
          <w:rFonts w:asciiTheme="minorHAnsi" w:hAnsiTheme="minorHAnsi" w:cs="Courier New"/>
          <w:sz w:val="24"/>
        </w:rPr>
        <w:t>657–661.</w:t>
      </w:r>
    </w:p>
    <w:p w14:paraId="23C82F72" w14:textId="77777777" w:rsidR="00427B1F" w:rsidRPr="00D22CE2" w:rsidRDefault="00427B1F" w:rsidP="001E225F">
      <w:pPr>
        <w:spacing w:line="360" w:lineRule="auto"/>
        <w:outlineLvl w:val="0"/>
        <w:rPr>
          <w:rFonts w:asciiTheme="minorHAnsi" w:hAnsiTheme="minorHAnsi" w:cs="Courier New"/>
          <w:sz w:val="24"/>
        </w:rPr>
      </w:pPr>
    </w:p>
    <w:p w14:paraId="51D0E747" w14:textId="0DF70809" w:rsidR="00427B1F" w:rsidRPr="00D22CE2" w:rsidRDefault="00427B1F" w:rsidP="001E225F">
      <w:pPr>
        <w:spacing w:line="360" w:lineRule="auto"/>
        <w:outlineLvl w:val="0"/>
        <w:rPr>
          <w:rFonts w:asciiTheme="minorHAnsi" w:hAnsiTheme="minorHAnsi" w:cs="Courier New"/>
          <w:sz w:val="24"/>
        </w:rPr>
      </w:pPr>
      <w:r w:rsidRPr="00064FDE">
        <w:rPr>
          <w:rFonts w:asciiTheme="minorHAnsi" w:hAnsiTheme="minorHAnsi" w:cs="Courier New"/>
          <w:sz w:val="24"/>
          <w:lang w:val="nl-NL"/>
        </w:rPr>
        <w:t>[</w:t>
      </w:r>
      <w:r w:rsidR="00E66C47" w:rsidRPr="00064FDE">
        <w:rPr>
          <w:rFonts w:asciiTheme="minorHAnsi" w:hAnsiTheme="minorHAnsi" w:cs="Courier New"/>
          <w:sz w:val="24"/>
          <w:lang w:val="nl-NL"/>
        </w:rPr>
        <w:t>3</w:t>
      </w:r>
      <w:r w:rsidR="006C5C73" w:rsidRPr="00064FDE">
        <w:rPr>
          <w:rFonts w:asciiTheme="minorHAnsi" w:hAnsiTheme="minorHAnsi" w:cs="Courier New"/>
          <w:sz w:val="24"/>
          <w:lang w:val="nl-NL"/>
        </w:rPr>
        <w:t>2</w:t>
      </w:r>
      <w:r w:rsidRPr="00064FDE">
        <w:rPr>
          <w:rFonts w:asciiTheme="minorHAnsi" w:hAnsiTheme="minorHAnsi" w:cs="Courier New"/>
          <w:sz w:val="24"/>
          <w:lang w:val="nl-NL"/>
        </w:rPr>
        <w:t xml:space="preserve">] Watson M, Lloyd S, Davidson J, et al. </w:t>
      </w:r>
      <w:proofErr w:type="gramStart"/>
      <w:r w:rsidRPr="00D22CE2">
        <w:rPr>
          <w:rFonts w:asciiTheme="minorHAnsi" w:hAnsiTheme="minorHAnsi" w:cs="Courier New"/>
          <w:sz w:val="24"/>
        </w:rPr>
        <w:t>The impact of genetic counselling on risk perception and mental health in women with a family history of breast cancer.</w:t>
      </w:r>
      <w:proofErr w:type="gramEnd"/>
      <w:r w:rsidRPr="00D22CE2">
        <w:rPr>
          <w:rFonts w:asciiTheme="minorHAnsi" w:hAnsiTheme="minorHAnsi" w:cs="Courier New"/>
          <w:sz w:val="24"/>
        </w:rPr>
        <w:t xml:space="preserve"> </w:t>
      </w:r>
      <w:proofErr w:type="gramStart"/>
      <w:r w:rsidRPr="00614147">
        <w:rPr>
          <w:rFonts w:asciiTheme="minorHAnsi" w:hAnsiTheme="minorHAnsi" w:cs="Courier New"/>
          <w:i/>
          <w:sz w:val="24"/>
        </w:rPr>
        <w:t>Br J Cancer</w:t>
      </w:r>
      <w:r w:rsidRPr="00D22CE2">
        <w:rPr>
          <w:rFonts w:asciiTheme="minorHAnsi" w:hAnsiTheme="minorHAnsi" w:cs="Courier New"/>
          <w:sz w:val="24"/>
        </w:rPr>
        <w:t xml:space="preserve"> 1999;</w:t>
      </w:r>
      <w:r w:rsidR="00704316">
        <w:rPr>
          <w:rFonts w:asciiTheme="minorHAnsi" w:hAnsiTheme="minorHAnsi" w:cs="Courier New"/>
          <w:sz w:val="24"/>
        </w:rPr>
        <w:t xml:space="preserve"> </w:t>
      </w:r>
      <w:r w:rsidRPr="00D22CE2">
        <w:rPr>
          <w:rFonts w:asciiTheme="minorHAnsi" w:hAnsiTheme="minorHAnsi" w:cs="Courier New"/>
          <w:sz w:val="24"/>
        </w:rPr>
        <w:t>79:</w:t>
      </w:r>
      <w:r w:rsidR="00704316">
        <w:rPr>
          <w:rFonts w:asciiTheme="minorHAnsi" w:hAnsiTheme="minorHAnsi" w:cs="Courier New"/>
          <w:sz w:val="24"/>
        </w:rPr>
        <w:t xml:space="preserve"> </w:t>
      </w:r>
      <w:r w:rsidRPr="00D22CE2">
        <w:rPr>
          <w:rFonts w:asciiTheme="minorHAnsi" w:hAnsiTheme="minorHAnsi" w:cs="Courier New"/>
          <w:sz w:val="24"/>
        </w:rPr>
        <w:t>868–874.</w:t>
      </w:r>
      <w:proofErr w:type="gramEnd"/>
    </w:p>
    <w:p w14:paraId="564577D7" w14:textId="77777777" w:rsidR="00427B1F" w:rsidRPr="00D22CE2" w:rsidRDefault="00427B1F" w:rsidP="001E225F">
      <w:pPr>
        <w:spacing w:line="360" w:lineRule="auto"/>
        <w:outlineLvl w:val="0"/>
        <w:rPr>
          <w:rFonts w:asciiTheme="minorHAnsi" w:hAnsiTheme="minorHAnsi" w:cs="Courier New"/>
          <w:sz w:val="24"/>
        </w:rPr>
      </w:pPr>
    </w:p>
    <w:p w14:paraId="42136645" w14:textId="6DE7DB2D" w:rsidR="00427B1F" w:rsidRPr="00D22CE2" w:rsidRDefault="00427B1F" w:rsidP="001E225F">
      <w:pPr>
        <w:spacing w:line="360" w:lineRule="auto"/>
        <w:outlineLvl w:val="0"/>
        <w:rPr>
          <w:rFonts w:asciiTheme="minorHAnsi" w:hAnsiTheme="minorHAnsi" w:cs="Courier New"/>
          <w:sz w:val="24"/>
        </w:rPr>
      </w:pPr>
      <w:r w:rsidRPr="00D22CE2">
        <w:rPr>
          <w:rFonts w:asciiTheme="minorHAnsi" w:hAnsiTheme="minorHAnsi" w:cs="Courier New"/>
          <w:sz w:val="24"/>
        </w:rPr>
        <w:t>[</w:t>
      </w:r>
      <w:r w:rsidR="00E66C47">
        <w:rPr>
          <w:rFonts w:asciiTheme="minorHAnsi" w:hAnsiTheme="minorHAnsi" w:cs="Courier New"/>
          <w:sz w:val="24"/>
        </w:rPr>
        <w:t>3</w:t>
      </w:r>
      <w:r w:rsidR="006C5C73">
        <w:rPr>
          <w:rFonts w:asciiTheme="minorHAnsi" w:hAnsiTheme="minorHAnsi" w:cs="Courier New"/>
          <w:sz w:val="24"/>
        </w:rPr>
        <w:t>3</w:t>
      </w:r>
      <w:r w:rsidRPr="00D22CE2">
        <w:rPr>
          <w:rFonts w:asciiTheme="minorHAnsi" w:hAnsiTheme="minorHAnsi" w:cs="Courier New"/>
          <w:sz w:val="24"/>
        </w:rPr>
        <w:t xml:space="preserve">] Dale W, </w:t>
      </w:r>
      <w:proofErr w:type="spellStart"/>
      <w:r w:rsidRPr="00D22CE2">
        <w:rPr>
          <w:rFonts w:asciiTheme="minorHAnsi" w:hAnsiTheme="minorHAnsi" w:cs="Courier New"/>
          <w:sz w:val="24"/>
        </w:rPr>
        <w:t>Hemmerich</w:t>
      </w:r>
      <w:proofErr w:type="spellEnd"/>
      <w:r w:rsidRPr="00D22CE2">
        <w:rPr>
          <w:rFonts w:asciiTheme="minorHAnsi" w:hAnsiTheme="minorHAnsi" w:cs="Courier New"/>
          <w:sz w:val="24"/>
        </w:rPr>
        <w:t xml:space="preserve"> J, Meltzer D. Extending the validity of the Memorial Anxiety Scale for Prostate Cancer (MAX-PC) at the time of prostate biopsy in a racially-mixed population. </w:t>
      </w:r>
      <w:proofErr w:type="spellStart"/>
      <w:r w:rsidRPr="00614147">
        <w:rPr>
          <w:rFonts w:asciiTheme="minorHAnsi" w:hAnsiTheme="minorHAnsi" w:cs="Courier New"/>
          <w:i/>
          <w:sz w:val="24"/>
        </w:rPr>
        <w:t>Psychooncology</w:t>
      </w:r>
      <w:proofErr w:type="spellEnd"/>
      <w:r w:rsidR="00704316">
        <w:rPr>
          <w:rFonts w:asciiTheme="minorHAnsi" w:hAnsiTheme="minorHAnsi" w:cs="Courier New"/>
          <w:sz w:val="24"/>
        </w:rPr>
        <w:t xml:space="preserve"> 2007;</w:t>
      </w:r>
      <w:r w:rsidRPr="00D22CE2">
        <w:rPr>
          <w:rFonts w:asciiTheme="minorHAnsi" w:hAnsiTheme="minorHAnsi" w:cs="Courier New"/>
          <w:sz w:val="24"/>
        </w:rPr>
        <w:t xml:space="preserve"> 16(5):</w:t>
      </w:r>
      <w:r w:rsidR="00704316">
        <w:rPr>
          <w:rFonts w:asciiTheme="minorHAnsi" w:hAnsiTheme="minorHAnsi" w:cs="Courier New"/>
          <w:sz w:val="24"/>
        </w:rPr>
        <w:t xml:space="preserve"> </w:t>
      </w:r>
      <w:r w:rsidRPr="00D22CE2">
        <w:rPr>
          <w:rFonts w:asciiTheme="minorHAnsi" w:hAnsiTheme="minorHAnsi" w:cs="Courier New"/>
          <w:sz w:val="24"/>
        </w:rPr>
        <w:t>493-8.</w:t>
      </w:r>
    </w:p>
    <w:p w14:paraId="7D4745DF" w14:textId="77777777" w:rsidR="00427B1F" w:rsidRPr="00D22CE2" w:rsidRDefault="00427B1F" w:rsidP="001E225F">
      <w:pPr>
        <w:spacing w:line="360" w:lineRule="auto"/>
        <w:outlineLvl w:val="0"/>
        <w:rPr>
          <w:rFonts w:asciiTheme="minorHAnsi" w:hAnsiTheme="minorHAnsi" w:cs="Courier New"/>
          <w:sz w:val="24"/>
        </w:rPr>
      </w:pPr>
    </w:p>
    <w:p w14:paraId="32506FED" w14:textId="37F1DD5F" w:rsidR="00427B1F" w:rsidRPr="00D22CE2" w:rsidRDefault="00427B1F" w:rsidP="001E225F">
      <w:pPr>
        <w:spacing w:line="360" w:lineRule="auto"/>
        <w:outlineLvl w:val="0"/>
        <w:rPr>
          <w:rFonts w:asciiTheme="minorHAnsi" w:hAnsiTheme="minorHAnsi" w:cs="Courier New"/>
          <w:sz w:val="24"/>
        </w:rPr>
      </w:pPr>
      <w:r w:rsidRPr="00D22CE2">
        <w:rPr>
          <w:rFonts w:asciiTheme="minorHAnsi" w:hAnsiTheme="minorHAnsi" w:cs="Courier New"/>
          <w:sz w:val="24"/>
        </w:rPr>
        <w:t>[</w:t>
      </w:r>
      <w:r w:rsidR="00E66C47">
        <w:rPr>
          <w:rFonts w:asciiTheme="minorHAnsi" w:hAnsiTheme="minorHAnsi" w:cs="Courier New"/>
          <w:sz w:val="24"/>
        </w:rPr>
        <w:t>3</w:t>
      </w:r>
      <w:r w:rsidR="006C5C73">
        <w:rPr>
          <w:rFonts w:asciiTheme="minorHAnsi" w:hAnsiTheme="minorHAnsi" w:cs="Courier New"/>
          <w:sz w:val="24"/>
        </w:rPr>
        <w:t>4</w:t>
      </w:r>
      <w:r w:rsidRPr="00D22CE2">
        <w:rPr>
          <w:rFonts w:asciiTheme="minorHAnsi" w:hAnsiTheme="minorHAnsi" w:cs="Courier New"/>
          <w:sz w:val="24"/>
        </w:rPr>
        <w:t xml:space="preserve">] </w:t>
      </w:r>
      <w:proofErr w:type="spellStart"/>
      <w:r w:rsidRPr="00D22CE2">
        <w:rPr>
          <w:rFonts w:asciiTheme="minorHAnsi" w:hAnsiTheme="minorHAnsi" w:cs="Courier New"/>
          <w:sz w:val="24"/>
        </w:rPr>
        <w:t>Jenkinson</w:t>
      </w:r>
      <w:proofErr w:type="spellEnd"/>
      <w:r w:rsidRPr="00D22CE2">
        <w:rPr>
          <w:rFonts w:asciiTheme="minorHAnsi" w:hAnsiTheme="minorHAnsi" w:cs="Courier New"/>
          <w:sz w:val="24"/>
        </w:rPr>
        <w:t xml:space="preserve"> C, Stewart-Brown S, Petersen S, </w:t>
      </w:r>
      <w:proofErr w:type="spellStart"/>
      <w:r w:rsidRPr="00D22CE2">
        <w:rPr>
          <w:rFonts w:asciiTheme="minorHAnsi" w:hAnsiTheme="minorHAnsi" w:cs="Courier New"/>
          <w:sz w:val="24"/>
        </w:rPr>
        <w:t>Paice</w:t>
      </w:r>
      <w:proofErr w:type="spellEnd"/>
      <w:r w:rsidRPr="00D22CE2">
        <w:rPr>
          <w:rFonts w:asciiTheme="minorHAnsi" w:hAnsiTheme="minorHAnsi" w:cs="Courier New"/>
          <w:sz w:val="24"/>
        </w:rPr>
        <w:t xml:space="preserve"> C. </w:t>
      </w:r>
      <w:r w:rsidR="00704316">
        <w:rPr>
          <w:rFonts w:asciiTheme="minorHAnsi" w:hAnsiTheme="minorHAnsi" w:cs="Courier New"/>
          <w:sz w:val="24"/>
        </w:rPr>
        <w:t xml:space="preserve"> </w:t>
      </w:r>
      <w:proofErr w:type="gramStart"/>
      <w:r w:rsidRPr="00D22CE2">
        <w:rPr>
          <w:rFonts w:asciiTheme="minorHAnsi" w:hAnsiTheme="minorHAnsi" w:cs="Courier New"/>
          <w:sz w:val="24"/>
        </w:rPr>
        <w:t>Assessment of the SF-36 version 2 in the United Kingdom.</w:t>
      </w:r>
      <w:proofErr w:type="gramEnd"/>
      <w:r w:rsidRPr="00D22CE2">
        <w:rPr>
          <w:rFonts w:asciiTheme="minorHAnsi" w:hAnsiTheme="minorHAnsi" w:cs="Courier New"/>
          <w:sz w:val="24"/>
        </w:rPr>
        <w:t xml:space="preserve"> J </w:t>
      </w:r>
      <w:proofErr w:type="spellStart"/>
      <w:r w:rsidRPr="00D22CE2">
        <w:rPr>
          <w:rFonts w:asciiTheme="minorHAnsi" w:hAnsiTheme="minorHAnsi" w:cs="Courier New"/>
          <w:sz w:val="24"/>
        </w:rPr>
        <w:t>Epidemiol</w:t>
      </w:r>
      <w:proofErr w:type="spellEnd"/>
      <w:r w:rsidRPr="00D22CE2">
        <w:rPr>
          <w:rFonts w:asciiTheme="minorHAnsi" w:hAnsiTheme="minorHAnsi" w:cs="Courier New"/>
          <w:sz w:val="24"/>
        </w:rPr>
        <w:t xml:space="preserve"> Community Health</w:t>
      </w:r>
      <w:r w:rsidR="00704316">
        <w:rPr>
          <w:rFonts w:asciiTheme="minorHAnsi" w:hAnsiTheme="minorHAnsi" w:cs="Courier New"/>
          <w:sz w:val="24"/>
        </w:rPr>
        <w:t xml:space="preserve"> 1999;</w:t>
      </w:r>
      <w:r w:rsidRPr="00D22CE2">
        <w:rPr>
          <w:rFonts w:asciiTheme="minorHAnsi" w:hAnsiTheme="minorHAnsi" w:cs="Courier New"/>
          <w:sz w:val="24"/>
        </w:rPr>
        <w:t xml:space="preserve"> 53(1):</w:t>
      </w:r>
      <w:r w:rsidR="00704316">
        <w:rPr>
          <w:rFonts w:asciiTheme="minorHAnsi" w:hAnsiTheme="minorHAnsi" w:cs="Courier New"/>
          <w:sz w:val="24"/>
        </w:rPr>
        <w:t xml:space="preserve"> </w:t>
      </w:r>
      <w:r w:rsidRPr="00D22CE2">
        <w:rPr>
          <w:rFonts w:asciiTheme="minorHAnsi" w:hAnsiTheme="minorHAnsi" w:cs="Courier New"/>
          <w:sz w:val="24"/>
        </w:rPr>
        <w:t>46-50.</w:t>
      </w:r>
    </w:p>
    <w:p w14:paraId="52E2B0F0" w14:textId="77777777" w:rsidR="00427B1F" w:rsidRPr="00D22CE2" w:rsidRDefault="00427B1F" w:rsidP="001E225F">
      <w:pPr>
        <w:spacing w:line="360" w:lineRule="auto"/>
        <w:outlineLvl w:val="0"/>
        <w:rPr>
          <w:rFonts w:asciiTheme="minorHAnsi" w:hAnsiTheme="minorHAnsi" w:cs="Courier New"/>
          <w:sz w:val="24"/>
        </w:rPr>
      </w:pPr>
    </w:p>
    <w:p w14:paraId="5DAAB8DC" w14:textId="54C6674B" w:rsidR="00427B1F" w:rsidRPr="00D22CE2" w:rsidRDefault="00427B1F" w:rsidP="001E225F">
      <w:pPr>
        <w:spacing w:line="360" w:lineRule="auto"/>
        <w:outlineLvl w:val="0"/>
        <w:rPr>
          <w:rFonts w:asciiTheme="minorHAnsi" w:hAnsiTheme="minorHAnsi" w:cs="Courier New"/>
          <w:sz w:val="24"/>
        </w:rPr>
      </w:pPr>
      <w:r w:rsidRPr="00D22CE2">
        <w:rPr>
          <w:rFonts w:asciiTheme="minorHAnsi" w:hAnsiTheme="minorHAnsi" w:cs="Courier New"/>
          <w:sz w:val="24"/>
        </w:rPr>
        <w:t>[</w:t>
      </w:r>
      <w:r w:rsidR="00E66C47">
        <w:rPr>
          <w:rFonts w:asciiTheme="minorHAnsi" w:hAnsiTheme="minorHAnsi" w:cs="Courier New"/>
          <w:sz w:val="24"/>
        </w:rPr>
        <w:t>3</w:t>
      </w:r>
      <w:r w:rsidR="006C5C73">
        <w:rPr>
          <w:rFonts w:asciiTheme="minorHAnsi" w:hAnsiTheme="minorHAnsi" w:cs="Courier New"/>
          <w:sz w:val="24"/>
        </w:rPr>
        <w:t>5</w:t>
      </w:r>
      <w:r w:rsidRPr="00D22CE2">
        <w:rPr>
          <w:rFonts w:asciiTheme="minorHAnsi" w:hAnsiTheme="minorHAnsi" w:cs="Courier New"/>
          <w:sz w:val="24"/>
        </w:rPr>
        <w:t>] Ware J</w:t>
      </w:r>
      <w:r w:rsidR="00A81CD8">
        <w:rPr>
          <w:rFonts w:asciiTheme="minorHAnsi" w:hAnsiTheme="minorHAnsi" w:cs="Courier New"/>
          <w:sz w:val="24"/>
        </w:rPr>
        <w:t>,</w:t>
      </w:r>
      <w:r w:rsidRPr="00D22CE2">
        <w:rPr>
          <w:rFonts w:asciiTheme="minorHAnsi" w:hAnsiTheme="minorHAnsi" w:cs="Courier New"/>
          <w:sz w:val="24"/>
        </w:rPr>
        <w:t xml:space="preserve"> </w:t>
      </w:r>
      <w:proofErr w:type="spellStart"/>
      <w:r w:rsidRPr="00D22CE2">
        <w:rPr>
          <w:rFonts w:asciiTheme="minorHAnsi" w:hAnsiTheme="minorHAnsi" w:cs="Courier New"/>
          <w:sz w:val="24"/>
        </w:rPr>
        <w:t>Sherbourne</w:t>
      </w:r>
      <w:proofErr w:type="spellEnd"/>
      <w:r w:rsidRPr="00D22CE2">
        <w:rPr>
          <w:rFonts w:asciiTheme="minorHAnsi" w:hAnsiTheme="minorHAnsi" w:cs="Courier New"/>
          <w:sz w:val="24"/>
        </w:rPr>
        <w:t xml:space="preserve"> C: The MOS 36-item short-form health survey (SF-36). I. Conceptual framework and item selection. </w:t>
      </w:r>
      <w:r w:rsidRPr="00614147">
        <w:rPr>
          <w:rFonts w:asciiTheme="minorHAnsi" w:hAnsiTheme="minorHAnsi" w:cs="Courier New"/>
          <w:i/>
          <w:sz w:val="24"/>
        </w:rPr>
        <w:t>Med Care</w:t>
      </w:r>
      <w:r w:rsidRPr="00D22CE2">
        <w:rPr>
          <w:rFonts w:asciiTheme="minorHAnsi" w:hAnsiTheme="minorHAnsi" w:cs="Courier New"/>
          <w:sz w:val="24"/>
        </w:rPr>
        <w:t xml:space="preserve"> 1992; 30: 473.</w:t>
      </w:r>
    </w:p>
    <w:p w14:paraId="7982A94F" w14:textId="77777777" w:rsidR="00427B1F" w:rsidRPr="00D22CE2" w:rsidRDefault="00427B1F" w:rsidP="001E225F">
      <w:pPr>
        <w:spacing w:line="360" w:lineRule="auto"/>
        <w:outlineLvl w:val="0"/>
        <w:rPr>
          <w:rFonts w:asciiTheme="minorHAnsi" w:hAnsiTheme="minorHAnsi" w:cs="Courier New"/>
          <w:sz w:val="24"/>
        </w:rPr>
      </w:pPr>
    </w:p>
    <w:p w14:paraId="24A6304A" w14:textId="7DE9D408" w:rsidR="00427B1F" w:rsidRPr="00D22CE2" w:rsidRDefault="00427B1F" w:rsidP="001E225F">
      <w:pPr>
        <w:spacing w:line="360" w:lineRule="auto"/>
        <w:outlineLvl w:val="0"/>
        <w:rPr>
          <w:rFonts w:asciiTheme="minorHAnsi" w:hAnsiTheme="minorHAnsi" w:cs="Courier New"/>
          <w:sz w:val="24"/>
        </w:rPr>
      </w:pPr>
      <w:r w:rsidRPr="00D22CE2">
        <w:rPr>
          <w:rFonts w:asciiTheme="minorHAnsi" w:hAnsiTheme="minorHAnsi" w:cs="Courier New"/>
          <w:sz w:val="24"/>
          <w:lang w:val="da-DK"/>
        </w:rPr>
        <w:t>[</w:t>
      </w:r>
      <w:r w:rsidR="00E66C47">
        <w:rPr>
          <w:rFonts w:asciiTheme="minorHAnsi" w:hAnsiTheme="minorHAnsi" w:cs="Courier New"/>
          <w:sz w:val="24"/>
          <w:lang w:val="da-DK"/>
        </w:rPr>
        <w:t>3</w:t>
      </w:r>
      <w:r w:rsidR="006C5C73">
        <w:rPr>
          <w:rFonts w:asciiTheme="minorHAnsi" w:hAnsiTheme="minorHAnsi" w:cs="Courier New"/>
          <w:sz w:val="24"/>
          <w:lang w:val="da-DK"/>
        </w:rPr>
        <w:t>6</w:t>
      </w:r>
      <w:r w:rsidRPr="00D22CE2">
        <w:rPr>
          <w:rFonts w:asciiTheme="minorHAnsi" w:hAnsiTheme="minorHAnsi" w:cs="Courier New"/>
          <w:sz w:val="24"/>
          <w:lang w:val="da-DK"/>
        </w:rPr>
        <w:t xml:space="preserve">] Lerman C, Lustbader E, Rimer B, et al. </w:t>
      </w:r>
      <w:r w:rsidRPr="00D22CE2">
        <w:rPr>
          <w:rFonts w:asciiTheme="minorHAnsi" w:hAnsiTheme="minorHAnsi" w:cs="Courier New"/>
          <w:sz w:val="24"/>
        </w:rPr>
        <w:t>Effects of individualized breast cancer risk</w:t>
      </w:r>
      <w:r w:rsidR="006C5C73">
        <w:rPr>
          <w:rFonts w:asciiTheme="minorHAnsi" w:hAnsiTheme="minorHAnsi" w:cs="Courier New"/>
          <w:sz w:val="24"/>
        </w:rPr>
        <w:t xml:space="preserve"> </w:t>
      </w:r>
      <w:proofErr w:type="spellStart"/>
      <w:r w:rsidRPr="00D22CE2">
        <w:rPr>
          <w:rFonts w:asciiTheme="minorHAnsi" w:hAnsiTheme="minorHAnsi" w:cs="Courier New"/>
          <w:sz w:val="24"/>
        </w:rPr>
        <w:t>counseling</w:t>
      </w:r>
      <w:proofErr w:type="spellEnd"/>
      <w:r w:rsidRPr="00D22CE2">
        <w:rPr>
          <w:rFonts w:asciiTheme="minorHAnsi" w:hAnsiTheme="minorHAnsi" w:cs="Courier New"/>
          <w:sz w:val="24"/>
        </w:rPr>
        <w:t xml:space="preserve">: a randomized trial. </w:t>
      </w:r>
      <w:proofErr w:type="gramStart"/>
      <w:r w:rsidRPr="00614147">
        <w:rPr>
          <w:rFonts w:asciiTheme="minorHAnsi" w:hAnsiTheme="minorHAnsi" w:cs="Courier New"/>
          <w:i/>
          <w:sz w:val="24"/>
        </w:rPr>
        <w:t xml:space="preserve">J </w:t>
      </w:r>
      <w:proofErr w:type="spellStart"/>
      <w:r w:rsidRPr="00614147">
        <w:rPr>
          <w:rFonts w:asciiTheme="minorHAnsi" w:hAnsiTheme="minorHAnsi" w:cs="Courier New"/>
          <w:i/>
          <w:sz w:val="24"/>
        </w:rPr>
        <w:t>Natl</w:t>
      </w:r>
      <w:proofErr w:type="spellEnd"/>
      <w:r w:rsidRPr="00614147">
        <w:rPr>
          <w:rFonts w:asciiTheme="minorHAnsi" w:hAnsiTheme="minorHAnsi" w:cs="Courier New"/>
          <w:i/>
          <w:sz w:val="24"/>
        </w:rPr>
        <w:t xml:space="preserve"> Cancer </w:t>
      </w:r>
      <w:proofErr w:type="spellStart"/>
      <w:r w:rsidRPr="00614147">
        <w:rPr>
          <w:rFonts w:asciiTheme="minorHAnsi" w:hAnsiTheme="minorHAnsi" w:cs="Courier New"/>
          <w:i/>
          <w:sz w:val="24"/>
        </w:rPr>
        <w:t>Inst</w:t>
      </w:r>
      <w:proofErr w:type="spellEnd"/>
      <w:r w:rsidRPr="00D22CE2">
        <w:rPr>
          <w:rFonts w:asciiTheme="minorHAnsi" w:hAnsiTheme="minorHAnsi" w:cs="Courier New"/>
          <w:sz w:val="24"/>
        </w:rPr>
        <w:t xml:space="preserve"> 1995; 87:</w:t>
      </w:r>
      <w:r w:rsidR="00704316">
        <w:rPr>
          <w:rFonts w:asciiTheme="minorHAnsi" w:hAnsiTheme="minorHAnsi" w:cs="Courier New"/>
          <w:sz w:val="24"/>
        </w:rPr>
        <w:t xml:space="preserve"> </w:t>
      </w:r>
      <w:r w:rsidRPr="00D22CE2">
        <w:rPr>
          <w:rFonts w:asciiTheme="minorHAnsi" w:hAnsiTheme="minorHAnsi" w:cs="Courier New"/>
          <w:sz w:val="24"/>
        </w:rPr>
        <w:t>286–292.</w:t>
      </w:r>
      <w:proofErr w:type="gramEnd"/>
    </w:p>
    <w:p w14:paraId="169752A3" w14:textId="77777777" w:rsidR="00427B1F" w:rsidRPr="00D22CE2" w:rsidRDefault="00427B1F" w:rsidP="001E225F">
      <w:pPr>
        <w:spacing w:line="360" w:lineRule="auto"/>
        <w:outlineLvl w:val="0"/>
        <w:rPr>
          <w:rFonts w:asciiTheme="minorHAnsi" w:hAnsiTheme="minorHAnsi" w:cs="Courier New"/>
          <w:sz w:val="24"/>
        </w:rPr>
      </w:pPr>
    </w:p>
    <w:p w14:paraId="464A0331" w14:textId="4201D299" w:rsidR="00427B1F" w:rsidRPr="00D22CE2" w:rsidRDefault="00427B1F" w:rsidP="001E225F">
      <w:pPr>
        <w:spacing w:line="360" w:lineRule="auto"/>
        <w:outlineLvl w:val="0"/>
        <w:rPr>
          <w:rFonts w:asciiTheme="minorHAnsi" w:hAnsiTheme="minorHAnsi" w:cs="Courier New"/>
          <w:sz w:val="24"/>
        </w:rPr>
      </w:pPr>
      <w:r w:rsidRPr="00F6290C">
        <w:rPr>
          <w:rFonts w:asciiTheme="minorHAnsi" w:hAnsiTheme="minorHAnsi" w:cs="Courier New"/>
          <w:sz w:val="24"/>
          <w:lang w:val="nl-NL"/>
        </w:rPr>
        <w:t>[</w:t>
      </w:r>
      <w:r w:rsidR="00E66C47" w:rsidRPr="00F6290C">
        <w:rPr>
          <w:rFonts w:asciiTheme="minorHAnsi" w:hAnsiTheme="minorHAnsi" w:cs="Courier New"/>
          <w:sz w:val="24"/>
          <w:lang w:val="nl-NL"/>
        </w:rPr>
        <w:t>3</w:t>
      </w:r>
      <w:r w:rsidR="006C5C73" w:rsidRPr="00F6290C">
        <w:rPr>
          <w:rFonts w:asciiTheme="minorHAnsi" w:hAnsiTheme="minorHAnsi" w:cs="Courier New"/>
          <w:sz w:val="24"/>
          <w:lang w:val="nl-NL"/>
        </w:rPr>
        <w:t>7</w:t>
      </w:r>
      <w:r w:rsidRPr="00F6290C">
        <w:rPr>
          <w:rFonts w:asciiTheme="minorHAnsi" w:hAnsiTheme="minorHAnsi" w:cs="Courier New"/>
          <w:sz w:val="24"/>
          <w:lang w:val="nl-NL"/>
        </w:rPr>
        <w:t xml:space="preserve">] Lerman C, Narod S, Schulman K . </w:t>
      </w:r>
      <w:proofErr w:type="gramStart"/>
      <w:r w:rsidRPr="00D22CE2">
        <w:rPr>
          <w:rFonts w:asciiTheme="minorHAnsi" w:hAnsiTheme="minorHAnsi" w:cs="Courier New"/>
          <w:sz w:val="24"/>
        </w:rPr>
        <w:t>BRCA1 testing in families with hereditary breast-ovarian cancer.</w:t>
      </w:r>
      <w:proofErr w:type="gramEnd"/>
      <w:r w:rsidRPr="00D22CE2">
        <w:rPr>
          <w:rFonts w:asciiTheme="minorHAnsi" w:hAnsiTheme="minorHAnsi" w:cs="Courier New"/>
          <w:sz w:val="24"/>
        </w:rPr>
        <w:t xml:space="preserve"> </w:t>
      </w:r>
      <w:proofErr w:type="gramStart"/>
      <w:r w:rsidRPr="00D22CE2">
        <w:rPr>
          <w:rFonts w:asciiTheme="minorHAnsi" w:hAnsiTheme="minorHAnsi" w:cs="Courier New"/>
          <w:sz w:val="24"/>
        </w:rPr>
        <w:t>A prospective study of patient decision making and outcomes.</w:t>
      </w:r>
      <w:proofErr w:type="gramEnd"/>
      <w:r w:rsidRPr="00D22CE2">
        <w:rPr>
          <w:rFonts w:asciiTheme="minorHAnsi" w:hAnsiTheme="minorHAnsi" w:cs="Courier New"/>
          <w:sz w:val="24"/>
        </w:rPr>
        <w:t xml:space="preserve"> </w:t>
      </w:r>
      <w:r w:rsidR="00704316" w:rsidRPr="00614147">
        <w:rPr>
          <w:rFonts w:asciiTheme="minorHAnsi" w:hAnsiTheme="minorHAnsi" w:cs="Courier New"/>
          <w:i/>
          <w:sz w:val="24"/>
        </w:rPr>
        <w:t>JAMA</w:t>
      </w:r>
      <w:r w:rsidRPr="00D22CE2">
        <w:rPr>
          <w:rFonts w:asciiTheme="minorHAnsi" w:hAnsiTheme="minorHAnsi" w:cs="Courier New"/>
          <w:sz w:val="24"/>
        </w:rPr>
        <w:t xml:space="preserve"> </w:t>
      </w:r>
      <w:r w:rsidR="00704316">
        <w:rPr>
          <w:rFonts w:asciiTheme="minorHAnsi" w:hAnsiTheme="minorHAnsi" w:cs="Courier New"/>
          <w:sz w:val="24"/>
        </w:rPr>
        <w:t xml:space="preserve">1996; </w:t>
      </w:r>
      <w:r w:rsidRPr="00D22CE2">
        <w:rPr>
          <w:rFonts w:asciiTheme="minorHAnsi" w:hAnsiTheme="minorHAnsi" w:cs="Courier New"/>
          <w:sz w:val="24"/>
        </w:rPr>
        <w:t>275(24): 1885-1892.</w:t>
      </w:r>
    </w:p>
    <w:p w14:paraId="20694FAF" w14:textId="77777777" w:rsidR="00427B1F" w:rsidRPr="00D22CE2" w:rsidRDefault="00427B1F" w:rsidP="001E225F">
      <w:pPr>
        <w:spacing w:line="360" w:lineRule="auto"/>
        <w:outlineLvl w:val="0"/>
        <w:rPr>
          <w:rFonts w:asciiTheme="minorHAnsi" w:hAnsiTheme="minorHAnsi" w:cs="Courier New"/>
          <w:sz w:val="24"/>
        </w:rPr>
      </w:pPr>
    </w:p>
    <w:p w14:paraId="0322C119" w14:textId="036B13CB" w:rsidR="00427B1F" w:rsidRPr="00D22CE2" w:rsidRDefault="00427B1F" w:rsidP="001E225F">
      <w:pPr>
        <w:spacing w:line="360" w:lineRule="auto"/>
        <w:outlineLvl w:val="0"/>
        <w:rPr>
          <w:rFonts w:asciiTheme="minorHAnsi" w:hAnsiTheme="minorHAnsi" w:cs="Courier New"/>
          <w:sz w:val="24"/>
        </w:rPr>
      </w:pPr>
      <w:r w:rsidRPr="00D22CE2">
        <w:rPr>
          <w:rFonts w:asciiTheme="minorHAnsi" w:hAnsiTheme="minorHAnsi" w:cs="Courier New"/>
          <w:sz w:val="24"/>
        </w:rPr>
        <w:t>[</w:t>
      </w:r>
      <w:r w:rsidR="006C5C73">
        <w:rPr>
          <w:rFonts w:asciiTheme="minorHAnsi" w:hAnsiTheme="minorHAnsi" w:cs="Courier New"/>
          <w:sz w:val="24"/>
        </w:rPr>
        <w:t>38</w:t>
      </w:r>
      <w:r w:rsidRPr="00D22CE2">
        <w:rPr>
          <w:rFonts w:asciiTheme="minorHAnsi" w:hAnsiTheme="minorHAnsi" w:cs="Courier New"/>
          <w:sz w:val="24"/>
        </w:rPr>
        <w:t xml:space="preserve">] </w:t>
      </w:r>
      <w:proofErr w:type="spellStart"/>
      <w:r w:rsidRPr="00D22CE2">
        <w:rPr>
          <w:rFonts w:asciiTheme="minorHAnsi" w:hAnsiTheme="minorHAnsi" w:cs="Courier New"/>
          <w:sz w:val="24"/>
        </w:rPr>
        <w:t>Wonderlick</w:t>
      </w:r>
      <w:proofErr w:type="spellEnd"/>
      <w:r w:rsidRPr="00D22CE2">
        <w:rPr>
          <w:rFonts w:asciiTheme="minorHAnsi" w:hAnsiTheme="minorHAnsi" w:cs="Courier New"/>
          <w:sz w:val="24"/>
        </w:rPr>
        <w:t xml:space="preserve"> AL</w:t>
      </w:r>
      <w:proofErr w:type="gramStart"/>
      <w:r w:rsidR="00A81CD8">
        <w:rPr>
          <w:rFonts w:asciiTheme="minorHAnsi" w:hAnsiTheme="minorHAnsi" w:cs="Courier New"/>
          <w:sz w:val="24"/>
        </w:rPr>
        <w:t xml:space="preserve">, </w:t>
      </w:r>
      <w:r w:rsidRPr="00D22CE2">
        <w:rPr>
          <w:rFonts w:asciiTheme="minorHAnsi" w:hAnsiTheme="minorHAnsi" w:cs="Courier New"/>
          <w:sz w:val="24"/>
        </w:rPr>
        <w:t xml:space="preserve"> Fine</w:t>
      </w:r>
      <w:proofErr w:type="gramEnd"/>
      <w:r w:rsidRPr="00D22CE2">
        <w:rPr>
          <w:rFonts w:asciiTheme="minorHAnsi" w:hAnsiTheme="minorHAnsi" w:cs="Courier New"/>
          <w:sz w:val="24"/>
        </w:rPr>
        <w:t xml:space="preserve"> BA</w:t>
      </w:r>
      <w:r w:rsidR="00704316">
        <w:rPr>
          <w:rFonts w:asciiTheme="minorHAnsi" w:hAnsiTheme="minorHAnsi" w:cs="Courier New"/>
          <w:sz w:val="24"/>
        </w:rPr>
        <w:t>.</w:t>
      </w:r>
      <w:r w:rsidRPr="00D22CE2">
        <w:rPr>
          <w:rFonts w:asciiTheme="minorHAnsi" w:hAnsiTheme="minorHAnsi" w:cs="Courier New"/>
          <w:sz w:val="24"/>
        </w:rPr>
        <w:t xml:space="preserve">  Knowledge of Breast Cancer Genetics </w:t>
      </w:r>
      <w:proofErr w:type="gramStart"/>
      <w:r w:rsidRPr="00D22CE2">
        <w:rPr>
          <w:rFonts w:asciiTheme="minorHAnsi" w:hAnsiTheme="minorHAnsi" w:cs="Courier New"/>
          <w:sz w:val="24"/>
        </w:rPr>
        <w:t>Among</w:t>
      </w:r>
      <w:proofErr w:type="gramEnd"/>
      <w:r w:rsidRPr="00D22CE2">
        <w:rPr>
          <w:rFonts w:asciiTheme="minorHAnsi" w:hAnsiTheme="minorHAnsi" w:cs="Courier New"/>
          <w:sz w:val="24"/>
        </w:rPr>
        <w:t xml:space="preserve"> Breast Cancer Patients and First-Degree Relatives of Affected Individuals. </w:t>
      </w:r>
      <w:r w:rsidRPr="00614147">
        <w:rPr>
          <w:rFonts w:asciiTheme="minorHAnsi" w:hAnsiTheme="minorHAnsi" w:cs="Courier New"/>
          <w:i/>
          <w:sz w:val="24"/>
        </w:rPr>
        <w:t xml:space="preserve">J Gen </w:t>
      </w:r>
      <w:proofErr w:type="spellStart"/>
      <w:r w:rsidRPr="00614147">
        <w:rPr>
          <w:rFonts w:asciiTheme="minorHAnsi" w:hAnsiTheme="minorHAnsi" w:cs="Courier New"/>
          <w:i/>
          <w:sz w:val="24"/>
        </w:rPr>
        <w:t>Couns</w:t>
      </w:r>
      <w:proofErr w:type="spellEnd"/>
      <w:r w:rsidR="00704316">
        <w:rPr>
          <w:rFonts w:asciiTheme="minorHAnsi" w:hAnsiTheme="minorHAnsi" w:cs="Courier New"/>
          <w:i/>
          <w:sz w:val="24"/>
        </w:rPr>
        <w:t xml:space="preserve"> 1997;</w:t>
      </w:r>
      <w:r w:rsidRPr="00D22CE2">
        <w:rPr>
          <w:rFonts w:asciiTheme="minorHAnsi" w:hAnsiTheme="minorHAnsi" w:cs="Courier New"/>
          <w:sz w:val="24"/>
        </w:rPr>
        <w:t xml:space="preserve"> 6(2):</w:t>
      </w:r>
      <w:r w:rsidR="00704316">
        <w:rPr>
          <w:rFonts w:asciiTheme="minorHAnsi" w:hAnsiTheme="minorHAnsi" w:cs="Courier New"/>
          <w:sz w:val="24"/>
        </w:rPr>
        <w:t xml:space="preserve"> </w:t>
      </w:r>
      <w:r w:rsidRPr="00D22CE2">
        <w:rPr>
          <w:rFonts w:asciiTheme="minorHAnsi" w:hAnsiTheme="minorHAnsi" w:cs="Courier New"/>
          <w:sz w:val="24"/>
        </w:rPr>
        <w:t>111-130.</w:t>
      </w:r>
    </w:p>
    <w:p w14:paraId="67568B5C" w14:textId="77777777" w:rsidR="00427B1F" w:rsidRDefault="00427B1F" w:rsidP="001E225F">
      <w:pPr>
        <w:spacing w:line="360" w:lineRule="auto"/>
        <w:outlineLvl w:val="0"/>
        <w:rPr>
          <w:rFonts w:asciiTheme="minorHAnsi" w:hAnsiTheme="minorHAnsi" w:cs="Courier New"/>
          <w:sz w:val="24"/>
        </w:rPr>
      </w:pPr>
    </w:p>
    <w:p w14:paraId="7E2D39DD" w14:textId="77777777" w:rsidR="006C5C73" w:rsidRPr="006C5C73" w:rsidRDefault="006C5C73" w:rsidP="001E225F">
      <w:pPr>
        <w:spacing w:line="360" w:lineRule="auto"/>
        <w:outlineLvl w:val="0"/>
        <w:rPr>
          <w:rFonts w:asciiTheme="minorHAnsi" w:hAnsiTheme="minorHAnsi" w:cs="Courier New"/>
          <w:sz w:val="24"/>
        </w:rPr>
      </w:pPr>
      <w:r w:rsidRPr="006C5C73">
        <w:rPr>
          <w:rFonts w:asciiTheme="minorHAnsi" w:hAnsiTheme="minorHAnsi" w:cs="Courier New"/>
          <w:sz w:val="24"/>
        </w:rPr>
        <w:lastRenderedPageBreak/>
        <w:t xml:space="preserve">[39] </w:t>
      </w:r>
      <w:proofErr w:type="spellStart"/>
      <w:r w:rsidRPr="006C5C73">
        <w:rPr>
          <w:rFonts w:asciiTheme="minorHAnsi" w:hAnsiTheme="minorHAnsi" w:cs="Courier New"/>
          <w:sz w:val="24"/>
        </w:rPr>
        <w:t>Maruish</w:t>
      </w:r>
      <w:proofErr w:type="spellEnd"/>
      <w:r w:rsidRPr="006C5C73">
        <w:rPr>
          <w:rFonts w:asciiTheme="minorHAnsi" w:hAnsiTheme="minorHAnsi" w:cs="Courier New"/>
          <w:sz w:val="24"/>
        </w:rPr>
        <w:t xml:space="preserve"> ME, </w:t>
      </w:r>
      <w:proofErr w:type="spellStart"/>
      <w:r w:rsidRPr="006C5C73">
        <w:rPr>
          <w:rFonts w:asciiTheme="minorHAnsi" w:hAnsiTheme="minorHAnsi" w:cs="Courier New"/>
          <w:sz w:val="24"/>
        </w:rPr>
        <w:t>DeRosa</w:t>
      </w:r>
      <w:proofErr w:type="spellEnd"/>
      <w:r w:rsidRPr="006C5C73">
        <w:rPr>
          <w:rFonts w:asciiTheme="minorHAnsi" w:hAnsiTheme="minorHAnsi" w:cs="Courier New"/>
          <w:sz w:val="24"/>
        </w:rPr>
        <w:t xml:space="preserve"> MA. </w:t>
      </w:r>
      <w:proofErr w:type="gramStart"/>
      <w:r w:rsidRPr="006C5C73">
        <w:rPr>
          <w:rFonts w:asciiTheme="minorHAnsi" w:hAnsiTheme="minorHAnsi" w:cs="Courier New"/>
          <w:sz w:val="24"/>
        </w:rPr>
        <w:t>A guide to the integration of certified Short Form survey scoring and data quality evaluation capabilities.</w:t>
      </w:r>
      <w:proofErr w:type="gramEnd"/>
      <w:r w:rsidRPr="006C5C73">
        <w:rPr>
          <w:rFonts w:asciiTheme="minorHAnsi" w:hAnsiTheme="minorHAnsi" w:cs="Courier New"/>
          <w:sz w:val="24"/>
        </w:rPr>
        <w:t xml:space="preserve"> Lincoln, RI: </w:t>
      </w:r>
      <w:proofErr w:type="spellStart"/>
      <w:r w:rsidRPr="006C5C73">
        <w:rPr>
          <w:rFonts w:asciiTheme="minorHAnsi" w:hAnsiTheme="minorHAnsi" w:cs="Courier New"/>
          <w:sz w:val="24"/>
        </w:rPr>
        <w:t>QualityMetric</w:t>
      </w:r>
      <w:proofErr w:type="spellEnd"/>
      <w:r w:rsidRPr="006C5C73">
        <w:rPr>
          <w:rFonts w:asciiTheme="minorHAnsi" w:hAnsiTheme="minorHAnsi" w:cs="Courier New"/>
          <w:sz w:val="24"/>
        </w:rPr>
        <w:t xml:space="preserve"> Incorporated; 2009.</w:t>
      </w:r>
    </w:p>
    <w:p w14:paraId="2811C447" w14:textId="77777777" w:rsidR="006C5C73" w:rsidRDefault="006C5C73" w:rsidP="001E225F">
      <w:pPr>
        <w:spacing w:line="360" w:lineRule="auto"/>
        <w:outlineLvl w:val="0"/>
        <w:rPr>
          <w:rFonts w:asciiTheme="minorHAnsi" w:hAnsiTheme="minorHAnsi" w:cs="Courier New"/>
          <w:sz w:val="24"/>
        </w:rPr>
      </w:pPr>
    </w:p>
    <w:p w14:paraId="566127A9" w14:textId="3C5CD34E" w:rsidR="001C01CF" w:rsidRDefault="001C01CF" w:rsidP="001E225F">
      <w:pPr>
        <w:spacing w:line="360" w:lineRule="auto"/>
        <w:outlineLvl w:val="0"/>
        <w:rPr>
          <w:rFonts w:asciiTheme="minorHAnsi" w:hAnsiTheme="minorHAnsi" w:cs="Courier New"/>
          <w:sz w:val="24"/>
        </w:rPr>
      </w:pPr>
      <w:r>
        <w:rPr>
          <w:rFonts w:asciiTheme="minorHAnsi" w:hAnsiTheme="minorHAnsi" w:cs="Courier New"/>
          <w:sz w:val="24"/>
        </w:rPr>
        <w:t xml:space="preserve">[40] </w:t>
      </w:r>
      <w:proofErr w:type="spellStart"/>
      <w:r>
        <w:rPr>
          <w:rFonts w:asciiTheme="minorHAnsi" w:hAnsiTheme="minorHAnsi" w:cs="Courier New"/>
          <w:sz w:val="24"/>
        </w:rPr>
        <w:t>Charlson</w:t>
      </w:r>
      <w:proofErr w:type="spellEnd"/>
      <w:r>
        <w:rPr>
          <w:rFonts w:asciiTheme="minorHAnsi" w:hAnsiTheme="minorHAnsi" w:cs="Courier New"/>
          <w:sz w:val="24"/>
        </w:rPr>
        <w:t xml:space="preserve"> M, </w:t>
      </w:r>
      <w:proofErr w:type="spellStart"/>
      <w:r>
        <w:rPr>
          <w:rFonts w:asciiTheme="minorHAnsi" w:hAnsiTheme="minorHAnsi" w:cs="Courier New"/>
          <w:sz w:val="24"/>
        </w:rPr>
        <w:t>Szatrowski</w:t>
      </w:r>
      <w:proofErr w:type="spellEnd"/>
      <w:r>
        <w:rPr>
          <w:rFonts w:asciiTheme="minorHAnsi" w:hAnsiTheme="minorHAnsi" w:cs="Courier New"/>
          <w:sz w:val="24"/>
        </w:rPr>
        <w:t xml:space="preserve"> TP, Peterson J</w:t>
      </w:r>
      <w:r w:rsidRPr="001C01CF">
        <w:rPr>
          <w:rFonts w:asciiTheme="minorHAnsi" w:hAnsiTheme="minorHAnsi" w:cs="Courier New"/>
          <w:sz w:val="24"/>
        </w:rPr>
        <w:t xml:space="preserve">, </w:t>
      </w:r>
      <w:r>
        <w:rPr>
          <w:rFonts w:asciiTheme="minorHAnsi" w:hAnsiTheme="minorHAnsi" w:cs="Courier New"/>
          <w:sz w:val="24"/>
        </w:rPr>
        <w:t>Gold</w:t>
      </w:r>
      <w:r w:rsidRPr="001C01CF">
        <w:rPr>
          <w:rFonts w:asciiTheme="minorHAnsi" w:hAnsiTheme="minorHAnsi" w:cs="Courier New"/>
          <w:sz w:val="24"/>
        </w:rPr>
        <w:t xml:space="preserve"> J. Validation of a combined comorbidity index. </w:t>
      </w:r>
      <w:r w:rsidRPr="00614147">
        <w:rPr>
          <w:rFonts w:asciiTheme="minorHAnsi" w:hAnsiTheme="minorHAnsi" w:cs="Courier New"/>
          <w:i/>
          <w:sz w:val="24"/>
        </w:rPr>
        <w:t xml:space="preserve">Journal of </w:t>
      </w:r>
      <w:r w:rsidR="00614147" w:rsidRPr="00614147">
        <w:rPr>
          <w:rFonts w:asciiTheme="minorHAnsi" w:hAnsiTheme="minorHAnsi" w:cs="Courier New"/>
          <w:i/>
          <w:sz w:val="24"/>
        </w:rPr>
        <w:t>Clinical Epidemiology</w:t>
      </w:r>
      <w:r w:rsidR="00614147">
        <w:rPr>
          <w:rFonts w:asciiTheme="minorHAnsi" w:hAnsiTheme="minorHAnsi" w:cs="Courier New"/>
          <w:sz w:val="24"/>
        </w:rPr>
        <w:t xml:space="preserve"> </w:t>
      </w:r>
      <w:r w:rsidR="00704316">
        <w:rPr>
          <w:rFonts w:asciiTheme="minorHAnsi" w:hAnsiTheme="minorHAnsi" w:cs="Courier New"/>
          <w:sz w:val="24"/>
        </w:rPr>
        <w:t>1994;</w:t>
      </w:r>
      <w:r w:rsidR="00614147">
        <w:rPr>
          <w:rFonts w:asciiTheme="minorHAnsi" w:hAnsiTheme="minorHAnsi" w:cs="Courier New"/>
          <w:sz w:val="24"/>
        </w:rPr>
        <w:t xml:space="preserve"> </w:t>
      </w:r>
      <w:r>
        <w:rPr>
          <w:rFonts w:asciiTheme="minorHAnsi" w:hAnsiTheme="minorHAnsi" w:cs="Courier New"/>
          <w:sz w:val="24"/>
        </w:rPr>
        <w:t>47(11):</w:t>
      </w:r>
      <w:r w:rsidRPr="001C01CF">
        <w:rPr>
          <w:rFonts w:asciiTheme="minorHAnsi" w:hAnsiTheme="minorHAnsi" w:cs="Courier New"/>
          <w:sz w:val="24"/>
        </w:rPr>
        <w:t xml:space="preserve"> 1245-1251</w:t>
      </w:r>
    </w:p>
    <w:p w14:paraId="7673DFE4" w14:textId="77777777" w:rsidR="001C01CF" w:rsidRDefault="001C01CF" w:rsidP="001E225F">
      <w:pPr>
        <w:spacing w:line="360" w:lineRule="auto"/>
        <w:outlineLvl w:val="0"/>
        <w:rPr>
          <w:rFonts w:asciiTheme="minorHAnsi" w:hAnsiTheme="minorHAnsi" w:cs="Courier New"/>
          <w:sz w:val="24"/>
        </w:rPr>
      </w:pPr>
    </w:p>
    <w:p w14:paraId="4CA3AE56" w14:textId="3F2041B2" w:rsidR="00954674" w:rsidRPr="00D22CE2" w:rsidRDefault="00954674" w:rsidP="001E225F">
      <w:pPr>
        <w:spacing w:line="360" w:lineRule="auto"/>
        <w:rPr>
          <w:rFonts w:asciiTheme="minorHAnsi" w:hAnsiTheme="minorHAnsi"/>
          <w:sz w:val="24"/>
        </w:rPr>
      </w:pPr>
      <w:r w:rsidRPr="00D22CE2">
        <w:rPr>
          <w:rFonts w:asciiTheme="minorHAnsi" w:hAnsiTheme="minorHAnsi"/>
          <w:sz w:val="24"/>
        </w:rPr>
        <w:t>[</w:t>
      </w:r>
      <w:r w:rsidR="001C01CF">
        <w:rPr>
          <w:rFonts w:asciiTheme="minorHAnsi" w:hAnsiTheme="minorHAnsi"/>
          <w:sz w:val="24"/>
        </w:rPr>
        <w:t>41</w:t>
      </w:r>
      <w:r w:rsidRPr="00D22CE2">
        <w:rPr>
          <w:rFonts w:asciiTheme="minorHAnsi" w:hAnsiTheme="minorHAnsi"/>
          <w:sz w:val="24"/>
        </w:rPr>
        <w:t xml:space="preserve">] </w:t>
      </w:r>
      <w:proofErr w:type="spellStart"/>
      <w:r w:rsidRPr="00D22CE2">
        <w:rPr>
          <w:rFonts w:asciiTheme="minorHAnsi" w:hAnsiTheme="minorHAnsi"/>
          <w:sz w:val="24"/>
        </w:rPr>
        <w:t>Breeman</w:t>
      </w:r>
      <w:proofErr w:type="spellEnd"/>
      <w:r w:rsidRPr="00D22CE2">
        <w:rPr>
          <w:rFonts w:asciiTheme="minorHAnsi" w:hAnsiTheme="minorHAnsi"/>
          <w:sz w:val="24"/>
        </w:rPr>
        <w:t xml:space="preserve"> S, Cotton S, Fielding S, Jones GT. Normative data for the Hospital Anxiety and Depression Scale. </w:t>
      </w:r>
      <w:proofErr w:type="spellStart"/>
      <w:r w:rsidRPr="00614147">
        <w:rPr>
          <w:rFonts w:asciiTheme="minorHAnsi" w:hAnsiTheme="minorHAnsi"/>
          <w:i/>
          <w:sz w:val="24"/>
        </w:rPr>
        <w:t>Qual</w:t>
      </w:r>
      <w:proofErr w:type="spellEnd"/>
      <w:r w:rsidRPr="00614147">
        <w:rPr>
          <w:rFonts w:asciiTheme="minorHAnsi" w:hAnsiTheme="minorHAnsi"/>
          <w:i/>
          <w:sz w:val="24"/>
        </w:rPr>
        <w:t xml:space="preserve"> Life Res</w:t>
      </w:r>
      <w:r w:rsidRPr="00D22CE2">
        <w:rPr>
          <w:rFonts w:asciiTheme="minorHAnsi" w:hAnsiTheme="minorHAnsi"/>
          <w:sz w:val="24"/>
        </w:rPr>
        <w:t xml:space="preserve"> 2015;</w:t>
      </w:r>
      <w:r w:rsidR="00614147">
        <w:rPr>
          <w:rFonts w:asciiTheme="minorHAnsi" w:hAnsiTheme="minorHAnsi"/>
          <w:sz w:val="24"/>
        </w:rPr>
        <w:t xml:space="preserve"> </w:t>
      </w:r>
      <w:r w:rsidRPr="00D22CE2">
        <w:rPr>
          <w:rFonts w:asciiTheme="minorHAnsi" w:hAnsiTheme="minorHAnsi"/>
          <w:sz w:val="24"/>
        </w:rPr>
        <w:t>24(2):</w:t>
      </w:r>
      <w:r w:rsidR="00614147">
        <w:rPr>
          <w:rFonts w:asciiTheme="minorHAnsi" w:hAnsiTheme="minorHAnsi"/>
          <w:sz w:val="24"/>
        </w:rPr>
        <w:t xml:space="preserve"> </w:t>
      </w:r>
      <w:r w:rsidRPr="00D22CE2">
        <w:rPr>
          <w:rFonts w:asciiTheme="minorHAnsi" w:hAnsiTheme="minorHAnsi"/>
          <w:sz w:val="24"/>
        </w:rPr>
        <w:t xml:space="preserve">391-8. </w:t>
      </w:r>
    </w:p>
    <w:p w14:paraId="3E63EB37" w14:textId="77777777" w:rsidR="00954674" w:rsidRPr="00D22CE2" w:rsidRDefault="00954674" w:rsidP="001E225F">
      <w:pPr>
        <w:spacing w:line="360" w:lineRule="auto"/>
        <w:rPr>
          <w:rFonts w:asciiTheme="minorHAnsi" w:hAnsiTheme="minorHAnsi"/>
          <w:sz w:val="24"/>
        </w:rPr>
      </w:pPr>
    </w:p>
    <w:p w14:paraId="1A436BE2" w14:textId="35092509" w:rsidR="00AF3DF4" w:rsidRPr="00D22CE2" w:rsidRDefault="00AF3DF4" w:rsidP="001E225F">
      <w:pPr>
        <w:spacing w:line="360" w:lineRule="auto"/>
        <w:outlineLvl w:val="0"/>
        <w:rPr>
          <w:rFonts w:asciiTheme="minorHAnsi" w:hAnsiTheme="minorHAnsi" w:cs="Courier New"/>
          <w:sz w:val="24"/>
        </w:rPr>
      </w:pPr>
      <w:r w:rsidRPr="00D22CE2">
        <w:rPr>
          <w:rFonts w:asciiTheme="minorHAnsi" w:hAnsiTheme="minorHAnsi" w:cs="Courier New"/>
          <w:sz w:val="24"/>
        </w:rPr>
        <w:t>[</w:t>
      </w:r>
      <w:r w:rsidR="001C01CF">
        <w:rPr>
          <w:rFonts w:asciiTheme="minorHAnsi" w:hAnsiTheme="minorHAnsi" w:cs="Courier New"/>
          <w:sz w:val="24"/>
        </w:rPr>
        <w:t>42</w:t>
      </w:r>
      <w:r w:rsidRPr="00D22CE2">
        <w:rPr>
          <w:rFonts w:asciiTheme="minorHAnsi" w:hAnsiTheme="minorHAnsi" w:cs="Courier New"/>
          <w:sz w:val="24"/>
        </w:rPr>
        <w:t xml:space="preserve">] </w:t>
      </w:r>
      <w:proofErr w:type="spellStart"/>
      <w:r w:rsidR="00D22CE2" w:rsidRPr="00D22CE2">
        <w:rPr>
          <w:rFonts w:asciiTheme="minorHAnsi" w:hAnsiTheme="minorHAnsi" w:cs="Courier New"/>
          <w:sz w:val="24"/>
        </w:rPr>
        <w:t>Macefield</w:t>
      </w:r>
      <w:proofErr w:type="spellEnd"/>
      <w:r w:rsidR="00D22CE2" w:rsidRPr="00D22CE2">
        <w:rPr>
          <w:rFonts w:asciiTheme="minorHAnsi" w:hAnsiTheme="minorHAnsi" w:cs="Courier New"/>
          <w:sz w:val="24"/>
        </w:rPr>
        <w:t xml:space="preserve"> RC, Lane JA, Metcalfe C et al. Do the risk factors of age, family history of prostate cancer or a higher prostate specific antigen level raise anxiety at prostate biopsy?</w:t>
      </w:r>
      <w:r w:rsidR="001C01CF">
        <w:rPr>
          <w:rFonts w:asciiTheme="minorHAnsi" w:hAnsiTheme="minorHAnsi" w:cs="Courier New"/>
          <w:sz w:val="24"/>
        </w:rPr>
        <w:t xml:space="preserve"> </w:t>
      </w:r>
      <w:proofErr w:type="spellStart"/>
      <w:r w:rsidR="00D22CE2" w:rsidRPr="00614147">
        <w:rPr>
          <w:rFonts w:asciiTheme="minorHAnsi" w:hAnsiTheme="minorHAnsi" w:cs="Courier New"/>
          <w:i/>
          <w:sz w:val="24"/>
        </w:rPr>
        <w:t>Eur</w:t>
      </w:r>
      <w:proofErr w:type="spellEnd"/>
      <w:r w:rsidR="00D22CE2" w:rsidRPr="00614147">
        <w:rPr>
          <w:rFonts w:asciiTheme="minorHAnsi" w:hAnsiTheme="minorHAnsi" w:cs="Courier New"/>
          <w:i/>
          <w:sz w:val="24"/>
        </w:rPr>
        <w:t xml:space="preserve"> J Cancer</w:t>
      </w:r>
      <w:r w:rsidR="00D22CE2" w:rsidRPr="00D22CE2">
        <w:rPr>
          <w:rFonts w:asciiTheme="minorHAnsi" w:hAnsiTheme="minorHAnsi" w:cs="Courier New"/>
          <w:sz w:val="24"/>
        </w:rPr>
        <w:t xml:space="preserve"> 2009;</w:t>
      </w:r>
      <w:r w:rsidR="00614147">
        <w:rPr>
          <w:rFonts w:asciiTheme="minorHAnsi" w:hAnsiTheme="minorHAnsi" w:cs="Courier New"/>
          <w:sz w:val="24"/>
        </w:rPr>
        <w:t xml:space="preserve"> </w:t>
      </w:r>
      <w:r w:rsidR="00D22CE2" w:rsidRPr="00D22CE2">
        <w:rPr>
          <w:rFonts w:asciiTheme="minorHAnsi" w:hAnsiTheme="minorHAnsi" w:cs="Courier New"/>
          <w:sz w:val="24"/>
        </w:rPr>
        <w:t>45: 2569–73.</w:t>
      </w:r>
    </w:p>
    <w:p w14:paraId="278E7AD8" w14:textId="77777777" w:rsidR="00AF3DF4" w:rsidRPr="00D22CE2" w:rsidRDefault="00AF3DF4" w:rsidP="001E225F">
      <w:pPr>
        <w:spacing w:line="360" w:lineRule="auto"/>
        <w:outlineLvl w:val="0"/>
        <w:rPr>
          <w:rFonts w:asciiTheme="minorHAnsi" w:hAnsiTheme="minorHAnsi" w:cs="Courier New"/>
          <w:sz w:val="24"/>
        </w:rPr>
      </w:pPr>
    </w:p>
    <w:p w14:paraId="200B7DB9" w14:textId="5BFDC6E2" w:rsidR="00AF3DF4" w:rsidRPr="00D22CE2" w:rsidRDefault="00AF3DF4" w:rsidP="001E225F">
      <w:pPr>
        <w:spacing w:line="360" w:lineRule="auto"/>
        <w:outlineLvl w:val="0"/>
        <w:rPr>
          <w:rFonts w:asciiTheme="minorHAnsi" w:hAnsiTheme="minorHAnsi" w:cs="Courier New"/>
          <w:sz w:val="24"/>
        </w:rPr>
      </w:pPr>
      <w:r w:rsidRPr="00064FDE">
        <w:rPr>
          <w:rFonts w:asciiTheme="minorHAnsi" w:hAnsiTheme="minorHAnsi" w:cs="Courier New"/>
          <w:sz w:val="24"/>
          <w:lang w:val="nl-NL"/>
        </w:rPr>
        <w:t>[</w:t>
      </w:r>
      <w:r w:rsidR="001C01CF" w:rsidRPr="00064FDE">
        <w:rPr>
          <w:rFonts w:asciiTheme="minorHAnsi" w:hAnsiTheme="minorHAnsi" w:cs="Courier New"/>
          <w:sz w:val="24"/>
          <w:lang w:val="nl-NL"/>
        </w:rPr>
        <w:t>43</w:t>
      </w:r>
      <w:r w:rsidRPr="00064FDE">
        <w:rPr>
          <w:rFonts w:asciiTheme="minorHAnsi" w:hAnsiTheme="minorHAnsi" w:cs="Courier New"/>
          <w:sz w:val="24"/>
          <w:lang w:val="nl-NL"/>
        </w:rPr>
        <w:t xml:space="preserve">] </w:t>
      </w:r>
      <w:r w:rsidR="00D22CE2" w:rsidRPr="00064FDE">
        <w:rPr>
          <w:rFonts w:asciiTheme="minorHAnsi" w:hAnsiTheme="minorHAnsi" w:cs="Courier New"/>
          <w:sz w:val="24"/>
          <w:lang w:val="nl-NL"/>
        </w:rPr>
        <w:t>Vasarainen H, Malmi H, Määttänen L</w:t>
      </w:r>
      <w:r w:rsidR="00A81CD8" w:rsidRPr="00064FDE">
        <w:rPr>
          <w:rFonts w:asciiTheme="minorHAnsi" w:hAnsiTheme="minorHAnsi" w:cs="Courier New"/>
          <w:sz w:val="24"/>
          <w:lang w:val="nl-NL"/>
        </w:rPr>
        <w:t xml:space="preserve"> et  al</w:t>
      </w:r>
      <w:r w:rsidR="00D22CE2" w:rsidRPr="00064FDE">
        <w:rPr>
          <w:rFonts w:asciiTheme="minorHAnsi" w:hAnsiTheme="minorHAnsi" w:cs="Courier New"/>
          <w:sz w:val="24"/>
          <w:lang w:val="nl-NL"/>
        </w:rPr>
        <w:t xml:space="preserve">. </w:t>
      </w:r>
      <w:r w:rsidR="00D22CE2" w:rsidRPr="00D22CE2">
        <w:rPr>
          <w:rFonts w:asciiTheme="minorHAnsi" w:hAnsiTheme="minorHAnsi" w:cs="Courier New"/>
          <w:sz w:val="24"/>
        </w:rPr>
        <w:t xml:space="preserve">Effects of prostate cancer screening on health-related quality of life: results of the Finnish arm of the European randomized screening trial (ERSPC). </w:t>
      </w:r>
      <w:proofErr w:type="spellStart"/>
      <w:r w:rsidR="00D22CE2" w:rsidRPr="00614147">
        <w:rPr>
          <w:rFonts w:asciiTheme="minorHAnsi" w:hAnsiTheme="minorHAnsi" w:cs="Courier New"/>
          <w:i/>
          <w:sz w:val="24"/>
        </w:rPr>
        <w:t>Acta</w:t>
      </w:r>
      <w:proofErr w:type="spellEnd"/>
      <w:r w:rsidR="00D22CE2" w:rsidRPr="00614147">
        <w:rPr>
          <w:rFonts w:asciiTheme="minorHAnsi" w:hAnsiTheme="minorHAnsi" w:cs="Courier New"/>
          <w:i/>
          <w:sz w:val="24"/>
        </w:rPr>
        <w:t xml:space="preserve"> </w:t>
      </w:r>
      <w:proofErr w:type="spellStart"/>
      <w:r w:rsidR="00D22CE2" w:rsidRPr="00614147">
        <w:rPr>
          <w:rFonts w:asciiTheme="minorHAnsi" w:hAnsiTheme="minorHAnsi" w:cs="Courier New"/>
          <w:i/>
          <w:sz w:val="24"/>
        </w:rPr>
        <w:t>Oncol</w:t>
      </w:r>
      <w:proofErr w:type="spellEnd"/>
      <w:r w:rsidR="00D22CE2" w:rsidRPr="00D22CE2">
        <w:rPr>
          <w:rFonts w:asciiTheme="minorHAnsi" w:hAnsiTheme="minorHAnsi" w:cs="Courier New"/>
          <w:sz w:val="24"/>
        </w:rPr>
        <w:t xml:space="preserve"> </w:t>
      </w:r>
      <w:proofErr w:type="gramStart"/>
      <w:r w:rsidR="00D22CE2" w:rsidRPr="00D22CE2">
        <w:rPr>
          <w:rFonts w:asciiTheme="minorHAnsi" w:hAnsiTheme="minorHAnsi" w:cs="Courier New"/>
          <w:sz w:val="24"/>
        </w:rPr>
        <w:t>2013 ;</w:t>
      </w:r>
      <w:proofErr w:type="gramEnd"/>
      <w:r w:rsidR="00614147">
        <w:rPr>
          <w:rFonts w:asciiTheme="minorHAnsi" w:hAnsiTheme="minorHAnsi" w:cs="Courier New"/>
          <w:sz w:val="24"/>
        </w:rPr>
        <w:t xml:space="preserve"> </w:t>
      </w:r>
      <w:r w:rsidR="00D22CE2" w:rsidRPr="00D22CE2">
        <w:rPr>
          <w:rFonts w:asciiTheme="minorHAnsi" w:hAnsiTheme="minorHAnsi" w:cs="Courier New"/>
          <w:sz w:val="24"/>
        </w:rPr>
        <w:t>52(8):</w:t>
      </w:r>
      <w:r w:rsidR="00614147">
        <w:rPr>
          <w:rFonts w:asciiTheme="minorHAnsi" w:hAnsiTheme="minorHAnsi" w:cs="Courier New"/>
          <w:sz w:val="24"/>
        </w:rPr>
        <w:t xml:space="preserve"> </w:t>
      </w:r>
      <w:r w:rsidR="00D22CE2" w:rsidRPr="00D22CE2">
        <w:rPr>
          <w:rFonts w:asciiTheme="minorHAnsi" w:hAnsiTheme="minorHAnsi" w:cs="Courier New"/>
          <w:sz w:val="24"/>
        </w:rPr>
        <w:t xml:space="preserve">1615-21. </w:t>
      </w:r>
    </w:p>
    <w:p w14:paraId="73E2E018" w14:textId="77777777" w:rsidR="00AF3DF4" w:rsidRPr="00D22CE2" w:rsidRDefault="00AF3DF4" w:rsidP="001E225F">
      <w:pPr>
        <w:spacing w:line="360" w:lineRule="auto"/>
        <w:outlineLvl w:val="0"/>
        <w:rPr>
          <w:rFonts w:asciiTheme="minorHAnsi" w:hAnsiTheme="minorHAnsi" w:cs="Courier New"/>
          <w:sz w:val="24"/>
        </w:rPr>
      </w:pPr>
    </w:p>
    <w:p w14:paraId="61BBFA45" w14:textId="31FA58FB" w:rsidR="00F37C8E" w:rsidRPr="00D22CE2" w:rsidRDefault="00F37C8E" w:rsidP="001E225F">
      <w:pPr>
        <w:spacing w:line="360" w:lineRule="auto"/>
        <w:rPr>
          <w:rFonts w:asciiTheme="minorHAnsi" w:hAnsiTheme="minorHAnsi"/>
          <w:sz w:val="24"/>
        </w:rPr>
      </w:pPr>
      <w:r w:rsidRPr="00D22CE2">
        <w:rPr>
          <w:rFonts w:asciiTheme="minorHAnsi" w:hAnsiTheme="minorHAnsi" w:cs="Courier New"/>
          <w:sz w:val="24"/>
        </w:rPr>
        <w:t>[</w:t>
      </w:r>
      <w:r w:rsidR="001C01CF">
        <w:rPr>
          <w:rFonts w:asciiTheme="minorHAnsi" w:hAnsiTheme="minorHAnsi" w:cs="Courier New"/>
          <w:sz w:val="24"/>
        </w:rPr>
        <w:t>44</w:t>
      </w:r>
      <w:r w:rsidRPr="00D22CE2">
        <w:rPr>
          <w:rFonts w:asciiTheme="minorHAnsi" w:hAnsiTheme="minorHAnsi" w:cs="Courier New"/>
          <w:sz w:val="24"/>
        </w:rPr>
        <w:t xml:space="preserve">] </w:t>
      </w:r>
      <w:proofErr w:type="spellStart"/>
      <w:r w:rsidRPr="00D22CE2">
        <w:rPr>
          <w:rFonts w:asciiTheme="minorHAnsi" w:hAnsiTheme="minorHAnsi"/>
          <w:sz w:val="24"/>
        </w:rPr>
        <w:t>Portnoy</w:t>
      </w:r>
      <w:proofErr w:type="spellEnd"/>
      <w:r w:rsidRPr="00D22CE2">
        <w:rPr>
          <w:rFonts w:asciiTheme="minorHAnsi" w:hAnsiTheme="minorHAnsi"/>
          <w:sz w:val="24"/>
        </w:rPr>
        <w:t xml:space="preserve"> DB, </w:t>
      </w:r>
      <w:proofErr w:type="spellStart"/>
      <w:r w:rsidRPr="00D22CE2">
        <w:rPr>
          <w:rFonts w:asciiTheme="minorHAnsi" w:hAnsiTheme="minorHAnsi"/>
          <w:sz w:val="24"/>
        </w:rPr>
        <w:t>Roter</w:t>
      </w:r>
      <w:proofErr w:type="spellEnd"/>
      <w:r w:rsidRPr="00D22CE2">
        <w:rPr>
          <w:rFonts w:asciiTheme="minorHAnsi" w:hAnsiTheme="minorHAnsi"/>
          <w:sz w:val="24"/>
        </w:rPr>
        <w:t xml:space="preserve"> D, </w:t>
      </w:r>
      <w:proofErr w:type="spellStart"/>
      <w:r w:rsidRPr="00D22CE2">
        <w:rPr>
          <w:rFonts w:asciiTheme="minorHAnsi" w:hAnsiTheme="minorHAnsi"/>
          <w:sz w:val="24"/>
        </w:rPr>
        <w:t>Erby</w:t>
      </w:r>
      <w:proofErr w:type="spellEnd"/>
      <w:r w:rsidRPr="00D22CE2">
        <w:rPr>
          <w:rFonts w:asciiTheme="minorHAnsi" w:hAnsiTheme="minorHAnsi"/>
          <w:sz w:val="24"/>
        </w:rPr>
        <w:t xml:space="preserve"> LH. </w:t>
      </w:r>
      <w:proofErr w:type="gramStart"/>
      <w:r w:rsidRPr="00D22CE2">
        <w:rPr>
          <w:rFonts w:asciiTheme="minorHAnsi" w:hAnsiTheme="minorHAnsi"/>
          <w:sz w:val="24"/>
        </w:rPr>
        <w:t>The role of numeracy on client knowledge in BRCA genetic counselling.</w:t>
      </w:r>
      <w:proofErr w:type="gramEnd"/>
      <w:r w:rsidRPr="00D22CE2">
        <w:rPr>
          <w:rFonts w:asciiTheme="minorHAnsi" w:hAnsiTheme="minorHAnsi"/>
          <w:sz w:val="24"/>
        </w:rPr>
        <w:t xml:space="preserve"> </w:t>
      </w:r>
      <w:r w:rsidRPr="00614147">
        <w:rPr>
          <w:rFonts w:asciiTheme="minorHAnsi" w:hAnsiTheme="minorHAnsi"/>
          <w:i/>
          <w:sz w:val="24"/>
        </w:rPr>
        <w:t xml:space="preserve">Patient </w:t>
      </w:r>
      <w:proofErr w:type="spellStart"/>
      <w:r w:rsidRPr="00614147">
        <w:rPr>
          <w:rFonts w:asciiTheme="minorHAnsi" w:hAnsiTheme="minorHAnsi"/>
          <w:i/>
          <w:sz w:val="24"/>
        </w:rPr>
        <w:t>Educ</w:t>
      </w:r>
      <w:proofErr w:type="spellEnd"/>
      <w:r w:rsidRPr="00614147">
        <w:rPr>
          <w:rFonts w:asciiTheme="minorHAnsi" w:hAnsiTheme="minorHAnsi"/>
          <w:i/>
          <w:sz w:val="24"/>
        </w:rPr>
        <w:t xml:space="preserve"> </w:t>
      </w:r>
      <w:proofErr w:type="spellStart"/>
      <w:r w:rsidRPr="00614147">
        <w:rPr>
          <w:rFonts w:asciiTheme="minorHAnsi" w:hAnsiTheme="minorHAnsi"/>
          <w:i/>
          <w:sz w:val="24"/>
        </w:rPr>
        <w:t>Couns</w:t>
      </w:r>
      <w:proofErr w:type="spellEnd"/>
      <w:r w:rsidRPr="00D22CE2">
        <w:rPr>
          <w:rFonts w:asciiTheme="minorHAnsi" w:hAnsiTheme="minorHAnsi"/>
          <w:sz w:val="24"/>
        </w:rPr>
        <w:t xml:space="preserve"> 2010;</w:t>
      </w:r>
      <w:r w:rsidR="00614147">
        <w:rPr>
          <w:rFonts w:asciiTheme="minorHAnsi" w:hAnsiTheme="minorHAnsi"/>
          <w:sz w:val="24"/>
        </w:rPr>
        <w:t xml:space="preserve"> </w:t>
      </w:r>
      <w:r w:rsidRPr="00D22CE2">
        <w:rPr>
          <w:rFonts w:asciiTheme="minorHAnsi" w:hAnsiTheme="minorHAnsi"/>
          <w:sz w:val="24"/>
        </w:rPr>
        <w:t>81(1):</w:t>
      </w:r>
      <w:r w:rsidR="00614147">
        <w:rPr>
          <w:rFonts w:asciiTheme="minorHAnsi" w:hAnsiTheme="minorHAnsi"/>
          <w:sz w:val="24"/>
        </w:rPr>
        <w:t xml:space="preserve"> </w:t>
      </w:r>
      <w:r w:rsidRPr="00D22CE2">
        <w:rPr>
          <w:rFonts w:asciiTheme="minorHAnsi" w:hAnsiTheme="minorHAnsi"/>
          <w:sz w:val="24"/>
        </w:rPr>
        <w:t xml:space="preserve">131-6. </w:t>
      </w:r>
    </w:p>
    <w:p w14:paraId="037D0528" w14:textId="77777777" w:rsidR="00F37C8E" w:rsidRPr="00D22CE2" w:rsidRDefault="00F37C8E" w:rsidP="001E225F">
      <w:pPr>
        <w:spacing w:line="360" w:lineRule="auto"/>
        <w:rPr>
          <w:rFonts w:asciiTheme="minorHAnsi" w:hAnsiTheme="minorHAnsi"/>
          <w:sz w:val="24"/>
        </w:rPr>
      </w:pPr>
    </w:p>
    <w:p w14:paraId="6E3B8C12" w14:textId="334362F7" w:rsidR="00F70885" w:rsidRPr="00D22CE2" w:rsidRDefault="00F70885" w:rsidP="001E225F">
      <w:pPr>
        <w:spacing w:after="0" w:line="360" w:lineRule="auto"/>
        <w:rPr>
          <w:rFonts w:asciiTheme="minorHAnsi" w:hAnsiTheme="minorHAnsi" w:cs="Courier New"/>
          <w:sz w:val="24"/>
        </w:rPr>
      </w:pPr>
      <w:r w:rsidRPr="00D22CE2">
        <w:rPr>
          <w:rFonts w:asciiTheme="minorHAnsi" w:hAnsiTheme="minorHAnsi" w:cs="Courier New"/>
          <w:sz w:val="24"/>
        </w:rPr>
        <w:t>[</w:t>
      </w:r>
      <w:r w:rsidR="001C01CF">
        <w:rPr>
          <w:rFonts w:asciiTheme="minorHAnsi" w:hAnsiTheme="minorHAnsi" w:cs="Courier New"/>
          <w:sz w:val="24"/>
        </w:rPr>
        <w:t>45</w:t>
      </w:r>
      <w:r w:rsidRPr="00D22CE2">
        <w:rPr>
          <w:rFonts w:asciiTheme="minorHAnsi" w:hAnsiTheme="minorHAnsi" w:cs="Courier New"/>
          <w:sz w:val="24"/>
        </w:rPr>
        <w:t xml:space="preserve">] </w:t>
      </w:r>
      <w:proofErr w:type="spellStart"/>
      <w:r w:rsidRPr="00D22CE2">
        <w:rPr>
          <w:rFonts w:asciiTheme="minorHAnsi" w:hAnsiTheme="minorHAnsi" w:cs="Courier New"/>
          <w:sz w:val="24"/>
        </w:rPr>
        <w:t>Bratt</w:t>
      </w:r>
      <w:proofErr w:type="spellEnd"/>
      <w:r w:rsidRPr="00D22CE2">
        <w:rPr>
          <w:rFonts w:asciiTheme="minorHAnsi" w:hAnsiTheme="minorHAnsi" w:cs="Courier New"/>
          <w:sz w:val="24"/>
        </w:rPr>
        <w:t xml:space="preserve"> O, </w:t>
      </w:r>
      <w:proofErr w:type="spellStart"/>
      <w:r w:rsidRPr="00D22CE2">
        <w:rPr>
          <w:rFonts w:asciiTheme="minorHAnsi" w:hAnsiTheme="minorHAnsi" w:cs="Courier New"/>
          <w:sz w:val="24"/>
        </w:rPr>
        <w:t>Emanuelsson</w:t>
      </w:r>
      <w:proofErr w:type="spellEnd"/>
      <w:r w:rsidRPr="00D22CE2">
        <w:rPr>
          <w:rFonts w:asciiTheme="minorHAnsi" w:hAnsiTheme="minorHAnsi" w:cs="Courier New"/>
          <w:sz w:val="24"/>
        </w:rPr>
        <w:t xml:space="preserve"> M, </w:t>
      </w:r>
      <w:proofErr w:type="spellStart"/>
      <w:r w:rsidRPr="00D22CE2">
        <w:rPr>
          <w:rFonts w:asciiTheme="minorHAnsi" w:hAnsiTheme="minorHAnsi" w:cs="Courier New"/>
          <w:sz w:val="24"/>
        </w:rPr>
        <w:t>Grönberg</w:t>
      </w:r>
      <w:proofErr w:type="spellEnd"/>
      <w:r w:rsidRPr="00D22CE2">
        <w:rPr>
          <w:rFonts w:asciiTheme="minorHAnsi" w:hAnsiTheme="minorHAnsi" w:cs="Courier New"/>
          <w:sz w:val="24"/>
        </w:rPr>
        <w:t xml:space="preserve"> H. Psychological aspects of</w:t>
      </w:r>
    </w:p>
    <w:p w14:paraId="7D7985BF" w14:textId="77777777" w:rsidR="00F70885" w:rsidRPr="00614147" w:rsidRDefault="00F70885" w:rsidP="001E225F">
      <w:pPr>
        <w:spacing w:after="0" w:line="360" w:lineRule="auto"/>
        <w:rPr>
          <w:rFonts w:asciiTheme="minorHAnsi" w:hAnsiTheme="minorHAnsi" w:cs="Courier New"/>
          <w:i/>
          <w:sz w:val="24"/>
        </w:rPr>
      </w:pPr>
      <w:proofErr w:type="gramStart"/>
      <w:r w:rsidRPr="00D22CE2">
        <w:rPr>
          <w:rFonts w:asciiTheme="minorHAnsi" w:hAnsiTheme="minorHAnsi" w:cs="Courier New"/>
          <w:sz w:val="24"/>
        </w:rPr>
        <w:t>screening</w:t>
      </w:r>
      <w:proofErr w:type="gramEnd"/>
      <w:r w:rsidRPr="00D22CE2">
        <w:rPr>
          <w:rFonts w:asciiTheme="minorHAnsi" w:hAnsiTheme="minorHAnsi" w:cs="Courier New"/>
          <w:sz w:val="24"/>
        </w:rPr>
        <w:t xml:space="preserve"> in families with hereditary prostate cancer. </w:t>
      </w:r>
      <w:r w:rsidRPr="00614147">
        <w:rPr>
          <w:rFonts w:asciiTheme="minorHAnsi" w:hAnsiTheme="minorHAnsi" w:cs="Courier New"/>
          <w:i/>
          <w:sz w:val="24"/>
        </w:rPr>
        <w:t>Scandinavian Journal of</w:t>
      </w:r>
    </w:p>
    <w:p w14:paraId="3A0CF04A" w14:textId="03AF5891" w:rsidR="00BE436B" w:rsidRDefault="00F70885" w:rsidP="001E225F">
      <w:pPr>
        <w:spacing w:after="0" w:line="360" w:lineRule="auto"/>
        <w:rPr>
          <w:rFonts w:asciiTheme="minorHAnsi" w:hAnsiTheme="minorHAnsi" w:cs="Courier New"/>
          <w:sz w:val="24"/>
        </w:rPr>
      </w:pPr>
      <w:r w:rsidRPr="00614147">
        <w:rPr>
          <w:rFonts w:asciiTheme="minorHAnsi" w:hAnsiTheme="minorHAnsi" w:cs="Courier New"/>
          <w:i/>
          <w:sz w:val="24"/>
        </w:rPr>
        <w:t>Urology and Nephrology</w:t>
      </w:r>
      <w:r w:rsidRPr="00D22CE2">
        <w:rPr>
          <w:rFonts w:asciiTheme="minorHAnsi" w:hAnsiTheme="minorHAnsi" w:cs="Courier New"/>
          <w:sz w:val="24"/>
        </w:rPr>
        <w:t xml:space="preserve"> </w:t>
      </w:r>
      <w:r w:rsidR="00614147">
        <w:rPr>
          <w:rFonts w:asciiTheme="minorHAnsi" w:hAnsiTheme="minorHAnsi" w:cs="Courier New"/>
          <w:sz w:val="24"/>
        </w:rPr>
        <w:t xml:space="preserve">2003; </w:t>
      </w:r>
      <w:r w:rsidRPr="00D22CE2">
        <w:rPr>
          <w:rFonts w:asciiTheme="minorHAnsi" w:hAnsiTheme="minorHAnsi" w:cs="Courier New"/>
          <w:sz w:val="24"/>
        </w:rPr>
        <w:t>37(1): 5-9.</w:t>
      </w:r>
    </w:p>
    <w:p w14:paraId="1D6B231F" w14:textId="77777777" w:rsidR="00F37C8E" w:rsidRDefault="00F37C8E" w:rsidP="001E225F">
      <w:pPr>
        <w:spacing w:after="0" w:line="360" w:lineRule="auto"/>
        <w:rPr>
          <w:rFonts w:asciiTheme="minorHAnsi" w:hAnsiTheme="minorHAnsi" w:cs="Courier New"/>
          <w:sz w:val="24"/>
        </w:rPr>
      </w:pPr>
    </w:p>
    <w:p w14:paraId="322F26BE" w14:textId="3B3861FE" w:rsidR="00F37C8E" w:rsidRPr="00D22CE2" w:rsidRDefault="00F37C8E" w:rsidP="001E225F">
      <w:pPr>
        <w:spacing w:line="360" w:lineRule="auto"/>
        <w:rPr>
          <w:rFonts w:asciiTheme="minorHAnsi" w:hAnsiTheme="minorHAnsi"/>
          <w:sz w:val="24"/>
        </w:rPr>
      </w:pPr>
      <w:r w:rsidRPr="00D22CE2">
        <w:rPr>
          <w:rFonts w:asciiTheme="minorHAnsi" w:hAnsiTheme="minorHAnsi" w:cs="Courier New"/>
          <w:sz w:val="24"/>
        </w:rPr>
        <w:t>[</w:t>
      </w:r>
      <w:r w:rsidR="001C01CF">
        <w:rPr>
          <w:rFonts w:asciiTheme="minorHAnsi" w:hAnsiTheme="minorHAnsi" w:cs="Courier New"/>
          <w:sz w:val="24"/>
        </w:rPr>
        <w:t>46</w:t>
      </w:r>
      <w:r w:rsidRPr="00D22CE2">
        <w:rPr>
          <w:rFonts w:asciiTheme="minorHAnsi" w:hAnsiTheme="minorHAnsi" w:cs="Courier New"/>
          <w:sz w:val="24"/>
        </w:rPr>
        <w:t xml:space="preserve">] </w:t>
      </w:r>
      <w:proofErr w:type="spellStart"/>
      <w:r w:rsidRPr="00D22CE2">
        <w:rPr>
          <w:rFonts w:asciiTheme="minorHAnsi" w:hAnsiTheme="minorHAnsi"/>
          <w:sz w:val="24"/>
        </w:rPr>
        <w:t>Brunton</w:t>
      </w:r>
      <w:proofErr w:type="spellEnd"/>
      <w:r w:rsidRPr="00D22CE2">
        <w:rPr>
          <w:rFonts w:asciiTheme="minorHAnsi" w:hAnsiTheme="minorHAnsi"/>
          <w:sz w:val="24"/>
        </w:rPr>
        <w:t xml:space="preserve"> M, Jordan C, Campbell I. Anxiety before, during, and after participation in a population-based screening mammography programme in Waikato Province, New Zealand. </w:t>
      </w:r>
      <w:r w:rsidRPr="00614147">
        <w:rPr>
          <w:rFonts w:asciiTheme="minorHAnsi" w:hAnsiTheme="minorHAnsi"/>
          <w:i/>
          <w:sz w:val="24"/>
        </w:rPr>
        <w:t>N Z Med J.</w:t>
      </w:r>
      <w:r w:rsidRPr="00D22CE2">
        <w:rPr>
          <w:rFonts w:asciiTheme="minorHAnsi" w:hAnsiTheme="minorHAnsi"/>
          <w:sz w:val="24"/>
        </w:rPr>
        <w:t xml:space="preserve"> 2005;</w:t>
      </w:r>
      <w:r w:rsidR="00614147">
        <w:rPr>
          <w:rFonts w:asciiTheme="minorHAnsi" w:hAnsiTheme="minorHAnsi"/>
          <w:sz w:val="24"/>
        </w:rPr>
        <w:t xml:space="preserve"> </w:t>
      </w:r>
      <w:r w:rsidRPr="00D22CE2">
        <w:rPr>
          <w:rFonts w:asciiTheme="minorHAnsi" w:hAnsiTheme="minorHAnsi"/>
          <w:sz w:val="24"/>
        </w:rPr>
        <w:t>118(1209):</w:t>
      </w:r>
      <w:r w:rsidR="00614147">
        <w:rPr>
          <w:rFonts w:asciiTheme="minorHAnsi" w:hAnsiTheme="minorHAnsi"/>
          <w:sz w:val="24"/>
        </w:rPr>
        <w:t xml:space="preserve"> </w:t>
      </w:r>
      <w:r w:rsidRPr="00D22CE2">
        <w:rPr>
          <w:rFonts w:asciiTheme="minorHAnsi" w:hAnsiTheme="minorHAnsi"/>
          <w:sz w:val="24"/>
        </w:rPr>
        <w:t>U1299.</w:t>
      </w:r>
    </w:p>
    <w:p w14:paraId="55EE0FA1" w14:textId="77777777" w:rsidR="00F37C8E" w:rsidRPr="00D22CE2" w:rsidRDefault="00F37C8E" w:rsidP="00F70885">
      <w:pPr>
        <w:spacing w:after="0"/>
        <w:rPr>
          <w:rFonts w:asciiTheme="minorHAnsi" w:hAnsiTheme="minorHAnsi"/>
          <w:sz w:val="24"/>
        </w:rPr>
      </w:pPr>
    </w:p>
    <w:p w14:paraId="28DA6DB4" w14:textId="77777777" w:rsidR="00427B1F" w:rsidRDefault="00427B1F">
      <w:pPr>
        <w:spacing w:after="160" w:line="259" w:lineRule="auto"/>
        <w:rPr>
          <w:rFonts w:cs="Courier New"/>
          <w:b/>
        </w:rPr>
      </w:pPr>
    </w:p>
    <w:p w14:paraId="668ADDAA" w14:textId="77777777" w:rsidR="00C147BE" w:rsidRPr="0011464F" w:rsidRDefault="00D22CE2" w:rsidP="00C147BE">
      <w:pPr>
        <w:pStyle w:val="Caption"/>
        <w:keepNext/>
        <w:spacing w:before="200" w:after="0"/>
        <w:rPr>
          <w:sz w:val="24"/>
          <w:szCs w:val="24"/>
        </w:rPr>
      </w:pPr>
      <w:r>
        <w:rPr>
          <w:rFonts w:asciiTheme="minorHAnsi" w:hAnsiTheme="minorHAnsi" w:cs="Courier New"/>
          <w:b/>
          <w:sz w:val="24"/>
        </w:rPr>
        <w:br w:type="page"/>
      </w:r>
      <w:r w:rsidR="00C147BE" w:rsidRPr="0011464F">
        <w:rPr>
          <w:sz w:val="24"/>
          <w:szCs w:val="24"/>
        </w:rPr>
        <w:lastRenderedPageBreak/>
        <w:t xml:space="preserve">Table </w:t>
      </w:r>
      <w:r w:rsidR="00C147BE" w:rsidRPr="0011464F">
        <w:rPr>
          <w:sz w:val="24"/>
          <w:szCs w:val="24"/>
        </w:rPr>
        <w:fldChar w:fldCharType="begin"/>
      </w:r>
      <w:r w:rsidR="00C147BE" w:rsidRPr="0011464F">
        <w:rPr>
          <w:sz w:val="24"/>
          <w:szCs w:val="24"/>
        </w:rPr>
        <w:instrText xml:space="preserve"> SEQ Table \* ARABIC </w:instrText>
      </w:r>
      <w:r w:rsidR="00C147BE" w:rsidRPr="0011464F">
        <w:rPr>
          <w:sz w:val="24"/>
          <w:szCs w:val="24"/>
        </w:rPr>
        <w:fldChar w:fldCharType="separate"/>
      </w:r>
      <w:r w:rsidR="00C147BE" w:rsidRPr="0011464F">
        <w:rPr>
          <w:noProof/>
          <w:sz w:val="24"/>
          <w:szCs w:val="24"/>
        </w:rPr>
        <w:t>1</w:t>
      </w:r>
      <w:r w:rsidR="00C147BE" w:rsidRPr="0011464F">
        <w:rPr>
          <w:noProof/>
          <w:sz w:val="24"/>
          <w:szCs w:val="24"/>
        </w:rPr>
        <w:fldChar w:fldCharType="end"/>
      </w:r>
      <w:r w:rsidR="00C147BE" w:rsidRPr="0011464F">
        <w:rPr>
          <w:sz w:val="24"/>
          <w:szCs w:val="24"/>
        </w:rPr>
        <w:t>: Sociodemographics of the cohort</w:t>
      </w:r>
    </w:p>
    <w:tbl>
      <w:tblPr>
        <w:tblW w:w="8300" w:type="dxa"/>
        <w:tblInd w:w="252" w:type="dxa"/>
        <w:tblLayout w:type="fixed"/>
        <w:tblCellMar>
          <w:left w:w="10" w:type="dxa"/>
          <w:right w:w="10" w:type="dxa"/>
        </w:tblCellMar>
        <w:tblLook w:val="0000" w:firstRow="0" w:lastRow="0" w:firstColumn="0" w:lastColumn="0" w:noHBand="0" w:noVBand="0"/>
      </w:tblPr>
      <w:tblGrid>
        <w:gridCol w:w="2785"/>
        <w:gridCol w:w="2756"/>
        <w:gridCol w:w="2759"/>
      </w:tblGrid>
      <w:tr w:rsidR="00C147BE" w:rsidRPr="00FA4D1E" w14:paraId="70BC5E91" w14:textId="77777777" w:rsidTr="006B4611">
        <w:tc>
          <w:tcPr>
            <w:tcW w:w="278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7866B8C4" w14:textId="77777777" w:rsidR="00C147BE" w:rsidRDefault="00C147BE" w:rsidP="006B4611">
            <w:pPr>
              <w:pStyle w:val="ListParagraph"/>
              <w:spacing w:after="0" w:line="240" w:lineRule="auto"/>
              <w:ind w:left="0"/>
              <w:rPr>
                <w:b/>
                <w:sz w:val="24"/>
                <w:szCs w:val="24"/>
              </w:rPr>
            </w:pPr>
          </w:p>
        </w:tc>
        <w:tc>
          <w:tcPr>
            <w:tcW w:w="275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17CB3AA1" w14:textId="77777777" w:rsidR="00C147BE" w:rsidRDefault="00C147BE" w:rsidP="006B4611">
            <w:pPr>
              <w:pStyle w:val="ListParagraph"/>
              <w:spacing w:after="0" w:line="240" w:lineRule="auto"/>
              <w:ind w:left="0"/>
            </w:pPr>
            <w:r>
              <w:rPr>
                <w:b/>
                <w:sz w:val="24"/>
                <w:szCs w:val="24"/>
              </w:rPr>
              <w:t>N</w:t>
            </w:r>
          </w:p>
        </w:tc>
        <w:tc>
          <w:tcPr>
            <w:tcW w:w="275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A94FD0A" w14:textId="77777777" w:rsidR="00C147BE" w:rsidRDefault="00C147BE" w:rsidP="006B4611">
            <w:pPr>
              <w:pStyle w:val="ListParagraph"/>
              <w:spacing w:after="0" w:line="240" w:lineRule="auto"/>
              <w:ind w:left="0"/>
            </w:pPr>
            <w:r>
              <w:rPr>
                <w:b/>
                <w:sz w:val="24"/>
                <w:szCs w:val="24"/>
              </w:rPr>
              <w:t>%</w:t>
            </w:r>
          </w:p>
        </w:tc>
      </w:tr>
      <w:tr w:rsidR="00C147BE" w:rsidRPr="00FA4D1E" w14:paraId="704727BF" w14:textId="77777777" w:rsidTr="006B4611">
        <w:tc>
          <w:tcPr>
            <w:tcW w:w="278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584DD23" w14:textId="77777777" w:rsidR="00C147BE" w:rsidRDefault="00C147BE" w:rsidP="006B4611">
            <w:pPr>
              <w:pStyle w:val="ListParagraph"/>
              <w:spacing w:after="0" w:line="240" w:lineRule="auto"/>
              <w:ind w:left="0"/>
              <w:rPr>
                <w:i/>
                <w:sz w:val="24"/>
                <w:szCs w:val="24"/>
              </w:rPr>
            </w:pPr>
            <w:r>
              <w:rPr>
                <w:i/>
                <w:sz w:val="24"/>
                <w:szCs w:val="24"/>
              </w:rPr>
              <w:t>Age</w:t>
            </w:r>
          </w:p>
        </w:tc>
        <w:tc>
          <w:tcPr>
            <w:tcW w:w="275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5242FF3" w14:textId="77777777" w:rsidR="00C147BE" w:rsidRPr="007C5292" w:rsidRDefault="00C147BE" w:rsidP="006B4611">
            <w:pPr>
              <w:pStyle w:val="ListParagraph"/>
              <w:spacing w:after="0" w:line="240" w:lineRule="auto"/>
              <w:ind w:left="0"/>
              <w:rPr>
                <w:sz w:val="24"/>
                <w:szCs w:val="24"/>
              </w:rPr>
            </w:pPr>
            <w:r w:rsidRPr="007C5292">
              <w:rPr>
                <w:sz w:val="24"/>
                <w:szCs w:val="24"/>
              </w:rPr>
              <w:t>Mean: 53.1; Median: 53.0</w:t>
            </w:r>
          </w:p>
        </w:tc>
        <w:tc>
          <w:tcPr>
            <w:tcW w:w="275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8506BDF" w14:textId="77777777" w:rsidR="00C147BE" w:rsidRPr="007C5292" w:rsidRDefault="00C147BE" w:rsidP="006B4611">
            <w:pPr>
              <w:pStyle w:val="ListParagraph"/>
              <w:spacing w:after="0" w:line="240" w:lineRule="auto"/>
              <w:ind w:left="0"/>
              <w:rPr>
                <w:sz w:val="24"/>
                <w:szCs w:val="24"/>
              </w:rPr>
            </w:pPr>
            <w:r w:rsidRPr="007C5292">
              <w:rPr>
                <w:sz w:val="24"/>
                <w:szCs w:val="24"/>
              </w:rPr>
              <w:t>SD: 8.5</w:t>
            </w:r>
          </w:p>
        </w:tc>
      </w:tr>
      <w:tr w:rsidR="00C147BE" w:rsidRPr="00FA4D1E" w14:paraId="7750BC96" w14:textId="77777777" w:rsidTr="006B4611">
        <w:tc>
          <w:tcPr>
            <w:tcW w:w="278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74CCAD24" w14:textId="77777777" w:rsidR="00C147BE" w:rsidRDefault="00C147BE" w:rsidP="006B4611">
            <w:pPr>
              <w:pStyle w:val="Standard"/>
              <w:spacing w:after="0" w:line="240" w:lineRule="auto"/>
            </w:pPr>
            <w:r>
              <w:rPr>
                <w:i/>
                <w:sz w:val="24"/>
                <w:szCs w:val="24"/>
              </w:rPr>
              <w:t>Education</w:t>
            </w:r>
          </w:p>
        </w:tc>
        <w:tc>
          <w:tcPr>
            <w:tcW w:w="275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B1B2780" w14:textId="77777777" w:rsidR="00C147BE" w:rsidRDefault="00C147BE" w:rsidP="006B4611">
            <w:pPr>
              <w:pStyle w:val="ListParagraph"/>
              <w:spacing w:after="0" w:line="240" w:lineRule="auto"/>
              <w:ind w:left="0"/>
            </w:pPr>
            <w:r>
              <w:rPr>
                <w:b/>
                <w:sz w:val="24"/>
                <w:szCs w:val="24"/>
              </w:rPr>
              <w:t>415</w:t>
            </w:r>
          </w:p>
        </w:tc>
        <w:tc>
          <w:tcPr>
            <w:tcW w:w="275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BC74939" w14:textId="77777777" w:rsidR="00C147BE" w:rsidRDefault="00C147BE" w:rsidP="006B4611">
            <w:pPr>
              <w:pStyle w:val="ListParagraph"/>
              <w:spacing w:after="0" w:line="240" w:lineRule="auto"/>
              <w:ind w:left="0"/>
            </w:pPr>
            <w:r>
              <w:rPr>
                <w:b/>
                <w:sz w:val="24"/>
                <w:szCs w:val="24"/>
              </w:rPr>
              <w:t>96.1</w:t>
            </w:r>
          </w:p>
        </w:tc>
      </w:tr>
      <w:tr w:rsidR="00C147BE" w:rsidRPr="00FA4D1E" w14:paraId="02713C41" w14:textId="77777777" w:rsidTr="006B4611">
        <w:tc>
          <w:tcPr>
            <w:tcW w:w="278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F5FBF20" w14:textId="77777777" w:rsidR="00C147BE" w:rsidRDefault="00C147BE" w:rsidP="006B4611">
            <w:pPr>
              <w:pStyle w:val="Standard"/>
              <w:spacing w:after="0" w:line="240" w:lineRule="auto"/>
            </w:pPr>
            <w:r>
              <w:t>Pre-high school</w:t>
            </w:r>
          </w:p>
        </w:tc>
        <w:tc>
          <w:tcPr>
            <w:tcW w:w="275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4734198C" w14:textId="77777777" w:rsidR="00C147BE" w:rsidRDefault="00C147BE" w:rsidP="006B4611">
            <w:pPr>
              <w:pStyle w:val="Standard"/>
              <w:spacing w:after="0" w:line="240" w:lineRule="auto"/>
            </w:pPr>
            <w:r w:rsidRPr="00F76F6D">
              <w:t>108</w:t>
            </w:r>
          </w:p>
        </w:tc>
        <w:tc>
          <w:tcPr>
            <w:tcW w:w="275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34C4F17E" w14:textId="77777777" w:rsidR="00C147BE" w:rsidRDefault="00C147BE" w:rsidP="006B4611">
            <w:pPr>
              <w:pStyle w:val="Standard"/>
              <w:spacing w:after="0" w:line="240" w:lineRule="auto"/>
            </w:pPr>
            <w:r w:rsidRPr="00F76F6D">
              <w:t>25.0</w:t>
            </w:r>
          </w:p>
        </w:tc>
      </w:tr>
      <w:tr w:rsidR="00C147BE" w:rsidRPr="00FA4D1E" w14:paraId="0AEF6A4A" w14:textId="77777777" w:rsidTr="00F6290C">
        <w:trPr>
          <w:trHeight w:val="297"/>
        </w:trPr>
        <w:tc>
          <w:tcPr>
            <w:tcW w:w="278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4D21360C" w14:textId="77777777" w:rsidR="00C147BE" w:rsidRDefault="00C147BE" w:rsidP="006B4611">
            <w:pPr>
              <w:pStyle w:val="Standard"/>
              <w:spacing w:after="0" w:line="240" w:lineRule="auto"/>
            </w:pPr>
            <w:r>
              <w:t>High school or technical</w:t>
            </w:r>
          </w:p>
        </w:tc>
        <w:tc>
          <w:tcPr>
            <w:tcW w:w="275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E233931" w14:textId="77777777" w:rsidR="00C147BE" w:rsidRDefault="00C147BE" w:rsidP="006B4611">
            <w:pPr>
              <w:pStyle w:val="Standard"/>
              <w:spacing w:after="0" w:line="240" w:lineRule="auto"/>
            </w:pPr>
            <w:r w:rsidRPr="00F76F6D">
              <w:t>144</w:t>
            </w:r>
          </w:p>
        </w:tc>
        <w:tc>
          <w:tcPr>
            <w:tcW w:w="275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7855B436" w14:textId="77777777" w:rsidR="00C147BE" w:rsidRDefault="00C147BE" w:rsidP="006B4611">
            <w:pPr>
              <w:pStyle w:val="Standard"/>
              <w:spacing w:after="0" w:line="240" w:lineRule="auto"/>
            </w:pPr>
            <w:r w:rsidRPr="00F76F6D">
              <w:t>33.3</w:t>
            </w:r>
          </w:p>
        </w:tc>
      </w:tr>
      <w:tr w:rsidR="00C147BE" w:rsidRPr="00FA4D1E" w14:paraId="70315700" w14:textId="77777777" w:rsidTr="006B4611">
        <w:tc>
          <w:tcPr>
            <w:tcW w:w="278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1DCD574D" w14:textId="77777777" w:rsidR="00C147BE" w:rsidRDefault="00C147BE" w:rsidP="006B4611">
            <w:pPr>
              <w:pStyle w:val="Standard"/>
              <w:spacing w:after="0" w:line="240" w:lineRule="auto"/>
            </w:pPr>
            <w:r>
              <w:t>Degree or postgraduate</w:t>
            </w:r>
          </w:p>
        </w:tc>
        <w:tc>
          <w:tcPr>
            <w:tcW w:w="275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99AE436" w14:textId="77777777" w:rsidR="00C147BE" w:rsidRDefault="00C147BE" w:rsidP="006B4611">
            <w:pPr>
              <w:pStyle w:val="Standard"/>
              <w:spacing w:after="0" w:line="240" w:lineRule="auto"/>
            </w:pPr>
            <w:r w:rsidRPr="00F76F6D">
              <w:t>163</w:t>
            </w:r>
          </w:p>
        </w:tc>
        <w:tc>
          <w:tcPr>
            <w:tcW w:w="275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7631D124" w14:textId="77777777" w:rsidR="00C147BE" w:rsidRDefault="00C147BE" w:rsidP="006B4611">
            <w:pPr>
              <w:pStyle w:val="Standard"/>
              <w:spacing w:after="0" w:line="240" w:lineRule="auto"/>
            </w:pPr>
            <w:r w:rsidRPr="00F76F6D">
              <w:t>37.7</w:t>
            </w:r>
          </w:p>
        </w:tc>
      </w:tr>
      <w:tr w:rsidR="00C147BE" w:rsidRPr="00FA4D1E" w14:paraId="54277E05" w14:textId="77777777" w:rsidTr="006B4611">
        <w:tc>
          <w:tcPr>
            <w:tcW w:w="278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2FE37DD5" w14:textId="77777777" w:rsidR="00C147BE" w:rsidRDefault="00C147BE" w:rsidP="006B4611">
            <w:pPr>
              <w:pStyle w:val="Standard"/>
              <w:spacing w:after="0" w:line="240" w:lineRule="auto"/>
              <w:rPr>
                <w:i/>
                <w:sz w:val="24"/>
                <w:szCs w:val="24"/>
              </w:rPr>
            </w:pPr>
            <w:r>
              <w:rPr>
                <w:i/>
                <w:sz w:val="24"/>
                <w:szCs w:val="24"/>
              </w:rPr>
              <w:t>Employment</w:t>
            </w:r>
          </w:p>
        </w:tc>
        <w:tc>
          <w:tcPr>
            <w:tcW w:w="275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455F1E55" w14:textId="77777777" w:rsidR="00C147BE" w:rsidRDefault="00C147BE" w:rsidP="006B4611">
            <w:pPr>
              <w:pStyle w:val="ListParagraph"/>
              <w:spacing w:after="0" w:line="240" w:lineRule="auto"/>
              <w:ind w:left="0"/>
              <w:rPr>
                <w:b/>
                <w:sz w:val="24"/>
                <w:szCs w:val="24"/>
              </w:rPr>
            </w:pPr>
            <w:r>
              <w:rPr>
                <w:b/>
                <w:sz w:val="24"/>
                <w:szCs w:val="24"/>
              </w:rPr>
              <w:t>429</w:t>
            </w:r>
          </w:p>
        </w:tc>
        <w:tc>
          <w:tcPr>
            <w:tcW w:w="275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D1B876E" w14:textId="77777777" w:rsidR="00C147BE" w:rsidRDefault="00C147BE" w:rsidP="006B4611">
            <w:pPr>
              <w:pStyle w:val="ListParagraph"/>
              <w:spacing w:after="0" w:line="240" w:lineRule="auto"/>
              <w:ind w:left="0"/>
              <w:rPr>
                <w:b/>
                <w:sz w:val="24"/>
                <w:szCs w:val="24"/>
              </w:rPr>
            </w:pPr>
            <w:r>
              <w:rPr>
                <w:b/>
                <w:sz w:val="24"/>
                <w:szCs w:val="24"/>
              </w:rPr>
              <w:t>99.3</w:t>
            </w:r>
          </w:p>
        </w:tc>
      </w:tr>
      <w:tr w:rsidR="00C147BE" w:rsidRPr="00FA4D1E" w14:paraId="00E13B2D" w14:textId="77777777" w:rsidTr="006B4611">
        <w:tc>
          <w:tcPr>
            <w:tcW w:w="278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A1A77C9" w14:textId="77777777" w:rsidR="00C147BE" w:rsidRDefault="00C147BE" w:rsidP="006B4611">
            <w:pPr>
              <w:pStyle w:val="Standard"/>
              <w:spacing w:after="0" w:line="240" w:lineRule="auto"/>
              <w:rPr>
                <w:i/>
                <w:sz w:val="24"/>
                <w:szCs w:val="24"/>
              </w:rPr>
            </w:pPr>
            <w:r>
              <w:t>In active paid work</w:t>
            </w:r>
          </w:p>
        </w:tc>
        <w:tc>
          <w:tcPr>
            <w:tcW w:w="275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34721810" w14:textId="77777777" w:rsidR="00C147BE" w:rsidRDefault="00C147BE" w:rsidP="006B4611">
            <w:pPr>
              <w:pStyle w:val="ListParagraph"/>
              <w:spacing w:after="0" w:line="240" w:lineRule="auto"/>
              <w:ind w:left="0"/>
              <w:rPr>
                <w:b/>
                <w:sz w:val="24"/>
                <w:szCs w:val="24"/>
              </w:rPr>
            </w:pPr>
            <w:r w:rsidRPr="00CC1E77">
              <w:t>328</w:t>
            </w:r>
          </w:p>
        </w:tc>
        <w:tc>
          <w:tcPr>
            <w:tcW w:w="275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1811E094" w14:textId="77777777" w:rsidR="00C147BE" w:rsidRDefault="00C147BE" w:rsidP="006B4611">
            <w:pPr>
              <w:pStyle w:val="ListParagraph"/>
              <w:spacing w:after="0" w:line="240" w:lineRule="auto"/>
              <w:ind w:left="0"/>
              <w:rPr>
                <w:b/>
                <w:sz w:val="24"/>
                <w:szCs w:val="24"/>
              </w:rPr>
            </w:pPr>
            <w:r w:rsidRPr="00CC1E77">
              <w:t>75.9</w:t>
            </w:r>
          </w:p>
        </w:tc>
      </w:tr>
      <w:tr w:rsidR="00C147BE" w:rsidRPr="00FA4D1E" w14:paraId="790E2BA3" w14:textId="77777777" w:rsidTr="006B4611">
        <w:tc>
          <w:tcPr>
            <w:tcW w:w="278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BA7E3AB" w14:textId="77777777" w:rsidR="00C147BE" w:rsidRDefault="00C147BE" w:rsidP="006B4611">
            <w:pPr>
              <w:pStyle w:val="Standard"/>
              <w:spacing w:after="0" w:line="240" w:lineRule="auto"/>
              <w:rPr>
                <w:i/>
                <w:sz w:val="24"/>
                <w:szCs w:val="24"/>
              </w:rPr>
            </w:pPr>
            <w:r>
              <w:t>Retired</w:t>
            </w:r>
          </w:p>
        </w:tc>
        <w:tc>
          <w:tcPr>
            <w:tcW w:w="275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2D60B69" w14:textId="77777777" w:rsidR="00C147BE" w:rsidRDefault="00C147BE" w:rsidP="006B4611">
            <w:pPr>
              <w:pStyle w:val="ListParagraph"/>
              <w:spacing w:after="0" w:line="240" w:lineRule="auto"/>
              <w:ind w:left="0"/>
              <w:rPr>
                <w:b/>
                <w:sz w:val="24"/>
                <w:szCs w:val="24"/>
              </w:rPr>
            </w:pPr>
            <w:r w:rsidRPr="00CC1E77">
              <w:t>82</w:t>
            </w:r>
          </w:p>
        </w:tc>
        <w:tc>
          <w:tcPr>
            <w:tcW w:w="275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78809CD9" w14:textId="77777777" w:rsidR="00C147BE" w:rsidRDefault="00C147BE" w:rsidP="006B4611">
            <w:pPr>
              <w:pStyle w:val="ListParagraph"/>
              <w:spacing w:after="0" w:line="240" w:lineRule="auto"/>
              <w:ind w:left="0"/>
              <w:rPr>
                <w:b/>
                <w:sz w:val="24"/>
                <w:szCs w:val="24"/>
              </w:rPr>
            </w:pPr>
            <w:r w:rsidRPr="00CC1E77">
              <w:t>19.0</w:t>
            </w:r>
          </w:p>
        </w:tc>
      </w:tr>
      <w:tr w:rsidR="00C147BE" w:rsidRPr="00FA4D1E" w14:paraId="3C9B1D92" w14:textId="77777777" w:rsidTr="006B4611">
        <w:tc>
          <w:tcPr>
            <w:tcW w:w="278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2FAD0154" w14:textId="77777777" w:rsidR="00C147BE" w:rsidRDefault="00C147BE" w:rsidP="006B4611">
            <w:pPr>
              <w:pStyle w:val="Standard"/>
              <w:spacing w:after="0" w:line="240" w:lineRule="auto"/>
              <w:rPr>
                <w:i/>
                <w:sz w:val="24"/>
                <w:szCs w:val="24"/>
              </w:rPr>
            </w:pPr>
            <w:r>
              <w:t>Unemployed</w:t>
            </w:r>
          </w:p>
        </w:tc>
        <w:tc>
          <w:tcPr>
            <w:tcW w:w="275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1B18C9C3" w14:textId="77777777" w:rsidR="00C147BE" w:rsidRDefault="00C147BE" w:rsidP="006B4611">
            <w:pPr>
              <w:pStyle w:val="ListParagraph"/>
              <w:spacing w:after="0" w:line="240" w:lineRule="auto"/>
              <w:ind w:left="0"/>
              <w:rPr>
                <w:b/>
                <w:sz w:val="24"/>
                <w:szCs w:val="24"/>
              </w:rPr>
            </w:pPr>
            <w:r w:rsidRPr="00CC1E77">
              <w:t>19</w:t>
            </w:r>
          </w:p>
        </w:tc>
        <w:tc>
          <w:tcPr>
            <w:tcW w:w="275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2100F3F1" w14:textId="77777777" w:rsidR="00C147BE" w:rsidRDefault="00C147BE" w:rsidP="006B4611">
            <w:pPr>
              <w:pStyle w:val="ListParagraph"/>
              <w:spacing w:after="0" w:line="240" w:lineRule="auto"/>
              <w:ind w:left="0"/>
              <w:rPr>
                <w:b/>
                <w:sz w:val="24"/>
                <w:szCs w:val="24"/>
              </w:rPr>
            </w:pPr>
            <w:r w:rsidRPr="00CC1E77">
              <w:t>4.4</w:t>
            </w:r>
          </w:p>
        </w:tc>
      </w:tr>
      <w:tr w:rsidR="00C147BE" w:rsidRPr="00FA4D1E" w14:paraId="187BFEB9" w14:textId="77777777" w:rsidTr="006B4611">
        <w:tc>
          <w:tcPr>
            <w:tcW w:w="278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25CA4CA6" w14:textId="77777777" w:rsidR="00C147BE" w:rsidRDefault="00C147BE" w:rsidP="006B4611">
            <w:pPr>
              <w:pStyle w:val="Standard"/>
              <w:spacing w:after="0" w:line="240" w:lineRule="auto"/>
            </w:pPr>
            <w:r>
              <w:rPr>
                <w:i/>
                <w:sz w:val="24"/>
                <w:szCs w:val="24"/>
              </w:rPr>
              <w:t>Family history of prostate cancer</w:t>
            </w:r>
          </w:p>
        </w:tc>
        <w:tc>
          <w:tcPr>
            <w:tcW w:w="275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CEB3147" w14:textId="77777777" w:rsidR="00C147BE" w:rsidRDefault="00C147BE" w:rsidP="006B4611">
            <w:pPr>
              <w:pStyle w:val="ListParagraph"/>
              <w:spacing w:after="0" w:line="240" w:lineRule="auto"/>
              <w:ind w:left="0"/>
            </w:pPr>
            <w:r>
              <w:rPr>
                <w:b/>
                <w:sz w:val="24"/>
                <w:szCs w:val="24"/>
              </w:rPr>
              <w:t>432</w:t>
            </w:r>
          </w:p>
        </w:tc>
        <w:tc>
          <w:tcPr>
            <w:tcW w:w="275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45CE5ABE" w14:textId="77777777" w:rsidR="00C147BE" w:rsidRDefault="00C147BE" w:rsidP="006B4611">
            <w:pPr>
              <w:pStyle w:val="ListParagraph"/>
              <w:spacing w:after="0" w:line="240" w:lineRule="auto"/>
              <w:ind w:left="0"/>
            </w:pPr>
            <w:r>
              <w:rPr>
                <w:b/>
                <w:sz w:val="24"/>
                <w:szCs w:val="24"/>
              </w:rPr>
              <w:t>100</w:t>
            </w:r>
          </w:p>
        </w:tc>
      </w:tr>
      <w:tr w:rsidR="00C147BE" w:rsidRPr="00FA4D1E" w14:paraId="262435DE" w14:textId="77777777" w:rsidTr="006B4611">
        <w:tc>
          <w:tcPr>
            <w:tcW w:w="278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7E7AE8F" w14:textId="77777777" w:rsidR="00C147BE" w:rsidRDefault="00C147BE" w:rsidP="006B4611">
            <w:pPr>
              <w:pStyle w:val="Standard"/>
              <w:spacing w:after="0" w:line="240" w:lineRule="auto"/>
            </w:pPr>
            <w:r>
              <w:t>None</w:t>
            </w:r>
          </w:p>
        </w:tc>
        <w:tc>
          <w:tcPr>
            <w:tcW w:w="275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3E209C5C" w14:textId="77777777" w:rsidR="00C147BE" w:rsidRDefault="00C147BE" w:rsidP="006B4611">
            <w:pPr>
              <w:pStyle w:val="Standard"/>
              <w:spacing w:after="0" w:line="240" w:lineRule="auto"/>
            </w:pPr>
            <w:r w:rsidRPr="00F46A0B">
              <w:t>293</w:t>
            </w:r>
          </w:p>
        </w:tc>
        <w:tc>
          <w:tcPr>
            <w:tcW w:w="275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41B4B4B" w14:textId="77777777" w:rsidR="00C147BE" w:rsidRDefault="00C147BE" w:rsidP="006B4611">
            <w:pPr>
              <w:pStyle w:val="Standard"/>
              <w:spacing w:after="0" w:line="240" w:lineRule="auto"/>
            </w:pPr>
            <w:r w:rsidRPr="00F46A0B">
              <w:t>67.8</w:t>
            </w:r>
          </w:p>
        </w:tc>
      </w:tr>
      <w:tr w:rsidR="00C147BE" w:rsidRPr="00FA4D1E" w14:paraId="1E37AFFE" w14:textId="77777777" w:rsidTr="006B4611">
        <w:tc>
          <w:tcPr>
            <w:tcW w:w="278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bottom"/>
          </w:tcPr>
          <w:p w14:paraId="56335346" w14:textId="77777777" w:rsidR="00C147BE" w:rsidRDefault="00C147BE" w:rsidP="006B4611">
            <w:pPr>
              <w:pStyle w:val="Standard"/>
              <w:spacing w:after="0" w:line="240" w:lineRule="auto"/>
            </w:pPr>
            <w:r>
              <w:t>In</w:t>
            </w:r>
            <w:r w:rsidRPr="006446B6">
              <w:t xml:space="preserve"> ≥1 first degree relative</w:t>
            </w:r>
          </w:p>
        </w:tc>
        <w:tc>
          <w:tcPr>
            <w:tcW w:w="275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A0E852A" w14:textId="77777777" w:rsidR="00C147BE" w:rsidRDefault="00C147BE" w:rsidP="006B4611">
            <w:pPr>
              <w:pStyle w:val="Standard"/>
              <w:spacing w:after="0" w:line="240" w:lineRule="auto"/>
            </w:pPr>
            <w:r w:rsidRPr="00F46A0B">
              <w:t>139</w:t>
            </w:r>
          </w:p>
        </w:tc>
        <w:tc>
          <w:tcPr>
            <w:tcW w:w="275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A1762D7" w14:textId="77777777" w:rsidR="00C147BE" w:rsidRDefault="00C147BE" w:rsidP="006B4611">
            <w:pPr>
              <w:pStyle w:val="Standard"/>
              <w:spacing w:after="0" w:line="240" w:lineRule="auto"/>
            </w:pPr>
            <w:r w:rsidRPr="00F46A0B">
              <w:t>32.2</w:t>
            </w:r>
          </w:p>
        </w:tc>
      </w:tr>
      <w:tr w:rsidR="00C147BE" w:rsidRPr="00FA4D1E" w14:paraId="3F237B58" w14:textId="77777777" w:rsidTr="006B4611">
        <w:tc>
          <w:tcPr>
            <w:tcW w:w="278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676D9A" w14:textId="77777777" w:rsidR="00C147BE" w:rsidRDefault="00C147BE" w:rsidP="006B4611">
            <w:pPr>
              <w:pStyle w:val="Standard"/>
              <w:spacing w:after="0" w:line="240" w:lineRule="auto"/>
            </w:pPr>
            <w:r>
              <w:rPr>
                <w:i/>
                <w:sz w:val="24"/>
                <w:szCs w:val="24"/>
              </w:rPr>
              <w:t>Time since genetic testing</w:t>
            </w:r>
          </w:p>
        </w:tc>
        <w:tc>
          <w:tcPr>
            <w:tcW w:w="275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FE48DFA" w14:textId="77777777" w:rsidR="00C147BE" w:rsidRDefault="00C147BE" w:rsidP="006B4611">
            <w:pPr>
              <w:pStyle w:val="Standard"/>
              <w:spacing w:after="0" w:line="240" w:lineRule="auto"/>
            </w:pPr>
            <w:r>
              <w:rPr>
                <w:b/>
                <w:sz w:val="24"/>
                <w:szCs w:val="24"/>
              </w:rPr>
              <w:t>424</w:t>
            </w:r>
          </w:p>
        </w:tc>
        <w:tc>
          <w:tcPr>
            <w:tcW w:w="275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2E279247" w14:textId="77777777" w:rsidR="00C147BE" w:rsidRDefault="00C147BE" w:rsidP="006B4611">
            <w:pPr>
              <w:pStyle w:val="ListParagraph"/>
              <w:spacing w:after="0" w:line="240" w:lineRule="auto"/>
              <w:ind w:left="0"/>
            </w:pPr>
            <w:r>
              <w:rPr>
                <w:b/>
                <w:sz w:val="24"/>
                <w:szCs w:val="24"/>
              </w:rPr>
              <w:t>98.1</w:t>
            </w:r>
          </w:p>
        </w:tc>
      </w:tr>
      <w:tr w:rsidR="00C147BE" w:rsidRPr="00FA4D1E" w14:paraId="2E1E3F71" w14:textId="77777777" w:rsidTr="006B4611">
        <w:tc>
          <w:tcPr>
            <w:tcW w:w="278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4F3FB8BB" w14:textId="77777777" w:rsidR="00C147BE" w:rsidRPr="004A640F" w:rsidRDefault="00C147BE" w:rsidP="006B4611">
            <w:pPr>
              <w:pStyle w:val="Standard"/>
              <w:spacing w:after="0" w:line="240" w:lineRule="auto"/>
            </w:pPr>
            <w:r w:rsidRPr="004A640F">
              <w:t>0-3 months prior to enrolment</w:t>
            </w:r>
          </w:p>
        </w:tc>
        <w:tc>
          <w:tcPr>
            <w:tcW w:w="275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A9ECF00" w14:textId="77777777" w:rsidR="00C147BE" w:rsidRDefault="00C147BE" w:rsidP="006B4611">
            <w:pPr>
              <w:pStyle w:val="Standard"/>
              <w:spacing w:after="0" w:line="240" w:lineRule="auto"/>
            </w:pPr>
            <w:r w:rsidRPr="009E156A">
              <w:t>125</w:t>
            </w:r>
          </w:p>
        </w:tc>
        <w:tc>
          <w:tcPr>
            <w:tcW w:w="275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19781083" w14:textId="77777777" w:rsidR="00C147BE" w:rsidRDefault="00C147BE" w:rsidP="006B4611">
            <w:pPr>
              <w:pStyle w:val="Standard"/>
              <w:spacing w:after="0" w:line="240" w:lineRule="auto"/>
            </w:pPr>
            <w:r w:rsidRPr="009E156A">
              <w:t>28.9</w:t>
            </w:r>
          </w:p>
        </w:tc>
      </w:tr>
      <w:tr w:rsidR="00C147BE" w:rsidRPr="00FA4D1E" w14:paraId="47A28A77" w14:textId="77777777" w:rsidTr="006B4611">
        <w:tc>
          <w:tcPr>
            <w:tcW w:w="278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74A153" w14:textId="77777777" w:rsidR="00C147BE" w:rsidRDefault="00C147BE" w:rsidP="006B4611">
            <w:pPr>
              <w:pStyle w:val="Standard"/>
              <w:spacing w:after="0" w:line="240" w:lineRule="auto"/>
            </w:pPr>
            <w:r>
              <w:t>3-6 months</w:t>
            </w:r>
          </w:p>
        </w:tc>
        <w:tc>
          <w:tcPr>
            <w:tcW w:w="275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A5DCDBC" w14:textId="77777777" w:rsidR="00C147BE" w:rsidRDefault="00C147BE" w:rsidP="006B4611">
            <w:pPr>
              <w:pStyle w:val="Standard"/>
              <w:spacing w:after="0" w:line="240" w:lineRule="auto"/>
            </w:pPr>
            <w:r w:rsidRPr="009E156A">
              <w:t>76</w:t>
            </w:r>
          </w:p>
        </w:tc>
        <w:tc>
          <w:tcPr>
            <w:tcW w:w="275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2BAA844F" w14:textId="77777777" w:rsidR="00C147BE" w:rsidRDefault="00C147BE" w:rsidP="006B4611">
            <w:pPr>
              <w:pStyle w:val="Standard"/>
              <w:spacing w:after="0" w:line="240" w:lineRule="auto"/>
            </w:pPr>
            <w:r w:rsidRPr="009E156A">
              <w:t>17.6</w:t>
            </w:r>
          </w:p>
        </w:tc>
      </w:tr>
      <w:tr w:rsidR="00C147BE" w:rsidRPr="00FA4D1E" w14:paraId="4FEB64F3" w14:textId="77777777" w:rsidTr="006B4611">
        <w:tc>
          <w:tcPr>
            <w:tcW w:w="278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41A6C0CF" w14:textId="77777777" w:rsidR="00C147BE" w:rsidRDefault="00C147BE" w:rsidP="006B4611">
            <w:pPr>
              <w:pStyle w:val="Standard"/>
              <w:spacing w:after="0" w:line="240" w:lineRule="auto"/>
            </w:pPr>
            <w:r>
              <w:t>6-12 months</w:t>
            </w:r>
          </w:p>
        </w:tc>
        <w:tc>
          <w:tcPr>
            <w:tcW w:w="275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353FAD47" w14:textId="77777777" w:rsidR="00C147BE" w:rsidRDefault="00C147BE" w:rsidP="006B4611">
            <w:pPr>
              <w:pStyle w:val="Standard"/>
              <w:spacing w:after="0" w:line="240" w:lineRule="auto"/>
            </w:pPr>
            <w:r w:rsidRPr="009E156A">
              <w:t>48</w:t>
            </w:r>
          </w:p>
        </w:tc>
        <w:tc>
          <w:tcPr>
            <w:tcW w:w="275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6E73BBB" w14:textId="77777777" w:rsidR="00C147BE" w:rsidRDefault="00C147BE" w:rsidP="006B4611">
            <w:pPr>
              <w:pStyle w:val="Standard"/>
              <w:spacing w:after="0" w:line="240" w:lineRule="auto"/>
            </w:pPr>
            <w:r w:rsidRPr="009E156A">
              <w:t>11.1</w:t>
            </w:r>
          </w:p>
        </w:tc>
      </w:tr>
      <w:tr w:rsidR="00C147BE" w:rsidRPr="00FA4D1E" w14:paraId="01DA4D93" w14:textId="77777777" w:rsidTr="006B4611">
        <w:tc>
          <w:tcPr>
            <w:tcW w:w="278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148CAD53" w14:textId="77777777" w:rsidR="00C147BE" w:rsidRDefault="00C147BE" w:rsidP="006B4611">
            <w:pPr>
              <w:pStyle w:val="Standard"/>
              <w:spacing w:after="0" w:line="240" w:lineRule="auto"/>
            </w:pPr>
            <w:r>
              <w:t>12-24 months</w:t>
            </w:r>
          </w:p>
        </w:tc>
        <w:tc>
          <w:tcPr>
            <w:tcW w:w="275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73E203F8" w14:textId="77777777" w:rsidR="00C147BE" w:rsidRDefault="00C147BE" w:rsidP="006B4611">
            <w:pPr>
              <w:pStyle w:val="Standard"/>
              <w:spacing w:after="0" w:line="240" w:lineRule="auto"/>
            </w:pPr>
            <w:r w:rsidRPr="009E156A">
              <w:t>49</w:t>
            </w:r>
          </w:p>
        </w:tc>
        <w:tc>
          <w:tcPr>
            <w:tcW w:w="275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40BF317D" w14:textId="77777777" w:rsidR="00C147BE" w:rsidRDefault="00C147BE" w:rsidP="006B4611">
            <w:pPr>
              <w:pStyle w:val="Standard"/>
              <w:spacing w:after="0" w:line="240" w:lineRule="auto"/>
            </w:pPr>
            <w:r w:rsidRPr="009E156A">
              <w:t>11.3</w:t>
            </w:r>
          </w:p>
        </w:tc>
      </w:tr>
      <w:tr w:rsidR="00C147BE" w:rsidRPr="00FA4D1E" w14:paraId="47308B67" w14:textId="77777777" w:rsidTr="006B4611">
        <w:tc>
          <w:tcPr>
            <w:tcW w:w="278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2EDEA69E" w14:textId="77777777" w:rsidR="00C147BE" w:rsidRDefault="00C147BE" w:rsidP="006B4611">
            <w:pPr>
              <w:pStyle w:val="Standard"/>
              <w:spacing w:after="0" w:line="240" w:lineRule="auto"/>
            </w:pPr>
            <w:r>
              <w:t>2-5 years</w:t>
            </w:r>
          </w:p>
        </w:tc>
        <w:tc>
          <w:tcPr>
            <w:tcW w:w="275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2EAAC74E" w14:textId="77777777" w:rsidR="00C147BE" w:rsidRDefault="00C147BE" w:rsidP="006B4611">
            <w:pPr>
              <w:pStyle w:val="Standard"/>
              <w:spacing w:after="0" w:line="240" w:lineRule="auto"/>
            </w:pPr>
            <w:r w:rsidRPr="009E156A">
              <w:t>76</w:t>
            </w:r>
          </w:p>
        </w:tc>
        <w:tc>
          <w:tcPr>
            <w:tcW w:w="275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8ACC5E3" w14:textId="77777777" w:rsidR="00C147BE" w:rsidRDefault="00C147BE" w:rsidP="006B4611">
            <w:pPr>
              <w:pStyle w:val="Standard"/>
              <w:spacing w:after="0" w:line="240" w:lineRule="auto"/>
            </w:pPr>
            <w:r w:rsidRPr="009E156A">
              <w:t>17.6</w:t>
            </w:r>
          </w:p>
        </w:tc>
      </w:tr>
      <w:tr w:rsidR="00C147BE" w:rsidRPr="00FA4D1E" w14:paraId="52030AC0" w14:textId="77777777" w:rsidTr="006B4611">
        <w:tc>
          <w:tcPr>
            <w:tcW w:w="278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2C60C483" w14:textId="77777777" w:rsidR="00C147BE" w:rsidRDefault="00C147BE" w:rsidP="006B4611">
            <w:pPr>
              <w:pStyle w:val="Standard"/>
              <w:spacing w:after="0" w:line="240" w:lineRule="auto"/>
            </w:pPr>
            <w:r>
              <w:t>&gt;5 years</w:t>
            </w:r>
          </w:p>
        </w:tc>
        <w:tc>
          <w:tcPr>
            <w:tcW w:w="275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175FA41E" w14:textId="77777777" w:rsidR="00C147BE" w:rsidRDefault="00C147BE" w:rsidP="006B4611">
            <w:pPr>
              <w:pStyle w:val="Standard"/>
              <w:spacing w:after="0" w:line="240" w:lineRule="auto"/>
            </w:pPr>
            <w:r w:rsidRPr="009E156A">
              <w:t>50</w:t>
            </w:r>
          </w:p>
        </w:tc>
        <w:tc>
          <w:tcPr>
            <w:tcW w:w="275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4B27D429" w14:textId="77777777" w:rsidR="00C147BE" w:rsidRDefault="00C147BE" w:rsidP="006B4611">
            <w:pPr>
              <w:pStyle w:val="Standard"/>
              <w:spacing w:after="0" w:line="240" w:lineRule="auto"/>
            </w:pPr>
            <w:r w:rsidRPr="009E156A">
              <w:t>11.6</w:t>
            </w:r>
          </w:p>
        </w:tc>
      </w:tr>
    </w:tbl>
    <w:p w14:paraId="61047342" w14:textId="77777777" w:rsidR="00513E4E" w:rsidRDefault="00513E4E" w:rsidP="00C147BE">
      <w:pPr>
        <w:pStyle w:val="Caption"/>
        <w:keepNext/>
        <w:spacing w:before="200" w:after="0"/>
        <w:rPr>
          <w:sz w:val="24"/>
          <w:szCs w:val="24"/>
        </w:rPr>
      </w:pPr>
    </w:p>
    <w:p w14:paraId="153E1376" w14:textId="77777777" w:rsidR="00513E4E" w:rsidRDefault="00513E4E">
      <w:pPr>
        <w:spacing w:after="0"/>
        <w:rPr>
          <w:i/>
          <w:iCs/>
          <w:color w:val="44546A"/>
          <w:sz w:val="24"/>
        </w:rPr>
      </w:pPr>
      <w:r>
        <w:rPr>
          <w:sz w:val="24"/>
        </w:rPr>
        <w:br w:type="page"/>
      </w:r>
    </w:p>
    <w:p w14:paraId="59C04A21" w14:textId="02C68738" w:rsidR="00C147BE" w:rsidRPr="0011464F" w:rsidRDefault="00C147BE" w:rsidP="00C147BE">
      <w:pPr>
        <w:pStyle w:val="Caption"/>
        <w:keepNext/>
        <w:spacing w:before="200" w:after="0"/>
        <w:rPr>
          <w:sz w:val="24"/>
          <w:szCs w:val="24"/>
        </w:rPr>
      </w:pPr>
      <w:r w:rsidRPr="0011464F">
        <w:rPr>
          <w:sz w:val="24"/>
          <w:szCs w:val="24"/>
        </w:rPr>
        <w:lastRenderedPageBreak/>
        <w:t xml:space="preserve">Table </w:t>
      </w:r>
      <w:r w:rsidRPr="0011464F">
        <w:rPr>
          <w:sz w:val="24"/>
          <w:szCs w:val="24"/>
        </w:rPr>
        <w:fldChar w:fldCharType="begin"/>
      </w:r>
      <w:r w:rsidRPr="0011464F">
        <w:rPr>
          <w:sz w:val="24"/>
          <w:szCs w:val="24"/>
        </w:rPr>
        <w:instrText xml:space="preserve"> SEQ Table \* ARABIC </w:instrText>
      </w:r>
      <w:r w:rsidRPr="0011464F">
        <w:rPr>
          <w:sz w:val="24"/>
          <w:szCs w:val="24"/>
        </w:rPr>
        <w:fldChar w:fldCharType="separate"/>
      </w:r>
      <w:r w:rsidRPr="0011464F">
        <w:rPr>
          <w:noProof/>
          <w:sz w:val="24"/>
          <w:szCs w:val="24"/>
        </w:rPr>
        <w:t>2</w:t>
      </w:r>
      <w:r w:rsidRPr="0011464F">
        <w:rPr>
          <w:noProof/>
          <w:sz w:val="24"/>
          <w:szCs w:val="24"/>
        </w:rPr>
        <w:fldChar w:fldCharType="end"/>
      </w:r>
      <w:r w:rsidRPr="0011464F">
        <w:rPr>
          <w:sz w:val="24"/>
          <w:szCs w:val="24"/>
        </w:rPr>
        <w:t xml:space="preserve">: </w:t>
      </w:r>
      <w:r>
        <w:rPr>
          <w:sz w:val="24"/>
          <w:szCs w:val="24"/>
        </w:rPr>
        <w:t>Descriptive statistics and summary of group comparisons for the psychosocial variables</w:t>
      </w:r>
    </w:p>
    <w:tbl>
      <w:tblPr>
        <w:tblW w:w="10525"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5"/>
        <w:gridCol w:w="1027"/>
        <w:gridCol w:w="567"/>
        <w:gridCol w:w="567"/>
        <w:gridCol w:w="992"/>
        <w:gridCol w:w="425"/>
        <w:gridCol w:w="1134"/>
        <w:gridCol w:w="533"/>
        <w:gridCol w:w="1026"/>
        <w:gridCol w:w="567"/>
        <w:gridCol w:w="993"/>
        <w:gridCol w:w="1559"/>
      </w:tblGrid>
      <w:tr w:rsidR="00C147BE" w:rsidRPr="00FA4D1E" w14:paraId="418E11AE" w14:textId="77777777" w:rsidTr="006B4611">
        <w:trPr>
          <w:trHeight w:val="422"/>
        </w:trPr>
        <w:tc>
          <w:tcPr>
            <w:tcW w:w="1135" w:type="dxa"/>
            <w:vMerge w:val="restart"/>
            <w:tcBorders>
              <w:top w:val="single" w:sz="4" w:space="0" w:color="auto"/>
              <w:right w:val="single" w:sz="4" w:space="0" w:color="auto"/>
            </w:tcBorders>
            <w:noWrap/>
            <w:vAlign w:val="center"/>
          </w:tcPr>
          <w:p w14:paraId="40E8C0C9" w14:textId="77777777" w:rsidR="00C147BE" w:rsidRPr="00987B39" w:rsidRDefault="00C147BE" w:rsidP="006B4611">
            <w:pPr>
              <w:jc w:val="center"/>
              <w:rPr>
                <w:rFonts w:cs="Arial"/>
                <w:b/>
                <w:i/>
                <w:sz w:val="20"/>
                <w:szCs w:val="20"/>
              </w:rPr>
            </w:pPr>
            <w:r w:rsidRPr="00987B39">
              <w:rPr>
                <w:rFonts w:cs="Arial"/>
                <w:b/>
                <w:i/>
                <w:color w:val="000000"/>
                <w:sz w:val="18"/>
                <w:szCs w:val="18"/>
              </w:rPr>
              <w:t>Scale</w:t>
            </w:r>
          </w:p>
        </w:tc>
        <w:tc>
          <w:tcPr>
            <w:tcW w:w="1027" w:type="dxa"/>
            <w:tcBorders>
              <w:top w:val="single" w:sz="4" w:space="0" w:color="auto"/>
              <w:bottom w:val="nil"/>
            </w:tcBorders>
            <w:vAlign w:val="center"/>
          </w:tcPr>
          <w:p w14:paraId="3C38AEF8" w14:textId="77777777" w:rsidR="00C147BE" w:rsidRPr="00987B39" w:rsidRDefault="00C147BE" w:rsidP="006B4611">
            <w:pPr>
              <w:jc w:val="center"/>
              <w:rPr>
                <w:rFonts w:cs="Arial"/>
                <w:b/>
                <w:sz w:val="20"/>
                <w:szCs w:val="20"/>
              </w:rPr>
            </w:pPr>
          </w:p>
        </w:tc>
        <w:tc>
          <w:tcPr>
            <w:tcW w:w="567" w:type="dxa"/>
            <w:tcBorders>
              <w:top w:val="single" w:sz="4" w:space="0" w:color="auto"/>
              <w:bottom w:val="nil"/>
              <w:right w:val="single" w:sz="4" w:space="0" w:color="auto"/>
            </w:tcBorders>
            <w:vAlign w:val="center"/>
          </w:tcPr>
          <w:p w14:paraId="659D32AA" w14:textId="77777777" w:rsidR="00C147BE" w:rsidRPr="00987B39" w:rsidRDefault="00C147BE" w:rsidP="006B4611">
            <w:pPr>
              <w:jc w:val="center"/>
              <w:rPr>
                <w:rFonts w:cs="Arial"/>
                <w:b/>
                <w:sz w:val="20"/>
                <w:szCs w:val="20"/>
              </w:rPr>
            </w:pPr>
          </w:p>
        </w:tc>
        <w:tc>
          <w:tcPr>
            <w:tcW w:w="1559" w:type="dxa"/>
            <w:gridSpan w:val="2"/>
            <w:tcBorders>
              <w:top w:val="single" w:sz="4" w:space="0" w:color="auto"/>
              <w:left w:val="single" w:sz="4" w:space="0" w:color="auto"/>
              <w:bottom w:val="nil"/>
              <w:right w:val="single" w:sz="4" w:space="0" w:color="auto"/>
            </w:tcBorders>
            <w:noWrap/>
            <w:vAlign w:val="center"/>
          </w:tcPr>
          <w:p w14:paraId="5AAD840A" w14:textId="77777777" w:rsidR="00C147BE" w:rsidRPr="00987B39" w:rsidRDefault="00C147BE" w:rsidP="006B4611">
            <w:pPr>
              <w:jc w:val="center"/>
              <w:rPr>
                <w:rFonts w:cs="Arial"/>
                <w:b/>
                <w:sz w:val="20"/>
                <w:szCs w:val="20"/>
              </w:rPr>
            </w:pPr>
            <w:r w:rsidRPr="00987B39">
              <w:rPr>
                <w:rFonts w:cs="Arial"/>
                <w:b/>
                <w:sz w:val="20"/>
                <w:szCs w:val="20"/>
              </w:rPr>
              <w:t>Overall</w:t>
            </w:r>
          </w:p>
        </w:tc>
        <w:tc>
          <w:tcPr>
            <w:tcW w:w="1559" w:type="dxa"/>
            <w:gridSpan w:val="2"/>
            <w:tcBorders>
              <w:top w:val="single" w:sz="4" w:space="0" w:color="auto"/>
              <w:left w:val="single" w:sz="4" w:space="0" w:color="auto"/>
              <w:bottom w:val="nil"/>
              <w:right w:val="single" w:sz="4" w:space="0" w:color="auto"/>
            </w:tcBorders>
            <w:noWrap/>
            <w:vAlign w:val="center"/>
          </w:tcPr>
          <w:p w14:paraId="4DAF5D22" w14:textId="77777777" w:rsidR="00C147BE" w:rsidRPr="00987B39" w:rsidRDefault="00C147BE" w:rsidP="006B4611">
            <w:pPr>
              <w:jc w:val="center"/>
              <w:rPr>
                <w:rFonts w:cs="Arial"/>
                <w:b/>
                <w:sz w:val="20"/>
                <w:szCs w:val="20"/>
              </w:rPr>
            </w:pPr>
            <w:r w:rsidRPr="00987B39">
              <w:rPr>
                <w:rFonts w:cs="Arial"/>
                <w:b/>
                <w:i/>
                <w:sz w:val="20"/>
                <w:szCs w:val="20"/>
              </w:rPr>
              <w:t>BRCA1</w:t>
            </w:r>
            <w:r w:rsidRPr="00987B39">
              <w:rPr>
                <w:rFonts w:cs="Arial"/>
                <w:b/>
                <w:sz w:val="20"/>
                <w:szCs w:val="20"/>
              </w:rPr>
              <w:t xml:space="preserve"> carriers</w:t>
            </w:r>
          </w:p>
        </w:tc>
        <w:tc>
          <w:tcPr>
            <w:tcW w:w="1559" w:type="dxa"/>
            <w:gridSpan w:val="2"/>
            <w:tcBorders>
              <w:top w:val="single" w:sz="4" w:space="0" w:color="auto"/>
              <w:left w:val="single" w:sz="4" w:space="0" w:color="auto"/>
              <w:bottom w:val="nil"/>
              <w:right w:val="single" w:sz="4" w:space="0" w:color="auto"/>
            </w:tcBorders>
            <w:noWrap/>
            <w:vAlign w:val="center"/>
          </w:tcPr>
          <w:p w14:paraId="5B94B199" w14:textId="77777777" w:rsidR="00C147BE" w:rsidRPr="00987B39" w:rsidRDefault="00C147BE" w:rsidP="006B4611">
            <w:pPr>
              <w:jc w:val="center"/>
              <w:rPr>
                <w:rFonts w:cs="Arial"/>
                <w:b/>
                <w:sz w:val="20"/>
                <w:szCs w:val="20"/>
              </w:rPr>
            </w:pPr>
            <w:r w:rsidRPr="00987B39">
              <w:rPr>
                <w:rFonts w:cs="Arial"/>
                <w:b/>
                <w:i/>
                <w:sz w:val="20"/>
                <w:szCs w:val="20"/>
              </w:rPr>
              <w:t>BRCA2</w:t>
            </w:r>
            <w:r w:rsidRPr="00987B39">
              <w:rPr>
                <w:rFonts w:cs="Arial"/>
                <w:b/>
                <w:sz w:val="20"/>
                <w:szCs w:val="20"/>
              </w:rPr>
              <w:t xml:space="preserve"> carriers</w:t>
            </w:r>
          </w:p>
        </w:tc>
        <w:tc>
          <w:tcPr>
            <w:tcW w:w="1560" w:type="dxa"/>
            <w:gridSpan w:val="2"/>
            <w:tcBorders>
              <w:top w:val="single" w:sz="4" w:space="0" w:color="auto"/>
              <w:left w:val="single" w:sz="4" w:space="0" w:color="auto"/>
              <w:bottom w:val="nil"/>
              <w:right w:val="single" w:sz="4" w:space="0" w:color="auto"/>
            </w:tcBorders>
            <w:noWrap/>
            <w:vAlign w:val="center"/>
          </w:tcPr>
          <w:p w14:paraId="726E2906" w14:textId="77777777" w:rsidR="00C147BE" w:rsidRPr="00987B39" w:rsidRDefault="00C147BE" w:rsidP="006B4611">
            <w:pPr>
              <w:jc w:val="center"/>
              <w:rPr>
                <w:rFonts w:cs="Arial"/>
                <w:b/>
                <w:sz w:val="20"/>
                <w:szCs w:val="20"/>
              </w:rPr>
            </w:pPr>
            <w:r w:rsidRPr="00987B39">
              <w:rPr>
                <w:rFonts w:cs="Arial"/>
                <w:b/>
                <w:sz w:val="20"/>
                <w:szCs w:val="20"/>
              </w:rPr>
              <w:t>Controls</w:t>
            </w:r>
          </w:p>
        </w:tc>
        <w:tc>
          <w:tcPr>
            <w:tcW w:w="1559" w:type="dxa"/>
            <w:tcBorders>
              <w:top w:val="single" w:sz="4" w:space="0" w:color="auto"/>
              <w:left w:val="single" w:sz="4" w:space="0" w:color="auto"/>
              <w:bottom w:val="nil"/>
            </w:tcBorders>
            <w:vAlign w:val="center"/>
          </w:tcPr>
          <w:p w14:paraId="0728C158" w14:textId="77777777" w:rsidR="00C147BE" w:rsidRPr="00987B39" w:rsidRDefault="00C147BE" w:rsidP="006B4611">
            <w:pPr>
              <w:jc w:val="center"/>
              <w:rPr>
                <w:rFonts w:cs="Arial"/>
                <w:b/>
                <w:color w:val="000000"/>
                <w:sz w:val="18"/>
                <w:szCs w:val="18"/>
              </w:rPr>
            </w:pPr>
          </w:p>
        </w:tc>
      </w:tr>
      <w:tr w:rsidR="00C147BE" w:rsidRPr="00FA4D1E" w14:paraId="3D3DC127" w14:textId="77777777" w:rsidTr="006B4611">
        <w:trPr>
          <w:trHeight w:val="480"/>
        </w:trPr>
        <w:tc>
          <w:tcPr>
            <w:tcW w:w="1135" w:type="dxa"/>
            <w:vMerge/>
            <w:tcBorders>
              <w:bottom w:val="single" w:sz="4" w:space="0" w:color="auto"/>
              <w:right w:val="single" w:sz="4" w:space="0" w:color="auto"/>
            </w:tcBorders>
            <w:vAlign w:val="center"/>
          </w:tcPr>
          <w:p w14:paraId="02490958" w14:textId="77777777" w:rsidR="00C147BE" w:rsidRPr="00987B39" w:rsidRDefault="00C147BE" w:rsidP="006B4611">
            <w:pPr>
              <w:jc w:val="center"/>
              <w:rPr>
                <w:rFonts w:cs="Arial"/>
                <w:b/>
                <w:color w:val="000000"/>
                <w:sz w:val="18"/>
                <w:szCs w:val="18"/>
              </w:rPr>
            </w:pPr>
          </w:p>
        </w:tc>
        <w:tc>
          <w:tcPr>
            <w:tcW w:w="1027" w:type="dxa"/>
            <w:tcBorders>
              <w:top w:val="nil"/>
              <w:bottom w:val="single" w:sz="4" w:space="0" w:color="auto"/>
            </w:tcBorders>
            <w:vAlign w:val="center"/>
          </w:tcPr>
          <w:p w14:paraId="46F8333C" w14:textId="77777777" w:rsidR="00C147BE" w:rsidRDefault="00C147BE" w:rsidP="006B4611">
            <w:pPr>
              <w:jc w:val="center"/>
              <w:rPr>
                <w:rFonts w:cs="Arial"/>
                <w:sz w:val="20"/>
                <w:szCs w:val="20"/>
              </w:rPr>
            </w:pPr>
          </w:p>
        </w:tc>
        <w:tc>
          <w:tcPr>
            <w:tcW w:w="567" w:type="dxa"/>
            <w:tcBorders>
              <w:top w:val="nil"/>
              <w:bottom w:val="single" w:sz="4" w:space="0" w:color="auto"/>
              <w:right w:val="single" w:sz="4" w:space="0" w:color="auto"/>
            </w:tcBorders>
            <w:vAlign w:val="center"/>
          </w:tcPr>
          <w:p w14:paraId="3AD25C77" w14:textId="77777777" w:rsidR="00C147BE" w:rsidRDefault="00C147BE" w:rsidP="006B4611">
            <w:pPr>
              <w:jc w:val="center"/>
              <w:rPr>
                <w:rFonts w:cs="Arial"/>
                <w:sz w:val="20"/>
                <w:szCs w:val="20"/>
              </w:rPr>
            </w:pPr>
          </w:p>
        </w:tc>
        <w:tc>
          <w:tcPr>
            <w:tcW w:w="567" w:type="dxa"/>
            <w:tcBorders>
              <w:top w:val="nil"/>
              <w:left w:val="single" w:sz="4" w:space="0" w:color="auto"/>
              <w:bottom w:val="single" w:sz="4" w:space="0" w:color="auto"/>
            </w:tcBorders>
            <w:vAlign w:val="center"/>
          </w:tcPr>
          <w:p w14:paraId="33321FA4" w14:textId="77777777" w:rsidR="00C147BE" w:rsidRPr="00FD61B1" w:rsidRDefault="00C147BE" w:rsidP="006B4611">
            <w:pPr>
              <w:jc w:val="center"/>
              <w:rPr>
                <w:rFonts w:cs="Arial"/>
                <w:color w:val="000000"/>
                <w:sz w:val="18"/>
                <w:szCs w:val="18"/>
              </w:rPr>
            </w:pPr>
            <w:r w:rsidRPr="00FD61B1">
              <w:rPr>
                <w:rFonts w:cs="Arial"/>
                <w:color w:val="000000"/>
                <w:sz w:val="18"/>
                <w:szCs w:val="18"/>
              </w:rPr>
              <w:t>N</w:t>
            </w:r>
          </w:p>
        </w:tc>
        <w:tc>
          <w:tcPr>
            <w:tcW w:w="992" w:type="dxa"/>
            <w:tcBorders>
              <w:top w:val="nil"/>
              <w:bottom w:val="single" w:sz="4" w:space="0" w:color="auto"/>
              <w:right w:val="single" w:sz="4" w:space="0" w:color="auto"/>
            </w:tcBorders>
            <w:vAlign w:val="center"/>
          </w:tcPr>
          <w:p w14:paraId="24F4AB53" w14:textId="77777777" w:rsidR="00C147BE" w:rsidRDefault="00C147BE" w:rsidP="006B4611">
            <w:pPr>
              <w:jc w:val="center"/>
              <w:rPr>
                <w:rFonts w:cs="Arial"/>
                <w:color w:val="000000"/>
                <w:sz w:val="18"/>
                <w:szCs w:val="18"/>
              </w:rPr>
            </w:pPr>
            <w:r w:rsidRPr="00FD61B1">
              <w:rPr>
                <w:rFonts w:cs="Arial"/>
                <w:color w:val="000000"/>
                <w:sz w:val="18"/>
                <w:szCs w:val="18"/>
              </w:rPr>
              <w:t>Mean (SD)</w:t>
            </w:r>
          </w:p>
          <w:p w14:paraId="595D5356" w14:textId="77777777" w:rsidR="00C147BE" w:rsidRPr="00FD61B1" w:rsidRDefault="00C147BE" w:rsidP="006B4611">
            <w:pPr>
              <w:jc w:val="center"/>
              <w:rPr>
                <w:rFonts w:cs="Arial"/>
                <w:color w:val="000000"/>
                <w:sz w:val="18"/>
                <w:szCs w:val="18"/>
              </w:rPr>
            </w:pPr>
            <w:r>
              <w:rPr>
                <w:rFonts w:cs="Arial"/>
                <w:color w:val="000000"/>
                <w:sz w:val="18"/>
                <w:szCs w:val="18"/>
              </w:rPr>
              <w:t>% above threshold</w:t>
            </w:r>
          </w:p>
        </w:tc>
        <w:tc>
          <w:tcPr>
            <w:tcW w:w="425" w:type="dxa"/>
            <w:tcBorders>
              <w:top w:val="nil"/>
              <w:left w:val="single" w:sz="4" w:space="0" w:color="auto"/>
              <w:bottom w:val="single" w:sz="4" w:space="0" w:color="auto"/>
            </w:tcBorders>
            <w:vAlign w:val="center"/>
          </w:tcPr>
          <w:p w14:paraId="6C52EF51" w14:textId="77777777" w:rsidR="00C147BE" w:rsidRPr="00FD61B1" w:rsidRDefault="00C147BE" w:rsidP="006B4611">
            <w:pPr>
              <w:jc w:val="center"/>
              <w:rPr>
                <w:rFonts w:cs="Arial"/>
                <w:color w:val="000000"/>
                <w:sz w:val="18"/>
                <w:szCs w:val="18"/>
              </w:rPr>
            </w:pPr>
            <w:r w:rsidRPr="00FD61B1">
              <w:rPr>
                <w:rFonts w:cs="Arial"/>
                <w:color w:val="000000"/>
                <w:sz w:val="18"/>
                <w:szCs w:val="18"/>
              </w:rPr>
              <w:t>N</w:t>
            </w:r>
          </w:p>
        </w:tc>
        <w:tc>
          <w:tcPr>
            <w:tcW w:w="1134" w:type="dxa"/>
            <w:tcBorders>
              <w:top w:val="nil"/>
              <w:bottom w:val="single" w:sz="4" w:space="0" w:color="auto"/>
              <w:right w:val="single" w:sz="4" w:space="0" w:color="auto"/>
            </w:tcBorders>
            <w:vAlign w:val="center"/>
          </w:tcPr>
          <w:p w14:paraId="44B3F7E7" w14:textId="77777777" w:rsidR="00C147BE" w:rsidRDefault="00C147BE" w:rsidP="006B4611">
            <w:pPr>
              <w:jc w:val="center"/>
              <w:rPr>
                <w:rFonts w:cs="Arial"/>
                <w:color w:val="000000"/>
                <w:sz w:val="18"/>
                <w:szCs w:val="18"/>
              </w:rPr>
            </w:pPr>
            <w:r w:rsidRPr="00FD61B1">
              <w:rPr>
                <w:rFonts w:cs="Arial"/>
                <w:color w:val="000000"/>
                <w:sz w:val="18"/>
                <w:szCs w:val="18"/>
              </w:rPr>
              <w:t>Mean (SD)</w:t>
            </w:r>
          </w:p>
          <w:p w14:paraId="473A2DF6" w14:textId="77777777" w:rsidR="00C147BE" w:rsidRPr="00FD61B1" w:rsidRDefault="00C147BE" w:rsidP="006B4611">
            <w:pPr>
              <w:jc w:val="center"/>
              <w:rPr>
                <w:rFonts w:cs="Arial"/>
                <w:color w:val="000000"/>
                <w:sz w:val="18"/>
                <w:szCs w:val="18"/>
              </w:rPr>
            </w:pPr>
            <w:r>
              <w:rPr>
                <w:rFonts w:cs="Arial"/>
                <w:color w:val="000000"/>
                <w:sz w:val="18"/>
                <w:szCs w:val="18"/>
              </w:rPr>
              <w:t>% above threshold</w:t>
            </w:r>
          </w:p>
        </w:tc>
        <w:tc>
          <w:tcPr>
            <w:tcW w:w="533" w:type="dxa"/>
            <w:tcBorders>
              <w:top w:val="nil"/>
              <w:left w:val="single" w:sz="4" w:space="0" w:color="auto"/>
              <w:bottom w:val="single" w:sz="4" w:space="0" w:color="auto"/>
            </w:tcBorders>
            <w:vAlign w:val="center"/>
          </w:tcPr>
          <w:p w14:paraId="1E02166D" w14:textId="77777777" w:rsidR="00C147BE" w:rsidRPr="00FD61B1" w:rsidRDefault="00C147BE" w:rsidP="006B4611">
            <w:pPr>
              <w:jc w:val="center"/>
              <w:rPr>
                <w:rFonts w:cs="Arial"/>
                <w:color w:val="000000"/>
                <w:sz w:val="18"/>
                <w:szCs w:val="18"/>
              </w:rPr>
            </w:pPr>
            <w:r w:rsidRPr="00FD61B1">
              <w:rPr>
                <w:rFonts w:cs="Arial"/>
                <w:color w:val="000000"/>
                <w:sz w:val="18"/>
                <w:szCs w:val="18"/>
              </w:rPr>
              <w:t>N</w:t>
            </w:r>
          </w:p>
        </w:tc>
        <w:tc>
          <w:tcPr>
            <w:tcW w:w="1026" w:type="dxa"/>
            <w:tcBorders>
              <w:top w:val="nil"/>
              <w:bottom w:val="single" w:sz="4" w:space="0" w:color="auto"/>
              <w:right w:val="single" w:sz="4" w:space="0" w:color="auto"/>
            </w:tcBorders>
            <w:vAlign w:val="center"/>
          </w:tcPr>
          <w:p w14:paraId="51232831" w14:textId="77777777" w:rsidR="00C147BE" w:rsidRDefault="00C147BE" w:rsidP="006B4611">
            <w:pPr>
              <w:jc w:val="center"/>
              <w:rPr>
                <w:rFonts w:cs="Arial"/>
                <w:color w:val="000000"/>
                <w:sz w:val="18"/>
                <w:szCs w:val="18"/>
              </w:rPr>
            </w:pPr>
            <w:r w:rsidRPr="00FD61B1">
              <w:rPr>
                <w:rFonts w:cs="Arial"/>
                <w:color w:val="000000"/>
                <w:sz w:val="18"/>
                <w:szCs w:val="18"/>
              </w:rPr>
              <w:t>Mean (SD)</w:t>
            </w:r>
          </w:p>
          <w:p w14:paraId="4CC9BC69" w14:textId="77777777" w:rsidR="00C147BE" w:rsidRPr="00FD61B1" w:rsidRDefault="00C147BE" w:rsidP="006B4611">
            <w:pPr>
              <w:jc w:val="center"/>
              <w:rPr>
                <w:rFonts w:cs="Arial"/>
                <w:color w:val="000000"/>
                <w:sz w:val="18"/>
                <w:szCs w:val="18"/>
              </w:rPr>
            </w:pPr>
            <w:r>
              <w:rPr>
                <w:rFonts w:cs="Arial"/>
                <w:color w:val="000000"/>
                <w:sz w:val="18"/>
                <w:szCs w:val="18"/>
              </w:rPr>
              <w:t>% above threshold</w:t>
            </w:r>
          </w:p>
        </w:tc>
        <w:tc>
          <w:tcPr>
            <w:tcW w:w="567" w:type="dxa"/>
            <w:tcBorders>
              <w:top w:val="nil"/>
              <w:left w:val="single" w:sz="4" w:space="0" w:color="auto"/>
              <w:bottom w:val="single" w:sz="4" w:space="0" w:color="auto"/>
            </w:tcBorders>
            <w:vAlign w:val="center"/>
          </w:tcPr>
          <w:p w14:paraId="724DF576" w14:textId="77777777" w:rsidR="00C147BE" w:rsidRPr="00FD61B1" w:rsidRDefault="00C147BE" w:rsidP="006B4611">
            <w:pPr>
              <w:jc w:val="center"/>
              <w:rPr>
                <w:rFonts w:cs="Arial"/>
                <w:color w:val="000000"/>
                <w:sz w:val="18"/>
                <w:szCs w:val="18"/>
              </w:rPr>
            </w:pPr>
            <w:r w:rsidRPr="00FD61B1">
              <w:rPr>
                <w:rFonts w:cs="Arial"/>
                <w:color w:val="000000"/>
                <w:sz w:val="18"/>
                <w:szCs w:val="18"/>
              </w:rPr>
              <w:t>N</w:t>
            </w:r>
          </w:p>
        </w:tc>
        <w:tc>
          <w:tcPr>
            <w:tcW w:w="993" w:type="dxa"/>
            <w:tcBorders>
              <w:top w:val="nil"/>
              <w:bottom w:val="single" w:sz="4" w:space="0" w:color="auto"/>
              <w:right w:val="single" w:sz="4" w:space="0" w:color="auto"/>
            </w:tcBorders>
            <w:vAlign w:val="center"/>
          </w:tcPr>
          <w:p w14:paraId="33CEB098" w14:textId="77777777" w:rsidR="00C147BE" w:rsidRDefault="00C147BE" w:rsidP="006B4611">
            <w:pPr>
              <w:jc w:val="center"/>
              <w:rPr>
                <w:rFonts w:cs="Arial"/>
                <w:color w:val="000000"/>
                <w:sz w:val="18"/>
                <w:szCs w:val="18"/>
              </w:rPr>
            </w:pPr>
            <w:r w:rsidRPr="00FD61B1">
              <w:rPr>
                <w:rFonts w:cs="Arial"/>
                <w:color w:val="000000"/>
                <w:sz w:val="18"/>
                <w:szCs w:val="18"/>
              </w:rPr>
              <w:t>Mean (SD)</w:t>
            </w:r>
          </w:p>
          <w:p w14:paraId="1B599375" w14:textId="77777777" w:rsidR="00C147BE" w:rsidRPr="00FD61B1" w:rsidRDefault="00C147BE" w:rsidP="006B4611">
            <w:pPr>
              <w:jc w:val="center"/>
              <w:rPr>
                <w:rFonts w:cs="Arial"/>
                <w:color w:val="000000"/>
                <w:sz w:val="18"/>
                <w:szCs w:val="18"/>
              </w:rPr>
            </w:pPr>
            <w:r>
              <w:rPr>
                <w:rFonts w:cs="Arial"/>
                <w:color w:val="000000"/>
                <w:sz w:val="18"/>
                <w:szCs w:val="18"/>
              </w:rPr>
              <w:t>% above threshold</w:t>
            </w:r>
          </w:p>
        </w:tc>
        <w:tc>
          <w:tcPr>
            <w:tcW w:w="1559" w:type="dxa"/>
            <w:tcBorders>
              <w:top w:val="nil"/>
              <w:left w:val="single" w:sz="4" w:space="0" w:color="auto"/>
              <w:bottom w:val="single" w:sz="4" w:space="0" w:color="auto"/>
            </w:tcBorders>
            <w:vAlign w:val="center"/>
          </w:tcPr>
          <w:p w14:paraId="567AB9FB" w14:textId="2EF76B45" w:rsidR="00C147BE" w:rsidRDefault="00C147BE" w:rsidP="006B4611">
            <w:pPr>
              <w:jc w:val="center"/>
              <w:rPr>
                <w:rFonts w:cs="Arial"/>
                <w:color w:val="000000"/>
                <w:sz w:val="18"/>
                <w:szCs w:val="18"/>
              </w:rPr>
            </w:pPr>
            <w:r>
              <w:rPr>
                <w:rFonts w:cs="Arial"/>
                <w:color w:val="000000"/>
                <w:sz w:val="18"/>
                <w:szCs w:val="18"/>
              </w:rPr>
              <w:t xml:space="preserve">Cohen’s </w:t>
            </w:r>
            <w:r w:rsidRPr="00987B39">
              <w:rPr>
                <w:rFonts w:cs="Arial"/>
                <w:i/>
                <w:color w:val="000000"/>
                <w:sz w:val="18"/>
                <w:szCs w:val="18"/>
              </w:rPr>
              <w:t>d</w:t>
            </w:r>
            <w:r>
              <w:rPr>
                <w:rFonts w:cs="Arial"/>
                <w:color w:val="000000"/>
                <w:sz w:val="18"/>
                <w:szCs w:val="18"/>
              </w:rPr>
              <w:t>*</w:t>
            </w:r>
          </w:p>
        </w:tc>
      </w:tr>
      <w:tr w:rsidR="00C147BE" w:rsidRPr="00FA4D1E" w14:paraId="3145A4C4" w14:textId="77777777" w:rsidTr="006B4611">
        <w:trPr>
          <w:trHeight w:val="480"/>
        </w:trPr>
        <w:tc>
          <w:tcPr>
            <w:tcW w:w="1135" w:type="dxa"/>
            <w:tcBorders>
              <w:top w:val="single" w:sz="4" w:space="0" w:color="auto"/>
              <w:right w:val="single" w:sz="4" w:space="0" w:color="auto"/>
            </w:tcBorders>
            <w:shd w:val="clear" w:color="auto" w:fill="FFFFFF"/>
            <w:vAlign w:val="center"/>
          </w:tcPr>
          <w:p w14:paraId="0527CF63" w14:textId="77777777" w:rsidR="00C147BE" w:rsidRPr="00987B39" w:rsidRDefault="00C147BE" w:rsidP="006B4611">
            <w:pPr>
              <w:jc w:val="center"/>
              <w:rPr>
                <w:rFonts w:cs="Arial"/>
                <w:b/>
                <w:color w:val="000000"/>
                <w:sz w:val="18"/>
                <w:szCs w:val="18"/>
              </w:rPr>
            </w:pPr>
            <w:r w:rsidRPr="00987B39">
              <w:rPr>
                <w:rFonts w:cs="Arial"/>
                <w:b/>
                <w:color w:val="000000"/>
                <w:sz w:val="18"/>
                <w:szCs w:val="18"/>
              </w:rPr>
              <w:t>SF36 Physical Component Summary</w:t>
            </w:r>
          </w:p>
        </w:tc>
        <w:tc>
          <w:tcPr>
            <w:tcW w:w="1027" w:type="dxa"/>
            <w:tcBorders>
              <w:top w:val="single" w:sz="4" w:space="0" w:color="auto"/>
            </w:tcBorders>
            <w:shd w:val="clear" w:color="auto" w:fill="FFFFFF"/>
            <w:vAlign w:val="center"/>
          </w:tcPr>
          <w:p w14:paraId="634BB0C0" w14:textId="77777777" w:rsidR="00C147BE" w:rsidRDefault="00C147BE" w:rsidP="006B4611">
            <w:pPr>
              <w:jc w:val="center"/>
              <w:rPr>
                <w:rFonts w:cs="Arial"/>
                <w:color w:val="000000"/>
                <w:sz w:val="18"/>
                <w:szCs w:val="18"/>
              </w:rPr>
            </w:pPr>
            <w:r>
              <w:rPr>
                <w:rFonts w:cs="Arial"/>
                <w:sz w:val="20"/>
                <w:szCs w:val="20"/>
              </w:rPr>
              <w:t>Range</w:t>
            </w:r>
          </w:p>
        </w:tc>
        <w:tc>
          <w:tcPr>
            <w:tcW w:w="567" w:type="dxa"/>
            <w:tcBorders>
              <w:top w:val="single" w:sz="4" w:space="0" w:color="auto"/>
              <w:right w:val="single" w:sz="4" w:space="0" w:color="auto"/>
            </w:tcBorders>
            <w:shd w:val="clear" w:color="auto" w:fill="FFFFFF"/>
            <w:vAlign w:val="center"/>
          </w:tcPr>
          <w:p w14:paraId="69C8A0E5" w14:textId="77777777" w:rsidR="00C147BE" w:rsidRDefault="00C147BE" w:rsidP="006B4611">
            <w:pPr>
              <w:jc w:val="center"/>
              <w:rPr>
                <w:rFonts w:cs="Arial"/>
                <w:color w:val="000000"/>
                <w:sz w:val="18"/>
                <w:szCs w:val="18"/>
              </w:rPr>
            </w:pPr>
            <w:r>
              <w:rPr>
                <w:rFonts w:cs="Arial"/>
                <w:color w:val="000000"/>
                <w:sz w:val="18"/>
                <w:szCs w:val="18"/>
              </w:rPr>
              <w:t>0-100</w:t>
            </w:r>
          </w:p>
        </w:tc>
        <w:tc>
          <w:tcPr>
            <w:tcW w:w="567" w:type="dxa"/>
            <w:tcBorders>
              <w:top w:val="single" w:sz="4" w:space="0" w:color="auto"/>
              <w:left w:val="single" w:sz="4" w:space="0" w:color="auto"/>
              <w:bottom w:val="nil"/>
            </w:tcBorders>
            <w:shd w:val="clear" w:color="auto" w:fill="FFFFFF"/>
            <w:noWrap/>
            <w:vAlign w:val="center"/>
          </w:tcPr>
          <w:p w14:paraId="50D167A7" w14:textId="77777777" w:rsidR="00C147BE" w:rsidRDefault="00C147BE" w:rsidP="006B4611">
            <w:pPr>
              <w:jc w:val="center"/>
              <w:rPr>
                <w:rFonts w:cs="Arial"/>
                <w:color w:val="000000"/>
                <w:sz w:val="18"/>
                <w:szCs w:val="18"/>
              </w:rPr>
            </w:pPr>
            <w:r>
              <w:rPr>
                <w:rFonts w:cs="Arial"/>
                <w:color w:val="000000"/>
                <w:sz w:val="18"/>
                <w:szCs w:val="18"/>
              </w:rPr>
              <w:t>404</w:t>
            </w:r>
          </w:p>
        </w:tc>
        <w:tc>
          <w:tcPr>
            <w:tcW w:w="992" w:type="dxa"/>
            <w:tcBorders>
              <w:top w:val="single" w:sz="4" w:space="0" w:color="auto"/>
              <w:bottom w:val="nil"/>
              <w:right w:val="single" w:sz="4" w:space="0" w:color="auto"/>
            </w:tcBorders>
            <w:shd w:val="clear" w:color="auto" w:fill="FFFFFF"/>
            <w:noWrap/>
            <w:vAlign w:val="center"/>
          </w:tcPr>
          <w:p w14:paraId="0C82522E" w14:textId="77777777" w:rsidR="00C147BE" w:rsidRDefault="00C147BE" w:rsidP="006B4611">
            <w:pPr>
              <w:jc w:val="center"/>
              <w:rPr>
                <w:rFonts w:cs="Arial"/>
                <w:sz w:val="20"/>
                <w:szCs w:val="20"/>
              </w:rPr>
            </w:pPr>
            <w:r>
              <w:rPr>
                <w:rFonts w:cs="Arial"/>
                <w:sz w:val="20"/>
                <w:szCs w:val="20"/>
              </w:rPr>
              <w:t>47.4 (10.0)</w:t>
            </w:r>
          </w:p>
        </w:tc>
        <w:tc>
          <w:tcPr>
            <w:tcW w:w="425" w:type="dxa"/>
            <w:tcBorders>
              <w:top w:val="single" w:sz="4" w:space="0" w:color="auto"/>
              <w:left w:val="single" w:sz="4" w:space="0" w:color="auto"/>
              <w:bottom w:val="nil"/>
            </w:tcBorders>
            <w:shd w:val="clear" w:color="auto" w:fill="FFFFFF"/>
            <w:noWrap/>
            <w:vAlign w:val="center"/>
          </w:tcPr>
          <w:p w14:paraId="7E976063" w14:textId="77777777" w:rsidR="00C147BE" w:rsidRDefault="00C147BE" w:rsidP="006B4611">
            <w:pPr>
              <w:jc w:val="center"/>
              <w:rPr>
                <w:rFonts w:cs="Arial"/>
                <w:color w:val="000000"/>
                <w:sz w:val="18"/>
                <w:szCs w:val="18"/>
              </w:rPr>
            </w:pPr>
            <w:r>
              <w:rPr>
                <w:rFonts w:cs="Arial"/>
                <w:color w:val="000000"/>
                <w:sz w:val="18"/>
                <w:szCs w:val="18"/>
              </w:rPr>
              <w:t>90</w:t>
            </w:r>
          </w:p>
        </w:tc>
        <w:tc>
          <w:tcPr>
            <w:tcW w:w="1134" w:type="dxa"/>
            <w:tcBorders>
              <w:top w:val="single" w:sz="4" w:space="0" w:color="auto"/>
              <w:bottom w:val="nil"/>
              <w:right w:val="single" w:sz="4" w:space="0" w:color="auto"/>
            </w:tcBorders>
            <w:shd w:val="clear" w:color="auto" w:fill="FFFFFF"/>
            <w:noWrap/>
            <w:vAlign w:val="center"/>
          </w:tcPr>
          <w:p w14:paraId="1059A037" w14:textId="77777777" w:rsidR="00C147BE" w:rsidRDefault="00C147BE" w:rsidP="006B4611">
            <w:pPr>
              <w:jc w:val="center"/>
              <w:rPr>
                <w:rFonts w:cs="Arial"/>
                <w:sz w:val="20"/>
                <w:szCs w:val="20"/>
              </w:rPr>
            </w:pPr>
            <w:r>
              <w:rPr>
                <w:rFonts w:cs="Arial"/>
                <w:sz w:val="20"/>
                <w:szCs w:val="20"/>
              </w:rPr>
              <w:t>46.4 (10.7)</w:t>
            </w:r>
          </w:p>
        </w:tc>
        <w:tc>
          <w:tcPr>
            <w:tcW w:w="533" w:type="dxa"/>
            <w:tcBorders>
              <w:top w:val="single" w:sz="4" w:space="0" w:color="auto"/>
              <w:left w:val="single" w:sz="4" w:space="0" w:color="auto"/>
              <w:bottom w:val="nil"/>
            </w:tcBorders>
            <w:shd w:val="clear" w:color="auto" w:fill="FFFFFF"/>
            <w:noWrap/>
            <w:vAlign w:val="center"/>
          </w:tcPr>
          <w:p w14:paraId="59642756" w14:textId="77777777" w:rsidR="00C147BE" w:rsidRDefault="00C147BE" w:rsidP="006B4611">
            <w:pPr>
              <w:jc w:val="center"/>
              <w:rPr>
                <w:rFonts w:cs="Arial"/>
                <w:color w:val="000000"/>
                <w:sz w:val="18"/>
                <w:szCs w:val="18"/>
              </w:rPr>
            </w:pPr>
            <w:r>
              <w:rPr>
                <w:rFonts w:cs="Arial"/>
                <w:color w:val="000000"/>
                <w:sz w:val="18"/>
                <w:szCs w:val="18"/>
              </w:rPr>
              <w:t>148</w:t>
            </w:r>
          </w:p>
        </w:tc>
        <w:tc>
          <w:tcPr>
            <w:tcW w:w="1026" w:type="dxa"/>
            <w:tcBorders>
              <w:top w:val="single" w:sz="4" w:space="0" w:color="auto"/>
              <w:bottom w:val="nil"/>
              <w:right w:val="single" w:sz="4" w:space="0" w:color="auto"/>
            </w:tcBorders>
            <w:shd w:val="clear" w:color="auto" w:fill="FFFFFF"/>
            <w:noWrap/>
            <w:vAlign w:val="center"/>
          </w:tcPr>
          <w:p w14:paraId="7245E169" w14:textId="77777777" w:rsidR="00C147BE" w:rsidRDefault="00C147BE" w:rsidP="006B4611">
            <w:pPr>
              <w:jc w:val="center"/>
              <w:rPr>
                <w:rFonts w:cs="Arial"/>
                <w:sz w:val="20"/>
                <w:szCs w:val="20"/>
              </w:rPr>
            </w:pPr>
            <w:r>
              <w:rPr>
                <w:rFonts w:cs="Arial"/>
                <w:sz w:val="20"/>
                <w:szCs w:val="20"/>
              </w:rPr>
              <w:t>47.1 (10.1)</w:t>
            </w:r>
          </w:p>
        </w:tc>
        <w:tc>
          <w:tcPr>
            <w:tcW w:w="567" w:type="dxa"/>
            <w:tcBorders>
              <w:top w:val="single" w:sz="4" w:space="0" w:color="auto"/>
              <w:left w:val="single" w:sz="4" w:space="0" w:color="auto"/>
            </w:tcBorders>
            <w:shd w:val="clear" w:color="auto" w:fill="FFFFFF"/>
            <w:noWrap/>
            <w:vAlign w:val="center"/>
          </w:tcPr>
          <w:p w14:paraId="7DE56ACF" w14:textId="77777777" w:rsidR="00C147BE" w:rsidRDefault="00C147BE" w:rsidP="006B4611">
            <w:pPr>
              <w:jc w:val="center"/>
              <w:rPr>
                <w:rFonts w:cs="Arial"/>
                <w:color w:val="000000"/>
                <w:sz w:val="18"/>
                <w:szCs w:val="18"/>
              </w:rPr>
            </w:pPr>
            <w:r>
              <w:rPr>
                <w:rFonts w:cs="Arial"/>
                <w:color w:val="000000"/>
                <w:sz w:val="18"/>
                <w:szCs w:val="18"/>
              </w:rPr>
              <w:t>166</w:t>
            </w:r>
          </w:p>
        </w:tc>
        <w:tc>
          <w:tcPr>
            <w:tcW w:w="993" w:type="dxa"/>
            <w:tcBorders>
              <w:top w:val="single" w:sz="4" w:space="0" w:color="auto"/>
              <w:right w:val="single" w:sz="4" w:space="0" w:color="auto"/>
            </w:tcBorders>
            <w:shd w:val="clear" w:color="auto" w:fill="FFFFFF"/>
            <w:noWrap/>
            <w:vAlign w:val="center"/>
          </w:tcPr>
          <w:p w14:paraId="653F762B" w14:textId="77777777" w:rsidR="00C147BE" w:rsidRDefault="00C147BE" w:rsidP="006B4611">
            <w:pPr>
              <w:jc w:val="center"/>
              <w:rPr>
                <w:rFonts w:cs="Arial"/>
                <w:sz w:val="20"/>
                <w:szCs w:val="20"/>
              </w:rPr>
            </w:pPr>
            <w:r>
              <w:rPr>
                <w:rFonts w:cs="Arial"/>
                <w:sz w:val="20"/>
                <w:szCs w:val="20"/>
              </w:rPr>
              <w:t>48.3 (8.6)</w:t>
            </w:r>
          </w:p>
        </w:tc>
        <w:tc>
          <w:tcPr>
            <w:tcW w:w="1559" w:type="dxa"/>
            <w:tcBorders>
              <w:top w:val="single" w:sz="4" w:space="0" w:color="auto"/>
              <w:left w:val="single" w:sz="4" w:space="0" w:color="auto"/>
            </w:tcBorders>
            <w:shd w:val="clear" w:color="auto" w:fill="FFFFFF"/>
            <w:vAlign w:val="center"/>
          </w:tcPr>
          <w:p w14:paraId="4EA529E9" w14:textId="77777777" w:rsidR="00C147BE" w:rsidRDefault="00C147BE" w:rsidP="006B4611">
            <w:pPr>
              <w:jc w:val="center"/>
              <w:rPr>
                <w:rFonts w:cs="Arial"/>
                <w:sz w:val="20"/>
                <w:szCs w:val="20"/>
              </w:rPr>
            </w:pPr>
          </w:p>
        </w:tc>
      </w:tr>
      <w:tr w:rsidR="00C147BE" w:rsidRPr="00FA4D1E" w14:paraId="27EBA9F4" w14:textId="77777777" w:rsidTr="006B4611">
        <w:trPr>
          <w:trHeight w:val="480"/>
        </w:trPr>
        <w:tc>
          <w:tcPr>
            <w:tcW w:w="1135" w:type="dxa"/>
            <w:tcBorders>
              <w:top w:val="single" w:sz="4" w:space="0" w:color="auto"/>
              <w:bottom w:val="single" w:sz="4" w:space="0" w:color="auto"/>
              <w:right w:val="single" w:sz="4" w:space="0" w:color="auto"/>
            </w:tcBorders>
            <w:shd w:val="clear" w:color="auto" w:fill="FFFFFF"/>
            <w:vAlign w:val="center"/>
          </w:tcPr>
          <w:p w14:paraId="57CEB3DD" w14:textId="77777777" w:rsidR="00C147BE" w:rsidRPr="00987B39" w:rsidRDefault="00C147BE" w:rsidP="006B4611">
            <w:pPr>
              <w:jc w:val="center"/>
              <w:rPr>
                <w:rFonts w:cs="Arial"/>
                <w:b/>
                <w:color w:val="000000"/>
                <w:sz w:val="18"/>
                <w:szCs w:val="18"/>
              </w:rPr>
            </w:pPr>
            <w:r w:rsidRPr="00987B39">
              <w:rPr>
                <w:rFonts w:cs="Arial"/>
                <w:b/>
                <w:color w:val="000000"/>
                <w:sz w:val="18"/>
                <w:szCs w:val="18"/>
              </w:rPr>
              <w:t>SF36 Mental Component Summary</w:t>
            </w:r>
          </w:p>
        </w:tc>
        <w:tc>
          <w:tcPr>
            <w:tcW w:w="1027" w:type="dxa"/>
            <w:tcBorders>
              <w:top w:val="single" w:sz="4" w:space="0" w:color="auto"/>
              <w:bottom w:val="single" w:sz="4" w:space="0" w:color="auto"/>
            </w:tcBorders>
            <w:shd w:val="clear" w:color="auto" w:fill="FFFFFF"/>
            <w:vAlign w:val="center"/>
          </w:tcPr>
          <w:p w14:paraId="2FD71C1F" w14:textId="77777777" w:rsidR="00C147BE" w:rsidRDefault="00C147BE" w:rsidP="006B4611">
            <w:pPr>
              <w:jc w:val="center"/>
              <w:rPr>
                <w:rFonts w:cs="Arial"/>
                <w:color w:val="000000"/>
                <w:sz w:val="18"/>
                <w:szCs w:val="18"/>
              </w:rPr>
            </w:pPr>
            <w:r>
              <w:rPr>
                <w:rFonts w:cs="Arial"/>
                <w:sz w:val="20"/>
                <w:szCs w:val="20"/>
              </w:rPr>
              <w:t>Range</w:t>
            </w:r>
          </w:p>
        </w:tc>
        <w:tc>
          <w:tcPr>
            <w:tcW w:w="567" w:type="dxa"/>
            <w:tcBorders>
              <w:top w:val="single" w:sz="4" w:space="0" w:color="auto"/>
              <w:bottom w:val="single" w:sz="4" w:space="0" w:color="auto"/>
              <w:right w:val="single" w:sz="4" w:space="0" w:color="auto"/>
            </w:tcBorders>
            <w:shd w:val="clear" w:color="auto" w:fill="FFFFFF"/>
            <w:vAlign w:val="center"/>
          </w:tcPr>
          <w:p w14:paraId="6A5EAE3F" w14:textId="77777777" w:rsidR="00C147BE" w:rsidRDefault="00C147BE" w:rsidP="006B4611">
            <w:pPr>
              <w:jc w:val="center"/>
              <w:rPr>
                <w:rFonts w:cs="Arial"/>
                <w:color w:val="000000"/>
                <w:sz w:val="18"/>
                <w:szCs w:val="18"/>
              </w:rPr>
            </w:pPr>
            <w:r>
              <w:rPr>
                <w:rFonts w:cs="Arial"/>
                <w:color w:val="000000"/>
                <w:sz w:val="18"/>
                <w:szCs w:val="18"/>
              </w:rPr>
              <w:t>0-100</w:t>
            </w:r>
          </w:p>
        </w:tc>
        <w:tc>
          <w:tcPr>
            <w:tcW w:w="567" w:type="dxa"/>
            <w:tcBorders>
              <w:top w:val="single" w:sz="4" w:space="0" w:color="auto"/>
              <w:left w:val="single" w:sz="4" w:space="0" w:color="auto"/>
              <w:bottom w:val="single" w:sz="4" w:space="0" w:color="auto"/>
            </w:tcBorders>
            <w:shd w:val="clear" w:color="auto" w:fill="FFFFFF"/>
            <w:noWrap/>
            <w:vAlign w:val="center"/>
          </w:tcPr>
          <w:p w14:paraId="4D4F90AF" w14:textId="77777777" w:rsidR="00C147BE" w:rsidRDefault="00C147BE" w:rsidP="006B4611">
            <w:pPr>
              <w:jc w:val="center"/>
              <w:rPr>
                <w:rFonts w:cs="Arial"/>
                <w:color w:val="000000"/>
                <w:sz w:val="18"/>
                <w:szCs w:val="18"/>
              </w:rPr>
            </w:pPr>
            <w:r>
              <w:rPr>
                <w:rFonts w:cs="Arial"/>
                <w:color w:val="000000"/>
                <w:sz w:val="18"/>
                <w:szCs w:val="18"/>
              </w:rPr>
              <w:t>404</w:t>
            </w:r>
          </w:p>
        </w:tc>
        <w:tc>
          <w:tcPr>
            <w:tcW w:w="992" w:type="dxa"/>
            <w:tcBorders>
              <w:top w:val="single" w:sz="4" w:space="0" w:color="auto"/>
              <w:bottom w:val="single" w:sz="4" w:space="0" w:color="auto"/>
              <w:right w:val="single" w:sz="4" w:space="0" w:color="auto"/>
            </w:tcBorders>
            <w:shd w:val="clear" w:color="auto" w:fill="FFFFFF"/>
            <w:noWrap/>
            <w:vAlign w:val="center"/>
          </w:tcPr>
          <w:p w14:paraId="006E75B3" w14:textId="77777777" w:rsidR="00C147BE" w:rsidRDefault="00C147BE" w:rsidP="006B4611">
            <w:pPr>
              <w:jc w:val="center"/>
              <w:rPr>
                <w:rFonts w:cs="Arial"/>
                <w:sz w:val="20"/>
                <w:szCs w:val="20"/>
              </w:rPr>
            </w:pPr>
            <w:r>
              <w:rPr>
                <w:rFonts w:cs="Arial"/>
                <w:sz w:val="20"/>
                <w:szCs w:val="20"/>
              </w:rPr>
              <w:t>52.4 (10.2)</w:t>
            </w:r>
          </w:p>
        </w:tc>
        <w:tc>
          <w:tcPr>
            <w:tcW w:w="425" w:type="dxa"/>
            <w:tcBorders>
              <w:top w:val="single" w:sz="4" w:space="0" w:color="auto"/>
              <w:left w:val="single" w:sz="4" w:space="0" w:color="auto"/>
              <w:bottom w:val="single" w:sz="4" w:space="0" w:color="auto"/>
            </w:tcBorders>
            <w:shd w:val="clear" w:color="auto" w:fill="FFFFFF"/>
            <w:noWrap/>
            <w:vAlign w:val="center"/>
          </w:tcPr>
          <w:p w14:paraId="28A60BA0" w14:textId="77777777" w:rsidR="00C147BE" w:rsidRDefault="00C147BE" w:rsidP="006B4611">
            <w:pPr>
              <w:jc w:val="center"/>
              <w:rPr>
                <w:rFonts w:cs="Arial"/>
                <w:color w:val="000000"/>
                <w:sz w:val="18"/>
                <w:szCs w:val="18"/>
              </w:rPr>
            </w:pPr>
            <w:r>
              <w:rPr>
                <w:rFonts w:cs="Arial"/>
                <w:color w:val="000000"/>
                <w:sz w:val="18"/>
                <w:szCs w:val="18"/>
              </w:rPr>
              <w:t>90</w:t>
            </w:r>
          </w:p>
        </w:tc>
        <w:tc>
          <w:tcPr>
            <w:tcW w:w="1134" w:type="dxa"/>
            <w:tcBorders>
              <w:top w:val="single" w:sz="4" w:space="0" w:color="auto"/>
              <w:bottom w:val="single" w:sz="4" w:space="0" w:color="auto"/>
              <w:right w:val="single" w:sz="4" w:space="0" w:color="auto"/>
            </w:tcBorders>
            <w:shd w:val="clear" w:color="auto" w:fill="FFFFFF"/>
            <w:noWrap/>
            <w:vAlign w:val="center"/>
          </w:tcPr>
          <w:p w14:paraId="0518CA6D" w14:textId="77777777" w:rsidR="00C147BE" w:rsidRDefault="00C147BE" w:rsidP="006B4611">
            <w:pPr>
              <w:jc w:val="center"/>
              <w:rPr>
                <w:rFonts w:cs="Arial"/>
                <w:sz w:val="20"/>
                <w:szCs w:val="20"/>
              </w:rPr>
            </w:pPr>
            <w:r>
              <w:rPr>
                <w:rFonts w:cs="Arial"/>
                <w:sz w:val="20"/>
                <w:szCs w:val="20"/>
              </w:rPr>
              <w:t>52.1 (11.1)</w:t>
            </w:r>
          </w:p>
        </w:tc>
        <w:tc>
          <w:tcPr>
            <w:tcW w:w="533" w:type="dxa"/>
            <w:tcBorders>
              <w:top w:val="single" w:sz="4" w:space="0" w:color="auto"/>
              <w:left w:val="single" w:sz="4" w:space="0" w:color="auto"/>
              <w:bottom w:val="single" w:sz="4" w:space="0" w:color="auto"/>
            </w:tcBorders>
            <w:shd w:val="clear" w:color="auto" w:fill="FFFFFF"/>
            <w:noWrap/>
            <w:vAlign w:val="center"/>
          </w:tcPr>
          <w:p w14:paraId="231A79A6" w14:textId="77777777" w:rsidR="00C147BE" w:rsidRDefault="00C147BE" w:rsidP="006B4611">
            <w:pPr>
              <w:jc w:val="center"/>
              <w:rPr>
                <w:rFonts w:cs="Arial"/>
                <w:color w:val="000000"/>
                <w:sz w:val="18"/>
                <w:szCs w:val="18"/>
              </w:rPr>
            </w:pPr>
            <w:r>
              <w:rPr>
                <w:rFonts w:cs="Arial"/>
                <w:color w:val="000000"/>
                <w:sz w:val="18"/>
                <w:szCs w:val="18"/>
              </w:rPr>
              <w:t>148</w:t>
            </w:r>
          </w:p>
        </w:tc>
        <w:tc>
          <w:tcPr>
            <w:tcW w:w="1026" w:type="dxa"/>
            <w:tcBorders>
              <w:top w:val="single" w:sz="4" w:space="0" w:color="auto"/>
              <w:bottom w:val="single" w:sz="4" w:space="0" w:color="auto"/>
              <w:right w:val="single" w:sz="4" w:space="0" w:color="auto"/>
            </w:tcBorders>
            <w:shd w:val="clear" w:color="auto" w:fill="FFFFFF"/>
            <w:noWrap/>
            <w:vAlign w:val="center"/>
          </w:tcPr>
          <w:p w14:paraId="49B9A06C" w14:textId="77777777" w:rsidR="00C147BE" w:rsidRDefault="00C147BE" w:rsidP="006B4611">
            <w:pPr>
              <w:jc w:val="center"/>
              <w:rPr>
                <w:rFonts w:cs="Arial"/>
                <w:sz w:val="20"/>
                <w:szCs w:val="20"/>
              </w:rPr>
            </w:pPr>
            <w:r>
              <w:rPr>
                <w:rFonts w:cs="Arial"/>
                <w:sz w:val="20"/>
                <w:szCs w:val="20"/>
              </w:rPr>
              <w:t>51.2 (10.5)</w:t>
            </w:r>
          </w:p>
        </w:tc>
        <w:tc>
          <w:tcPr>
            <w:tcW w:w="567" w:type="dxa"/>
            <w:tcBorders>
              <w:top w:val="single" w:sz="4" w:space="0" w:color="auto"/>
              <w:left w:val="single" w:sz="4" w:space="0" w:color="auto"/>
              <w:bottom w:val="single" w:sz="4" w:space="0" w:color="auto"/>
            </w:tcBorders>
            <w:shd w:val="clear" w:color="auto" w:fill="FFFFFF"/>
            <w:noWrap/>
            <w:vAlign w:val="center"/>
          </w:tcPr>
          <w:p w14:paraId="714C1986" w14:textId="77777777" w:rsidR="00C147BE" w:rsidRDefault="00C147BE" w:rsidP="006B4611">
            <w:pPr>
              <w:jc w:val="center"/>
              <w:rPr>
                <w:rFonts w:cs="Arial"/>
                <w:color w:val="000000"/>
                <w:sz w:val="18"/>
                <w:szCs w:val="18"/>
              </w:rPr>
            </w:pPr>
            <w:r>
              <w:rPr>
                <w:rFonts w:cs="Arial"/>
                <w:color w:val="000000"/>
                <w:sz w:val="18"/>
                <w:szCs w:val="18"/>
              </w:rPr>
              <w:t>166</w:t>
            </w:r>
          </w:p>
        </w:tc>
        <w:tc>
          <w:tcPr>
            <w:tcW w:w="993" w:type="dxa"/>
            <w:tcBorders>
              <w:top w:val="single" w:sz="4" w:space="0" w:color="auto"/>
              <w:bottom w:val="single" w:sz="4" w:space="0" w:color="auto"/>
              <w:right w:val="single" w:sz="4" w:space="0" w:color="auto"/>
            </w:tcBorders>
            <w:shd w:val="clear" w:color="auto" w:fill="FFFFFF"/>
            <w:noWrap/>
            <w:vAlign w:val="center"/>
          </w:tcPr>
          <w:p w14:paraId="0F7C1A60" w14:textId="77777777" w:rsidR="00C147BE" w:rsidRDefault="00C147BE" w:rsidP="006B4611">
            <w:pPr>
              <w:jc w:val="center"/>
              <w:rPr>
                <w:rFonts w:cs="Arial"/>
                <w:sz w:val="20"/>
                <w:szCs w:val="20"/>
              </w:rPr>
            </w:pPr>
            <w:r>
              <w:rPr>
                <w:rFonts w:cs="Arial"/>
                <w:sz w:val="20"/>
                <w:szCs w:val="20"/>
              </w:rPr>
              <w:t>53.7 (9.3)</w:t>
            </w:r>
          </w:p>
        </w:tc>
        <w:tc>
          <w:tcPr>
            <w:tcW w:w="1559" w:type="dxa"/>
            <w:tcBorders>
              <w:top w:val="single" w:sz="4" w:space="0" w:color="auto"/>
              <w:left w:val="single" w:sz="4" w:space="0" w:color="auto"/>
              <w:bottom w:val="single" w:sz="4" w:space="0" w:color="auto"/>
            </w:tcBorders>
            <w:shd w:val="clear" w:color="auto" w:fill="FFFFFF"/>
            <w:vAlign w:val="center"/>
          </w:tcPr>
          <w:p w14:paraId="270C8F8C" w14:textId="77777777" w:rsidR="00C147BE" w:rsidRDefault="00C147BE" w:rsidP="006B4611">
            <w:pPr>
              <w:jc w:val="center"/>
              <w:rPr>
                <w:rFonts w:cs="Arial"/>
                <w:sz w:val="20"/>
                <w:szCs w:val="20"/>
              </w:rPr>
            </w:pPr>
          </w:p>
        </w:tc>
      </w:tr>
      <w:tr w:rsidR="00C147BE" w:rsidRPr="00FA4D1E" w14:paraId="5F35C0DA" w14:textId="77777777" w:rsidTr="006B4611">
        <w:trPr>
          <w:trHeight w:val="480"/>
        </w:trPr>
        <w:tc>
          <w:tcPr>
            <w:tcW w:w="1135" w:type="dxa"/>
            <w:vMerge w:val="restart"/>
            <w:tcBorders>
              <w:top w:val="single" w:sz="4" w:space="0" w:color="auto"/>
              <w:right w:val="single" w:sz="4" w:space="0" w:color="auto"/>
            </w:tcBorders>
            <w:vAlign w:val="center"/>
          </w:tcPr>
          <w:p w14:paraId="16E3C30B" w14:textId="77777777" w:rsidR="00C147BE" w:rsidRPr="00987B39" w:rsidRDefault="00C147BE" w:rsidP="006B4611">
            <w:pPr>
              <w:jc w:val="center"/>
              <w:rPr>
                <w:rFonts w:cs="Arial"/>
                <w:b/>
                <w:color w:val="000000"/>
                <w:sz w:val="18"/>
                <w:szCs w:val="18"/>
              </w:rPr>
            </w:pPr>
            <w:r w:rsidRPr="00987B39">
              <w:rPr>
                <w:rFonts w:cs="Arial"/>
                <w:b/>
                <w:color w:val="000000"/>
                <w:sz w:val="18"/>
                <w:szCs w:val="18"/>
              </w:rPr>
              <w:t>Total Anxiety (HADS)</w:t>
            </w:r>
          </w:p>
        </w:tc>
        <w:tc>
          <w:tcPr>
            <w:tcW w:w="1027" w:type="dxa"/>
            <w:tcBorders>
              <w:top w:val="single" w:sz="4" w:space="0" w:color="auto"/>
              <w:bottom w:val="nil"/>
            </w:tcBorders>
            <w:vAlign w:val="center"/>
          </w:tcPr>
          <w:p w14:paraId="3ABE48D3" w14:textId="77777777" w:rsidR="00C147BE" w:rsidRPr="00FD61B1" w:rsidRDefault="00C147BE" w:rsidP="006B4611">
            <w:pPr>
              <w:jc w:val="center"/>
              <w:rPr>
                <w:rFonts w:cs="Arial"/>
                <w:color w:val="000000"/>
                <w:sz w:val="18"/>
                <w:szCs w:val="18"/>
              </w:rPr>
            </w:pPr>
            <w:r>
              <w:rPr>
                <w:rFonts w:cs="Arial"/>
                <w:sz w:val="20"/>
                <w:szCs w:val="20"/>
              </w:rPr>
              <w:t>Range</w:t>
            </w:r>
          </w:p>
        </w:tc>
        <w:tc>
          <w:tcPr>
            <w:tcW w:w="567" w:type="dxa"/>
            <w:tcBorders>
              <w:top w:val="single" w:sz="4" w:space="0" w:color="auto"/>
              <w:bottom w:val="nil"/>
              <w:right w:val="single" w:sz="4" w:space="0" w:color="auto"/>
            </w:tcBorders>
            <w:vAlign w:val="center"/>
          </w:tcPr>
          <w:p w14:paraId="30FC9999" w14:textId="77777777" w:rsidR="00C147BE" w:rsidRPr="00FD61B1" w:rsidRDefault="00C147BE" w:rsidP="006B4611">
            <w:pPr>
              <w:jc w:val="center"/>
              <w:rPr>
                <w:rFonts w:cs="Arial"/>
                <w:color w:val="000000"/>
                <w:sz w:val="18"/>
                <w:szCs w:val="18"/>
              </w:rPr>
            </w:pPr>
            <w:r>
              <w:rPr>
                <w:rFonts w:cs="Arial"/>
                <w:color w:val="000000"/>
                <w:sz w:val="18"/>
                <w:szCs w:val="18"/>
              </w:rPr>
              <w:t>0-21</w:t>
            </w:r>
          </w:p>
        </w:tc>
        <w:tc>
          <w:tcPr>
            <w:tcW w:w="567" w:type="dxa"/>
            <w:tcBorders>
              <w:top w:val="single" w:sz="4" w:space="0" w:color="auto"/>
              <w:left w:val="single" w:sz="4" w:space="0" w:color="auto"/>
              <w:bottom w:val="nil"/>
            </w:tcBorders>
            <w:noWrap/>
            <w:vAlign w:val="center"/>
          </w:tcPr>
          <w:p w14:paraId="659D5F57" w14:textId="77777777" w:rsidR="00C147BE" w:rsidRPr="00FD61B1" w:rsidRDefault="00C147BE" w:rsidP="006B4611">
            <w:pPr>
              <w:jc w:val="center"/>
              <w:rPr>
                <w:rFonts w:cs="Arial"/>
                <w:color w:val="000000"/>
                <w:sz w:val="18"/>
                <w:szCs w:val="18"/>
              </w:rPr>
            </w:pPr>
            <w:r>
              <w:rPr>
                <w:rFonts w:cs="Arial"/>
                <w:color w:val="000000"/>
                <w:sz w:val="18"/>
                <w:szCs w:val="18"/>
              </w:rPr>
              <w:t>431</w:t>
            </w:r>
          </w:p>
        </w:tc>
        <w:tc>
          <w:tcPr>
            <w:tcW w:w="992" w:type="dxa"/>
            <w:tcBorders>
              <w:top w:val="single" w:sz="4" w:space="0" w:color="auto"/>
              <w:bottom w:val="nil"/>
              <w:right w:val="single" w:sz="4" w:space="0" w:color="auto"/>
            </w:tcBorders>
            <w:noWrap/>
            <w:vAlign w:val="center"/>
          </w:tcPr>
          <w:p w14:paraId="615F87DC" w14:textId="77777777" w:rsidR="00C147BE" w:rsidRPr="00FD61B1" w:rsidRDefault="00C147BE" w:rsidP="006B4611">
            <w:pPr>
              <w:jc w:val="center"/>
              <w:rPr>
                <w:rFonts w:cs="Arial"/>
                <w:sz w:val="20"/>
                <w:szCs w:val="20"/>
              </w:rPr>
            </w:pPr>
            <w:r>
              <w:rPr>
                <w:rFonts w:cs="Arial"/>
                <w:sz w:val="20"/>
                <w:szCs w:val="20"/>
              </w:rPr>
              <w:t>4.9 (3.6)</w:t>
            </w:r>
          </w:p>
        </w:tc>
        <w:tc>
          <w:tcPr>
            <w:tcW w:w="425" w:type="dxa"/>
            <w:tcBorders>
              <w:top w:val="single" w:sz="4" w:space="0" w:color="auto"/>
              <w:left w:val="single" w:sz="4" w:space="0" w:color="auto"/>
              <w:bottom w:val="nil"/>
            </w:tcBorders>
            <w:noWrap/>
            <w:vAlign w:val="center"/>
          </w:tcPr>
          <w:p w14:paraId="28EBFB69" w14:textId="77777777" w:rsidR="00C147BE" w:rsidRPr="00FD61B1" w:rsidRDefault="00C147BE" w:rsidP="006B4611">
            <w:pPr>
              <w:jc w:val="center"/>
              <w:rPr>
                <w:rFonts w:cs="Arial"/>
                <w:color w:val="000000"/>
                <w:sz w:val="18"/>
                <w:szCs w:val="18"/>
              </w:rPr>
            </w:pPr>
            <w:r>
              <w:rPr>
                <w:rFonts w:cs="Arial"/>
                <w:color w:val="000000"/>
                <w:sz w:val="18"/>
                <w:szCs w:val="18"/>
              </w:rPr>
              <w:t>97</w:t>
            </w:r>
          </w:p>
        </w:tc>
        <w:tc>
          <w:tcPr>
            <w:tcW w:w="1134" w:type="dxa"/>
            <w:tcBorders>
              <w:top w:val="single" w:sz="4" w:space="0" w:color="auto"/>
              <w:bottom w:val="nil"/>
              <w:right w:val="single" w:sz="4" w:space="0" w:color="auto"/>
            </w:tcBorders>
            <w:noWrap/>
            <w:vAlign w:val="center"/>
          </w:tcPr>
          <w:p w14:paraId="0018A19F" w14:textId="77777777" w:rsidR="00C147BE" w:rsidRPr="00FD61B1" w:rsidRDefault="00C147BE" w:rsidP="006B4611">
            <w:pPr>
              <w:jc w:val="center"/>
              <w:rPr>
                <w:rFonts w:cs="Arial"/>
                <w:sz w:val="20"/>
                <w:szCs w:val="20"/>
              </w:rPr>
            </w:pPr>
            <w:r>
              <w:rPr>
                <w:rFonts w:cs="Arial"/>
                <w:sz w:val="20"/>
                <w:szCs w:val="20"/>
              </w:rPr>
              <w:t>4.9 (3.5)</w:t>
            </w:r>
          </w:p>
        </w:tc>
        <w:tc>
          <w:tcPr>
            <w:tcW w:w="533" w:type="dxa"/>
            <w:tcBorders>
              <w:top w:val="single" w:sz="4" w:space="0" w:color="auto"/>
              <w:left w:val="single" w:sz="4" w:space="0" w:color="auto"/>
              <w:bottom w:val="nil"/>
            </w:tcBorders>
            <w:noWrap/>
            <w:vAlign w:val="center"/>
          </w:tcPr>
          <w:p w14:paraId="4BFD0643" w14:textId="77777777" w:rsidR="00C147BE" w:rsidRPr="00FD61B1" w:rsidRDefault="00C147BE" w:rsidP="006B4611">
            <w:pPr>
              <w:jc w:val="center"/>
              <w:rPr>
                <w:rFonts w:cs="Arial"/>
                <w:color w:val="000000"/>
                <w:sz w:val="18"/>
                <w:szCs w:val="18"/>
              </w:rPr>
            </w:pPr>
            <w:r>
              <w:rPr>
                <w:rFonts w:cs="Arial"/>
                <w:color w:val="000000"/>
                <w:sz w:val="18"/>
                <w:szCs w:val="18"/>
              </w:rPr>
              <w:t>160</w:t>
            </w:r>
          </w:p>
        </w:tc>
        <w:tc>
          <w:tcPr>
            <w:tcW w:w="1026" w:type="dxa"/>
            <w:tcBorders>
              <w:top w:val="single" w:sz="4" w:space="0" w:color="auto"/>
              <w:bottom w:val="nil"/>
              <w:right w:val="single" w:sz="4" w:space="0" w:color="auto"/>
            </w:tcBorders>
            <w:noWrap/>
            <w:vAlign w:val="center"/>
          </w:tcPr>
          <w:p w14:paraId="44E60657" w14:textId="77777777" w:rsidR="00C147BE" w:rsidRPr="00FD61B1" w:rsidRDefault="00C147BE" w:rsidP="006B4611">
            <w:pPr>
              <w:jc w:val="center"/>
              <w:rPr>
                <w:rFonts w:cs="Arial"/>
                <w:sz w:val="20"/>
                <w:szCs w:val="20"/>
              </w:rPr>
            </w:pPr>
            <w:r>
              <w:rPr>
                <w:rFonts w:cs="Arial"/>
                <w:sz w:val="20"/>
                <w:szCs w:val="20"/>
              </w:rPr>
              <w:t>4.8 (3.8)</w:t>
            </w:r>
          </w:p>
        </w:tc>
        <w:tc>
          <w:tcPr>
            <w:tcW w:w="567" w:type="dxa"/>
            <w:tcBorders>
              <w:top w:val="single" w:sz="4" w:space="0" w:color="auto"/>
              <w:left w:val="single" w:sz="4" w:space="0" w:color="auto"/>
              <w:bottom w:val="nil"/>
            </w:tcBorders>
            <w:noWrap/>
            <w:vAlign w:val="center"/>
          </w:tcPr>
          <w:p w14:paraId="478E2274" w14:textId="77777777" w:rsidR="00C147BE" w:rsidRPr="00FD61B1" w:rsidRDefault="00C147BE" w:rsidP="006B4611">
            <w:pPr>
              <w:jc w:val="center"/>
              <w:rPr>
                <w:rFonts w:cs="Arial"/>
                <w:color w:val="000000"/>
                <w:sz w:val="18"/>
                <w:szCs w:val="18"/>
              </w:rPr>
            </w:pPr>
            <w:r>
              <w:rPr>
                <w:rFonts w:cs="Arial"/>
                <w:color w:val="000000"/>
                <w:sz w:val="18"/>
                <w:szCs w:val="18"/>
              </w:rPr>
              <w:t>174</w:t>
            </w:r>
          </w:p>
        </w:tc>
        <w:tc>
          <w:tcPr>
            <w:tcW w:w="993" w:type="dxa"/>
            <w:tcBorders>
              <w:top w:val="single" w:sz="4" w:space="0" w:color="auto"/>
              <w:bottom w:val="nil"/>
              <w:right w:val="single" w:sz="4" w:space="0" w:color="auto"/>
            </w:tcBorders>
            <w:noWrap/>
            <w:vAlign w:val="center"/>
          </w:tcPr>
          <w:p w14:paraId="32CC96BB" w14:textId="77777777" w:rsidR="00C147BE" w:rsidRPr="00FD61B1" w:rsidRDefault="00C147BE" w:rsidP="006B4611">
            <w:pPr>
              <w:jc w:val="center"/>
              <w:rPr>
                <w:rFonts w:cs="Arial"/>
                <w:sz w:val="20"/>
                <w:szCs w:val="20"/>
              </w:rPr>
            </w:pPr>
            <w:r>
              <w:rPr>
                <w:rFonts w:cs="Arial"/>
                <w:sz w:val="20"/>
                <w:szCs w:val="20"/>
              </w:rPr>
              <w:t>4.9 (3.4)</w:t>
            </w:r>
          </w:p>
        </w:tc>
        <w:tc>
          <w:tcPr>
            <w:tcW w:w="1559" w:type="dxa"/>
            <w:tcBorders>
              <w:top w:val="single" w:sz="4" w:space="0" w:color="auto"/>
              <w:left w:val="single" w:sz="4" w:space="0" w:color="auto"/>
              <w:bottom w:val="nil"/>
            </w:tcBorders>
            <w:vAlign w:val="center"/>
          </w:tcPr>
          <w:p w14:paraId="6DBF4E8F" w14:textId="77777777" w:rsidR="00C147BE" w:rsidRDefault="00C147BE" w:rsidP="006B4611">
            <w:pPr>
              <w:jc w:val="center"/>
              <w:rPr>
                <w:rFonts w:cs="Arial"/>
                <w:sz w:val="20"/>
                <w:szCs w:val="20"/>
              </w:rPr>
            </w:pPr>
          </w:p>
        </w:tc>
      </w:tr>
      <w:tr w:rsidR="00C147BE" w:rsidRPr="00FA4D1E" w14:paraId="381C9881" w14:textId="77777777" w:rsidTr="006B4611">
        <w:trPr>
          <w:trHeight w:val="480"/>
        </w:trPr>
        <w:tc>
          <w:tcPr>
            <w:tcW w:w="1135" w:type="dxa"/>
            <w:vMerge/>
            <w:tcBorders>
              <w:bottom w:val="single" w:sz="4" w:space="0" w:color="auto"/>
              <w:right w:val="single" w:sz="4" w:space="0" w:color="auto"/>
            </w:tcBorders>
            <w:vAlign w:val="center"/>
          </w:tcPr>
          <w:p w14:paraId="2C34639B" w14:textId="77777777" w:rsidR="00C147BE" w:rsidRPr="00987B39" w:rsidRDefault="00C147BE" w:rsidP="006B4611">
            <w:pPr>
              <w:jc w:val="center"/>
              <w:rPr>
                <w:rFonts w:cs="Arial"/>
                <w:b/>
                <w:color w:val="000000"/>
                <w:sz w:val="18"/>
                <w:szCs w:val="18"/>
              </w:rPr>
            </w:pPr>
          </w:p>
        </w:tc>
        <w:tc>
          <w:tcPr>
            <w:tcW w:w="1027" w:type="dxa"/>
            <w:tcBorders>
              <w:top w:val="nil"/>
              <w:bottom w:val="single" w:sz="4" w:space="0" w:color="auto"/>
            </w:tcBorders>
            <w:vAlign w:val="center"/>
          </w:tcPr>
          <w:p w14:paraId="70DE072C" w14:textId="77777777" w:rsidR="00C147BE" w:rsidRDefault="00C147BE" w:rsidP="006B4611">
            <w:pPr>
              <w:jc w:val="center"/>
              <w:rPr>
                <w:rFonts w:cs="Arial"/>
                <w:color w:val="000000"/>
                <w:sz w:val="18"/>
                <w:szCs w:val="18"/>
              </w:rPr>
            </w:pPr>
            <w:r>
              <w:rPr>
                <w:rFonts w:cs="Arial"/>
                <w:sz w:val="20"/>
                <w:szCs w:val="20"/>
              </w:rPr>
              <w:t>Abnormal threshold</w:t>
            </w:r>
          </w:p>
        </w:tc>
        <w:tc>
          <w:tcPr>
            <w:tcW w:w="567" w:type="dxa"/>
            <w:tcBorders>
              <w:top w:val="nil"/>
              <w:bottom w:val="single" w:sz="4" w:space="0" w:color="auto"/>
              <w:right w:val="single" w:sz="4" w:space="0" w:color="auto"/>
            </w:tcBorders>
            <w:vAlign w:val="center"/>
          </w:tcPr>
          <w:p w14:paraId="10C62956" w14:textId="77777777" w:rsidR="00C147BE" w:rsidRDefault="00C147BE" w:rsidP="006B4611">
            <w:pPr>
              <w:jc w:val="center"/>
              <w:rPr>
                <w:rFonts w:cs="Arial"/>
                <w:color w:val="000000"/>
                <w:sz w:val="18"/>
                <w:szCs w:val="18"/>
              </w:rPr>
            </w:pPr>
            <w:r>
              <w:rPr>
                <w:rFonts w:cs="Arial"/>
                <w:color w:val="000000"/>
                <w:sz w:val="18"/>
                <w:szCs w:val="18"/>
              </w:rPr>
              <w:t>≥11</w:t>
            </w:r>
          </w:p>
        </w:tc>
        <w:tc>
          <w:tcPr>
            <w:tcW w:w="567" w:type="dxa"/>
            <w:tcBorders>
              <w:top w:val="nil"/>
              <w:left w:val="single" w:sz="4" w:space="0" w:color="auto"/>
              <w:bottom w:val="single" w:sz="4" w:space="0" w:color="auto"/>
            </w:tcBorders>
            <w:noWrap/>
            <w:vAlign w:val="center"/>
          </w:tcPr>
          <w:p w14:paraId="1D2C6F95" w14:textId="77777777" w:rsidR="00C147BE" w:rsidRDefault="00C147BE" w:rsidP="006B4611">
            <w:pPr>
              <w:jc w:val="center"/>
              <w:rPr>
                <w:rFonts w:cs="Arial"/>
                <w:color w:val="000000"/>
                <w:sz w:val="18"/>
                <w:szCs w:val="18"/>
              </w:rPr>
            </w:pPr>
            <w:r>
              <w:rPr>
                <w:rFonts w:cs="Arial"/>
                <w:color w:val="000000"/>
                <w:sz w:val="18"/>
                <w:szCs w:val="18"/>
              </w:rPr>
              <w:t>28</w:t>
            </w:r>
          </w:p>
        </w:tc>
        <w:tc>
          <w:tcPr>
            <w:tcW w:w="992" w:type="dxa"/>
            <w:tcBorders>
              <w:top w:val="nil"/>
              <w:bottom w:val="single" w:sz="4" w:space="0" w:color="auto"/>
              <w:right w:val="single" w:sz="4" w:space="0" w:color="auto"/>
            </w:tcBorders>
            <w:noWrap/>
            <w:vAlign w:val="center"/>
          </w:tcPr>
          <w:p w14:paraId="4CC16877" w14:textId="77777777" w:rsidR="00C147BE" w:rsidRDefault="00C147BE" w:rsidP="006B4611">
            <w:pPr>
              <w:jc w:val="center"/>
              <w:rPr>
                <w:rFonts w:cs="Arial"/>
                <w:sz w:val="20"/>
                <w:szCs w:val="20"/>
              </w:rPr>
            </w:pPr>
            <w:r>
              <w:rPr>
                <w:rFonts w:cs="Arial"/>
                <w:sz w:val="20"/>
                <w:szCs w:val="20"/>
              </w:rPr>
              <w:t>6.5%</w:t>
            </w:r>
          </w:p>
        </w:tc>
        <w:tc>
          <w:tcPr>
            <w:tcW w:w="425" w:type="dxa"/>
            <w:tcBorders>
              <w:top w:val="nil"/>
              <w:left w:val="single" w:sz="4" w:space="0" w:color="auto"/>
              <w:bottom w:val="single" w:sz="4" w:space="0" w:color="auto"/>
            </w:tcBorders>
            <w:noWrap/>
            <w:vAlign w:val="center"/>
          </w:tcPr>
          <w:p w14:paraId="32D1860E" w14:textId="77777777" w:rsidR="00C147BE" w:rsidRDefault="00C147BE" w:rsidP="006B4611">
            <w:pPr>
              <w:jc w:val="center"/>
              <w:rPr>
                <w:rFonts w:cs="Arial"/>
                <w:color w:val="000000"/>
                <w:sz w:val="18"/>
                <w:szCs w:val="18"/>
              </w:rPr>
            </w:pPr>
            <w:r>
              <w:rPr>
                <w:rFonts w:cs="Arial"/>
                <w:color w:val="000000"/>
                <w:sz w:val="18"/>
                <w:szCs w:val="18"/>
              </w:rPr>
              <w:t>6</w:t>
            </w:r>
          </w:p>
        </w:tc>
        <w:tc>
          <w:tcPr>
            <w:tcW w:w="1134" w:type="dxa"/>
            <w:tcBorders>
              <w:top w:val="nil"/>
              <w:bottom w:val="single" w:sz="4" w:space="0" w:color="auto"/>
              <w:right w:val="single" w:sz="4" w:space="0" w:color="auto"/>
            </w:tcBorders>
            <w:noWrap/>
            <w:vAlign w:val="center"/>
          </w:tcPr>
          <w:p w14:paraId="2B10A559" w14:textId="77777777" w:rsidR="00C147BE" w:rsidRDefault="00C147BE" w:rsidP="006B4611">
            <w:pPr>
              <w:jc w:val="center"/>
              <w:rPr>
                <w:rFonts w:cs="Arial"/>
                <w:sz w:val="20"/>
                <w:szCs w:val="20"/>
              </w:rPr>
            </w:pPr>
            <w:r>
              <w:rPr>
                <w:rFonts w:cs="Arial"/>
                <w:sz w:val="20"/>
                <w:szCs w:val="20"/>
              </w:rPr>
              <w:t>6.2%</w:t>
            </w:r>
          </w:p>
        </w:tc>
        <w:tc>
          <w:tcPr>
            <w:tcW w:w="533" w:type="dxa"/>
            <w:tcBorders>
              <w:top w:val="nil"/>
              <w:left w:val="single" w:sz="4" w:space="0" w:color="auto"/>
              <w:bottom w:val="single" w:sz="4" w:space="0" w:color="auto"/>
            </w:tcBorders>
            <w:noWrap/>
            <w:vAlign w:val="center"/>
          </w:tcPr>
          <w:p w14:paraId="38A40E24" w14:textId="77777777" w:rsidR="00C147BE" w:rsidRDefault="00C147BE" w:rsidP="006B4611">
            <w:pPr>
              <w:jc w:val="center"/>
              <w:rPr>
                <w:rFonts w:cs="Arial"/>
                <w:color w:val="000000"/>
                <w:sz w:val="18"/>
                <w:szCs w:val="18"/>
              </w:rPr>
            </w:pPr>
            <w:r>
              <w:rPr>
                <w:rFonts w:cs="Arial"/>
                <w:color w:val="000000"/>
                <w:sz w:val="18"/>
                <w:szCs w:val="18"/>
              </w:rPr>
              <w:t>12</w:t>
            </w:r>
          </w:p>
        </w:tc>
        <w:tc>
          <w:tcPr>
            <w:tcW w:w="1026" w:type="dxa"/>
            <w:tcBorders>
              <w:top w:val="nil"/>
              <w:bottom w:val="single" w:sz="4" w:space="0" w:color="auto"/>
              <w:right w:val="single" w:sz="4" w:space="0" w:color="auto"/>
            </w:tcBorders>
            <w:noWrap/>
            <w:vAlign w:val="center"/>
          </w:tcPr>
          <w:p w14:paraId="08BF4782" w14:textId="77777777" w:rsidR="00C147BE" w:rsidRDefault="00C147BE" w:rsidP="006B4611">
            <w:pPr>
              <w:jc w:val="center"/>
              <w:rPr>
                <w:rFonts w:cs="Arial"/>
                <w:sz w:val="20"/>
                <w:szCs w:val="20"/>
              </w:rPr>
            </w:pPr>
            <w:r>
              <w:rPr>
                <w:rFonts w:cs="Arial"/>
                <w:sz w:val="20"/>
                <w:szCs w:val="20"/>
              </w:rPr>
              <w:t>7.5%</w:t>
            </w:r>
          </w:p>
        </w:tc>
        <w:tc>
          <w:tcPr>
            <w:tcW w:w="567" w:type="dxa"/>
            <w:tcBorders>
              <w:top w:val="nil"/>
              <w:left w:val="single" w:sz="4" w:space="0" w:color="auto"/>
              <w:bottom w:val="single" w:sz="4" w:space="0" w:color="auto"/>
            </w:tcBorders>
            <w:noWrap/>
            <w:vAlign w:val="center"/>
          </w:tcPr>
          <w:p w14:paraId="2D270432" w14:textId="77777777" w:rsidR="00C147BE" w:rsidRDefault="00C147BE" w:rsidP="006B4611">
            <w:pPr>
              <w:jc w:val="center"/>
              <w:rPr>
                <w:rFonts w:cs="Arial"/>
                <w:color w:val="000000"/>
                <w:sz w:val="18"/>
                <w:szCs w:val="18"/>
              </w:rPr>
            </w:pPr>
            <w:r>
              <w:rPr>
                <w:rFonts w:cs="Arial"/>
                <w:color w:val="000000"/>
                <w:sz w:val="18"/>
                <w:szCs w:val="18"/>
              </w:rPr>
              <w:t>10</w:t>
            </w:r>
          </w:p>
        </w:tc>
        <w:tc>
          <w:tcPr>
            <w:tcW w:w="993" w:type="dxa"/>
            <w:tcBorders>
              <w:top w:val="nil"/>
              <w:bottom w:val="single" w:sz="4" w:space="0" w:color="auto"/>
              <w:right w:val="single" w:sz="4" w:space="0" w:color="auto"/>
            </w:tcBorders>
            <w:noWrap/>
            <w:vAlign w:val="center"/>
          </w:tcPr>
          <w:p w14:paraId="4CD8ADF5" w14:textId="77777777" w:rsidR="00C147BE" w:rsidRDefault="00C147BE" w:rsidP="006B4611">
            <w:pPr>
              <w:jc w:val="center"/>
              <w:rPr>
                <w:rFonts w:cs="Arial"/>
                <w:sz w:val="20"/>
                <w:szCs w:val="20"/>
              </w:rPr>
            </w:pPr>
            <w:r>
              <w:rPr>
                <w:rFonts w:cs="Arial"/>
                <w:sz w:val="20"/>
                <w:szCs w:val="20"/>
              </w:rPr>
              <w:t>5.7%</w:t>
            </w:r>
          </w:p>
        </w:tc>
        <w:tc>
          <w:tcPr>
            <w:tcW w:w="1559" w:type="dxa"/>
            <w:tcBorders>
              <w:top w:val="nil"/>
              <w:left w:val="single" w:sz="4" w:space="0" w:color="auto"/>
              <w:bottom w:val="single" w:sz="4" w:space="0" w:color="auto"/>
            </w:tcBorders>
            <w:vAlign w:val="center"/>
          </w:tcPr>
          <w:p w14:paraId="2F9667E5" w14:textId="77777777" w:rsidR="00C147BE" w:rsidRDefault="00C147BE" w:rsidP="006B4611">
            <w:pPr>
              <w:jc w:val="center"/>
              <w:rPr>
                <w:rFonts w:cs="Arial"/>
                <w:sz w:val="20"/>
                <w:szCs w:val="20"/>
              </w:rPr>
            </w:pPr>
          </w:p>
        </w:tc>
      </w:tr>
      <w:tr w:rsidR="00C147BE" w:rsidRPr="00FA4D1E" w14:paraId="671F223F" w14:textId="77777777" w:rsidTr="006B4611">
        <w:trPr>
          <w:trHeight w:val="720"/>
        </w:trPr>
        <w:tc>
          <w:tcPr>
            <w:tcW w:w="1135" w:type="dxa"/>
            <w:vMerge w:val="restart"/>
            <w:tcBorders>
              <w:top w:val="single" w:sz="4" w:space="0" w:color="auto"/>
              <w:right w:val="single" w:sz="4" w:space="0" w:color="auto"/>
            </w:tcBorders>
            <w:vAlign w:val="center"/>
          </w:tcPr>
          <w:p w14:paraId="3C135E50" w14:textId="77777777" w:rsidR="00C147BE" w:rsidRPr="00987B39" w:rsidRDefault="00C147BE" w:rsidP="006B4611">
            <w:pPr>
              <w:jc w:val="center"/>
              <w:rPr>
                <w:rFonts w:cs="Arial"/>
                <w:b/>
                <w:color w:val="000000"/>
                <w:sz w:val="18"/>
                <w:szCs w:val="18"/>
              </w:rPr>
            </w:pPr>
            <w:r w:rsidRPr="00987B39">
              <w:rPr>
                <w:rFonts w:cs="Arial"/>
                <w:b/>
                <w:color w:val="000000"/>
                <w:sz w:val="18"/>
                <w:szCs w:val="18"/>
              </w:rPr>
              <w:t>Total Depression (HADS)</w:t>
            </w:r>
          </w:p>
        </w:tc>
        <w:tc>
          <w:tcPr>
            <w:tcW w:w="1027" w:type="dxa"/>
            <w:tcBorders>
              <w:top w:val="single" w:sz="4" w:space="0" w:color="auto"/>
              <w:bottom w:val="nil"/>
            </w:tcBorders>
            <w:vAlign w:val="center"/>
          </w:tcPr>
          <w:p w14:paraId="4E15E78C" w14:textId="77777777" w:rsidR="00C147BE" w:rsidRPr="00FD61B1" w:rsidRDefault="00C147BE" w:rsidP="006B4611">
            <w:pPr>
              <w:jc w:val="center"/>
              <w:rPr>
                <w:rFonts w:cs="Arial"/>
                <w:color w:val="000000"/>
                <w:sz w:val="18"/>
                <w:szCs w:val="18"/>
              </w:rPr>
            </w:pPr>
            <w:r>
              <w:rPr>
                <w:rFonts w:cs="Arial"/>
                <w:sz w:val="20"/>
                <w:szCs w:val="20"/>
              </w:rPr>
              <w:t>Range</w:t>
            </w:r>
          </w:p>
        </w:tc>
        <w:tc>
          <w:tcPr>
            <w:tcW w:w="567" w:type="dxa"/>
            <w:tcBorders>
              <w:top w:val="single" w:sz="4" w:space="0" w:color="auto"/>
              <w:bottom w:val="nil"/>
              <w:right w:val="single" w:sz="4" w:space="0" w:color="auto"/>
            </w:tcBorders>
            <w:vAlign w:val="center"/>
          </w:tcPr>
          <w:p w14:paraId="3960C073" w14:textId="77777777" w:rsidR="00C147BE" w:rsidRPr="00FD61B1" w:rsidRDefault="00C147BE" w:rsidP="006B4611">
            <w:pPr>
              <w:jc w:val="center"/>
              <w:rPr>
                <w:rFonts w:cs="Arial"/>
                <w:color w:val="000000"/>
                <w:sz w:val="18"/>
                <w:szCs w:val="18"/>
              </w:rPr>
            </w:pPr>
            <w:r>
              <w:rPr>
                <w:rFonts w:cs="Arial"/>
                <w:color w:val="000000"/>
                <w:sz w:val="18"/>
                <w:szCs w:val="18"/>
              </w:rPr>
              <w:t>0-21</w:t>
            </w:r>
          </w:p>
        </w:tc>
        <w:tc>
          <w:tcPr>
            <w:tcW w:w="567" w:type="dxa"/>
            <w:tcBorders>
              <w:top w:val="single" w:sz="4" w:space="0" w:color="auto"/>
              <w:left w:val="single" w:sz="4" w:space="0" w:color="auto"/>
              <w:bottom w:val="nil"/>
            </w:tcBorders>
            <w:noWrap/>
            <w:vAlign w:val="center"/>
          </w:tcPr>
          <w:p w14:paraId="4FC3C668" w14:textId="77777777" w:rsidR="00C147BE" w:rsidRPr="00FD61B1" w:rsidRDefault="00C147BE" w:rsidP="006B4611">
            <w:pPr>
              <w:jc w:val="center"/>
              <w:rPr>
                <w:rFonts w:cs="Arial"/>
                <w:color w:val="000000"/>
                <w:sz w:val="18"/>
                <w:szCs w:val="18"/>
              </w:rPr>
            </w:pPr>
            <w:r>
              <w:rPr>
                <w:rFonts w:cs="Arial"/>
                <w:color w:val="000000"/>
                <w:sz w:val="18"/>
                <w:szCs w:val="18"/>
              </w:rPr>
              <w:t>431</w:t>
            </w:r>
          </w:p>
        </w:tc>
        <w:tc>
          <w:tcPr>
            <w:tcW w:w="992" w:type="dxa"/>
            <w:tcBorders>
              <w:top w:val="single" w:sz="4" w:space="0" w:color="auto"/>
              <w:bottom w:val="nil"/>
              <w:right w:val="single" w:sz="4" w:space="0" w:color="auto"/>
            </w:tcBorders>
            <w:noWrap/>
            <w:vAlign w:val="center"/>
          </w:tcPr>
          <w:p w14:paraId="249F5A53" w14:textId="77777777" w:rsidR="00C147BE" w:rsidRPr="00FD61B1" w:rsidRDefault="00C147BE" w:rsidP="006B4611">
            <w:pPr>
              <w:jc w:val="center"/>
              <w:rPr>
                <w:rFonts w:cs="Arial"/>
                <w:sz w:val="20"/>
                <w:szCs w:val="20"/>
              </w:rPr>
            </w:pPr>
            <w:r>
              <w:rPr>
                <w:rFonts w:cs="Arial"/>
                <w:sz w:val="20"/>
                <w:szCs w:val="20"/>
              </w:rPr>
              <w:t>2.8 (3.0)</w:t>
            </w:r>
          </w:p>
        </w:tc>
        <w:tc>
          <w:tcPr>
            <w:tcW w:w="425" w:type="dxa"/>
            <w:tcBorders>
              <w:top w:val="single" w:sz="4" w:space="0" w:color="auto"/>
              <w:left w:val="single" w:sz="4" w:space="0" w:color="auto"/>
              <w:bottom w:val="nil"/>
            </w:tcBorders>
            <w:noWrap/>
            <w:vAlign w:val="center"/>
          </w:tcPr>
          <w:p w14:paraId="1058F421" w14:textId="77777777" w:rsidR="00C147BE" w:rsidRPr="00FD61B1" w:rsidRDefault="00C147BE" w:rsidP="006B4611">
            <w:pPr>
              <w:jc w:val="center"/>
              <w:rPr>
                <w:rFonts w:cs="Arial"/>
                <w:color w:val="000000"/>
                <w:sz w:val="18"/>
                <w:szCs w:val="18"/>
              </w:rPr>
            </w:pPr>
            <w:r>
              <w:rPr>
                <w:rFonts w:cs="Arial"/>
                <w:color w:val="000000"/>
                <w:sz w:val="18"/>
                <w:szCs w:val="18"/>
              </w:rPr>
              <w:t>97</w:t>
            </w:r>
          </w:p>
        </w:tc>
        <w:tc>
          <w:tcPr>
            <w:tcW w:w="1134" w:type="dxa"/>
            <w:tcBorders>
              <w:top w:val="single" w:sz="4" w:space="0" w:color="auto"/>
              <w:bottom w:val="nil"/>
              <w:right w:val="single" w:sz="4" w:space="0" w:color="auto"/>
            </w:tcBorders>
            <w:noWrap/>
            <w:vAlign w:val="center"/>
          </w:tcPr>
          <w:p w14:paraId="3F9A3E86" w14:textId="77777777" w:rsidR="00C147BE" w:rsidRPr="00FD61B1" w:rsidRDefault="00C147BE" w:rsidP="006B4611">
            <w:pPr>
              <w:jc w:val="center"/>
              <w:rPr>
                <w:rFonts w:cs="Arial"/>
                <w:sz w:val="20"/>
                <w:szCs w:val="20"/>
              </w:rPr>
            </w:pPr>
            <w:r>
              <w:rPr>
                <w:rFonts w:cs="Arial"/>
                <w:sz w:val="20"/>
                <w:szCs w:val="20"/>
              </w:rPr>
              <w:t>2.9 (3.2)</w:t>
            </w:r>
          </w:p>
        </w:tc>
        <w:tc>
          <w:tcPr>
            <w:tcW w:w="533" w:type="dxa"/>
            <w:tcBorders>
              <w:top w:val="single" w:sz="4" w:space="0" w:color="auto"/>
              <w:left w:val="single" w:sz="4" w:space="0" w:color="auto"/>
              <w:bottom w:val="nil"/>
            </w:tcBorders>
            <w:noWrap/>
            <w:vAlign w:val="center"/>
          </w:tcPr>
          <w:p w14:paraId="1B5D7EC9" w14:textId="77777777" w:rsidR="00C147BE" w:rsidRPr="00FD61B1" w:rsidRDefault="00C147BE" w:rsidP="006B4611">
            <w:pPr>
              <w:jc w:val="center"/>
              <w:rPr>
                <w:rFonts w:cs="Arial"/>
                <w:color w:val="000000"/>
                <w:sz w:val="18"/>
                <w:szCs w:val="18"/>
              </w:rPr>
            </w:pPr>
            <w:r>
              <w:rPr>
                <w:rFonts w:cs="Arial"/>
                <w:color w:val="000000"/>
                <w:sz w:val="18"/>
                <w:szCs w:val="18"/>
              </w:rPr>
              <w:t>160</w:t>
            </w:r>
          </w:p>
        </w:tc>
        <w:tc>
          <w:tcPr>
            <w:tcW w:w="1026" w:type="dxa"/>
            <w:tcBorders>
              <w:top w:val="single" w:sz="4" w:space="0" w:color="auto"/>
              <w:bottom w:val="nil"/>
              <w:right w:val="single" w:sz="4" w:space="0" w:color="auto"/>
            </w:tcBorders>
            <w:noWrap/>
            <w:vAlign w:val="center"/>
          </w:tcPr>
          <w:p w14:paraId="6CD5B245" w14:textId="77777777" w:rsidR="00C147BE" w:rsidRPr="00FD61B1" w:rsidRDefault="00C147BE" w:rsidP="006B4611">
            <w:pPr>
              <w:jc w:val="center"/>
              <w:rPr>
                <w:rFonts w:cs="Arial"/>
                <w:sz w:val="20"/>
                <w:szCs w:val="20"/>
              </w:rPr>
            </w:pPr>
            <w:r>
              <w:rPr>
                <w:rFonts w:cs="Arial"/>
                <w:sz w:val="20"/>
                <w:szCs w:val="20"/>
              </w:rPr>
              <w:t>2.9 (3.1)</w:t>
            </w:r>
          </w:p>
        </w:tc>
        <w:tc>
          <w:tcPr>
            <w:tcW w:w="567" w:type="dxa"/>
            <w:tcBorders>
              <w:top w:val="single" w:sz="4" w:space="0" w:color="auto"/>
              <w:left w:val="single" w:sz="4" w:space="0" w:color="auto"/>
              <w:bottom w:val="nil"/>
            </w:tcBorders>
            <w:noWrap/>
            <w:vAlign w:val="center"/>
          </w:tcPr>
          <w:p w14:paraId="5D24E552" w14:textId="77777777" w:rsidR="00C147BE" w:rsidRPr="00FD61B1" w:rsidRDefault="00C147BE" w:rsidP="006B4611">
            <w:pPr>
              <w:jc w:val="center"/>
              <w:rPr>
                <w:rFonts w:cs="Arial"/>
                <w:color w:val="000000"/>
                <w:sz w:val="18"/>
                <w:szCs w:val="18"/>
              </w:rPr>
            </w:pPr>
            <w:r>
              <w:rPr>
                <w:rFonts w:cs="Arial"/>
                <w:color w:val="000000"/>
                <w:sz w:val="18"/>
                <w:szCs w:val="18"/>
              </w:rPr>
              <w:t>174</w:t>
            </w:r>
          </w:p>
        </w:tc>
        <w:tc>
          <w:tcPr>
            <w:tcW w:w="993" w:type="dxa"/>
            <w:tcBorders>
              <w:top w:val="single" w:sz="4" w:space="0" w:color="auto"/>
              <w:bottom w:val="nil"/>
              <w:right w:val="single" w:sz="4" w:space="0" w:color="auto"/>
            </w:tcBorders>
            <w:noWrap/>
            <w:vAlign w:val="center"/>
          </w:tcPr>
          <w:p w14:paraId="6B7E5620" w14:textId="77777777" w:rsidR="00C147BE" w:rsidRPr="00FD61B1" w:rsidRDefault="00C147BE" w:rsidP="006B4611">
            <w:pPr>
              <w:jc w:val="center"/>
              <w:rPr>
                <w:rFonts w:cs="Arial"/>
                <w:sz w:val="20"/>
                <w:szCs w:val="20"/>
              </w:rPr>
            </w:pPr>
            <w:r>
              <w:rPr>
                <w:rFonts w:cs="Arial"/>
                <w:sz w:val="20"/>
                <w:szCs w:val="20"/>
              </w:rPr>
              <w:t>2.7 (2.7)</w:t>
            </w:r>
          </w:p>
        </w:tc>
        <w:tc>
          <w:tcPr>
            <w:tcW w:w="1559" w:type="dxa"/>
            <w:tcBorders>
              <w:top w:val="single" w:sz="4" w:space="0" w:color="auto"/>
              <w:left w:val="single" w:sz="4" w:space="0" w:color="auto"/>
              <w:bottom w:val="nil"/>
            </w:tcBorders>
            <w:vAlign w:val="center"/>
          </w:tcPr>
          <w:p w14:paraId="68BAF392" w14:textId="77777777" w:rsidR="00C147BE" w:rsidRDefault="00C147BE" w:rsidP="006B4611">
            <w:pPr>
              <w:jc w:val="center"/>
              <w:rPr>
                <w:rFonts w:cs="Arial"/>
                <w:sz w:val="20"/>
                <w:szCs w:val="20"/>
              </w:rPr>
            </w:pPr>
          </w:p>
        </w:tc>
      </w:tr>
      <w:tr w:rsidR="00C147BE" w:rsidRPr="00FA4D1E" w14:paraId="1FDAFC5E" w14:textId="77777777" w:rsidTr="006B4611">
        <w:trPr>
          <w:trHeight w:val="720"/>
        </w:trPr>
        <w:tc>
          <w:tcPr>
            <w:tcW w:w="1135" w:type="dxa"/>
            <w:vMerge/>
            <w:tcBorders>
              <w:bottom w:val="single" w:sz="4" w:space="0" w:color="auto"/>
              <w:right w:val="single" w:sz="4" w:space="0" w:color="auto"/>
            </w:tcBorders>
            <w:vAlign w:val="center"/>
          </w:tcPr>
          <w:p w14:paraId="3071AE8B" w14:textId="77777777" w:rsidR="00C147BE" w:rsidRPr="00987B39" w:rsidRDefault="00C147BE" w:rsidP="006B4611">
            <w:pPr>
              <w:jc w:val="center"/>
              <w:rPr>
                <w:rFonts w:cs="Arial"/>
                <w:b/>
                <w:color w:val="000000"/>
                <w:sz w:val="18"/>
                <w:szCs w:val="18"/>
              </w:rPr>
            </w:pPr>
          </w:p>
        </w:tc>
        <w:tc>
          <w:tcPr>
            <w:tcW w:w="1027" w:type="dxa"/>
            <w:tcBorders>
              <w:top w:val="nil"/>
              <w:bottom w:val="single" w:sz="4" w:space="0" w:color="auto"/>
            </w:tcBorders>
            <w:vAlign w:val="center"/>
          </w:tcPr>
          <w:p w14:paraId="1441D44E" w14:textId="77777777" w:rsidR="00C147BE" w:rsidRDefault="00C147BE" w:rsidP="006B4611">
            <w:pPr>
              <w:jc w:val="center"/>
              <w:rPr>
                <w:rFonts w:cs="Arial"/>
                <w:color w:val="000000"/>
                <w:sz w:val="18"/>
                <w:szCs w:val="18"/>
              </w:rPr>
            </w:pPr>
            <w:r>
              <w:rPr>
                <w:rFonts w:cs="Arial"/>
                <w:sz w:val="20"/>
                <w:szCs w:val="20"/>
              </w:rPr>
              <w:t>Abnormal threshold</w:t>
            </w:r>
          </w:p>
        </w:tc>
        <w:tc>
          <w:tcPr>
            <w:tcW w:w="567" w:type="dxa"/>
            <w:tcBorders>
              <w:top w:val="nil"/>
              <w:bottom w:val="single" w:sz="4" w:space="0" w:color="auto"/>
              <w:right w:val="single" w:sz="4" w:space="0" w:color="auto"/>
            </w:tcBorders>
            <w:vAlign w:val="center"/>
          </w:tcPr>
          <w:p w14:paraId="3C7A6497" w14:textId="77777777" w:rsidR="00C147BE" w:rsidRDefault="00C147BE" w:rsidP="006B4611">
            <w:pPr>
              <w:jc w:val="center"/>
              <w:rPr>
                <w:rFonts w:cs="Arial"/>
                <w:color w:val="000000"/>
                <w:sz w:val="18"/>
                <w:szCs w:val="18"/>
              </w:rPr>
            </w:pPr>
            <w:r>
              <w:rPr>
                <w:rFonts w:cs="Arial"/>
                <w:color w:val="000000"/>
                <w:sz w:val="18"/>
                <w:szCs w:val="18"/>
              </w:rPr>
              <w:t>≥11</w:t>
            </w:r>
          </w:p>
        </w:tc>
        <w:tc>
          <w:tcPr>
            <w:tcW w:w="567" w:type="dxa"/>
            <w:tcBorders>
              <w:top w:val="nil"/>
              <w:left w:val="single" w:sz="4" w:space="0" w:color="auto"/>
              <w:bottom w:val="single" w:sz="4" w:space="0" w:color="auto"/>
            </w:tcBorders>
            <w:noWrap/>
            <w:vAlign w:val="center"/>
          </w:tcPr>
          <w:p w14:paraId="3E71CDCC" w14:textId="77777777" w:rsidR="00C147BE" w:rsidRDefault="00C147BE" w:rsidP="006B4611">
            <w:pPr>
              <w:jc w:val="center"/>
              <w:rPr>
                <w:rFonts w:cs="Arial"/>
                <w:color w:val="000000"/>
                <w:sz w:val="18"/>
                <w:szCs w:val="18"/>
              </w:rPr>
            </w:pPr>
            <w:r>
              <w:rPr>
                <w:rFonts w:cs="Arial"/>
                <w:color w:val="000000"/>
                <w:sz w:val="18"/>
                <w:szCs w:val="18"/>
              </w:rPr>
              <w:t>9</w:t>
            </w:r>
          </w:p>
        </w:tc>
        <w:tc>
          <w:tcPr>
            <w:tcW w:w="992" w:type="dxa"/>
            <w:tcBorders>
              <w:top w:val="nil"/>
              <w:bottom w:val="single" w:sz="4" w:space="0" w:color="auto"/>
              <w:right w:val="single" w:sz="4" w:space="0" w:color="auto"/>
            </w:tcBorders>
            <w:noWrap/>
            <w:vAlign w:val="center"/>
          </w:tcPr>
          <w:p w14:paraId="2EF0D5E4" w14:textId="77777777" w:rsidR="00C147BE" w:rsidRDefault="00C147BE" w:rsidP="006B4611">
            <w:pPr>
              <w:jc w:val="center"/>
              <w:rPr>
                <w:rFonts w:cs="Arial"/>
                <w:sz w:val="20"/>
                <w:szCs w:val="20"/>
              </w:rPr>
            </w:pPr>
            <w:r>
              <w:rPr>
                <w:rFonts w:cs="Arial"/>
                <w:sz w:val="20"/>
                <w:szCs w:val="20"/>
              </w:rPr>
              <w:t>2.1%</w:t>
            </w:r>
          </w:p>
        </w:tc>
        <w:tc>
          <w:tcPr>
            <w:tcW w:w="425" w:type="dxa"/>
            <w:tcBorders>
              <w:top w:val="nil"/>
              <w:left w:val="single" w:sz="4" w:space="0" w:color="auto"/>
              <w:bottom w:val="single" w:sz="4" w:space="0" w:color="auto"/>
            </w:tcBorders>
            <w:noWrap/>
            <w:vAlign w:val="center"/>
          </w:tcPr>
          <w:p w14:paraId="684A49F1" w14:textId="77777777" w:rsidR="00C147BE" w:rsidRPr="00FD61B1" w:rsidRDefault="00C147BE" w:rsidP="006B4611">
            <w:pPr>
              <w:jc w:val="center"/>
              <w:rPr>
                <w:rFonts w:cs="Arial"/>
                <w:color w:val="000000"/>
                <w:sz w:val="18"/>
                <w:szCs w:val="18"/>
              </w:rPr>
            </w:pPr>
            <w:r>
              <w:rPr>
                <w:rFonts w:cs="Arial"/>
                <w:color w:val="000000"/>
                <w:sz w:val="18"/>
                <w:szCs w:val="18"/>
              </w:rPr>
              <w:t>3</w:t>
            </w:r>
          </w:p>
        </w:tc>
        <w:tc>
          <w:tcPr>
            <w:tcW w:w="1134" w:type="dxa"/>
            <w:tcBorders>
              <w:top w:val="nil"/>
              <w:bottom w:val="single" w:sz="4" w:space="0" w:color="auto"/>
              <w:right w:val="single" w:sz="4" w:space="0" w:color="auto"/>
            </w:tcBorders>
            <w:noWrap/>
            <w:vAlign w:val="center"/>
          </w:tcPr>
          <w:p w14:paraId="050392A6" w14:textId="77777777" w:rsidR="00C147BE" w:rsidRDefault="00C147BE" w:rsidP="006B4611">
            <w:pPr>
              <w:jc w:val="center"/>
              <w:rPr>
                <w:rFonts w:cs="Arial"/>
                <w:sz w:val="20"/>
                <w:szCs w:val="20"/>
              </w:rPr>
            </w:pPr>
            <w:r>
              <w:rPr>
                <w:rFonts w:cs="Arial"/>
                <w:sz w:val="20"/>
                <w:szCs w:val="20"/>
              </w:rPr>
              <w:t>3.1%</w:t>
            </w:r>
          </w:p>
        </w:tc>
        <w:tc>
          <w:tcPr>
            <w:tcW w:w="533" w:type="dxa"/>
            <w:tcBorders>
              <w:top w:val="nil"/>
              <w:left w:val="single" w:sz="4" w:space="0" w:color="auto"/>
              <w:bottom w:val="single" w:sz="4" w:space="0" w:color="auto"/>
            </w:tcBorders>
            <w:noWrap/>
            <w:vAlign w:val="center"/>
          </w:tcPr>
          <w:p w14:paraId="751D9396" w14:textId="77777777" w:rsidR="00C147BE" w:rsidRPr="00FD61B1" w:rsidRDefault="00C147BE" w:rsidP="006B4611">
            <w:pPr>
              <w:jc w:val="center"/>
              <w:rPr>
                <w:rFonts w:cs="Arial"/>
                <w:color w:val="000000"/>
                <w:sz w:val="18"/>
                <w:szCs w:val="18"/>
              </w:rPr>
            </w:pPr>
            <w:r>
              <w:rPr>
                <w:rFonts w:cs="Arial"/>
                <w:color w:val="000000"/>
                <w:sz w:val="18"/>
                <w:szCs w:val="18"/>
              </w:rPr>
              <w:t>4</w:t>
            </w:r>
          </w:p>
        </w:tc>
        <w:tc>
          <w:tcPr>
            <w:tcW w:w="1026" w:type="dxa"/>
            <w:tcBorders>
              <w:top w:val="nil"/>
              <w:bottom w:val="single" w:sz="4" w:space="0" w:color="auto"/>
              <w:right w:val="single" w:sz="4" w:space="0" w:color="auto"/>
            </w:tcBorders>
            <w:noWrap/>
            <w:vAlign w:val="center"/>
          </w:tcPr>
          <w:p w14:paraId="0AB3E4EC" w14:textId="77777777" w:rsidR="00C147BE" w:rsidRDefault="00C147BE" w:rsidP="006B4611">
            <w:pPr>
              <w:jc w:val="center"/>
              <w:rPr>
                <w:rFonts w:cs="Arial"/>
                <w:sz w:val="20"/>
                <w:szCs w:val="20"/>
              </w:rPr>
            </w:pPr>
            <w:r>
              <w:rPr>
                <w:rFonts w:cs="Arial"/>
                <w:sz w:val="20"/>
                <w:szCs w:val="20"/>
              </w:rPr>
              <w:t>2.5%</w:t>
            </w:r>
          </w:p>
        </w:tc>
        <w:tc>
          <w:tcPr>
            <w:tcW w:w="567" w:type="dxa"/>
            <w:tcBorders>
              <w:top w:val="nil"/>
              <w:left w:val="single" w:sz="4" w:space="0" w:color="auto"/>
              <w:bottom w:val="single" w:sz="4" w:space="0" w:color="auto"/>
            </w:tcBorders>
            <w:noWrap/>
            <w:vAlign w:val="center"/>
          </w:tcPr>
          <w:p w14:paraId="3261D5ED" w14:textId="77777777" w:rsidR="00C147BE" w:rsidRPr="00FD61B1" w:rsidRDefault="00C147BE" w:rsidP="006B4611">
            <w:pPr>
              <w:jc w:val="center"/>
              <w:rPr>
                <w:rFonts w:cs="Arial"/>
                <w:color w:val="000000"/>
                <w:sz w:val="18"/>
                <w:szCs w:val="18"/>
              </w:rPr>
            </w:pPr>
            <w:r>
              <w:rPr>
                <w:rFonts w:cs="Arial"/>
                <w:color w:val="000000"/>
                <w:sz w:val="18"/>
                <w:szCs w:val="18"/>
              </w:rPr>
              <w:t>2</w:t>
            </w:r>
          </w:p>
        </w:tc>
        <w:tc>
          <w:tcPr>
            <w:tcW w:w="993" w:type="dxa"/>
            <w:tcBorders>
              <w:top w:val="nil"/>
              <w:bottom w:val="single" w:sz="4" w:space="0" w:color="auto"/>
              <w:right w:val="single" w:sz="4" w:space="0" w:color="auto"/>
            </w:tcBorders>
            <w:noWrap/>
            <w:vAlign w:val="center"/>
          </w:tcPr>
          <w:p w14:paraId="6E58B4AB" w14:textId="77777777" w:rsidR="00C147BE" w:rsidRDefault="00C147BE" w:rsidP="006B4611">
            <w:pPr>
              <w:jc w:val="center"/>
              <w:rPr>
                <w:rFonts w:cs="Arial"/>
                <w:sz w:val="20"/>
                <w:szCs w:val="20"/>
              </w:rPr>
            </w:pPr>
            <w:r>
              <w:rPr>
                <w:rFonts w:cs="Arial"/>
                <w:sz w:val="20"/>
                <w:szCs w:val="20"/>
              </w:rPr>
              <w:t>1.1%</w:t>
            </w:r>
          </w:p>
        </w:tc>
        <w:tc>
          <w:tcPr>
            <w:tcW w:w="1559" w:type="dxa"/>
            <w:tcBorders>
              <w:top w:val="nil"/>
              <w:left w:val="single" w:sz="4" w:space="0" w:color="auto"/>
              <w:bottom w:val="single" w:sz="4" w:space="0" w:color="auto"/>
            </w:tcBorders>
            <w:vAlign w:val="center"/>
          </w:tcPr>
          <w:p w14:paraId="5C180093" w14:textId="77777777" w:rsidR="00C147BE" w:rsidRDefault="00C147BE" w:rsidP="006B4611">
            <w:pPr>
              <w:jc w:val="center"/>
              <w:rPr>
                <w:rFonts w:cs="Arial"/>
                <w:sz w:val="20"/>
                <w:szCs w:val="20"/>
              </w:rPr>
            </w:pPr>
          </w:p>
        </w:tc>
      </w:tr>
      <w:tr w:rsidR="00C147BE" w:rsidRPr="00FA4D1E" w14:paraId="32D5AFBE" w14:textId="77777777" w:rsidTr="006B4611">
        <w:trPr>
          <w:trHeight w:val="480"/>
        </w:trPr>
        <w:tc>
          <w:tcPr>
            <w:tcW w:w="1135" w:type="dxa"/>
            <w:vMerge w:val="restart"/>
            <w:tcBorders>
              <w:top w:val="single" w:sz="4" w:space="0" w:color="auto"/>
              <w:right w:val="single" w:sz="4" w:space="0" w:color="auto"/>
            </w:tcBorders>
            <w:vAlign w:val="center"/>
          </w:tcPr>
          <w:p w14:paraId="2F106A61" w14:textId="77777777" w:rsidR="00C147BE" w:rsidRPr="00987B39" w:rsidRDefault="00C147BE" w:rsidP="006B4611">
            <w:pPr>
              <w:jc w:val="center"/>
              <w:rPr>
                <w:rFonts w:cs="Arial"/>
                <w:b/>
                <w:color w:val="000000"/>
                <w:sz w:val="18"/>
                <w:szCs w:val="18"/>
              </w:rPr>
            </w:pPr>
            <w:r w:rsidRPr="00987B39">
              <w:rPr>
                <w:rFonts w:cs="Arial"/>
                <w:b/>
                <w:color w:val="000000"/>
                <w:sz w:val="18"/>
                <w:szCs w:val="18"/>
              </w:rPr>
              <w:t>Total Intrusion (IES)</w:t>
            </w:r>
          </w:p>
        </w:tc>
        <w:tc>
          <w:tcPr>
            <w:tcW w:w="1027" w:type="dxa"/>
            <w:tcBorders>
              <w:top w:val="single" w:sz="4" w:space="0" w:color="auto"/>
              <w:bottom w:val="nil"/>
            </w:tcBorders>
            <w:vAlign w:val="center"/>
          </w:tcPr>
          <w:p w14:paraId="23CDE8FA" w14:textId="77777777" w:rsidR="00C147BE" w:rsidRPr="00FD61B1" w:rsidRDefault="00C147BE" w:rsidP="006B4611">
            <w:pPr>
              <w:jc w:val="center"/>
              <w:rPr>
                <w:rFonts w:cs="Arial"/>
                <w:color w:val="000000"/>
                <w:sz w:val="18"/>
                <w:szCs w:val="18"/>
              </w:rPr>
            </w:pPr>
            <w:r>
              <w:rPr>
                <w:rFonts w:cs="Arial"/>
                <w:sz w:val="20"/>
                <w:szCs w:val="20"/>
              </w:rPr>
              <w:t>Range</w:t>
            </w:r>
          </w:p>
        </w:tc>
        <w:tc>
          <w:tcPr>
            <w:tcW w:w="567" w:type="dxa"/>
            <w:tcBorders>
              <w:top w:val="single" w:sz="4" w:space="0" w:color="auto"/>
              <w:bottom w:val="nil"/>
              <w:right w:val="single" w:sz="4" w:space="0" w:color="auto"/>
            </w:tcBorders>
            <w:vAlign w:val="center"/>
          </w:tcPr>
          <w:p w14:paraId="2D6F7B37" w14:textId="77777777" w:rsidR="00C147BE" w:rsidRPr="00FD61B1" w:rsidRDefault="00C147BE" w:rsidP="006B4611">
            <w:pPr>
              <w:jc w:val="center"/>
              <w:rPr>
                <w:rFonts w:cs="Arial"/>
                <w:color w:val="000000"/>
                <w:sz w:val="18"/>
                <w:szCs w:val="18"/>
              </w:rPr>
            </w:pPr>
            <w:r>
              <w:rPr>
                <w:rFonts w:cs="Arial"/>
                <w:color w:val="000000"/>
                <w:sz w:val="18"/>
                <w:szCs w:val="18"/>
              </w:rPr>
              <w:t>0-35</w:t>
            </w:r>
          </w:p>
        </w:tc>
        <w:tc>
          <w:tcPr>
            <w:tcW w:w="567" w:type="dxa"/>
            <w:tcBorders>
              <w:top w:val="single" w:sz="4" w:space="0" w:color="auto"/>
              <w:left w:val="single" w:sz="4" w:space="0" w:color="auto"/>
              <w:bottom w:val="nil"/>
            </w:tcBorders>
            <w:noWrap/>
            <w:vAlign w:val="center"/>
          </w:tcPr>
          <w:p w14:paraId="28D6AFE5" w14:textId="77777777" w:rsidR="00C147BE" w:rsidRPr="00FD61B1" w:rsidRDefault="00C147BE" w:rsidP="006B4611">
            <w:pPr>
              <w:jc w:val="center"/>
              <w:rPr>
                <w:rFonts w:cs="Arial"/>
                <w:color w:val="000000"/>
                <w:sz w:val="18"/>
                <w:szCs w:val="18"/>
              </w:rPr>
            </w:pPr>
            <w:r>
              <w:rPr>
                <w:rFonts w:cs="Arial"/>
                <w:color w:val="000000"/>
                <w:sz w:val="18"/>
                <w:szCs w:val="18"/>
              </w:rPr>
              <w:t>423</w:t>
            </w:r>
          </w:p>
        </w:tc>
        <w:tc>
          <w:tcPr>
            <w:tcW w:w="992" w:type="dxa"/>
            <w:tcBorders>
              <w:top w:val="single" w:sz="4" w:space="0" w:color="auto"/>
              <w:bottom w:val="nil"/>
              <w:right w:val="single" w:sz="4" w:space="0" w:color="auto"/>
            </w:tcBorders>
            <w:noWrap/>
            <w:vAlign w:val="center"/>
          </w:tcPr>
          <w:p w14:paraId="4F269F89" w14:textId="77777777" w:rsidR="00C147BE" w:rsidRPr="00FD61B1" w:rsidRDefault="00C147BE" w:rsidP="006B4611">
            <w:pPr>
              <w:jc w:val="center"/>
              <w:rPr>
                <w:rFonts w:cs="Arial"/>
                <w:sz w:val="20"/>
                <w:szCs w:val="20"/>
              </w:rPr>
            </w:pPr>
            <w:r>
              <w:rPr>
                <w:rFonts w:cs="Arial"/>
                <w:sz w:val="20"/>
                <w:szCs w:val="20"/>
              </w:rPr>
              <w:t>2.3 (4.9)</w:t>
            </w:r>
          </w:p>
        </w:tc>
        <w:tc>
          <w:tcPr>
            <w:tcW w:w="425" w:type="dxa"/>
            <w:tcBorders>
              <w:top w:val="single" w:sz="4" w:space="0" w:color="auto"/>
              <w:left w:val="single" w:sz="4" w:space="0" w:color="auto"/>
              <w:bottom w:val="nil"/>
            </w:tcBorders>
            <w:noWrap/>
            <w:vAlign w:val="center"/>
          </w:tcPr>
          <w:p w14:paraId="17C31F37" w14:textId="77777777" w:rsidR="00C147BE" w:rsidRPr="00FD61B1" w:rsidRDefault="00C147BE" w:rsidP="006B4611">
            <w:pPr>
              <w:jc w:val="center"/>
              <w:rPr>
                <w:rFonts w:cs="Arial"/>
                <w:color w:val="000000"/>
                <w:sz w:val="18"/>
                <w:szCs w:val="18"/>
              </w:rPr>
            </w:pPr>
            <w:r>
              <w:rPr>
                <w:rFonts w:cs="Arial"/>
                <w:color w:val="000000"/>
                <w:sz w:val="18"/>
                <w:szCs w:val="18"/>
              </w:rPr>
              <w:t>94</w:t>
            </w:r>
          </w:p>
        </w:tc>
        <w:tc>
          <w:tcPr>
            <w:tcW w:w="1134" w:type="dxa"/>
            <w:tcBorders>
              <w:top w:val="single" w:sz="4" w:space="0" w:color="auto"/>
              <w:bottom w:val="nil"/>
              <w:right w:val="single" w:sz="4" w:space="0" w:color="auto"/>
            </w:tcBorders>
            <w:noWrap/>
            <w:vAlign w:val="center"/>
          </w:tcPr>
          <w:p w14:paraId="33914FA8" w14:textId="64DAF741" w:rsidR="00C147BE" w:rsidRPr="00FD61B1" w:rsidRDefault="00C147BE" w:rsidP="006B4611">
            <w:pPr>
              <w:jc w:val="center"/>
              <w:rPr>
                <w:rFonts w:cs="Arial"/>
                <w:sz w:val="20"/>
                <w:szCs w:val="20"/>
              </w:rPr>
            </w:pPr>
            <w:r w:rsidRPr="00376B83">
              <w:rPr>
                <w:rFonts w:cs="Arial"/>
                <w:b/>
                <w:sz w:val="20"/>
                <w:szCs w:val="20"/>
              </w:rPr>
              <w:t>3.0</w:t>
            </w:r>
            <w:r w:rsidR="006471FF">
              <w:rPr>
                <w:sz w:val="20"/>
              </w:rPr>
              <w:t>†</w:t>
            </w:r>
            <w:r>
              <w:rPr>
                <w:rFonts w:cs="Arial"/>
                <w:sz w:val="20"/>
                <w:szCs w:val="20"/>
              </w:rPr>
              <w:t xml:space="preserve"> (5.7)</w:t>
            </w:r>
          </w:p>
        </w:tc>
        <w:tc>
          <w:tcPr>
            <w:tcW w:w="533" w:type="dxa"/>
            <w:tcBorders>
              <w:top w:val="single" w:sz="4" w:space="0" w:color="auto"/>
              <w:left w:val="single" w:sz="4" w:space="0" w:color="auto"/>
              <w:bottom w:val="nil"/>
            </w:tcBorders>
            <w:noWrap/>
            <w:vAlign w:val="center"/>
          </w:tcPr>
          <w:p w14:paraId="68A9AF3A" w14:textId="77777777" w:rsidR="00C147BE" w:rsidRPr="00FD61B1" w:rsidRDefault="00C147BE" w:rsidP="006B4611">
            <w:pPr>
              <w:jc w:val="center"/>
              <w:rPr>
                <w:rFonts w:cs="Arial"/>
                <w:color w:val="000000"/>
                <w:sz w:val="18"/>
                <w:szCs w:val="18"/>
              </w:rPr>
            </w:pPr>
            <w:r>
              <w:rPr>
                <w:rFonts w:cs="Arial"/>
                <w:color w:val="000000"/>
                <w:sz w:val="18"/>
                <w:szCs w:val="18"/>
              </w:rPr>
              <w:t>158</w:t>
            </w:r>
          </w:p>
        </w:tc>
        <w:tc>
          <w:tcPr>
            <w:tcW w:w="1026" w:type="dxa"/>
            <w:tcBorders>
              <w:top w:val="single" w:sz="4" w:space="0" w:color="auto"/>
              <w:bottom w:val="nil"/>
              <w:right w:val="single" w:sz="4" w:space="0" w:color="auto"/>
            </w:tcBorders>
            <w:noWrap/>
            <w:vAlign w:val="center"/>
          </w:tcPr>
          <w:p w14:paraId="50B4440C" w14:textId="3F4C5380" w:rsidR="00C147BE" w:rsidRPr="00FD61B1" w:rsidRDefault="00C147BE" w:rsidP="006B4611">
            <w:pPr>
              <w:jc w:val="center"/>
              <w:rPr>
                <w:rFonts w:cs="Arial"/>
                <w:sz w:val="20"/>
                <w:szCs w:val="20"/>
              </w:rPr>
            </w:pPr>
            <w:r w:rsidRPr="00376B83">
              <w:rPr>
                <w:rFonts w:cs="Arial"/>
                <w:b/>
                <w:sz w:val="20"/>
                <w:szCs w:val="20"/>
              </w:rPr>
              <w:t>3.1</w:t>
            </w:r>
            <w:r w:rsidR="006471FF">
              <w:rPr>
                <w:sz w:val="20"/>
              </w:rPr>
              <w:t>†</w:t>
            </w:r>
            <w:r>
              <w:rPr>
                <w:rFonts w:cs="Arial"/>
                <w:sz w:val="20"/>
                <w:szCs w:val="20"/>
              </w:rPr>
              <w:t xml:space="preserve"> (5.5)</w:t>
            </w:r>
          </w:p>
        </w:tc>
        <w:tc>
          <w:tcPr>
            <w:tcW w:w="567" w:type="dxa"/>
            <w:tcBorders>
              <w:top w:val="single" w:sz="4" w:space="0" w:color="auto"/>
              <w:left w:val="single" w:sz="4" w:space="0" w:color="auto"/>
              <w:bottom w:val="nil"/>
            </w:tcBorders>
            <w:noWrap/>
            <w:vAlign w:val="center"/>
          </w:tcPr>
          <w:p w14:paraId="2EA3637E" w14:textId="77777777" w:rsidR="00C147BE" w:rsidRPr="00FD61B1" w:rsidRDefault="00C147BE" w:rsidP="006B4611">
            <w:pPr>
              <w:jc w:val="center"/>
              <w:rPr>
                <w:rFonts w:cs="Arial"/>
                <w:color w:val="000000"/>
                <w:sz w:val="18"/>
                <w:szCs w:val="18"/>
              </w:rPr>
            </w:pPr>
            <w:r w:rsidRPr="00FD61B1">
              <w:rPr>
                <w:rFonts w:cs="Arial"/>
                <w:color w:val="000000"/>
                <w:sz w:val="18"/>
                <w:szCs w:val="18"/>
              </w:rPr>
              <w:t>1</w:t>
            </w:r>
            <w:r>
              <w:rPr>
                <w:rFonts w:cs="Arial"/>
                <w:color w:val="000000"/>
                <w:sz w:val="18"/>
                <w:szCs w:val="18"/>
              </w:rPr>
              <w:t>71</w:t>
            </w:r>
          </w:p>
        </w:tc>
        <w:tc>
          <w:tcPr>
            <w:tcW w:w="993" w:type="dxa"/>
            <w:tcBorders>
              <w:top w:val="single" w:sz="4" w:space="0" w:color="auto"/>
              <w:bottom w:val="nil"/>
              <w:right w:val="single" w:sz="4" w:space="0" w:color="auto"/>
            </w:tcBorders>
            <w:noWrap/>
            <w:vAlign w:val="center"/>
          </w:tcPr>
          <w:p w14:paraId="4D2C982A" w14:textId="6E2C3C00" w:rsidR="00C147BE" w:rsidRPr="00FD61B1" w:rsidRDefault="00C147BE" w:rsidP="006B4611">
            <w:pPr>
              <w:jc w:val="center"/>
              <w:rPr>
                <w:rFonts w:cs="Arial"/>
                <w:sz w:val="20"/>
                <w:szCs w:val="20"/>
              </w:rPr>
            </w:pPr>
            <w:r w:rsidRPr="00376B83">
              <w:rPr>
                <w:rFonts w:cs="Arial"/>
                <w:b/>
                <w:sz w:val="20"/>
                <w:szCs w:val="20"/>
              </w:rPr>
              <w:t>1.3</w:t>
            </w:r>
            <w:r w:rsidR="006471FF">
              <w:rPr>
                <w:sz w:val="20"/>
              </w:rPr>
              <w:t>†</w:t>
            </w:r>
            <w:r w:rsidRPr="00FD61B1">
              <w:rPr>
                <w:rFonts w:cs="Arial"/>
                <w:sz w:val="20"/>
                <w:szCs w:val="20"/>
              </w:rPr>
              <w:t xml:space="preserve"> (3.</w:t>
            </w:r>
            <w:r>
              <w:rPr>
                <w:rFonts w:cs="Arial"/>
                <w:sz w:val="20"/>
                <w:szCs w:val="20"/>
              </w:rPr>
              <w:t>5</w:t>
            </w:r>
            <w:r w:rsidRPr="00FD61B1">
              <w:rPr>
                <w:rFonts w:cs="Arial"/>
                <w:sz w:val="20"/>
                <w:szCs w:val="20"/>
              </w:rPr>
              <w:t>)</w:t>
            </w:r>
          </w:p>
        </w:tc>
        <w:tc>
          <w:tcPr>
            <w:tcW w:w="1559" w:type="dxa"/>
            <w:tcBorders>
              <w:top w:val="single" w:sz="4" w:space="0" w:color="auto"/>
              <w:left w:val="single" w:sz="4" w:space="0" w:color="auto"/>
              <w:bottom w:val="nil"/>
            </w:tcBorders>
            <w:vAlign w:val="center"/>
          </w:tcPr>
          <w:p w14:paraId="42D6505C" w14:textId="77777777" w:rsidR="00C147BE" w:rsidRPr="00FD61B1" w:rsidRDefault="00C147BE" w:rsidP="006B4611">
            <w:pPr>
              <w:jc w:val="center"/>
              <w:rPr>
                <w:rFonts w:cs="Arial"/>
                <w:sz w:val="20"/>
                <w:szCs w:val="20"/>
              </w:rPr>
            </w:pPr>
            <w:r>
              <w:rPr>
                <w:rFonts w:cs="Arial"/>
                <w:sz w:val="20"/>
                <w:szCs w:val="20"/>
              </w:rPr>
              <w:t>-0.02; 0.35; 0.38</w:t>
            </w:r>
          </w:p>
        </w:tc>
      </w:tr>
      <w:tr w:rsidR="00C147BE" w:rsidRPr="00FA4D1E" w14:paraId="72B76EE9" w14:textId="77777777" w:rsidTr="006B4611">
        <w:trPr>
          <w:trHeight w:val="480"/>
        </w:trPr>
        <w:tc>
          <w:tcPr>
            <w:tcW w:w="1135" w:type="dxa"/>
            <w:vMerge/>
            <w:tcBorders>
              <w:bottom w:val="single" w:sz="4" w:space="0" w:color="auto"/>
              <w:right w:val="single" w:sz="4" w:space="0" w:color="auto"/>
            </w:tcBorders>
            <w:vAlign w:val="center"/>
          </w:tcPr>
          <w:p w14:paraId="4AC3C917" w14:textId="77777777" w:rsidR="00C147BE" w:rsidRPr="00987B39" w:rsidRDefault="00C147BE" w:rsidP="006B4611">
            <w:pPr>
              <w:jc w:val="center"/>
              <w:rPr>
                <w:rFonts w:cs="Arial"/>
                <w:b/>
                <w:color w:val="000000"/>
                <w:sz w:val="18"/>
                <w:szCs w:val="18"/>
              </w:rPr>
            </w:pPr>
          </w:p>
        </w:tc>
        <w:tc>
          <w:tcPr>
            <w:tcW w:w="1027" w:type="dxa"/>
            <w:tcBorders>
              <w:top w:val="nil"/>
              <w:bottom w:val="single" w:sz="4" w:space="0" w:color="auto"/>
            </w:tcBorders>
            <w:vAlign w:val="center"/>
          </w:tcPr>
          <w:p w14:paraId="5406529E" w14:textId="77777777" w:rsidR="00C147BE" w:rsidRDefault="00C147BE" w:rsidP="006B4611">
            <w:pPr>
              <w:jc w:val="center"/>
              <w:rPr>
                <w:rFonts w:cs="Arial"/>
                <w:color w:val="000000"/>
                <w:sz w:val="18"/>
                <w:szCs w:val="18"/>
              </w:rPr>
            </w:pPr>
            <w:r>
              <w:rPr>
                <w:rFonts w:cs="Arial"/>
                <w:sz w:val="20"/>
                <w:szCs w:val="20"/>
              </w:rPr>
              <w:t>Abnormal threshold</w:t>
            </w:r>
          </w:p>
        </w:tc>
        <w:tc>
          <w:tcPr>
            <w:tcW w:w="567" w:type="dxa"/>
            <w:tcBorders>
              <w:top w:val="nil"/>
              <w:bottom w:val="single" w:sz="4" w:space="0" w:color="auto"/>
              <w:right w:val="single" w:sz="4" w:space="0" w:color="auto"/>
            </w:tcBorders>
            <w:vAlign w:val="center"/>
          </w:tcPr>
          <w:p w14:paraId="119C5A62" w14:textId="77777777" w:rsidR="00C147BE" w:rsidRDefault="00C147BE" w:rsidP="006B4611">
            <w:pPr>
              <w:jc w:val="center"/>
              <w:rPr>
                <w:rFonts w:cs="Arial"/>
                <w:color w:val="000000"/>
                <w:sz w:val="18"/>
                <w:szCs w:val="18"/>
              </w:rPr>
            </w:pPr>
            <w:r>
              <w:rPr>
                <w:rFonts w:cs="Arial"/>
                <w:color w:val="000000"/>
                <w:sz w:val="18"/>
                <w:szCs w:val="18"/>
              </w:rPr>
              <w:t>≥19</w:t>
            </w:r>
          </w:p>
        </w:tc>
        <w:tc>
          <w:tcPr>
            <w:tcW w:w="567" w:type="dxa"/>
            <w:tcBorders>
              <w:top w:val="nil"/>
              <w:left w:val="single" w:sz="4" w:space="0" w:color="auto"/>
              <w:bottom w:val="single" w:sz="4" w:space="0" w:color="auto"/>
            </w:tcBorders>
            <w:noWrap/>
            <w:vAlign w:val="center"/>
          </w:tcPr>
          <w:p w14:paraId="3644130E" w14:textId="77777777" w:rsidR="00C147BE" w:rsidRDefault="00C147BE" w:rsidP="006B4611">
            <w:pPr>
              <w:jc w:val="center"/>
              <w:rPr>
                <w:rFonts w:cs="Arial"/>
                <w:color w:val="000000"/>
                <w:sz w:val="18"/>
                <w:szCs w:val="18"/>
              </w:rPr>
            </w:pPr>
            <w:r>
              <w:rPr>
                <w:rFonts w:cs="Arial"/>
                <w:color w:val="000000"/>
                <w:sz w:val="18"/>
                <w:szCs w:val="18"/>
              </w:rPr>
              <w:t>12</w:t>
            </w:r>
          </w:p>
        </w:tc>
        <w:tc>
          <w:tcPr>
            <w:tcW w:w="992" w:type="dxa"/>
            <w:tcBorders>
              <w:top w:val="nil"/>
              <w:bottom w:val="single" w:sz="4" w:space="0" w:color="auto"/>
              <w:right w:val="single" w:sz="4" w:space="0" w:color="auto"/>
            </w:tcBorders>
            <w:noWrap/>
            <w:vAlign w:val="center"/>
          </w:tcPr>
          <w:p w14:paraId="6C9BD56D" w14:textId="77777777" w:rsidR="00C147BE" w:rsidRPr="00FD61B1" w:rsidRDefault="00C147BE" w:rsidP="006B4611">
            <w:pPr>
              <w:jc w:val="center"/>
              <w:rPr>
                <w:rFonts w:cs="Arial"/>
                <w:sz w:val="20"/>
                <w:szCs w:val="20"/>
              </w:rPr>
            </w:pPr>
            <w:r>
              <w:rPr>
                <w:rFonts w:cs="Arial"/>
                <w:sz w:val="20"/>
                <w:szCs w:val="20"/>
              </w:rPr>
              <w:t>2.8%</w:t>
            </w:r>
          </w:p>
        </w:tc>
        <w:tc>
          <w:tcPr>
            <w:tcW w:w="425" w:type="dxa"/>
            <w:tcBorders>
              <w:top w:val="nil"/>
              <w:left w:val="single" w:sz="4" w:space="0" w:color="auto"/>
              <w:bottom w:val="single" w:sz="4" w:space="0" w:color="auto"/>
            </w:tcBorders>
            <w:noWrap/>
            <w:vAlign w:val="center"/>
          </w:tcPr>
          <w:p w14:paraId="3157B288" w14:textId="77777777" w:rsidR="00C147BE" w:rsidRDefault="00C147BE" w:rsidP="006B4611">
            <w:pPr>
              <w:jc w:val="center"/>
              <w:rPr>
                <w:rFonts w:cs="Arial"/>
                <w:color w:val="000000"/>
                <w:sz w:val="18"/>
                <w:szCs w:val="18"/>
              </w:rPr>
            </w:pPr>
            <w:r>
              <w:rPr>
                <w:rFonts w:cs="Arial"/>
                <w:color w:val="000000"/>
                <w:sz w:val="18"/>
                <w:szCs w:val="18"/>
              </w:rPr>
              <w:t>4</w:t>
            </w:r>
          </w:p>
        </w:tc>
        <w:tc>
          <w:tcPr>
            <w:tcW w:w="1134" w:type="dxa"/>
            <w:tcBorders>
              <w:top w:val="nil"/>
              <w:bottom w:val="single" w:sz="4" w:space="0" w:color="auto"/>
              <w:right w:val="single" w:sz="4" w:space="0" w:color="auto"/>
            </w:tcBorders>
            <w:noWrap/>
            <w:vAlign w:val="center"/>
          </w:tcPr>
          <w:p w14:paraId="0C68CFAB" w14:textId="77777777" w:rsidR="00C147BE" w:rsidRPr="00FD61B1" w:rsidRDefault="00C147BE" w:rsidP="006B4611">
            <w:pPr>
              <w:jc w:val="center"/>
              <w:rPr>
                <w:rFonts w:cs="Arial"/>
                <w:sz w:val="20"/>
                <w:szCs w:val="20"/>
              </w:rPr>
            </w:pPr>
            <w:r>
              <w:rPr>
                <w:rFonts w:cs="Arial"/>
                <w:sz w:val="20"/>
                <w:szCs w:val="20"/>
              </w:rPr>
              <w:t>4.3%</w:t>
            </w:r>
          </w:p>
        </w:tc>
        <w:tc>
          <w:tcPr>
            <w:tcW w:w="533" w:type="dxa"/>
            <w:tcBorders>
              <w:top w:val="nil"/>
              <w:left w:val="single" w:sz="4" w:space="0" w:color="auto"/>
              <w:bottom w:val="single" w:sz="4" w:space="0" w:color="auto"/>
            </w:tcBorders>
            <w:noWrap/>
            <w:vAlign w:val="center"/>
          </w:tcPr>
          <w:p w14:paraId="2BF398CE" w14:textId="77777777" w:rsidR="00C147BE" w:rsidRPr="00FD61B1" w:rsidRDefault="00C147BE" w:rsidP="006B4611">
            <w:pPr>
              <w:jc w:val="center"/>
              <w:rPr>
                <w:rFonts w:cs="Arial"/>
                <w:color w:val="000000"/>
                <w:sz w:val="18"/>
                <w:szCs w:val="18"/>
              </w:rPr>
            </w:pPr>
            <w:r>
              <w:rPr>
                <w:rFonts w:cs="Arial"/>
                <w:color w:val="000000"/>
                <w:sz w:val="18"/>
                <w:szCs w:val="18"/>
              </w:rPr>
              <w:t>6</w:t>
            </w:r>
          </w:p>
        </w:tc>
        <w:tc>
          <w:tcPr>
            <w:tcW w:w="1026" w:type="dxa"/>
            <w:tcBorders>
              <w:top w:val="nil"/>
              <w:bottom w:val="single" w:sz="4" w:space="0" w:color="auto"/>
              <w:right w:val="single" w:sz="4" w:space="0" w:color="auto"/>
            </w:tcBorders>
            <w:noWrap/>
            <w:vAlign w:val="center"/>
          </w:tcPr>
          <w:p w14:paraId="3B39EDD4" w14:textId="77777777" w:rsidR="00C147BE" w:rsidRPr="00FD61B1" w:rsidRDefault="00C147BE" w:rsidP="006B4611">
            <w:pPr>
              <w:jc w:val="center"/>
              <w:rPr>
                <w:rFonts w:cs="Arial"/>
                <w:sz w:val="20"/>
                <w:szCs w:val="20"/>
              </w:rPr>
            </w:pPr>
            <w:r>
              <w:rPr>
                <w:rFonts w:cs="Arial"/>
                <w:sz w:val="20"/>
                <w:szCs w:val="20"/>
              </w:rPr>
              <w:t>3.8%</w:t>
            </w:r>
          </w:p>
        </w:tc>
        <w:tc>
          <w:tcPr>
            <w:tcW w:w="567" w:type="dxa"/>
            <w:tcBorders>
              <w:top w:val="nil"/>
              <w:left w:val="single" w:sz="4" w:space="0" w:color="auto"/>
              <w:bottom w:val="single" w:sz="4" w:space="0" w:color="auto"/>
            </w:tcBorders>
            <w:noWrap/>
            <w:vAlign w:val="center"/>
          </w:tcPr>
          <w:p w14:paraId="3865B36F" w14:textId="77777777" w:rsidR="00C147BE" w:rsidRPr="00FD61B1" w:rsidRDefault="00C147BE" w:rsidP="006B4611">
            <w:pPr>
              <w:jc w:val="center"/>
              <w:rPr>
                <w:rFonts w:cs="Arial"/>
                <w:color w:val="000000"/>
                <w:sz w:val="18"/>
                <w:szCs w:val="18"/>
              </w:rPr>
            </w:pPr>
            <w:r>
              <w:rPr>
                <w:rFonts w:cs="Arial"/>
                <w:color w:val="000000"/>
                <w:sz w:val="18"/>
                <w:szCs w:val="18"/>
              </w:rPr>
              <w:t>2</w:t>
            </w:r>
          </w:p>
        </w:tc>
        <w:tc>
          <w:tcPr>
            <w:tcW w:w="993" w:type="dxa"/>
            <w:tcBorders>
              <w:top w:val="nil"/>
              <w:bottom w:val="single" w:sz="4" w:space="0" w:color="auto"/>
              <w:right w:val="single" w:sz="4" w:space="0" w:color="auto"/>
            </w:tcBorders>
            <w:noWrap/>
            <w:vAlign w:val="center"/>
          </w:tcPr>
          <w:p w14:paraId="30A185DD" w14:textId="77777777" w:rsidR="00C147BE" w:rsidRPr="00FD61B1" w:rsidRDefault="00C147BE" w:rsidP="006B4611">
            <w:pPr>
              <w:jc w:val="center"/>
              <w:rPr>
                <w:rFonts w:cs="Arial"/>
                <w:sz w:val="20"/>
                <w:szCs w:val="20"/>
              </w:rPr>
            </w:pPr>
            <w:r>
              <w:rPr>
                <w:rFonts w:cs="Arial"/>
                <w:sz w:val="20"/>
                <w:szCs w:val="20"/>
              </w:rPr>
              <w:t>1.2%</w:t>
            </w:r>
          </w:p>
        </w:tc>
        <w:tc>
          <w:tcPr>
            <w:tcW w:w="1559" w:type="dxa"/>
            <w:tcBorders>
              <w:top w:val="nil"/>
              <w:left w:val="single" w:sz="4" w:space="0" w:color="auto"/>
              <w:bottom w:val="single" w:sz="4" w:space="0" w:color="auto"/>
            </w:tcBorders>
            <w:vAlign w:val="center"/>
          </w:tcPr>
          <w:p w14:paraId="3F992F46" w14:textId="77777777" w:rsidR="00C147BE" w:rsidRDefault="00C147BE" w:rsidP="006B4611">
            <w:pPr>
              <w:jc w:val="center"/>
              <w:rPr>
                <w:rFonts w:cs="Arial"/>
                <w:sz w:val="20"/>
                <w:szCs w:val="20"/>
              </w:rPr>
            </w:pPr>
          </w:p>
        </w:tc>
      </w:tr>
      <w:tr w:rsidR="00C147BE" w:rsidRPr="00FA4D1E" w14:paraId="38BE3B19" w14:textId="77777777" w:rsidTr="006B4611">
        <w:trPr>
          <w:trHeight w:val="720"/>
        </w:trPr>
        <w:tc>
          <w:tcPr>
            <w:tcW w:w="1135" w:type="dxa"/>
            <w:vMerge w:val="restart"/>
            <w:tcBorders>
              <w:top w:val="single" w:sz="4" w:space="0" w:color="auto"/>
              <w:right w:val="single" w:sz="4" w:space="0" w:color="auto"/>
            </w:tcBorders>
            <w:vAlign w:val="center"/>
          </w:tcPr>
          <w:p w14:paraId="0226E2B9" w14:textId="77777777" w:rsidR="00C147BE" w:rsidRPr="00987B39" w:rsidRDefault="00C147BE" w:rsidP="006B4611">
            <w:pPr>
              <w:jc w:val="center"/>
              <w:rPr>
                <w:rFonts w:cs="Arial"/>
                <w:b/>
                <w:color w:val="000000"/>
                <w:sz w:val="18"/>
                <w:szCs w:val="18"/>
              </w:rPr>
            </w:pPr>
            <w:r w:rsidRPr="00987B39">
              <w:rPr>
                <w:rFonts w:cs="Arial"/>
                <w:b/>
                <w:color w:val="000000"/>
                <w:sz w:val="18"/>
                <w:szCs w:val="18"/>
              </w:rPr>
              <w:t>Total Avoidance (IES)</w:t>
            </w:r>
          </w:p>
        </w:tc>
        <w:tc>
          <w:tcPr>
            <w:tcW w:w="1027" w:type="dxa"/>
            <w:tcBorders>
              <w:top w:val="single" w:sz="4" w:space="0" w:color="auto"/>
              <w:bottom w:val="nil"/>
            </w:tcBorders>
            <w:vAlign w:val="center"/>
          </w:tcPr>
          <w:p w14:paraId="28D49346" w14:textId="77777777" w:rsidR="00C147BE" w:rsidRPr="00FD61B1" w:rsidRDefault="00C147BE" w:rsidP="006B4611">
            <w:pPr>
              <w:jc w:val="center"/>
              <w:rPr>
                <w:rFonts w:cs="Arial"/>
                <w:color w:val="000000"/>
                <w:sz w:val="18"/>
                <w:szCs w:val="18"/>
              </w:rPr>
            </w:pPr>
            <w:r>
              <w:rPr>
                <w:rFonts w:cs="Arial"/>
                <w:sz w:val="20"/>
                <w:szCs w:val="20"/>
              </w:rPr>
              <w:t>Range</w:t>
            </w:r>
          </w:p>
        </w:tc>
        <w:tc>
          <w:tcPr>
            <w:tcW w:w="567" w:type="dxa"/>
            <w:tcBorders>
              <w:top w:val="single" w:sz="4" w:space="0" w:color="auto"/>
              <w:bottom w:val="nil"/>
              <w:right w:val="single" w:sz="4" w:space="0" w:color="auto"/>
            </w:tcBorders>
            <w:vAlign w:val="center"/>
          </w:tcPr>
          <w:p w14:paraId="7E22A385" w14:textId="77777777" w:rsidR="00C147BE" w:rsidRPr="00FD61B1" w:rsidRDefault="00C147BE" w:rsidP="006B4611">
            <w:pPr>
              <w:jc w:val="center"/>
              <w:rPr>
                <w:rFonts w:cs="Arial"/>
                <w:color w:val="000000"/>
                <w:sz w:val="18"/>
                <w:szCs w:val="18"/>
              </w:rPr>
            </w:pPr>
            <w:r>
              <w:rPr>
                <w:rFonts w:cs="Arial"/>
                <w:color w:val="000000"/>
                <w:sz w:val="18"/>
                <w:szCs w:val="18"/>
              </w:rPr>
              <w:t>0-40</w:t>
            </w:r>
          </w:p>
        </w:tc>
        <w:tc>
          <w:tcPr>
            <w:tcW w:w="567" w:type="dxa"/>
            <w:tcBorders>
              <w:top w:val="single" w:sz="4" w:space="0" w:color="auto"/>
              <w:left w:val="single" w:sz="4" w:space="0" w:color="auto"/>
              <w:bottom w:val="nil"/>
            </w:tcBorders>
            <w:noWrap/>
            <w:vAlign w:val="center"/>
          </w:tcPr>
          <w:p w14:paraId="11E813EA" w14:textId="77777777" w:rsidR="00C147BE" w:rsidRPr="00FD61B1" w:rsidRDefault="00C147BE" w:rsidP="006B4611">
            <w:pPr>
              <w:jc w:val="center"/>
              <w:rPr>
                <w:rFonts w:cs="Arial"/>
                <w:color w:val="000000"/>
                <w:sz w:val="18"/>
                <w:szCs w:val="18"/>
              </w:rPr>
            </w:pPr>
            <w:r>
              <w:rPr>
                <w:rFonts w:cs="Arial"/>
                <w:color w:val="000000"/>
                <w:sz w:val="18"/>
                <w:szCs w:val="18"/>
              </w:rPr>
              <w:t>418</w:t>
            </w:r>
          </w:p>
        </w:tc>
        <w:tc>
          <w:tcPr>
            <w:tcW w:w="992" w:type="dxa"/>
            <w:tcBorders>
              <w:top w:val="single" w:sz="4" w:space="0" w:color="auto"/>
              <w:bottom w:val="nil"/>
              <w:right w:val="single" w:sz="4" w:space="0" w:color="auto"/>
            </w:tcBorders>
            <w:noWrap/>
            <w:vAlign w:val="center"/>
          </w:tcPr>
          <w:p w14:paraId="0F50AF62" w14:textId="77777777" w:rsidR="00C147BE" w:rsidRPr="00FD61B1" w:rsidRDefault="00C147BE" w:rsidP="006B4611">
            <w:pPr>
              <w:jc w:val="center"/>
              <w:rPr>
                <w:rFonts w:cs="Arial"/>
                <w:sz w:val="20"/>
                <w:szCs w:val="20"/>
              </w:rPr>
            </w:pPr>
            <w:r>
              <w:rPr>
                <w:rFonts w:cs="Arial"/>
                <w:sz w:val="20"/>
                <w:szCs w:val="20"/>
              </w:rPr>
              <w:t>4.3 (7.0)</w:t>
            </w:r>
          </w:p>
        </w:tc>
        <w:tc>
          <w:tcPr>
            <w:tcW w:w="425" w:type="dxa"/>
            <w:tcBorders>
              <w:top w:val="single" w:sz="4" w:space="0" w:color="auto"/>
              <w:left w:val="single" w:sz="4" w:space="0" w:color="auto"/>
              <w:bottom w:val="nil"/>
            </w:tcBorders>
            <w:noWrap/>
            <w:vAlign w:val="center"/>
          </w:tcPr>
          <w:p w14:paraId="2564FEFF" w14:textId="77777777" w:rsidR="00C147BE" w:rsidRPr="00FD61B1" w:rsidRDefault="00C147BE" w:rsidP="006B4611">
            <w:pPr>
              <w:jc w:val="center"/>
              <w:rPr>
                <w:rFonts w:cs="Arial"/>
                <w:color w:val="000000"/>
                <w:sz w:val="18"/>
                <w:szCs w:val="18"/>
              </w:rPr>
            </w:pPr>
            <w:r>
              <w:rPr>
                <w:rFonts w:cs="Arial"/>
                <w:color w:val="000000"/>
                <w:sz w:val="18"/>
                <w:szCs w:val="18"/>
              </w:rPr>
              <w:t>93</w:t>
            </w:r>
          </w:p>
        </w:tc>
        <w:tc>
          <w:tcPr>
            <w:tcW w:w="1134" w:type="dxa"/>
            <w:tcBorders>
              <w:top w:val="single" w:sz="4" w:space="0" w:color="auto"/>
              <w:bottom w:val="nil"/>
              <w:right w:val="single" w:sz="4" w:space="0" w:color="auto"/>
            </w:tcBorders>
            <w:noWrap/>
            <w:vAlign w:val="center"/>
          </w:tcPr>
          <w:p w14:paraId="2E973F8D" w14:textId="3206B86C" w:rsidR="00C147BE" w:rsidRPr="00FD61B1" w:rsidRDefault="00C147BE" w:rsidP="006B4611">
            <w:pPr>
              <w:jc w:val="center"/>
              <w:rPr>
                <w:rFonts w:cs="Arial"/>
                <w:sz w:val="20"/>
                <w:szCs w:val="20"/>
              </w:rPr>
            </w:pPr>
            <w:r w:rsidRPr="00376B83">
              <w:rPr>
                <w:rFonts w:cs="Arial"/>
                <w:b/>
                <w:sz w:val="20"/>
                <w:szCs w:val="20"/>
              </w:rPr>
              <w:t>6.0</w:t>
            </w:r>
            <w:r w:rsidR="006471FF">
              <w:rPr>
                <w:sz w:val="20"/>
              </w:rPr>
              <w:t>†</w:t>
            </w:r>
            <w:r>
              <w:rPr>
                <w:rFonts w:cs="Arial"/>
                <w:sz w:val="20"/>
                <w:szCs w:val="20"/>
              </w:rPr>
              <w:t xml:space="preserve"> (8.4)</w:t>
            </w:r>
          </w:p>
        </w:tc>
        <w:tc>
          <w:tcPr>
            <w:tcW w:w="533" w:type="dxa"/>
            <w:tcBorders>
              <w:top w:val="single" w:sz="4" w:space="0" w:color="auto"/>
              <w:left w:val="single" w:sz="4" w:space="0" w:color="auto"/>
              <w:bottom w:val="nil"/>
            </w:tcBorders>
            <w:noWrap/>
            <w:vAlign w:val="center"/>
          </w:tcPr>
          <w:p w14:paraId="7B6DBF90" w14:textId="77777777" w:rsidR="00C147BE" w:rsidRPr="00FD61B1" w:rsidRDefault="00C147BE" w:rsidP="006B4611">
            <w:pPr>
              <w:jc w:val="center"/>
              <w:rPr>
                <w:rFonts w:cs="Arial"/>
                <w:color w:val="000000"/>
                <w:sz w:val="18"/>
                <w:szCs w:val="18"/>
              </w:rPr>
            </w:pPr>
            <w:r>
              <w:rPr>
                <w:rFonts w:cs="Arial"/>
                <w:color w:val="000000"/>
                <w:sz w:val="18"/>
                <w:szCs w:val="18"/>
              </w:rPr>
              <w:t>156</w:t>
            </w:r>
          </w:p>
        </w:tc>
        <w:tc>
          <w:tcPr>
            <w:tcW w:w="1026" w:type="dxa"/>
            <w:tcBorders>
              <w:top w:val="single" w:sz="4" w:space="0" w:color="auto"/>
              <w:bottom w:val="nil"/>
              <w:right w:val="single" w:sz="4" w:space="0" w:color="auto"/>
            </w:tcBorders>
            <w:noWrap/>
            <w:vAlign w:val="center"/>
          </w:tcPr>
          <w:p w14:paraId="3C5AF21F" w14:textId="46DDDAC8" w:rsidR="00C147BE" w:rsidRPr="00FD61B1" w:rsidRDefault="00C147BE" w:rsidP="006B4611">
            <w:pPr>
              <w:jc w:val="center"/>
              <w:rPr>
                <w:rFonts w:cs="Arial"/>
                <w:sz w:val="20"/>
                <w:szCs w:val="20"/>
              </w:rPr>
            </w:pPr>
            <w:r w:rsidRPr="00376B83">
              <w:rPr>
                <w:rFonts w:cs="Arial"/>
                <w:b/>
                <w:sz w:val="20"/>
                <w:szCs w:val="20"/>
              </w:rPr>
              <w:t>5.1</w:t>
            </w:r>
            <w:r w:rsidR="006471FF">
              <w:rPr>
                <w:sz w:val="20"/>
              </w:rPr>
              <w:t>†</w:t>
            </w:r>
            <w:r>
              <w:rPr>
                <w:rFonts w:cs="Arial"/>
                <w:sz w:val="20"/>
                <w:szCs w:val="20"/>
              </w:rPr>
              <w:t xml:space="preserve"> (7.4)</w:t>
            </w:r>
          </w:p>
        </w:tc>
        <w:tc>
          <w:tcPr>
            <w:tcW w:w="567" w:type="dxa"/>
            <w:tcBorders>
              <w:top w:val="single" w:sz="4" w:space="0" w:color="auto"/>
              <w:left w:val="single" w:sz="4" w:space="0" w:color="auto"/>
              <w:bottom w:val="nil"/>
            </w:tcBorders>
            <w:noWrap/>
            <w:vAlign w:val="center"/>
          </w:tcPr>
          <w:p w14:paraId="08075E04" w14:textId="77777777" w:rsidR="00C147BE" w:rsidRPr="00FD61B1" w:rsidRDefault="00C147BE" w:rsidP="006B4611">
            <w:pPr>
              <w:jc w:val="center"/>
              <w:rPr>
                <w:rFonts w:cs="Arial"/>
                <w:color w:val="000000"/>
                <w:sz w:val="18"/>
                <w:szCs w:val="18"/>
              </w:rPr>
            </w:pPr>
            <w:r>
              <w:rPr>
                <w:rFonts w:cs="Arial"/>
                <w:color w:val="000000"/>
                <w:sz w:val="18"/>
                <w:szCs w:val="18"/>
              </w:rPr>
              <w:t>169</w:t>
            </w:r>
          </w:p>
        </w:tc>
        <w:tc>
          <w:tcPr>
            <w:tcW w:w="993" w:type="dxa"/>
            <w:tcBorders>
              <w:top w:val="single" w:sz="4" w:space="0" w:color="auto"/>
              <w:bottom w:val="nil"/>
              <w:right w:val="single" w:sz="4" w:space="0" w:color="auto"/>
            </w:tcBorders>
            <w:noWrap/>
            <w:vAlign w:val="center"/>
          </w:tcPr>
          <w:p w14:paraId="1DAE6F43" w14:textId="481EF270" w:rsidR="00C147BE" w:rsidRPr="00FD61B1" w:rsidRDefault="00C147BE" w:rsidP="006B4611">
            <w:pPr>
              <w:jc w:val="center"/>
              <w:rPr>
                <w:rFonts w:cs="Arial"/>
                <w:sz w:val="20"/>
                <w:szCs w:val="20"/>
              </w:rPr>
            </w:pPr>
            <w:r w:rsidRPr="00376B83">
              <w:rPr>
                <w:rFonts w:cs="Arial"/>
                <w:b/>
                <w:sz w:val="20"/>
                <w:szCs w:val="20"/>
              </w:rPr>
              <w:t>2.6</w:t>
            </w:r>
            <w:r w:rsidR="006471FF">
              <w:rPr>
                <w:sz w:val="20"/>
              </w:rPr>
              <w:t>†</w:t>
            </w:r>
            <w:r w:rsidRPr="00FD61B1">
              <w:rPr>
                <w:rFonts w:cs="Arial"/>
                <w:sz w:val="20"/>
                <w:szCs w:val="20"/>
              </w:rPr>
              <w:t xml:space="preserve"> (5.2)</w:t>
            </w:r>
          </w:p>
        </w:tc>
        <w:tc>
          <w:tcPr>
            <w:tcW w:w="1559" w:type="dxa"/>
            <w:tcBorders>
              <w:top w:val="single" w:sz="4" w:space="0" w:color="auto"/>
              <w:left w:val="single" w:sz="4" w:space="0" w:color="auto"/>
              <w:bottom w:val="nil"/>
            </w:tcBorders>
            <w:vAlign w:val="center"/>
          </w:tcPr>
          <w:p w14:paraId="47EF0C78" w14:textId="77777777" w:rsidR="00C147BE" w:rsidRDefault="00C147BE" w:rsidP="006B4611">
            <w:pPr>
              <w:jc w:val="center"/>
              <w:rPr>
                <w:rFonts w:cs="Arial"/>
                <w:sz w:val="20"/>
                <w:szCs w:val="20"/>
              </w:rPr>
            </w:pPr>
            <w:r>
              <w:rPr>
                <w:rFonts w:cs="Arial"/>
                <w:sz w:val="20"/>
                <w:szCs w:val="20"/>
              </w:rPr>
              <w:t>0.11; 0.48; 0.39</w:t>
            </w:r>
          </w:p>
        </w:tc>
      </w:tr>
      <w:tr w:rsidR="00C147BE" w:rsidRPr="00FA4D1E" w14:paraId="4EA92E7B" w14:textId="77777777" w:rsidTr="006B4611">
        <w:trPr>
          <w:trHeight w:val="720"/>
        </w:trPr>
        <w:tc>
          <w:tcPr>
            <w:tcW w:w="1135" w:type="dxa"/>
            <w:vMerge/>
            <w:tcBorders>
              <w:bottom w:val="single" w:sz="4" w:space="0" w:color="auto"/>
              <w:right w:val="single" w:sz="4" w:space="0" w:color="auto"/>
            </w:tcBorders>
            <w:vAlign w:val="center"/>
          </w:tcPr>
          <w:p w14:paraId="74EE104F" w14:textId="77777777" w:rsidR="00C147BE" w:rsidRPr="00987B39" w:rsidRDefault="00C147BE" w:rsidP="006B4611">
            <w:pPr>
              <w:jc w:val="center"/>
              <w:rPr>
                <w:rFonts w:cs="Arial"/>
                <w:b/>
                <w:color w:val="000000"/>
                <w:sz w:val="18"/>
                <w:szCs w:val="18"/>
              </w:rPr>
            </w:pPr>
          </w:p>
        </w:tc>
        <w:tc>
          <w:tcPr>
            <w:tcW w:w="1027" w:type="dxa"/>
            <w:tcBorders>
              <w:top w:val="nil"/>
              <w:bottom w:val="single" w:sz="4" w:space="0" w:color="auto"/>
            </w:tcBorders>
            <w:vAlign w:val="center"/>
          </w:tcPr>
          <w:p w14:paraId="6BF4ABEB" w14:textId="77777777" w:rsidR="00C147BE" w:rsidRDefault="00C147BE" w:rsidP="006B4611">
            <w:pPr>
              <w:jc w:val="center"/>
              <w:rPr>
                <w:rFonts w:cs="Arial"/>
                <w:color w:val="000000"/>
                <w:sz w:val="18"/>
                <w:szCs w:val="18"/>
              </w:rPr>
            </w:pPr>
            <w:r>
              <w:rPr>
                <w:rFonts w:cs="Arial"/>
                <w:sz w:val="20"/>
                <w:szCs w:val="20"/>
              </w:rPr>
              <w:t>Abnormal threshold</w:t>
            </w:r>
          </w:p>
        </w:tc>
        <w:tc>
          <w:tcPr>
            <w:tcW w:w="567" w:type="dxa"/>
            <w:tcBorders>
              <w:top w:val="nil"/>
              <w:bottom w:val="single" w:sz="4" w:space="0" w:color="auto"/>
              <w:right w:val="single" w:sz="4" w:space="0" w:color="auto"/>
            </w:tcBorders>
            <w:vAlign w:val="center"/>
          </w:tcPr>
          <w:p w14:paraId="24745514" w14:textId="77777777" w:rsidR="00C147BE" w:rsidRDefault="00C147BE" w:rsidP="006B4611">
            <w:pPr>
              <w:jc w:val="center"/>
              <w:rPr>
                <w:rFonts w:cs="Arial"/>
                <w:color w:val="000000"/>
                <w:sz w:val="18"/>
                <w:szCs w:val="18"/>
              </w:rPr>
            </w:pPr>
            <w:r>
              <w:rPr>
                <w:rFonts w:cs="Arial"/>
                <w:color w:val="000000"/>
                <w:sz w:val="18"/>
                <w:szCs w:val="18"/>
              </w:rPr>
              <w:t>≥19</w:t>
            </w:r>
          </w:p>
        </w:tc>
        <w:tc>
          <w:tcPr>
            <w:tcW w:w="567" w:type="dxa"/>
            <w:tcBorders>
              <w:top w:val="nil"/>
              <w:left w:val="single" w:sz="4" w:space="0" w:color="auto"/>
              <w:bottom w:val="single" w:sz="4" w:space="0" w:color="auto"/>
            </w:tcBorders>
            <w:noWrap/>
            <w:vAlign w:val="center"/>
          </w:tcPr>
          <w:p w14:paraId="1DF099BD" w14:textId="77777777" w:rsidR="00C147BE" w:rsidRDefault="00C147BE" w:rsidP="006B4611">
            <w:pPr>
              <w:jc w:val="center"/>
              <w:rPr>
                <w:rFonts w:cs="Arial"/>
                <w:color w:val="000000"/>
                <w:sz w:val="18"/>
                <w:szCs w:val="18"/>
              </w:rPr>
            </w:pPr>
            <w:r>
              <w:rPr>
                <w:rFonts w:cs="Arial"/>
                <w:color w:val="000000"/>
                <w:sz w:val="18"/>
                <w:szCs w:val="18"/>
              </w:rPr>
              <w:t>32</w:t>
            </w:r>
          </w:p>
        </w:tc>
        <w:tc>
          <w:tcPr>
            <w:tcW w:w="992" w:type="dxa"/>
            <w:tcBorders>
              <w:top w:val="nil"/>
              <w:bottom w:val="single" w:sz="4" w:space="0" w:color="auto"/>
              <w:right w:val="single" w:sz="4" w:space="0" w:color="auto"/>
            </w:tcBorders>
            <w:noWrap/>
            <w:vAlign w:val="center"/>
          </w:tcPr>
          <w:p w14:paraId="3246A75A" w14:textId="77777777" w:rsidR="00C147BE" w:rsidRPr="00FD61B1" w:rsidRDefault="00C147BE" w:rsidP="006B4611">
            <w:pPr>
              <w:jc w:val="center"/>
              <w:rPr>
                <w:rFonts w:cs="Arial"/>
                <w:sz w:val="20"/>
                <w:szCs w:val="20"/>
              </w:rPr>
            </w:pPr>
            <w:r>
              <w:rPr>
                <w:rFonts w:cs="Arial"/>
                <w:sz w:val="20"/>
                <w:szCs w:val="20"/>
              </w:rPr>
              <w:t>7.7%</w:t>
            </w:r>
          </w:p>
        </w:tc>
        <w:tc>
          <w:tcPr>
            <w:tcW w:w="425" w:type="dxa"/>
            <w:tcBorders>
              <w:top w:val="nil"/>
              <w:left w:val="single" w:sz="4" w:space="0" w:color="auto"/>
              <w:bottom w:val="single" w:sz="4" w:space="0" w:color="auto"/>
            </w:tcBorders>
            <w:noWrap/>
            <w:vAlign w:val="center"/>
          </w:tcPr>
          <w:p w14:paraId="5B8EEA4E" w14:textId="77777777" w:rsidR="00C147BE" w:rsidRDefault="00C147BE" w:rsidP="006B4611">
            <w:pPr>
              <w:jc w:val="center"/>
              <w:rPr>
                <w:rFonts w:cs="Arial"/>
                <w:color w:val="000000"/>
                <w:sz w:val="18"/>
                <w:szCs w:val="18"/>
              </w:rPr>
            </w:pPr>
            <w:r>
              <w:rPr>
                <w:rFonts w:cs="Arial"/>
                <w:color w:val="000000"/>
                <w:sz w:val="18"/>
                <w:szCs w:val="18"/>
              </w:rPr>
              <w:t>12</w:t>
            </w:r>
          </w:p>
        </w:tc>
        <w:tc>
          <w:tcPr>
            <w:tcW w:w="1134" w:type="dxa"/>
            <w:tcBorders>
              <w:top w:val="nil"/>
              <w:bottom w:val="single" w:sz="4" w:space="0" w:color="auto"/>
              <w:right w:val="single" w:sz="4" w:space="0" w:color="auto"/>
            </w:tcBorders>
            <w:noWrap/>
            <w:vAlign w:val="center"/>
          </w:tcPr>
          <w:p w14:paraId="14BF9E89" w14:textId="77777777" w:rsidR="00C147BE" w:rsidRDefault="00C147BE" w:rsidP="006B4611">
            <w:pPr>
              <w:jc w:val="center"/>
              <w:rPr>
                <w:rFonts w:cs="Arial"/>
                <w:sz w:val="20"/>
                <w:szCs w:val="20"/>
              </w:rPr>
            </w:pPr>
            <w:r>
              <w:rPr>
                <w:rFonts w:cs="Arial"/>
                <w:sz w:val="20"/>
                <w:szCs w:val="20"/>
              </w:rPr>
              <w:t>12.9%</w:t>
            </w:r>
          </w:p>
        </w:tc>
        <w:tc>
          <w:tcPr>
            <w:tcW w:w="533" w:type="dxa"/>
            <w:tcBorders>
              <w:top w:val="nil"/>
              <w:left w:val="single" w:sz="4" w:space="0" w:color="auto"/>
              <w:bottom w:val="single" w:sz="4" w:space="0" w:color="auto"/>
            </w:tcBorders>
            <w:noWrap/>
            <w:vAlign w:val="center"/>
          </w:tcPr>
          <w:p w14:paraId="1631AC56" w14:textId="77777777" w:rsidR="00C147BE" w:rsidRDefault="00C147BE" w:rsidP="006B4611">
            <w:pPr>
              <w:jc w:val="center"/>
              <w:rPr>
                <w:rFonts w:cs="Arial"/>
                <w:color w:val="000000"/>
                <w:sz w:val="18"/>
                <w:szCs w:val="18"/>
              </w:rPr>
            </w:pPr>
            <w:r>
              <w:rPr>
                <w:rFonts w:cs="Arial"/>
                <w:color w:val="000000"/>
                <w:sz w:val="18"/>
                <w:szCs w:val="18"/>
              </w:rPr>
              <w:t>15</w:t>
            </w:r>
          </w:p>
        </w:tc>
        <w:tc>
          <w:tcPr>
            <w:tcW w:w="1026" w:type="dxa"/>
            <w:tcBorders>
              <w:top w:val="nil"/>
              <w:bottom w:val="single" w:sz="4" w:space="0" w:color="auto"/>
              <w:right w:val="single" w:sz="4" w:space="0" w:color="auto"/>
            </w:tcBorders>
            <w:noWrap/>
            <w:vAlign w:val="center"/>
          </w:tcPr>
          <w:p w14:paraId="0AAD2C6C" w14:textId="77777777" w:rsidR="00C147BE" w:rsidRDefault="00C147BE" w:rsidP="006B4611">
            <w:pPr>
              <w:jc w:val="center"/>
              <w:rPr>
                <w:rFonts w:cs="Arial"/>
                <w:sz w:val="20"/>
                <w:szCs w:val="20"/>
              </w:rPr>
            </w:pPr>
            <w:r>
              <w:rPr>
                <w:rFonts w:cs="Arial"/>
                <w:sz w:val="20"/>
                <w:szCs w:val="20"/>
              </w:rPr>
              <w:t>9.6%</w:t>
            </w:r>
          </w:p>
        </w:tc>
        <w:tc>
          <w:tcPr>
            <w:tcW w:w="567" w:type="dxa"/>
            <w:tcBorders>
              <w:top w:val="nil"/>
              <w:left w:val="single" w:sz="4" w:space="0" w:color="auto"/>
              <w:bottom w:val="single" w:sz="4" w:space="0" w:color="auto"/>
            </w:tcBorders>
            <w:noWrap/>
            <w:vAlign w:val="center"/>
          </w:tcPr>
          <w:p w14:paraId="308DE228" w14:textId="77777777" w:rsidR="00C147BE" w:rsidRDefault="00C147BE" w:rsidP="006B4611">
            <w:pPr>
              <w:jc w:val="center"/>
              <w:rPr>
                <w:rFonts w:cs="Arial"/>
                <w:color w:val="000000"/>
                <w:sz w:val="18"/>
                <w:szCs w:val="18"/>
              </w:rPr>
            </w:pPr>
            <w:r>
              <w:rPr>
                <w:rFonts w:cs="Arial"/>
                <w:color w:val="000000"/>
                <w:sz w:val="18"/>
                <w:szCs w:val="18"/>
              </w:rPr>
              <w:t>5</w:t>
            </w:r>
          </w:p>
        </w:tc>
        <w:tc>
          <w:tcPr>
            <w:tcW w:w="993" w:type="dxa"/>
            <w:tcBorders>
              <w:top w:val="nil"/>
              <w:bottom w:val="single" w:sz="4" w:space="0" w:color="auto"/>
              <w:right w:val="single" w:sz="4" w:space="0" w:color="auto"/>
            </w:tcBorders>
            <w:noWrap/>
            <w:vAlign w:val="center"/>
          </w:tcPr>
          <w:p w14:paraId="4E29F7D7" w14:textId="77777777" w:rsidR="00C147BE" w:rsidRDefault="00C147BE" w:rsidP="006B4611">
            <w:pPr>
              <w:jc w:val="center"/>
              <w:rPr>
                <w:rFonts w:cs="Arial"/>
                <w:sz w:val="20"/>
                <w:szCs w:val="20"/>
              </w:rPr>
            </w:pPr>
            <w:r>
              <w:rPr>
                <w:rFonts w:cs="Arial"/>
                <w:sz w:val="20"/>
                <w:szCs w:val="20"/>
              </w:rPr>
              <w:t>3.0%</w:t>
            </w:r>
          </w:p>
        </w:tc>
        <w:tc>
          <w:tcPr>
            <w:tcW w:w="1559" w:type="dxa"/>
            <w:tcBorders>
              <w:top w:val="nil"/>
              <w:left w:val="single" w:sz="4" w:space="0" w:color="auto"/>
              <w:bottom w:val="single" w:sz="4" w:space="0" w:color="auto"/>
            </w:tcBorders>
            <w:vAlign w:val="center"/>
          </w:tcPr>
          <w:p w14:paraId="3B15CEBE" w14:textId="77777777" w:rsidR="00C147BE" w:rsidRDefault="00C147BE" w:rsidP="006B4611">
            <w:pPr>
              <w:jc w:val="center"/>
              <w:rPr>
                <w:rFonts w:cs="Arial"/>
                <w:sz w:val="20"/>
                <w:szCs w:val="20"/>
              </w:rPr>
            </w:pPr>
          </w:p>
        </w:tc>
      </w:tr>
      <w:tr w:rsidR="00C147BE" w:rsidRPr="00FA4D1E" w14:paraId="2FE241CF" w14:textId="77777777" w:rsidTr="006B4611">
        <w:trPr>
          <w:trHeight w:val="255"/>
        </w:trPr>
        <w:tc>
          <w:tcPr>
            <w:tcW w:w="1135" w:type="dxa"/>
            <w:tcBorders>
              <w:top w:val="single" w:sz="4" w:space="0" w:color="auto"/>
              <w:bottom w:val="single" w:sz="4" w:space="0" w:color="auto"/>
              <w:right w:val="single" w:sz="4" w:space="0" w:color="auto"/>
            </w:tcBorders>
            <w:vAlign w:val="center"/>
          </w:tcPr>
          <w:p w14:paraId="4B690E42" w14:textId="77777777" w:rsidR="00C147BE" w:rsidRPr="00987B39" w:rsidRDefault="00C147BE" w:rsidP="006B4611">
            <w:pPr>
              <w:jc w:val="center"/>
              <w:rPr>
                <w:rFonts w:cs="Arial"/>
                <w:b/>
                <w:color w:val="000000"/>
                <w:sz w:val="18"/>
                <w:szCs w:val="18"/>
              </w:rPr>
            </w:pPr>
            <w:r w:rsidRPr="00987B39">
              <w:rPr>
                <w:rFonts w:cs="Arial"/>
                <w:b/>
                <w:color w:val="000000"/>
                <w:sz w:val="18"/>
                <w:szCs w:val="18"/>
              </w:rPr>
              <w:t>Total MAX-PC</w:t>
            </w:r>
          </w:p>
        </w:tc>
        <w:tc>
          <w:tcPr>
            <w:tcW w:w="1027" w:type="dxa"/>
            <w:tcBorders>
              <w:top w:val="single" w:sz="4" w:space="0" w:color="auto"/>
              <w:bottom w:val="single" w:sz="4" w:space="0" w:color="auto"/>
            </w:tcBorders>
            <w:vAlign w:val="center"/>
          </w:tcPr>
          <w:p w14:paraId="1854D132" w14:textId="77777777" w:rsidR="00C147BE" w:rsidRPr="00FA4D1E" w:rsidRDefault="00C147BE" w:rsidP="006B4611">
            <w:pPr>
              <w:jc w:val="center"/>
            </w:pPr>
            <w:r w:rsidRPr="00AE64E6">
              <w:rPr>
                <w:rFonts w:cs="Arial"/>
                <w:sz w:val="20"/>
                <w:szCs w:val="20"/>
              </w:rPr>
              <w:t>Range</w:t>
            </w:r>
          </w:p>
        </w:tc>
        <w:tc>
          <w:tcPr>
            <w:tcW w:w="567" w:type="dxa"/>
            <w:tcBorders>
              <w:top w:val="single" w:sz="4" w:space="0" w:color="auto"/>
              <w:bottom w:val="single" w:sz="4" w:space="0" w:color="auto"/>
              <w:right w:val="single" w:sz="4" w:space="0" w:color="auto"/>
            </w:tcBorders>
            <w:vAlign w:val="center"/>
          </w:tcPr>
          <w:p w14:paraId="08EA2F21" w14:textId="77777777" w:rsidR="00C147BE" w:rsidRDefault="00C147BE" w:rsidP="006B4611">
            <w:pPr>
              <w:jc w:val="center"/>
              <w:rPr>
                <w:rFonts w:cs="Arial"/>
                <w:color w:val="000000"/>
                <w:sz w:val="18"/>
                <w:szCs w:val="18"/>
              </w:rPr>
            </w:pPr>
            <w:r>
              <w:rPr>
                <w:rFonts w:cs="Arial"/>
                <w:color w:val="000000"/>
                <w:sz w:val="18"/>
                <w:szCs w:val="18"/>
              </w:rPr>
              <w:t>0-33</w:t>
            </w:r>
          </w:p>
        </w:tc>
        <w:tc>
          <w:tcPr>
            <w:tcW w:w="567" w:type="dxa"/>
            <w:tcBorders>
              <w:top w:val="single" w:sz="4" w:space="0" w:color="auto"/>
              <w:left w:val="single" w:sz="4" w:space="0" w:color="auto"/>
              <w:bottom w:val="single" w:sz="4" w:space="0" w:color="auto"/>
            </w:tcBorders>
            <w:noWrap/>
            <w:vAlign w:val="center"/>
          </w:tcPr>
          <w:p w14:paraId="1B1EAECD" w14:textId="77777777" w:rsidR="00C147BE" w:rsidRPr="00FD61B1" w:rsidRDefault="00C147BE" w:rsidP="006B4611">
            <w:pPr>
              <w:jc w:val="center"/>
              <w:rPr>
                <w:rFonts w:cs="Arial"/>
                <w:color w:val="000000"/>
                <w:sz w:val="18"/>
                <w:szCs w:val="18"/>
              </w:rPr>
            </w:pPr>
            <w:r>
              <w:rPr>
                <w:rFonts w:cs="Arial"/>
                <w:color w:val="000000"/>
                <w:sz w:val="18"/>
                <w:szCs w:val="18"/>
              </w:rPr>
              <w:t>420</w:t>
            </w:r>
          </w:p>
        </w:tc>
        <w:tc>
          <w:tcPr>
            <w:tcW w:w="992" w:type="dxa"/>
            <w:tcBorders>
              <w:top w:val="single" w:sz="4" w:space="0" w:color="auto"/>
              <w:bottom w:val="single" w:sz="4" w:space="0" w:color="auto"/>
              <w:right w:val="single" w:sz="4" w:space="0" w:color="auto"/>
            </w:tcBorders>
            <w:noWrap/>
            <w:vAlign w:val="center"/>
          </w:tcPr>
          <w:p w14:paraId="0324AF97" w14:textId="77777777" w:rsidR="00C147BE" w:rsidRPr="00FD61B1" w:rsidRDefault="00C147BE" w:rsidP="006B4611">
            <w:pPr>
              <w:jc w:val="center"/>
              <w:rPr>
                <w:rFonts w:cs="Arial"/>
                <w:sz w:val="20"/>
                <w:szCs w:val="20"/>
              </w:rPr>
            </w:pPr>
            <w:r>
              <w:rPr>
                <w:rFonts w:cs="Arial"/>
                <w:sz w:val="20"/>
                <w:szCs w:val="20"/>
              </w:rPr>
              <w:t>3.5 (5.4)</w:t>
            </w:r>
          </w:p>
        </w:tc>
        <w:tc>
          <w:tcPr>
            <w:tcW w:w="425" w:type="dxa"/>
            <w:tcBorders>
              <w:top w:val="single" w:sz="4" w:space="0" w:color="auto"/>
              <w:left w:val="single" w:sz="4" w:space="0" w:color="auto"/>
              <w:bottom w:val="single" w:sz="4" w:space="0" w:color="auto"/>
            </w:tcBorders>
            <w:noWrap/>
            <w:vAlign w:val="center"/>
          </w:tcPr>
          <w:p w14:paraId="3170E16A" w14:textId="77777777" w:rsidR="00C147BE" w:rsidRPr="00FD61B1" w:rsidRDefault="00C147BE" w:rsidP="006B4611">
            <w:pPr>
              <w:jc w:val="center"/>
              <w:rPr>
                <w:rFonts w:cs="Arial"/>
                <w:color w:val="000000"/>
                <w:sz w:val="18"/>
                <w:szCs w:val="18"/>
              </w:rPr>
            </w:pPr>
            <w:r>
              <w:rPr>
                <w:rFonts w:cs="Arial"/>
                <w:color w:val="000000"/>
                <w:sz w:val="18"/>
                <w:szCs w:val="18"/>
              </w:rPr>
              <w:t>94</w:t>
            </w:r>
          </w:p>
        </w:tc>
        <w:tc>
          <w:tcPr>
            <w:tcW w:w="1134" w:type="dxa"/>
            <w:tcBorders>
              <w:top w:val="single" w:sz="4" w:space="0" w:color="auto"/>
              <w:bottom w:val="single" w:sz="4" w:space="0" w:color="auto"/>
              <w:right w:val="single" w:sz="4" w:space="0" w:color="auto"/>
            </w:tcBorders>
            <w:noWrap/>
            <w:vAlign w:val="center"/>
          </w:tcPr>
          <w:p w14:paraId="528463C5" w14:textId="77777777" w:rsidR="00C147BE" w:rsidRPr="00FD61B1" w:rsidRDefault="00C147BE" w:rsidP="006B4611">
            <w:pPr>
              <w:jc w:val="center"/>
              <w:rPr>
                <w:rFonts w:cs="Arial"/>
                <w:sz w:val="20"/>
                <w:szCs w:val="20"/>
              </w:rPr>
            </w:pPr>
            <w:r>
              <w:rPr>
                <w:rFonts w:cs="Arial"/>
                <w:sz w:val="20"/>
                <w:szCs w:val="20"/>
              </w:rPr>
              <w:t>4.1 (5.5)</w:t>
            </w:r>
          </w:p>
        </w:tc>
        <w:tc>
          <w:tcPr>
            <w:tcW w:w="533" w:type="dxa"/>
            <w:tcBorders>
              <w:top w:val="single" w:sz="4" w:space="0" w:color="auto"/>
              <w:left w:val="single" w:sz="4" w:space="0" w:color="auto"/>
              <w:bottom w:val="single" w:sz="4" w:space="0" w:color="auto"/>
            </w:tcBorders>
            <w:noWrap/>
            <w:vAlign w:val="center"/>
          </w:tcPr>
          <w:p w14:paraId="3BF45941" w14:textId="77777777" w:rsidR="00C147BE" w:rsidRPr="00FD61B1" w:rsidRDefault="00C147BE" w:rsidP="006B4611">
            <w:pPr>
              <w:jc w:val="center"/>
              <w:rPr>
                <w:rFonts w:cs="Arial"/>
                <w:color w:val="000000"/>
                <w:sz w:val="18"/>
                <w:szCs w:val="18"/>
              </w:rPr>
            </w:pPr>
            <w:r>
              <w:rPr>
                <w:rFonts w:cs="Arial"/>
                <w:color w:val="000000"/>
                <w:sz w:val="18"/>
                <w:szCs w:val="18"/>
              </w:rPr>
              <w:t>156</w:t>
            </w:r>
          </w:p>
        </w:tc>
        <w:tc>
          <w:tcPr>
            <w:tcW w:w="1026" w:type="dxa"/>
            <w:tcBorders>
              <w:top w:val="single" w:sz="4" w:space="0" w:color="auto"/>
              <w:bottom w:val="single" w:sz="4" w:space="0" w:color="auto"/>
              <w:right w:val="single" w:sz="4" w:space="0" w:color="auto"/>
            </w:tcBorders>
            <w:noWrap/>
            <w:vAlign w:val="center"/>
          </w:tcPr>
          <w:p w14:paraId="2810E08A" w14:textId="77777777" w:rsidR="00C147BE" w:rsidRPr="00FD61B1" w:rsidRDefault="00C147BE" w:rsidP="006B4611">
            <w:pPr>
              <w:jc w:val="center"/>
              <w:rPr>
                <w:rFonts w:cs="Arial"/>
                <w:sz w:val="20"/>
                <w:szCs w:val="20"/>
              </w:rPr>
            </w:pPr>
            <w:r>
              <w:rPr>
                <w:rFonts w:cs="Arial"/>
                <w:sz w:val="20"/>
                <w:szCs w:val="20"/>
              </w:rPr>
              <w:t>3.9 (6.2)</w:t>
            </w:r>
          </w:p>
        </w:tc>
        <w:tc>
          <w:tcPr>
            <w:tcW w:w="567" w:type="dxa"/>
            <w:tcBorders>
              <w:top w:val="single" w:sz="4" w:space="0" w:color="auto"/>
              <w:left w:val="single" w:sz="4" w:space="0" w:color="auto"/>
              <w:bottom w:val="single" w:sz="4" w:space="0" w:color="auto"/>
            </w:tcBorders>
            <w:noWrap/>
            <w:vAlign w:val="center"/>
          </w:tcPr>
          <w:p w14:paraId="2A82E460" w14:textId="77777777" w:rsidR="00C147BE" w:rsidRPr="00FD61B1" w:rsidRDefault="00C147BE" w:rsidP="006B4611">
            <w:pPr>
              <w:jc w:val="center"/>
              <w:rPr>
                <w:rFonts w:cs="Arial"/>
                <w:color w:val="000000"/>
                <w:sz w:val="18"/>
                <w:szCs w:val="18"/>
              </w:rPr>
            </w:pPr>
            <w:r>
              <w:rPr>
                <w:rFonts w:cs="Arial"/>
                <w:color w:val="000000"/>
                <w:sz w:val="18"/>
                <w:szCs w:val="18"/>
              </w:rPr>
              <w:t>170</w:t>
            </w:r>
          </w:p>
        </w:tc>
        <w:tc>
          <w:tcPr>
            <w:tcW w:w="993" w:type="dxa"/>
            <w:tcBorders>
              <w:top w:val="single" w:sz="4" w:space="0" w:color="auto"/>
              <w:bottom w:val="single" w:sz="4" w:space="0" w:color="auto"/>
              <w:right w:val="single" w:sz="4" w:space="0" w:color="auto"/>
            </w:tcBorders>
            <w:noWrap/>
            <w:vAlign w:val="center"/>
          </w:tcPr>
          <w:p w14:paraId="7A801355" w14:textId="77777777" w:rsidR="00C147BE" w:rsidRPr="00FD61B1" w:rsidRDefault="00C147BE" w:rsidP="006B4611">
            <w:pPr>
              <w:jc w:val="center"/>
              <w:rPr>
                <w:rFonts w:cs="Arial"/>
                <w:sz w:val="20"/>
                <w:szCs w:val="20"/>
              </w:rPr>
            </w:pPr>
            <w:r>
              <w:rPr>
                <w:rFonts w:cs="Arial"/>
                <w:sz w:val="20"/>
                <w:szCs w:val="20"/>
              </w:rPr>
              <w:t>2.8 (4.6)</w:t>
            </w:r>
          </w:p>
        </w:tc>
        <w:tc>
          <w:tcPr>
            <w:tcW w:w="1559" w:type="dxa"/>
            <w:tcBorders>
              <w:top w:val="single" w:sz="4" w:space="0" w:color="auto"/>
              <w:left w:val="single" w:sz="4" w:space="0" w:color="auto"/>
              <w:bottom w:val="single" w:sz="4" w:space="0" w:color="auto"/>
            </w:tcBorders>
            <w:vAlign w:val="center"/>
          </w:tcPr>
          <w:p w14:paraId="1E72A9A1" w14:textId="77777777" w:rsidR="00C147BE" w:rsidRDefault="00C147BE" w:rsidP="006B4611">
            <w:pPr>
              <w:jc w:val="center"/>
              <w:rPr>
                <w:rFonts w:cs="Arial"/>
                <w:sz w:val="20"/>
                <w:szCs w:val="20"/>
              </w:rPr>
            </w:pPr>
          </w:p>
        </w:tc>
      </w:tr>
      <w:tr w:rsidR="00C147BE" w:rsidRPr="00FA4D1E" w14:paraId="60B3FD14" w14:textId="77777777" w:rsidTr="00F6290C">
        <w:trPr>
          <w:trHeight w:val="480"/>
        </w:trPr>
        <w:tc>
          <w:tcPr>
            <w:tcW w:w="1135" w:type="dxa"/>
            <w:tcBorders>
              <w:top w:val="single" w:sz="4" w:space="0" w:color="auto"/>
              <w:bottom w:val="single" w:sz="4" w:space="0" w:color="auto"/>
              <w:right w:val="single" w:sz="4" w:space="0" w:color="auto"/>
            </w:tcBorders>
            <w:vAlign w:val="center"/>
          </w:tcPr>
          <w:p w14:paraId="16035E25" w14:textId="77777777" w:rsidR="00C147BE" w:rsidRPr="00987B39" w:rsidRDefault="00C147BE" w:rsidP="006B4611">
            <w:pPr>
              <w:jc w:val="center"/>
              <w:rPr>
                <w:rFonts w:cs="Arial"/>
                <w:b/>
                <w:color w:val="000000"/>
                <w:sz w:val="18"/>
                <w:szCs w:val="18"/>
              </w:rPr>
            </w:pPr>
            <w:r w:rsidRPr="00987B39">
              <w:rPr>
                <w:rFonts w:cs="Arial"/>
                <w:b/>
                <w:color w:val="000000"/>
                <w:sz w:val="18"/>
                <w:szCs w:val="18"/>
              </w:rPr>
              <w:t>Total Cancer Worry</w:t>
            </w:r>
          </w:p>
        </w:tc>
        <w:tc>
          <w:tcPr>
            <w:tcW w:w="1027" w:type="dxa"/>
            <w:tcBorders>
              <w:top w:val="single" w:sz="4" w:space="0" w:color="auto"/>
              <w:bottom w:val="single" w:sz="4" w:space="0" w:color="auto"/>
            </w:tcBorders>
            <w:vAlign w:val="center"/>
          </w:tcPr>
          <w:p w14:paraId="1A3F70E9" w14:textId="77777777" w:rsidR="00C147BE" w:rsidRPr="00FD61B1" w:rsidRDefault="00C147BE" w:rsidP="006B4611">
            <w:pPr>
              <w:jc w:val="center"/>
              <w:rPr>
                <w:rFonts w:cs="Arial"/>
                <w:color w:val="000000"/>
                <w:sz w:val="18"/>
                <w:szCs w:val="18"/>
              </w:rPr>
            </w:pPr>
            <w:r w:rsidRPr="00AE64E6">
              <w:rPr>
                <w:rFonts w:cs="Arial"/>
                <w:sz w:val="20"/>
                <w:szCs w:val="20"/>
              </w:rPr>
              <w:t>Range</w:t>
            </w:r>
          </w:p>
        </w:tc>
        <w:tc>
          <w:tcPr>
            <w:tcW w:w="567" w:type="dxa"/>
            <w:tcBorders>
              <w:top w:val="single" w:sz="4" w:space="0" w:color="auto"/>
              <w:bottom w:val="single" w:sz="4" w:space="0" w:color="auto"/>
              <w:right w:val="single" w:sz="4" w:space="0" w:color="auto"/>
            </w:tcBorders>
            <w:vAlign w:val="center"/>
          </w:tcPr>
          <w:p w14:paraId="0EDB485B" w14:textId="77777777" w:rsidR="00C147BE" w:rsidRPr="00FD61B1" w:rsidRDefault="00C147BE" w:rsidP="006B4611">
            <w:pPr>
              <w:jc w:val="center"/>
              <w:rPr>
                <w:rFonts w:cs="Arial"/>
                <w:color w:val="000000"/>
                <w:sz w:val="18"/>
                <w:szCs w:val="18"/>
              </w:rPr>
            </w:pPr>
            <w:r>
              <w:rPr>
                <w:rFonts w:cs="Arial"/>
                <w:color w:val="000000"/>
                <w:sz w:val="18"/>
                <w:szCs w:val="18"/>
              </w:rPr>
              <w:t>4-24</w:t>
            </w:r>
          </w:p>
        </w:tc>
        <w:tc>
          <w:tcPr>
            <w:tcW w:w="567" w:type="dxa"/>
            <w:tcBorders>
              <w:top w:val="single" w:sz="4" w:space="0" w:color="auto"/>
              <w:left w:val="single" w:sz="4" w:space="0" w:color="auto"/>
              <w:bottom w:val="single" w:sz="4" w:space="0" w:color="auto"/>
            </w:tcBorders>
            <w:noWrap/>
            <w:vAlign w:val="center"/>
          </w:tcPr>
          <w:p w14:paraId="0D7376E5" w14:textId="77777777" w:rsidR="00C147BE" w:rsidRPr="00FD61B1" w:rsidRDefault="00C147BE" w:rsidP="006B4611">
            <w:pPr>
              <w:jc w:val="center"/>
              <w:rPr>
                <w:rFonts w:cs="Arial"/>
                <w:color w:val="000000"/>
                <w:sz w:val="18"/>
                <w:szCs w:val="18"/>
              </w:rPr>
            </w:pPr>
            <w:r>
              <w:rPr>
                <w:rFonts w:cs="Arial"/>
                <w:color w:val="000000"/>
                <w:sz w:val="18"/>
                <w:szCs w:val="18"/>
              </w:rPr>
              <w:t>430</w:t>
            </w:r>
          </w:p>
        </w:tc>
        <w:tc>
          <w:tcPr>
            <w:tcW w:w="992" w:type="dxa"/>
            <w:tcBorders>
              <w:top w:val="single" w:sz="4" w:space="0" w:color="auto"/>
              <w:bottom w:val="single" w:sz="4" w:space="0" w:color="auto"/>
              <w:right w:val="single" w:sz="4" w:space="0" w:color="auto"/>
            </w:tcBorders>
            <w:noWrap/>
            <w:vAlign w:val="center"/>
          </w:tcPr>
          <w:p w14:paraId="21A4ECA3" w14:textId="77777777" w:rsidR="00C147BE" w:rsidRPr="00FD61B1" w:rsidRDefault="00C147BE" w:rsidP="006B4611">
            <w:pPr>
              <w:jc w:val="center"/>
              <w:rPr>
                <w:rFonts w:cs="Arial"/>
                <w:sz w:val="20"/>
                <w:szCs w:val="20"/>
              </w:rPr>
            </w:pPr>
            <w:r>
              <w:rPr>
                <w:rFonts w:cs="Arial"/>
                <w:sz w:val="20"/>
                <w:szCs w:val="20"/>
              </w:rPr>
              <w:t>9.5 (2.5)</w:t>
            </w:r>
          </w:p>
        </w:tc>
        <w:tc>
          <w:tcPr>
            <w:tcW w:w="425" w:type="dxa"/>
            <w:tcBorders>
              <w:top w:val="single" w:sz="4" w:space="0" w:color="auto"/>
              <w:left w:val="single" w:sz="4" w:space="0" w:color="auto"/>
              <w:bottom w:val="single" w:sz="4" w:space="0" w:color="auto"/>
            </w:tcBorders>
            <w:noWrap/>
            <w:vAlign w:val="center"/>
          </w:tcPr>
          <w:p w14:paraId="4F16DA98" w14:textId="77777777" w:rsidR="00C147BE" w:rsidRPr="00FD61B1" w:rsidRDefault="00C147BE" w:rsidP="006B4611">
            <w:pPr>
              <w:jc w:val="center"/>
              <w:rPr>
                <w:rFonts w:cs="Arial"/>
                <w:color w:val="000000"/>
                <w:sz w:val="18"/>
                <w:szCs w:val="18"/>
              </w:rPr>
            </w:pPr>
            <w:r>
              <w:rPr>
                <w:rFonts w:cs="Arial"/>
                <w:color w:val="000000"/>
                <w:sz w:val="18"/>
                <w:szCs w:val="18"/>
              </w:rPr>
              <w:t>97</w:t>
            </w:r>
          </w:p>
        </w:tc>
        <w:tc>
          <w:tcPr>
            <w:tcW w:w="1134" w:type="dxa"/>
            <w:tcBorders>
              <w:top w:val="single" w:sz="4" w:space="0" w:color="auto"/>
              <w:bottom w:val="single" w:sz="4" w:space="0" w:color="auto"/>
              <w:right w:val="single" w:sz="4" w:space="0" w:color="auto"/>
            </w:tcBorders>
            <w:noWrap/>
            <w:vAlign w:val="center"/>
          </w:tcPr>
          <w:p w14:paraId="3ACCC798" w14:textId="66478CF9" w:rsidR="00C147BE" w:rsidRPr="00FD61B1" w:rsidRDefault="00C147BE" w:rsidP="006B4611">
            <w:pPr>
              <w:jc w:val="center"/>
              <w:rPr>
                <w:rFonts w:cs="Arial"/>
                <w:sz w:val="20"/>
                <w:szCs w:val="20"/>
              </w:rPr>
            </w:pPr>
            <w:r w:rsidRPr="00376B83">
              <w:rPr>
                <w:rFonts w:cs="Arial"/>
                <w:b/>
                <w:sz w:val="20"/>
                <w:szCs w:val="20"/>
              </w:rPr>
              <w:t>9.7</w:t>
            </w:r>
            <w:r w:rsidR="006471FF">
              <w:rPr>
                <w:sz w:val="20"/>
              </w:rPr>
              <w:t>†</w:t>
            </w:r>
            <w:r>
              <w:rPr>
                <w:rFonts w:cs="Arial"/>
                <w:sz w:val="20"/>
                <w:szCs w:val="20"/>
              </w:rPr>
              <w:t xml:space="preserve"> (2.7)</w:t>
            </w:r>
          </w:p>
        </w:tc>
        <w:tc>
          <w:tcPr>
            <w:tcW w:w="533" w:type="dxa"/>
            <w:tcBorders>
              <w:top w:val="single" w:sz="4" w:space="0" w:color="auto"/>
              <w:left w:val="single" w:sz="4" w:space="0" w:color="auto"/>
              <w:bottom w:val="single" w:sz="4" w:space="0" w:color="auto"/>
            </w:tcBorders>
            <w:noWrap/>
            <w:vAlign w:val="center"/>
          </w:tcPr>
          <w:p w14:paraId="5D11EBE8" w14:textId="77777777" w:rsidR="00C147BE" w:rsidRPr="00FD61B1" w:rsidRDefault="00C147BE" w:rsidP="006B4611">
            <w:pPr>
              <w:jc w:val="center"/>
              <w:rPr>
                <w:rFonts w:cs="Arial"/>
                <w:color w:val="000000"/>
                <w:sz w:val="18"/>
                <w:szCs w:val="18"/>
              </w:rPr>
            </w:pPr>
            <w:r>
              <w:rPr>
                <w:rFonts w:cs="Arial"/>
                <w:color w:val="000000"/>
                <w:sz w:val="18"/>
                <w:szCs w:val="18"/>
              </w:rPr>
              <w:t>160</w:t>
            </w:r>
          </w:p>
        </w:tc>
        <w:tc>
          <w:tcPr>
            <w:tcW w:w="1026" w:type="dxa"/>
            <w:tcBorders>
              <w:top w:val="single" w:sz="4" w:space="0" w:color="auto"/>
              <w:bottom w:val="single" w:sz="4" w:space="0" w:color="auto"/>
              <w:right w:val="single" w:sz="4" w:space="0" w:color="auto"/>
            </w:tcBorders>
            <w:noWrap/>
            <w:vAlign w:val="center"/>
          </w:tcPr>
          <w:p w14:paraId="13940D62" w14:textId="08210938" w:rsidR="00C147BE" w:rsidRPr="00FD61B1" w:rsidRDefault="00C147BE" w:rsidP="006B4611">
            <w:pPr>
              <w:jc w:val="center"/>
              <w:rPr>
                <w:rFonts w:cs="Arial"/>
                <w:sz w:val="20"/>
                <w:szCs w:val="20"/>
              </w:rPr>
            </w:pPr>
            <w:r w:rsidRPr="00376B83">
              <w:rPr>
                <w:rFonts w:cs="Arial"/>
                <w:b/>
                <w:sz w:val="20"/>
                <w:szCs w:val="20"/>
              </w:rPr>
              <w:t>9.9</w:t>
            </w:r>
            <w:r w:rsidR="006471FF">
              <w:rPr>
                <w:sz w:val="20"/>
              </w:rPr>
              <w:t>†</w:t>
            </w:r>
            <w:r>
              <w:rPr>
                <w:rFonts w:cs="Arial"/>
                <w:sz w:val="20"/>
                <w:szCs w:val="20"/>
              </w:rPr>
              <w:t>(2.7)</w:t>
            </w:r>
          </w:p>
        </w:tc>
        <w:tc>
          <w:tcPr>
            <w:tcW w:w="567" w:type="dxa"/>
            <w:tcBorders>
              <w:top w:val="single" w:sz="4" w:space="0" w:color="auto"/>
              <w:left w:val="single" w:sz="4" w:space="0" w:color="auto"/>
              <w:bottom w:val="single" w:sz="4" w:space="0" w:color="auto"/>
            </w:tcBorders>
            <w:noWrap/>
            <w:vAlign w:val="center"/>
          </w:tcPr>
          <w:p w14:paraId="31D223DF" w14:textId="77777777" w:rsidR="00C147BE" w:rsidRPr="00FD61B1" w:rsidRDefault="00C147BE" w:rsidP="006B4611">
            <w:pPr>
              <w:jc w:val="center"/>
              <w:rPr>
                <w:rFonts w:cs="Arial"/>
                <w:color w:val="000000"/>
                <w:sz w:val="18"/>
                <w:szCs w:val="18"/>
              </w:rPr>
            </w:pPr>
            <w:r w:rsidRPr="00FD61B1">
              <w:rPr>
                <w:rFonts w:cs="Arial"/>
                <w:color w:val="000000"/>
                <w:sz w:val="18"/>
                <w:szCs w:val="18"/>
              </w:rPr>
              <w:t>1</w:t>
            </w:r>
            <w:r>
              <w:rPr>
                <w:rFonts w:cs="Arial"/>
                <w:color w:val="000000"/>
                <w:sz w:val="18"/>
                <w:szCs w:val="18"/>
              </w:rPr>
              <w:t>73</w:t>
            </w:r>
          </w:p>
        </w:tc>
        <w:tc>
          <w:tcPr>
            <w:tcW w:w="993" w:type="dxa"/>
            <w:tcBorders>
              <w:top w:val="single" w:sz="4" w:space="0" w:color="auto"/>
              <w:bottom w:val="single" w:sz="4" w:space="0" w:color="auto"/>
              <w:right w:val="single" w:sz="4" w:space="0" w:color="auto"/>
            </w:tcBorders>
            <w:noWrap/>
            <w:vAlign w:val="center"/>
          </w:tcPr>
          <w:p w14:paraId="65B6EF7C" w14:textId="766B5373" w:rsidR="00C147BE" w:rsidRPr="00FD61B1" w:rsidRDefault="00C147BE" w:rsidP="006B4611">
            <w:pPr>
              <w:jc w:val="center"/>
              <w:rPr>
                <w:rFonts w:cs="Arial"/>
                <w:sz w:val="20"/>
                <w:szCs w:val="20"/>
              </w:rPr>
            </w:pPr>
            <w:r w:rsidRPr="00376B83">
              <w:rPr>
                <w:rFonts w:cs="Arial"/>
                <w:b/>
                <w:sz w:val="20"/>
                <w:szCs w:val="20"/>
              </w:rPr>
              <w:t>9.1</w:t>
            </w:r>
            <w:r w:rsidR="006471FF">
              <w:rPr>
                <w:sz w:val="20"/>
              </w:rPr>
              <w:t>†</w:t>
            </w:r>
            <w:r w:rsidRPr="00FD61B1">
              <w:rPr>
                <w:rFonts w:cs="Arial"/>
                <w:sz w:val="20"/>
                <w:szCs w:val="20"/>
              </w:rPr>
              <w:t xml:space="preserve"> (2.</w:t>
            </w:r>
            <w:r>
              <w:rPr>
                <w:rFonts w:cs="Arial"/>
                <w:sz w:val="20"/>
                <w:szCs w:val="20"/>
              </w:rPr>
              <w:t>0</w:t>
            </w:r>
            <w:r w:rsidRPr="00FD61B1">
              <w:rPr>
                <w:rFonts w:cs="Arial"/>
                <w:sz w:val="20"/>
                <w:szCs w:val="20"/>
              </w:rPr>
              <w:t>)</w:t>
            </w:r>
          </w:p>
        </w:tc>
        <w:tc>
          <w:tcPr>
            <w:tcW w:w="1559" w:type="dxa"/>
            <w:tcBorders>
              <w:top w:val="single" w:sz="4" w:space="0" w:color="auto"/>
              <w:left w:val="single" w:sz="4" w:space="0" w:color="auto"/>
              <w:bottom w:val="single" w:sz="4" w:space="0" w:color="auto"/>
            </w:tcBorders>
            <w:vAlign w:val="center"/>
          </w:tcPr>
          <w:p w14:paraId="360E6135" w14:textId="77777777" w:rsidR="00C147BE" w:rsidRDefault="00C147BE" w:rsidP="006B4611">
            <w:pPr>
              <w:jc w:val="center"/>
              <w:rPr>
                <w:rFonts w:cs="Arial"/>
                <w:sz w:val="20"/>
                <w:szCs w:val="20"/>
              </w:rPr>
            </w:pPr>
            <w:r>
              <w:rPr>
                <w:rFonts w:cs="Arial"/>
                <w:sz w:val="20"/>
                <w:szCs w:val="20"/>
              </w:rPr>
              <w:t>-0.09; 0.25; 0.36</w:t>
            </w:r>
          </w:p>
        </w:tc>
      </w:tr>
      <w:tr w:rsidR="00C67637" w:rsidRPr="00FA4D1E" w14:paraId="3F2F31D4" w14:textId="77777777" w:rsidTr="00F6290C">
        <w:trPr>
          <w:trHeight w:val="437"/>
        </w:trPr>
        <w:tc>
          <w:tcPr>
            <w:tcW w:w="1135" w:type="dxa"/>
            <w:vMerge w:val="restart"/>
            <w:tcBorders>
              <w:top w:val="single" w:sz="4" w:space="0" w:color="auto"/>
              <w:right w:val="single" w:sz="4" w:space="0" w:color="auto"/>
            </w:tcBorders>
            <w:vAlign w:val="center"/>
          </w:tcPr>
          <w:p w14:paraId="7400C566" w14:textId="77777777" w:rsidR="00C67637" w:rsidRPr="00F6290C" w:rsidRDefault="00C67637" w:rsidP="007113A3">
            <w:pPr>
              <w:jc w:val="center"/>
              <w:rPr>
                <w:rFonts w:cs="Arial"/>
                <w:b/>
                <w:color w:val="000000"/>
                <w:sz w:val="18"/>
                <w:szCs w:val="18"/>
              </w:rPr>
            </w:pPr>
            <w:r w:rsidRPr="00F6290C">
              <w:rPr>
                <w:rFonts w:cs="Arial"/>
                <w:b/>
                <w:color w:val="000000"/>
                <w:sz w:val="18"/>
                <w:szCs w:val="18"/>
              </w:rPr>
              <w:t>Risk Perception</w:t>
            </w:r>
          </w:p>
        </w:tc>
        <w:tc>
          <w:tcPr>
            <w:tcW w:w="1594" w:type="dxa"/>
            <w:gridSpan w:val="2"/>
            <w:tcBorders>
              <w:top w:val="single" w:sz="4" w:space="0" w:color="auto"/>
              <w:bottom w:val="nil"/>
              <w:right w:val="single" w:sz="4" w:space="0" w:color="auto"/>
            </w:tcBorders>
            <w:vAlign w:val="center"/>
          </w:tcPr>
          <w:p w14:paraId="46FA1669" w14:textId="5D9CB0CF" w:rsidR="00C67637" w:rsidRPr="00F6290C" w:rsidRDefault="00C67637" w:rsidP="007113A3">
            <w:pPr>
              <w:jc w:val="center"/>
              <w:rPr>
                <w:rFonts w:cs="Arial"/>
                <w:color w:val="000000"/>
                <w:sz w:val="18"/>
                <w:szCs w:val="18"/>
              </w:rPr>
            </w:pPr>
          </w:p>
        </w:tc>
        <w:tc>
          <w:tcPr>
            <w:tcW w:w="567" w:type="dxa"/>
            <w:tcBorders>
              <w:top w:val="single" w:sz="4" w:space="0" w:color="auto"/>
              <w:left w:val="single" w:sz="4" w:space="0" w:color="auto"/>
              <w:bottom w:val="nil"/>
            </w:tcBorders>
            <w:noWrap/>
            <w:vAlign w:val="center"/>
          </w:tcPr>
          <w:p w14:paraId="033AA6CB" w14:textId="39D24A08" w:rsidR="00C67637" w:rsidRPr="00C147BE" w:rsidRDefault="00C67637" w:rsidP="007113A3">
            <w:pPr>
              <w:jc w:val="center"/>
              <w:rPr>
                <w:rFonts w:cs="Arial"/>
                <w:color w:val="000000"/>
                <w:sz w:val="18"/>
                <w:szCs w:val="18"/>
                <w:highlight w:val="yellow"/>
              </w:rPr>
            </w:pPr>
            <w:r w:rsidRPr="007113A3">
              <w:rPr>
                <w:rFonts w:cs="Arial"/>
                <w:color w:val="000000"/>
                <w:sz w:val="18"/>
                <w:szCs w:val="18"/>
              </w:rPr>
              <w:t>423</w:t>
            </w:r>
          </w:p>
        </w:tc>
        <w:tc>
          <w:tcPr>
            <w:tcW w:w="992" w:type="dxa"/>
            <w:tcBorders>
              <w:top w:val="single" w:sz="4" w:space="0" w:color="auto"/>
              <w:bottom w:val="nil"/>
              <w:right w:val="single" w:sz="4" w:space="0" w:color="auto"/>
            </w:tcBorders>
            <w:noWrap/>
            <w:vAlign w:val="center"/>
          </w:tcPr>
          <w:p w14:paraId="7C1D7BC1" w14:textId="289398CF" w:rsidR="00C67637" w:rsidRPr="00C67637" w:rsidRDefault="00C67637" w:rsidP="007113A3">
            <w:pPr>
              <w:jc w:val="center"/>
              <w:rPr>
                <w:rFonts w:cs="Arial"/>
                <w:sz w:val="20"/>
                <w:szCs w:val="20"/>
              </w:rPr>
            </w:pPr>
            <w:r w:rsidRPr="00C67637">
              <w:rPr>
                <w:rFonts w:cs="Arial"/>
                <w:sz w:val="20"/>
                <w:szCs w:val="20"/>
              </w:rPr>
              <w:t>N</w:t>
            </w:r>
            <w:r>
              <w:rPr>
                <w:rFonts w:cs="Arial"/>
                <w:sz w:val="20"/>
                <w:szCs w:val="20"/>
              </w:rPr>
              <w:t>/</w:t>
            </w:r>
            <w:r w:rsidRPr="00C67637">
              <w:rPr>
                <w:rFonts w:cs="Arial"/>
                <w:sz w:val="20"/>
                <w:szCs w:val="20"/>
              </w:rPr>
              <w:t>A</w:t>
            </w:r>
          </w:p>
        </w:tc>
        <w:tc>
          <w:tcPr>
            <w:tcW w:w="425" w:type="dxa"/>
            <w:tcBorders>
              <w:top w:val="single" w:sz="4" w:space="0" w:color="auto"/>
              <w:left w:val="single" w:sz="4" w:space="0" w:color="auto"/>
              <w:bottom w:val="nil"/>
            </w:tcBorders>
            <w:noWrap/>
            <w:vAlign w:val="center"/>
          </w:tcPr>
          <w:p w14:paraId="12219C4C" w14:textId="5FA4DFC2" w:rsidR="00C67637" w:rsidRPr="00C67637" w:rsidRDefault="00C67637" w:rsidP="007113A3">
            <w:pPr>
              <w:jc w:val="center"/>
              <w:rPr>
                <w:rFonts w:cs="Arial"/>
                <w:color w:val="000000"/>
                <w:sz w:val="18"/>
                <w:szCs w:val="18"/>
              </w:rPr>
            </w:pPr>
            <w:r w:rsidRPr="00C67637">
              <w:rPr>
                <w:rFonts w:cs="Arial"/>
                <w:color w:val="000000"/>
                <w:sz w:val="18"/>
                <w:szCs w:val="18"/>
              </w:rPr>
              <w:t>91</w:t>
            </w:r>
          </w:p>
        </w:tc>
        <w:tc>
          <w:tcPr>
            <w:tcW w:w="1134" w:type="dxa"/>
            <w:tcBorders>
              <w:top w:val="single" w:sz="4" w:space="0" w:color="auto"/>
              <w:bottom w:val="nil"/>
              <w:right w:val="single" w:sz="4" w:space="0" w:color="auto"/>
            </w:tcBorders>
            <w:noWrap/>
            <w:vAlign w:val="center"/>
          </w:tcPr>
          <w:p w14:paraId="2E75B97F" w14:textId="415A073B" w:rsidR="00C67637" w:rsidRPr="00C67637" w:rsidRDefault="00C67637" w:rsidP="007113A3">
            <w:pPr>
              <w:jc w:val="center"/>
              <w:rPr>
                <w:rFonts w:cs="Arial"/>
                <w:sz w:val="20"/>
                <w:szCs w:val="20"/>
              </w:rPr>
            </w:pPr>
            <w:r w:rsidRPr="00F6290C">
              <w:rPr>
                <w:rFonts w:cs="Arial"/>
                <w:sz w:val="20"/>
                <w:szCs w:val="20"/>
              </w:rPr>
              <w:t>N</w:t>
            </w:r>
            <w:r>
              <w:rPr>
                <w:rFonts w:cs="Arial"/>
                <w:sz w:val="20"/>
                <w:szCs w:val="20"/>
              </w:rPr>
              <w:t>/</w:t>
            </w:r>
            <w:r w:rsidRPr="00F6290C">
              <w:rPr>
                <w:rFonts w:cs="Arial"/>
                <w:sz w:val="20"/>
                <w:szCs w:val="20"/>
              </w:rPr>
              <w:t>A</w:t>
            </w:r>
          </w:p>
        </w:tc>
        <w:tc>
          <w:tcPr>
            <w:tcW w:w="533" w:type="dxa"/>
            <w:tcBorders>
              <w:top w:val="single" w:sz="4" w:space="0" w:color="auto"/>
              <w:left w:val="single" w:sz="4" w:space="0" w:color="auto"/>
              <w:bottom w:val="nil"/>
            </w:tcBorders>
            <w:noWrap/>
            <w:vAlign w:val="center"/>
          </w:tcPr>
          <w:p w14:paraId="755A0537" w14:textId="675A469A" w:rsidR="00C67637" w:rsidRPr="00C67637" w:rsidRDefault="00C67637" w:rsidP="007113A3">
            <w:pPr>
              <w:jc w:val="center"/>
              <w:rPr>
                <w:rFonts w:cs="Arial"/>
                <w:color w:val="000000"/>
                <w:sz w:val="18"/>
                <w:szCs w:val="18"/>
              </w:rPr>
            </w:pPr>
            <w:r w:rsidRPr="00C67637">
              <w:rPr>
                <w:rFonts w:cs="Arial"/>
                <w:color w:val="000000"/>
                <w:sz w:val="18"/>
                <w:szCs w:val="18"/>
              </w:rPr>
              <w:t>156</w:t>
            </w:r>
          </w:p>
        </w:tc>
        <w:tc>
          <w:tcPr>
            <w:tcW w:w="1026" w:type="dxa"/>
            <w:tcBorders>
              <w:top w:val="single" w:sz="4" w:space="0" w:color="auto"/>
              <w:bottom w:val="nil"/>
              <w:right w:val="single" w:sz="4" w:space="0" w:color="auto"/>
            </w:tcBorders>
            <w:noWrap/>
            <w:vAlign w:val="center"/>
          </w:tcPr>
          <w:p w14:paraId="19870525" w14:textId="35D43E99" w:rsidR="00C67637" w:rsidRPr="00C67637" w:rsidRDefault="00C67637" w:rsidP="007113A3">
            <w:pPr>
              <w:jc w:val="center"/>
              <w:rPr>
                <w:rFonts w:cs="Arial"/>
                <w:sz w:val="20"/>
                <w:szCs w:val="20"/>
              </w:rPr>
            </w:pPr>
            <w:r w:rsidRPr="00F6290C">
              <w:rPr>
                <w:rFonts w:cs="Arial"/>
                <w:sz w:val="20"/>
                <w:szCs w:val="20"/>
              </w:rPr>
              <w:t>N</w:t>
            </w:r>
            <w:r>
              <w:rPr>
                <w:rFonts w:cs="Arial"/>
                <w:sz w:val="20"/>
                <w:szCs w:val="20"/>
              </w:rPr>
              <w:t>/</w:t>
            </w:r>
            <w:r w:rsidRPr="00F6290C">
              <w:rPr>
                <w:rFonts w:cs="Arial"/>
                <w:sz w:val="20"/>
                <w:szCs w:val="20"/>
              </w:rPr>
              <w:t>A</w:t>
            </w:r>
          </w:p>
        </w:tc>
        <w:tc>
          <w:tcPr>
            <w:tcW w:w="567" w:type="dxa"/>
            <w:tcBorders>
              <w:top w:val="single" w:sz="4" w:space="0" w:color="auto"/>
              <w:left w:val="single" w:sz="4" w:space="0" w:color="auto"/>
              <w:bottom w:val="nil"/>
            </w:tcBorders>
            <w:noWrap/>
            <w:vAlign w:val="center"/>
          </w:tcPr>
          <w:p w14:paraId="6BDD2126" w14:textId="52E954B3" w:rsidR="00C67637" w:rsidRPr="00C67637" w:rsidRDefault="00C67637" w:rsidP="007113A3">
            <w:pPr>
              <w:jc w:val="center"/>
              <w:rPr>
                <w:rFonts w:cs="Arial"/>
                <w:color w:val="000000"/>
                <w:sz w:val="18"/>
                <w:szCs w:val="18"/>
              </w:rPr>
            </w:pPr>
            <w:r w:rsidRPr="00C67637">
              <w:rPr>
                <w:rFonts w:cs="Arial"/>
                <w:color w:val="000000"/>
                <w:sz w:val="18"/>
                <w:szCs w:val="18"/>
              </w:rPr>
              <w:t>171</w:t>
            </w:r>
          </w:p>
        </w:tc>
        <w:tc>
          <w:tcPr>
            <w:tcW w:w="993" w:type="dxa"/>
            <w:tcBorders>
              <w:top w:val="single" w:sz="4" w:space="0" w:color="auto"/>
              <w:bottom w:val="nil"/>
              <w:right w:val="single" w:sz="4" w:space="0" w:color="auto"/>
            </w:tcBorders>
            <w:noWrap/>
            <w:vAlign w:val="center"/>
          </w:tcPr>
          <w:p w14:paraId="1D4D9E4D" w14:textId="2A723718" w:rsidR="00C67637" w:rsidRPr="00C67637" w:rsidRDefault="00C67637" w:rsidP="007113A3">
            <w:pPr>
              <w:jc w:val="center"/>
              <w:rPr>
                <w:rFonts w:cs="Arial"/>
                <w:sz w:val="20"/>
                <w:szCs w:val="20"/>
              </w:rPr>
            </w:pPr>
            <w:r w:rsidRPr="00F6290C">
              <w:rPr>
                <w:rFonts w:cs="Arial"/>
                <w:sz w:val="20"/>
                <w:szCs w:val="20"/>
              </w:rPr>
              <w:t>N</w:t>
            </w:r>
            <w:r>
              <w:rPr>
                <w:rFonts w:cs="Arial"/>
                <w:sz w:val="20"/>
                <w:szCs w:val="20"/>
              </w:rPr>
              <w:t>/</w:t>
            </w:r>
            <w:r w:rsidRPr="00F6290C">
              <w:rPr>
                <w:rFonts w:cs="Arial"/>
                <w:sz w:val="20"/>
                <w:szCs w:val="20"/>
              </w:rPr>
              <w:t>A</w:t>
            </w:r>
          </w:p>
        </w:tc>
        <w:tc>
          <w:tcPr>
            <w:tcW w:w="1559" w:type="dxa"/>
            <w:tcBorders>
              <w:top w:val="single" w:sz="4" w:space="0" w:color="auto"/>
              <w:left w:val="single" w:sz="4" w:space="0" w:color="auto"/>
              <w:bottom w:val="nil"/>
            </w:tcBorders>
            <w:vAlign w:val="center"/>
          </w:tcPr>
          <w:p w14:paraId="45BEAE3D" w14:textId="77777777" w:rsidR="00C67637" w:rsidRPr="00FD61B1" w:rsidRDefault="00C67637" w:rsidP="007113A3">
            <w:pPr>
              <w:jc w:val="center"/>
              <w:rPr>
                <w:rFonts w:cs="Arial"/>
                <w:sz w:val="20"/>
                <w:szCs w:val="20"/>
              </w:rPr>
            </w:pPr>
          </w:p>
        </w:tc>
      </w:tr>
      <w:tr w:rsidR="00C67637" w:rsidRPr="00FA4D1E" w14:paraId="28E36C6C" w14:textId="77777777" w:rsidTr="00F6290C">
        <w:trPr>
          <w:trHeight w:val="720"/>
        </w:trPr>
        <w:tc>
          <w:tcPr>
            <w:tcW w:w="1135" w:type="dxa"/>
            <w:vMerge/>
            <w:tcBorders>
              <w:bottom w:val="single" w:sz="4" w:space="0" w:color="auto"/>
              <w:right w:val="single" w:sz="4" w:space="0" w:color="auto"/>
            </w:tcBorders>
            <w:vAlign w:val="center"/>
          </w:tcPr>
          <w:p w14:paraId="2E83EE2B" w14:textId="77777777" w:rsidR="00C67637" w:rsidRPr="00F6290C" w:rsidRDefault="00C67637" w:rsidP="007113A3">
            <w:pPr>
              <w:jc w:val="center"/>
              <w:rPr>
                <w:rFonts w:cs="Arial"/>
                <w:b/>
                <w:color w:val="000000"/>
                <w:sz w:val="18"/>
                <w:szCs w:val="18"/>
              </w:rPr>
            </w:pPr>
          </w:p>
        </w:tc>
        <w:tc>
          <w:tcPr>
            <w:tcW w:w="1594" w:type="dxa"/>
            <w:gridSpan w:val="2"/>
            <w:tcBorders>
              <w:top w:val="nil"/>
              <w:bottom w:val="single" w:sz="4" w:space="0" w:color="auto"/>
              <w:right w:val="single" w:sz="4" w:space="0" w:color="auto"/>
            </w:tcBorders>
            <w:vAlign w:val="center"/>
          </w:tcPr>
          <w:p w14:paraId="1654C669" w14:textId="28751484" w:rsidR="00C67637" w:rsidRPr="00F6290C" w:rsidRDefault="00C67637" w:rsidP="007113A3">
            <w:pPr>
              <w:jc w:val="center"/>
              <w:rPr>
                <w:rFonts w:cs="Arial"/>
                <w:sz w:val="20"/>
                <w:szCs w:val="20"/>
              </w:rPr>
            </w:pPr>
            <w:r w:rsidRPr="00F6290C">
              <w:rPr>
                <w:rFonts w:cs="Arial"/>
                <w:sz w:val="20"/>
                <w:szCs w:val="20"/>
              </w:rPr>
              <w:t>Moderately or strongly increased</w:t>
            </w:r>
          </w:p>
        </w:tc>
        <w:tc>
          <w:tcPr>
            <w:tcW w:w="567" w:type="dxa"/>
            <w:tcBorders>
              <w:top w:val="nil"/>
              <w:left w:val="single" w:sz="4" w:space="0" w:color="auto"/>
              <w:bottom w:val="single" w:sz="4" w:space="0" w:color="auto"/>
            </w:tcBorders>
            <w:noWrap/>
            <w:vAlign w:val="center"/>
          </w:tcPr>
          <w:p w14:paraId="4D4C5501" w14:textId="2A1E1AAF" w:rsidR="00C67637" w:rsidRPr="007113A3" w:rsidRDefault="00C67637" w:rsidP="007113A3">
            <w:pPr>
              <w:jc w:val="center"/>
              <w:rPr>
                <w:rFonts w:cs="Arial"/>
                <w:color w:val="000000"/>
                <w:sz w:val="18"/>
                <w:szCs w:val="18"/>
              </w:rPr>
            </w:pPr>
            <w:r>
              <w:rPr>
                <w:rFonts w:cs="Arial"/>
                <w:color w:val="000000"/>
                <w:sz w:val="18"/>
                <w:szCs w:val="18"/>
              </w:rPr>
              <w:t>133</w:t>
            </w:r>
          </w:p>
        </w:tc>
        <w:tc>
          <w:tcPr>
            <w:tcW w:w="992" w:type="dxa"/>
            <w:tcBorders>
              <w:top w:val="nil"/>
              <w:bottom w:val="single" w:sz="4" w:space="0" w:color="auto"/>
              <w:right w:val="single" w:sz="4" w:space="0" w:color="auto"/>
            </w:tcBorders>
            <w:noWrap/>
            <w:vAlign w:val="center"/>
          </w:tcPr>
          <w:p w14:paraId="0465DD4F" w14:textId="2B4646BE" w:rsidR="00C67637" w:rsidRDefault="00C67637" w:rsidP="007113A3">
            <w:pPr>
              <w:jc w:val="center"/>
              <w:rPr>
                <w:rFonts w:cs="Arial"/>
                <w:sz w:val="20"/>
                <w:szCs w:val="20"/>
              </w:rPr>
            </w:pPr>
            <w:r>
              <w:rPr>
                <w:rFonts w:cs="Arial"/>
                <w:sz w:val="20"/>
                <w:szCs w:val="20"/>
              </w:rPr>
              <w:t>31.4%</w:t>
            </w:r>
          </w:p>
        </w:tc>
        <w:tc>
          <w:tcPr>
            <w:tcW w:w="425" w:type="dxa"/>
            <w:tcBorders>
              <w:top w:val="nil"/>
              <w:left w:val="single" w:sz="4" w:space="0" w:color="auto"/>
              <w:bottom w:val="single" w:sz="4" w:space="0" w:color="auto"/>
            </w:tcBorders>
            <w:noWrap/>
            <w:vAlign w:val="center"/>
          </w:tcPr>
          <w:p w14:paraId="52E7E049" w14:textId="4CAD79C3" w:rsidR="00C67637" w:rsidRDefault="00C67637" w:rsidP="007113A3">
            <w:pPr>
              <w:jc w:val="center"/>
              <w:rPr>
                <w:rFonts w:cs="Arial"/>
                <w:color w:val="000000"/>
                <w:sz w:val="18"/>
                <w:szCs w:val="18"/>
              </w:rPr>
            </w:pPr>
            <w:r>
              <w:rPr>
                <w:rFonts w:cs="Arial"/>
                <w:color w:val="000000"/>
                <w:sz w:val="18"/>
                <w:szCs w:val="18"/>
              </w:rPr>
              <w:t>31</w:t>
            </w:r>
          </w:p>
        </w:tc>
        <w:tc>
          <w:tcPr>
            <w:tcW w:w="1134" w:type="dxa"/>
            <w:tcBorders>
              <w:top w:val="nil"/>
              <w:bottom w:val="single" w:sz="4" w:space="0" w:color="auto"/>
              <w:right w:val="single" w:sz="4" w:space="0" w:color="auto"/>
            </w:tcBorders>
            <w:noWrap/>
            <w:vAlign w:val="center"/>
          </w:tcPr>
          <w:p w14:paraId="24944064" w14:textId="4A4EE929" w:rsidR="00C67637" w:rsidRPr="00C67637" w:rsidRDefault="00C67637" w:rsidP="007113A3">
            <w:pPr>
              <w:jc w:val="center"/>
              <w:rPr>
                <w:rFonts w:cs="Arial"/>
                <w:b/>
                <w:sz w:val="20"/>
                <w:szCs w:val="20"/>
              </w:rPr>
            </w:pPr>
            <w:r w:rsidRPr="00881EED">
              <w:rPr>
                <w:rFonts w:cs="Arial"/>
                <w:b/>
                <w:sz w:val="20"/>
                <w:szCs w:val="20"/>
              </w:rPr>
              <w:t>32.3%</w:t>
            </w:r>
            <w:r w:rsidR="006471FF">
              <w:rPr>
                <w:sz w:val="20"/>
              </w:rPr>
              <w:t>‡</w:t>
            </w:r>
          </w:p>
        </w:tc>
        <w:tc>
          <w:tcPr>
            <w:tcW w:w="533" w:type="dxa"/>
            <w:tcBorders>
              <w:top w:val="nil"/>
              <w:left w:val="single" w:sz="4" w:space="0" w:color="auto"/>
              <w:bottom w:val="single" w:sz="4" w:space="0" w:color="auto"/>
            </w:tcBorders>
            <w:noWrap/>
            <w:vAlign w:val="center"/>
          </w:tcPr>
          <w:p w14:paraId="6676F712" w14:textId="45A247F6" w:rsidR="00C67637" w:rsidRDefault="00C67637" w:rsidP="007113A3">
            <w:pPr>
              <w:jc w:val="center"/>
              <w:rPr>
                <w:rFonts w:cs="Arial"/>
                <w:color w:val="000000"/>
                <w:sz w:val="18"/>
                <w:szCs w:val="18"/>
              </w:rPr>
            </w:pPr>
            <w:r>
              <w:rPr>
                <w:rFonts w:cs="Arial"/>
                <w:color w:val="000000"/>
                <w:sz w:val="18"/>
                <w:szCs w:val="18"/>
              </w:rPr>
              <w:t>86</w:t>
            </w:r>
          </w:p>
        </w:tc>
        <w:tc>
          <w:tcPr>
            <w:tcW w:w="1026" w:type="dxa"/>
            <w:tcBorders>
              <w:top w:val="nil"/>
              <w:bottom w:val="single" w:sz="4" w:space="0" w:color="auto"/>
              <w:right w:val="single" w:sz="4" w:space="0" w:color="auto"/>
            </w:tcBorders>
            <w:noWrap/>
            <w:vAlign w:val="center"/>
          </w:tcPr>
          <w:p w14:paraId="7CF156F6" w14:textId="6C3E9E71" w:rsidR="00C67637" w:rsidRPr="00C67637" w:rsidRDefault="00C67637" w:rsidP="007113A3">
            <w:pPr>
              <w:jc w:val="center"/>
              <w:rPr>
                <w:rFonts w:cs="Arial"/>
                <w:b/>
                <w:sz w:val="20"/>
                <w:szCs w:val="20"/>
              </w:rPr>
            </w:pPr>
            <w:r w:rsidRPr="0078622B">
              <w:rPr>
                <w:rFonts w:cs="Arial"/>
                <w:b/>
                <w:sz w:val="20"/>
                <w:szCs w:val="20"/>
              </w:rPr>
              <w:t>55.1%</w:t>
            </w:r>
            <w:r w:rsidR="006471FF">
              <w:rPr>
                <w:sz w:val="20"/>
              </w:rPr>
              <w:t>‡</w:t>
            </w:r>
          </w:p>
        </w:tc>
        <w:tc>
          <w:tcPr>
            <w:tcW w:w="567" w:type="dxa"/>
            <w:tcBorders>
              <w:top w:val="nil"/>
              <w:left w:val="single" w:sz="4" w:space="0" w:color="auto"/>
              <w:bottom w:val="single" w:sz="4" w:space="0" w:color="auto"/>
            </w:tcBorders>
            <w:noWrap/>
            <w:vAlign w:val="center"/>
          </w:tcPr>
          <w:p w14:paraId="51A20B02" w14:textId="51457B60" w:rsidR="00C67637" w:rsidRDefault="00C67637" w:rsidP="007113A3">
            <w:pPr>
              <w:jc w:val="center"/>
              <w:rPr>
                <w:rFonts w:cs="Arial"/>
                <w:color w:val="000000"/>
                <w:sz w:val="18"/>
                <w:szCs w:val="18"/>
              </w:rPr>
            </w:pPr>
            <w:r>
              <w:rPr>
                <w:rFonts w:cs="Arial"/>
                <w:color w:val="000000"/>
                <w:sz w:val="18"/>
                <w:szCs w:val="18"/>
              </w:rPr>
              <w:t>16</w:t>
            </w:r>
          </w:p>
        </w:tc>
        <w:tc>
          <w:tcPr>
            <w:tcW w:w="993" w:type="dxa"/>
            <w:tcBorders>
              <w:top w:val="nil"/>
              <w:bottom w:val="single" w:sz="4" w:space="0" w:color="auto"/>
              <w:right w:val="single" w:sz="4" w:space="0" w:color="auto"/>
            </w:tcBorders>
            <w:noWrap/>
            <w:vAlign w:val="center"/>
          </w:tcPr>
          <w:p w14:paraId="508D3E71" w14:textId="26D81FC3" w:rsidR="00C67637" w:rsidRPr="00C67637" w:rsidRDefault="00C67637" w:rsidP="007113A3">
            <w:pPr>
              <w:jc w:val="center"/>
              <w:rPr>
                <w:rFonts w:cs="Arial"/>
                <w:b/>
                <w:sz w:val="20"/>
                <w:szCs w:val="20"/>
              </w:rPr>
            </w:pPr>
            <w:r w:rsidRPr="00AB4A0D">
              <w:rPr>
                <w:rFonts w:cs="Arial"/>
                <w:b/>
                <w:sz w:val="20"/>
                <w:szCs w:val="20"/>
              </w:rPr>
              <w:t>9.4%</w:t>
            </w:r>
            <w:r w:rsidR="006471FF">
              <w:rPr>
                <w:sz w:val="20"/>
              </w:rPr>
              <w:t>‡</w:t>
            </w:r>
          </w:p>
        </w:tc>
        <w:tc>
          <w:tcPr>
            <w:tcW w:w="1559" w:type="dxa"/>
            <w:tcBorders>
              <w:top w:val="nil"/>
              <w:left w:val="single" w:sz="4" w:space="0" w:color="auto"/>
              <w:bottom w:val="single" w:sz="4" w:space="0" w:color="auto"/>
            </w:tcBorders>
            <w:vAlign w:val="center"/>
          </w:tcPr>
          <w:p w14:paraId="55A15269" w14:textId="14D30E9C" w:rsidR="00C67637" w:rsidRPr="00FD61B1" w:rsidRDefault="006471FF" w:rsidP="007113A3">
            <w:pPr>
              <w:jc w:val="center"/>
              <w:rPr>
                <w:rFonts w:cs="Arial"/>
                <w:sz w:val="20"/>
                <w:szCs w:val="20"/>
              </w:rPr>
            </w:pPr>
            <w:r>
              <w:rPr>
                <w:rFonts w:cs="Arial"/>
                <w:sz w:val="20"/>
                <w:szCs w:val="20"/>
              </w:rPr>
              <w:t>0.43</w:t>
            </w:r>
            <w:r>
              <w:rPr>
                <w:sz w:val="20"/>
              </w:rPr>
              <w:t>§</w:t>
            </w:r>
          </w:p>
        </w:tc>
      </w:tr>
      <w:tr w:rsidR="00C147BE" w:rsidRPr="00FA4D1E" w14:paraId="4A680AF3" w14:textId="77777777" w:rsidTr="006B4611">
        <w:trPr>
          <w:trHeight w:val="720"/>
        </w:trPr>
        <w:tc>
          <w:tcPr>
            <w:tcW w:w="1135" w:type="dxa"/>
            <w:tcBorders>
              <w:top w:val="single" w:sz="4" w:space="0" w:color="auto"/>
              <w:bottom w:val="single" w:sz="4" w:space="0" w:color="auto"/>
              <w:right w:val="single" w:sz="4" w:space="0" w:color="auto"/>
            </w:tcBorders>
            <w:vAlign w:val="center"/>
          </w:tcPr>
          <w:p w14:paraId="1097596D" w14:textId="77777777" w:rsidR="00C147BE" w:rsidRPr="00987B39" w:rsidRDefault="00C147BE" w:rsidP="006B4611">
            <w:pPr>
              <w:jc w:val="center"/>
              <w:rPr>
                <w:rFonts w:cs="Arial"/>
                <w:b/>
                <w:color w:val="000000"/>
                <w:sz w:val="18"/>
                <w:szCs w:val="18"/>
              </w:rPr>
            </w:pPr>
            <w:r w:rsidRPr="00987B39">
              <w:rPr>
                <w:rFonts w:cs="Arial"/>
                <w:b/>
                <w:color w:val="000000"/>
                <w:sz w:val="18"/>
                <w:szCs w:val="18"/>
              </w:rPr>
              <w:t>Total Knowledge Score</w:t>
            </w:r>
          </w:p>
        </w:tc>
        <w:tc>
          <w:tcPr>
            <w:tcW w:w="1027" w:type="dxa"/>
            <w:tcBorders>
              <w:top w:val="single" w:sz="4" w:space="0" w:color="auto"/>
              <w:bottom w:val="single" w:sz="4" w:space="0" w:color="auto"/>
            </w:tcBorders>
            <w:vAlign w:val="center"/>
          </w:tcPr>
          <w:p w14:paraId="194E620C" w14:textId="77777777" w:rsidR="00C147BE" w:rsidRPr="00FD61B1" w:rsidRDefault="00C147BE" w:rsidP="006B4611">
            <w:pPr>
              <w:jc w:val="center"/>
              <w:rPr>
                <w:rFonts w:cs="Arial"/>
                <w:color w:val="000000"/>
                <w:sz w:val="18"/>
                <w:szCs w:val="18"/>
              </w:rPr>
            </w:pPr>
            <w:r>
              <w:rPr>
                <w:rFonts w:cs="Arial"/>
                <w:sz w:val="20"/>
                <w:szCs w:val="20"/>
              </w:rPr>
              <w:t>Range</w:t>
            </w:r>
          </w:p>
        </w:tc>
        <w:tc>
          <w:tcPr>
            <w:tcW w:w="567" w:type="dxa"/>
            <w:tcBorders>
              <w:top w:val="single" w:sz="4" w:space="0" w:color="auto"/>
              <w:bottom w:val="single" w:sz="4" w:space="0" w:color="auto"/>
              <w:right w:val="single" w:sz="4" w:space="0" w:color="auto"/>
            </w:tcBorders>
            <w:vAlign w:val="center"/>
          </w:tcPr>
          <w:p w14:paraId="6F1429B8" w14:textId="77777777" w:rsidR="00C147BE" w:rsidRPr="00FD61B1" w:rsidRDefault="00C147BE" w:rsidP="006B4611">
            <w:pPr>
              <w:jc w:val="center"/>
              <w:rPr>
                <w:rFonts w:cs="Arial"/>
                <w:color w:val="000000"/>
                <w:sz w:val="18"/>
                <w:szCs w:val="18"/>
              </w:rPr>
            </w:pPr>
            <w:r>
              <w:rPr>
                <w:rFonts w:cs="Arial"/>
                <w:color w:val="000000"/>
                <w:sz w:val="18"/>
                <w:szCs w:val="18"/>
              </w:rPr>
              <w:t>0-9</w:t>
            </w:r>
          </w:p>
        </w:tc>
        <w:tc>
          <w:tcPr>
            <w:tcW w:w="567" w:type="dxa"/>
            <w:tcBorders>
              <w:top w:val="single" w:sz="4" w:space="0" w:color="auto"/>
              <w:left w:val="single" w:sz="4" w:space="0" w:color="auto"/>
              <w:bottom w:val="single" w:sz="4" w:space="0" w:color="auto"/>
            </w:tcBorders>
            <w:noWrap/>
            <w:vAlign w:val="center"/>
          </w:tcPr>
          <w:p w14:paraId="73915CFE" w14:textId="77777777" w:rsidR="00C147BE" w:rsidRPr="00FD61B1" w:rsidRDefault="00C147BE" w:rsidP="006B4611">
            <w:pPr>
              <w:jc w:val="center"/>
              <w:rPr>
                <w:rFonts w:cs="Arial"/>
                <w:color w:val="000000"/>
                <w:sz w:val="18"/>
                <w:szCs w:val="18"/>
              </w:rPr>
            </w:pPr>
            <w:r>
              <w:rPr>
                <w:rFonts w:cs="Arial"/>
                <w:color w:val="000000"/>
                <w:sz w:val="18"/>
                <w:szCs w:val="18"/>
              </w:rPr>
              <w:t>404</w:t>
            </w:r>
          </w:p>
        </w:tc>
        <w:tc>
          <w:tcPr>
            <w:tcW w:w="992" w:type="dxa"/>
            <w:tcBorders>
              <w:top w:val="single" w:sz="4" w:space="0" w:color="auto"/>
              <w:bottom w:val="single" w:sz="4" w:space="0" w:color="auto"/>
              <w:right w:val="single" w:sz="4" w:space="0" w:color="auto"/>
            </w:tcBorders>
            <w:noWrap/>
            <w:vAlign w:val="center"/>
          </w:tcPr>
          <w:p w14:paraId="2AA984DF" w14:textId="77777777" w:rsidR="00C147BE" w:rsidRPr="00FD61B1" w:rsidRDefault="00C147BE" w:rsidP="006B4611">
            <w:pPr>
              <w:jc w:val="center"/>
              <w:rPr>
                <w:rFonts w:cs="Arial"/>
                <w:sz w:val="20"/>
                <w:szCs w:val="20"/>
              </w:rPr>
            </w:pPr>
            <w:r>
              <w:rPr>
                <w:rFonts w:cs="Arial"/>
                <w:sz w:val="20"/>
                <w:szCs w:val="20"/>
              </w:rPr>
              <w:t>7.1 (1.7)</w:t>
            </w:r>
          </w:p>
        </w:tc>
        <w:tc>
          <w:tcPr>
            <w:tcW w:w="425" w:type="dxa"/>
            <w:tcBorders>
              <w:top w:val="single" w:sz="4" w:space="0" w:color="auto"/>
              <w:left w:val="single" w:sz="4" w:space="0" w:color="auto"/>
              <w:bottom w:val="single" w:sz="4" w:space="0" w:color="auto"/>
            </w:tcBorders>
            <w:noWrap/>
            <w:vAlign w:val="center"/>
          </w:tcPr>
          <w:p w14:paraId="445B1795" w14:textId="77777777" w:rsidR="00C147BE" w:rsidRPr="00FD61B1" w:rsidRDefault="00C147BE" w:rsidP="006B4611">
            <w:pPr>
              <w:jc w:val="center"/>
              <w:rPr>
                <w:rFonts w:cs="Arial"/>
                <w:color w:val="000000"/>
                <w:sz w:val="18"/>
                <w:szCs w:val="18"/>
              </w:rPr>
            </w:pPr>
            <w:r>
              <w:rPr>
                <w:rFonts w:cs="Arial"/>
                <w:color w:val="000000"/>
                <w:sz w:val="18"/>
                <w:szCs w:val="18"/>
              </w:rPr>
              <w:t>92</w:t>
            </w:r>
          </w:p>
        </w:tc>
        <w:tc>
          <w:tcPr>
            <w:tcW w:w="1134" w:type="dxa"/>
            <w:tcBorders>
              <w:top w:val="single" w:sz="4" w:space="0" w:color="auto"/>
              <w:bottom w:val="single" w:sz="4" w:space="0" w:color="auto"/>
              <w:right w:val="single" w:sz="4" w:space="0" w:color="auto"/>
            </w:tcBorders>
            <w:noWrap/>
            <w:vAlign w:val="center"/>
          </w:tcPr>
          <w:p w14:paraId="75A48E49" w14:textId="77777777" w:rsidR="00C147BE" w:rsidRPr="00FD61B1" w:rsidRDefault="00C147BE" w:rsidP="006B4611">
            <w:pPr>
              <w:jc w:val="center"/>
              <w:rPr>
                <w:rFonts w:cs="Arial"/>
                <w:sz w:val="20"/>
                <w:szCs w:val="20"/>
              </w:rPr>
            </w:pPr>
            <w:r>
              <w:rPr>
                <w:rFonts w:cs="Arial"/>
                <w:sz w:val="20"/>
                <w:szCs w:val="20"/>
              </w:rPr>
              <w:t>6.9 (1.8)</w:t>
            </w:r>
          </w:p>
        </w:tc>
        <w:tc>
          <w:tcPr>
            <w:tcW w:w="533" w:type="dxa"/>
            <w:tcBorders>
              <w:top w:val="single" w:sz="4" w:space="0" w:color="auto"/>
              <w:left w:val="single" w:sz="4" w:space="0" w:color="auto"/>
              <w:bottom w:val="single" w:sz="4" w:space="0" w:color="auto"/>
            </w:tcBorders>
            <w:noWrap/>
            <w:vAlign w:val="center"/>
          </w:tcPr>
          <w:p w14:paraId="44F37A95" w14:textId="77777777" w:rsidR="00C147BE" w:rsidRPr="00FD61B1" w:rsidRDefault="00C147BE" w:rsidP="006B4611">
            <w:pPr>
              <w:jc w:val="center"/>
              <w:rPr>
                <w:rFonts w:cs="Arial"/>
                <w:color w:val="000000"/>
                <w:sz w:val="18"/>
                <w:szCs w:val="18"/>
              </w:rPr>
            </w:pPr>
            <w:r>
              <w:rPr>
                <w:rFonts w:cs="Arial"/>
                <w:color w:val="000000"/>
                <w:sz w:val="18"/>
                <w:szCs w:val="18"/>
              </w:rPr>
              <w:t>151</w:t>
            </w:r>
          </w:p>
        </w:tc>
        <w:tc>
          <w:tcPr>
            <w:tcW w:w="1026" w:type="dxa"/>
            <w:tcBorders>
              <w:top w:val="single" w:sz="4" w:space="0" w:color="auto"/>
              <w:bottom w:val="single" w:sz="4" w:space="0" w:color="auto"/>
              <w:right w:val="single" w:sz="4" w:space="0" w:color="auto"/>
            </w:tcBorders>
            <w:noWrap/>
            <w:vAlign w:val="center"/>
          </w:tcPr>
          <w:p w14:paraId="4BB28DE7" w14:textId="77777777" w:rsidR="00C147BE" w:rsidRPr="00FD61B1" w:rsidRDefault="00C147BE" w:rsidP="006B4611">
            <w:pPr>
              <w:jc w:val="center"/>
              <w:rPr>
                <w:rFonts w:cs="Arial"/>
                <w:sz w:val="20"/>
                <w:szCs w:val="20"/>
              </w:rPr>
            </w:pPr>
            <w:r>
              <w:rPr>
                <w:rFonts w:cs="Arial"/>
                <w:sz w:val="20"/>
                <w:szCs w:val="20"/>
              </w:rPr>
              <w:t>7.2 (1.6)</w:t>
            </w:r>
          </w:p>
        </w:tc>
        <w:tc>
          <w:tcPr>
            <w:tcW w:w="567" w:type="dxa"/>
            <w:tcBorders>
              <w:top w:val="single" w:sz="4" w:space="0" w:color="auto"/>
              <w:left w:val="single" w:sz="4" w:space="0" w:color="auto"/>
              <w:bottom w:val="single" w:sz="4" w:space="0" w:color="auto"/>
            </w:tcBorders>
            <w:noWrap/>
            <w:vAlign w:val="center"/>
          </w:tcPr>
          <w:p w14:paraId="1BFAC6B7" w14:textId="77777777" w:rsidR="00C147BE" w:rsidRPr="00FD61B1" w:rsidRDefault="00C147BE" w:rsidP="006B4611">
            <w:pPr>
              <w:jc w:val="center"/>
              <w:rPr>
                <w:rFonts w:cs="Arial"/>
                <w:color w:val="000000"/>
                <w:sz w:val="18"/>
                <w:szCs w:val="18"/>
              </w:rPr>
            </w:pPr>
            <w:r>
              <w:rPr>
                <w:rFonts w:cs="Arial"/>
                <w:color w:val="000000"/>
                <w:sz w:val="18"/>
                <w:szCs w:val="18"/>
              </w:rPr>
              <w:t>161</w:t>
            </w:r>
          </w:p>
        </w:tc>
        <w:tc>
          <w:tcPr>
            <w:tcW w:w="993" w:type="dxa"/>
            <w:tcBorders>
              <w:top w:val="single" w:sz="4" w:space="0" w:color="auto"/>
              <w:bottom w:val="single" w:sz="4" w:space="0" w:color="auto"/>
              <w:right w:val="single" w:sz="4" w:space="0" w:color="auto"/>
            </w:tcBorders>
            <w:noWrap/>
            <w:vAlign w:val="center"/>
          </w:tcPr>
          <w:p w14:paraId="7EA60E41" w14:textId="77777777" w:rsidR="00C147BE" w:rsidRPr="00FD61B1" w:rsidRDefault="00C147BE" w:rsidP="006B4611">
            <w:pPr>
              <w:jc w:val="center"/>
              <w:rPr>
                <w:rFonts w:cs="Arial"/>
                <w:sz w:val="20"/>
                <w:szCs w:val="20"/>
              </w:rPr>
            </w:pPr>
            <w:r w:rsidRPr="00FD61B1">
              <w:rPr>
                <w:rFonts w:cs="Arial"/>
                <w:sz w:val="20"/>
                <w:szCs w:val="20"/>
              </w:rPr>
              <w:t>7.1 (1.7)</w:t>
            </w:r>
          </w:p>
        </w:tc>
        <w:tc>
          <w:tcPr>
            <w:tcW w:w="1559" w:type="dxa"/>
            <w:tcBorders>
              <w:top w:val="single" w:sz="4" w:space="0" w:color="auto"/>
              <w:left w:val="single" w:sz="4" w:space="0" w:color="auto"/>
              <w:bottom w:val="single" w:sz="4" w:space="0" w:color="auto"/>
            </w:tcBorders>
            <w:vAlign w:val="center"/>
          </w:tcPr>
          <w:p w14:paraId="437DC129" w14:textId="77777777" w:rsidR="00C147BE" w:rsidRPr="00FD61B1" w:rsidRDefault="00C147BE" w:rsidP="006B4611">
            <w:pPr>
              <w:jc w:val="center"/>
              <w:rPr>
                <w:rFonts w:cs="Arial"/>
                <w:sz w:val="20"/>
                <w:szCs w:val="20"/>
              </w:rPr>
            </w:pPr>
          </w:p>
        </w:tc>
      </w:tr>
    </w:tbl>
    <w:p w14:paraId="1478E9F1" w14:textId="6550D4E8" w:rsidR="00C147BE" w:rsidRPr="00283B3E" w:rsidRDefault="00C147BE" w:rsidP="00C147BE">
      <w:pPr>
        <w:pStyle w:val="NoSpacing"/>
        <w:rPr>
          <w:sz w:val="20"/>
        </w:rPr>
      </w:pPr>
      <w:r w:rsidRPr="00283B3E">
        <w:rPr>
          <w:sz w:val="20"/>
        </w:rPr>
        <w:t xml:space="preserve">*Cohen’s </w:t>
      </w:r>
      <w:r w:rsidRPr="006446B6">
        <w:rPr>
          <w:i/>
          <w:sz w:val="20"/>
        </w:rPr>
        <w:t>d</w:t>
      </w:r>
      <w:r w:rsidRPr="00283B3E">
        <w:rPr>
          <w:sz w:val="20"/>
        </w:rPr>
        <w:t xml:space="preserve"> values are listed comparing </w:t>
      </w:r>
      <w:r w:rsidRPr="00283B3E">
        <w:rPr>
          <w:i/>
          <w:sz w:val="20"/>
        </w:rPr>
        <w:t>BRCA1</w:t>
      </w:r>
      <w:r w:rsidRPr="00283B3E">
        <w:rPr>
          <w:sz w:val="20"/>
        </w:rPr>
        <w:t xml:space="preserve"> carriers with </w:t>
      </w:r>
      <w:r w:rsidRPr="00376B83">
        <w:rPr>
          <w:i/>
          <w:sz w:val="20"/>
        </w:rPr>
        <w:t>BRCA2</w:t>
      </w:r>
      <w:r w:rsidRPr="00283B3E">
        <w:rPr>
          <w:sz w:val="20"/>
        </w:rPr>
        <w:t xml:space="preserve"> carriers; </w:t>
      </w:r>
      <w:r w:rsidRPr="00376B83">
        <w:rPr>
          <w:i/>
          <w:sz w:val="20"/>
        </w:rPr>
        <w:t>BRCA1</w:t>
      </w:r>
      <w:r w:rsidRPr="00283B3E">
        <w:rPr>
          <w:sz w:val="20"/>
        </w:rPr>
        <w:t xml:space="preserve"> carriers with controls; </w:t>
      </w:r>
      <w:r w:rsidRPr="00376B83">
        <w:rPr>
          <w:i/>
          <w:sz w:val="20"/>
        </w:rPr>
        <w:t>BRCA2</w:t>
      </w:r>
      <w:r w:rsidRPr="00283B3E">
        <w:rPr>
          <w:sz w:val="20"/>
        </w:rPr>
        <w:t xml:space="preserve"> carriers with controls</w:t>
      </w:r>
      <w:r w:rsidR="00E549F1">
        <w:rPr>
          <w:sz w:val="20"/>
        </w:rPr>
        <w:t>;</w:t>
      </w:r>
      <w:r w:rsidR="00846286" w:rsidRPr="00846286">
        <w:rPr>
          <w:sz w:val="20"/>
        </w:rPr>
        <w:t xml:space="preserve"> </w:t>
      </w:r>
      <w:r w:rsidR="006471FF">
        <w:rPr>
          <w:sz w:val="20"/>
        </w:rPr>
        <w:t>†</w:t>
      </w:r>
      <w:r w:rsidR="007D674C">
        <w:rPr>
          <w:sz w:val="20"/>
        </w:rPr>
        <w:t>p&lt;0.01</w:t>
      </w:r>
      <w:r w:rsidR="00846286" w:rsidRPr="00283B3E">
        <w:rPr>
          <w:sz w:val="20"/>
        </w:rPr>
        <w:t xml:space="preserve"> using an analysis of variance test (ANOVA</w:t>
      </w:r>
      <w:r w:rsidR="00846286">
        <w:rPr>
          <w:sz w:val="20"/>
        </w:rPr>
        <w:t>);</w:t>
      </w:r>
      <w:r w:rsidR="006471FF">
        <w:rPr>
          <w:sz w:val="20"/>
        </w:rPr>
        <w:t xml:space="preserve"> ‡</w:t>
      </w:r>
      <w:r w:rsidR="00E549F1">
        <w:rPr>
          <w:sz w:val="20"/>
        </w:rPr>
        <w:t>p&lt;0.0</w:t>
      </w:r>
      <w:r w:rsidR="007D674C">
        <w:rPr>
          <w:sz w:val="20"/>
        </w:rPr>
        <w:t>1</w:t>
      </w:r>
      <w:r w:rsidR="00E549F1">
        <w:rPr>
          <w:sz w:val="20"/>
        </w:rPr>
        <w:t xml:space="preserve"> using a chi-squared </w:t>
      </w:r>
      <w:r w:rsidR="0095240B">
        <w:rPr>
          <w:sz w:val="20"/>
        </w:rPr>
        <w:t>test for independence</w:t>
      </w:r>
      <w:r w:rsidR="006471FF">
        <w:rPr>
          <w:sz w:val="20"/>
        </w:rPr>
        <w:t>; §Cramer’s V test for nominal association</w:t>
      </w:r>
    </w:p>
    <w:p w14:paraId="44159658" w14:textId="1EB82EF8" w:rsidR="00582B31" w:rsidRDefault="00582B31" w:rsidP="00064FDE">
      <w:pPr>
        <w:spacing w:after="0"/>
        <w:rPr>
          <w:rFonts w:asciiTheme="minorHAnsi" w:hAnsiTheme="minorHAnsi"/>
          <w:sz w:val="24"/>
        </w:rPr>
      </w:pPr>
    </w:p>
    <w:p w14:paraId="19D073C6" w14:textId="77777777" w:rsidR="00C147BE" w:rsidRDefault="00C147BE" w:rsidP="00064FDE">
      <w:pPr>
        <w:spacing w:after="0"/>
        <w:rPr>
          <w:rFonts w:asciiTheme="minorHAnsi" w:hAnsiTheme="minorHAnsi"/>
          <w:sz w:val="24"/>
        </w:rPr>
      </w:pPr>
    </w:p>
    <w:p w14:paraId="299E392D" w14:textId="77777777" w:rsidR="00513E4E" w:rsidRDefault="00513E4E">
      <w:pPr>
        <w:spacing w:after="0"/>
        <w:rPr>
          <w:i/>
          <w:iCs/>
          <w:color w:val="44546A"/>
          <w:sz w:val="24"/>
        </w:rPr>
      </w:pPr>
      <w:r>
        <w:rPr>
          <w:sz w:val="24"/>
        </w:rPr>
        <w:br w:type="page"/>
      </w:r>
    </w:p>
    <w:p w14:paraId="3DBB6C75" w14:textId="097D5E7B" w:rsidR="00C147BE" w:rsidRPr="0011464F" w:rsidRDefault="00C147BE" w:rsidP="00C147BE">
      <w:pPr>
        <w:pStyle w:val="Caption"/>
        <w:keepNext/>
        <w:spacing w:before="200" w:after="0"/>
        <w:rPr>
          <w:sz w:val="24"/>
          <w:szCs w:val="24"/>
        </w:rPr>
      </w:pPr>
      <w:r w:rsidRPr="0011464F">
        <w:rPr>
          <w:sz w:val="24"/>
          <w:szCs w:val="24"/>
        </w:rPr>
        <w:lastRenderedPageBreak/>
        <w:t xml:space="preserve">Table </w:t>
      </w:r>
      <w:r w:rsidRPr="0011464F">
        <w:rPr>
          <w:sz w:val="24"/>
          <w:szCs w:val="24"/>
        </w:rPr>
        <w:fldChar w:fldCharType="begin"/>
      </w:r>
      <w:r w:rsidRPr="0011464F">
        <w:rPr>
          <w:sz w:val="24"/>
          <w:szCs w:val="24"/>
        </w:rPr>
        <w:instrText xml:space="preserve"> SEQ Table \* ARABIC </w:instrText>
      </w:r>
      <w:r w:rsidRPr="0011464F">
        <w:rPr>
          <w:sz w:val="24"/>
          <w:szCs w:val="24"/>
        </w:rPr>
        <w:fldChar w:fldCharType="separate"/>
      </w:r>
      <w:r w:rsidRPr="0011464F">
        <w:rPr>
          <w:noProof/>
          <w:sz w:val="24"/>
          <w:szCs w:val="24"/>
        </w:rPr>
        <w:t>3</w:t>
      </w:r>
      <w:r w:rsidRPr="0011464F">
        <w:rPr>
          <w:noProof/>
          <w:sz w:val="24"/>
          <w:szCs w:val="24"/>
        </w:rPr>
        <w:fldChar w:fldCharType="end"/>
      </w:r>
      <w:r w:rsidRPr="0011464F">
        <w:rPr>
          <w:sz w:val="24"/>
          <w:szCs w:val="24"/>
        </w:rPr>
        <w:t>: Means of psychosocial scales</w:t>
      </w:r>
      <w:r w:rsidRPr="0011464F">
        <w:rPr>
          <w:noProof/>
          <w:sz w:val="24"/>
          <w:szCs w:val="24"/>
        </w:rPr>
        <w:t xml:space="preserve"> according to risk perception categories</w:t>
      </w:r>
    </w:p>
    <w:tbl>
      <w:tblPr>
        <w:tblW w:w="9377" w:type="dxa"/>
        <w:tblBorders>
          <w:top w:val="single" w:sz="4" w:space="0" w:color="auto"/>
          <w:bottom w:val="single" w:sz="4" w:space="0" w:color="auto"/>
          <w:insideH w:val="single" w:sz="4" w:space="0" w:color="auto"/>
        </w:tblBorders>
        <w:tblLook w:val="00A0" w:firstRow="1" w:lastRow="0" w:firstColumn="1" w:lastColumn="0" w:noHBand="0" w:noVBand="0"/>
      </w:tblPr>
      <w:tblGrid>
        <w:gridCol w:w="1848"/>
        <w:gridCol w:w="2156"/>
        <w:gridCol w:w="2156"/>
        <w:gridCol w:w="1368"/>
        <w:gridCol w:w="1849"/>
      </w:tblGrid>
      <w:tr w:rsidR="00C147BE" w:rsidRPr="0011464F" w14:paraId="126C10BD" w14:textId="77777777" w:rsidTr="006B4611">
        <w:tc>
          <w:tcPr>
            <w:tcW w:w="1848" w:type="dxa"/>
            <w:tcBorders>
              <w:bottom w:val="nil"/>
            </w:tcBorders>
            <w:vAlign w:val="bottom"/>
          </w:tcPr>
          <w:p w14:paraId="5A3C9BF2" w14:textId="77777777" w:rsidR="00C147BE" w:rsidRPr="0011464F" w:rsidRDefault="00C147BE" w:rsidP="006B4611">
            <w:pPr>
              <w:pStyle w:val="NoSpacing"/>
              <w:rPr>
                <w:sz w:val="24"/>
              </w:rPr>
            </w:pPr>
          </w:p>
        </w:tc>
        <w:tc>
          <w:tcPr>
            <w:tcW w:w="4312" w:type="dxa"/>
            <w:gridSpan w:val="2"/>
            <w:tcBorders>
              <w:bottom w:val="nil"/>
            </w:tcBorders>
            <w:vAlign w:val="bottom"/>
          </w:tcPr>
          <w:p w14:paraId="62376BC7" w14:textId="77777777" w:rsidR="00C147BE" w:rsidRPr="0011464F" w:rsidRDefault="00C147BE" w:rsidP="006B4611">
            <w:pPr>
              <w:pStyle w:val="NoSpacing"/>
              <w:rPr>
                <w:b/>
                <w:sz w:val="24"/>
              </w:rPr>
            </w:pPr>
            <w:r w:rsidRPr="0011464F">
              <w:rPr>
                <w:b/>
                <w:sz w:val="24"/>
              </w:rPr>
              <w:t>Risk Perception</w:t>
            </w:r>
          </w:p>
        </w:tc>
        <w:tc>
          <w:tcPr>
            <w:tcW w:w="1368" w:type="dxa"/>
            <w:tcBorders>
              <w:bottom w:val="nil"/>
            </w:tcBorders>
            <w:vAlign w:val="bottom"/>
          </w:tcPr>
          <w:p w14:paraId="032E9B78" w14:textId="77777777" w:rsidR="00C147BE" w:rsidRPr="0011464F" w:rsidRDefault="00C147BE" w:rsidP="006B4611">
            <w:pPr>
              <w:pStyle w:val="NoSpacing"/>
              <w:rPr>
                <w:sz w:val="24"/>
              </w:rPr>
            </w:pPr>
          </w:p>
        </w:tc>
        <w:tc>
          <w:tcPr>
            <w:tcW w:w="1849" w:type="dxa"/>
            <w:tcBorders>
              <w:bottom w:val="nil"/>
            </w:tcBorders>
            <w:vAlign w:val="bottom"/>
          </w:tcPr>
          <w:p w14:paraId="2E0F0CD5" w14:textId="77777777" w:rsidR="00C147BE" w:rsidRPr="0011464F" w:rsidRDefault="00C147BE" w:rsidP="006B4611">
            <w:pPr>
              <w:pStyle w:val="NoSpacing"/>
              <w:rPr>
                <w:sz w:val="24"/>
              </w:rPr>
            </w:pPr>
          </w:p>
        </w:tc>
      </w:tr>
      <w:tr w:rsidR="00C147BE" w:rsidRPr="00FA4D1E" w14:paraId="677BE334" w14:textId="77777777" w:rsidTr="006B4611">
        <w:tc>
          <w:tcPr>
            <w:tcW w:w="1848" w:type="dxa"/>
            <w:tcBorders>
              <w:top w:val="nil"/>
            </w:tcBorders>
            <w:vAlign w:val="bottom"/>
          </w:tcPr>
          <w:p w14:paraId="56CAE678" w14:textId="77777777" w:rsidR="00C147BE" w:rsidRPr="00FA4D1E" w:rsidRDefault="00C147BE" w:rsidP="006B4611">
            <w:pPr>
              <w:pStyle w:val="NoSpacing"/>
              <w:rPr>
                <w:rStyle w:val="Strong"/>
              </w:rPr>
            </w:pPr>
            <w:r w:rsidRPr="00FA4D1E">
              <w:rPr>
                <w:b/>
              </w:rPr>
              <w:t>Scale</w:t>
            </w:r>
          </w:p>
          <w:p w14:paraId="40F87232" w14:textId="77777777" w:rsidR="00C147BE" w:rsidRPr="00FA4D1E" w:rsidRDefault="00C147BE" w:rsidP="006B4611">
            <w:pPr>
              <w:pStyle w:val="NoSpacing"/>
              <w:rPr>
                <w:b/>
              </w:rPr>
            </w:pPr>
            <w:r w:rsidRPr="00FA4D1E">
              <w:rPr>
                <w:rStyle w:val="Strong"/>
              </w:rPr>
              <w:t>(mean scores)</w:t>
            </w:r>
          </w:p>
        </w:tc>
        <w:tc>
          <w:tcPr>
            <w:tcW w:w="2156" w:type="dxa"/>
            <w:tcBorders>
              <w:top w:val="nil"/>
            </w:tcBorders>
            <w:vAlign w:val="bottom"/>
          </w:tcPr>
          <w:p w14:paraId="1641B186" w14:textId="77777777" w:rsidR="00C147BE" w:rsidRPr="00FA4D1E" w:rsidRDefault="00C147BE" w:rsidP="006B4611">
            <w:pPr>
              <w:pStyle w:val="NoSpacing"/>
              <w:rPr>
                <w:i/>
              </w:rPr>
            </w:pPr>
            <w:r w:rsidRPr="00FA4D1E">
              <w:rPr>
                <w:i/>
              </w:rPr>
              <w:t>Up to slightly increased</w:t>
            </w:r>
          </w:p>
        </w:tc>
        <w:tc>
          <w:tcPr>
            <w:tcW w:w="2156" w:type="dxa"/>
            <w:tcBorders>
              <w:top w:val="nil"/>
            </w:tcBorders>
            <w:vAlign w:val="bottom"/>
          </w:tcPr>
          <w:p w14:paraId="71440E7C" w14:textId="77777777" w:rsidR="00C147BE" w:rsidRPr="00FA4D1E" w:rsidRDefault="00C147BE" w:rsidP="006B4611">
            <w:pPr>
              <w:pStyle w:val="NoSpacing"/>
              <w:rPr>
                <w:i/>
              </w:rPr>
            </w:pPr>
            <w:r w:rsidRPr="00FA4D1E">
              <w:rPr>
                <w:i/>
              </w:rPr>
              <w:t>Moderately-Strongly increased</w:t>
            </w:r>
          </w:p>
        </w:tc>
        <w:tc>
          <w:tcPr>
            <w:tcW w:w="1368" w:type="dxa"/>
            <w:tcBorders>
              <w:top w:val="nil"/>
            </w:tcBorders>
            <w:vAlign w:val="bottom"/>
          </w:tcPr>
          <w:p w14:paraId="5AEC9CB6" w14:textId="77777777" w:rsidR="00C147BE" w:rsidRPr="00FA4D1E" w:rsidRDefault="00C147BE" w:rsidP="006B4611">
            <w:pPr>
              <w:pStyle w:val="NoSpacing"/>
            </w:pPr>
            <w:r w:rsidRPr="00FA4D1E">
              <w:t>p</w:t>
            </w:r>
          </w:p>
        </w:tc>
        <w:tc>
          <w:tcPr>
            <w:tcW w:w="1849" w:type="dxa"/>
            <w:tcBorders>
              <w:top w:val="nil"/>
            </w:tcBorders>
            <w:vAlign w:val="bottom"/>
          </w:tcPr>
          <w:p w14:paraId="4244E116" w14:textId="77777777" w:rsidR="00C147BE" w:rsidRPr="00FA4D1E" w:rsidRDefault="00C147BE" w:rsidP="006B4611">
            <w:pPr>
              <w:pStyle w:val="NoSpacing"/>
            </w:pPr>
            <w:r w:rsidRPr="00FA4D1E">
              <w:t xml:space="preserve">Cohen’s </w:t>
            </w:r>
            <w:r w:rsidRPr="00FA4D1E">
              <w:rPr>
                <w:i/>
              </w:rPr>
              <w:t>d</w:t>
            </w:r>
          </w:p>
        </w:tc>
      </w:tr>
      <w:tr w:rsidR="00C147BE" w:rsidRPr="00FA4D1E" w14:paraId="6B49FFD1" w14:textId="77777777" w:rsidTr="006B4611">
        <w:tc>
          <w:tcPr>
            <w:tcW w:w="1848" w:type="dxa"/>
            <w:vAlign w:val="bottom"/>
          </w:tcPr>
          <w:p w14:paraId="16C83668" w14:textId="77777777" w:rsidR="00C147BE" w:rsidRPr="00FA4D1E" w:rsidRDefault="00C147BE" w:rsidP="006B4611">
            <w:pPr>
              <w:pStyle w:val="NoSpacing"/>
              <w:rPr>
                <w:i/>
              </w:rPr>
            </w:pPr>
            <w:r w:rsidRPr="00FA4D1E">
              <w:rPr>
                <w:i/>
              </w:rPr>
              <w:t xml:space="preserve">HADS </w:t>
            </w:r>
            <w:proofErr w:type="spellStart"/>
            <w:r w:rsidRPr="00FA4D1E">
              <w:rPr>
                <w:i/>
              </w:rPr>
              <w:t>Anx</w:t>
            </w:r>
            <w:proofErr w:type="spellEnd"/>
          </w:p>
        </w:tc>
        <w:tc>
          <w:tcPr>
            <w:tcW w:w="2156" w:type="dxa"/>
          </w:tcPr>
          <w:p w14:paraId="19DBF891" w14:textId="77777777" w:rsidR="00C147BE" w:rsidRPr="00FA4D1E" w:rsidRDefault="00C147BE" w:rsidP="006B4611">
            <w:pPr>
              <w:pStyle w:val="NoSpacing"/>
            </w:pPr>
            <w:r w:rsidRPr="00FA4D1E">
              <w:t>4.54</w:t>
            </w:r>
          </w:p>
        </w:tc>
        <w:tc>
          <w:tcPr>
            <w:tcW w:w="2156" w:type="dxa"/>
          </w:tcPr>
          <w:p w14:paraId="26DBA2C7" w14:textId="77777777" w:rsidR="00C147BE" w:rsidRPr="00FA4D1E" w:rsidRDefault="00C147BE" w:rsidP="006B4611">
            <w:pPr>
              <w:pStyle w:val="NoSpacing"/>
            </w:pPr>
            <w:r w:rsidRPr="00FA4D1E">
              <w:t>5.43</w:t>
            </w:r>
          </w:p>
        </w:tc>
        <w:tc>
          <w:tcPr>
            <w:tcW w:w="1368" w:type="dxa"/>
            <w:vAlign w:val="bottom"/>
          </w:tcPr>
          <w:p w14:paraId="53006670" w14:textId="77777777" w:rsidR="00C147BE" w:rsidRPr="00FA4D1E" w:rsidRDefault="00C147BE" w:rsidP="006B4611">
            <w:pPr>
              <w:pStyle w:val="NoSpacing"/>
              <w:rPr>
                <w:i/>
              </w:rPr>
            </w:pPr>
            <w:r w:rsidRPr="00FA4D1E">
              <w:rPr>
                <w:i/>
              </w:rPr>
              <w:t>0.02</w:t>
            </w:r>
          </w:p>
        </w:tc>
        <w:tc>
          <w:tcPr>
            <w:tcW w:w="1849" w:type="dxa"/>
            <w:vAlign w:val="bottom"/>
          </w:tcPr>
          <w:p w14:paraId="5166AEBA" w14:textId="6904C050" w:rsidR="00C147BE" w:rsidRPr="00FA4D1E" w:rsidRDefault="00C147BE" w:rsidP="006B4611">
            <w:pPr>
              <w:pStyle w:val="NoSpacing"/>
            </w:pPr>
          </w:p>
        </w:tc>
      </w:tr>
      <w:tr w:rsidR="00C147BE" w:rsidRPr="00FA4D1E" w14:paraId="177EF2B3" w14:textId="77777777" w:rsidTr="006B4611">
        <w:tc>
          <w:tcPr>
            <w:tcW w:w="1848" w:type="dxa"/>
            <w:vAlign w:val="bottom"/>
          </w:tcPr>
          <w:p w14:paraId="10E7E47F" w14:textId="77777777" w:rsidR="00C147BE" w:rsidRPr="00FA4D1E" w:rsidRDefault="00C147BE" w:rsidP="006B4611">
            <w:pPr>
              <w:pStyle w:val="NoSpacing"/>
              <w:rPr>
                <w:i/>
              </w:rPr>
            </w:pPr>
            <w:r w:rsidRPr="00FA4D1E">
              <w:rPr>
                <w:i/>
              </w:rPr>
              <w:t xml:space="preserve">HADS </w:t>
            </w:r>
            <w:proofErr w:type="spellStart"/>
            <w:r w:rsidRPr="00FA4D1E">
              <w:rPr>
                <w:i/>
              </w:rPr>
              <w:t>Dep</w:t>
            </w:r>
            <w:proofErr w:type="spellEnd"/>
          </w:p>
        </w:tc>
        <w:tc>
          <w:tcPr>
            <w:tcW w:w="2156" w:type="dxa"/>
          </w:tcPr>
          <w:p w14:paraId="2B35A172" w14:textId="77777777" w:rsidR="00C147BE" w:rsidRPr="00FA4D1E" w:rsidRDefault="00C147BE" w:rsidP="006B4611">
            <w:pPr>
              <w:pStyle w:val="NoSpacing"/>
            </w:pPr>
            <w:r w:rsidRPr="00FA4D1E">
              <w:t>2.55</w:t>
            </w:r>
          </w:p>
        </w:tc>
        <w:tc>
          <w:tcPr>
            <w:tcW w:w="2156" w:type="dxa"/>
          </w:tcPr>
          <w:p w14:paraId="437F6CED" w14:textId="77777777" w:rsidR="00C147BE" w:rsidRPr="00FA4D1E" w:rsidRDefault="00C147BE" w:rsidP="006B4611">
            <w:pPr>
              <w:pStyle w:val="NoSpacing"/>
            </w:pPr>
            <w:r w:rsidRPr="00FA4D1E">
              <w:t>3.23</w:t>
            </w:r>
          </w:p>
        </w:tc>
        <w:tc>
          <w:tcPr>
            <w:tcW w:w="1368" w:type="dxa"/>
            <w:vAlign w:val="bottom"/>
          </w:tcPr>
          <w:p w14:paraId="0A82AA20" w14:textId="77777777" w:rsidR="00C147BE" w:rsidRPr="00FA4D1E" w:rsidRDefault="00C147BE" w:rsidP="006B4611">
            <w:pPr>
              <w:pStyle w:val="NoSpacing"/>
              <w:rPr>
                <w:i/>
              </w:rPr>
            </w:pPr>
            <w:r w:rsidRPr="00FA4D1E">
              <w:rPr>
                <w:i/>
              </w:rPr>
              <w:t>0.03</w:t>
            </w:r>
          </w:p>
        </w:tc>
        <w:tc>
          <w:tcPr>
            <w:tcW w:w="1849" w:type="dxa"/>
            <w:vAlign w:val="bottom"/>
          </w:tcPr>
          <w:p w14:paraId="51C541ED" w14:textId="7652BCD0" w:rsidR="00C147BE" w:rsidRPr="00FA4D1E" w:rsidRDefault="00C147BE" w:rsidP="006B4611">
            <w:pPr>
              <w:pStyle w:val="NoSpacing"/>
            </w:pPr>
          </w:p>
        </w:tc>
      </w:tr>
      <w:tr w:rsidR="00C147BE" w:rsidRPr="00FA4D1E" w14:paraId="622E48E5" w14:textId="77777777" w:rsidTr="006B4611">
        <w:tc>
          <w:tcPr>
            <w:tcW w:w="1848" w:type="dxa"/>
            <w:vAlign w:val="bottom"/>
          </w:tcPr>
          <w:p w14:paraId="7C316915" w14:textId="77777777" w:rsidR="00C147BE" w:rsidRPr="00FA4D1E" w:rsidRDefault="00C147BE" w:rsidP="006B4611">
            <w:pPr>
              <w:pStyle w:val="NoSpacing"/>
              <w:rPr>
                <w:i/>
              </w:rPr>
            </w:pPr>
            <w:r w:rsidRPr="00FA4D1E">
              <w:rPr>
                <w:i/>
              </w:rPr>
              <w:t xml:space="preserve">IES </w:t>
            </w:r>
            <w:proofErr w:type="spellStart"/>
            <w:r w:rsidRPr="00FA4D1E">
              <w:rPr>
                <w:i/>
              </w:rPr>
              <w:t>Int</w:t>
            </w:r>
            <w:proofErr w:type="spellEnd"/>
          </w:p>
        </w:tc>
        <w:tc>
          <w:tcPr>
            <w:tcW w:w="2156" w:type="dxa"/>
          </w:tcPr>
          <w:p w14:paraId="0E994357" w14:textId="77777777" w:rsidR="00C147BE" w:rsidRPr="00FA4D1E" w:rsidRDefault="00C147BE" w:rsidP="006B4611">
            <w:pPr>
              <w:pStyle w:val="NoSpacing"/>
            </w:pPr>
            <w:r w:rsidRPr="00FA4D1E">
              <w:t>1.33</w:t>
            </w:r>
          </w:p>
        </w:tc>
        <w:tc>
          <w:tcPr>
            <w:tcW w:w="2156" w:type="dxa"/>
          </w:tcPr>
          <w:p w14:paraId="28B92C0F" w14:textId="77777777" w:rsidR="00C147BE" w:rsidRPr="00FA4D1E" w:rsidRDefault="00C147BE" w:rsidP="006B4611">
            <w:pPr>
              <w:pStyle w:val="NoSpacing"/>
            </w:pPr>
            <w:r w:rsidRPr="00FA4D1E">
              <w:t>4.42</w:t>
            </w:r>
          </w:p>
        </w:tc>
        <w:tc>
          <w:tcPr>
            <w:tcW w:w="1368" w:type="dxa"/>
            <w:vAlign w:val="bottom"/>
          </w:tcPr>
          <w:p w14:paraId="62DC11EA" w14:textId="77777777" w:rsidR="00C147BE" w:rsidRPr="00FA4D1E" w:rsidRDefault="00C147BE" w:rsidP="006B4611">
            <w:pPr>
              <w:pStyle w:val="NoSpacing"/>
              <w:rPr>
                <w:i/>
              </w:rPr>
            </w:pPr>
            <w:r w:rsidRPr="00FA4D1E">
              <w:rPr>
                <w:i/>
              </w:rPr>
              <w:t>&lt;0.001</w:t>
            </w:r>
          </w:p>
        </w:tc>
        <w:tc>
          <w:tcPr>
            <w:tcW w:w="1849" w:type="dxa"/>
            <w:vAlign w:val="bottom"/>
          </w:tcPr>
          <w:p w14:paraId="2FA82F60" w14:textId="77777777" w:rsidR="00C147BE" w:rsidRPr="00FA4D1E" w:rsidRDefault="00C147BE" w:rsidP="006B4611">
            <w:pPr>
              <w:pStyle w:val="NoSpacing"/>
            </w:pPr>
            <w:r w:rsidRPr="00FA4D1E">
              <w:t>-0.57</w:t>
            </w:r>
          </w:p>
        </w:tc>
      </w:tr>
      <w:tr w:rsidR="00C147BE" w:rsidRPr="00FA4D1E" w14:paraId="4F169CF3" w14:textId="77777777" w:rsidTr="006B4611">
        <w:tc>
          <w:tcPr>
            <w:tcW w:w="1848" w:type="dxa"/>
            <w:vAlign w:val="bottom"/>
          </w:tcPr>
          <w:p w14:paraId="24AF5CEC" w14:textId="77777777" w:rsidR="00C147BE" w:rsidRPr="00FA4D1E" w:rsidRDefault="00C147BE" w:rsidP="006B4611">
            <w:pPr>
              <w:pStyle w:val="NoSpacing"/>
              <w:rPr>
                <w:i/>
              </w:rPr>
            </w:pPr>
            <w:r w:rsidRPr="00FA4D1E">
              <w:rPr>
                <w:i/>
              </w:rPr>
              <w:t>IES Av</w:t>
            </w:r>
          </w:p>
        </w:tc>
        <w:tc>
          <w:tcPr>
            <w:tcW w:w="2156" w:type="dxa"/>
          </w:tcPr>
          <w:p w14:paraId="768C9A81" w14:textId="77777777" w:rsidR="00C147BE" w:rsidRPr="00FA4D1E" w:rsidRDefault="00C147BE" w:rsidP="006B4611">
            <w:pPr>
              <w:pStyle w:val="NoSpacing"/>
            </w:pPr>
            <w:r w:rsidRPr="00FA4D1E">
              <w:t>3.32</w:t>
            </w:r>
          </w:p>
        </w:tc>
        <w:tc>
          <w:tcPr>
            <w:tcW w:w="2156" w:type="dxa"/>
          </w:tcPr>
          <w:p w14:paraId="0B103FBA" w14:textId="77777777" w:rsidR="00C147BE" w:rsidRPr="00FA4D1E" w:rsidRDefault="00C147BE" w:rsidP="006B4611">
            <w:pPr>
              <w:pStyle w:val="NoSpacing"/>
            </w:pPr>
            <w:r w:rsidRPr="00FA4D1E">
              <w:t>6.11</w:t>
            </w:r>
          </w:p>
        </w:tc>
        <w:tc>
          <w:tcPr>
            <w:tcW w:w="1368" w:type="dxa"/>
            <w:vAlign w:val="bottom"/>
          </w:tcPr>
          <w:p w14:paraId="0969759A" w14:textId="77777777" w:rsidR="00C147BE" w:rsidRPr="00FA4D1E" w:rsidRDefault="00C147BE" w:rsidP="006B4611">
            <w:pPr>
              <w:pStyle w:val="NoSpacing"/>
              <w:rPr>
                <w:i/>
              </w:rPr>
            </w:pPr>
            <w:r w:rsidRPr="00FA4D1E">
              <w:rPr>
                <w:i/>
              </w:rPr>
              <w:t>0.001</w:t>
            </w:r>
          </w:p>
        </w:tc>
        <w:tc>
          <w:tcPr>
            <w:tcW w:w="1849" w:type="dxa"/>
            <w:vAlign w:val="bottom"/>
          </w:tcPr>
          <w:p w14:paraId="2DD13CCF" w14:textId="77777777" w:rsidR="00C147BE" w:rsidRPr="00FA4D1E" w:rsidRDefault="00C147BE" w:rsidP="006B4611">
            <w:pPr>
              <w:pStyle w:val="NoSpacing"/>
            </w:pPr>
            <w:r w:rsidRPr="00FA4D1E">
              <w:t>-0.39</w:t>
            </w:r>
          </w:p>
        </w:tc>
      </w:tr>
      <w:tr w:rsidR="00C147BE" w:rsidRPr="00FA4D1E" w14:paraId="40F6BF2F" w14:textId="77777777" w:rsidTr="006B4611">
        <w:tc>
          <w:tcPr>
            <w:tcW w:w="1848" w:type="dxa"/>
            <w:vAlign w:val="bottom"/>
          </w:tcPr>
          <w:p w14:paraId="3190089E" w14:textId="77777777" w:rsidR="00C147BE" w:rsidRPr="00FA4D1E" w:rsidRDefault="00C147BE" w:rsidP="006B4611">
            <w:pPr>
              <w:pStyle w:val="NoSpacing"/>
              <w:rPr>
                <w:i/>
              </w:rPr>
            </w:pPr>
            <w:r w:rsidRPr="00FA4D1E">
              <w:rPr>
                <w:i/>
              </w:rPr>
              <w:t>MAX-PC (</w:t>
            </w:r>
            <w:proofErr w:type="spellStart"/>
            <w:r w:rsidRPr="00FA4D1E">
              <w:rPr>
                <w:i/>
              </w:rPr>
              <w:t>PCa</w:t>
            </w:r>
            <w:proofErr w:type="spellEnd"/>
            <w:r w:rsidRPr="00FA4D1E">
              <w:rPr>
                <w:i/>
              </w:rPr>
              <w:t>)</w:t>
            </w:r>
          </w:p>
        </w:tc>
        <w:tc>
          <w:tcPr>
            <w:tcW w:w="2156" w:type="dxa"/>
          </w:tcPr>
          <w:p w14:paraId="7DA77647" w14:textId="77777777" w:rsidR="00C147BE" w:rsidRPr="00FA4D1E" w:rsidRDefault="00C147BE" w:rsidP="006B4611">
            <w:pPr>
              <w:pStyle w:val="NoSpacing"/>
            </w:pPr>
            <w:r w:rsidRPr="00FA4D1E">
              <w:t>2.62</w:t>
            </w:r>
          </w:p>
        </w:tc>
        <w:tc>
          <w:tcPr>
            <w:tcW w:w="2156" w:type="dxa"/>
          </w:tcPr>
          <w:p w14:paraId="1C717CAE" w14:textId="77777777" w:rsidR="00C147BE" w:rsidRPr="00FA4D1E" w:rsidRDefault="00C147BE" w:rsidP="006B4611">
            <w:pPr>
              <w:pStyle w:val="NoSpacing"/>
            </w:pPr>
            <w:r w:rsidRPr="00FA4D1E">
              <w:t>5.32</w:t>
            </w:r>
          </w:p>
        </w:tc>
        <w:tc>
          <w:tcPr>
            <w:tcW w:w="1368" w:type="dxa"/>
            <w:vAlign w:val="bottom"/>
          </w:tcPr>
          <w:p w14:paraId="48C8CE7E" w14:textId="77777777" w:rsidR="00C147BE" w:rsidRPr="00FA4D1E" w:rsidRDefault="00C147BE" w:rsidP="006B4611">
            <w:pPr>
              <w:pStyle w:val="NoSpacing"/>
              <w:rPr>
                <w:i/>
              </w:rPr>
            </w:pPr>
            <w:r w:rsidRPr="00FA4D1E">
              <w:rPr>
                <w:i/>
              </w:rPr>
              <w:t>&lt;0.001</w:t>
            </w:r>
          </w:p>
        </w:tc>
        <w:tc>
          <w:tcPr>
            <w:tcW w:w="1849" w:type="dxa"/>
            <w:vAlign w:val="bottom"/>
          </w:tcPr>
          <w:p w14:paraId="5AA682DA" w14:textId="77777777" w:rsidR="00C147BE" w:rsidRPr="00FA4D1E" w:rsidRDefault="00C147BE" w:rsidP="006B4611">
            <w:pPr>
              <w:pStyle w:val="NoSpacing"/>
            </w:pPr>
            <w:r w:rsidRPr="00FA4D1E">
              <w:t>-0.47</w:t>
            </w:r>
          </w:p>
        </w:tc>
      </w:tr>
      <w:tr w:rsidR="00C147BE" w:rsidRPr="00FA4D1E" w14:paraId="60F9806F" w14:textId="77777777" w:rsidTr="006B4611">
        <w:tc>
          <w:tcPr>
            <w:tcW w:w="1848" w:type="dxa"/>
            <w:vAlign w:val="bottom"/>
          </w:tcPr>
          <w:p w14:paraId="55114DAF" w14:textId="77777777" w:rsidR="00C147BE" w:rsidRPr="00FA4D1E" w:rsidRDefault="00C147BE" w:rsidP="006B4611">
            <w:pPr>
              <w:pStyle w:val="NoSpacing"/>
              <w:rPr>
                <w:i/>
              </w:rPr>
            </w:pPr>
            <w:r w:rsidRPr="00FA4D1E">
              <w:rPr>
                <w:i/>
              </w:rPr>
              <w:t>CWS-R</w:t>
            </w:r>
          </w:p>
        </w:tc>
        <w:tc>
          <w:tcPr>
            <w:tcW w:w="2156" w:type="dxa"/>
          </w:tcPr>
          <w:p w14:paraId="13DE03B9" w14:textId="77777777" w:rsidR="00C147BE" w:rsidRPr="00FA4D1E" w:rsidRDefault="00C147BE" w:rsidP="006B4611">
            <w:pPr>
              <w:pStyle w:val="NoSpacing"/>
            </w:pPr>
            <w:r>
              <w:t>8.89</w:t>
            </w:r>
          </w:p>
        </w:tc>
        <w:tc>
          <w:tcPr>
            <w:tcW w:w="2156" w:type="dxa"/>
          </w:tcPr>
          <w:p w14:paraId="47419F2E" w14:textId="77777777" w:rsidR="00C147BE" w:rsidRPr="00FA4D1E" w:rsidRDefault="00C147BE" w:rsidP="006B4611">
            <w:pPr>
              <w:pStyle w:val="NoSpacing"/>
            </w:pPr>
            <w:r>
              <w:t>10.84</w:t>
            </w:r>
          </w:p>
        </w:tc>
        <w:tc>
          <w:tcPr>
            <w:tcW w:w="1368" w:type="dxa"/>
            <w:vAlign w:val="bottom"/>
          </w:tcPr>
          <w:p w14:paraId="3B8492C9" w14:textId="77777777" w:rsidR="00C147BE" w:rsidRPr="00FA4D1E" w:rsidRDefault="00C147BE" w:rsidP="006B4611">
            <w:pPr>
              <w:pStyle w:val="NoSpacing"/>
              <w:rPr>
                <w:i/>
              </w:rPr>
            </w:pPr>
            <w:r w:rsidRPr="00FA4D1E">
              <w:rPr>
                <w:i/>
              </w:rPr>
              <w:t>&lt;0.001</w:t>
            </w:r>
          </w:p>
        </w:tc>
        <w:tc>
          <w:tcPr>
            <w:tcW w:w="1849" w:type="dxa"/>
            <w:vAlign w:val="bottom"/>
          </w:tcPr>
          <w:p w14:paraId="67FFF226" w14:textId="77777777" w:rsidR="00C147BE" w:rsidRPr="00FA4D1E" w:rsidRDefault="00C147BE" w:rsidP="006B4611">
            <w:pPr>
              <w:pStyle w:val="NoSpacing"/>
            </w:pPr>
            <w:r w:rsidRPr="00FA4D1E">
              <w:t>-0.76</w:t>
            </w:r>
          </w:p>
        </w:tc>
      </w:tr>
    </w:tbl>
    <w:p w14:paraId="5EC0F9FD" w14:textId="77777777" w:rsidR="00C147BE" w:rsidRDefault="00C147BE" w:rsidP="00C147BE">
      <w:pPr>
        <w:pStyle w:val="Heading3"/>
      </w:pPr>
    </w:p>
    <w:p w14:paraId="3604386F" w14:textId="77777777" w:rsidR="00513E4E" w:rsidRPr="00513E4E" w:rsidRDefault="00513E4E" w:rsidP="00513E4E"/>
    <w:p w14:paraId="6CF63E28" w14:textId="77777777" w:rsidR="00C147BE" w:rsidRDefault="00C147BE" w:rsidP="00064FDE">
      <w:pPr>
        <w:spacing w:after="0"/>
        <w:rPr>
          <w:rFonts w:asciiTheme="minorHAnsi" w:hAnsiTheme="minorHAnsi"/>
          <w:sz w:val="24"/>
        </w:rPr>
      </w:pPr>
    </w:p>
    <w:p w14:paraId="5CAB73DD" w14:textId="06C22301" w:rsidR="00C147BE" w:rsidRPr="0011464F" w:rsidRDefault="00C147BE" w:rsidP="00C147BE">
      <w:pPr>
        <w:pStyle w:val="Caption"/>
        <w:keepNext/>
        <w:spacing w:before="200" w:after="0"/>
        <w:rPr>
          <w:sz w:val="24"/>
          <w:szCs w:val="24"/>
        </w:rPr>
      </w:pPr>
      <w:r w:rsidRPr="0011464F">
        <w:rPr>
          <w:sz w:val="24"/>
          <w:szCs w:val="24"/>
        </w:rPr>
        <w:t xml:space="preserve">Table </w:t>
      </w:r>
      <w:r w:rsidR="007D674C">
        <w:rPr>
          <w:sz w:val="24"/>
          <w:szCs w:val="24"/>
        </w:rPr>
        <w:t>4</w:t>
      </w:r>
      <w:r w:rsidRPr="0011464F">
        <w:rPr>
          <w:sz w:val="24"/>
          <w:szCs w:val="24"/>
        </w:rPr>
        <w:t xml:space="preserve">: Results of linear regression analysis for the </w:t>
      </w:r>
      <w:r>
        <w:rPr>
          <w:sz w:val="24"/>
          <w:szCs w:val="24"/>
        </w:rPr>
        <w:t xml:space="preserve">Hospital Anxiety and Depression Scale (HADS), </w:t>
      </w:r>
      <w:r w:rsidRPr="0011464F">
        <w:rPr>
          <w:sz w:val="24"/>
          <w:szCs w:val="24"/>
        </w:rPr>
        <w:t>Impact of Events (IES) Intrusion (</w:t>
      </w:r>
      <w:proofErr w:type="spellStart"/>
      <w:r w:rsidRPr="0011464F">
        <w:rPr>
          <w:sz w:val="24"/>
          <w:szCs w:val="24"/>
        </w:rPr>
        <w:t>Int</w:t>
      </w:r>
      <w:proofErr w:type="spellEnd"/>
      <w:r w:rsidRPr="0011464F">
        <w:rPr>
          <w:sz w:val="24"/>
          <w:szCs w:val="24"/>
        </w:rPr>
        <w:t>) and Avoidance (Av) and Cancer Worry Scale (CWS)</w:t>
      </w:r>
    </w:p>
    <w:tbl>
      <w:tblPr>
        <w:tblW w:w="10050" w:type="dxa"/>
        <w:tblInd w:w="-318" w:type="dxa"/>
        <w:tblBorders>
          <w:top w:val="single" w:sz="4" w:space="0" w:color="auto"/>
          <w:bottom w:val="single" w:sz="4" w:space="0" w:color="auto"/>
          <w:insideH w:val="single" w:sz="4" w:space="0" w:color="auto"/>
        </w:tblBorders>
        <w:tblLayout w:type="fixed"/>
        <w:tblLook w:val="00A0" w:firstRow="1" w:lastRow="0" w:firstColumn="1" w:lastColumn="0" w:noHBand="0" w:noVBand="0"/>
      </w:tblPr>
      <w:tblGrid>
        <w:gridCol w:w="8"/>
        <w:gridCol w:w="992"/>
        <w:gridCol w:w="2261"/>
        <w:gridCol w:w="766"/>
        <w:gridCol w:w="1133"/>
        <w:gridCol w:w="1227"/>
        <w:gridCol w:w="1039"/>
        <w:gridCol w:w="1133"/>
        <w:gridCol w:w="1491"/>
      </w:tblGrid>
      <w:tr w:rsidR="00C147BE" w:rsidRPr="00FA4D1E" w14:paraId="7C5FA1C1" w14:textId="77777777" w:rsidTr="006B4611">
        <w:tc>
          <w:tcPr>
            <w:tcW w:w="1000" w:type="dxa"/>
            <w:gridSpan w:val="2"/>
          </w:tcPr>
          <w:p w14:paraId="3888DE12" w14:textId="77777777" w:rsidR="00C147BE" w:rsidRPr="00C05134" w:rsidRDefault="00C147BE" w:rsidP="006B4611">
            <w:pPr>
              <w:pStyle w:val="Standard"/>
              <w:spacing w:after="0" w:line="240" w:lineRule="auto"/>
              <w:jc w:val="both"/>
              <w:rPr>
                <w:b/>
                <w:bCs/>
              </w:rPr>
            </w:pPr>
          </w:p>
        </w:tc>
        <w:tc>
          <w:tcPr>
            <w:tcW w:w="2261" w:type="dxa"/>
          </w:tcPr>
          <w:p w14:paraId="75BC2AE2" w14:textId="77777777" w:rsidR="00C147BE" w:rsidRPr="00C05134" w:rsidRDefault="00C147BE" w:rsidP="006B4611">
            <w:pPr>
              <w:pStyle w:val="Standard"/>
              <w:spacing w:after="0" w:line="240" w:lineRule="auto"/>
              <w:rPr>
                <w:b/>
                <w:bCs/>
              </w:rPr>
            </w:pPr>
            <w:r w:rsidRPr="00C05134">
              <w:rPr>
                <w:rFonts w:cs="Courier New"/>
                <w:b/>
                <w:bCs/>
                <w:i/>
              </w:rPr>
              <w:t>Variables</w:t>
            </w:r>
          </w:p>
        </w:tc>
        <w:tc>
          <w:tcPr>
            <w:tcW w:w="766" w:type="dxa"/>
          </w:tcPr>
          <w:p w14:paraId="4EC611D8" w14:textId="77777777" w:rsidR="00C147BE" w:rsidRPr="00C05134" w:rsidRDefault="00C147BE" w:rsidP="006B4611">
            <w:pPr>
              <w:pStyle w:val="Standard"/>
              <w:spacing w:after="0" w:line="240" w:lineRule="auto"/>
              <w:jc w:val="both"/>
              <w:rPr>
                <w:b/>
                <w:bCs/>
              </w:rPr>
            </w:pPr>
            <w:r w:rsidRPr="00C05134">
              <w:rPr>
                <w:rFonts w:cs="Courier New"/>
                <w:b/>
                <w:bCs/>
                <w:i/>
              </w:rPr>
              <w:t>B</w:t>
            </w:r>
          </w:p>
        </w:tc>
        <w:tc>
          <w:tcPr>
            <w:tcW w:w="1133" w:type="dxa"/>
          </w:tcPr>
          <w:p w14:paraId="1FA75B1F" w14:textId="77777777" w:rsidR="00C147BE" w:rsidRPr="00C05134" w:rsidRDefault="00C147BE" w:rsidP="006B4611">
            <w:pPr>
              <w:pStyle w:val="Standard"/>
              <w:spacing w:after="0" w:line="240" w:lineRule="auto"/>
              <w:jc w:val="both"/>
              <w:rPr>
                <w:b/>
                <w:bCs/>
              </w:rPr>
            </w:pPr>
            <w:r w:rsidRPr="00C05134">
              <w:rPr>
                <w:rFonts w:cs="Courier New"/>
                <w:b/>
                <w:bCs/>
                <w:i/>
              </w:rPr>
              <w:t>SE</w:t>
            </w:r>
          </w:p>
        </w:tc>
        <w:tc>
          <w:tcPr>
            <w:tcW w:w="1227" w:type="dxa"/>
          </w:tcPr>
          <w:p w14:paraId="725F6AF5" w14:textId="77777777" w:rsidR="00C147BE" w:rsidRPr="00C05134" w:rsidRDefault="00C147BE" w:rsidP="006B4611">
            <w:pPr>
              <w:pStyle w:val="Standard"/>
              <w:spacing w:after="0" w:line="240" w:lineRule="auto"/>
              <w:jc w:val="both"/>
              <w:rPr>
                <w:b/>
                <w:bCs/>
              </w:rPr>
            </w:pPr>
            <w:r w:rsidRPr="00C05134">
              <w:rPr>
                <w:rFonts w:cs="Courier New"/>
                <w:b/>
                <w:bCs/>
                <w:i/>
              </w:rPr>
              <w:t>T</w:t>
            </w:r>
          </w:p>
        </w:tc>
        <w:tc>
          <w:tcPr>
            <w:tcW w:w="1039" w:type="dxa"/>
          </w:tcPr>
          <w:p w14:paraId="519729C5" w14:textId="77777777" w:rsidR="00C147BE" w:rsidRPr="00C05134" w:rsidRDefault="00C147BE" w:rsidP="006B4611">
            <w:pPr>
              <w:pStyle w:val="Standard"/>
              <w:spacing w:after="0" w:line="240" w:lineRule="auto"/>
              <w:jc w:val="both"/>
              <w:rPr>
                <w:b/>
                <w:bCs/>
              </w:rPr>
            </w:pPr>
            <w:r w:rsidRPr="00C05134">
              <w:rPr>
                <w:rFonts w:cs="Courier New"/>
                <w:b/>
                <w:bCs/>
                <w:i/>
              </w:rPr>
              <w:t>p</w:t>
            </w:r>
          </w:p>
        </w:tc>
        <w:tc>
          <w:tcPr>
            <w:tcW w:w="1133" w:type="dxa"/>
          </w:tcPr>
          <w:p w14:paraId="2F2A52A5" w14:textId="77777777" w:rsidR="00C147BE" w:rsidRPr="00C05134" w:rsidRDefault="00C147BE" w:rsidP="006B4611">
            <w:pPr>
              <w:pStyle w:val="Standard"/>
              <w:spacing w:after="0" w:line="240" w:lineRule="auto"/>
              <w:jc w:val="both"/>
              <w:rPr>
                <w:b/>
                <w:bCs/>
              </w:rPr>
            </w:pPr>
            <w:r w:rsidRPr="00C05134">
              <w:rPr>
                <w:rFonts w:cs="Courier New"/>
                <w:b/>
                <w:bCs/>
                <w:i/>
              </w:rPr>
              <w:t>R</w:t>
            </w:r>
            <w:r w:rsidRPr="00C05134">
              <w:rPr>
                <w:rFonts w:cs="Courier New"/>
                <w:b/>
                <w:bCs/>
                <w:i/>
                <w:vertAlign w:val="superscript"/>
              </w:rPr>
              <w:t>2</w:t>
            </w:r>
          </w:p>
        </w:tc>
        <w:tc>
          <w:tcPr>
            <w:tcW w:w="1491" w:type="dxa"/>
          </w:tcPr>
          <w:p w14:paraId="05B142E3" w14:textId="77777777" w:rsidR="00C147BE" w:rsidRPr="00C05134" w:rsidRDefault="00C147BE" w:rsidP="006B4611">
            <w:pPr>
              <w:pStyle w:val="Standard"/>
              <w:spacing w:after="0" w:line="240" w:lineRule="auto"/>
              <w:jc w:val="both"/>
              <w:rPr>
                <w:b/>
                <w:bCs/>
              </w:rPr>
            </w:pPr>
            <w:r w:rsidRPr="00C05134">
              <w:rPr>
                <w:rFonts w:cs="Courier New"/>
                <w:b/>
                <w:bCs/>
                <w:i/>
              </w:rPr>
              <w:t>R</w:t>
            </w:r>
            <w:r w:rsidRPr="00C05134">
              <w:rPr>
                <w:rFonts w:cs="Courier New"/>
                <w:b/>
                <w:bCs/>
                <w:i/>
                <w:vertAlign w:val="superscript"/>
              </w:rPr>
              <w:t>2</w:t>
            </w:r>
            <w:r w:rsidRPr="00C05134">
              <w:rPr>
                <w:rFonts w:cs="Courier New"/>
                <w:b/>
                <w:bCs/>
                <w:i/>
              </w:rPr>
              <w:t xml:space="preserve"> Change</w:t>
            </w:r>
          </w:p>
        </w:tc>
      </w:tr>
      <w:tr w:rsidR="00C147BE" w:rsidRPr="00FA4D1E" w14:paraId="4D59E2AA" w14:textId="77777777" w:rsidTr="006B4611">
        <w:tc>
          <w:tcPr>
            <w:tcW w:w="1000" w:type="dxa"/>
            <w:gridSpan w:val="2"/>
            <w:vMerge w:val="restart"/>
            <w:vAlign w:val="center"/>
          </w:tcPr>
          <w:p w14:paraId="7BCD5827" w14:textId="77777777" w:rsidR="00C147BE" w:rsidRPr="00C05134" w:rsidRDefault="00C147BE" w:rsidP="006B4611">
            <w:pPr>
              <w:pStyle w:val="Standard"/>
              <w:spacing w:after="0" w:line="240" w:lineRule="auto"/>
              <w:rPr>
                <w:b/>
                <w:bCs/>
              </w:rPr>
            </w:pPr>
            <w:r w:rsidRPr="00C05134">
              <w:rPr>
                <w:rFonts w:cs="Courier New"/>
                <w:b/>
                <w:bCs/>
                <w:i/>
              </w:rPr>
              <w:t>IES</w:t>
            </w:r>
            <w:r>
              <w:rPr>
                <w:rFonts w:cs="Courier New"/>
                <w:b/>
                <w:bCs/>
                <w:i/>
              </w:rPr>
              <w:t xml:space="preserve"> </w:t>
            </w:r>
            <w:proofErr w:type="spellStart"/>
            <w:r w:rsidRPr="00C05134">
              <w:rPr>
                <w:rFonts w:cs="Courier New"/>
                <w:b/>
                <w:bCs/>
                <w:i/>
              </w:rPr>
              <w:t>Int</w:t>
            </w:r>
            <w:proofErr w:type="spellEnd"/>
          </w:p>
        </w:tc>
        <w:tc>
          <w:tcPr>
            <w:tcW w:w="2261" w:type="dxa"/>
          </w:tcPr>
          <w:p w14:paraId="0FBBD7DE" w14:textId="77777777" w:rsidR="00C147BE" w:rsidRPr="00C05134" w:rsidRDefault="00C147BE" w:rsidP="006B4611">
            <w:pPr>
              <w:pStyle w:val="Standard"/>
              <w:spacing w:after="0" w:line="240" w:lineRule="auto"/>
            </w:pPr>
            <w:r w:rsidRPr="00C05134">
              <w:rPr>
                <w:rFonts w:cs="Courier New"/>
                <w:i/>
              </w:rPr>
              <w:t>Risk Perception</w:t>
            </w:r>
          </w:p>
        </w:tc>
        <w:tc>
          <w:tcPr>
            <w:tcW w:w="766" w:type="dxa"/>
          </w:tcPr>
          <w:p w14:paraId="34551154" w14:textId="60C58B84" w:rsidR="00C147BE" w:rsidRPr="00C05134" w:rsidRDefault="00C147BE" w:rsidP="006B4611">
            <w:pPr>
              <w:pStyle w:val="Standard"/>
              <w:spacing w:after="0" w:line="240" w:lineRule="auto"/>
              <w:jc w:val="both"/>
            </w:pPr>
            <w:r w:rsidRPr="00C05134">
              <w:t>2.</w:t>
            </w:r>
            <w:r w:rsidR="006B55B1">
              <w:t>92</w:t>
            </w:r>
          </w:p>
        </w:tc>
        <w:tc>
          <w:tcPr>
            <w:tcW w:w="1133" w:type="dxa"/>
          </w:tcPr>
          <w:p w14:paraId="3E868767" w14:textId="158642F6" w:rsidR="00C147BE" w:rsidRPr="00C05134" w:rsidRDefault="00C147BE" w:rsidP="006B4611">
            <w:pPr>
              <w:pStyle w:val="Standard"/>
              <w:spacing w:after="0" w:line="240" w:lineRule="auto"/>
              <w:jc w:val="both"/>
            </w:pPr>
            <w:r w:rsidRPr="00C05134">
              <w:t>0.5</w:t>
            </w:r>
            <w:r w:rsidR="006B55B1">
              <w:t>5</w:t>
            </w:r>
          </w:p>
        </w:tc>
        <w:tc>
          <w:tcPr>
            <w:tcW w:w="1227" w:type="dxa"/>
          </w:tcPr>
          <w:p w14:paraId="4A05439F" w14:textId="5AC3A272" w:rsidR="00C147BE" w:rsidRPr="00C05134" w:rsidRDefault="006B55B1" w:rsidP="006B4611">
            <w:pPr>
              <w:pStyle w:val="Standard"/>
              <w:spacing w:after="0" w:line="240" w:lineRule="auto"/>
              <w:jc w:val="both"/>
            </w:pPr>
            <w:r>
              <w:t>5.32</w:t>
            </w:r>
          </w:p>
        </w:tc>
        <w:tc>
          <w:tcPr>
            <w:tcW w:w="1039" w:type="dxa"/>
          </w:tcPr>
          <w:p w14:paraId="4700165C" w14:textId="77777777" w:rsidR="00C147BE" w:rsidRPr="00C05134" w:rsidRDefault="00C147BE" w:rsidP="006B4611">
            <w:pPr>
              <w:pStyle w:val="Standard"/>
              <w:spacing w:after="0" w:line="240" w:lineRule="auto"/>
              <w:jc w:val="both"/>
            </w:pPr>
            <w:r w:rsidRPr="00C05134">
              <w:t>&lt;0.001</w:t>
            </w:r>
          </w:p>
        </w:tc>
        <w:tc>
          <w:tcPr>
            <w:tcW w:w="1133" w:type="dxa"/>
          </w:tcPr>
          <w:p w14:paraId="69669AF7" w14:textId="77777777" w:rsidR="00C147BE" w:rsidRPr="00C05134" w:rsidRDefault="00C147BE" w:rsidP="006B4611">
            <w:pPr>
              <w:pStyle w:val="Standard"/>
              <w:spacing w:after="0" w:line="240" w:lineRule="auto"/>
              <w:jc w:val="both"/>
            </w:pPr>
            <w:r w:rsidRPr="00C05134">
              <w:t>0.087</w:t>
            </w:r>
          </w:p>
        </w:tc>
        <w:tc>
          <w:tcPr>
            <w:tcW w:w="1491" w:type="dxa"/>
          </w:tcPr>
          <w:p w14:paraId="2053E3E1" w14:textId="77777777" w:rsidR="00C147BE" w:rsidRPr="00C05134" w:rsidRDefault="00C147BE" w:rsidP="006B4611">
            <w:pPr>
              <w:pStyle w:val="Standard"/>
              <w:spacing w:after="0" w:line="240" w:lineRule="auto"/>
              <w:jc w:val="both"/>
            </w:pPr>
            <w:r w:rsidRPr="00C05134">
              <w:t>0.087</w:t>
            </w:r>
          </w:p>
        </w:tc>
      </w:tr>
      <w:tr w:rsidR="00C147BE" w:rsidRPr="00FA4D1E" w14:paraId="491BFC20" w14:textId="77777777" w:rsidTr="006B4611">
        <w:tc>
          <w:tcPr>
            <w:tcW w:w="1000" w:type="dxa"/>
            <w:gridSpan w:val="2"/>
            <w:vMerge/>
            <w:vAlign w:val="center"/>
          </w:tcPr>
          <w:p w14:paraId="0C5968E1" w14:textId="77777777" w:rsidR="00C147BE" w:rsidRPr="00C05134" w:rsidRDefault="00C147BE" w:rsidP="006B4611">
            <w:pPr>
              <w:widowControl w:val="0"/>
              <w:suppressAutoHyphens/>
              <w:autoSpaceDN w:val="0"/>
              <w:rPr>
                <w:b/>
                <w:bCs/>
                <w:kern w:val="3"/>
                <w:sz w:val="22"/>
                <w:szCs w:val="22"/>
                <w:lang w:eastAsia="en-US"/>
              </w:rPr>
            </w:pPr>
          </w:p>
        </w:tc>
        <w:tc>
          <w:tcPr>
            <w:tcW w:w="2261" w:type="dxa"/>
          </w:tcPr>
          <w:p w14:paraId="5D194066" w14:textId="77777777" w:rsidR="00C147BE" w:rsidRPr="00C05134" w:rsidRDefault="00C147BE" w:rsidP="006B4611">
            <w:pPr>
              <w:pStyle w:val="Standard"/>
              <w:spacing w:after="0" w:line="240" w:lineRule="auto"/>
            </w:pPr>
            <w:r w:rsidRPr="00C05134">
              <w:rPr>
                <w:rFonts w:cs="Courier New"/>
                <w:i/>
              </w:rPr>
              <w:t>BRCA2 status</w:t>
            </w:r>
          </w:p>
        </w:tc>
        <w:tc>
          <w:tcPr>
            <w:tcW w:w="766" w:type="dxa"/>
          </w:tcPr>
          <w:p w14:paraId="2CC87FE4" w14:textId="1E3BC968" w:rsidR="00C147BE" w:rsidRPr="00C05134" w:rsidRDefault="00C147BE" w:rsidP="006B4611">
            <w:pPr>
              <w:pStyle w:val="Standard"/>
              <w:spacing w:after="0" w:line="240" w:lineRule="auto"/>
              <w:jc w:val="both"/>
            </w:pPr>
            <w:r w:rsidRPr="00C05134">
              <w:t>0.</w:t>
            </w:r>
            <w:r w:rsidR="006B55B1">
              <w:t>42</w:t>
            </w:r>
          </w:p>
        </w:tc>
        <w:tc>
          <w:tcPr>
            <w:tcW w:w="1133" w:type="dxa"/>
          </w:tcPr>
          <w:p w14:paraId="22DF2AD1" w14:textId="76AA5406" w:rsidR="00C147BE" w:rsidRPr="00C05134" w:rsidRDefault="00C147BE" w:rsidP="006B4611">
            <w:pPr>
              <w:pStyle w:val="Standard"/>
              <w:spacing w:after="0" w:line="240" w:lineRule="auto"/>
              <w:jc w:val="both"/>
            </w:pPr>
            <w:r w:rsidRPr="00C05134">
              <w:t>0.5</w:t>
            </w:r>
            <w:r w:rsidR="006B55B1">
              <w:t>8</w:t>
            </w:r>
          </w:p>
        </w:tc>
        <w:tc>
          <w:tcPr>
            <w:tcW w:w="1227" w:type="dxa"/>
          </w:tcPr>
          <w:p w14:paraId="667A575C" w14:textId="7F6661B0" w:rsidR="00C147BE" w:rsidRPr="00C05134" w:rsidRDefault="00C147BE" w:rsidP="006B4611">
            <w:pPr>
              <w:pStyle w:val="Standard"/>
              <w:spacing w:after="0" w:line="240" w:lineRule="auto"/>
              <w:jc w:val="both"/>
            </w:pPr>
            <w:r w:rsidRPr="00C05134">
              <w:t>0.</w:t>
            </w:r>
            <w:r w:rsidR="006B55B1">
              <w:t>72</w:t>
            </w:r>
          </w:p>
        </w:tc>
        <w:tc>
          <w:tcPr>
            <w:tcW w:w="1039" w:type="dxa"/>
          </w:tcPr>
          <w:p w14:paraId="7E76508A" w14:textId="15BE925A" w:rsidR="00C147BE" w:rsidRPr="00C05134" w:rsidRDefault="00C147BE" w:rsidP="006B4611">
            <w:pPr>
              <w:pStyle w:val="Standard"/>
              <w:spacing w:after="0" w:line="240" w:lineRule="auto"/>
              <w:jc w:val="both"/>
            </w:pPr>
            <w:r w:rsidRPr="00C05134">
              <w:t>0.</w:t>
            </w:r>
            <w:r w:rsidR="006B55B1">
              <w:t>47</w:t>
            </w:r>
          </w:p>
        </w:tc>
        <w:tc>
          <w:tcPr>
            <w:tcW w:w="1133" w:type="dxa"/>
          </w:tcPr>
          <w:p w14:paraId="1BFCC275" w14:textId="77777777" w:rsidR="00C147BE" w:rsidRPr="00C05134" w:rsidRDefault="00C147BE" w:rsidP="006B4611">
            <w:pPr>
              <w:pStyle w:val="Standard"/>
              <w:spacing w:after="0" w:line="240" w:lineRule="auto"/>
              <w:jc w:val="both"/>
            </w:pPr>
            <w:r w:rsidRPr="00C05134">
              <w:t>0.087</w:t>
            </w:r>
          </w:p>
        </w:tc>
        <w:tc>
          <w:tcPr>
            <w:tcW w:w="1491" w:type="dxa"/>
          </w:tcPr>
          <w:p w14:paraId="4ABCD3F3" w14:textId="77777777" w:rsidR="00C147BE" w:rsidRPr="00C05134" w:rsidRDefault="00C147BE" w:rsidP="006B4611">
            <w:pPr>
              <w:pStyle w:val="Standard"/>
              <w:spacing w:after="0" w:line="240" w:lineRule="auto"/>
              <w:jc w:val="both"/>
            </w:pPr>
            <w:r w:rsidRPr="00C05134">
              <w:t>0.000</w:t>
            </w:r>
          </w:p>
        </w:tc>
      </w:tr>
      <w:tr w:rsidR="00C147BE" w:rsidRPr="00FA4D1E" w14:paraId="5F0A423E" w14:textId="77777777" w:rsidTr="006B4611">
        <w:tc>
          <w:tcPr>
            <w:tcW w:w="1000" w:type="dxa"/>
            <w:gridSpan w:val="2"/>
            <w:vMerge/>
            <w:vAlign w:val="center"/>
          </w:tcPr>
          <w:p w14:paraId="51A43236" w14:textId="77777777" w:rsidR="00C147BE" w:rsidRPr="00C05134" w:rsidRDefault="00C147BE" w:rsidP="006B4611">
            <w:pPr>
              <w:widowControl w:val="0"/>
              <w:suppressAutoHyphens/>
              <w:autoSpaceDN w:val="0"/>
              <w:rPr>
                <w:b/>
                <w:bCs/>
                <w:kern w:val="3"/>
                <w:sz w:val="22"/>
                <w:szCs w:val="22"/>
                <w:lang w:eastAsia="en-US"/>
              </w:rPr>
            </w:pPr>
          </w:p>
        </w:tc>
        <w:tc>
          <w:tcPr>
            <w:tcW w:w="2261" w:type="dxa"/>
          </w:tcPr>
          <w:p w14:paraId="2327329C" w14:textId="77777777" w:rsidR="00C147BE" w:rsidRPr="00C05134" w:rsidRDefault="00C147BE" w:rsidP="006B4611">
            <w:pPr>
              <w:pStyle w:val="Standard"/>
              <w:spacing w:after="0" w:line="240" w:lineRule="auto"/>
            </w:pPr>
            <w:r w:rsidRPr="00C05134">
              <w:rPr>
                <w:rFonts w:cs="Courier New"/>
                <w:i/>
              </w:rPr>
              <w:t>BRCA1 status</w:t>
            </w:r>
          </w:p>
        </w:tc>
        <w:tc>
          <w:tcPr>
            <w:tcW w:w="766" w:type="dxa"/>
          </w:tcPr>
          <w:p w14:paraId="31CD6137" w14:textId="4B015273" w:rsidR="00C147BE" w:rsidRPr="00C05134" w:rsidRDefault="00C147BE" w:rsidP="006B4611">
            <w:pPr>
              <w:pStyle w:val="Standard"/>
              <w:spacing w:after="0" w:line="240" w:lineRule="auto"/>
              <w:jc w:val="both"/>
            </w:pPr>
            <w:r w:rsidRPr="00C05134">
              <w:t>0.9</w:t>
            </w:r>
            <w:r w:rsidR="006B55B1">
              <w:t>8</w:t>
            </w:r>
          </w:p>
        </w:tc>
        <w:tc>
          <w:tcPr>
            <w:tcW w:w="1133" w:type="dxa"/>
          </w:tcPr>
          <w:p w14:paraId="2F174CF4" w14:textId="0CC4D1C2" w:rsidR="00C147BE" w:rsidRPr="00C05134" w:rsidRDefault="00C147BE" w:rsidP="006B4611">
            <w:pPr>
              <w:pStyle w:val="Standard"/>
              <w:spacing w:after="0" w:line="240" w:lineRule="auto"/>
              <w:jc w:val="both"/>
            </w:pPr>
            <w:r w:rsidRPr="00C05134">
              <w:t>0.6</w:t>
            </w:r>
            <w:r w:rsidR="006B55B1">
              <w:t>2</w:t>
            </w:r>
          </w:p>
        </w:tc>
        <w:tc>
          <w:tcPr>
            <w:tcW w:w="1227" w:type="dxa"/>
          </w:tcPr>
          <w:p w14:paraId="2BEFFB8B" w14:textId="75AFB9FE" w:rsidR="00C147BE" w:rsidRPr="00C05134" w:rsidRDefault="00C147BE" w:rsidP="006B4611">
            <w:pPr>
              <w:pStyle w:val="Standard"/>
              <w:spacing w:after="0" w:line="240" w:lineRule="auto"/>
              <w:jc w:val="both"/>
            </w:pPr>
            <w:r w:rsidRPr="00C05134">
              <w:t>1.5</w:t>
            </w:r>
            <w:r w:rsidR="006B55B1">
              <w:t>9</w:t>
            </w:r>
          </w:p>
        </w:tc>
        <w:tc>
          <w:tcPr>
            <w:tcW w:w="1039" w:type="dxa"/>
          </w:tcPr>
          <w:p w14:paraId="3091C13D" w14:textId="717F4027" w:rsidR="00C147BE" w:rsidRPr="00C05134" w:rsidRDefault="00C147BE" w:rsidP="006B4611">
            <w:pPr>
              <w:pStyle w:val="Standard"/>
              <w:spacing w:after="0" w:line="240" w:lineRule="auto"/>
              <w:jc w:val="both"/>
            </w:pPr>
            <w:r w:rsidRPr="00C05134">
              <w:t>0.1</w:t>
            </w:r>
            <w:r w:rsidR="006B55B1">
              <w:t>1</w:t>
            </w:r>
          </w:p>
        </w:tc>
        <w:tc>
          <w:tcPr>
            <w:tcW w:w="1133" w:type="dxa"/>
          </w:tcPr>
          <w:p w14:paraId="62AF0E69" w14:textId="77777777" w:rsidR="00C147BE" w:rsidRPr="00C05134" w:rsidRDefault="00C147BE" w:rsidP="006B4611">
            <w:pPr>
              <w:pStyle w:val="Standard"/>
              <w:spacing w:after="0" w:line="240" w:lineRule="auto"/>
              <w:jc w:val="both"/>
            </w:pPr>
            <w:r w:rsidRPr="00C05134">
              <w:t>0.092</w:t>
            </w:r>
          </w:p>
        </w:tc>
        <w:tc>
          <w:tcPr>
            <w:tcW w:w="1491" w:type="dxa"/>
          </w:tcPr>
          <w:p w14:paraId="70C8B665" w14:textId="77777777" w:rsidR="00C147BE" w:rsidRPr="00C05134" w:rsidRDefault="00C147BE" w:rsidP="006B4611">
            <w:pPr>
              <w:pStyle w:val="Standard"/>
              <w:spacing w:after="0" w:line="240" w:lineRule="auto"/>
              <w:jc w:val="both"/>
            </w:pPr>
            <w:r w:rsidRPr="00C05134">
              <w:t>0.006</w:t>
            </w:r>
          </w:p>
        </w:tc>
      </w:tr>
      <w:tr w:rsidR="00C147BE" w:rsidRPr="00FA4D1E" w14:paraId="3D1322B8" w14:textId="77777777" w:rsidTr="006B4611">
        <w:tc>
          <w:tcPr>
            <w:tcW w:w="1000" w:type="dxa"/>
            <w:gridSpan w:val="2"/>
            <w:vMerge/>
            <w:vAlign w:val="center"/>
          </w:tcPr>
          <w:p w14:paraId="279C209D" w14:textId="77777777" w:rsidR="00C147BE" w:rsidRPr="00C05134" w:rsidRDefault="00C147BE" w:rsidP="006B4611">
            <w:pPr>
              <w:widowControl w:val="0"/>
              <w:suppressAutoHyphens/>
              <w:autoSpaceDN w:val="0"/>
              <w:rPr>
                <w:b/>
                <w:bCs/>
                <w:kern w:val="3"/>
                <w:sz w:val="22"/>
                <w:szCs w:val="22"/>
                <w:lang w:eastAsia="en-US"/>
              </w:rPr>
            </w:pPr>
          </w:p>
        </w:tc>
        <w:tc>
          <w:tcPr>
            <w:tcW w:w="2261" w:type="dxa"/>
          </w:tcPr>
          <w:p w14:paraId="2B9BE394" w14:textId="39CD142D" w:rsidR="00C147BE" w:rsidRPr="00C05134" w:rsidRDefault="00C147BE" w:rsidP="006B4611">
            <w:pPr>
              <w:pStyle w:val="Standard"/>
              <w:spacing w:after="0" w:line="240" w:lineRule="auto"/>
            </w:pPr>
          </w:p>
        </w:tc>
        <w:tc>
          <w:tcPr>
            <w:tcW w:w="766" w:type="dxa"/>
          </w:tcPr>
          <w:p w14:paraId="1676759E" w14:textId="0B8BCD81" w:rsidR="00C147BE" w:rsidRPr="00C05134" w:rsidRDefault="00C147BE" w:rsidP="006B4611">
            <w:pPr>
              <w:pStyle w:val="Standard"/>
              <w:spacing w:after="0" w:line="240" w:lineRule="auto"/>
              <w:jc w:val="both"/>
            </w:pPr>
          </w:p>
        </w:tc>
        <w:tc>
          <w:tcPr>
            <w:tcW w:w="1133" w:type="dxa"/>
          </w:tcPr>
          <w:p w14:paraId="598AE180" w14:textId="0D578876" w:rsidR="00C147BE" w:rsidRPr="00C05134" w:rsidRDefault="00C147BE" w:rsidP="006B4611">
            <w:pPr>
              <w:pStyle w:val="Standard"/>
              <w:spacing w:after="0" w:line="240" w:lineRule="auto"/>
              <w:jc w:val="both"/>
              <w:rPr>
                <w:rFonts w:cs="Courier New"/>
                <w:i/>
              </w:rPr>
            </w:pPr>
          </w:p>
        </w:tc>
        <w:tc>
          <w:tcPr>
            <w:tcW w:w="1227" w:type="dxa"/>
          </w:tcPr>
          <w:p w14:paraId="3FF9C0B2" w14:textId="721ACBFD" w:rsidR="00C147BE" w:rsidRPr="00C05134" w:rsidRDefault="00C147BE" w:rsidP="006B4611">
            <w:pPr>
              <w:pStyle w:val="Standard"/>
              <w:spacing w:after="0" w:line="240" w:lineRule="auto"/>
              <w:jc w:val="both"/>
              <w:rPr>
                <w:rFonts w:cs="Courier New"/>
                <w:i/>
              </w:rPr>
            </w:pPr>
          </w:p>
        </w:tc>
        <w:tc>
          <w:tcPr>
            <w:tcW w:w="1039" w:type="dxa"/>
          </w:tcPr>
          <w:p w14:paraId="6B62344B" w14:textId="0910A0CD" w:rsidR="00C147BE" w:rsidRPr="00C05134" w:rsidRDefault="00C147BE" w:rsidP="006B4611">
            <w:pPr>
              <w:pStyle w:val="Standard"/>
              <w:spacing w:after="0" w:line="240" w:lineRule="auto"/>
              <w:jc w:val="both"/>
              <w:rPr>
                <w:rFonts w:cs="Courier New"/>
                <w:i/>
              </w:rPr>
            </w:pPr>
          </w:p>
        </w:tc>
        <w:tc>
          <w:tcPr>
            <w:tcW w:w="1133" w:type="dxa"/>
          </w:tcPr>
          <w:p w14:paraId="317D13F6" w14:textId="5DF57D90" w:rsidR="00C147BE" w:rsidRPr="00C05134" w:rsidRDefault="00C147BE" w:rsidP="006B4611">
            <w:pPr>
              <w:pStyle w:val="Standard"/>
              <w:spacing w:after="0" w:line="240" w:lineRule="auto"/>
              <w:jc w:val="both"/>
              <w:rPr>
                <w:rFonts w:cs="Courier New"/>
                <w:i/>
              </w:rPr>
            </w:pPr>
          </w:p>
        </w:tc>
        <w:tc>
          <w:tcPr>
            <w:tcW w:w="1491" w:type="dxa"/>
          </w:tcPr>
          <w:p w14:paraId="2673A1CE" w14:textId="2DDED3C8" w:rsidR="00C147BE" w:rsidRPr="00C05134" w:rsidRDefault="00C147BE" w:rsidP="006B4611">
            <w:pPr>
              <w:pStyle w:val="Standard"/>
              <w:spacing w:after="0" w:line="240" w:lineRule="auto"/>
              <w:jc w:val="both"/>
              <w:rPr>
                <w:rFonts w:cs="Courier New"/>
                <w:i/>
              </w:rPr>
            </w:pPr>
          </w:p>
        </w:tc>
      </w:tr>
      <w:tr w:rsidR="00C147BE" w:rsidRPr="00FA4D1E" w14:paraId="10A07E13" w14:textId="77777777" w:rsidTr="006B4611">
        <w:trPr>
          <w:gridBefore w:val="1"/>
          <w:wBefore w:w="8" w:type="dxa"/>
        </w:trPr>
        <w:tc>
          <w:tcPr>
            <w:tcW w:w="992" w:type="dxa"/>
            <w:vMerge w:val="restart"/>
            <w:vAlign w:val="center"/>
          </w:tcPr>
          <w:p w14:paraId="2227C03E" w14:textId="77777777" w:rsidR="00C147BE" w:rsidRPr="00C05134" w:rsidRDefault="00C147BE" w:rsidP="006B4611">
            <w:pPr>
              <w:pStyle w:val="Standard"/>
              <w:spacing w:after="0" w:line="240" w:lineRule="auto"/>
              <w:rPr>
                <w:rFonts w:cs="Courier New"/>
                <w:b/>
                <w:bCs/>
                <w:i/>
              </w:rPr>
            </w:pPr>
            <w:r w:rsidRPr="00C05134">
              <w:rPr>
                <w:rFonts w:cs="Courier New"/>
                <w:b/>
                <w:bCs/>
                <w:i/>
              </w:rPr>
              <w:t>IES</w:t>
            </w:r>
            <w:r>
              <w:rPr>
                <w:rFonts w:cs="Courier New"/>
                <w:b/>
                <w:bCs/>
                <w:i/>
              </w:rPr>
              <w:t xml:space="preserve"> </w:t>
            </w:r>
            <w:r w:rsidRPr="00C05134">
              <w:rPr>
                <w:rFonts w:cs="Courier New"/>
                <w:b/>
                <w:bCs/>
                <w:i/>
              </w:rPr>
              <w:t>Av</w:t>
            </w:r>
          </w:p>
        </w:tc>
        <w:tc>
          <w:tcPr>
            <w:tcW w:w="2261" w:type="dxa"/>
          </w:tcPr>
          <w:p w14:paraId="6A06C45E" w14:textId="77777777" w:rsidR="00C147BE" w:rsidRPr="00C05134" w:rsidRDefault="00C147BE" w:rsidP="006B4611">
            <w:pPr>
              <w:pStyle w:val="Standard"/>
              <w:spacing w:after="0" w:line="240" w:lineRule="auto"/>
              <w:rPr>
                <w:rFonts w:cs="Courier New"/>
                <w:i/>
              </w:rPr>
            </w:pPr>
            <w:r w:rsidRPr="00C05134">
              <w:rPr>
                <w:rFonts w:cs="Courier New"/>
                <w:i/>
              </w:rPr>
              <w:t>BRCA1 status</w:t>
            </w:r>
          </w:p>
        </w:tc>
        <w:tc>
          <w:tcPr>
            <w:tcW w:w="766" w:type="dxa"/>
          </w:tcPr>
          <w:p w14:paraId="20A82CAE" w14:textId="586F6AA9" w:rsidR="00C147BE" w:rsidRPr="00C05134" w:rsidRDefault="00C147BE" w:rsidP="006B4611">
            <w:pPr>
              <w:pStyle w:val="Standard"/>
              <w:spacing w:after="0" w:line="240" w:lineRule="auto"/>
              <w:jc w:val="both"/>
            </w:pPr>
            <w:r w:rsidRPr="00C05134">
              <w:t>2.8</w:t>
            </w:r>
            <w:r w:rsidR="006B55B1">
              <w:t>8</w:t>
            </w:r>
          </w:p>
        </w:tc>
        <w:tc>
          <w:tcPr>
            <w:tcW w:w="1133" w:type="dxa"/>
          </w:tcPr>
          <w:p w14:paraId="6EC6E394" w14:textId="455BA86A" w:rsidR="00C147BE" w:rsidRPr="00C05134" w:rsidRDefault="00C147BE" w:rsidP="006B4611">
            <w:pPr>
              <w:pStyle w:val="Standard"/>
              <w:spacing w:after="0" w:line="240" w:lineRule="auto"/>
              <w:jc w:val="both"/>
            </w:pPr>
            <w:r w:rsidRPr="00C05134">
              <w:t>0.</w:t>
            </w:r>
            <w:r w:rsidR="006B55B1">
              <w:t>91</w:t>
            </w:r>
          </w:p>
        </w:tc>
        <w:tc>
          <w:tcPr>
            <w:tcW w:w="1227" w:type="dxa"/>
          </w:tcPr>
          <w:p w14:paraId="5F1592D5" w14:textId="6858CE3C" w:rsidR="00C147BE" w:rsidRPr="00C05134" w:rsidRDefault="00C147BE" w:rsidP="006B4611">
            <w:pPr>
              <w:pStyle w:val="Standard"/>
              <w:spacing w:after="0" w:line="240" w:lineRule="auto"/>
              <w:jc w:val="both"/>
            </w:pPr>
            <w:r w:rsidRPr="00C05134">
              <w:t>3.1</w:t>
            </w:r>
            <w:r w:rsidR="006B55B1">
              <w:t>8</w:t>
            </w:r>
          </w:p>
        </w:tc>
        <w:tc>
          <w:tcPr>
            <w:tcW w:w="1039" w:type="dxa"/>
          </w:tcPr>
          <w:p w14:paraId="59AEEF23" w14:textId="77777777" w:rsidR="00C147BE" w:rsidRPr="00C05134" w:rsidRDefault="00C147BE" w:rsidP="006B4611">
            <w:pPr>
              <w:pStyle w:val="Standard"/>
              <w:spacing w:after="0" w:line="240" w:lineRule="auto"/>
              <w:jc w:val="both"/>
            </w:pPr>
            <w:r w:rsidRPr="00C05134">
              <w:t>0.002</w:t>
            </w:r>
          </w:p>
        </w:tc>
        <w:tc>
          <w:tcPr>
            <w:tcW w:w="1133" w:type="dxa"/>
          </w:tcPr>
          <w:p w14:paraId="2718F1ED" w14:textId="77777777" w:rsidR="00C147BE" w:rsidRPr="00C05134" w:rsidRDefault="00C147BE" w:rsidP="006B4611">
            <w:pPr>
              <w:pStyle w:val="Standard"/>
              <w:spacing w:after="0" w:line="240" w:lineRule="auto"/>
              <w:jc w:val="both"/>
            </w:pPr>
            <w:r w:rsidRPr="00C05134">
              <w:t>0.017</w:t>
            </w:r>
          </w:p>
        </w:tc>
        <w:tc>
          <w:tcPr>
            <w:tcW w:w="1491" w:type="dxa"/>
          </w:tcPr>
          <w:p w14:paraId="0305CD45" w14:textId="77777777" w:rsidR="00C147BE" w:rsidRPr="00C05134" w:rsidRDefault="00C147BE" w:rsidP="006B4611">
            <w:pPr>
              <w:pStyle w:val="Standard"/>
              <w:spacing w:after="0" w:line="240" w:lineRule="auto"/>
              <w:jc w:val="both"/>
            </w:pPr>
            <w:r w:rsidRPr="00C05134">
              <w:t>0.017</w:t>
            </w:r>
          </w:p>
        </w:tc>
      </w:tr>
      <w:tr w:rsidR="00C147BE" w:rsidRPr="00FA4D1E" w14:paraId="2205E864" w14:textId="77777777" w:rsidTr="006B4611">
        <w:trPr>
          <w:gridBefore w:val="1"/>
          <w:wBefore w:w="8" w:type="dxa"/>
        </w:trPr>
        <w:tc>
          <w:tcPr>
            <w:tcW w:w="992" w:type="dxa"/>
            <w:vMerge/>
            <w:vAlign w:val="center"/>
          </w:tcPr>
          <w:p w14:paraId="7811669C" w14:textId="77777777" w:rsidR="00C147BE" w:rsidRPr="00C05134" w:rsidRDefault="00C147BE" w:rsidP="006B4611">
            <w:pPr>
              <w:widowControl w:val="0"/>
              <w:suppressAutoHyphens/>
              <w:autoSpaceDN w:val="0"/>
              <w:rPr>
                <w:rFonts w:cs="Courier New"/>
                <w:b/>
                <w:bCs/>
                <w:i/>
                <w:kern w:val="3"/>
                <w:sz w:val="22"/>
                <w:szCs w:val="22"/>
                <w:lang w:eastAsia="en-US"/>
              </w:rPr>
            </w:pPr>
          </w:p>
        </w:tc>
        <w:tc>
          <w:tcPr>
            <w:tcW w:w="2261" w:type="dxa"/>
          </w:tcPr>
          <w:p w14:paraId="4E9A58FF" w14:textId="77777777" w:rsidR="00C147BE" w:rsidRPr="00C05134" w:rsidRDefault="00C147BE" w:rsidP="006B4611">
            <w:pPr>
              <w:pStyle w:val="Standard"/>
              <w:spacing w:after="0" w:line="240" w:lineRule="auto"/>
              <w:rPr>
                <w:rFonts w:cs="Courier New"/>
                <w:i/>
              </w:rPr>
            </w:pPr>
            <w:r w:rsidRPr="00C05134">
              <w:rPr>
                <w:rFonts w:cs="Courier New"/>
                <w:i/>
              </w:rPr>
              <w:t>BRCA2 status</w:t>
            </w:r>
          </w:p>
        </w:tc>
        <w:tc>
          <w:tcPr>
            <w:tcW w:w="766" w:type="dxa"/>
          </w:tcPr>
          <w:p w14:paraId="1254FEE3" w14:textId="31ECCAEF" w:rsidR="00C147BE" w:rsidRPr="00C05134" w:rsidRDefault="00C147BE" w:rsidP="006B4611">
            <w:pPr>
              <w:pStyle w:val="Standard"/>
              <w:spacing w:after="0" w:line="240" w:lineRule="auto"/>
              <w:jc w:val="both"/>
            </w:pPr>
            <w:r w:rsidRPr="00C05134">
              <w:t>1.</w:t>
            </w:r>
            <w:r w:rsidR="006B55B1">
              <w:t>50</w:t>
            </w:r>
          </w:p>
        </w:tc>
        <w:tc>
          <w:tcPr>
            <w:tcW w:w="1133" w:type="dxa"/>
          </w:tcPr>
          <w:p w14:paraId="61C3128B" w14:textId="64320552" w:rsidR="00C147BE" w:rsidRPr="00C05134" w:rsidRDefault="00C147BE" w:rsidP="006B4611">
            <w:pPr>
              <w:pStyle w:val="Standard"/>
              <w:spacing w:after="0" w:line="240" w:lineRule="auto"/>
              <w:jc w:val="both"/>
            </w:pPr>
            <w:r w:rsidRPr="00C05134">
              <w:t>0.8</w:t>
            </w:r>
            <w:r w:rsidR="006B55B1">
              <w:t>5</w:t>
            </w:r>
          </w:p>
        </w:tc>
        <w:tc>
          <w:tcPr>
            <w:tcW w:w="1227" w:type="dxa"/>
          </w:tcPr>
          <w:p w14:paraId="13AB54A9" w14:textId="6E02F41A" w:rsidR="00C147BE" w:rsidRPr="00C05134" w:rsidRDefault="00C147BE" w:rsidP="006B4611">
            <w:pPr>
              <w:pStyle w:val="Standard"/>
              <w:spacing w:after="0" w:line="240" w:lineRule="auto"/>
              <w:jc w:val="both"/>
            </w:pPr>
            <w:r w:rsidRPr="00C05134">
              <w:t>1.</w:t>
            </w:r>
            <w:r w:rsidR="006B55B1">
              <w:t>76</w:t>
            </w:r>
          </w:p>
        </w:tc>
        <w:tc>
          <w:tcPr>
            <w:tcW w:w="1039" w:type="dxa"/>
          </w:tcPr>
          <w:p w14:paraId="2EDB9C08" w14:textId="025B7712" w:rsidR="00C147BE" w:rsidRPr="00C05134" w:rsidRDefault="00C147BE" w:rsidP="006B4611">
            <w:pPr>
              <w:pStyle w:val="Standard"/>
              <w:spacing w:after="0" w:line="240" w:lineRule="auto"/>
              <w:jc w:val="both"/>
            </w:pPr>
            <w:r w:rsidRPr="00C05134">
              <w:t>0.0</w:t>
            </w:r>
            <w:r w:rsidR="006B55B1">
              <w:t>8</w:t>
            </w:r>
          </w:p>
        </w:tc>
        <w:tc>
          <w:tcPr>
            <w:tcW w:w="1133" w:type="dxa"/>
          </w:tcPr>
          <w:p w14:paraId="39FDA112" w14:textId="77777777" w:rsidR="00C147BE" w:rsidRPr="00C05134" w:rsidRDefault="00C147BE" w:rsidP="006B4611">
            <w:pPr>
              <w:pStyle w:val="Standard"/>
              <w:spacing w:after="0" w:line="240" w:lineRule="auto"/>
              <w:jc w:val="both"/>
            </w:pPr>
            <w:r w:rsidRPr="00C05134">
              <w:t>0.042</w:t>
            </w:r>
          </w:p>
        </w:tc>
        <w:tc>
          <w:tcPr>
            <w:tcW w:w="1491" w:type="dxa"/>
          </w:tcPr>
          <w:p w14:paraId="5218F1ED" w14:textId="77777777" w:rsidR="00C147BE" w:rsidRPr="00C05134" w:rsidRDefault="00C147BE" w:rsidP="006B4611">
            <w:pPr>
              <w:pStyle w:val="Standard"/>
              <w:spacing w:after="0" w:line="240" w:lineRule="auto"/>
              <w:jc w:val="both"/>
            </w:pPr>
            <w:r w:rsidRPr="00C05134">
              <w:t>0.025</w:t>
            </w:r>
          </w:p>
        </w:tc>
      </w:tr>
      <w:tr w:rsidR="00C147BE" w:rsidRPr="00FA4D1E" w14:paraId="479F63B3" w14:textId="77777777" w:rsidTr="006B4611">
        <w:trPr>
          <w:gridBefore w:val="1"/>
          <w:wBefore w:w="8" w:type="dxa"/>
        </w:trPr>
        <w:tc>
          <w:tcPr>
            <w:tcW w:w="992" w:type="dxa"/>
            <w:vMerge/>
            <w:vAlign w:val="center"/>
          </w:tcPr>
          <w:p w14:paraId="57B10F41" w14:textId="77777777" w:rsidR="00C147BE" w:rsidRPr="00C05134" w:rsidRDefault="00C147BE" w:rsidP="006B4611">
            <w:pPr>
              <w:widowControl w:val="0"/>
              <w:suppressAutoHyphens/>
              <w:autoSpaceDN w:val="0"/>
              <w:rPr>
                <w:rFonts w:cs="Courier New"/>
                <w:b/>
                <w:bCs/>
                <w:i/>
                <w:kern w:val="3"/>
                <w:sz w:val="22"/>
                <w:szCs w:val="22"/>
                <w:lang w:eastAsia="en-US"/>
              </w:rPr>
            </w:pPr>
          </w:p>
        </w:tc>
        <w:tc>
          <w:tcPr>
            <w:tcW w:w="2261" w:type="dxa"/>
          </w:tcPr>
          <w:p w14:paraId="3EA32307" w14:textId="77777777" w:rsidR="00C147BE" w:rsidRPr="00C05134" w:rsidRDefault="00C147BE" w:rsidP="006B4611">
            <w:pPr>
              <w:pStyle w:val="Standard"/>
              <w:spacing w:after="0" w:line="240" w:lineRule="auto"/>
            </w:pPr>
            <w:r w:rsidRPr="00C05134">
              <w:rPr>
                <w:rFonts w:cs="Courier New"/>
                <w:i/>
              </w:rPr>
              <w:t>Risk Perception</w:t>
            </w:r>
          </w:p>
        </w:tc>
        <w:tc>
          <w:tcPr>
            <w:tcW w:w="766" w:type="dxa"/>
          </w:tcPr>
          <w:p w14:paraId="1383AB66" w14:textId="09F39721" w:rsidR="00C147BE" w:rsidRPr="00C05134" w:rsidRDefault="006B55B1" w:rsidP="006B4611">
            <w:pPr>
              <w:pStyle w:val="Standard"/>
              <w:spacing w:after="0" w:line="240" w:lineRule="auto"/>
              <w:jc w:val="both"/>
              <w:rPr>
                <w:i/>
              </w:rPr>
            </w:pPr>
            <w:r>
              <w:t>2.18</w:t>
            </w:r>
          </w:p>
        </w:tc>
        <w:tc>
          <w:tcPr>
            <w:tcW w:w="1133" w:type="dxa"/>
          </w:tcPr>
          <w:p w14:paraId="3D531217" w14:textId="60F97932" w:rsidR="00C147BE" w:rsidRPr="00C05134" w:rsidRDefault="00C147BE" w:rsidP="006B4611">
            <w:pPr>
              <w:pStyle w:val="Standard"/>
              <w:spacing w:after="0" w:line="240" w:lineRule="auto"/>
              <w:jc w:val="both"/>
              <w:rPr>
                <w:i/>
              </w:rPr>
            </w:pPr>
            <w:r w:rsidRPr="00C05134">
              <w:t>0.8</w:t>
            </w:r>
            <w:r w:rsidR="006B55B1">
              <w:t>1</w:t>
            </w:r>
          </w:p>
        </w:tc>
        <w:tc>
          <w:tcPr>
            <w:tcW w:w="1227" w:type="dxa"/>
          </w:tcPr>
          <w:p w14:paraId="36E9D260" w14:textId="5DAB6A70" w:rsidR="00C147BE" w:rsidRPr="00C05134" w:rsidRDefault="00C147BE" w:rsidP="006B4611">
            <w:pPr>
              <w:pStyle w:val="Standard"/>
              <w:spacing w:after="0" w:line="240" w:lineRule="auto"/>
              <w:jc w:val="both"/>
              <w:rPr>
                <w:i/>
              </w:rPr>
            </w:pPr>
            <w:r w:rsidRPr="00C05134">
              <w:t>2.</w:t>
            </w:r>
            <w:r w:rsidR="006B55B1">
              <w:t>7</w:t>
            </w:r>
            <w:r w:rsidRPr="00C05134">
              <w:t>0</w:t>
            </w:r>
          </w:p>
        </w:tc>
        <w:tc>
          <w:tcPr>
            <w:tcW w:w="1039" w:type="dxa"/>
          </w:tcPr>
          <w:p w14:paraId="4338746F" w14:textId="141F4233" w:rsidR="00C147BE" w:rsidRPr="00C05134" w:rsidRDefault="00C147BE" w:rsidP="006B4611">
            <w:pPr>
              <w:pStyle w:val="Standard"/>
              <w:spacing w:after="0" w:line="240" w:lineRule="auto"/>
              <w:jc w:val="both"/>
              <w:rPr>
                <w:i/>
              </w:rPr>
            </w:pPr>
            <w:r w:rsidRPr="00C05134">
              <w:t>0.0</w:t>
            </w:r>
            <w:r w:rsidR="006B55B1">
              <w:t>07</w:t>
            </w:r>
          </w:p>
        </w:tc>
        <w:tc>
          <w:tcPr>
            <w:tcW w:w="1133" w:type="dxa"/>
          </w:tcPr>
          <w:p w14:paraId="67D78BB5" w14:textId="77777777" w:rsidR="00C147BE" w:rsidRPr="00C05134" w:rsidRDefault="00C147BE" w:rsidP="006B4611">
            <w:pPr>
              <w:pStyle w:val="Standard"/>
              <w:spacing w:after="0" w:line="240" w:lineRule="auto"/>
              <w:jc w:val="both"/>
              <w:rPr>
                <w:i/>
              </w:rPr>
            </w:pPr>
            <w:r w:rsidRPr="00C05134">
              <w:t>0.058</w:t>
            </w:r>
          </w:p>
        </w:tc>
        <w:tc>
          <w:tcPr>
            <w:tcW w:w="1491" w:type="dxa"/>
          </w:tcPr>
          <w:p w14:paraId="5317803C" w14:textId="77777777" w:rsidR="00C147BE" w:rsidRPr="00C05134" w:rsidRDefault="00C147BE" w:rsidP="006B4611">
            <w:pPr>
              <w:pStyle w:val="Standard"/>
              <w:spacing w:after="0" w:line="240" w:lineRule="auto"/>
              <w:jc w:val="both"/>
              <w:rPr>
                <w:i/>
              </w:rPr>
            </w:pPr>
            <w:r w:rsidRPr="00C05134">
              <w:t>0.017</w:t>
            </w:r>
          </w:p>
        </w:tc>
      </w:tr>
      <w:tr w:rsidR="00C147BE" w:rsidRPr="00FA4D1E" w14:paraId="1CC38FC1" w14:textId="77777777" w:rsidTr="006B4611">
        <w:trPr>
          <w:gridBefore w:val="1"/>
          <w:wBefore w:w="8" w:type="dxa"/>
        </w:trPr>
        <w:tc>
          <w:tcPr>
            <w:tcW w:w="992" w:type="dxa"/>
            <w:vMerge/>
            <w:vAlign w:val="center"/>
          </w:tcPr>
          <w:p w14:paraId="48C0A511" w14:textId="77777777" w:rsidR="00C147BE" w:rsidRPr="00C05134" w:rsidRDefault="00C147BE" w:rsidP="006B4611">
            <w:pPr>
              <w:widowControl w:val="0"/>
              <w:suppressAutoHyphens/>
              <w:autoSpaceDN w:val="0"/>
              <w:rPr>
                <w:rFonts w:cs="Courier New"/>
                <w:b/>
                <w:bCs/>
                <w:i/>
                <w:kern w:val="3"/>
                <w:sz w:val="22"/>
                <w:szCs w:val="22"/>
                <w:lang w:eastAsia="en-US"/>
              </w:rPr>
            </w:pPr>
          </w:p>
        </w:tc>
        <w:tc>
          <w:tcPr>
            <w:tcW w:w="2261" w:type="dxa"/>
          </w:tcPr>
          <w:p w14:paraId="21894B41" w14:textId="0E3B6D81" w:rsidR="00C147BE" w:rsidRPr="00C05134" w:rsidRDefault="00C147BE" w:rsidP="006B4611">
            <w:pPr>
              <w:pStyle w:val="Standard"/>
              <w:spacing w:after="0" w:line="240" w:lineRule="auto"/>
              <w:rPr>
                <w:rFonts w:cs="Courier New"/>
                <w:i/>
              </w:rPr>
            </w:pPr>
          </w:p>
        </w:tc>
        <w:tc>
          <w:tcPr>
            <w:tcW w:w="766" w:type="dxa"/>
          </w:tcPr>
          <w:p w14:paraId="2B18BA6E" w14:textId="18E4B293" w:rsidR="00C147BE" w:rsidRPr="00C05134" w:rsidRDefault="00C147BE" w:rsidP="006B4611">
            <w:pPr>
              <w:pStyle w:val="Standard"/>
              <w:spacing w:after="0" w:line="240" w:lineRule="auto"/>
              <w:jc w:val="both"/>
              <w:rPr>
                <w:i/>
              </w:rPr>
            </w:pPr>
          </w:p>
        </w:tc>
        <w:tc>
          <w:tcPr>
            <w:tcW w:w="1133" w:type="dxa"/>
          </w:tcPr>
          <w:p w14:paraId="6EB4E22E" w14:textId="18A37A89" w:rsidR="00C147BE" w:rsidRPr="00C05134" w:rsidRDefault="00C147BE" w:rsidP="006B4611">
            <w:pPr>
              <w:pStyle w:val="Standard"/>
              <w:spacing w:after="0" w:line="240" w:lineRule="auto"/>
              <w:jc w:val="both"/>
              <w:rPr>
                <w:i/>
              </w:rPr>
            </w:pPr>
          </w:p>
        </w:tc>
        <w:tc>
          <w:tcPr>
            <w:tcW w:w="1227" w:type="dxa"/>
          </w:tcPr>
          <w:p w14:paraId="2C55DED8" w14:textId="52A09809" w:rsidR="00C147BE" w:rsidRPr="00C05134" w:rsidRDefault="00C147BE" w:rsidP="006B4611">
            <w:pPr>
              <w:pStyle w:val="Standard"/>
              <w:spacing w:after="0" w:line="240" w:lineRule="auto"/>
              <w:jc w:val="both"/>
              <w:rPr>
                <w:i/>
              </w:rPr>
            </w:pPr>
          </w:p>
        </w:tc>
        <w:tc>
          <w:tcPr>
            <w:tcW w:w="1039" w:type="dxa"/>
          </w:tcPr>
          <w:p w14:paraId="7552E01A" w14:textId="75F568EF" w:rsidR="00C147BE" w:rsidRPr="00C05134" w:rsidRDefault="00C147BE" w:rsidP="006B4611">
            <w:pPr>
              <w:pStyle w:val="Standard"/>
              <w:spacing w:after="0" w:line="240" w:lineRule="auto"/>
              <w:jc w:val="both"/>
              <w:rPr>
                <w:i/>
              </w:rPr>
            </w:pPr>
          </w:p>
        </w:tc>
        <w:tc>
          <w:tcPr>
            <w:tcW w:w="1133" w:type="dxa"/>
          </w:tcPr>
          <w:p w14:paraId="076C4B45" w14:textId="62C78698" w:rsidR="00C147BE" w:rsidRPr="00C05134" w:rsidRDefault="00C147BE" w:rsidP="006B4611">
            <w:pPr>
              <w:pStyle w:val="Standard"/>
              <w:spacing w:after="0" w:line="240" w:lineRule="auto"/>
              <w:jc w:val="both"/>
              <w:rPr>
                <w:i/>
              </w:rPr>
            </w:pPr>
          </w:p>
        </w:tc>
        <w:tc>
          <w:tcPr>
            <w:tcW w:w="1491" w:type="dxa"/>
          </w:tcPr>
          <w:p w14:paraId="6090596D" w14:textId="1B83531B" w:rsidR="00C147BE" w:rsidRPr="00C05134" w:rsidRDefault="00C147BE" w:rsidP="006B4611">
            <w:pPr>
              <w:pStyle w:val="Standard"/>
              <w:spacing w:after="0" w:line="240" w:lineRule="auto"/>
              <w:jc w:val="both"/>
              <w:rPr>
                <w:i/>
              </w:rPr>
            </w:pPr>
          </w:p>
        </w:tc>
      </w:tr>
      <w:tr w:rsidR="00C147BE" w:rsidRPr="00FA4D1E" w14:paraId="7C41D9D4" w14:textId="77777777" w:rsidTr="006B4611">
        <w:trPr>
          <w:gridBefore w:val="1"/>
          <w:wBefore w:w="8" w:type="dxa"/>
        </w:trPr>
        <w:tc>
          <w:tcPr>
            <w:tcW w:w="992" w:type="dxa"/>
            <w:vMerge w:val="restart"/>
            <w:vAlign w:val="center"/>
          </w:tcPr>
          <w:p w14:paraId="156E9AD6" w14:textId="77777777" w:rsidR="00C147BE" w:rsidRPr="00C05134" w:rsidRDefault="00C147BE" w:rsidP="006B4611">
            <w:pPr>
              <w:pStyle w:val="Standard"/>
              <w:spacing w:after="0" w:line="240" w:lineRule="auto"/>
              <w:rPr>
                <w:b/>
                <w:bCs/>
              </w:rPr>
            </w:pPr>
            <w:r w:rsidRPr="00C05134">
              <w:rPr>
                <w:rFonts w:cs="Courier New"/>
                <w:b/>
                <w:bCs/>
                <w:i/>
              </w:rPr>
              <w:t>CWS</w:t>
            </w:r>
          </w:p>
        </w:tc>
        <w:tc>
          <w:tcPr>
            <w:tcW w:w="2261" w:type="dxa"/>
          </w:tcPr>
          <w:p w14:paraId="4F36AE4D" w14:textId="77777777" w:rsidR="00C147BE" w:rsidRPr="00C05134" w:rsidRDefault="00C147BE" w:rsidP="006B4611">
            <w:pPr>
              <w:pStyle w:val="Standard"/>
              <w:spacing w:after="0" w:line="240" w:lineRule="auto"/>
            </w:pPr>
            <w:r w:rsidRPr="00C05134">
              <w:rPr>
                <w:rFonts w:cs="Courier New"/>
                <w:i/>
              </w:rPr>
              <w:t>Risk Perception</w:t>
            </w:r>
          </w:p>
        </w:tc>
        <w:tc>
          <w:tcPr>
            <w:tcW w:w="766" w:type="dxa"/>
          </w:tcPr>
          <w:p w14:paraId="7FC9A067" w14:textId="77777777" w:rsidR="00C147BE" w:rsidRPr="00C05134" w:rsidRDefault="00C147BE" w:rsidP="006B4611">
            <w:pPr>
              <w:pStyle w:val="Standard"/>
              <w:spacing w:after="0" w:line="240" w:lineRule="auto"/>
              <w:jc w:val="both"/>
            </w:pPr>
            <w:r w:rsidRPr="00C05134">
              <w:t>1.98</w:t>
            </w:r>
          </w:p>
        </w:tc>
        <w:tc>
          <w:tcPr>
            <w:tcW w:w="1133" w:type="dxa"/>
          </w:tcPr>
          <w:p w14:paraId="751B86DA" w14:textId="77777777" w:rsidR="00C147BE" w:rsidRPr="00C05134" w:rsidRDefault="00C147BE" w:rsidP="006B4611">
            <w:pPr>
              <w:pStyle w:val="Standard"/>
              <w:spacing w:after="0" w:line="240" w:lineRule="auto"/>
              <w:jc w:val="both"/>
            </w:pPr>
            <w:r w:rsidRPr="00C05134">
              <w:t>0.27</w:t>
            </w:r>
          </w:p>
        </w:tc>
        <w:tc>
          <w:tcPr>
            <w:tcW w:w="1227" w:type="dxa"/>
          </w:tcPr>
          <w:p w14:paraId="3C1147B7" w14:textId="77777777" w:rsidR="00C147BE" w:rsidRPr="00C05134" w:rsidRDefault="00C147BE" w:rsidP="006B4611">
            <w:pPr>
              <w:pStyle w:val="Standard"/>
              <w:spacing w:after="0" w:line="240" w:lineRule="auto"/>
              <w:jc w:val="both"/>
            </w:pPr>
            <w:r w:rsidRPr="00C05134">
              <w:t>7.46</w:t>
            </w:r>
          </w:p>
        </w:tc>
        <w:tc>
          <w:tcPr>
            <w:tcW w:w="1039" w:type="dxa"/>
          </w:tcPr>
          <w:p w14:paraId="7DF90E52" w14:textId="77777777" w:rsidR="00C147BE" w:rsidRPr="00C05134" w:rsidRDefault="00C147BE" w:rsidP="006B4611">
            <w:pPr>
              <w:pStyle w:val="Standard"/>
              <w:spacing w:after="0" w:line="240" w:lineRule="auto"/>
              <w:jc w:val="both"/>
            </w:pPr>
            <w:r w:rsidRPr="00C05134">
              <w:t>&lt;0.001</w:t>
            </w:r>
          </w:p>
        </w:tc>
        <w:tc>
          <w:tcPr>
            <w:tcW w:w="1133" w:type="dxa"/>
          </w:tcPr>
          <w:p w14:paraId="56A74DA2" w14:textId="77777777" w:rsidR="00C147BE" w:rsidRPr="00C05134" w:rsidRDefault="00C147BE" w:rsidP="006B4611">
            <w:pPr>
              <w:pStyle w:val="Standard"/>
              <w:spacing w:after="0" w:line="240" w:lineRule="auto"/>
              <w:jc w:val="both"/>
              <w:rPr>
                <w:i/>
              </w:rPr>
            </w:pPr>
            <w:r w:rsidRPr="00C05134">
              <w:t>0.137</w:t>
            </w:r>
          </w:p>
        </w:tc>
        <w:tc>
          <w:tcPr>
            <w:tcW w:w="1491" w:type="dxa"/>
          </w:tcPr>
          <w:p w14:paraId="6B5A24C7" w14:textId="77777777" w:rsidR="00C147BE" w:rsidRPr="00C05134" w:rsidRDefault="00C147BE" w:rsidP="006B4611">
            <w:pPr>
              <w:pStyle w:val="Standard"/>
              <w:spacing w:after="0" w:line="240" w:lineRule="auto"/>
              <w:jc w:val="both"/>
            </w:pPr>
            <w:r w:rsidRPr="00C05134">
              <w:t>0.137</w:t>
            </w:r>
          </w:p>
        </w:tc>
      </w:tr>
      <w:tr w:rsidR="00C147BE" w:rsidRPr="00FA4D1E" w14:paraId="46D22EC1" w14:textId="77777777" w:rsidTr="006B4611">
        <w:trPr>
          <w:gridBefore w:val="1"/>
          <w:wBefore w:w="8" w:type="dxa"/>
        </w:trPr>
        <w:tc>
          <w:tcPr>
            <w:tcW w:w="992" w:type="dxa"/>
            <w:vMerge/>
            <w:vAlign w:val="center"/>
          </w:tcPr>
          <w:p w14:paraId="054E9DD2" w14:textId="77777777" w:rsidR="00C147BE" w:rsidRPr="00C05134" w:rsidRDefault="00C147BE" w:rsidP="006B4611">
            <w:pPr>
              <w:widowControl w:val="0"/>
              <w:suppressAutoHyphens/>
              <w:autoSpaceDN w:val="0"/>
              <w:rPr>
                <w:b/>
                <w:bCs/>
                <w:kern w:val="3"/>
                <w:sz w:val="22"/>
                <w:szCs w:val="22"/>
                <w:lang w:eastAsia="en-US"/>
              </w:rPr>
            </w:pPr>
          </w:p>
        </w:tc>
        <w:tc>
          <w:tcPr>
            <w:tcW w:w="2261" w:type="dxa"/>
          </w:tcPr>
          <w:p w14:paraId="340921E2" w14:textId="77777777" w:rsidR="00C147BE" w:rsidRPr="00C05134" w:rsidRDefault="00C147BE" w:rsidP="006B4611">
            <w:pPr>
              <w:pStyle w:val="Standard"/>
              <w:spacing w:after="0" w:line="240" w:lineRule="auto"/>
              <w:rPr>
                <w:rFonts w:cs="Courier New"/>
                <w:i/>
              </w:rPr>
            </w:pPr>
            <w:r w:rsidRPr="00C05134">
              <w:rPr>
                <w:rFonts w:cs="Courier New"/>
                <w:i/>
              </w:rPr>
              <w:t>BRCA2 status</w:t>
            </w:r>
          </w:p>
        </w:tc>
        <w:tc>
          <w:tcPr>
            <w:tcW w:w="766" w:type="dxa"/>
          </w:tcPr>
          <w:p w14:paraId="5D65B577" w14:textId="77777777" w:rsidR="00C147BE" w:rsidRPr="00C05134" w:rsidRDefault="00C147BE" w:rsidP="006B4611">
            <w:pPr>
              <w:pStyle w:val="Standard"/>
              <w:spacing w:after="0" w:line="240" w:lineRule="auto"/>
              <w:jc w:val="both"/>
            </w:pPr>
            <w:r w:rsidRPr="00C05134">
              <w:t>-0.07</w:t>
            </w:r>
          </w:p>
        </w:tc>
        <w:tc>
          <w:tcPr>
            <w:tcW w:w="1133" w:type="dxa"/>
          </w:tcPr>
          <w:p w14:paraId="21EF7252" w14:textId="77777777" w:rsidR="00C147BE" w:rsidRPr="00C05134" w:rsidRDefault="00C147BE" w:rsidP="006B4611">
            <w:pPr>
              <w:pStyle w:val="Standard"/>
              <w:spacing w:after="0" w:line="240" w:lineRule="auto"/>
              <w:jc w:val="both"/>
            </w:pPr>
            <w:r w:rsidRPr="00C05134">
              <w:t>0.28</w:t>
            </w:r>
          </w:p>
        </w:tc>
        <w:tc>
          <w:tcPr>
            <w:tcW w:w="1227" w:type="dxa"/>
          </w:tcPr>
          <w:p w14:paraId="7A017054" w14:textId="77777777" w:rsidR="00C147BE" w:rsidRPr="00C05134" w:rsidRDefault="00C147BE" w:rsidP="006B4611">
            <w:pPr>
              <w:pStyle w:val="Standard"/>
              <w:spacing w:after="0" w:line="240" w:lineRule="auto"/>
              <w:jc w:val="both"/>
            </w:pPr>
            <w:r w:rsidRPr="00C05134">
              <w:t>-0.24</w:t>
            </w:r>
          </w:p>
        </w:tc>
        <w:tc>
          <w:tcPr>
            <w:tcW w:w="1039" w:type="dxa"/>
          </w:tcPr>
          <w:p w14:paraId="243F3DBB" w14:textId="77777777" w:rsidR="00C147BE" w:rsidRPr="00C05134" w:rsidRDefault="00C147BE" w:rsidP="006B4611">
            <w:pPr>
              <w:pStyle w:val="Standard"/>
              <w:spacing w:after="0" w:line="240" w:lineRule="auto"/>
              <w:jc w:val="both"/>
            </w:pPr>
            <w:r w:rsidRPr="00C05134">
              <w:t>0.81</w:t>
            </w:r>
          </w:p>
        </w:tc>
        <w:tc>
          <w:tcPr>
            <w:tcW w:w="1133" w:type="dxa"/>
          </w:tcPr>
          <w:p w14:paraId="292FE21D" w14:textId="77777777" w:rsidR="00C147BE" w:rsidRPr="00C05134" w:rsidRDefault="00C147BE" w:rsidP="006B4611">
            <w:pPr>
              <w:pStyle w:val="Standard"/>
              <w:spacing w:after="0" w:line="240" w:lineRule="auto"/>
              <w:jc w:val="both"/>
              <w:rPr>
                <w:i/>
              </w:rPr>
            </w:pPr>
            <w:r w:rsidRPr="00C05134">
              <w:t>0.138</w:t>
            </w:r>
          </w:p>
        </w:tc>
        <w:tc>
          <w:tcPr>
            <w:tcW w:w="1491" w:type="dxa"/>
          </w:tcPr>
          <w:p w14:paraId="2D022856" w14:textId="77777777" w:rsidR="00C147BE" w:rsidRPr="00C05134" w:rsidRDefault="00C147BE" w:rsidP="006B4611">
            <w:pPr>
              <w:pStyle w:val="Standard"/>
              <w:spacing w:after="0" w:line="240" w:lineRule="auto"/>
              <w:jc w:val="both"/>
            </w:pPr>
            <w:r w:rsidRPr="00C05134">
              <w:t>0.001</w:t>
            </w:r>
          </w:p>
        </w:tc>
      </w:tr>
      <w:tr w:rsidR="00C147BE" w:rsidRPr="00FA4D1E" w14:paraId="52998242" w14:textId="77777777" w:rsidTr="006B4611">
        <w:trPr>
          <w:gridBefore w:val="1"/>
          <w:wBefore w:w="8" w:type="dxa"/>
        </w:trPr>
        <w:tc>
          <w:tcPr>
            <w:tcW w:w="992" w:type="dxa"/>
            <w:vMerge/>
            <w:vAlign w:val="center"/>
          </w:tcPr>
          <w:p w14:paraId="08586ED8" w14:textId="77777777" w:rsidR="00C147BE" w:rsidRPr="00C05134" w:rsidRDefault="00C147BE" w:rsidP="006B4611">
            <w:pPr>
              <w:widowControl w:val="0"/>
              <w:suppressAutoHyphens/>
              <w:autoSpaceDN w:val="0"/>
              <w:rPr>
                <w:b/>
                <w:bCs/>
                <w:kern w:val="3"/>
                <w:sz w:val="22"/>
                <w:szCs w:val="22"/>
                <w:lang w:eastAsia="en-US"/>
              </w:rPr>
            </w:pPr>
          </w:p>
        </w:tc>
        <w:tc>
          <w:tcPr>
            <w:tcW w:w="2261" w:type="dxa"/>
          </w:tcPr>
          <w:p w14:paraId="43A107F2" w14:textId="77777777" w:rsidR="00C147BE" w:rsidRPr="00C05134" w:rsidRDefault="00C147BE" w:rsidP="006B4611">
            <w:pPr>
              <w:pStyle w:val="Standard"/>
              <w:spacing w:after="0" w:line="240" w:lineRule="auto"/>
            </w:pPr>
            <w:r w:rsidRPr="00C05134">
              <w:rPr>
                <w:rFonts w:cs="Courier New"/>
                <w:i/>
              </w:rPr>
              <w:t>BRCA1 status</w:t>
            </w:r>
          </w:p>
        </w:tc>
        <w:tc>
          <w:tcPr>
            <w:tcW w:w="766" w:type="dxa"/>
          </w:tcPr>
          <w:p w14:paraId="13BAA097" w14:textId="77777777" w:rsidR="00C147BE" w:rsidRPr="00C05134" w:rsidRDefault="00C147BE" w:rsidP="006B4611">
            <w:pPr>
              <w:pStyle w:val="Standard"/>
              <w:spacing w:after="0" w:line="240" w:lineRule="auto"/>
              <w:jc w:val="both"/>
            </w:pPr>
            <w:r w:rsidRPr="00C05134">
              <w:t>0.14</w:t>
            </w:r>
          </w:p>
        </w:tc>
        <w:tc>
          <w:tcPr>
            <w:tcW w:w="1133" w:type="dxa"/>
          </w:tcPr>
          <w:p w14:paraId="79AF73E1" w14:textId="77777777" w:rsidR="00C147BE" w:rsidRPr="00C05134" w:rsidRDefault="00C147BE" w:rsidP="006B4611">
            <w:pPr>
              <w:pStyle w:val="Standard"/>
              <w:spacing w:after="0" w:line="240" w:lineRule="auto"/>
              <w:jc w:val="both"/>
            </w:pPr>
            <w:r w:rsidRPr="00C05134">
              <w:t>0.30</w:t>
            </w:r>
          </w:p>
        </w:tc>
        <w:tc>
          <w:tcPr>
            <w:tcW w:w="1227" w:type="dxa"/>
          </w:tcPr>
          <w:p w14:paraId="5AFD7353" w14:textId="77777777" w:rsidR="00C147BE" w:rsidRPr="00C05134" w:rsidRDefault="00C147BE" w:rsidP="006B4611">
            <w:pPr>
              <w:pStyle w:val="Standard"/>
              <w:spacing w:after="0" w:line="240" w:lineRule="auto"/>
              <w:jc w:val="both"/>
            </w:pPr>
            <w:r w:rsidRPr="00C05134">
              <w:t>0.47</w:t>
            </w:r>
          </w:p>
        </w:tc>
        <w:tc>
          <w:tcPr>
            <w:tcW w:w="1039" w:type="dxa"/>
          </w:tcPr>
          <w:p w14:paraId="483E2945" w14:textId="77777777" w:rsidR="00C147BE" w:rsidRPr="00C05134" w:rsidRDefault="00C147BE" w:rsidP="006B4611">
            <w:pPr>
              <w:pStyle w:val="Standard"/>
              <w:spacing w:after="0" w:line="240" w:lineRule="auto"/>
              <w:jc w:val="both"/>
            </w:pPr>
            <w:r w:rsidRPr="00C05134">
              <w:t>0.64</w:t>
            </w:r>
          </w:p>
        </w:tc>
        <w:tc>
          <w:tcPr>
            <w:tcW w:w="1133" w:type="dxa"/>
          </w:tcPr>
          <w:p w14:paraId="13C2080C" w14:textId="77777777" w:rsidR="00C147BE" w:rsidRPr="00C05134" w:rsidRDefault="00C147BE" w:rsidP="006B4611">
            <w:pPr>
              <w:pStyle w:val="Standard"/>
              <w:spacing w:after="0" w:line="240" w:lineRule="auto"/>
              <w:jc w:val="both"/>
              <w:rPr>
                <w:i/>
              </w:rPr>
            </w:pPr>
            <w:r w:rsidRPr="00C05134">
              <w:t>0.138</w:t>
            </w:r>
          </w:p>
        </w:tc>
        <w:tc>
          <w:tcPr>
            <w:tcW w:w="1491" w:type="dxa"/>
          </w:tcPr>
          <w:p w14:paraId="15BB6EE2" w14:textId="77777777" w:rsidR="00C147BE" w:rsidRPr="00C05134" w:rsidRDefault="00C147BE" w:rsidP="006B4611">
            <w:pPr>
              <w:pStyle w:val="Standard"/>
              <w:spacing w:after="0" w:line="240" w:lineRule="auto"/>
              <w:jc w:val="both"/>
            </w:pPr>
            <w:r w:rsidRPr="00C05134">
              <w:t>0.000</w:t>
            </w:r>
          </w:p>
        </w:tc>
      </w:tr>
    </w:tbl>
    <w:p w14:paraId="6626F39E" w14:textId="77777777" w:rsidR="00C147BE" w:rsidRDefault="00C147BE" w:rsidP="00C147BE">
      <w:pPr>
        <w:spacing w:after="160" w:line="259" w:lineRule="auto"/>
        <w:rPr>
          <w:rFonts w:cs="Courier New"/>
          <w:b/>
        </w:rPr>
      </w:pPr>
    </w:p>
    <w:p w14:paraId="3C8BDD09" w14:textId="77777777" w:rsidR="00C147BE" w:rsidRPr="002D29D5" w:rsidRDefault="00C147BE" w:rsidP="00064FDE">
      <w:pPr>
        <w:spacing w:after="0"/>
        <w:rPr>
          <w:rFonts w:asciiTheme="minorHAnsi" w:hAnsiTheme="minorHAnsi"/>
          <w:sz w:val="24"/>
        </w:rPr>
      </w:pPr>
    </w:p>
    <w:sectPr w:rsidR="00C147BE" w:rsidRPr="002D29D5" w:rsidSect="007D700A">
      <w:pgSz w:w="11906" w:h="16838"/>
      <w:pgMar w:top="1440" w:right="1440" w:bottom="1134"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C1322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E7B97"/>
    <w:multiLevelType w:val="multilevel"/>
    <w:tmpl w:val="3D1E090E"/>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4C260121"/>
    <w:multiLevelType w:val="multilevel"/>
    <w:tmpl w:val="1F544618"/>
    <w:styleLink w:val="WWNum1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2">
    <w:nsid w:val="511F4D65"/>
    <w:multiLevelType w:val="multilevel"/>
    <w:tmpl w:val="CBC01284"/>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52E55F7B"/>
    <w:multiLevelType w:val="multilevel"/>
    <w:tmpl w:val="5D8C3CFE"/>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54A91B14"/>
    <w:multiLevelType w:val="hybridMultilevel"/>
    <w:tmpl w:val="1A6050DC"/>
    <w:lvl w:ilvl="0" w:tplc="63EE32CC">
      <w:start w:val="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AA513FE"/>
    <w:multiLevelType w:val="multilevel"/>
    <w:tmpl w:val="3A10C030"/>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75EC3C27"/>
    <w:multiLevelType w:val="hybridMultilevel"/>
    <w:tmpl w:val="4140AD1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7F180698"/>
    <w:multiLevelType w:val="multilevel"/>
    <w:tmpl w:val="4F7CA064"/>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5"/>
  </w:num>
  <w:num w:numId="2">
    <w:abstractNumId w:val="0"/>
  </w:num>
  <w:num w:numId="3">
    <w:abstractNumId w:val="2"/>
  </w:num>
  <w:num w:numId="4">
    <w:abstractNumId w:val="7"/>
  </w:num>
  <w:num w:numId="5">
    <w:abstractNumId w:val="3"/>
  </w:num>
  <w:num w:numId="6">
    <w:abstractNumId w:val="1"/>
  </w:num>
  <w:num w:numId="7">
    <w:abstractNumId w:val="6"/>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s Eeles">
    <w15:presenceInfo w15:providerId="AD" w15:userId="S-1-5-21-2720991719-3395378957-1752411362-1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01D"/>
    <w:rsid w:val="00007B73"/>
    <w:rsid w:val="000131EB"/>
    <w:rsid w:val="00026006"/>
    <w:rsid w:val="000537F5"/>
    <w:rsid w:val="000632E6"/>
    <w:rsid w:val="00064FDE"/>
    <w:rsid w:val="00071C7A"/>
    <w:rsid w:val="000728F7"/>
    <w:rsid w:val="00077130"/>
    <w:rsid w:val="00085533"/>
    <w:rsid w:val="00086928"/>
    <w:rsid w:val="00090332"/>
    <w:rsid w:val="00091ACA"/>
    <w:rsid w:val="00092BD6"/>
    <w:rsid w:val="00096B23"/>
    <w:rsid w:val="00097389"/>
    <w:rsid w:val="000A181B"/>
    <w:rsid w:val="000A2D8C"/>
    <w:rsid w:val="000A3DA5"/>
    <w:rsid w:val="000A70F8"/>
    <w:rsid w:val="000C1C06"/>
    <w:rsid w:val="000D08EF"/>
    <w:rsid w:val="000D1ADA"/>
    <w:rsid w:val="000F1363"/>
    <w:rsid w:val="000F1404"/>
    <w:rsid w:val="000F2E73"/>
    <w:rsid w:val="000F74A2"/>
    <w:rsid w:val="0011464F"/>
    <w:rsid w:val="0012483F"/>
    <w:rsid w:val="0012734E"/>
    <w:rsid w:val="00137444"/>
    <w:rsid w:val="00152726"/>
    <w:rsid w:val="00153E67"/>
    <w:rsid w:val="001545FF"/>
    <w:rsid w:val="00156AFA"/>
    <w:rsid w:val="00156D85"/>
    <w:rsid w:val="00156F9F"/>
    <w:rsid w:val="00161B48"/>
    <w:rsid w:val="00174264"/>
    <w:rsid w:val="0017524A"/>
    <w:rsid w:val="00181070"/>
    <w:rsid w:val="00182647"/>
    <w:rsid w:val="00182A02"/>
    <w:rsid w:val="001843E1"/>
    <w:rsid w:val="00191F8D"/>
    <w:rsid w:val="001A0367"/>
    <w:rsid w:val="001A33A7"/>
    <w:rsid w:val="001B23E9"/>
    <w:rsid w:val="001C01CF"/>
    <w:rsid w:val="001C48A4"/>
    <w:rsid w:val="001C798D"/>
    <w:rsid w:val="001D1AEE"/>
    <w:rsid w:val="001E225F"/>
    <w:rsid w:val="001E45A4"/>
    <w:rsid w:val="002166CB"/>
    <w:rsid w:val="002218C8"/>
    <w:rsid w:val="00225915"/>
    <w:rsid w:val="00230B87"/>
    <w:rsid w:val="00234799"/>
    <w:rsid w:val="00254E4A"/>
    <w:rsid w:val="002751A4"/>
    <w:rsid w:val="00281F14"/>
    <w:rsid w:val="00283B3E"/>
    <w:rsid w:val="00295F3C"/>
    <w:rsid w:val="00297900"/>
    <w:rsid w:val="002A0298"/>
    <w:rsid w:val="002A65E1"/>
    <w:rsid w:val="002C3103"/>
    <w:rsid w:val="002C3480"/>
    <w:rsid w:val="002D29D5"/>
    <w:rsid w:val="002D32E4"/>
    <w:rsid w:val="002D6394"/>
    <w:rsid w:val="003017B3"/>
    <w:rsid w:val="00302D64"/>
    <w:rsid w:val="00306B0B"/>
    <w:rsid w:val="00316D38"/>
    <w:rsid w:val="00325F2D"/>
    <w:rsid w:val="00333095"/>
    <w:rsid w:val="00341574"/>
    <w:rsid w:val="00342652"/>
    <w:rsid w:val="00351E07"/>
    <w:rsid w:val="00362B4E"/>
    <w:rsid w:val="00364EA7"/>
    <w:rsid w:val="0037421C"/>
    <w:rsid w:val="0037664A"/>
    <w:rsid w:val="00376B83"/>
    <w:rsid w:val="00380121"/>
    <w:rsid w:val="00385857"/>
    <w:rsid w:val="00387ECD"/>
    <w:rsid w:val="00391357"/>
    <w:rsid w:val="003924A0"/>
    <w:rsid w:val="003944E6"/>
    <w:rsid w:val="00395029"/>
    <w:rsid w:val="003A2C92"/>
    <w:rsid w:val="003A5D32"/>
    <w:rsid w:val="003A7AE6"/>
    <w:rsid w:val="003C094A"/>
    <w:rsid w:val="003C4263"/>
    <w:rsid w:val="003D255B"/>
    <w:rsid w:val="003E13EC"/>
    <w:rsid w:val="003F5732"/>
    <w:rsid w:val="003F6BEE"/>
    <w:rsid w:val="003F7D52"/>
    <w:rsid w:val="004019A2"/>
    <w:rsid w:val="00415A86"/>
    <w:rsid w:val="00415BF5"/>
    <w:rsid w:val="00417B4C"/>
    <w:rsid w:val="0042746E"/>
    <w:rsid w:val="00427B1F"/>
    <w:rsid w:val="004321AD"/>
    <w:rsid w:val="0043638F"/>
    <w:rsid w:val="0044219B"/>
    <w:rsid w:val="00442BFB"/>
    <w:rsid w:val="00446669"/>
    <w:rsid w:val="00452C8E"/>
    <w:rsid w:val="00456EC6"/>
    <w:rsid w:val="00470732"/>
    <w:rsid w:val="00474531"/>
    <w:rsid w:val="0047752A"/>
    <w:rsid w:val="004827CB"/>
    <w:rsid w:val="00484B10"/>
    <w:rsid w:val="00494EFF"/>
    <w:rsid w:val="004A640F"/>
    <w:rsid w:val="004B110E"/>
    <w:rsid w:val="004B28D7"/>
    <w:rsid w:val="004B4261"/>
    <w:rsid w:val="004B5E79"/>
    <w:rsid w:val="004B71EE"/>
    <w:rsid w:val="004E20A7"/>
    <w:rsid w:val="004E3F02"/>
    <w:rsid w:val="0050329C"/>
    <w:rsid w:val="00513E4E"/>
    <w:rsid w:val="005140C5"/>
    <w:rsid w:val="005378A0"/>
    <w:rsid w:val="00547AF4"/>
    <w:rsid w:val="00551091"/>
    <w:rsid w:val="00553FE8"/>
    <w:rsid w:val="005641E9"/>
    <w:rsid w:val="005642F3"/>
    <w:rsid w:val="0056661E"/>
    <w:rsid w:val="0056701C"/>
    <w:rsid w:val="0057623A"/>
    <w:rsid w:val="0058055E"/>
    <w:rsid w:val="00582B31"/>
    <w:rsid w:val="00596C10"/>
    <w:rsid w:val="0059725E"/>
    <w:rsid w:val="005A3FED"/>
    <w:rsid w:val="005B2923"/>
    <w:rsid w:val="005C1429"/>
    <w:rsid w:val="005C7FA5"/>
    <w:rsid w:val="005E1795"/>
    <w:rsid w:val="005E3DF9"/>
    <w:rsid w:val="005E674B"/>
    <w:rsid w:val="005F007A"/>
    <w:rsid w:val="00603C9B"/>
    <w:rsid w:val="00604BDC"/>
    <w:rsid w:val="00604E35"/>
    <w:rsid w:val="00607E8C"/>
    <w:rsid w:val="00613981"/>
    <w:rsid w:val="00614147"/>
    <w:rsid w:val="00623825"/>
    <w:rsid w:val="00624679"/>
    <w:rsid w:val="00625667"/>
    <w:rsid w:val="006321CA"/>
    <w:rsid w:val="006429D3"/>
    <w:rsid w:val="006446B6"/>
    <w:rsid w:val="006466B9"/>
    <w:rsid w:val="006471FF"/>
    <w:rsid w:val="006502AB"/>
    <w:rsid w:val="00650665"/>
    <w:rsid w:val="00657985"/>
    <w:rsid w:val="00663F5F"/>
    <w:rsid w:val="006673A9"/>
    <w:rsid w:val="00672AC6"/>
    <w:rsid w:val="006871BD"/>
    <w:rsid w:val="00690355"/>
    <w:rsid w:val="006B004C"/>
    <w:rsid w:val="006B3EAC"/>
    <w:rsid w:val="006B4611"/>
    <w:rsid w:val="006B55B1"/>
    <w:rsid w:val="006B7783"/>
    <w:rsid w:val="006C5C73"/>
    <w:rsid w:val="006D689B"/>
    <w:rsid w:val="006E2AF9"/>
    <w:rsid w:val="006E646D"/>
    <w:rsid w:val="006F1018"/>
    <w:rsid w:val="006F60B5"/>
    <w:rsid w:val="00704316"/>
    <w:rsid w:val="007113A3"/>
    <w:rsid w:val="00712C25"/>
    <w:rsid w:val="00714024"/>
    <w:rsid w:val="00720249"/>
    <w:rsid w:val="00723544"/>
    <w:rsid w:val="00725AEC"/>
    <w:rsid w:val="007269DB"/>
    <w:rsid w:val="007300B3"/>
    <w:rsid w:val="00733C39"/>
    <w:rsid w:val="00742953"/>
    <w:rsid w:val="00744D03"/>
    <w:rsid w:val="0075253A"/>
    <w:rsid w:val="0077539E"/>
    <w:rsid w:val="007835C3"/>
    <w:rsid w:val="00793368"/>
    <w:rsid w:val="0079734C"/>
    <w:rsid w:val="007B3334"/>
    <w:rsid w:val="007C5292"/>
    <w:rsid w:val="007C537F"/>
    <w:rsid w:val="007D3942"/>
    <w:rsid w:val="007D674C"/>
    <w:rsid w:val="007D700A"/>
    <w:rsid w:val="007E7EBB"/>
    <w:rsid w:val="007F39AF"/>
    <w:rsid w:val="007F6269"/>
    <w:rsid w:val="00814CB0"/>
    <w:rsid w:val="00816948"/>
    <w:rsid w:val="00821798"/>
    <w:rsid w:val="00825333"/>
    <w:rsid w:val="0083364D"/>
    <w:rsid w:val="00842280"/>
    <w:rsid w:val="00843250"/>
    <w:rsid w:val="00845640"/>
    <w:rsid w:val="00846286"/>
    <w:rsid w:val="00857891"/>
    <w:rsid w:val="00857CD2"/>
    <w:rsid w:val="00864588"/>
    <w:rsid w:val="00866861"/>
    <w:rsid w:val="00875B57"/>
    <w:rsid w:val="00884F30"/>
    <w:rsid w:val="008A0339"/>
    <w:rsid w:val="008A27A8"/>
    <w:rsid w:val="008A4DD3"/>
    <w:rsid w:val="008C353E"/>
    <w:rsid w:val="008D175B"/>
    <w:rsid w:val="008F27BE"/>
    <w:rsid w:val="008F349A"/>
    <w:rsid w:val="00901E79"/>
    <w:rsid w:val="00904BC7"/>
    <w:rsid w:val="009244AA"/>
    <w:rsid w:val="009301AE"/>
    <w:rsid w:val="00934DCD"/>
    <w:rsid w:val="00937E92"/>
    <w:rsid w:val="0094616F"/>
    <w:rsid w:val="009500DF"/>
    <w:rsid w:val="0095240B"/>
    <w:rsid w:val="0095398A"/>
    <w:rsid w:val="00954674"/>
    <w:rsid w:val="00970C8D"/>
    <w:rsid w:val="00973219"/>
    <w:rsid w:val="00973EC7"/>
    <w:rsid w:val="00983128"/>
    <w:rsid w:val="0098456D"/>
    <w:rsid w:val="00987B39"/>
    <w:rsid w:val="00992BA9"/>
    <w:rsid w:val="009A62FB"/>
    <w:rsid w:val="009B0FE8"/>
    <w:rsid w:val="009B177B"/>
    <w:rsid w:val="009B1AD1"/>
    <w:rsid w:val="009B5143"/>
    <w:rsid w:val="009C1855"/>
    <w:rsid w:val="009C1E8F"/>
    <w:rsid w:val="009D031C"/>
    <w:rsid w:val="009D4402"/>
    <w:rsid w:val="009E156A"/>
    <w:rsid w:val="009E54FE"/>
    <w:rsid w:val="00A01BA9"/>
    <w:rsid w:val="00A05650"/>
    <w:rsid w:val="00A124AC"/>
    <w:rsid w:val="00A313F5"/>
    <w:rsid w:val="00A3620F"/>
    <w:rsid w:val="00A41635"/>
    <w:rsid w:val="00A44646"/>
    <w:rsid w:val="00A70A71"/>
    <w:rsid w:val="00A806A1"/>
    <w:rsid w:val="00A81CD8"/>
    <w:rsid w:val="00A85685"/>
    <w:rsid w:val="00A85844"/>
    <w:rsid w:val="00A910A7"/>
    <w:rsid w:val="00A92872"/>
    <w:rsid w:val="00AA0347"/>
    <w:rsid w:val="00AB3C30"/>
    <w:rsid w:val="00AD18FB"/>
    <w:rsid w:val="00AD2672"/>
    <w:rsid w:val="00AD2A91"/>
    <w:rsid w:val="00AD3468"/>
    <w:rsid w:val="00AE0845"/>
    <w:rsid w:val="00AE2430"/>
    <w:rsid w:val="00AE301D"/>
    <w:rsid w:val="00AE36CE"/>
    <w:rsid w:val="00AE4211"/>
    <w:rsid w:val="00AE64E6"/>
    <w:rsid w:val="00AE704E"/>
    <w:rsid w:val="00AE727E"/>
    <w:rsid w:val="00AF0562"/>
    <w:rsid w:val="00AF0B0A"/>
    <w:rsid w:val="00AF2AB3"/>
    <w:rsid w:val="00AF3DF4"/>
    <w:rsid w:val="00B030EF"/>
    <w:rsid w:val="00B21010"/>
    <w:rsid w:val="00B41180"/>
    <w:rsid w:val="00B42409"/>
    <w:rsid w:val="00B42A76"/>
    <w:rsid w:val="00B501AF"/>
    <w:rsid w:val="00B50C41"/>
    <w:rsid w:val="00B64D4C"/>
    <w:rsid w:val="00B70974"/>
    <w:rsid w:val="00B802E2"/>
    <w:rsid w:val="00B82C2B"/>
    <w:rsid w:val="00B86C07"/>
    <w:rsid w:val="00BB0140"/>
    <w:rsid w:val="00BB6EE8"/>
    <w:rsid w:val="00BC1DB2"/>
    <w:rsid w:val="00BE436B"/>
    <w:rsid w:val="00BE54F8"/>
    <w:rsid w:val="00BF1A0D"/>
    <w:rsid w:val="00C071DE"/>
    <w:rsid w:val="00C07525"/>
    <w:rsid w:val="00C10EBC"/>
    <w:rsid w:val="00C147BE"/>
    <w:rsid w:val="00C14EDD"/>
    <w:rsid w:val="00C26F51"/>
    <w:rsid w:val="00C31CAB"/>
    <w:rsid w:val="00C376BD"/>
    <w:rsid w:val="00C42C24"/>
    <w:rsid w:val="00C42D9B"/>
    <w:rsid w:val="00C50474"/>
    <w:rsid w:val="00C67637"/>
    <w:rsid w:val="00C71652"/>
    <w:rsid w:val="00C770D9"/>
    <w:rsid w:val="00C839CC"/>
    <w:rsid w:val="00C844C9"/>
    <w:rsid w:val="00C866DE"/>
    <w:rsid w:val="00CA0691"/>
    <w:rsid w:val="00CA663F"/>
    <w:rsid w:val="00CA78A5"/>
    <w:rsid w:val="00CB21EC"/>
    <w:rsid w:val="00CB7925"/>
    <w:rsid w:val="00CC1E77"/>
    <w:rsid w:val="00CD0C1F"/>
    <w:rsid w:val="00CD0DC8"/>
    <w:rsid w:val="00CD3A3C"/>
    <w:rsid w:val="00CE0B72"/>
    <w:rsid w:val="00CE149A"/>
    <w:rsid w:val="00CE3920"/>
    <w:rsid w:val="00CF4A98"/>
    <w:rsid w:val="00CF6B52"/>
    <w:rsid w:val="00D109CF"/>
    <w:rsid w:val="00D11090"/>
    <w:rsid w:val="00D12895"/>
    <w:rsid w:val="00D166FF"/>
    <w:rsid w:val="00D22CE2"/>
    <w:rsid w:val="00D25168"/>
    <w:rsid w:val="00D57F11"/>
    <w:rsid w:val="00D62285"/>
    <w:rsid w:val="00D73C19"/>
    <w:rsid w:val="00D748CC"/>
    <w:rsid w:val="00D94FA5"/>
    <w:rsid w:val="00D970CC"/>
    <w:rsid w:val="00DA1DB1"/>
    <w:rsid w:val="00DA523B"/>
    <w:rsid w:val="00DB3A8B"/>
    <w:rsid w:val="00DB48C0"/>
    <w:rsid w:val="00DC576D"/>
    <w:rsid w:val="00DD3E57"/>
    <w:rsid w:val="00DD69AF"/>
    <w:rsid w:val="00DE0F57"/>
    <w:rsid w:val="00DF1B6A"/>
    <w:rsid w:val="00DF4624"/>
    <w:rsid w:val="00DF5436"/>
    <w:rsid w:val="00DF7EAC"/>
    <w:rsid w:val="00E00652"/>
    <w:rsid w:val="00E02214"/>
    <w:rsid w:val="00E222A3"/>
    <w:rsid w:val="00E3134D"/>
    <w:rsid w:val="00E35A45"/>
    <w:rsid w:val="00E37A11"/>
    <w:rsid w:val="00E549F1"/>
    <w:rsid w:val="00E552AD"/>
    <w:rsid w:val="00E66C47"/>
    <w:rsid w:val="00E7686E"/>
    <w:rsid w:val="00E77393"/>
    <w:rsid w:val="00E82963"/>
    <w:rsid w:val="00EA31FA"/>
    <w:rsid w:val="00EA402C"/>
    <w:rsid w:val="00EA7288"/>
    <w:rsid w:val="00EC68E1"/>
    <w:rsid w:val="00EC7C6B"/>
    <w:rsid w:val="00ED1E06"/>
    <w:rsid w:val="00ED3E8C"/>
    <w:rsid w:val="00EF0CDD"/>
    <w:rsid w:val="00EF2B43"/>
    <w:rsid w:val="00EF4E99"/>
    <w:rsid w:val="00EF6A61"/>
    <w:rsid w:val="00F21D35"/>
    <w:rsid w:val="00F21D98"/>
    <w:rsid w:val="00F21EF9"/>
    <w:rsid w:val="00F21FAA"/>
    <w:rsid w:val="00F2469D"/>
    <w:rsid w:val="00F25EB6"/>
    <w:rsid w:val="00F37C8E"/>
    <w:rsid w:val="00F46886"/>
    <w:rsid w:val="00F46A0B"/>
    <w:rsid w:val="00F46A63"/>
    <w:rsid w:val="00F535B5"/>
    <w:rsid w:val="00F6290C"/>
    <w:rsid w:val="00F70885"/>
    <w:rsid w:val="00F7440F"/>
    <w:rsid w:val="00F744C1"/>
    <w:rsid w:val="00F76F6D"/>
    <w:rsid w:val="00FA073D"/>
    <w:rsid w:val="00FA2DF1"/>
    <w:rsid w:val="00FA4D1E"/>
    <w:rsid w:val="00FC0B76"/>
    <w:rsid w:val="00FD0991"/>
    <w:rsid w:val="00FD61B1"/>
    <w:rsid w:val="00FE016A"/>
    <w:rsid w:val="00FE466D"/>
    <w:rsid w:val="00FE4AAC"/>
    <w:rsid w:val="00FF1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10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semiHidden="0" w:unhideWhenUsed="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BF5"/>
    <w:pPr>
      <w:spacing w:after="120"/>
    </w:pPr>
    <w:rPr>
      <w:rFonts w:eastAsia="Times New Roman"/>
      <w:sz w:val="23"/>
      <w:szCs w:val="24"/>
    </w:rPr>
  </w:style>
  <w:style w:type="paragraph" w:styleId="Heading1">
    <w:name w:val="heading 1"/>
    <w:basedOn w:val="Normal"/>
    <w:next w:val="Normal"/>
    <w:link w:val="Heading1Char"/>
    <w:uiPriority w:val="99"/>
    <w:qFormat/>
    <w:rsid w:val="00A70A71"/>
    <w:pPr>
      <w:keepNext/>
      <w:keepLines/>
      <w:spacing w:before="240" w:after="0"/>
      <w:outlineLvl w:val="0"/>
    </w:pPr>
    <w:rPr>
      <w:rFonts w:ascii="Calibri Light" w:hAnsi="Calibri Light"/>
      <w:color w:val="2E74B5"/>
      <w:sz w:val="32"/>
      <w:szCs w:val="32"/>
    </w:rPr>
  </w:style>
  <w:style w:type="paragraph" w:styleId="Heading2">
    <w:name w:val="heading 2"/>
    <w:basedOn w:val="Normal"/>
    <w:next w:val="Normal"/>
    <w:link w:val="Heading2Char"/>
    <w:uiPriority w:val="99"/>
    <w:qFormat/>
    <w:rsid w:val="00415BF5"/>
    <w:pPr>
      <w:keepNext/>
      <w:keepLines/>
      <w:spacing w:before="240" w:after="40"/>
      <w:outlineLvl w:val="1"/>
    </w:pPr>
    <w:rPr>
      <w:rFonts w:ascii="Calibri Light" w:hAnsi="Calibri Light"/>
      <w:b/>
      <w:szCs w:val="26"/>
    </w:rPr>
  </w:style>
  <w:style w:type="paragraph" w:styleId="Heading3">
    <w:name w:val="heading 3"/>
    <w:basedOn w:val="Normal"/>
    <w:next w:val="Normal"/>
    <w:link w:val="Heading3Char"/>
    <w:uiPriority w:val="99"/>
    <w:qFormat/>
    <w:rsid w:val="00415BF5"/>
    <w:pPr>
      <w:keepNext/>
      <w:keepLines/>
      <w:spacing w:before="120"/>
      <w:outlineLvl w:val="2"/>
    </w:pPr>
    <w:rPr>
      <w:rFonts w:ascii="Calibri Light" w:hAnsi="Calibri Light"/>
    </w:rPr>
  </w:style>
  <w:style w:type="paragraph" w:styleId="Heading4">
    <w:name w:val="heading 4"/>
    <w:basedOn w:val="Normal"/>
    <w:next w:val="Normal"/>
    <w:link w:val="Heading4Char"/>
    <w:uiPriority w:val="99"/>
    <w:qFormat/>
    <w:rsid w:val="00415BF5"/>
    <w:pPr>
      <w:keepNext/>
      <w:keepLines/>
      <w:spacing w:before="40" w:after="60"/>
      <w:outlineLvl w:val="3"/>
    </w:pPr>
    <w:rPr>
      <w:rFonts w:ascii="Calibri Light" w:hAnsi="Calibri Light"/>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0A71"/>
    <w:rPr>
      <w:rFonts w:ascii="Calibri Light" w:hAnsi="Calibri Light" w:cs="Times New Roman"/>
      <w:color w:val="2E74B5"/>
      <w:sz w:val="32"/>
      <w:szCs w:val="32"/>
      <w:lang w:val="en-GB" w:eastAsia="en-GB"/>
    </w:rPr>
  </w:style>
  <w:style w:type="character" w:customStyle="1" w:styleId="Heading2Char">
    <w:name w:val="Heading 2 Char"/>
    <w:basedOn w:val="DefaultParagraphFont"/>
    <w:link w:val="Heading2"/>
    <w:uiPriority w:val="99"/>
    <w:locked/>
    <w:rsid w:val="00415BF5"/>
    <w:rPr>
      <w:rFonts w:ascii="Calibri Light" w:hAnsi="Calibri Light" w:cs="Times New Roman"/>
      <w:b/>
      <w:sz w:val="26"/>
      <w:szCs w:val="26"/>
      <w:lang w:val="en-GB" w:eastAsia="en-GB"/>
    </w:rPr>
  </w:style>
  <w:style w:type="character" w:customStyle="1" w:styleId="Heading3Char">
    <w:name w:val="Heading 3 Char"/>
    <w:basedOn w:val="DefaultParagraphFont"/>
    <w:link w:val="Heading3"/>
    <w:uiPriority w:val="99"/>
    <w:locked/>
    <w:rsid w:val="00415BF5"/>
    <w:rPr>
      <w:rFonts w:ascii="Calibri Light" w:hAnsi="Calibri Light" w:cs="Times New Roman"/>
      <w:sz w:val="24"/>
      <w:szCs w:val="24"/>
      <w:lang w:val="en-GB" w:eastAsia="en-GB"/>
    </w:rPr>
  </w:style>
  <w:style w:type="character" w:customStyle="1" w:styleId="Heading4Char">
    <w:name w:val="Heading 4 Char"/>
    <w:basedOn w:val="DefaultParagraphFont"/>
    <w:link w:val="Heading4"/>
    <w:uiPriority w:val="99"/>
    <w:locked/>
    <w:rsid w:val="00415BF5"/>
    <w:rPr>
      <w:rFonts w:ascii="Calibri Light" w:hAnsi="Calibri Light" w:cs="Times New Roman"/>
      <w:i/>
      <w:iCs/>
      <w:sz w:val="24"/>
      <w:szCs w:val="24"/>
      <w:lang w:val="en-GB" w:eastAsia="en-GB"/>
    </w:rPr>
  </w:style>
  <w:style w:type="character" w:styleId="Strong">
    <w:name w:val="Strong"/>
    <w:basedOn w:val="DefaultParagraphFont"/>
    <w:uiPriority w:val="99"/>
    <w:qFormat/>
    <w:rsid w:val="00AE301D"/>
    <w:rPr>
      <w:rFonts w:cs="Times New Roman"/>
      <w:b/>
    </w:rPr>
  </w:style>
  <w:style w:type="character" w:styleId="CommentReference">
    <w:name w:val="annotation reference"/>
    <w:basedOn w:val="DefaultParagraphFont"/>
    <w:uiPriority w:val="99"/>
    <w:rsid w:val="00AE301D"/>
    <w:rPr>
      <w:rFonts w:cs="Times New Roman"/>
      <w:sz w:val="16"/>
    </w:rPr>
  </w:style>
  <w:style w:type="paragraph" w:styleId="CommentText">
    <w:name w:val="annotation text"/>
    <w:basedOn w:val="Normal"/>
    <w:link w:val="CommentTextChar"/>
    <w:uiPriority w:val="99"/>
    <w:rsid w:val="00AE301D"/>
    <w:rPr>
      <w:sz w:val="20"/>
      <w:szCs w:val="20"/>
    </w:rPr>
  </w:style>
  <w:style w:type="character" w:customStyle="1" w:styleId="CommentTextChar">
    <w:name w:val="Comment Text Char"/>
    <w:basedOn w:val="DefaultParagraphFont"/>
    <w:link w:val="CommentText"/>
    <w:uiPriority w:val="99"/>
    <w:locked/>
    <w:rsid w:val="00AE301D"/>
    <w:rPr>
      <w:rFonts w:ascii="Times New Roman" w:hAnsi="Times New Roman" w:cs="Times New Roman"/>
      <w:sz w:val="20"/>
      <w:szCs w:val="20"/>
      <w:lang w:val="en-GB" w:eastAsia="en-GB"/>
    </w:rPr>
  </w:style>
  <w:style w:type="paragraph" w:styleId="BalloonText">
    <w:name w:val="Balloon Text"/>
    <w:basedOn w:val="Normal"/>
    <w:link w:val="BalloonTextChar"/>
    <w:uiPriority w:val="99"/>
    <w:semiHidden/>
    <w:rsid w:val="00AE301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E301D"/>
    <w:rPr>
      <w:rFonts w:ascii="Segoe UI" w:hAnsi="Segoe UI" w:cs="Segoe UI"/>
      <w:sz w:val="18"/>
      <w:szCs w:val="18"/>
      <w:lang w:val="en-GB" w:eastAsia="en-GB"/>
    </w:rPr>
  </w:style>
  <w:style w:type="paragraph" w:styleId="CommentSubject">
    <w:name w:val="annotation subject"/>
    <w:basedOn w:val="CommentText"/>
    <w:next w:val="CommentText"/>
    <w:link w:val="CommentSubjectChar"/>
    <w:uiPriority w:val="99"/>
    <w:semiHidden/>
    <w:rsid w:val="00AE301D"/>
    <w:rPr>
      <w:b/>
      <w:bCs/>
    </w:rPr>
  </w:style>
  <w:style w:type="character" w:customStyle="1" w:styleId="CommentSubjectChar">
    <w:name w:val="Comment Subject Char"/>
    <w:basedOn w:val="CommentTextChar"/>
    <w:link w:val="CommentSubject"/>
    <w:uiPriority w:val="99"/>
    <w:semiHidden/>
    <w:locked/>
    <w:rsid w:val="00AE301D"/>
    <w:rPr>
      <w:rFonts w:ascii="Times New Roman" w:hAnsi="Times New Roman" w:cs="Times New Roman"/>
      <w:b/>
      <w:bCs/>
      <w:sz w:val="20"/>
      <w:szCs w:val="20"/>
      <w:lang w:val="en-GB" w:eastAsia="en-GB"/>
    </w:rPr>
  </w:style>
  <w:style w:type="table" w:styleId="TableGrid">
    <w:name w:val="Table Grid"/>
    <w:basedOn w:val="TableNormal"/>
    <w:uiPriority w:val="99"/>
    <w:rsid w:val="00333095"/>
    <w:rPr>
      <w:rFonts w:ascii="Times New Roman" w:eastAsia="Times New Roman" w:hAnsi="Times New Roman"/>
      <w:sz w:val="20"/>
      <w:szCs w:val="20"/>
      <w:lang w:val="nl-NL"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442BFB"/>
    <w:pPr>
      <w:suppressAutoHyphens/>
      <w:autoSpaceDN w:val="0"/>
      <w:spacing w:after="200" w:line="276" w:lineRule="auto"/>
      <w:textAlignment w:val="baseline"/>
    </w:pPr>
    <w:rPr>
      <w:rFonts w:eastAsia="SimSun" w:cs="F"/>
      <w:kern w:val="3"/>
      <w:lang w:eastAsia="en-US"/>
    </w:rPr>
  </w:style>
  <w:style w:type="paragraph" w:styleId="ListParagraph">
    <w:name w:val="List Paragraph"/>
    <w:basedOn w:val="Standard"/>
    <w:uiPriority w:val="99"/>
    <w:qFormat/>
    <w:rsid w:val="00442BFB"/>
    <w:pPr>
      <w:ind w:left="720"/>
    </w:pPr>
  </w:style>
  <w:style w:type="paragraph" w:styleId="Caption">
    <w:name w:val="caption"/>
    <w:basedOn w:val="Normal"/>
    <w:next w:val="Normal"/>
    <w:uiPriority w:val="99"/>
    <w:qFormat/>
    <w:rsid w:val="00442BFB"/>
    <w:pPr>
      <w:spacing w:after="200"/>
    </w:pPr>
    <w:rPr>
      <w:i/>
      <w:iCs/>
      <w:color w:val="44546A"/>
      <w:sz w:val="18"/>
      <w:szCs w:val="18"/>
    </w:rPr>
  </w:style>
  <w:style w:type="paragraph" w:styleId="NormalWeb">
    <w:name w:val="Normal (Web)"/>
    <w:basedOn w:val="Normal"/>
    <w:uiPriority w:val="99"/>
    <w:semiHidden/>
    <w:rsid w:val="002A65E1"/>
    <w:rPr>
      <w:rFonts w:eastAsia="Calibri"/>
    </w:rPr>
  </w:style>
  <w:style w:type="paragraph" w:styleId="Revision">
    <w:name w:val="Revision"/>
    <w:hidden/>
    <w:uiPriority w:val="99"/>
    <w:semiHidden/>
    <w:rsid w:val="00D57F11"/>
    <w:rPr>
      <w:rFonts w:ascii="Times New Roman" w:eastAsia="Times New Roman" w:hAnsi="Times New Roman"/>
      <w:sz w:val="24"/>
      <w:szCs w:val="24"/>
    </w:rPr>
  </w:style>
  <w:style w:type="table" w:customStyle="1" w:styleId="PlainTable21">
    <w:name w:val="Plain Table 21"/>
    <w:uiPriority w:val="99"/>
    <w:rsid w:val="00CE3920"/>
    <w:pPr>
      <w:widowControl w:val="0"/>
      <w:suppressAutoHyphens/>
      <w:autoSpaceDN w:val="0"/>
    </w:pPr>
    <w:rPr>
      <w:rFonts w:eastAsia="SimSun" w:cs="F"/>
      <w:kern w:val="3"/>
      <w:sz w:val="20"/>
      <w:szCs w:val="20"/>
      <w:lang w:val="en-AU" w:eastAsia="en-AU"/>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rFonts w:cs="F"/>
        <w:b/>
        <w:bCs/>
      </w:rPr>
      <w:tblPr/>
      <w:tcPr>
        <w:tcBorders>
          <w:bottom w:val="single" w:sz="4" w:space="0" w:color="7F7F7F"/>
        </w:tcBorders>
      </w:tcPr>
    </w:tblStylePr>
    <w:tblStylePr w:type="lastRow">
      <w:rPr>
        <w:rFonts w:cs="F"/>
        <w:b/>
        <w:bCs/>
      </w:rPr>
      <w:tblPr/>
      <w:tcPr>
        <w:tcBorders>
          <w:top w:val="single" w:sz="4" w:space="0" w:color="7F7F7F"/>
        </w:tcBorders>
      </w:tcPr>
    </w:tblStylePr>
    <w:tblStylePr w:type="firstCol">
      <w:rPr>
        <w:rFonts w:cs="F"/>
        <w:b/>
        <w:bCs/>
      </w:rPr>
    </w:tblStylePr>
    <w:tblStylePr w:type="lastCol">
      <w:rPr>
        <w:rFonts w:cs="F"/>
        <w:b/>
        <w:bCs/>
      </w:rPr>
    </w:tblStylePr>
    <w:tblStylePr w:type="band1Vert">
      <w:rPr>
        <w:rFonts w:cs="F"/>
      </w:rPr>
      <w:tblPr/>
      <w:tcPr>
        <w:tcBorders>
          <w:left w:val="single" w:sz="4" w:space="0" w:color="7F7F7F"/>
          <w:right w:val="single" w:sz="4" w:space="0" w:color="7F7F7F"/>
        </w:tcBorders>
      </w:tcPr>
    </w:tblStylePr>
    <w:tblStylePr w:type="band2Vert">
      <w:rPr>
        <w:rFonts w:cs="F"/>
      </w:rPr>
      <w:tblPr/>
      <w:tcPr>
        <w:tcBorders>
          <w:left w:val="single" w:sz="4" w:space="0" w:color="7F7F7F"/>
          <w:right w:val="single" w:sz="4" w:space="0" w:color="7F7F7F"/>
        </w:tcBorders>
      </w:tcPr>
    </w:tblStylePr>
    <w:tblStylePr w:type="band1Horz">
      <w:rPr>
        <w:rFonts w:cs="F"/>
      </w:rPr>
      <w:tblPr/>
      <w:tcPr>
        <w:tcBorders>
          <w:top w:val="single" w:sz="4" w:space="0" w:color="7F7F7F"/>
          <w:bottom w:val="single" w:sz="4" w:space="0" w:color="7F7F7F"/>
        </w:tcBorders>
      </w:tcPr>
    </w:tblStylePr>
  </w:style>
  <w:style w:type="paragraph" w:styleId="NoSpacing">
    <w:name w:val="No Spacing"/>
    <w:uiPriority w:val="99"/>
    <w:qFormat/>
    <w:rsid w:val="009C1E8F"/>
    <w:rPr>
      <w:rFonts w:eastAsia="Times New Roman"/>
      <w:sz w:val="23"/>
      <w:szCs w:val="24"/>
    </w:rPr>
  </w:style>
  <w:style w:type="numbering" w:customStyle="1" w:styleId="WWNum6">
    <w:name w:val="WWNum6"/>
    <w:rsid w:val="001D632A"/>
    <w:pPr>
      <w:numPr>
        <w:numId w:val="2"/>
      </w:numPr>
    </w:pPr>
  </w:style>
  <w:style w:type="numbering" w:customStyle="1" w:styleId="WWNum12">
    <w:name w:val="WWNum12"/>
    <w:rsid w:val="001D632A"/>
    <w:pPr>
      <w:numPr>
        <w:numId w:val="6"/>
      </w:numPr>
    </w:pPr>
  </w:style>
  <w:style w:type="numbering" w:customStyle="1" w:styleId="WWNum7">
    <w:name w:val="WWNum7"/>
    <w:rsid w:val="001D632A"/>
    <w:pPr>
      <w:numPr>
        <w:numId w:val="3"/>
      </w:numPr>
    </w:pPr>
  </w:style>
  <w:style w:type="numbering" w:customStyle="1" w:styleId="WWNum10">
    <w:name w:val="WWNum10"/>
    <w:rsid w:val="001D632A"/>
    <w:pPr>
      <w:numPr>
        <w:numId w:val="5"/>
      </w:numPr>
    </w:pPr>
  </w:style>
  <w:style w:type="numbering" w:customStyle="1" w:styleId="WWNum5">
    <w:name w:val="WWNum5"/>
    <w:rsid w:val="001D632A"/>
    <w:pPr>
      <w:numPr>
        <w:numId w:val="1"/>
      </w:numPr>
    </w:pPr>
  </w:style>
  <w:style w:type="numbering" w:customStyle="1" w:styleId="WWNum9">
    <w:name w:val="WWNum9"/>
    <w:rsid w:val="001D632A"/>
    <w:pPr>
      <w:numPr>
        <w:numId w:val="4"/>
      </w:numPr>
    </w:pPr>
  </w:style>
  <w:style w:type="paragraph" w:customStyle="1" w:styleId="BodyA">
    <w:name w:val="Body A"/>
    <w:rsid w:val="007D700A"/>
    <w:pPr>
      <w:pBdr>
        <w:top w:val="nil"/>
        <w:left w:val="nil"/>
        <w:bottom w:val="nil"/>
        <w:right w:val="nil"/>
        <w:between w:val="nil"/>
        <w:bar w:val="nil"/>
      </w:pBdr>
    </w:pPr>
    <w:rPr>
      <w:rFonts w:ascii="Times New Roman" w:eastAsia="Arial Unicode MS" w:hAnsi="Arial Unicode MS" w:cs="Arial Unicode MS"/>
      <w:color w:val="000000"/>
      <w:sz w:val="32"/>
      <w:szCs w:val="32"/>
      <w:u w:color="000000"/>
      <w:bdr w:val="nil"/>
      <w:lang w:val="en-US"/>
    </w:rPr>
  </w:style>
  <w:style w:type="character" w:customStyle="1" w:styleId="Hyperlink0">
    <w:name w:val="Hyperlink.0"/>
    <w:rsid w:val="007D700A"/>
    <w:rPr>
      <w:rFonts w:ascii="Calibri" w:eastAsia="Calibri" w:hAnsi="Calibri" w:cs="Calibri"/>
      <w:sz w:val="24"/>
      <w:szCs w:val="24"/>
      <w:u w:val="single"/>
      <w:lang w:val="en-US"/>
    </w:rPr>
  </w:style>
  <w:style w:type="character" w:styleId="Hyperlink">
    <w:name w:val="Hyperlink"/>
    <w:basedOn w:val="DefaultParagraphFont"/>
    <w:uiPriority w:val="99"/>
    <w:unhideWhenUsed/>
    <w:rsid w:val="007D700A"/>
    <w:rPr>
      <w:color w:val="0000FF" w:themeColor="hyperlink"/>
      <w:u w:val="single"/>
    </w:rPr>
  </w:style>
  <w:style w:type="table" w:customStyle="1" w:styleId="TableGrid1">
    <w:name w:val="Table Grid1"/>
    <w:basedOn w:val="TableNormal"/>
    <w:next w:val="TableGrid"/>
    <w:uiPriority w:val="59"/>
    <w:rsid w:val="000F74A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864588"/>
    <w:pPr>
      <w:spacing w:after="0"/>
    </w:pPr>
    <w:rPr>
      <w:rFonts w:ascii="Times New Roman" w:hAnsi="Times New Roman"/>
      <w:sz w:val="24"/>
    </w:rPr>
  </w:style>
  <w:style w:type="character" w:customStyle="1" w:styleId="DocumentMapChar">
    <w:name w:val="Document Map Char"/>
    <w:basedOn w:val="DefaultParagraphFont"/>
    <w:link w:val="DocumentMap"/>
    <w:uiPriority w:val="99"/>
    <w:semiHidden/>
    <w:rsid w:val="00864588"/>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semiHidden="0" w:unhideWhenUsed="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BF5"/>
    <w:pPr>
      <w:spacing w:after="120"/>
    </w:pPr>
    <w:rPr>
      <w:rFonts w:eastAsia="Times New Roman"/>
      <w:sz w:val="23"/>
      <w:szCs w:val="24"/>
    </w:rPr>
  </w:style>
  <w:style w:type="paragraph" w:styleId="Heading1">
    <w:name w:val="heading 1"/>
    <w:basedOn w:val="Normal"/>
    <w:next w:val="Normal"/>
    <w:link w:val="Heading1Char"/>
    <w:uiPriority w:val="99"/>
    <w:qFormat/>
    <w:rsid w:val="00A70A71"/>
    <w:pPr>
      <w:keepNext/>
      <w:keepLines/>
      <w:spacing w:before="240" w:after="0"/>
      <w:outlineLvl w:val="0"/>
    </w:pPr>
    <w:rPr>
      <w:rFonts w:ascii="Calibri Light" w:hAnsi="Calibri Light"/>
      <w:color w:val="2E74B5"/>
      <w:sz w:val="32"/>
      <w:szCs w:val="32"/>
    </w:rPr>
  </w:style>
  <w:style w:type="paragraph" w:styleId="Heading2">
    <w:name w:val="heading 2"/>
    <w:basedOn w:val="Normal"/>
    <w:next w:val="Normal"/>
    <w:link w:val="Heading2Char"/>
    <w:uiPriority w:val="99"/>
    <w:qFormat/>
    <w:rsid w:val="00415BF5"/>
    <w:pPr>
      <w:keepNext/>
      <w:keepLines/>
      <w:spacing w:before="240" w:after="40"/>
      <w:outlineLvl w:val="1"/>
    </w:pPr>
    <w:rPr>
      <w:rFonts w:ascii="Calibri Light" w:hAnsi="Calibri Light"/>
      <w:b/>
      <w:szCs w:val="26"/>
    </w:rPr>
  </w:style>
  <w:style w:type="paragraph" w:styleId="Heading3">
    <w:name w:val="heading 3"/>
    <w:basedOn w:val="Normal"/>
    <w:next w:val="Normal"/>
    <w:link w:val="Heading3Char"/>
    <w:uiPriority w:val="99"/>
    <w:qFormat/>
    <w:rsid w:val="00415BF5"/>
    <w:pPr>
      <w:keepNext/>
      <w:keepLines/>
      <w:spacing w:before="120"/>
      <w:outlineLvl w:val="2"/>
    </w:pPr>
    <w:rPr>
      <w:rFonts w:ascii="Calibri Light" w:hAnsi="Calibri Light"/>
    </w:rPr>
  </w:style>
  <w:style w:type="paragraph" w:styleId="Heading4">
    <w:name w:val="heading 4"/>
    <w:basedOn w:val="Normal"/>
    <w:next w:val="Normal"/>
    <w:link w:val="Heading4Char"/>
    <w:uiPriority w:val="99"/>
    <w:qFormat/>
    <w:rsid w:val="00415BF5"/>
    <w:pPr>
      <w:keepNext/>
      <w:keepLines/>
      <w:spacing w:before="40" w:after="60"/>
      <w:outlineLvl w:val="3"/>
    </w:pPr>
    <w:rPr>
      <w:rFonts w:ascii="Calibri Light" w:hAnsi="Calibri Light"/>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0A71"/>
    <w:rPr>
      <w:rFonts w:ascii="Calibri Light" w:hAnsi="Calibri Light" w:cs="Times New Roman"/>
      <w:color w:val="2E74B5"/>
      <w:sz w:val="32"/>
      <w:szCs w:val="32"/>
      <w:lang w:val="en-GB" w:eastAsia="en-GB"/>
    </w:rPr>
  </w:style>
  <w:style w:type="character" w:customStyle="1" w:styleId="Heading2Char">
    <w:name w:val="Heading 2 Char"/>
    <w:basedOn w:val="DefaultParagraphFont"/>
    <w:link w:val="Heading2"/>
    <w:uiPriority w:val="99"/>
    <w:locked/>
    <w:rsid w:val="00415BF5"/>
    <w:rPr>
      <w:rFonts w:ascii="Calibri Light" w:hAnsi="Calibri Light" w:cs="Times New Roman"/>
      <w:b/>
      <w:sz w:val="26"/>
      <w:szCs w:val="26"/>
      <w:lang w:val="en-GB" w:eastAsia="en-GB"/>
    </w:rPr>
  </w:style>
  <w:style w:type="character" w:customStyle="1" w:styleId="Heading3Char">
    <w:name w:val="Heading 3 Char"/>
    <w:basedOn w:val="DefaultParagraphFont"/>
    <w:link w:val="Heading3"/>
    <w:uiPriority w:val="99"/>
    <w:locked/>
    <w:rsid w:val="00415BF5"/>
    <w:rPr>
      <w:rFonts w:ascii="Calibri Light" w:hAnsi="Calibri Light" w:cs="Times New Roman"/>
      <w:sz w:val="24"/>
      <w:szCs w:val="24"/>
      <w:lang w:val="en-GB" w:eastAsia="en-GB"/>
    </w:rPr>
  </w:style>
  <w:style w:type="character" w:customStyle="1" w:styleId="Heading4Char">
    <w:name w:val="Heading 4 Char"/>
    <w:basedOn w:val="DefaultParagraphFont"/>
    <w:link w:val="Heading4"/>
    <w:uiPriority w:val="99"/>
    <w:locked/>
    <w:rsid w:val="00415BF5"/>
    <w:rPr>
      <w:rFonts w:ascii="Calibri Light" w:hAnsi="Calibri Light" w:cs="Times New Roman"/>
      <w:i/>
      <w:iCs/>
      <w:sz w:val="24"/>
      <w:szCs w:val="24"/>
      <w:lang w:val="en-GB" w:eastAsia="en-GB"/>
    </w:rPr>
  </w:style>
  <w:style w:type="character" w:styleId="Strong">
    <w:name w:val="Strong"/>
    <w:basedOn w:val="DefaultParagraphFont"/>
    <w:uiPriority w:val="99"/>
    <w:qFormat/>
    <w:rsid w:val="00AE301D"/>
    <w:rPr>
      <w:rFonts w:cs="Times New Roman"/>
      <w:b/>
    </w:rPr>
  </w:style>
  <w:style w:type="character" w:styleId="CommentReference">
    <w:name w:val="annotation reference"/>
    <w:basedOn w:val="DefaultParagraphFont"/>
    <w:uiPriority w:val="99"/>
    <w:rsid w:val="00AE301D"/>
    <w:rPr>
      <w:rFonts w:cs="Times New Roman"/>
      <w:sz w:val="16"/>
    </w:rPr>
  </w:style>
  <w:style w:type="paragraph" w:styleId="CommentText">
    <w:name w:val="annotation text"/>
    <w:basedOn w:val="Normal"/>
    <w:link w:val="CommentTextChar"/>
    <w:uiPriority w:val="99"/>
    <w:rsid w:val="00AE301D"/>
    <w:rPr>
      <w:sz w:val="20"/>
      <w:szCs w:val="20"/>
    </w:rPr>
  </w:style>
  <w:style w:type="character" w:customStyle="1" w:styleId="CommentTextChar">
    <w:name w:val="Comment Text Char"/>
    <w:basedOn w:val="DefaultParagraphFont"/>
    <w:link w:val="CommentText"/>
    <w:uiPriority w:val="99"/>
    <w:locked/>
    <w:rsid w:val="00AE301D"/>
    <w:rPr>
      <w:rFonts w:ascii="Times New Roman" w:hAnsi="Times New Roman" w:cs="Times New Roman"/>
      <w:sz w:val="20"/>
      <w:szCs w:val="20"/>
      <w:lang w:val="en-GB" w:eastAsia="en-GB"/>
    </w:rPr>
  </w:style>
  <w:style w:type="paragraph" w:styleId="BalloonText">
    <w:name w:val="Balloon Text"/>
    <w:basedOn w:val="Normal"/>
    <w:link w:val="BalloonTextChar"/>
    <w:uiPriority w:val="99"/>
    <w:semiHidden/>
    <w:rsid w:val="00AE301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E301D"/>
    <w:rPr>
      <w:rFonts w:ascii="Segoe UI" w:hAnsi="Segoe UI" w:cs="Segoe UI"/>
      <w:sz w:val="18"/>
      <w:szCs w:val="18"/>
      <w:lang w:val="en-GB" w:eastAsia="en-GB"/>
    </w:rPr>
  </w:style>
  <w:style w:type="paragraph" w:styleId="CommentSubject">
    <w:name w:val="annotation subject"/>
    <w:basedOn w:val="CommentText"/>
    <w:next w:val="CommentText"/>
    <w:link w:val="CommentSubjectChar"/>
    <w:uiPriority w:val="99"/>
    <w:semiHidden/>
    <w:rsid w:val="00AE301D"/>
    <w:rPr>
      <w:b/>
      <w:bCs/>
    </w:rPr>
  </w:style>
  <w:style w:type="character" w:customStyle="1" w:styleId="CommentSubjectChar">
    <w:name w:val="Comment Subject Char"/>
    <w:basedOn w:val="CommentTextChar"/>
    <w:link w:val="CommentSubject"/>
    <w:uiPriority w:val="99"/>
    <w:semiHidden/>
    <w:locked/>
    <w:rsid w:val="00AE301D"/>
    <w:rPr>
      <w:rFonts w:ascii="Times New Roman" w:hAnsi="Times New Roman" w:cs="Times New Roman"/>
      <w:b/>
      <w:bCs/>
      <w:sz w:val="20"/>
      <w:szCs w:val="20"/>
      <w:lang w:val="en-GB" w:eastAsia="en-GB"/>
    </w:rPr>
  </w:style>
  <w:style w:type="table" w:styleId="TableGrid">
    <w:name w:val="Table Grid"/>
    <w:basedOn w:val="TableNormal"/>
    <w:uiPriority w:val="99"/>
    <w:rsid w:val="00333095"/>
    <w:rPr>
      <w:rFonts w:ascii="Times New Roman" w:eastAsia="Times New Roman" w:hAnsi="Times New Roman"/>
      <w:sz w:val="20"/>
      <w:szCs w:val="20"/>
      <w:lang w:val="nl-NL"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442BFB"/>
    <w:pPr>
      <w:suppressAutoHyphens/>
      <w:autoSpaceDN w:val="0"/>
      <w:spacing w:after="200" w:line="276" w:lineRule="auto"/>
      <w:textAlignment w:val="baseline"/>
    </w:pPr>
    <w:rPr>
      <w:rFonts w:eastAsia="SimSun" w:cs="F"/>
      <w:kern w:val="3"/>
      <w:lang w:eastAsia="en-US"/>
    </w:rPr>
  </w:style>
  <w:style w:type="paragraph" w:styleId="ListParagraph">
    <w:name w:val="List Paragraph"/>
    <w:basedOn w:val="Standard"/>
    <w:uiPriority w:val="99"/>
    <w:qFormat/>
    <w:rsid w:val="00442BFB"/>
    <w:pPr>
      <w:ind w:left="720"/>
    </w:pPr>
  </w:style>
  <w:style w:type="paragraph" w:styleId="Caption">
    <w:name w:val="caption"/>
    <w:basedOn w:val="Normal"/>
    <w:next w:val="Normal"/>
    <w:uiPriority w:val="99"/>
    <w:qFormat/>
    <w:rsid w:val="00442BFB"/>
    <w:pPr>
      <w:spacing w:after="200"/>
    </w:pPr>
    <w:rPr>
      <w:i/>
      <w:iCs/>
      <w:color w:val="44546A"/>
      <w:sz w:val="18"/>
      <w:szCs w:val="18"/>
    </w:rPr>
  </w:style>
  <w:style w:type="paragraph" w:styleId="NormalWeb">
    <w:name w:val="Normal (Web)"/>
    <w:basedOn w:val="Normal"/>
    <w:uiPriority w:val="99"/>
    <w:semiHidden/>
    <w:rsid w:val="002A65E1"/>
    <w:rPr>
      <w:rFonts w:eastAsia="Calibri"/>
    </w:rPr>
  </w:style>
  <w:style w:type="paragraph" w:styleId="Revision">
    <w:name w:val="Revision"/>
    <w:hidden/>
    <w:uiPriority w:val="99"/>
    <w:semiHidden/>
    <w:rsid w:val="00D57F11"/>
    <w:rPr>
      <w:rFonts w:ascii="Times New Roman" w:eastAsia="Times New Roman" w:hAnsi="Times New Roman"/>
      <w:sz w:val="24"/>
      <w:szCs w:val="24"/>
    </w:rPr>
  </w:style>
  <w:style w:type="table" w:customStyle="1" w:styleId="PlainTable21">
    <w:name w:val="Plain Table 21"/>
    <w:uiPriority w:val="99"/>
    <w:rsid w:val="00CE3920"/>
    <w:pPr>
      <w:widowControl w:val="0"/>
      <w:suppressAutoHyphens/>
      <w:autoSpaceDN w:val="0"/>
    </w:pPr>
    <w:rPr>
      <w:rFonts w:eastAsia="SimSun" w:cs="F"/>
      <w:kern w:val="3"/>
      <w:sz w:val="20"/>
      <w:szCs w:val="20"/>
      <w:lang w:val="en-AU" w:eastAsia="en-AU"/>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rFonts w:cs="F"/>
        <w:b/>
        <w:bCs/>
      </w:rPr>
      <w:tblPr/>
      <w:tcPr>
        <w:tcBorders>
          <w:bottom w:val="single" w:sz="4" w:space="0" w:color="7F7F7F"/>
        </w:tcBorders>
      </w:tcPr>
    </w:tblStylePr>
    <w:tblStylePr w:type="lastRow">
      <w:rPr>
        <w:rFonts w:cs="F"/>
        <w:b/>
        <w:bCs/>
      </w:rPr>
      <w:tblPr/>
      <w:tcPr>
        <w:tcBorders>
          <w:top w:val="single" w:sz="4" w:space="0" w:color="7F7F7F"/>
        </w:tcBorders>
      </w:tcPr>
    </w:tblStylePr>
    <w:tblStylePr w:type="firstCol">
      <w:rPr>
        <w:rFonts w:cs="F"/>
        <w:b/>
        <w:bCs/>
      </w:rPr>
    </w:tblStylePr>
    <w:tblStylePr w:type="lastCol">
      <w:rPr>
        <w:rFonts w:cs="F"/>
        <w:b/>
        <w:bCs/>
      </w:rPr>
    </w:tblStylePr>
    <w:tblStylePr w:type="band1Vert">
      <w:rPr>
        <w:rFonts w:cs="F"/>
      </w:rPr>
      <w:tblPr/>
      <w:tcPr>
        <w:tcBorders>
          <w:left w:val="single" w:sz="4" w:space="0" w:color="7F7F7F"/>
          <w:right w:val="single" w:sz="4" w:space="0" w:color="7F7F7F"/>
        </w:tcBorders>
      </w:tcPr>
    </w:tblStylePr>
    <w:tblStylePr w:type="band2Vert">
      <w:rPr>
        <w:rFonts w:cs="F"/>
      </w:rPr>
      <w:tblPr/>
      <w:tcPr>
        <w:tcBorders>
          <w:left w:val="single" w:sz="4" w:space="0" w:color="7F7F7F"/>
          <w:right w:val="single" w:sz="4" w:space="0" w:color="7F7F7F"/>
        </w:tcBorders>
      </w:tcPr>
    </w:tblStylePr>
    <w:tblStylePr w:type="band1Horz">
      <w:rPr>
        <w:rFonts w:cs="F"/>
      </w:rPr>
      <w:tblPr/>
      <w:tcPr>
        <w:tcBorders>
          <w:top w:val="single" w:sz="4" w:space="0" w:color="7F7F7F"/>
          <w:bottom w:val="single" w:sz="4" w:space="0" w:color="7F7F7F"/>
        </w:tcBorders>
      </w:tcPr>
    </w:tblStylePr>
  </w:style>
  <w:style w:type="paragraph" w:styleId="NoSpacing">
    <w:name w:val="No Spacing"/>
    <w:uiPriority w:val="99"/>
    <w:qFormat/>
    <w:rsid w:val="009C1E8F"/>
    <w:rPr>
      <w:rFonts w:eastAsia="Times New Roman"/>
      <w:sz w:val="23"/>
      <w:szCs w:val="24"/>
    </w:rPr>
  </w:style>
  <w:style w:type="numbering" w:customStyle="1" w:styleId="WWNum6">
    <w:name w:val="WWNum6"/>
    <w:rsid w:val="001D632A"/>
    <w:pPr>
      <w:numPr>
        <w:numId w:val="2"/>
      </w:numPr>
    </w:pPr>
  </w:style>
  <w:style w:type="numbering" w:customStyle="1" w:styleId="WWNum12">
    <w:name w:val="WWNum12"/>
    <w:rsid w:val="001D632A"/>
    <w:pPr>
      <w:numPr>
        <w:numId w:val="6"/>
      </w:numPr>
    </w:pPr>
  </w:style>
  <w:style w:type="numbering" w:customStyle="1" w:styleId="WWNum7">
    <w:name w:val="WWNum7"/>
    <w:rsid w:val="001D632A"/>
    <w:pPr>
      <w:numPr>
        <w:numId w:val="3"/>
      </w:numPr>
    </w:pPr>
  </w:style>
  <w:style w:type="numbering" w:customStyle="1" w:styleId="WWNum10">
    <w:name w:val="WWNum10"/>
    <w:rsid w:val="001D632A"/>
    <w:pPr>
      <w:numPr>
        <w:numId w:val="5"/>
      </w:numPr>
    </w:pPr>
  </w:style>
  <w:style w:type="numbering" w:customStyle="1" w:styleId="WWNum5">
    <w:name w:val="WWNum5"/>
    <w:rsid w:val="001D632A"/>
    <w:pPr>
      <w:numPr>
        <w:numId w:val="1"/>
      </w:numPr>
    </w:pPr>
  </w:style>
  <w:style w:type="numbering" w:customStyle="1" w:styleId="WWNum9">
    <w:name w:val="WWNum9"/>
    <w:rsid w:val="001D632A"/>
    <w:pPr>
      <w:numPr>
        <w:numId w:val="4"/>
      </w:numPr>
    </w:pPr>
  </w:style>
  <w:style w:type="paragraph" w:customStyle="1" w:styleId="BodyA">
    <w:name w:val="Body A"/>
    <w:rsid w:val="007D700A"/>
    <w:pPr>
      <w:pBdr>
        <w:top w:val="nil"/>
        <w:left w:val="nil"/>
        <w:bottom w:val="nil"/>
        <w:right w:val="nil"/>
        <w:between w:val="nil"/>
        <w:bar w:val="nil"/>
      </w:pBdr>
    </w:pPr>
    <w:rPr>
      <w:rFonts w:ascii="Times New Roman" w:eastAsia="Arial Unicode MS" w:hAnsi="Arial Unicode MS" w:cs="Arial Unicode MS"/>
      <w:color w:val="000000"/>
      <w:sz w:val="32"/>
      <w:szCs w:val="32"/>
      <w:u w:color="000000"/>
      <w:bdr w:val="nil"/>
      <w:lang w:val="en-US"/>
    </w:rPr>
  </w:style>
  <w:style w:type="character" w:customStyle="1" w:styleId="Hyperlink0">
    <w:name w:val="Hyperlink.0"/>
    <w:rsid w:val="007D700A"/>
    <w:rPr>
      <w:rFonts w:ascii="Calibri" w:eastAsia="Calibri" w:hAnsi="Calibri" w:cs="Calibri"/>
      <w:sz w:val="24"/>
      <w:szCs w:val="24"/>
      <w:u w:val="single"/>
      <w:lang w:val="en-US"/>
    </w:rPr>
  </w:style>
  <w:style w:type="character" w:styleId="Hyperlink">
    <w:name w:val="Hyperlink"/>
    <w:basedOn w:val="DefaultParagraphFont"/>
    <w:uiPriority w:val="99"/>
    <w:unhideWhenUsed/>
    <w:rsid w:val="007D700A"/>
    <w:rPr>
      <w:color w:val="0000FF" w:themeColor="hyperlink"/>
      <w:u w:val="single"/>
    </w:rPr>
  </w:style>
  <w:style w:type="table" w:customStyle="1" w:styleId="TableGrid1">
    <w:name w:val="Table Grid1"/>
    <w:basedOn w:val="TableNormal"/>
    <w:next w:val="TableGrid"/>
    <w:uiPriority w:val="59"/>
    <w:rsid w:val="000F74A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864588"/>
    <w:pPr>
      <w:spacing w:after="0"/>
    </w:pPr>
    <w:rPr>
      <w:rFonts w:ascii="Times New Roman" w:hAnsi="Times New Roman"/>
      <w:sz w:val="24"/>
    </w:rPr>
  </w:style>
  <w:style w:type="character" w:customStyle="1" w:styleId="DocumentMapChar">
    <w:name w:val="Document Map Char"/>
    <w:basedOn w:val="DefaultParagraphFont"/>
    <w:link w:val="DocumentMap"/>
    <w:uiPriority w:val="99"/>
    <w:semiHidden/>
    <w:rsid w:val="0086458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1012">
      <w:marLeft w:val="0"/>
      <w:marRight w:val="0"/>
      <w:marTop w:val="0"/>
      <w:marBottom w:val="0"/>
      <w:divBdr>
        <w:top w:val="none" w:sz="0" w:space="0" w:color="auto"/>
        <w:left w:val="none" w:sz="0" w:space="0" w:color="auto"/>
        <w:bottom w:val="none" w:sz="0" w:space="0" w:color="auto"/>
        <w:right w:val="none" w:sz="0" w:space="0" w:color="auto"/>
      </w:divBdr>
    </w:div>
    <w:div w:id="120271013">
      <w:marLeft w:val="0"/>
      <w:marRight w:val="0"/>
      <w:marTop w:val="0"/>
      <w:marBottom w:val="0"/>
      <w:divBdr>
        <w:top w:val="none" w:sz="0" w:space="0" w:color="auto"/>
        <w:left w:val="none" w:sz="0" w:space="0" w:color="auto"/>
        <w:bottom w:val="none" w:sz="0" w:space="0" w:color="auto"/>
        <w:right w:val="none" w:sz="0" w:space="0" w:color="auto"/>
      </w:divBdr>
    </w:div>
    <w:div w:id="120271014">
      <w:marLeft w:val="0"/>
      <w:marRight w:val="0"/>
      <w:marTop w:val="0"/>
      <w:marBottom w:val="0"/>
      <w:divBdr>
        <w:top w:val="none" w:sz="0" w:space="0" w:color="auto"/>
        <w:left w:val="none" w:sz="0" w:space="0" w:color="auto"/>
        <w:bottom w:val="none" w:sz="0" w:space="0" w:color="auto"/>
        <w:right w:val="none" w:sz="0" w:space="0" w:color="auto"/>
      </w:divBdr>
    </w:div>
    <w:div w:id="120271015">
      <w:marLeft w:val="0"/>
      <w:marRight w:val="0"/>
      <w:marTop w:val="0"/>
      <w:marBottom w:val="0"/>
      <w:divBdr>
        <w:top w:val="none" w:sz="0" w:space="0" w:color="auto"/>
        <w:left w:val="none" w:sz="0" w:space="0" w:color="auto"/>
        <w:bottom w:val="none" w:sz="0" w:space="0" w:color="auto"/>
        <w:right w:val="none" w:sz="0" w:space="0" w:color="auto"/>
      </w:divBdr>
    </w:div>
    <w:div w:id="463541053">
      <w:bodyDiv w:val="1"/>
      <w:marLeft w:val="0"/>
      <w:marRight w:val="0"/>
      <w:marTop w:val="0"/>
      <w:marBottom w:val="0"/>
      <w:divBdr>
        <w:top w:val="none" w:sz="0" w:space="0" w:color="auto"/>
        <w:left w:val="none" w:sz="0" w:space="0" w:color="auto"/>
        <w:bottom w:val="none" w:sz="0" w:space="0" w:color="auto"/>
        <w:right w:val="none" w:sz="0" w:space="0" w:color="auto"/>
      </w:divBdr>
    </w:div>
    <w:div w:id="514804675">
      <w:bodyDiv w:val="1"/>
      <w:marLeft w:val="0"/>
      <w:marRight w:val="0"/>
      <w:marTop w:val="0"/>
      <w:marBottom w:val="0"/>
      <w:divBdr>
        <w:top w:val="none" w:sz="0" w:space="0" w:color="auto"/>
        <w:left w:val="none" w:sz="0" w:space="0" w:color="auto"/>
        <w:bottom w:val="none" w:sz="0" w:space="0" w:color="auto"/>
        <w:right w:val="none" w:sz="0" w:space="0" w:color="auto"/>
      </w:divBdr>
    </w:div>
    <w:div w:id="1906143120">
      <w:bodyDiv w:val="1"/>
      <w:marLeft w:val="0"/>
      <w:marRight w:val="0"/>
      <w:marTop w:val="0"/>
      <w:marBottom w:val="0"/>
      <w:divBdr>
        <w:top w:val="none" w:sz="0" w:space="0" w:color="auto"/>
        <w:left w:val="none" w:sz="0" w:space="0" w:color="auto"/>
        <w:bottom w:val="none" w:sz="0" w:space="0" w:color="auto"/>
        <w:right w:val="none" w:sz="0" w:space="0" w:color="auto"/>
      </w:divBdr>
      <w:divsChild>
        <w:div w:id="876233798">
          <w:marLeft w:val="0"/>
          <w:marRight w:val="0"/>
          <w:marTop w:val="0"/>
          <w:marBottom w:val="0"/>
          <w:divBdr>
            <w:top w:val="none" w:sz="0" w:space="0" w:color="auto"/>
            <w:left w:val="none" w:sz="0" w:space="0" w:color="auto"/>
            <w:bottom w:val="none" w:sz="0" w:space="0" w:color="auto"/>
            <w:right w:val="none" w:sz="0" w:space="0" w:color="auto"/>
          </w:divBdr>
        </w:div>
        <w:div w:id="1020743417">
          <w:marLeft w:val="0"/>
          <w:marRight w:val="0"/>
          <w:marTop w:val="0"/>
          <w:marBottom w:val="0"/>
          <w:divBdr>
            <w:top w:val="none" w:sz="0" w:space="0" w:color="auto"/>
            <w:left w:val="none" w:sz="0" w:space="0" w:color="auto"/>
            <w:bottom w:val="none" w:sz="0" w:space="0" w:color="auto"/>
            <w:right w:val="none" w:sz="0" w:space="0" w:color="auto"/>
          </w:divBdr>
        </w:div>
        <w:div w:id="1000428669">
          <w:marLeft w:val="0"/>
          <w:marRight w:val="0"/>
          <w:marTop w:val="0"/>
          <w:marBottom w:val="0"/>
          <w:divBdr>
            <w:top w:val="none" w:sz="0" w:space="0" w:color="auto"/>
            <w:left w:val="none" w:sz="0" w:space="0" w:color="auto"/>
            <w:bottom w:val="none" w:sz="0" w:space="0" w:color="auto"/>
            <w:right w:val="none" w:sz="0" w:space="0" w:color="auto"/>
          </w:divBdr>
        </w:div>
        <w:div w:id="1902784663">
          <w:marLeft w:val="0"/>
          <w:marRight w:val="0"/>
          <w:marTop w:val="0"/>
          <w:marBottom w:val="0"/>
          <w:divBdr>
            <w:top w:val="none" w:sz="0" w:space="0" w:color="auto"/>
            <w:left w:val="none" w:sz="0" w:space="0" w:color="auto"/>
            <w:bottom w:val="none" w:sz="0" w:space="0" w:color="auto"/>
            <w:right w:val="none" w:sz="0" w:space="0" w:color="auto"/>
          </w:divBdr>
        </w:div>
        <w:div w:id="706567435">
          <w:marLeft w:val="0"/>
          <w:marRight w:val="0"/>
          <w:marTop w:val="0"/>
          <w:marBottom w:val="0"/>
          <w:divBdr>
            <w:top w:val="none" w:sz="0" w:space="0" w:color="auto"/>
            <w:left w:val="none" w:sz="0" w:space="0" w:color="auto"/>
            <w:bottom w:val="none" w:sz="0" w:space="0" w:color="auto"/>
            <w:right w:val="none" w:sz="0" w:space="0" w:color="auto"/>
          </w:divBdr>
        </w:div>
        <w:div w:id="535042856">
          <w:marLeft w:val="0"/>
          <w:marRight w:val="0"/>
          <w:marTop w:val="0"/>
          <w:marBottom w:val="0"/>
          <w:divBdr>
            <w:top w:val="none" w:sz="0" w:space="0" w:color="auto"/>
            <w:left w:val="none" w:sz="0" w:space="0" w:color="auto"/>
            <w:bottom w:val="none" w:sz="0" w:space="0" w:color="auto"/>
            <w:right w:val="none" w:sz="0" w:space="0" w:color="auto"/>
          </w:divBdr>
        </w:div>
        <w:div w:id="1287851741">
          <w:marLeft w:val="0"/>
          <w:marRight w:val="0"/>
          <w:marTop w:val="0"/>
          <w:marBottom w:val="0"/>
          <w:divBdr>
            <w:top w:val="none" w:sz="0" w:space="0" w:color="auto"/>
            <w:left w:val="none" w:sz="0" w:space="0" w:color="auto"/>
            <w:bottom w:val="none" w:sz="0" w:space="0" w:color="auto"/>
            <w:right w:val="none" w:sz="0" w:space="0" w:color="auto"/>
          </w:divBdr>
        </w:div>
        <w:div w:id="1175268170">
          <w:marLeft w:val="0"/>
          <w:marRight w:val="0"/>
          <w:marTop w:val="0"/>
          <w:marBottom w:val="0"/>
          <w:divBdr>
            <w:top w:val="none" w:sz="0" w:space="0" w:color="auto"/>
            <w:left w:val="none" w:sz="0" w:space="0" w:color="auto"/>
            <w:bottom w:val="none" w:sz="0" w:space="0" w:color="auto"/>
            <w:right w:val="none" w:sz="0" w:space="0" w:color="auto"/>
          </w:divBdr>
        </w:div>
        <w:div w:id="1303731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izabeth.bancroft@rmh.nhs.uk"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6489</Words>
  <Characters>35580</Characters>
  <Application>Microsoft Office Word</Application>
  <DocSecurity>0</DocSecurity>
  <Lines>296</Lines>
  <Paragraphs>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AIM</vt:lpstr>
      <vt:lpstr>AIM</vt:lpstr>
    </vt:vector>
  </TitlesOfParts>
  <Company>The University of Melbourne</Company>
  <LinksUpToDate>false</LinksUpToDate>
  <CharactersWithSpaces>41986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AIM</dc:title>
  <dc:creator>Sibel Saya</dc:creator>
  <cp:lastModifiedBy>Bancroft, Elizabeth</cp:lastModifiedBy>
  <cp:revision>2</cp:revision>
  <cp:lastPrinted>2017-08-10T09:43:00Z</cp:lastPrinted>
  <dcterms:created xsi:type="dcterms:W3CDTF">2018-01-04T22:44:00Z</dcterms:created>
  <dcterms:modified xsi:type="dcterms:W3CDTF">2018-01-04T22:44:00Z</dcterms:modified>
</cp:coreProperties>
</file>