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EDBE3" w14:textId="2B7480A8" w:rsidR="00A02490" w:rsidRPr="00705A9C" w:rsidRDefault="00416EC4" w:rsidP="00D909A2">
      <w:pPr>
        <w:pStyle w:val="Articletitle"/>
      </w:pPr>
      <w:r w:rsidRPr="00705A9C">
        <w:t>M</w:t>
      </w:r>
      <w:r w:rsidR="00A02490" w:rsidRPr="00705A9C">
        <w:t xml:space="preserve">ajor </w:t>
      </w:r>
      <w:r w:rsidR="008364BA" w:rsidRPr="00705A9C">
        <w:t>t</w:t>
      </w:r>
      <w:r w:rsidRPr="00705A9C">
        <w:t xml:space="preserve">rends </w:t>
      </w:r>
      <w:r w:rsidR="00A02490" w:rsidRPr="00705A9C">
        <w:t xml:space="preserve">in </w:t>
      </w:r>
      <w:r w:rsidRPr="00705A9C">
        <w:t xml:space="preserve">the </w:t>
      </w:r>
      <w:r w:rsidR="00A02490" w:rsidRPr="00705A9C">
        <w:t xml:space="preserve">Land Surface Phenology (LSP) </w:t>
      </w:r>
      <w:r w:rsidRPr="00705A9C">
        <w:t xml:space="preserve">of </w:t>
      </w:r>
      <w:r w:rsidR="00A02490" w:rsidRPr="00705A9C">
        <w:t xml:space="preserve">Africa, </w:t>
      </w:r>
      <w:r w:rsidR="008364BA" w:rsidRPr="00705A9C">
        <w:t>c</w:t>
      </w:r>
      <w:r w:rsidRPr="00705A9C">
        <w:t xml:space="preserve">ontrolling </w:t>
      </w:r>
      <w:r w:rsidR="00A02490" w:rsidRPr="00705A9C">
        <w:t xml:space="preserve">for </w:t>
      </w:r>
      <w:r w:rsidR="008364BA" w:rsidRPr="00705A9C">
        <w:t>l</w:t>
      </w:r>
      <w:r w:rsidRPr="00705A9C">
        <w:t xml:space="preserve">and </w:t>
      </w:r>
      <w:r w:rsidR="008364BA" w:rsidRPr="00705A9C">
        <w:t>c</w:t>
      </w:r>
      <w:r w:rsidRPr="00705A9C">
        <w:t xml:space="preserve">over </w:t>
      </w:r>
      <w:r w:rsidR="008364BA" w:rsidRPr="00705A9C">
        <w:t>c</w:t>
      </w:r>
      <w:r w:rsidRPr="00705A9C">
        <w:t>hange</w:t>
      </w:r>
    </w:p>
    <w:p w14:paraId="4022717F" w14:textId="77777777" w:rsidR="00A02490" w:rsidRPr="00705A9C" w:rsidRDefault="00A02490" w:rsidP="006B559C">
      <w:pPr>
        <w:outlineLvl w:val="0"/>
        <w:rPr>
          <w:b/>
        </w:rPr>
      </w:pPr>
    </w:p>
    <w:p w14:paraId="2DF9042D" w14:textId="4F5677A4" w:rsidR="006B559C" w:rsidRPr="00705A9C" w:rsidRDefault="006B559C" w:rsidP="00D909A2">
      <w:pPr>
        <w:pStyle w:val="Authornames"/>
        <w:rPr>
          <w:rFonts w:eastAsiaTheme="minorEastAsia"/>
          <w:lang w:eastAsia="zh-CN"/>
        </w:rPr>
      </w:pPr>
      <w:r w:rsidRPr="00705A9C">
        <w:rPr>
          <w:rFonts w:eastAsiaTheme="minorEastAsia"/>
          <w:lang w:eastAsia="zh-CN"/>
        </w:rPr>
        <w:t>Tracy Adole</w:t>
      </w:r>
      <w:r w:rsidRPr="00705A9C">
        <w:rPr>
          <w:rFonts w:eastAsiaTheme="minorEastAsia"/>
          <w:vertAlign w:val="superscript"/>
          <w:lang w:eastAsia="zh-CN"/>
        </w:rPr>
        <w:t>1</w:t>
      </w:r>
      <w:r w:rsidR="00D909A2" w:rsidRPr="00705A9C">
        <w:rPr>
          <w:rFonts w:eastAsiaTheme="minorEastAsia"/>
          <w:vertAlign w:val="superscript"/>
          <w:lang w:eastAsia="zh-CN"/>
        </w:rPr>
        <w:t>*</w:t>
      </w:r>
      <w:r w:rsidRPr="00705A9C">
        <w:rPr>
          <w:rFonts w:eastAsiaTheme="minorEastAsia"/>
          <w:lang w:eastAsia="zh-CN"/>
        </w:rPr>
        <w:t xml:space="preserve">, </w:t>
      </w:r>
      <w:proofErr w:type="spellStart"/>
      <w:r w:rsidRPr="00705A9C">
        <w:rPr>
          <w:rFonts w:eastAsiaTheme="minorEastAsia"/>
          <w:lang w:eastAsia="zh-CN"/>
        </w:rPr>
        <w:t>Jadunandan</w:t>
      </w:r>
      <w:proofErr w:type="spellEnd"/>
      <w:r w:rsidRPr="00705A9C">
        <w:rPr>
          <w:rFonts w:eastAsiaTheme="minorEastAsia"/>
          <w:lang w:eastAsia="zh-CN"/>
        </w:rPr>
        <w:t xml:space="preserve"> Dash</w:t>
      </w:r>
      <w:r w:rsidRPr="00705A9C">
        <w:rPr>
          <w:rFonts w:eastAsiaTheme="minorEastAsia"/>
          <w:vertAlign w:val="superscript"/>
          <w:lang w:eastAsia="zh-CN"/>
        </w:rPr>
        <w:t>1</w:t>
      </w:r>
      <w:r w:rsidR="00D909A2" w:rsidRPr="00705A9C">
        <w:rPr>
          <w:rFonts w:eastAsiaTheme="minorEastAsia"/>
          <w:lang w:eastAsia="zh-CN"/>
        </w:rPr>
        <w:t xml:space="preserve"> and </w:t>
      </w:r>
      <w:r w:rsidRPr="00705A9C">
        <w:rPr>
          <w:rFonts w:eastAsiaTheme="minorEastAsia"/>
          <w:lang w:eastAsia="zh-CN"/>
        </w:rPr>
        <w:t>Peter M. Atkinson</w:t>
      </w:r>
      <w:r w:rsidRPr="00705A9C">
        <w:rPr>
          <w:rFonts w:eastAsiaTheme="minorEastAsia"/>
          <w:vertAlign w:val="superscript"/>
          <w:lang w:eastAsia="zh-CN"/>
        </w:rPr>
        <w:t>2, 1, 3,</w:t>
      </w:r>
      <w:r w:rsidRPr="00705A9C">
        <w:rPr>
          <w:rFonts w:eastAsiaTheme="minorEastAsia"/>
          <w:lang w:eastAsia="zh-CN"/>
        </w:rPr>
        <w:t xml:space="preserve"> </w:t>
      </w:r>
    </w:p>
    <w:p w14:paraId="68800235" w14:textId="77777777" w:rsidR="00D909A2" w:rsidRPr="00705A9C" w:rsidRDefault="00D909A2" w:rsidP="00D909A2">
      <w:pPr>
        <w:rPr>
          <w:rFonts w:eastAsiaTheme="minorEastAsia"/>
          <w:lang w:eastAsia="zh-CN"/>
        </w:rPr>
      </w:pPr>
    </w:p>
    <w:p w14:paraId="45220BE3" w14:textId="77777777" w:rsidR="006B559C" w:rsidRPr="00705A9C" w:rsidRDefault="006B559C" w:rsidP="00D909A2">
      <w:pPr>
        <w:pStyle w:val="Affiliation"/>
        <w:rPr>
          <w:rFonts w:eastAsiaTheme="minorEastAsia"/>
          <w:lang w:eastAsia="zh-CN"/>
        </w:rPr>
      </w:pPr>
      <w:r w:rsidRPr="00705A9C">
        <w:rPr>
          <w:rFonts w:eastAsiaTheme="minorEastAsia"/>
          <w:vertAlign w:val="superscript"/>
          <w:lang w:eastAsia="zh-CN"/>
        </w:rPr>
        <w:t>1</w:t>
      </w:r>
      <w:r w:rsidRPr="00705A9C">
        <w:rPr>
          <w:rFonts w:eastAsiaTheme="minorEastAsia"/>
          <w:lang w:eastAsia="zh-CN"/>
        </w:rPr>
        <w:t>Global Environmental Change and Earth Observation Research Group, Geography and Environment, University of Southampton, Southampton SO17 1BJ, UK.</w:t>
      </w:r>
    </w:p>
    <w:p w14:paraId="462EEE03" w14:textId="77777777" w:rsidR="006B559C" w:rsidRPr="00705A9C" w:rsidRDefault="006B559C" w:rsidP="00D909A2">
      <w:pPr>
        <w:pStyle w:val="Affiliation"/>
        <w:rPr>
          <w:rFonts w:eastAsiaTheme="minorEastAsia"/>
          <w:lang w:eastAsia="zh-CN"/>
        </w:rPr>
      </w:pPr>
      <w:r w:rsidRPr="00705A9C">
        <w:rPr>
          <w:rFonts w:eastAsiaTheme="minorEastAsia"/>
          <w:vertAlign w:val="superscript"/>
          <w:lang w:eastAsia="zh-CN"/>
        </w:rPr>
        <w:t>2</w:t>
      </w:r>
      <w:r w:rsidRPr="00705A9C">
        <w:rPr>
          <w:rFonts w:eastAsiaTheme="minorEastAsia"/>
          <w:lang w:eastAsia="zh-CN"/>
        </w:rPr>
        <w:t xml:space="preserve">Faculty of Science and Technology, Lancaster University, Lancaster LA1 4YR, UK. </w:t>
      </w:r>
    </w:p>
    <w:p w14:paraId="116DCE2C" w14:textId="77777777" w:rsidR="006B559C" w:rsidRPr="00705A9C" w:rsidRDefault="006B559C" w:rsidP="00D909A2">
      <w:pPr>
        <w:pStyle w:val="Affiliation"/>
        <w:rPr>
          <w:rFonts w:eastAsiaTheme="minorEastAsia"/>
          <w:lang w:eastAsia="zh-CN"/>
        </w:rPr>
      </w:pPr>
      <w:r w:rsidRPr="00705A9C">
        <w:rPr>
          <w:rFonts w:eastAsiaTheme="minorEastAsia"/>
          <w:vertAlign w:val="superscript"/>
          <w:lang w:eastAsia="zh-CN"/>
        </w:rPr>
        <w:t>3</w:t>
      </w:r>
      <w:r w:rsidRPr="00705A9C">
        <w:rPr>
          <w:rFonts w:eastAsiaTheme="minorEastAsia"/>
          <w:lang w:eastAsia="zh-CN"/>
        </w:rPr>
        <w:t xml:space="preserve">School of Geography, Archaeology and </w:t>
      </w:r>
      <w:proofErr w:type="spellStart"/>
      <w:r w:rsidRPr="00705A9C">
        <w:rPr>
          <w:rFonts w:eastAsiaTheme="minorEastAsia"/>
          <w:lang w:eastAsia="zh-CN"/>
        </w:rPr>
        <w:t>Palaeoecology</w:t>
      </w:r>
      <w:proofErr w:type="spellEnd"/>
      <w:r w:rsidRPr="00705A9C">
        <w:rPr>
          <w:rFonts w:eastAsiaTheme="minorEastAsia"/>
          <w:lang w:eastAsia="zh-CN"/>
        </w:rPr>
        <w:t>, Queen’s University Belfast, Belfast BT7 1NN, Northern Ireland, UK.</w:t>
      </w:r>
    </w:p>
    <w:p w14:paraId="3C8B22BC" w14:textId="77777777" w:rsidR="006B559C" w:rsidRPr="00705A9C" w:rsidRDefault="006B559C" w:rsidP="006B559C">
      <w:pPr>
        <w:rPr>
          <w:rFonts w:eastAsiaTheme="minorEastAsia"/>
          <w:bCs/>
          <w:lang w:eastAsia="zh-CN"/>
        </w:rPr>
      </w:pPr>
    </w:p>
    <w:p w14:paraId="40C05B57" w14:textId="195AE65B" w:rsidR="006B559C" w:rsidRPr="00705A9C" w:rsidRDefault="00D909A2" w:rsidP="00D909A2">
      <w:pPr>
        <w:pStyle w:val="Correspondencedetails"/>
        <w:rPr>
          <w:rFonts w:eastAsiaTheme="minorEastAsia"/>
          <w:lang w:eastAsia="zh-CN"/>
        </w:rPr>
      </w:pPr>
      <w:r w:rsidRPr="00705A9C">
        <w:rPr>
          <w:rFonts w:eastAsiaTheme="minorEastAsia"/>
          <w:lang w:eastAsia="zh-CN"/>
        </w:rPr>
        <w:t>*</w:t>
      </w:r>
      <w:hyperlink r:id="rId8" w:history="1">
        <w:r w:rsidR="006B559C" w:rsidRPr="00705A9C">
          <w:rPr>
            <w:rFonts w:eastAsiaTheme="minorEastAsia"/>
            <w:color w:val="0563C1" w:themeColor="hyperlink"/>
            <w:u w:val="single"/>
            <w:lang w:eastAsia="zh-CN"/>
          </w:rPr>
          <w:t>T.Adole@soton.ac.uk</w:t>
        </w:r>
      </w:hyperlink>
      <w:r w:rsidR="006B559C" w:rsidRPr="00705A9C">
        <w:rPr>
          <w:rFonts w:eastAsiaTheme="minorEastAsia"/>
          <w:color w:val="0563C1" w:themeColor="hyperlink"/>
          <w:u w:val="single"/>
          <w:lang w:eastAsia="zh-CN"/>
        </w:rPr>
        <w:t xml:space="preserve">, </w:t>
      </w:r>
      <w:r w:rsidR="006B559C" w:rsidRPr="00705A9C">
        <w:rPr>
          <w:rFonts w:eastAsiaTheme="minorEastAsia"/>
          <w:lang w:eastAsia="zh-CN"/>
        </w:rPr>
        <w:t>Global Environmental Change and Earth Observation Research Group, Geography and Environment, University of Southampton.</w:t>
      </w:r>
    </w:p>
    <w:p w14:paraId="2F786933" w14:textId="77777777" w:rsidR="008364BA" w:rsidRPr="00705A9C" w:rsidRDefault="008364BA" w:rsidP="00CA42D2">
      <w:pPr>
        <w:rPr>
          <w:b/>
        </w:rPr>
      </w:pPr>
    </w:p>
    <w:p w14:paraId="4F5E4895" w14:textId="77777777" w:rsidR="009F4F62" w:rsidRPr="00705A9C" w:rsidRDefault="008364BA" w:rsidP="009F4F62">
      <w:pPr>
        <w:pStyle w:val="Articletitle"/>
      </w:pPr>
      <w:r w:rsidRPr="00705A9C">
        <w:br w:type="page"/>
      </w:r>
      <w:r w:rsidR="009F4F62" w:rsidRPr="00705A9C">
        <w:lastRenderedPageBreak/>
        <w:t>Major trends in the Land Surface Phenology (LSP) of Africa, controlling for land cover change</w:t>
      </w:r>
    </w:p>
    <w:p w14:paraId="512FF8E8" w14:textId="54E489E0" w:rsidR="009F4F62" w:rsidRPr="00705A9C" w:rsidRDefault="009F4F62" w:rsidP="009F4F62">
      <w:pPr>
        <w:pStyle w:val="Abstract"/>
        <w:rPr>
          <w:b/>
        </w:rPr>
      </w:pPr>
      <w:r w:rsidRPr="00705A9C">
        <w:rPr>
          <w:b/>
        </w:rPr>
        <w:t>Abstract</w:t>
      </w:r>
    </w:p>
    <w:p w14:paraId="23CE4FD3" w14:textId="5AF890D9" w:rsidR="002B6A94" w:rsidRPr="00705A9C" w:rsidRDefault="002B6A94" w:rsidP="009F4F62">
      <w:pPr>
        <w:pStyle w:val="Abstract"/>
      </w:pPr>
      <w:r w:rsidRPr="00705A9C">
        <w:t xml:space="preserve">Monitoring land surface phenology (LSP) trends is important in understanding how both climatic and non-climatic factors influence vegetation growth and dynamics. </w:t>
      </w:r>
      <w:r w:rsidR="0080658C" w:rsidRPr="00705A9C">
        <w:t xml:space="preserve">Controlling for </w:t>
      </w:r>
      <w:r w:rsidRPr="00705A9C">
        <w:t xml:space="preserve">land cover changes in these analyses </w:t>
      </w:r>
      <w:r w:rsidR="0080658C" w:rsidRPr="00705A9C">
        <w:t>has been undertaken only rarely</w:t>
      </w:r>
      <w:r w:rsidRPr="00705A9C">
        <w:t xml:space="preserve">, especially in poorly studied regions like Africa. Using regression models and controlling for land cover changes, this study estimated LSP trends for Africa from the Enhanced Vegetation Index (EVI) derived from 500 m surface reflectance Moderate Resolution Imaging </w:t>
      </w:r>
      <w:proofErr w:type="spellStart"/>
      <w:r w:rsidRPr="00705A9C">
        <w:t>Spectroradiometer</w:t>
      </w:r>
      <w:proofErr w:type="spellEnd"/>
      <w:r w:rsidRPr="00705A9C">
        <w:t xml:space="preserve"> (MODIS) (MOD09A1), for the period of 2001 </w:t>
      </w:r>
      <w:r w:rsidR="0080658C" w:rsidRPr="00705A9C">
        <w:t>to</w:t>
      </w:r>
      <w:r w:rsidRPr="00705A9C">
        <w:t xml:space="preserve"> 2015. Overall End of Season (EOS) showed </w:t>
      </w:r>
      <w:r w:rsidR="0080658C" w:rsidRPr="00705A9C">
        <w:t xml:space="preserve">slightly </w:t>
      </w:r>
      <w:r w:rsidRPr="00705A9C">
        <w:t xml:space="preserve">more </w:t>
      </w:r>
      <w:r w:rsidR="00973752" w:rsidRPr="00705A9C">
        <w:t xml:space="preserve">pixels with </w:t>
      </w:r>
      <w:r w:rsidRPr="00705A9C">
        <w:t xml:space="preserve">significant trends (12.9% of pixels) than Start of Season (SOS) (11.56% of pixels) and Length of Season (LOS) (5.72% of pixels), leading </w:t>
      </w:r>
      <w:r w:rsidR="0080658C" w:rsidRPr="00705A9C">
        <w:t xml:space="preserve">generally </w:t>
      </w:r>
      <w:r w:rsidRPr="00705A9C">
        <w:t xml:space="preserve">to more “longer season” LOS trends. </w:t>
      </w:r>
      <w:r w:rsidR="0080658C" w:rsidRPr="00705A9C">
        <w:t>I</w:t>
      </w:r>
      <w:r w:rsidRPr="00705A9C">
        <w:t xml:space="preserve">mportantly, </w:t>
      </w:r>
      <w:r w:rsidR="00E96676" w:rsidRPr="00705A9C">
        <w:t xml:space="preserve">LSP </w:t>
      </w:r>
      <w:r w:rsidRPr="00705A9C">
        <w:t xml:space="preserve">trends </w:t>
      </w:r>
      <w:r w:rsidR="0080658C" w:rsidRPr="00705A9C">
        <w:t xml:space="preserve">that </w:t>
      </w:r>
      <w:r w:rsidRPr="00705A9C">
        <w:t xml:space="preserve">were </w:t>
      </w:r>
      <w:r w:rsidR="00E96676" w:rsidRPr="00705A9C">
        <w:t xml:space="preserve">not </w:t>
      </w:r>
      <w:r w:rsidRPr="00705A9C">
        <w:t>affected by land cover changes were distinguished from those that were influenced by land cover changes</w:t>
      </w:r>
      <w:r w:rsidR="00E96676" w:rsidRPr="00705A9C">
        <w:t xml:space="preserve"> such as to map LSP changes that have occurred within stable land cover classes and which might, therefore, be reasonably associated with climate changes through time</w:t>
      </w:r>
      <w:r w:rsidRPr="00705A9C">
        <w:t xml:space="preserve">. </w:t>
      </w:r>
      <w:r w:rsidR="00E96676" w:rsidRPr="00705A9C">
        <w:t>As expected, g</w:t>
      </w:r>
      <w:r w:rsidRPr="00705A9C">
        <w:t xml:space="preserve">reater slope magnitudes were observed more frequently </w:t>
      </w:r>
      <w:r w:rsidR="0080658C" w:rsidRPr="00705A9C">
        <w:t xml:space="preserve">for pixels </w:t>
      </w:r>
      <w:r w:rsidRPr="00705A9C">
        <w:t>with land cover changes compared to those without</w:t>
      </w:r>
      <w:r w:rsidR="00E96676" w:rsidRPr="00705A9C">
        <w:t>, indicating the importance of controlling for land cover</w:t>
      </w:r>
      <w:r w:rsidRPr="00705A9C">
        <w:t xml:space="preserve">. Consequently, we suggest that future analyses of LSP trends should </w:t>
      </w:r>
      <w:r w:rsidR="0080658C" w:rsidRPr="00705A9C">
        <w:t xml:space="preserve">control for </w:t>
      </w:r>
      <w:r w:rsidRPr="00705A9C">
        <w:t xml:space="preserve">land cover changes such as to isolate LSP trends </w:t>
      </w:r>
      <w:r w:rsidR="0080658C" w:rsidRPr="00705A9C">
        <w:t xml:space="preserve">that </w:t>
      </w:r>
      <w:r w:rsidRPr="00705A9C">
        <w:t xml:space="preserve">are solely climate driven and/or those influenced by other anthropogenic activities or </w:t>
      </w:r>
      <w:r w:rsidR="0080658C" w:rsidRPr="00705A9C">
        <w:t xml:space="preserve">a </w:t>
      </w:r>
      <w:r w:rsidRPr="00705A9C">
        <w:t>combination of both.</w:t>
      </w:r>
    </w:p>
    <w:p w14:paraId="27B4C8EB" w14:textId="77777777" w:rsidR="002B6A94" w:rsidRPr="00705A9C" w:rsidRDefault="002B6A94" w:rsidP="002B6A94"/>
    <w:p w14:paraId="00267531" w14:textId="4A4BF963" w:rsidR="00D149EC" w:rsidRPr="00705A9C" w:rsidRDefault="006B559C" w:rsidP="00D149EC">
      <w:pPr>
        <w:pStyle w:val="Keywords"/>
        <w:rPr>
          <w:rFonts w:eastAsiaTheme="minorEastAsia"/>
          <w:lang w:eastAsia="zh-CN"/>
        </w:rPr>
      </w:pPr>
      <w:r w:rsidRPr="00705A9C">
        <w:rPr>
          <w:rFonts w:eastAsiaTheme="minorEastAsia"/>
          <w:lang w:eastAsia="zh-CN"/>
        </w:rPr>
        <w:t>Keywords</w:t>
      </w:r>
      <w:r w:rsidR="009F4F62" w:rsidRPr="00705A9C">
        <w:rPr>
          <w:rFonts w:eastAsiaTheme="minorEastAsia"/>
          <w:lang w:eastAsia="zh-CN"/>
        </w:rPr>
        <w:t xml:space="preserve">: </w:t>
      </w:r>
      <w:r w:rsidR="000A471A" w:rsidRPr="00705A9C">
        <w:rPr>
          <w:iCs/>
        </w:rPr>
        <w:t>Phenology, Time-series analysis, MODIS, Africa, Vegetation</w:t>
      </w:r>
      <w:r w:rsidR="00B8501D" w:rsidRPr="00705A9C">
        <w:rPr>
          <w:iCs/>
        </w:rPr>
        <w:t>, climate change</w:t>
      </w:r>
      <w:r w:rsidR="000A471A" w:rsidRPr="00705A9C">
        <w:rPr>
          <w:iCs/>
        </w:rPr>
        <w:t>.</w:t>
      </w:r>
    </w:p>
    <w:p w14:paraId="0FF71B7D" w14:textId="77777777" w:rsidR="00D149EC" w:rsidRPr="00705A9C" w:rsidRDefault="00D149EC">
      <w:pPr>
        <w:spacing w:after="160" w:line="259" w:lineRule="auto"/>
        <w:rPr>
          <w:rFonts w:cs="Arial"/>
          <w:b/>
          <w:bCs/>
          <w:kern w:val="32"/>
          <w:szCs w:val="32"/>
        </w:rPr>
      </w:pPr>
      <w:r w:rsidRPr="00705A9C">
        <w:br w:type="page"/>
      </w:r>
    </w:p>
    <w:p w14:paraId="18A32477" w14:textId="380BCCD9" w:rsidR="00452D34" w:rsidRPr="00705A9C" w:rsidRDefault="00B23486" w:rsidP="002318DC">
      <w:pPr>
        <w:pStyle w:val="Heading1"/>
        <w:numPr>
          <w:ilvl w:val="0"/>
          <w:numId w:val="45"/>
        </w:numPr>
      </w:pPr>
      <w:r w:rsidRPr="00705A9C">
        <w:lastRenderedPageBreak/>
        <w:t>Introduction</w:t>
      </w:r>
    </w:p>
    <w:p w14:paraId="2CFEDB51" w14:textId="3BC7C84C" w:rsidR="00416EC4" w:rsidRPr="00705A9C" w:rsidRDefault="005C58DA" w:rsidP="009C6886">
      <w:pPr>
        <w:pStyle w:val="Paragraph"/>
      </w:pPr>
      <w:r w:rsidRPr="00705A9C">
        <w:rPr>
          <w:rFonts w:eastAsiaTheme="minorEastAsia"/>
        </w:rPr>
        <w:t>R</w:t>
      </w:r>
      <w:r w:rsidR="009F2467" w:rsidRPr="00705A9C">
        <w:t xml:space="preserve">emote sensing techniques </w:t>
      </w:r>
      <w:r w:rsidRPr="00705A9C">
        <w:t>for mapping</w:t>
      </w:r>
      <w:r w:rsidR="00B23486" w:rsidRPr="00705A9C">
        <w:t xml:space="preserve"> </w:t>
      </w:r>
      <w:r w:rsidRPr="00705A9C">
        <w:t xml:space="preserve">land surface phenology </w:t>
      </w:r>
      <w:r w:rsidR="009F2467" w:rsidRPr="00705A9C">
        <w:t>(LSP)</w:t>
      </w:r>
      <w:r w:rsidR="003F2623" w:rsidRPr="00705A9C">
        <w:rPr>
          <w:rFonts w:eastAsia="SimSun"/>
        </w:rPr>
        <w:t xml:space="preserve">, </w:t>
      </w:r>
      <w:r w:rsidR="009F2467" w:rsidRPr="00705A9C">
        <w:rPr>
          <w:rFonts w:eastAsia="SimSun"/>
        </w:rPr>
        <w:t xml:space="preserve">defined “as the seasonal pattern of variation in vegetated land surfaces observed from remote sensing” </w:t>
      </w:r>
      <w:r w:rsidR="009F2467" w:rsidRPr="00705A9C">
        <w:rPr>
          <w:rFonts w:eastAsia="SimSun"/>
        </w:rPr>
        <w:fldChar w:fldCharType="begin" w:fldLock="1"/>
      </w:r>
      <w:r w:rsidR="009E1CAA">
        <w:rPr>
          <w:rFonts w:eastAsia="SimSun"/>
        </w:rPr>
        <w:instrText>ADDIN CSL_CITATION { "citationItems" : [ { "id" : "ITEM-1", "itemData" : { "abstract" : "Friedl, M., G. Henebry. B. Reed, A. Huete, M. White, J. Morisette, R. Nemani, X. Zhang, and R. Myneni. 2006. Land Surface Phenology. A Community White Paper requested by NASA. Available online http://landportal.gsfc.nasa.gov/Documents/ESDR/Phenology_Friedl_whitepaper.pdf", "author" : [ { "dropping-particle" : "", "family" : "Friedl", "given" : "M H", "non-dropping-particle" : "", "parse-names" : false, "suffix" : "" }, { "dropping-particle" : "", "family" : "Henebry", "given" : "G M", "non-dropping-particle" : "", "parse-names" : false, "suffix" : "" }, { "dropping-particle" : "", "family" : "Reed", "given" : "B C", "non-dropping-particle" : "", "parse-names" : false, "suffix" : "" }, { "dropping-particle" : "", "family" : "Huete", "given" : "A", "non-dropping-particle" : "", "parse-names" : false, "suffix" : "" }, { "dropping-particle" : "", "family" : "White", "given" : "M a", "non-dropping-particle" : "", "parse-names" : false, "suffix" : "" }, { "dropping-particle" : "", "family" : "Morisette", "given" : "J", "non-dropping-particle" : "", "parse-names" : false, "suffix" : "" }, { "dropping-particle" : "", "family" : "Nemani", "given" : "R R", "non-dropping-particle" : "", "parse-names" : false, "suffix" : "" }, { "dropping-particle" : "", "family" : "Zhang", "given" : "X", "non-dropping-particle" : "", "parse-names" : false, "suffix" : "" }, { "dropping-particle" : "", "family" : "Myneni", "given" : "R B", "non-dropping-particle" : "", "parse-names" : false, "suffix" : "" }, { "dropping-particle" : "", "family" : "Friedl", "given" : "M", "non-dropping-particle" : "", "parse-names" : false, "suffix" : "" } ], "container-title" : "A community white paper requested by NASA", "id" : "ITEM-1", "issued" : { "date-parts" : [ [ "2006" ] ] }, "title" : "Land Surface Phenology", "type" : "article-journal", "volume" : "April 10" }, "uris" : [ "http://www.mendeley.com/documents/?uuid=18f2433e-f53c-4b87-8985-718d827b52a1" ] } ], "mendeley" : { "formattedCitation" : "(M. H. Friedl et al. 2006)", "plainTextFormattedCitation" : "(M. H. Friedl et al. 2006)", "previouslyFormattedCitation" : "(M. H. Friedl et al. 2006)" }, "properties" : { "noteIndex" : 0 }, "schema" : "https://github.com/citation-style-language/schema/raw/master/csl-citation.json" }</w:instrText>
      </w:r>
      <w:r w:rsidR="009F2467" w:rsidRPr="00705A9C">
        <w:rPr>
          <w:rFonts w:eastAsia="SimSun"/>
        </w:rPr>
        <w:fldChar w:fldCharType="separate"/>
      </w:r>
      <w:r w:rsidR="00611088" w:rsidRPr="00705A9C">
        <w:rPr>
          <w:rFonts w:eastAsia="SimSun"/>
          <w:noProof/>
        </w:rPr>
        <w:t>(M. H. Friedl et al. 2006)</w:t>
      </w:r>
      <w:r w:rsidR="009F2467" w:rsidRPr="00705A9C">
        <w:rPr>
          <w:rFonts w:eastAsia="SimSun"/>
        </w:rPr>
        <w:fldChar w:fldCharType="end"/>
      </w:r>
      <w:r w:rsidR="00416EC4" w:rsidRPr="00705A9C">
        <w:rPr>
          <w:rFonts w:eastAsia="SimSun"/>
        </w:rPr>
        <w:t>,</w:t>
      </w:r>
      <w:r w:rsidR="003F2623" w:rsidRPr="00705A9C">
        <w:rPr>
          <w:rFonts w:eastAsia="SimSun"/>
        </w:rPr>
        <w:t xml:space="preserve"> </w:t>
      </w:r>
      <w:r w:rsidRPr="00705A9C">
        <w:rPr>
          <w:rFonts w:eastAsia="SimSun"/>
        </w:rPr>
        <w:t xml:space="preserve">provide the capability </w:t>
      </w:r>
      <w:r w:rsidR="003F2623" w:rsidRPr="00705A9C">
        <w:rPr>
          <w:rFonts w:eastAsia="SimSun"/>
        </w:rPr>
        <w:t>for long-term observation</w:t>
      </w:r>
      <w:r w:rsidRPr="00705A9C">
        <w:rPr>
          <w:rFonts w:eastAsia="SimSun"/>
        </w:rPr>
        <w:t xml:space="preserve"> across large areas, </w:t>
      </w:r>
      <w:r w:rsidR="000A4CF8" w:rsidRPr="00705A9C">
        <w:t xml:space="preserve">especially </w:t>
      </w:r>
      <w:r w:rsidRPr="00705A9C">
        <w:t>those where</w:t>
      </w:r>
      <w:r w:rsidR="000A4CF8" w:rsidRPr="00705A9C">
        <w:t xml:space="preserve"> ground data</w:t>
      </w:r>
      <w:r w:rsidR="003F2623" w:rsidRPr="00705A9C">
        <w:rPr>
          <w:rFonts w:eastAsia="SimSun"/>
        </w:rPr>
        <w:t xml:space="preserve"> </w:t>
      </w:r>
      <w:r w:rsidRPr="00705A9C">
        <w:rPr>
          <w:rFonts w:eastAsia="SimSun"/>
        </w:rPr>
        <w:t xml:space="preserve">are lacking </w:t>
      </w:r>
      <w:r w:rsidR="003F2623" w:rsidRPr="00705A9C">
        <w:rPr>
          <w:rFonts w:eastAsia="SimSun"/>
        </w:rPr>
        <w:fldChar w:fldCharType="begin" w:fldLock="1"/>
      </w:r>
      <w:r w:rsidR="006F4E7F">
        <w:rPr>
          <w:rFonts w:eastAsia="SimSun"/>
        </w:rPr>
        <w:instrText>ADDIN CSL_CITATION { "citationItems" : [ { "id" : "ITEM-1", "itemData" : { "DOI" : "10.1007/s00484-014-0802-z", "ISSN" : "00207128", "PMID" : "24639008", "abstract" : "Land surface phenology is widely retrieved from satellite observations at regional and global scales, and its long-term record has been demonstrated to be a valuable tool for reconstructing past climate variations, monitoring the dynamics of terrestrial ecosystems in response to climate impacts, and predicting biological responses to future climate scenarios. This study detected global land surface phenology from the advanced very high resolution radiometer (AVHRR) and the Moderate Resolution Imaging Spectroradiometer (MODIS) data from 1982 to 2010. Based on daily enhanced vegetation index at a spatial resolution of 0.05 degrees, we simulated the seasonal vegetative trajectory for each individual pixel using piecewise logistic models, which was then used to detect the onset of greenness increase (OGI) and the length of vegetation growing season (GSL). Further, both overall interannual variations and pixel-based trends were examined across Koeppen's climate regions for the periods of 1982-1999 and 2000-2010, respectively. The results show that OGI and GSL varied considerably during 1982-2010 across the globe. Generally, the interannual variation could be more than a month in precipitation-controlled tropical and dry climates while it was mainly less than 15 days in temperature-controlled temperate, cold, and polar climates. OGI, overall, shifted early, and GSL was prolonged from 1982 to 2010 in most climate regions in North America and Asia while the consistently significant trends only occurred in cold climate and polar climate in North America. The overall trends in Europe were generally insignificant. Over South America, late OGI was consistent (particularly from 1982 to 1999) while either positive or negative GSL trends in a climate region were mostly reversed between the periods of 1982-1999 and 2000-2010. In the Northern Hemisphere of Africa, OGI trends were mostly insignificant, but prolonged GSL was evident over individual climate regions during the last 3 decades. OGI mainly showed late trends in the Southern Hemisphere of Africa while GSL was reversed from reduced GSL trends (1982-1999) to prolonged trends (2000-2010). In Australia, GSL exhibited considerable interannual variation, but the consistent trend lacked presence in most regions. Finally, the proportion of pixels with significant trends was less than 1 % in most of climate regions although it could be as large as 10 %.", "author" : [ { "dropping-particle" : "", "family" : "Zhang", "given" : "Xiaoyang", "non-dropping-particle" : "", "parse-names" : false, "suffix" : "" }, { "dropping-particle" : "", "family" : "Tan", "given" : "Bin", "non-dropping-particle" : "", "parse-names" : false, "suffix" : "" }, { "dropping-particle" : "", "family" : "Yu", "given" : "Yunyue", "non-dropping-particle" : "", "parse-names" : false, "suffix" : "" } ], "container-title" : "International Journal of Biometeorology", "id" : "ITEM-1", "issue" : "4", "issued" : { "date-parts" : [ [ "2014" ] ] }, "page" : "547-564", "title" : "Interannual variations and trends in global land surface phenology derived from enhanced vegetation index during 1982-2010", "type" : "article-journal", "volume" : "58" }, "uris" : [ "http://www.mendeley.com/documents/?uuid=136a8ddf-e54e-4ae6-9d68-422674129039" ] }, { "id" : "ITEM-2", "itemData" : { "DOI" : "10.1080/01431160802562255", "ISBN" : "0143-1161", "ISSN" : "0143-1161", "abstract" : "A double logistic function has been used to describe global inventory mapping and monitoring studies (GIMMS) normalized difference vegetation index (NDVI) yearly evolution for the 1981 to 2003 period, in order to estimate land surface phenology parameter. A principal component analysis on the resulting time series indicates that the first components explain 36, 53 and 37% of the variance for the start, end and length of growing season, respectively, and shows generally good spatial homogeneity. Mann\u2013Kendall trend tests have been carried out, and trends were estimated by linear regression. Maps of these trends show a global advance in spring dates of 0.38 days per year, a global delay in autumn dates of 0.45 days per year and a global increase of 0.8 days per year in the growing seasons validated by comparison with previous works. Correlations between retrieved phenological parameters and climate indices generally showed a good spatial coherence. 1.", "author" : [ { "dropping-particle" : "", "family" : "Julien", "given" : "Y.", "non-dropping-particle" : "", "parse-names" : false, "suffix" : "" }, { "dropping-particle" : "", "family" : "Sobrino", "given" : "J. a.", "non-dropping-particle" : "", "parse-names" : false, "suffix" : "" } ], "container-title" : "International Journal of Remote Sensing", "id" : "ITEM-2", "issue" : "13", "issued" : { "date-parts" : [ [ "2009" ] ] }, "page" : "3495-3513", "title" : "Global land surface phenology trends from GIMMS database", "type" : "article-journal", "volume" : "30" }, "uris" : [ "http://www.mendeley.com/documents/?uuid=6f122c96-71ae-49a4-9efd-fe86cae53d72" ] }, { "id" : "ITEM-3", "itemData" : { "DOI" : "10.1029/2006JG000217", "ISSN" : "01480227", "author" : [ { "dropping-particle" : "", "family" : "Zhang", "given" : "Xiaoyang", "non-dropping-particle" : "", "parse-names" : false, "suffix" : "" }, { "dropping-particle" : "", "family" : "Friedl", "given" : "Mark A.", "non-dropping-particle" : "", "parse-names" : false, "suffix" : "" }, { "dropping-particle" : "", "family" : "Schaaf", "given" : "Crystal B.", "non-dropping-particle" : "", "parse-names" : false, "suffix" : "" } ], "container-title" : "Journal of Geophysical Research: Biogeosciences", "id" : "ITEM-3", "issue" : "G4", "issued" : { "date-parts" : [ [ "2006", "12", "27" ] ] }, "page" : "G04017", "title" : "Global vegetation phenology from Moderate Resolution Imaging Spectroradiometer (MODIS): Evaluation of global patterns and comparison with in situ measurements", "type" : "article-journal", "volume" : "111" }, "uris" : [ "http://www.mendeley.com/documents/?uuid=33e0e49f-9bdf-4985-bb4e-fc3899144a6f" ] }, { "id" : "ITEM-4", "itemData" : { "DOI" : "10.1111/j.1365-2486.2011.02397.x", "ISSN" : "13541013", "author" : [ { "dropping-particle" : "", "family" : "Jeong", "given" : "SU-JONG", "non-dropping-particle" : "", "parse-names" : false, "suffix" : "" }, { "dropping-particle" : "", "family" : "Ho", "given" : "CHANG-HOI", "non-dropping-particle" : "", "parse-names" : false, "suffix" : "" }, { "dropping-particle" : "", "family" : "Gim", "given" : "HYEON-JU", "non-dropping-particle" : "", "parse-names" : false, "suffix" : "" }, { "dropping-particle" : "", "family" : "Brown", "given" : "MOLLY E.", "non-dropping-particle" : "", "parse-names" : false, "suffix" : "" } ], "container-title" : "Global Change Biology", "id" : "ITEM-4", "issue" : "7", "issued" : { "date-parts" : [ [ "2011", "7", "17" ] ] }, "page" : "2385-2399", "title" : "Phenology shifts at start vs. end of growing season in temperate vegetation over the Northern Hemisphere for the period 1982-2008", "type" : "article-journal", "volume" : "17" }, "uris" : [ "http://www.mendeley.com/documents/?uuid=417769c5-95e0-4fee-8409-aa6b63e4015f" ] } ], "mendeley" : { "formattedCitation" : "(X. Zhang, Tan, and Yu 2014; Julien and Sobrino 2009; X. Zhang, Friedl, and Schaaf 2006; Jeong et al. 2011)", "plainTextFormattedCitation" : "(X. Zhang, Tan, and Yu 2014; Julien and Sobrino 2009; X. Zhang, Friedl, and Schaaf 2006; Jeong et al. 2011)", "previouslyFormattedCitation" : "(X. Zhang, Tan, and Yu 2014; Julien and Sobrino 2009; X. Zhang, Friedl, and Schaaf 2006; Jeong et al. 2011)" }, "properties" : { "noteIndex" : 0 }, "schema" : "https://github.com/citation-style-language/schema/raw/master/csl-citation.json" }</w:instrText>
      </w:r>
      <w:r w:rsidR="003F2623" w:rsidRPr="00705A9C">
        <w:rPr>
          <w:rFonts w:eastAsia="SimSun"/>
        </w:rPr>
        <w:fldChar w:fldCharType="separate"/>
      </w:r>
      <w:r w:rsidR="005A1849" w:rsidRPr="00705A9C">
        <w:rPr>
          <w:rFonts w:eastAsia="SimSun"/>
          <w:noProof/>
        </w:rPr>
        <w:t>(X. Zhang, Tan, and Yu 2014; Julien and Sobrino 2009; X. Zhang, Friedl, and Schaaf 2006; Jeong et al. 2011)</w:t>
      </w:r>
      <w:r w:rsidR="003F2623" w:rsidRPr="00705A9C">
        <w:rPr>
          <w:rFonts w:eastAsia="SimSun"/>
        </w:rPr>
        <w:fldChar w:fldCharType="end"/>
      </w:r>
      <w:r w:rsidR="000A4CF8" w:rsidRPr="00705A9C">
        <w:rPr>
          <w:rFonts w:eastAsia="SimSun"/>
        </w:rPr>
        <w:t>.</w:t>
      </w:r>
      <w:r w:rsidR="00BC7C69" w:rsidRPr="00705A9C">
        <w:t xml:space="preserve"> </w:t>
      </w:r>
      <w:r w:rsidR="00416EC4" w:rsidRPr="00705A9C">
        <w:t>Remote sensing has been used</w:t>
      </w:r>
      <w:r w:rsidRPr="00705A9C">
        <w:t xml:space="preserve"> to </w:t>
      </w:r>
      <w:r w:rsidR="000A4CF8" w:rsidRPr="00705A9C">
        <w:t xml:space="preserve">study the </w:t>
      </w:r>
      <w:r w:rsidR="00416EC4" w:rsidRPr="00705A9C">
        <w:t xml:space="preserve">response </w:t>
      </w:r>
      <w:r w:rsidR="00B23486" w:rsidRPr="00705A9C">
        <w:t xml:space="preserve">of </w:t>
      </w:r>
      <w:r w:rsidRPr="00705A9C">
        <w:t>LSP</w:t>
      </w:r>
      <w:r w:rsidR="00B23486" w:rsidRPr="00705A9C">
        <w:t xml:space="preserve"> </w:t>
      </w:r>
      <w:r w:rsidR="00B87039" w:rsidRPr="00705A9C">
        <w:t xml:space="preserve">to climatic </w:t>
      </w:r>
      <w:r w:rsidR="00BC64DD" w:rsidRPr="00705A9C">
        <w:t xml:space="preserve">and non-climatic </w:t>
      </w:r>
      <w:r w:rsidR="00B87039" w:rsidRPr="00705A9C">
        <w:t xml:space="preserve">factors </w:t>
      </w:r>
      <w:r w:rsidR="00416EC4" w:rsidRPr="00705A9C">
        <w:t xml:space="preserve">and </w:t>
      </w:r>
      <w:r w:rsidR="004935FB" w:rsidRPr="00705A9C">
        <w:t>has</w:t>
      </w:r>
      <w:r w:rsidR="00416EC4" w:rsidRPr="00705A9C">
        <w:t>, thus,</w:t>
      </w:r>
      <w:r w:rsidR="004935FB" w:rsidRPr="00705A9C">
        <w:t xml:space="preserve"> contributed to</w:t>
      </w:r>
      <w:r w:rsidRPr="00705A9C">
        <w:t xml:space="preserve"> </w:t>
      </w:r>
      <w:r w:rsidR="004935FB" w:rsidRPr="00705A9C">
        <w:t>increased understanding</w:t>
      </w:r>
      <w:r w:rsidR="00B87039" w:rsidRPr="00705A9C">
        <w:t xml:space="preserve"> </w:t>
      </w:r>
      <w:r w:rsidRPr="00705A9C">
        <w:t xml:space="preserve">of </w:t>
      </w:r>
      <w:r w:rsidR="00416EC4" w:rsidRPr="00705A9C">
        <w:t xml:space="preserve">climate change impacts on </w:t>
      </w:r>
      <w:r w:rsidRPr="00705A9C">
        <w:t xml:space="preserve">the </w:t>
      </w:r>
      <w:r w:rsidR="00B87039" w:rsidRPr="00705A9C">
        <w:t>terrestrial ecosystem</w:t>
      </w:r>
      <w:r w:rsidR="00B23486" w:rsidRPr="00705A9C">
        <w:t xml:space="preserve">. </w:t>
      </w:r>
      <w:r w:rsidRPr="00705A9C">
        <w:t>Several</w:t>
      </w:r>
      <w:r w:rsidR="001B301F" w:rsidRPr="00705A9C">
        <w:t xml:space="preserve"> </w:t>
      </w:r>
      <w:r w:rsidR="00BB452C" w:rsidRPr="00705A9C">
        <w:t>authors</w:t>
      </w:r>
      <w:r w:rsidR="001B301F" w:rsidRPr="00705A9C">
        <w:t xml:space="preserve"> have used </w:t>
      </w:r>
      <w:r w:rsidRPr="00705A9C">
        <w:t>remote sensing</w:t>
      </w:r>
      <w:r w:rsidR="001B301F" w:rsidRPr="00705A9C">
        <w:t xml:space="preserve"> </w:t>
      </w:r>
      <w:r w:rsidRPr="00705A9C">
        <w:t>to estimate</w:t>
      </w:r>
      <w:r w:rsidR="00BB452C" w:rsidRPr="00705A9C">
        <w:t xml:space="preserve"> </w:t>
      </w:r>
      <w:r w:rsidRPr="00705A9C">
        <w:t xml:space="preserve">inter-annual </w:t>
      </w:r>
      <w:r w:rsidR="00BB452C" w:rsidRPr="00705A9C">
        <w:t xml:space="preserve">trends </w:t>
      </w:r>
      <w:r w:rsidRPr="00705A9C">
        <w:t xml:space="preserve">in </w:t>
      </w:r>
      <w:r w:rsidR="004935FB" w:rsidRPr="00705A9C">
        <w:t>LSP</w:t>
      </w:r>
      <w:r w:rsidRPr="00705A9C">
        <w:t xml:space="preserve"> (usually related to the timing of specific events)</w:t>
      </w:r>
      <w:r w:rsidR="00BB452C" w:rsidRPr="00705A9C">
        <w:t xml:space="preserve">. </w:t>
      </w:r>
      <w:r w:rsidR="00A730BE" w:rsidRPr="00705A9C">
        <w:fldChar w:fldCharType="begin" w:fldLock="1"/>
      </w:r>
      <w:r w:rsidR="009E1CAA">
        <w:instrText>ADDIN CSL_CITATION { "citationItems" : [ { "id" : "ITEM-1", "itemData" : { "author" : [ { "dropping-particle" : "", "family" : "Myneni", "given" : "R. B.", "non-dropping-particle" : "", "parse-names" : false, "suffix" : "" }, { "dropping-particle" : "", "family" : "Keeling", "given" : "C. D.", "non-dropping-particle" : "", "parse-names" : false, "suffix" : "" }, { "dropping-particle" : "", "family" : "Tucker", "given" : "C. J.", "non-dropping-particle" : "", "parse-names" : false, "suffix" : "" }, { "dropping-particle" : "", "family" : "Asrar", "given" : "G.", "non-dropping-particle" : "", "parse-names" : false, "suffix" : "" }, { "dropping-particle" : "", "family" : "Nemani", "given" : "R. R.", "non-dropping-particle" : "", "parse-names" : false, "suffix" : "" } ], "container-title" : "Nature", "id" : "ITEM-1", "issued" : { "date-parts" : [ [ "1997" ] ] }, "page" : "698\u2013702", "title" : "Increased plant growth in the northern latitudes from 1981\u20131991", "type" : "article-journal", "volume" : "386" }, "uris" : [ "http://www.mendeley.com/documents/?uuid=e35952e3-3c2b-4663-8ca9-01114e3512f3" ] } ], "mendeley" : { "formattedCitation" : "(Myneni et al. 1997)", "manualFormatting" : "Myneni et al. (1997)", "plainTextFormattedCitation" : "(Myneni et al. 1997)", "previouslyFormattedCitation" : "(Myneni et al. 1997)" }, "properties" : { "noteIndex" : 0 }, "schema" : "https://github.com/citation-style-language/schema/raw/master/csl-citation.json" }</w:instrText>
      </w:r>
      <w:r w:rsidR="00A730BE" w:rsidRPr="00705A9C">
        <w:fldChar w:fldCharType="separate"/>
      </w:r>
      <w:r w:rsidR="00A730BE" w:rsidRPr="00705A9C">
        <w:rPr>
          <w:noProof/>
        </w:rPr>
        <w:t>Myneni et al. (1997)</w:t>
      </w:r>
      <w:r w:rsidR="00A730BE" w:rsidRPr="00705A9C">
        <w:fldChar w:fldCharType="end"/>
      </w:r>
      <w:r w:rsidR="004A33CE" w:rsidRPr="00705A9C">
        <w:t xml:space="preserve"> was one of </w:t>
      </w:r>
      <w:r w:rsidR="00A55654" w:rsidRPr="00705A9C">
        <w:t>the first</w:t>
      </w:r>
      <w:r w:rsidR="004A33CE" w:rsidRPr="00705A9C">
        <w:t xml:space="preserve"> </w:t>
      </w:r>
      <w:r w:rsidR="00416EC4" w:rsidRPr="00705A9C">
        <w:t xml:space="preserve">studies </w:t>
      </w:r>
      <w:r w:rsidR="00A55654" w:rsidRPr="00705A9C">
        <w:t>to report</w:t>
      </w:r>
      <w:r w:rsidR="004A33CE" w:rsidRPr="00705A9C">
        <w:t xml:space="preserve"> a</w:t>
      </w:r>
      <w:r w:rsidR="003E1952" w:rsidRPr="00705A9C">
        <w:t xml:space="preserve"> 12 days increase in </w:t>
      </w:r>
      <w:r w:rsidRPr="00705A9C">
        <w:t xml:space="preserve">the </w:t>
      </w:r>
      <w:r w:rsidR="003E1952" w:rsidRPr="00705A9C">
        <w:t>length of growing season (LOS) for the Northern Hemisphere during the period 1982–1991</w:t>
      </w:r>
      <w:r w:rsidR="004A33CE" w:rsidRPr="00705A9C">
        <w:t xml:space="preserve"> using satellite </w:t>
      </w:r>
      <w:r w:rsidR="00A02490" w:rsidRPr="00705A9C">
        <w:t xml:space="preserve">sensor </w:t>
      </w:r>
      <w:r w:rsidR="004A33CE" w:rsidRPr="00705A9C">
        <w:t>data</w:t>
      </w:r>
      <w:r w:rsidR="003E1952" w:rsidRPr="00705A9C">
        <w:t xml:space="preserve">. </w:t>
      </w:r>
      <w:r w:rsidR="000731F1" w:rsidRPr="00705A9C">
        <w:t xml:space="preserve"> </w:t>
      </w:r>
      <w:r w:rsidR="00132ECB" w:rsidRPr="00705A9C">
        <w:t xml:space="preserve">Several other </w:t>
      </w:r>
      <w:r w:rsidR="00A65668" w:rsidRPr="00705A9C">
        <w:t xml:space="preserve">studies have been carried out </w:t>
      </w:r>
      <w:r w:rsidR="00256355" w:rsidRPr="00705A9C">
        <w:t xml:space="preserve">since </w:t>
      </w:r>
      <w:r w:rsidRPr="00705A9C">
        <w:t xml:space="preserve">then, </w:t>
      </w:r>
      <w:r w:rsidR="00256355" w:rsidRPr="00705A9C">
        <w:t xml:space="preserve">mostly </w:t>
      </w:r>
      <w:r w:rsidR="00F054FE" w:rsidRPr="00705A9C">
        <w:t xml:space="preserve">focusing on </w:t>
      </w:r>
      <w:r w:rsidR="00A55654" w:rsidRPr="00705A9C">
        <w:t xml:space="preserve">LSP </w:t>
      </w:r>
      <w:r w:rsidR="00F054FE" w:rsidRPr="00705A9C">
        <w:t xml:space="preserve">trends </w:t>
      </w:r>
      <w:r w:rsidR="00256355" w:rsidRPr="00705A9C">
        <w:t>in the N</w:t>
      </w:r>
      <w:r w:rsidR="00CE685A" w:rsidRPr="00705A9C">
        <w:t>orthern Hemisphere</w:t>
      </w:r>
      <w:r w:rsidR="00AE0706" w:rsidRPr="00705A9C">
        <w:t xml:space="preserve"> </w:t>
      </w:r>
      <w:r w:rsidR="00A55654" w:rsidRPr="00705A9C">
        <w:rPr>
          <w:b/>
        </w:rPr>
        <w:fldChar w:fldCharType="begin" w:fldLock="1"/>
      </w:r>
      <w:r w:rsidR="009E1CAA">
        <w:rPr>
          <w:b/>
        </w:rPr>
        <w:instrText>ADDIN CSL_CITATION { "citationItems" : [ { "id" : "ITEM-1", "itemData" : { "DOI" : "10.1029/2006GB002888", "ISBN" : "0886-6236", "ISSN" : "08866236", "abstract" : "A number of studies have suggested that the growing season duration has significantly lengthened during the past decades, but the connections between phenology variability and the terrestrial carbon (C) cycle are far from clear. In this study, we used the \u201cORganizing Carbon and Hydrology In Dynamic Ecosystems\u201d (ORCHIDEE) process based ecosystem model together with observed climate data to investigate spatiotemporal changes in phenology and their impacts on carbon fluxes in the Northern Hemisphere (&gt;25\u00b0N) during 1980\u20132002. We found that the growing season length (GSL) has increased by 0.30 days yr\u22121 (R2 = 0.27, P = 0.010), owing to the combination of an earlier onset in spring (0.16 days yr\u22121) and a later termination in autumn (0.14 days yr\u22121). Trends in the GSL are however highly variable across the regions. In Eurasia, there is a significant trend toward earlier vegetation green-up with an overall advancement rate of 0.28 days yr\u22121 (R2 = 0.32, P = 0.005), while in North America there is a significantly delayed vegetation senescence by 0.28 days yr\u22121 (R2 = 0.26, P = 0.013) during the study period. Our results also suggested that the GSL strongly correlates with annual gross primary productivity (GPP) and net primary productivity (NPP), indicating that longer growing seasons may eventually enhance vegetation growth. A 1-day extension in GSL leads to an increase in annual GPP of 5.8 gC m\u22122 yr\u22121 (or 0.6% per day), and an increase in NPP of 2.8 gC m\u22122 yr\u22121 per day. However, owing to enhanced soil carbon decomposition accompanying the GPP increase, a change in GSL correlates only poorly with a change in annual net ecosystem productivity (NEP).", "author" : [ { "dropping-particle" : "", "family" : "Piao", "given" : "Shilong", "non-dropping-particle" : "", "parse-names" : false, "suffix" : "" }, { "dropping-particle" : "", "family" : "Friedlingstein", "given" : "Pierre", "non-dropping-particle" : "", "parse-names" : false, "suffix" : "" }, { "dropping-particle" : "", "family" : "Ciais", "given" : "Philippe", "non-dropping-particle" : "", "parse-names" : false, "suffix" : "" }, { "dropping-particle" : "", "family" : "Viovy", "given" : "Nicolas", "non-dropping-particle" : "", "parse-names" : false, "suffix" : "" }, { "dropping-particle" : "", "family" : "Demarty", "given" : "J\u00e9r\u00f4me", "non-dropping-particle" : "", "parse-names" : false, "suffix" : "" } ], "container-title" : "Global Biogeochemical Cycles", "id" : "ITEM-1", "issued" : { "date-parts" : [ [ "2007" ] ] }, "page" : "1-11", "title" : "Growing season extension and its impact on terrestrial carbon cycle in the Northern Hemisphere over the past 2 decades", "type" : "article-journal", "volume" : "21" }, "uris" : [ "http://www.mendeley.com/documents/?uuid=da0be36f-3794-42bf-aead-4254a0454c5e" ] }, { "id" : "ITEM-2", "itemData" : { "DOI" : "10.1111/gcb.12778", "ISBN" : "1354-1013", "ISSN" : "13652486", "PMID" : "25430658", "abstract" : "Vegetation phenology is a sensitive indicator of the dynamic response of terrestrial ecosystems to climate change. In this study, the spatiotemporal pattern of vegetation dormancy onset date (DOD) and its climate controls over temperate China were examined by analysing the satellite-derived normalized difference vegetation index and concurrent climate data from 1982 to 2010. Results show that preseason (May through October) air temperature is the primary climatic control of the DOD spatial pattern across temperate China, whereas preseason cumulative precipitation is dominantly associated with the DOD spatial pattern in relatively cold regions. Temporally, the average DOD over China's temperate ecosystems has delayed by 0.13\u00a0days per year during the past three decades. However, the delay trends are not continuous throughout the 29-year period. The DOD experienced the largest delay during the 1980s, but the delay trend slowed down or even reversed during the 1990s and 2000s. Our results also show that interannual variations in DOD are most significantly related with preseason mean temperature in most ecosystems, except for the desert ecosystem for which the variations in DOD are mainly regulated by preseason cumulative precipitation. Moreover, temperature also determines the spatial pattern of temperature sensitivity of DOD, which became significantly lower as temperature increased. On the other hand, the temperature sensitivity of DOD increases with increasing precipitation, especially in relatively dry areas (e.g. temperate grassland). This finding stresses the importance of hydrological control on the response of autumn phenology to changes in temperature, which must be accounted in current temperature-driven phenological models.", "author" : [ { "dropping-particle" : "", "family" : "Yang", "given" : "Yuting", "non-dropping-particle" : "", "parse-names" : false, "suffix" : "" }, { "dropping-particle" : "", "family" : "Guan", "given" : "Huade", "non-dropping-particle" : "", "parse-names" : false, "suffix" : "" }, { "dropping-particle" : "", "family" : "Shen", "given" : "Miaogen", "non-dropping-particle" : "", "parse-names" : false, "suffix" : "" }, { "dropping-particle" : "", "family" : "Liang", "given" : "Wei", "non-dropping-particle" : "", "parse-names" : false, "suffix" : "" }, { "dropping-particle" : "", "family" : "Jiang", "given" : "Lei", "non-dropping-particle" : "", "parse-names" : false, "suffix" : "" } ], "container-title" : "Global Change Biology", "id" : "ITEM-2", "issue" : "2", "issued" : { "date-parts" : [ [ "2015" ] ] }, "page" : "652-665", "title" : "Changes in autumn vegetation dormancy onset date and the climate controls across temperate ecosystems in China from 1982 to 2010", "type" : "article-journal", "volume" : "21" }, "uris" : [ "http://www.mendeley.com/documents/?uuid=3afe7697-1f7f-473f-a00a-1ff80b6d1910" ] }, { "id" : "ITEM-3", "itemData" : { "DOI" : "10.1111/j.1466-8238.2011.00675.x", "ISBN" : "1466-8238", "ISSN" : "1466822X", "abstract" : "Aim We intend to characterize and understand the spatial and temporal patterns of vegetation phenology shifts in North America during the period 1982-2006. Location North America. Methods A piecewise logistic model is used to extract phenological metrics from a time-series data set of the normalized difference vegetation index (NDVI). An extensive comparison between satellite-derived phenological metrics and ground-based phenology observations for 14,179 records of 73 plant species at 802 sites across North America is made to evaluate the information about phenology shifts obtained in this study. Results The spatial pattern of vegetation phenology shows a strong dependence on latitude but a substantial variation along the longitudinal gradient. A delayed dormancy onset date (0.551 days year -1, P= 0.013) and an extended growing season length (0.683 days year -1, P= 0.011) are found over the mid and high latitudes in North America during 1982-2006, while no significant trends in greenup onset are observed. The delayed dormancy onset date and extended growing season length are mainly found in the shrubland biome. An extensive validation indicates a strong robustness of the satellite-derived phenology information. Main conclusions It is the delayed dormancy onset date, rather than an advanced greenup onset date, that has contributed to the prolonged length of the growing season over the mid and high latitudes in North America during recent decades. Shrublands contribute the most to the delayed dormancy onset date and the extended growing season length. This shift of vegetation phenology implies that vegetation activity in North America has been altered by climatic change, which may further affect ecosystem structure and function in the continent. \u00a9 2011 Blackwell Publishing Ltd.", "author" : [ { "dropping-particle" : "", "family" : "Zhu", "given" : "Wenquan", "non-dropping-particle" : "", "parse-names" : false, "suffix" : "" }, { "dropping-particle" : "", "family" : "Tian", "given" : "Hanqin", "non-dropping-particle" : "", "parse-names" : false, "suffix" : "" }, { "dropping-particle" : "", "family" : "Xu", "given" : "Xiaofeng", "non-dropping-particle" : "", "parse-names" : false, "suffix" : "" }, { "dropping-particle" : "", "family" : "Pan", "given" : "Yaozhong", "non-dropping-particle" : "", "parse-names" : false, "suffix" : "" }, { "dropping-particle" : "", "family" : "Chen", "given" : "Guangsheng", "non-dropping-particle" : "", "parse-names" : false, "suffix" : "" }, { "dropping-particle" : "", "family" : "Lin", "given" : "Wenpeng", "non-dropping-particle" : "", "parse-names" : false, "suffix" : "" } ], "container-title" : "Global Ecology and Biogeography", "id" : "ITEM-3", "issue" : "2", "issued" : { "date-parts" : [ [ "2012" ] ] }, "page" : "260-271", "title" : "Extension of the growing season due to delayed autumn over mid and high latitudes in North America during 1982-2006", "type" : "article-journal", "volume" : "21" }, "uris" : [ "http://www.mendeley.com/documents/?uuid=26865c54-19f5-454e-8523-02495e95f5b7" ] }, { "id" : "ITEM-4", "itemData" : { "DOI" : "10.1111/j.1365-2486.2011.02397.x", "ISSN" : "13541013", "author" : [ { "dropping-particle" : "", "family" : "Jeong", "given" : "SU-JONG", "non-dropping-particle" : "", "parse-names" : false, "suffix" : "" }, { "dropping-particle" : "", "family" : "Ho", "given" : "CHANG-HOI", "non-dropping-particle" : "", "parse-names" : false, "suffix" : "" }, { "dropping-particle" : "", "family" : "Gim", "given" : "HYEON-JU", "non-dropping-particle" : "", "parse-names" : false, "suffix" : "" }, { "dropping-particle" : "", "family" : "Brown", "given" : "MOLLY E.", "non-dropping-particle" : "", "parse-names" : false, "suffix" : "" } ], "container-title" : "Global Change Biology", "id" : "ITEM-4", "issue" : "7", "issued" : { "date-parts" : [ [ "2011", "7", "17" ] ] }, "page" : "2385-2399", "title" : "Phenology shifts at start vs. end of growing season in temperate vegetation over the Northern Hemisphere for the period 1982-2008", "type" : "article-journal", "volume" : "17" }, "uris" : [ "http://www.mendeley.com/documents/?uuid=417769c5-95e0-4fee-8409-aa6b63e4015f" ] }, { "id" : "ITEM-5", "itemData" : { "DOI" : "10.1007/s00484-014-0802-z", "ISSN" : "00207128", "PMID" : "24639008", "abstract" : "Land surface phenology is widely retrieved from satellite observations at regional and global scales, and its long-term record has been demonstrated to be a valuable tool for reconstructing past climate variations, monitoring the dynamics of terrestrial ecosystems in response to climate impacts, and predicting biological responses to future climate scenarios. This study detected global land surface phenology from the advanced very high resolution radiometer (AVHRR) and the Moderate Resolution Imaging Spectroradiometer (MODIS) data from 1982 to 2010. Based on daily enhanced vegetation index at a spatial resolution of 0.05 degrees, we simulated the seasonal vegetative trajectory for each individual pixel using piecewise logistic models, which was then used to detect the onset of greenness increase (OGI) and the length of vegetation growing season (GSL). Further, both overall interannual variations and pixel-based trends were examined across Koeppen's climate regions for the periods of 1982-1999 and 2000-2010, respectively. The results show that OGI and GSL varied considerably during 1982-2010 across the globe. Generally, the interannual variation could be more than a month in precipitation-controlled tropical and dry climates while it was mainly less than 15 days in temperature-controlled temperate, cold, and polar climates. OGI, overall, shifted early, and GSL was prolonged from 1982 to 2010 in most climate regions in North America and Asia while the consistently significant trends only occurred in cold climate and polar climate in North America. The overall trends in Europe were generally insignificant. Over South America, late OGI was consistent (particularly from 1982 to 1999) while either positive or negative GSL trends in a climate region were mostly reversed between the periods of 1982-1999 and 2000-2010. In the Northern Hemisphere of Africa, OGI trends were mostly insignificant, but prolonged GSL was evident over individual climate regions during the last 3 decades. OGI mainly showed late trends in the Southern Hemisphere of Africa while GSL was reversed from reduced GSL trends (1982-1999) to prolonged trends (2000-2010). In Australia, GSL exhibited considerable interannual variation, but the consistent trend lacked presence in most regions. Finally, the proportion of pixels with significant trends was less than 1 % in most of climate regions although it could be as large as 10 %.", "author" : [ { "dropping-particle" : "", "family" : "Zhang", "given" : "Xiaoyang", "non-dropping-particle" : "", "parse-names" : false, "suffix" : "" }, { "dropping-particle" : "", "family" : "Tan", "given" : "Bin", "non-dropping-particle" : "", "parse-names" : false, "suffix" : "" }, { "dropping-particle" : "", "family" : "Yu", "given" : "Yunyue", "non-dropping-particle" : "", "parse-names" : false, "suffix" : "" } ], "container-title" : "International Journal of Biometeorology", "id" : "ITEM-5", "issue" : "4", "issued" : { "date-parts" : [ [ "2014" ] ] }, "page" : "547-564", "title" : "Interannual variations and trends in global land surface phenology derived from enhanced vegetation index during 1982-2010", "type" : "article-journal", "volume" : "58" }, "uris" : [ "http://www.mendeley.com/documents/?uuid=136a8ddf-e54e-4ae6-9d68-422674129039" ] }, { "id" : "ITEM-6", "itemData" : { "DOI" : "10.1007/s00484-014-0947-9", "ISBN" : "0020-7128", "ISSN" : "00207128", "PMID" : "25542243", "abstract" : "Understanding spatial and temporal dynamics of land surface phenology (LSP) and its driving forces are critical for providing information relevant to short- and long-term decision making, particularly as it relates to climate response planning. With the third generation Global Inventory Monitoring and Modeling System (GIMMS3g) Normalized Difference Vegetation Index (NDVI) data and environmental data from multiple sources, we investigated the spatio-temporal changes in the start of the growing season (SOS) in southern African savannas from 1982 through 2010 and determined its linkage to environmental factors using spatial panel data models. Overall, the SOS occurs earlier in the north compared to the south. This relates in part to the differences in ecosystems, with northern areas representing high rainfall and dense tree cover (mainly tree savannas), whereas the south has lower rainfall and sparse tree cover (mainly bush and grass savannas). From 1982 to 2010, an advanced trend was observed predominantly in the tree savanna areas of the north, whereas a delayed trend was chiefly found in the floodplain of the north and bush/grass savannas of the south. Different environmental drivers were detected within tree- and grass-dominated savannas, with a critical division being represented by the 800 mm isohyet. Our results supported the importance of water as a driver in this water-limited system, specifically preseason soil moisture, in determining the SOS in these water-limited, grass-dominated savannas. In addition, the research pointed to other, often overlooked, effects of preseason maximum and minimum temperatures on the SOS across the entire region. Higher preseason maximum temperatures led to an advance of the SOS, whereas the opposite effects of preseason minimum temperature were observed. With the rapid increase in global change research, this work will prove helpful for managing savanna landscapes and key to predicting how projected climate changes will affect regional vegetation phenology and productivity.", "author" : [ { "dropping-particle" : "", "family" : "Zhu", "given" : "Likai", "non-dropping-particle" : "", "parse-names" : false, "suffix" : "" }, { "dropping-particle" : "", "family" : "Southworth", "given" : "Jane", "non-dropping-particle" : "", "parse-names" : false, "suffix" : "" }, { "dropping-particle" : "", "family" : "Meng", "given" : "Jijun", "non-dropping-particle" : "", "parse-names" : false, "suffix" : "" } ], "container-title" : "International Journal of Biometeorology", "id" : "ITEM-6", "issue" : "10", "issued" : { "date-parts" : [ [ "2014" ] ] }, "page" : "1373-1384", "title" : "Comparison of the driving forces of spring phenology among savanna landscapes by including combined spatial and temporal heterogeneity", "type" : "article-journal", "volume" : "59" }, "uris" : [ "http://www.mendeley.com/documents/?uuid=8f0881b9-86db-4b2e-b3ab-f64a038d6eae" ] }, { "id" : "ITEM-7", "itemData" : { "DOI" : "10.1111/j.1365-2486.2005.00949.x", "ISBN" : "1354-1013", "ISSN" : "13541013", "abstract" : "The International Geosphere-Biosphere Program has delineated five study areas that form a northern high-latitude network for the analyses of vegetation and carbon dynamics. We examined the magnitude and significance of changes in the land surface phenologies of ecoregions within these transects using the NASA Pathfinder Advanced Very High-Resolution Radiometer Land dataset. We applied the seasonal Mann-Kendall (SMK) trend test, a robust and nonparametric approach, to determine the significance of trends in the normalized difference vegetation index (NDVI) over the five transects. The SMK trend test provides an important alternative over the frequently used but unreliable trend analysis based on linear regression. In addition, we modeled the land surface phenology using quadratic or nonlinear spherical models to relate the NDVI data to accumulated growing degree-days (base 0&amp;DEG; C). Nonlinear spherical models parsimoniously describe the green-up dynamics in taiga and tundra ecoregions. Models for each ecoregion within each transect were fitted separately for two time periods (1985-1988 and 1995-1999) and their parameter coefficient estimates were compared. In 10 of 24 ecoregions that comprise 72% of the land area in the transects, the date of the peak NDVI value was significantly earlier (range 2-18 days) in the second study period than in the first study period. This progression was more pronounced in North America than in Siberia (weighted average of 9.3 vs. 6.3 days earlier). Understanding of what constitutes significant change in land surface phenology amidst background variation is a critical component of global change science. A diversity of datasets, techniques, and study areas has led to a range of conclusions about boreal phenology. We discuss statistical pitfalls in standard analyses and offer a framework to conduct statistically reliable change assessments of land surface phenologies.", "author" : [ { "dropping-particle" : "", "family" : "Beurs", "given" : "Kirsten M.", "non-dropping-particle" : "de", "parse-names" : false, "suffix" : "" }, { "dropping-particle" : "", "family" : "Henebry", "given" : "Geoffrey M.", "non-dropping-particle" : "", "parse-names" : false, "suffix" : "" } ], "container-title" : "Global Change Biology", "id" : "ITEM-7", "issue" : "5", "issued" : { "date-parts" : [ [ "2005" ] ] }, "page" : "779-790", "title" : "Land surface phenology and temperature variation in the International Geosphere-Biosphere Program high-latitude transects", "type" : "article-journal", "volume" : "11" }, "uris" : [ "http://www.mendeley.com/documents/?uuid=f2f735ca-6016-46fe-a174-dc18e5d92555" ] }, { "id" : "ITEM-8", "itemData" : { "DOI" : "10.1029/2000JD000115", "ISBN" : "0747-7309", "ISSN" : "0148-0227", "PMID" : "87", "abstract" : "The northern high latitudes have warmed by about 0.8\u00b0C since the early 1970s, but not all areas have warmed uniformly [Hansen et al., 1999]. There is warming in most of Eurasia, but the warming rate in the United States is smaller than in most of the world, and a slight cooling is observed in the eastern United States over the past 50 years. These changes beg the question, can we detect the biotic response to temperature changes? Here we present results from analyses of a recently developed satellite-sensed normalized difference vegetation index (NDVI) data set for the period July 1981 to December 1999: (1) About 61% of the total vegetated area between 40\u00b0N and 70\u00b0N in Eurasia shows a persistent increase in growing season NDVI over a broad contiguous swath of land from central Europe through Siberia to the Aldan plateau, where almost 58% (7.3\u00d7106 km2) is forests and woodlands; North America, in comparison, shows a fragmented pattern of change in smaller areas notable only in the forests of the southeast and grasslands of the upper Midwest, (2) A larger increase in growing season NDVI magnitude (12% versus 8%) and a longer active growing season (18 versus 12 days) brought about by an early spring and delayed autumn are observed in Eurasia relative to North America, (3) NDVI decreases are observed in parts of Alaska, boreal Canada, and northeastern Asia, possibly due to temperature-induced drought as these regions experienced pronounced warming without a concurrent increase in rainfall [Barber et al., 2000]. We argue that these changes in NDVI reflect changes in biological activity. Statistical analyses indicate that there is a statistically meaningful relation between changes in NDVI and land surface temperature for vegetated areas between 40\u00b0N and 70\u00b0N. That is, the temporal changes and continental differences in NDVI are consistent with ground-based measurements of temperature, an important determinant of biological activity. Together, these results suggest a photosynthetically vigorous Eurasia relative to North America during the past 2 decades, possibly driven by temperature and precipitation patterns. Our results are in broad agreement with a recent comparative analysis of 1980s and 1990s boreal and temperate forest inventory data [United Nations, 2000].", "author" : [ { "dropping-particle" : "", "family" : "Zhou", "given" : "Liming", "non-dropping-particle" : "", "parse-names" : false, "suffix" : "" }, { "dropping-particle" : "", "family" : "Tucker", "given" : "Compton J.", "non-dropping-particle" : "", "parse-names" : false, "suffix" : "" }, { "dropping-particle" : "", "family" : "Kaufmann", "given" : "Robert K.", "non-dropping-particle" : "", "parse-names" : false, "suffix" : "" }, { "dropping-particle" : "", "family" : "Slayback", "given" : "Daniel", "non-dropping-particle" : "", "parse-names" : false, "suffix" : "" }, { "dropping-particle" : "V.", "family" : "Shabanov", "given" : "Nikolay", "non-dropping-particle" : "", "parse-names" : false, "suffix" : "" }, { "dropping-particle" : "", "family" : "Myneni", "given" : "Ranga B.", "non-dropping-particle" : "", "parse-names" : false, "suffix" : "" } ], "container-title" : "Journal of Geophysical Research", "id" : "ITEM-8", "issued" : { "date-parts" : [ [ "2001" ] ] }, "page" : "20069", "title" : "Variations in northern vegetation activity inferred from satellite data of vegetation index during 1981 to 1999", "type" : "article-journal", "volume" : "106" }, "uris" : [ "http://www.mendeley.com/documents/?uuid=02f5b66d-9e8e-4441-93af-6190083ed1e2" ] }, { "id" : "ITEM-9", "itemData" : { "DOI" : "10.1016/j.gloplacha.2012.03.010", "ISBN" : "0921-8181", "ISSN" : "09218181", "abstract" : "The projected influence of climate change on the timing and volume of phytomass production is expected to affect a number of ecosystem services. In order to develop coherent and locally effective adaptation and mitigation strategies, spatially explicit information on the observed changes is needed. Long-term variations of the vegetative growing season in different environmental zones of Europe for 1982-2006 have been derived by analysing time series of GIMMS NDVI data. The associations of phenologically homogenous spatial clusters to time series of temperature and precipitation data were evaluated. North-east Europe showed a trend to an earlier and longer growing season, particularly in the northern Baltic areas. Despite the earlier greening up large areas of Europe exhibited rather stable season length indicating the shift of the entire growing season to an earlier period. The northern Mediterranean displayed a growing season shift towards later dates while some agglomerations of earlier and shorter growing season were also seen. The correlation of phenological time series with climate data shows a cause-and-effect relationship over the semi natural areas consistent with results in literature. Managed ecosystems however appear to have heterogeneous change pattern with less or no correlation to climatic trends. Over these areas climatic trends seemed to overlap in a complex manner with more pronounced effects of local biophysical conditions and/or land management practices. Our results underline the importance of satellite derived phenological observations to explain local nonconformities to climatic trends for climate change impact assessment. \u00a9 2012 Elsevier B.V.", "author" : [ { "dropping-particle" : "", "family" : "Ivits", "given" : "E.", "non-dropping-particle" : "", "parse-names" : false, "suffix" : "" }, { "dropping-particle" : "", "family" : "Cherlet", "given" : "M.", "non-dropping-particle" : "", "parse-names" : false, "suffix" : "" }, { "dropping-particle" : "", "family" : "T\u00f3th", "given" : "G.", "non-dropping-particle" : "", "parse-names" : false, "suffix" : "" }, { "dropping-particle" : "", "family" : "Sommer", "given" : "S.", "non-dropping-particle" : "", "parse-names" : false, "suffix" : "" }, { "dropping-particle" : "", "family" : "Mehl", "given" : "W.", "non-dropping-particle" : "", "parse-names" : false, "suffix" : "" }, { "dropping-particle" : "", "family" : "Vogt", "given" : "J.", "non-dropping-particle" : "", "parse-names" : false, "suffix" : "" }, { "dropping-particle" : "", "family" : "Micale", "given" : "F.", "non-dropping-particle" : "", "parse-names" : false, "suffix" : "" } ], "container-title" : "Global and Planetary Change", "id" : "ITEM-9", "issued" : { "date-parts" : [ [ "2012" ] ] }, "page" : "85-97", "publisher" : "Elsevier B.V.", "title" : "Combining satellite derived phenology with climate data for climate change impact assessment", "type" : "article-journal", "volume" : "88-89" }, "uris" : [ "http://www.mendeley.com/documents/?uuid=bb9420f9-a8c3-43da-a7b2-dae1c718a887" ] }, { "id" : "ITEM-10", "itemData" : { "DOI" : "10.1080/01431160802562255", "ISBN" : "0143-1161", "ISSN" : "0143-1161", "abstract" : "A double logistic function has been used to describe global inventory mapping and monitoring studies (GIMMS) normalized difference vegetation index (NDVI) yearly evolution for the 1981 to 2003 period, in order to estimate land surface phenology parameter. A principal component analysis on the resulting time series indicates that the first components explain 36, 53 and 37% of the variance for the start, end and length of growing season, respectively, and shows generally good spatial homogeneity. Mann\u2013Kendall trend tests have been carried out, and trends were estimated by linear regression. Maps of these trends show a global advance in spring dates of 0.38 days per year, a global delay in autumn dates of 0.45 days per year and a global increase of 0.8 days per year in the growing seasons validated by comparison with previous works. Correlations between retrieved phenological parameters and climate indices generally showed a good spatial coherence. 1.", "author" : [ { "dropping-particle" : "", "family" : "Julien", "given" : "Y.", "non-dropping-particle" : "", "parse-names" : false, "suffix" : "" }, { "dropping-particle" : "", "family" : "Sobrino", "given" : "J. a.", "non-dropping-particle" : "", "parse-names" : false, "suffix" : "" } ], "container-title" : "International Journal of Remote Sensing", "id" : "ITEM-10", "issue" : "13", "issued" : { "date-parts" : [ [ "2009" ] ] }, "page" : "3495-3513", "title" : "Global land surface phenology trends from GIMMS database", "type" : "article-journal", "volume" : "30" }, "uris" : [ "http://www.mendeley.com/documents/?uuid=6f122c96-71ae-49a4-9efd-fe86cae53d72" ] }, { "id" : "ITEM-11", "itemData" : { "DOI" : "10.1016/j.rse.2005.03.011", "ISBN" : "0034-4257", "ISSN" : "00344257", "abstract" : "Monitoring and understanding plant phenology are important in the context of studies of terrestrial productivity and global change. Vegetation phenology, such as dates of onsets of greening up and leaf senescence, has been determined by remote sensing using mainly the normalized difference vegetation index (NDVI). In boreal regions, the results suffer from significant uncertainties because of the effect of snow on NDVI. In this paper, SPOT VEGETATION S10 data over Siberia have been analysed to define a more appropriate method. The analysis of time series of NDVI, normalized difference snow index (NDSI), and normalized difference water index (NDWI), together with an analysis of in situ phenological records in Siberia, shows that the vegetation phenology can be detected using NDWI, with small effect of snow. In spring, the date of onset of greening up is taken as the date at which NDWI starts increasing, since NDWI decreases with snowmelt and increases with greening up. In the fall, the date of onset of leaf coloring is taken as the date at which NDWI starts decreasing, since NDWI decreases with senescence and increases with snow accumulation. The results are compared to the results obtained using NDVI-based methods, taking in situ phenological records as the reference. NDWI gives better estimations of the start of greening up than NDVI (reduced RMSE, bias and dispersions, and higher correlation), whereas it does not improve the determination of the start of leaf coloring. A map of greening up dates in central Siberia obtained from NDWI is shown for year 2002 and the reliability of the method is discussed. ?? 2005 Elsevier Inc. All rights reserved.", "author" : [ { "dropping-particle" : "", "family" : "Delbart", "given" : "Nicolas", "non-dropping-particle" : "", "parse-names" : false, "suffix" : "" }, { "dropping-particle" : "", "family" : "Kergoat", "given" : "Laurent", "non-dropping-particle" : "", "parse-names" : false, "suffix" : "" }, { "dropping-particle" : "", "family" : "Toan", "given" : "Thuy", "non-dropping-particle" : "Le", "parse-names" : false, "suffix" : "" }, { "dropping-particle" : "", "family" : "Lhermitte", "given" : "Julien", "non-dropping-particle" : "", "parse-names" : false, "suffix" : "" }, { "dropping-particle" : "", "family" : "Picard", "given" : "Ghislain", "non-dropping-particle" : "", "parse-names" : false, "suffix" : "" } ], "container-title" : "Remote Sensing of Environment", "id" : "ITEM-11", "issued" : { "date-parts" : [ [ "2005" ] ] }, "page" : "26-38", "title" : "Determination of phenological dates in boreal regions using normalized difference water index", "type" : "article-journal", "volume" : "97" }, "uris" : [ "http://www.mendeley.com/documents/?uuid=95dd4b58-e3d0-42ef-bec8-1ffe6c852076" ] }, { "id" : "ITEM-12", "itemData" : { "DOI" : "10.1111/gcb.13311", "ISSN" : "13541013", "author" : [ { "dropping-particle" : "", "family" : "Liu", "given" : "Qiang", "non-dropping-particle" : "", "parse-names" : false, "suffix" : "" }, { "dropping-particle" : "", "family" : "Fu", "given" : "Yongshuo H.", "non-dropping-particle" : "", "parse-names" : false, "suffix" : "" }, { "dropping-particle" : "", "family" : "Zhu", "given" : "Zaichun", "non-dropping-particle" : "", "parse-names" : false, "suffix" : "" }, { "dropping-particle" : "", "family" : "Liu", "given" : "Yongwen", "non-dropping-particle" : "", "parse-names" : false, "suffix" : "" }, { "dropping-particle" : "", "family" : "Liu", "given" : "Zhuo", "non-dropping-particle" : "", "parse-names" : false, "suffix" : "" }, { "dropping-particle" : "", "family" : "Huang", "given" : "Mengtian", "non-dropping-particle" : "", "parse-names" : false, "suffix" : "" }, { "dropping-particle" : "", "family" : "Janssens", "given" : "Ivan A.", "non-dropping-particle" : "", "parse-names" : false, "suffix" : "" }, { "dropping-particle" : "", "family" : "Piao", "given" : "Shilong", "non-dropping-particle" : "", "parse-names" : false, "suffix" : "" } ], "container-title" : "Global Change Biology", "id" : "ITEM-12", "issued" : { "date-parts" : [ [ "2016" ] ] }, "title" : "Delayed autumn phenology in the Northern Hemisphere is related to change in both climate and spring phenology", "type" : "article-journal" }, "uris" : [ "http://www.mendeley.com/documents/?uuid=65bd99d1-8f9e-4560-aef7-f7ec3520b2a8" ] } ], "mendeley" : { "formattedCitation" : "(Piao et al. 2007; Yang et al. 2015; W. Zhu et al. 2012; Jeong et al. 2011; X. Zhang, Tan, and Yu 2014; L. Zhu, Southworth, and Meng 2014; de Beurs and Henebry 2005; Zhou et al. 2001; Ivits et al. 2012; Julien and Sobrino 2009; Delbart et al. 2005; Liu et al. 2016)", "manualFormatting" : "(e. g., Zhou et al., 2001; de Beurs &amp; Henebry, 2005; Delbart et al., 2005; Piao et al., 2007; Julien &amp; Sobrino, 2009; Jeong et al., 2011; Zhu et al., 2012, 2014; Ivits et al., 2012; Zhang et al., 2014; Yang et al., 2015; Liu et al., 2016)", "plainTextFormattedCitation" : "(Piao et al. 2007; Yang et al. 2015; W. Zhu et al. 2012; Jeong et al. 2011; X. Zhang, Tan, and Yu 2014; L. Zhu, Southworth, and Meng 2014; de Beurs and Henebry 2005; Zhou et al. 2001; Ivits et al. 2012; Julien and Sobrino 2009; Delbart et al. 2005; Liu et al. 2016)", "previouslyFormattedCitation" : "(Piao et al. 2007; Yang et al. 2015; W. Zhu et al. 2012; Jeong et al. 2011; X. Zhang, Tan, and Yu 2014; L. Zhu, Southworth, and Meng 2014; de Beurs and Henebry 2005; Zhou et al. 2001; Ivits et al. 2012; Julien and Sobrino 2009; Delbart et al. 2005; Liu et al. 2016)" }, "properties" : { "noteIndex" : 0 }, "schema" : "https://github.com/citation-style-language/schema/raw/master/csl-citation.json" }</w:instrText>
      </w:r>
      <w:r w:rsidR="00A55654" w:rsidRPr="00705A9C">
        <w:rPr>
          <w:b/>
        </w:rPr>
        <w:fldChar w:fldCharType="separate"/>
      </w:r>
      <w:r w:rsidR="00A55654" w:rsidRPr="00705A9C">
        <w:rPr>
          <w:noProof/>
        </w:rPr>
        <w:t>(e. g., Zhou et al., 2001; de Beurs &amp; Henebry, 2005; Delbart et al., 2005; Piao et al., 2007; Julien &amp; Sobrino, 2009; Jeong et al., 2011; Zhu et al., 2012, 2014; Ivits et al., 2012; Zhang et al., 2014; Yang et al., 2015; Liu et al., 2016)</w:t>
      </w:r>
      <w:r w:rsidR="00A55654" w:rsidRPr="00705A9C">
        <w:rPr>
          <w:b/>
        </w:rPr>
        <w:fldChar w:fldCharType="end"/>
      </w:r>
      <w:r w:rsidR="00A65668" w:rsidRPr="00705A9C">
        <w:t xml:space="preserve"> with a </w:t>
      </w:r>
      <w:r w:rsidR="004A33CE" w:rsidRPr="00705A9C">
        <w:t>limited number of studies covering</w:t>
      </w:r>
      <w:r w:rsidR="00256355" w:rsidRPr="00705A9C">
        <w:t xml:space="preserve"> the </w:t>
      </w:r>
      <w:r w:rsidRPr="00705A9C">
        <w:t>S</w:t>
      </w:r>
      <w:r w:rsidR="00256355" w:rsidRPr="00705A9C">
        <w:t>outh</w:t>
      </w:r>
      <w:r w:rsidRPr="00705A9C">
        <w:t>ern Hemisphere</w:t>
      </w:r>
      <w:r w:rsidR="00256355" w:rsidRPr="00705A9C">
        <w:t xml:space="preserve"> </w:t>
      </w:r>
      <w:r w:rsidR="00A26D6B" w:rsidRPr="00705A9C">
        <w:fldChar w:fldCharType="begin" w:fldLock="1"/>
      </w:r>
      <w:r w:rsidR="009E1CAA">
        <w:instrText>ADDIN CSL_CITATION { "citationItems" : [ { "id" : "ITEM-1", "itemData" : { "DOI" : "10.1016/j.rse.2006.11.025", "ISBN" : "0034-4257", "ISSN" : "00344257", "abstract" : "The Sahel region of Africa has experienced a decrease in rainfall from the early 1960s to mid 1990s. Recent studies have detected an increased in NDVI amplitude and growing season integrated NDVI for the region since 1982. However, these studies have not examined how plant phenology has changed. Phenology examines life cycle events such as bud burst and leaf senescence. Using the software TIMESAT to estimate phenological parameters from the GIMMS AVHRR NDVI dataset, we have found significant positive trends for the length of the growing and end of the growing season for the Soudan and Guinean regions, but significant trends in the Sahel could not be detected. The geographical extent of these trends contrasts with the more northern extent of positive trends of NDVI amplitude and growing season integrated NDVI. Results suggest two types of \"greening\" trends associated with rainfall change since the drought in the early 1980s. \u00a9 2006 Elsevier Inc. All rights reserved.", "author" : [ { "dropping-particle" : "", "family" : "Heumann", "given" : "B. W.", "non-dropping-particle" : "", "parse-names" : false, "suffix" : "" }, { "dropping-particle" : "", "family" : "Seaquist", "given" : "J. W.", "non-dropping-particle" : "", "parse-names" : false, "suffix" : "" }, { "dropping-particle" : "", "family" : "Eklundh", "given" : "L.", "non-dropping-particle" : "", "parse-names" : false, "suffix" : "" }, { "dropping-particle" : "", "family" : "J\u00f6nsson", "given" : "P.", "non-dropping-particle" : "", "parse-names" : false, "suffix" : "" } ], "container-title" : "Remote Sensing of Environment", "id" : "ITEM-1", "issued" : { "date-parts" : [ [ "2007" ] ] }, "page" : "385-392", "title" : "AVHRR derived phenological change in the Sahel and Soudan, Africa, 1982-2005", "type" : "article-journal", "volume" : "108" }, "uris" : [ "http://www.mendeley.com/documents/?uuid=efe8f572-aeb7-40ac-aafd-c09d0a3c7931" ] }, { "id" : "ITEM-2", "itemData" : { "DOI" : "10.1117/12.799824", "ISBN" : "9780819473356", "ISSN" : "0277786X", "abstract" : "African agriculture is expected to be hard-hit by ongoing climate change. Effects are heterogeneous within the continent, but in some regions resulting production declines have already impacted food security. Time series of remote sensing data allow us to examine where persistent changes occur. In this study, we propose to examine recent trends in agricultural production using 26 years of NDVI data. We use the 8-km resolution AVHRR NDVI 15-day composites of the GIMMS group (1981-2006). Temporal data-filtering is applied using an iterative Savitzky-Golay algorithm to remove noise in the time series. Except for some regions with persistent cloud cover, this filter produced smooth profiles. Subsequently two methods were used to extract phenology indicators from the profiles for each raster cell. These indicators include start of season, length of season, time of maximum NDVI, maximum NDVI, and cumulated NDVI over the season. Having extracted the indicators for every year, we aggregate them for agricultural areas at sub-national level using a crop mask. The aggregation was done to focus the analysis on agriculture, and allow future comparison with yield statistics. Trend analysis was performed for yearly aggregated indicators to assess where persistent change occurred during the 26-year period. Results show that the phenology extraction method chosen has an important influence on trend outcomes. Consistent trends suggest a rising yield trend for 500-1100 mm rainfall zones ranging from Senegal to Sudan. Negative yield trends are expected for the southern Atlantic coast of West Africa, and for western Tanzania. \u00a9 2008 SPIE.", "author" : [ { "dropping-particle" : "", "family" : "Vrieling", "given" : "A", "non-dropping-particle" : "", "parse-names" : false, "suffix" : "" }, { "dropping-particle" : "", "family" : "Beurs", "given" : "K M", "non-dropping-particle" : "De", "parse-names" : false, "suffix" : "" }, { "dropping-particle" : "", "family" : "Brown", "given" : "M E", "non-dropping-particle" : "", "parse-names" : false, "suffix" : "" } ], "container-title" : "Proceedings of SPIE - The International Society for Optical Engineering", "id" : "ITEM-2", "issued" : { "date-parts" : [ [ "2008" ] ] }, "page" : "1-10", "title" : "Recent trends in agricultural production of Africa based on AVHRR NDVI time series", "type" : "article-journal", "volume" : "7104" }, "uris" : [ "http://www.mendeley.com/documents/?uuid=514c1eed-7e65-44df-a380-95e4e3e3f286" ] }, { "id" : "ITEM-3", "itemData" : { "DOI" : "10.3390/rs5020982", "ISBN" : "2072-4292", "ISSN" : "20724292", "abstract" : "The spatial distribution of crops and farming systems in Africa is determined by the duration of the period during which crop and livestock water requirements are met. The length of growing period (LGP) is normally assessed from weather station data\u2014scarce in large parts of Africa\u2014or coarse-resolution rainfall estimates derived from weather satellites. In this study, we analyzed LGP and its variability based on the 1981\u20132011 GIMMS NDVI3g dataset. We applied a variable threshold method in combination with a searching algorithm to determine start- and end-of-season. We obtained reliable LGP estimates for arid, semi-arid and sub-humid climates that are consistent in space and time. This approach effectively mapped bimodality for clearly separated wet seasons in the Horn of Africa. Due to cloud contamination, the identified bimodality along the Guinea coast was judged to be less certain. High LGP variability is dominant in arid and semi-arid areas, and is indicative of crop failure risk. Significant negative trends in LGP were found for the northern part of the Sahel, for parts of Tanzania and northern Mozambique, and for the short rains of eastern Kenya. Positive trends occurred across western Africa, in southern Africa, and in eastern Kenya for the long rains. Our LGP analysis provides useful information for the mapping of farming systems, and to study the effects of climate variability and other drivers of change on vegetation and crop suitability.", "author" : [ { "dropping-particle" : "", "family" : "Vrieling", "given" : "Anton", "non-dropping-particle" : "", "parse-names" : false, "suffix" : "" }, { "dropping-particle" : "", "family" : "Leeuw", "given" : "Jan", "non-dropping-particle" : "De", "parse-names" : false, "suffix" : "" }, { "dropping-particle" : "", "family" : "Said", "given" : "Mohammed Y.", "non-dropping-particle" : "", "parse-names" : false, "suffix" : "" } ], "container-title" : "Remote Sensing", "id" : "ITEM-3", "issued" : { "date-parts" : [ [ "2013" ] ] }, "page" : "982-1000", "title" : "Length of growing period over africa: Variability and trends from 30 years of NDVI time series", "type" : "article-journal", "volume" : "5" }, "uris" : [ "http://www.mendeley.com/documents/?uuid=34b36e7b-12d9-4a00-9365-ed1c16812c02" ] }, { "id" : "ITEM-4", "itemData" : { "DOI" : "10.1016/j.rse.2009.08.014", "ISBN" : "0034-4257", "ISSN" : "00344257", "PMID" : "16531038", "abstract" : "A wealth of remotely sensed image time series covering large areas is now available to the earth science community. Change detection methods are often not capable of detecting land cover changes within time series that are heavily influenced by seasonal climatic variations. Detecting change within the trend and seasonal components of time series enables the classification of different types of changes. Changes occurring in the trend component often indicate disturbances (e.g. fires, insect attacks), while changes occurring in the seasonal component indicate phenological changes (e.g. change in land cover type). A generic change detection approach is proposed for time series by detecting and characterizing Breaks For Additive Seasonal and Trend (BFAST). BFAST integrates the decomposition of time series into trend, seasonal, and remainder components with methods for detecting change within time series. BFAST iteratively estimates the time and number of changes, and characterizes change by its magnitude and direction. We tested BFAST by simulating 16-day Normalized Difference Vegetation Index (NDVI) time series with varying amounts of seasonality and noise, and by adding abrupt changes at different times and magnitudes. This revealed that BFAST can robustly detect change with different magnitudes (&gt; 0.1 NDVI) within time series with different noise levels (0.01-0.07 \u03c3) and seasonal amplitudes (0.1-0.5 NDVI). Additionally, BFAST was applied to 16-day NDVI Moderate Resolution Imaging Spectroradiometer (MODIS) composites for a forested study area in south eastern Australia. This showed that BFAST is able to detect and characterize spatial and temporal changes in a forested landscape. BFAST is not specific to a particular data type and can be applied to time series without the need to normalize for land cover types, select a reference period, or change trajectory. The method can be integrated within monitoring frameworks and used as an alarm system to flag when and where changes occur. Crown Copyright \u00a9 2009.", "author" : [ { "dropping-particle" : "", "family" : "Verbesselt", "given" : "Jan", "non-dropping-particle" : "", "parse-names" : false, "suffix" : "" }, { "dropping-particle" : "", "family" : "Hyndman", "given" : "Rob", "non-dropping-particle" : "", "parse-names" : false, "suffix" : "" }, { "dropping-particle" : "", "family" : "Newnham", "given" : "Glenn", "non-dropping-particle" : "", "parse-names" : false, "suffix" : "" }, { "dropping-particle" : "", "family" : "Culvenor", "given" : "Darius", "non-dropping-particle" : "", "parse-names" : false, "suffix" : "" } ], "container-title" : "Remote Sensing of Environment", "id" : "ITEM-4", "issue" : "1", "issued" : { "date-parts" : [ [ "2010" ] ] }, "page" : "106-115", "title" : "Detecting trend and seasonal changes in satellite image time series", "type" : "article-journal", "volume" : "114" }, "uris" : [ "http://www.mendeley.com/documents/?uuid=3bff09c6-d7e1-3050-add6-ccea75313c7e" ] }, { "id" : "ITEM-5", "itemData" : { "DOI" : "10.1016/j.rse.2010.08.003", "ISBN" : "0034-4257", "ISSN" : "00344257", "PMID" : "11818969", "abstract" : "A challenge in phenology studies is understanding what constitutes phenological change amidst background variation. The majority of phenological studies have focused on extracting critical points in the seasonal growth cycle, without exploiting the full temporal detail. The high degree of phenological variability between years demonstrates the necessity of distinguishing long-term phenological change from temporal variability. Here, we demonstrate the phenological change detection ability of a method for detecting change within time series. BFAST, Breaks For Additive Seasonal and Trend, integrates the decomposition of time series into trend, seasonal, and remainder components with methods for detecting change. We tested BFAST by simulating 16-day NDVI time series with varying amounts of seasonal amplitude and noise, containing abrupt disturbances (e.g. fires) and long-term phenological changes. This revealed that the method is able to detect the timing of phenological changes within time series while accounting for abrupt disturbances and noise. Results showed that the phenological change detection is influenced by the signal-to-noise ratio of the time series. Between different land cover types the seasonal amplitude varies and determines the signal-to-noise ratio, and as such the capacity to differentiate phenological changes from noise. Application of the method on 16-day NDVI MODIS images from 2000 until 2009 for a forested study area in south eastern Australia confirmed these results. It was shown that a minimum seasonal amplitude of 0.1 NDVI is required to detect phenological change within cleaned MODIS NDVI time series using the quality flags. BFAST identifies phenological change independent of phenological metrics by exploiting the full time series. The method is globally applicable since it analyzes each pixel individually without the setting of thresholds to detect change within a time series. Long-term phenological changes can be detected within NDVI time series of a large range of land cover types (e.g. grassland, woodlands and deciduous forests) having a seasonal amplitude larger than the noise level. The method can be applied to any time series data and it is not necessarily limited to NDVI. ?? 2010.", "author" : [ { "dropping-particle" : "", "family" : "Verbesselt", "given" : "Jan", "non-dropping-particle" : "", "parse-names" : false, "suffix" : "" }, { "dropping-particle" : "", "family" : "Hyndman", "given" : "Rob", "non-dropping-particle" : "", "parse-names" : false, "suffix" : "" }, { "dropping-particle" : "", "family" : "Zeileis", "given" : "Achim", "non-dropping-particle" : "", "parse-names" : false, "suffix" : "" }, { "dropping-particle" : "", "family" : "Culvenor", "given" : "Darius", "non-dropping-particle" : "", "parse-names" : false, "suffix" : "" } ], "container-title" : "Remote Sensing of Environment", "id" : "ITEM-5", "issue" : "12", "issued" : { "date-parts" : [ [ "2010" ] ] }, "page" : "2970-2980", "publisher" : "Elsevier B.V.", "title" : "Phenological change detection while accounting for abrupt and gradual trends in satellite image time series", "type" : "article-journal", "volume" : "114" }, "uris" : [ "http://www.mendeley.com/documents/?uuid=064cc9f9-25c4-4150-b0c7-a7ed47196f6d" ] }, { "id" : "ITEM-6", "itemData" : { "DOI" : "10.1007/s10584-011-0049-1", "ISBN" : "1058401100491", "ISSN" : "01650009", "abstract" : "Food security exists when people have access to sufficient, safe and nutritious food at all times to meet their dietary needs. The natural resource base is one of the many factors affecting food security. Its variability and decline creates problems for local food production. In this study we characterize for sub-Saharan Africa vegetation phenology and assess variability and trends of phenological indicators based on NDVI time series from 1982 to 2006. We focus on cumulated NDVI over the season (cumNDVI) which is a proxy for net primary productivity. Results are aggregated at the level of major farming systems, while determining also spatial variability within farming systems. High temporal variability of cumNDVI occurs in semiarid and subhumid regions. The results show a large area of positive cumNDVI trends between Senegal and South Sudan. These correspond to positive CRU rainfall trends found and relate to recovery after the 1980\u2019s droughts. We find significant negative cumNDVI trends near the south-coast of West Africa (Guinea coast) and in Tanzania. For each farming system, causes of change and variability are discussed based on available literature (Appendix A). Although food security comprises more than the local natural resource base, our results can perform an input for food security analysis by identifying zones of high variability or downward trends. Farming systems are found to be a useful level of analysis. Diversity and trends found within farming system boundaries underline that farming systems are dynamic.", "author" : [ { "dropping-particle" : "", "family" : "Vrieling", "given" : "Anton", "non-dropping-particle" : "", "parse-names" : false, "suffix" : "" }, { "dropping-particle" : "", "family" : "Beurs", "given" : "Kirsten M.", "non-dropping-particle" : "de", "parse-names" : false, "suffix" : "" }, { "dropping-particle" : "", "family" : "Brown", "given" : "Molly E.", "non-dropping-particle" : "", "parse-names" : false, "suffix" : "" } ], "container-title" : "Climatic Change", "id" : "ITEM-6", "issue" : "3-4", "issued" : { "date-parts" : [ [ "2011" ] ] }, "page" : "455-477", "title" : "Variability of African farming systems from phenological analysis of NDVI time series", "type" : "article-journal", "volume" : "109" }, "uris" : [ "http://www.mendeley.com/documents/?uuid=c60113c7-34dd-49b9-9535-9c8bdad0b6ec" ] }, { "id" : "ITEM-7", "itemData" : { "DOI" : "10.1111/gcb.13168", "ISBN" : "1365-2486", "ISSN" : "13541013", "author" : [ { "dropping-particle" : "", "family" : "Garonna", "given" : "I.", "non-dropping-particle" : "", "parse-names" : false, "suffix" : "" }, { "dropping-particle" : "", "family" : "Jong", "given" : "R.", "non-dropping-particle" : "De", "parse-names" : false, "suffix" : "" }, { "dropping-particle" : "", "family" : "Schaepman", "given" : "M.E.", "non-dropping-particle" : "", "parse-names" : false, "suffix" : "" } ], "container-title" : "Global change biology", "id" : "ITEM-7", "issue" : "October 2015", "issued" : { "date-parts" : [ [ "2016" ] ] }, "page" : "1456-1468", "title" : "Variability and evolution of global land surface phenology over the past three decades", "type" : "article-journal" }, "uris" : [ "http://www.mendeley.com/documents/?uuid=ace5afba-5669-499a-a8eb-0a3c4c2ed900" ] } ], "mendeley" : { "formattedCitation" : "(Heumann et al. 2007; A Vrieling, De Beurs, and Brown 2008; Anton Vrieling, De Leeuw, and Said 2013; Verbesselt, Hyndman, Newnham, et al. 2010; Verbesselt, Hyndman, Zeileis, et al. 2010; Anton Vrieling, de Beurs, and Brown 2011; Garonna, De Jong, and Schaepman 2016)", "plainTextFormattedCitation" : "(Heumann et al. 2007; A Vrieling, De Beurs, and Brown 2008; Anton Vrieling, De Leeuw, and Said 2013; Verbesselt, Hyndman, Newnham, et al. 2010; Verbesselt, Hyndman, Zeileis, et al. 2010; Anton Vrieling, de Beurs, and Brown 2011; Garonna, De Jong, and Schaepman 2016)", "previouslyFormattedCitation" : "(Heumann et al. 2007; A Vrieling, De Beurs, and Brown 2008; Anton Vrieling, De Leeuw, and Said 2013; Verbesselt, Hyndman, Newnham, et al. 2010; Verbesselt, Hyndman, Zeileis, et al. 2010; Anton Vrieling, de Beurs, and Brown 2011; Garonna, De Jong, and Schaepman 2016)" }, "properties" : { "noteIndex" : 0 }, "schema" : "https://github.com/citation-style-language/schema/raw/master/csl-citation.json" }</w:instrText>
      </w:r>
      <w:r w:rsidR="00A26D6B" w:rsidRPr="00705A9C">
        <w:fldChar w:fldCharType="separate"/>
      </w:r>
      <w:r w:rsidR="00611088" w:rsidRPr="00705A9C">
        <w:rPr>
          <w:noProof/>
        </w:rPr>
        <w:t>(Heumann et al. 2007; A Vrieling, De Beurs, and Brown 2008; Anton Vrieling, De Leeuw, and Said 2013; Verbesselt, Hyndman, Newnham, et al. 2010; Verbesselt, Hyndman, Zeileis, et al. 2010; Anton Vrieling, de Beurs, and Brown 2011; Garonna, De Jong, and Schaepman 2016)</w:t>
      </w:r>
      <w:r w:rsidR="00A26D6B" w:rsidRPr="00705A9C">
        <w:fldChar w:fldCharType="end"/>
      </w:r>
      <w:r w:rsidR="00A26D6B" w:rsidRPr="00705A9C">
        <w:t xml:space="preserve">. </w:t>
      </w:r>
    </w:p>
    <w:p w14:paraId="7F38ECC7" w14:textId="5613BDD9" w:rsidR="00D848B0" w:rsidRPr="00705A9C" w:rsidRDefault="00416EC4" w:rsidP="009C6886">
      <w:pPr>
        <w:pStyle w:val="Newparagraph"/>
      </w:pPr>
      <w:r w:rsidRPr="00705A9C">
        <w:t xml:space="preserve">The above </w:t>
      </w:r>
      <w:r w:rsidR="003B110F" w:rsidRPr="00705A9C">
        <w:t xml:space="preserve">studies estimate LSP trends over a </w:t>
      </w:r>
      <w:r w:rsidRPr="00705A9C">
        <w:t xml:space="preserve">particular </w:t>
      </w:r>
      <w:r w:rsidR="000C7275" w:rsidRPr="00705A9C">
        <w:t xml:space="preserve">inter-annual </w:t>
      </w:r>
      <w:r w:rsidR="003B110F" w:rsidRPr="00705A9C">
        <w:t xml:space="preserve">period and </w:t>
      </w:r>
      <w:r w:rsidRPr="00705A9C">
        <w:t xml:space="preserve">evaluate the </w:t>
      </w:r>
      <w:r w:rsidR="003B110F" w:rsidRPr="00705A9C">
        <w:t xml:space="preserve">possible drivers for such trends, but do not consider land cover changes as a </w:t>
      </w:r>
      <w:r w:rsidR="000C7275" w:rsidRPr="00705A9C">
        <w:t xml:space="preserve">confounding </w:t>
      </w:r>
      <w:r w:rsidR="00A02490" w:rsidRPr="00705A9C">
        <w:t>driver</w:t>
      </w:r>
      <w:r w:rsidR="003B110F" w:rsidRPr="00705A9C">
        <w:t xml:space="preserve"> that can significantly influence </w:t>
      </w:r>
      <w:r w:rsidRPr="00705A9C">
        <w:t xml:space="preserve">the </w:t>
      </w:r>
      <w:r w:rsidR="003B110F" w:rsidRPr="00705A9C">
        <w:t xml:space="preserve">observable changes in LSP. </w:t>
      </w:r>
      <w:r w:rsidR="00B0149E" w:rsidRPr="00705A9C">
        <w:t xml:space="preserve">This </w:t>
      </w:r>
      <w:r w:rsidRPr="00705A9C">
        <w:t xml:space="preserve">lack of </w:t>
      </w:r>
      <w:r w:rsidR="00B0149E" w:rsidRPr="00705A9C">
        <w:t xml:space="preserve">research into the influence of land cover changes on LSP trends </w:t>
      </w:r>
      <w:r w:rsidRPr="00705A9C">
        <w:t xml:space="preserve">has </w:t>
      </w:r>
      <w:r w:rsidR="00B0149E" w:rsidRPr="00705A9C">
        <w:t xml:space="preserve">been highlighted </w:t>
      </w:r>
      <w:r w:rsidRPr="00705A9C">
        <w:t xml:space="preserve">previously </w:t>
      </w:r>
      <w:r w:rsidR="00682FD9" w:rsidRPr="00705A9C">
        <w:fldChar w:fldCharType="begin" w:fldLock="1"/>
      </w:r>
      <w:r w:rsidR="009E1CAA">
        <w:instrText>ADDIN CSL_CITATION { "citationItems" : [ { "id" : "ITEM-1", "itemData" : { "DOI" : "10.2747/1548-1603.43.1.24", "ISBN" : "1548-1603", "ISSN" : "1548-1603", "abstract" : "Remote sensing information has been used in studies of the seasonal dynamics (phenology) of the land surface since the 1980s. While our understanding of remote sensing phenology is still in development, it is regarded as a key to understanding land-surface processes over large areas. Phenologic metrics, including start of season, end of season, duration of season, and seasonally integrated greenness, were derived from 8 km advanced very high resolution radiometer (AVHRR) data over North America spanning the years 1982-2003. Trend analysis was performed on annual summaries of the metrics to determine areas with increasing or decreasing growing season trends for the time period under study. Results show a trend toward earlier starts of season in limited areas of the mixed boreal forest, and a trend toward later end of season in well-defined areas of New England and southe astern Canada. Results in Saskatchewan, Canada, include a trend toward longer duration of season over a well-defined area, principally as a result of regional changes in land use practices. Changing seasonality appears to be an integrated response to a complex of factors, including climate change, but also, in many places, changes in land use practices.", "author" : [ { "dropping-particle" : "", "family" : "Reed", "given" : "Bradley C.", "non-dropping-particle" : "", "parse-names" : false, "suffix" : "" } ], "container-title" : "GIScience &amp; Remote Sensing", "id" : "ITEM-1", "issue" : "1", "issued" : { "date-parts" : [ [ "2007" ] ] }, "page" : "24-38", "title" : "Trend Analysis of Time-Series Phenology of North America Derived from Satellite Data", "type" : "article-journal", "volume" : "43" }, "uris" : [ "http://www.mendeley.com/documents/?uuid=7093259a-3e34-4e20-9008-1dac6d4826a7" ] }, { "id" : "ITEM-2", "itemData" : { "DOI" : "10.5194/bg-12-6985-2015", "ISSN" : "17264189", "abstract" : "&lt;p&gt;We quantified the temporal trend and climatic sensitivity of vegetation phenology in dryland ecosystems in the US Great Basin during 1982\u20132011. Our results indicated that vegetation greenness in the Great Basin increased significantly during the study period, and this positive trend occurred in autumn but not spring and summer. Spatially, increases in vegetation greenness were more apparent in the northwestern, southeastern, and eastern Great Basin but less apparent in the central and southwestern Great Basin. In addition, the start of growing season (SOS) was not advanced while the end of growing season (EOS) was delayed significantly at a rate of 3.0 days per decade during the study period. The significant delay in EOS and lack of earlier leaf onset caused growing season length (GSL) to increase at a rate of 3.0 days per decade during 1982\u20132011. Interestingly, we found that the variation of mean vegetation greenness in the period of March to November (SSA) was not significantly correlated with its mean surface air temperature but was strongly correlated with its total precipitation. Seasonally, the variation of mean vegetation greenness in spring, summer, and autumn was mainly attributable to changes in pre-season precipitation in winter and spring. Nevertheless, climate warming played a strong role in extending GSL that in turn resulted in the upward trend in mean vegetation greenness during 1982\u20132011. Overall, our results suggested that changes in wintertime and springtime precipitation played a stronger role than temperature in affecting the interannual variability of vegetation greenness while climate warming was mainly responsible for the 30-year upward trend in the magnitudes of mean vegetation greenness in the dryland ecosystems during 1982\u20132011.&lt;/p&gt;", "author" : [ { "dropping-particle" : "", "family" : "Tang", "given" : "G.", "non-dropping-particle" : "", "parse-names" : false, "suffix" : "" }, { "dropping-particle" : "", "family" : "Arnone", "given" : "J. A.", "non-dropping-particle" : "", "parse-names" : false, "suffix" : "" }, { "dropping-particle" : "", "family" : "Verburg", "given" : "P. S J", "non-dropping-particle" : "", "parse-names" : false, "suffix" : "" }, { "dropping-particle" : "", "family" : "Jasoni", "given" : "R. L.", "non-dropping-particle" : "", "parse-names" : false, "suffix" : "" }, { "dropping-particle" : "", "family" : "Sun", "given" : "L.", "non-dropping-particle" : "", "parse-names" : false, "suffix" : "" } ], "container-title" : "Biogeosciences", "id" : "ITEM-2", "issue" : "23", "issued" : { "date-parts" : [ [ "2015" ] ] }, "page" : "6985-6997", "title" : "Trends and climatic sensitivities of vegetation phenology in semiarid and arid ecosystems in the US Great Basin during 1982-2011", "type" : "article-journal", "volume" : "12" }, "uris" : [ "http://www.mendeley.com/documents/?uuid=30fce1bd-4579-4a25-a36e-5b52bc03032c" ] }, { "id" : "ITEM-3", "itemData" : { "DOI" : "10.1007/s00484-014-0802-z", "ISSN" : "00207128", "PMID" : "24639008", "abstract" : "Land surface phenology is widely retrieved from satellite observations at regional and global scales, and its long-term record has been demonstrated to be a valuable tool for reconstructing past climate variations, monitoring the dynamics of terrestrial ecosystems in response to climate impacts, and predicting biological responses to future climate scenarios. This study detected global land surface phenology from the advanced very high resolution radiometer (AVHRR) and the Moderate Resolution Imaging Spectroradiometer (MODIS) data from 1982 to 2010. Based on daily enhanced vegetation index at a spatial resolution of 0.05 degrees, we simulated the seasonal vegetative trajectory for each individual pixel using piecewise logistic models, which was then used to detect the onset of greenness increase (OGI) and the length of vegetation growing season (GSL). Further, both overall interannual variations and pixel-based trends were examined across Koeppen's climate regions for the periods of 1982-1999 and 2000-2010, respectively. The results show that OGI and GSL varied considerably during 1982-2010 across the globe. Generally, the interannual variation could be more than a month in precipitation-controlled tropical and dry climates while it was mainly less than 15 days in temperature-controlled temperate, cold, and polar climates. OGI, overall, shifted early, and GSL was prolonged from 1982 to 2010 in most climate regions in North America and Asia while the consistently significant trends only occurred in cold climate and polar climate in North America. The overall trends in Europe were generally insignificant. Over South America, late OGI was consistent (particularly from 1982 to 1999) while either positive or negative GSL trends in a climate region were mostly reversed between the periods of 1982-1999 and 2000-2010. In the Northern Hemisphere of Africa, OGI trends were mostly insignificant, but prolonged GSL was evident over individual climate regions during the last 3 decades. OGI mainly showed late trends in the Southern Hemisphere of Africa while GSL was reversed from reduced GSL trends (1982-1999) to prolonged trends (2000-2010). In Australia, GSL exhibited considerable interannual variation, but the consistent trend lacked presence in most regions. Finally, the proportion of pixels with significant trends was less than 1 % in most of climate regions although it could be as large as 10 %.", "author" : [ { "dropping-particle" : "", "family" : "Zhang", "given" : "Xiaoyang", "non-dropping-particle" : "", "parse-names" : false, "suffix" : "" }, { "dropping-particle" : "", "family" : "Tan", "given" : "Bin", "non-dropping-particle" : "", "parse-names" : false, "suffix" : "" }, { "dropping-particle" : "", "family" : "Yu", "given" : "Yunyue", "non-dropping-particle" : "", "parse-names" : false, "suffix" : "" } ], "container-title" : "International Journal of Biometeorology", "id" : "ITEM-3", "issue" : "4", "issued" : { "date-parts" : [ [ "2014" ] ] }, "page" : "547-564", "title" : "Interannual variations and trends in global land surface phenology derived from enhanced vegetation index during 1982-2010", "type" : "article-journal", "volume" : "58" }, "uris" : [ "http://www.mendeley.com/documents/?uuid=136a8ddf-e54e-4ae6-9d68-422674129039" ] } ], "mendeley" : { "formattedCitation" : "(Reed 2007; Tang et al. 2015; X. Zhang, Tan, and Yu 2014)", "plainTextFormattedCitation" : "(Reed 2007; Tang et al. 2015; X. Zhang, Tan, and Yu 2014)", "previouslyFormattedCitation" : "(Reed 2007; Tang et al. 2015; X. Zhang, Tan, and Yu 2014)" }, "properties" : { "noteIndex" : 0 }, "schema" : "https://github.com/citation-style-language/schema/raw/master/csl-citation.json" }</w:instrText>
      </w:r>
      <w:r w:rsidR="00682FD9" w:rsidRPr="00705A9C">
        <w:fldChar w:fldCharType="separate"/>
      </w:r>
      <w:r w:rsidR="005A1849" w:rsidRPr="00705A9C">
        <w:rPr>
          <w:noProof/>
        </w:rPr>
        <w:t>(Reed 2007; Tang et al. 2015; X. Zhang, Tan, and Yu 2014)</w:t>
      </w:r>
      <w:r w:rsidR="00682FD9" w:rsidRPr="00705A9C">
        <w:fldChar w:fldCharType="end"/>
      </w:r>
      <w:r w:rsidR="00B87039" w:rsidRPr="00705A9C">
        <w:t>.</w:t>
      </w:r>
      <w:r w:rsidR="00452D34" w:rsidRPr="00705A9C">
        <w:t xml:space="preserve"> Additionally</w:t>
      </w:r>
      <w:r w:rsidR="008603FF" w:rsidRPr="00705A9C">
        <w:t xml:space="preserve">, </w:t>
      </w:r>
      <w:r w:rsidR="000C7275" w:rsidRPr="00705A9C">
        <w:t xml:space="preserve">only a </w:t>
      </w:r>
      <w:r w:rsidR="000C7275" w:rsidRPr="00705A9C">
        <w:lastRenderedPageBreak/>
        <w:t xml:space="preserve">limited number of </w:t>
      </w:r>
      <w:r w:rsidR="006A3614" w:rsidRPr="00705A9C">
        <w:t>studies</w:t>
      </w:r>
      <w:r w:rsidR="00093300" w:rsidRPr="00705A9C">
        <w:t xml:space="preserve"> </w:t>
      </w:r>
      <w:r w:rsidR="000C7275" w:rsidRPr="00705A9C">
        <w:t xml:space="preserve">have </w:t>
      </w:r>
      <w:r w:rsidR="006A3614" w:rsidRPr="00705A9C">
        <w:t>recognise</w:t>
      </w:r>
      <w:r w:rsidR="000C7275" w:rsidRPr="00705A9C">
        <w:t>d</w:t>
      </w:r>
      <w:r w:rsidR="00BC4763" w:rsidRPr="00705A9C">
        <w:t xml:space="preserve"> </w:t>
      </w:r>
      <w:r w:rsidR="00DE277A" w:rsidRPr="00705A9C">
        <w:t xml:space="preserve">that other non-climatic factors can significantly influence trends in LSP. </w:t>
      </w:r>
      <w:r w:rsidR="008603FF" w:rsidRPr="00705A9C">
        <w:t>F</w:t>
      </w:r>
      <w:r w:rsidR="00093300" w:rsidRPr="00705A9C">
        <w:t>or example</w:t>
      </w:r>
      <w:r w:rsidR="008613EC" w:rsidRPr="00705A9C">
        <w:t>,</w:t>
      </w:r>
      <w:r w:rsidR="00276A3A" w:rsidRPr="00705A9C">
        <w:t xml:space="preserve"> </w:t>
      </w:r>
      <w:r w:rsidR="00276A3A" w:rsidRPr="00705A9C">
        <w:fldChar w:fldCharType="begin" w:fldLock="1"/>
      </w:r>
      <w:r w:rsidR="009E1CAA">
        <w:instrText>ADDIN CSL_CITATION { "citationItems" : [ { "id" : "ITEM-1", "itemData" : { "DOI" : "10.1111/gcb.12362", "ISSN" : "1365-2486", "PMID" : "23966269", "abstract" : "Global climate change has emerged as a major driver of ecosystem change. Here, we present evidence for globally consistent responses in vegetation dynamics to recent climate change in the world's mountain ecosystems located in the pan-tropical belt (30\u00b0N-30\u00b0S). We analyzed decadal-scale trends and seasonal cycles of vegetation greenness using monthly time series of satellite greenness (Normalized Difference Vegetation Index) and climate data for the period 1982-2006 for 47 mountain protected areas in five biodiversity hotspots. The time series of annual maximum NDVI for each of five continental regions shows mild greening trends followed by reversal to stronger browning trends around the mid-1990s. During the same period we found increasing trends in temperature but only marginal change in precipitation. The amplitude of the annual greenness cycle increased with time, and was strongly associated with the observed increase in temperature amplitude. We applied dynamic models with time-dependent regression parameters to study the time evolution of NDVI-climate relationships. We found that the relationship between vegetation greenness and temperature weakened over time or was negative. Such loss of positive temperature sensitivity has been documented in other regions as a response to temperature-induced moisture stress. We also used dynamic models to extract the trends in vegetation greenness that remain after accounting for the effects of temperature and precipitation. We found residual browning and greening trends in all regions, which indicate that factors other than temperature and precipitation also influence vegetation dynamics. Browning rates became progressively weaker with increase in elevation as indicated by quantile regression models. Tropical mountain vegetation is considered sensitive to climatic changes, so these consistent vegetation responses across widespread regions indicate persistent global-scale effects of climate warming and associated moisture stresses.", "author" : [ { "dropping-particle" : "", "family" : "Krishnaswamy", "given" : "Jagdish", "non-dropping-particle" : "", "parse-names" : false, "suffix" : "" }, { "dropping-particle" : "", "family" : "John", "given" : "Robert", "non-dropping-particle" : "", "parse-names" : false, "suffix" : "" }, { "dropping-particle" : "", "family" : "Joseph", "given" : "Shijo", "non-dropping-particle" : "", "parse-names" : false, "suffix" : "" } ], "container-title" : "Global change biology", "id" : "ITEM-1", "issue" : "1", "issued" : { "date-parts" : [ [ "2014", "1" ] ] }, "page" : "203-15", "title" : "Consistent response of vegetation dynamics to recent climate change in tropical mountain regions.", "type" : "article-journal", "volume" : "20" }, "uris" : [ "http://www.mendeley.com/documents/?uuid=e9a2e455-373e-4f08-ba3b-fa0d0c6afde0" ] } ], "mendeley" : { "formattedCitation" : "(Krishnaswamy, John, and Joseph 2014)", "manualFormatting" : "Krishnaswamy et al. (2014)", "plainTextFormattedCitation" : "(Krishnaswamy, John, and Joseph 2014)", "previouslyFormattedCitation" : "(Krishnaswamy, John, and Joseph 2014)" }, "properties" : { "noteIndex" : 0 }, "schema" : "https://github.com/citation-style-language/schema/raw/master/csl-citation.json" }</w:instrText>
      </w:r>
      <w:r w:rsidR="00276A3A" w:rsidRPr="00705A9C">
        <w:fldChar w:fldCharType="separate"/>
      </w:r>
      <w:r w:rsidR="00276A3A" w:rsidRPr="00705A9C">
        <w:rPr>
          <w:noProof/>
        </w:rPr>
        <w:t xml:space="preserve">Krishnaswamy </w:t>
      </w:r>
      <w:r w:rsidR="00276A3A" w:rsidRPr="00705A9C">
        <w:rPr>
          <w:i/>
          <w:noProof/>
        </w:rPr>
        <w:t>et al.</w:t>
      </w:r>
      <w:r w:rsidR="00276A3A" w:rsidRPr="00705A9C">
        <w:rPr>
          <w:noProof/>
        </w:rPr>
        <w:t xml:space="preserve"> (2014)</w:t>
      </w:r>
      <w:r w:rsidR="00276A3A" w:rsidRPr="00705A9C">
        <w:fldChar w:fldCharType="end"/>
      </w:r>
      <w:r w:rsidR="00093300" w:rsidRPr="00705A9C">
        <w:t xml:space="preserve"> </w:t>
      </w:r>
      <w:r w:rsidR="007A3B78" w:rsidRPr="00705A9C">
        <w:t xml:space="preserve">suggested </w:t>
      </w:r>
      <w:r w:rsidR="008613EC" w:rsidRPr="00705A9C">
        <w:t xml:space="preserve">that </w:t>
      </w:r>
      <w:r w:rsidR="007A3B78" w:rsidRPr="00705A9C">
        <w:t xml:space="preserve">other factors besides temperature and precipitation </w:t>
      </w:r>
      <w:r w:rsidR="008613EC" w:rsidRPr="00705A9C">
        <w:t xml:space="preserve">were </w:t>
      </w:r>
      <w:r w:rsidR="007A3B78" w:rsidRPr="00705A9C">
        <w:t>responsible for browning and greening trends</w:t>
      </w:r>
      <w:r w:rsidR="00276A3A" w:rsidRPr="00705A9C">
        <w:t xml:space="preserve"> </w:t>
      </w:r>
      <w:r w:rsidR="007A3B78" w:rsidRPr="00705A9C">
        <w:t xml:space="preserve">in tropical mountain regions; </w:t>
      </w:r>
      <w:r w:rsidR="00093300" w:rsidRPr="00705A9C">
        <w:fldChar w:fldCharType="begin" w:fldLock="1"/>
      </w:r>
      <w:r w:rsidR="009E1CAA">
        <w:instrText>ADDIN CSL_CITATION { "citationItems" : [ { "id" : "ITEM-1", "itemData" : { "DOI" : "10.1016/j.jaridenv.2005.03.008", "ISSN" : "01401963", "author" : [ { "dropping-particle" : "", "family" : "Olsson", "given" : "L.", "non-dropping-particle" : "", "parse-names" : false, "suffix" : "" }, { "dropping-particle" : "", "family" : "Eklundh", "given" : "L.", "non-dropping-particle" : "", "parse-names" : false, "suffix" : "" }, { "dropping-particle" : "", "family" : "Ard\u00f6", "given" : "J.", "non-dropping-particle" : "", "parse-names" : false, "suffix" : "" } ], "container-title" : "Journal of Arid Environments", "id" : "ITEM-1", "issue" : "3", "issued" : { "date-parts" : [ [ "2005", "11" ] ] }, "page" : "556-566", "title" : "A recent greening of the Sahel\u2014trends, patterns and potential causes", "type" : "article-journal", "volume" : "63" }, "uris" : [ "http://www.mendeley.com/documents/?uuid=0381f8b3-d357-40a3-8095-04814092de48" ] } ], "mendeley" : { "formattedCitation" : "(Olsson, Eklundh, and Ard\u00f6 2005)", "manualFormatting" : "Olsson et al. (2005)", "plainTextFormattedCitation" : "(Olsson, Eklundh, and Ard\u00f6 2005)", "previouslyFormattedCitation" : "(Olsson, Eklundh, and Ard\u00f6 2005)" }, "properties" : { "noteIndex" : 0 }, "schema" : "https://github.com/citation-style-language/schema/raw/master/csl-citation.json" }</w:instrText>
      </w:r>
      <w:r w:rsidR="00093300" w:rsidRPr="00705A9C">
        <w:fldChar w:fldCharType="separate"/>
      </w:r>
      <w:r w:rsidR="00093300" w:rsidRPr="00705A9C">
        <w:rPr>
          <w:noProof/>
        </w:rPr>
        <w:t xml:space="preserve">Olsson </w:t>
      </w:r>
      <w:r w:rsidR="00093300" w:rsidRPr="00705A9C">
        <w:rPr>
          <w:i/>
          <w:noProof/>
        </w:rPr>
        <w:t>et al.</w:t>
      </w:r>
      <w:r w:rsidR="00093300" w:rsidRPr="00705A9C">
        <w:rPr>
          <w:noProof/>
        </w:rPr>
        <w:t xml:space="preserve"> (2005)</w:t>
      </w:r>
      <w:r w:rsidR="00093300" w:rsidRPr="00705A9C">
        <w:fldChar w:fldCharType="end"/>
      </w:r>
      <w:r w:rsidR="00093300" w:rsidRPr="00705A9C">
        <w:t xml:space="preserve"> </w:t>
      </w:r>
      <w:r w:rsidR="008613EC" w:rsidRPr="00705A9C">
        <w:t xml:space="preserve">suggested that </w:t>
      </w:r>
      <w:r w:rsidR="00093300" w:rsidRPr="00705A9C">
        <w:t xml:space="preserve">changes in vegetation type </w:t>
      </w:r>
      <w:r w:rsidR="008613EC" w:rsidRPr="00705A9C">
        <w:t>were</w:t>
      </w:r>
      <w:r w:rsidR="00093300" w:rsidRPr="00705A9C">
        <w:t xml:space="preserve"> responsible for </w:t>
      </w:r>
      <w:r w:rsidR="008613EC" w:rsidRPr="00705A9C">
        <w:t xml:space="preserve">an </w:t>
      </w:r>
      <w:r w:rsidR="00093300" w:rsidRPr="00705A9C">
        <w:t xml:space="preserve">increase </w:t>
      </w:r>
      <w:r w:rsidR="007036E7" w:rsidRPr="00705A9C">
        <w:t xml:space="preserve">in </w:t>
      </w:r>
      <w:r w:rsidR="00093300" w:rsidRPr="00705A9C">
        <w:t xml:space="preserve">greening in the Sahel as rainfall only partially </w:t>
      </w:r>
      <w:r w:rsidR="007036E7" w:rsidRPr="00705A9C">
        <w:t xml:space="preserve">explained </w:t>
      </w:r>
      <w:r w:rsidR="00093300" w:rsidRPr="00705A9C">
        <w:t>increasing vegetation cover</w:t>
      </w:r>
      <w:r w:rsidR="00AA2A64" w:rsidRPr="00705A9C">
        <w:t xml:space="preserve">; and </w:t>
      </w:r>
      <w:r w:rsidR="00B00C3F" w:rsidRPr="00705A9C">
        <w:fldChar w:fldCharType="begin" w:fldLock="1"/>
      </w:r>
      <w:r w:rsidR="009E1CAA">
        <w:instrText>ADDIN CSL_CITATION { "citationItems" : [ { "id" : "ITEM-1", "itemData" : { "DOI" : "10.1016/j.rse.2009.08.014", "ISBN" : "0034-4257", "ISSN" : "00344257", "PMID" : "16531038", "abstract" : "A wealth of remotely sensed image time series covering large areas is now available to the earth science community. Change detection methods are often not capable of detecting land cover changes within time series that are heavily influenced by seasonal climatic variations. Detecting change within the trend and seasonal components of time series enables the classification of different types of changes. Changes occurring in the trend component often indicate disturbances (e.g. fires, insect attacks), while changes occurring in the seasonal component indicate phenological changes (e.g. change in land cover type). A generic change detection approach is proposed for time series by detecting and characterizing Breaks For Additive Seasonal and Trend (BFAST). BFAST integrates the decomposition of time series into trend, seasonal, and remainder components with methods for detecting change within time series. BFAST iteratively estimates the time and number of changes, and characterizes change by its magnitude and direction. We tested BFAST by simulating 16-day Normalized Difference Vegetation Index (NDVI) time series with varying amounts of seasonality and noise, and by adding abrupt changes at different times and magnitudes. This revealed that BFAST can robustly detect change with different magnitudes (&gt; 0.1 NDVI) within time series with different noise levels (0.01-0.07 \u03c3) and seasonal amplitudes (0.1-0.5 NDVI). Additionally, BFAST was applied to 16-day NDVI Moderate Resolution Imaging Spectroradiometer (MODIS) composites for a forested study area in south eastern Australia. This showed that BFAST is able to detect and characterize spatial and temporal changes in a forested landscape. BFAST is not specific to a particular data type and can be applied to time series without the need to normalize for land cover types, select a reference period, or change trajectory. The method can be integrated within monitoring frameworks and used as an alarm system to flag when and where changes occur. Crown Copyright \u00a9 2009.", "author" : [ { "dropping-particle" : "", "family" : "Verbesselt", "given" : "Jan", "non-dropping-particle" : "", "parse-names" : false, "suffix" : "" }, { "dropping-particle" : "", "family" : "Hyndman", "given" : "Rob", "non-dropping-particle" : "", "parse-names" : false, "suffix" : "" }, { "dropping-particle" : "", "family" : "Newnham", "given" : "Glenn", "non-dropping-particle" : "", "parse-names" : false, "suffix" : "" }, { "dropping-particle" : "", "family" : "Culvenor", "given" : "Darius", "non-dropping-particle" : "", "parse-names" : false, "suffix" : "" } ], "container-title" : "Remote Sensing of Environment", "id" : "ITEM-1", "issue" : "1", "issued" : { "date-parts" : [ [ "2010" ] ] }, "page" : "106-115", "title" : "Detecting trend and seasonal changes in satellite image time series", "type" : "article-journal", "volume" : "114" }, "uris" : [ "http://www.mendeley.com/documents/?uuid=3bff09c6-d7e1-3050-add6-ccea75313c7e" ] }, { "id" : "ITEM-2", "itemData" : { "DOI" : "10.1016/j.rse.2010.08.003", "ISBN" : "0034-4257", "ISSN" : "00344257", "PMID" : "11818969", "abstract" : "A challenge in phenology studies is understanding what constitutes phenological change amidst background variation. The majority of phenological studies have focused on extracting critical points in the seasonal growth cycle, without exploiting the full temporal detail. The high degree of phenological variability between years demonstrates the necessity of distinguishing long-term phenological change from temporal variability. Here, we demonstrate the phenological change detection ability of a method for detecting change within time series. BFAST, Breaks For Additive Seasonal and Trend, integrates the decomposition of time series into trend, seasonal, and remainder components with methods for detecting change. We tested BFAST by simulating 16-day NDVI time series with varying amounts of seasonal amplitude and noise, containing abrupt disturbances (e.g. fires) and long-term phenological changes. This revealed that the method is able to detect the timing of phenological changes within time series while accounting for abrupt disturbances and noise. Results showed that the phenological change detection is influenced by the signal-to-noise ratio of the time series. Between different land cover types the seasonal amplitude varies and determines the signal-to-noise ratio, and as such the capacity to differentiate phenological changes from noise. Application of the method on 16-day NDVI MODIS images from 2000 until 2009 for a forested study area in south eastern Australia confirmed these results. It was shown that a minimum seasonal amplitude of 0.1 NDVI is required to detect phenological change within cleaned MODIS NDVI time series using the quality flags. BFAST identifies phenological change independent of phenological metrics by exploiting the full time series. The method is globally applicable since it analyzes each pixel individually without the setting of thresholds to detect change within a time series. Long-term phenological changes can be detected within NDVI time series of a large range of land cover types (e.g. grassland, woodlands and deciduous forests) having a seasonal amplitude larger than the noise level. The method can be applied to any time series data and it is not necessarily limited to NDVI. ?? 2010.", "author" : [ { "dropping-particle" : "", "family" : "Verbesselt", "given" : "Jan", "non-dropping-particle" : "", "parse-names" : false, "suffix" : "" }, { "dropping-particle" : "", "family" : "Hyndman", "given" : "Rob", "non-dropping-particle" : "", "parse-names" : false, "suffix" : "" }, { "dropping-particle" : "", "family" : "Zeileis", "given" : "Achim", "non-dropping-particle" : "", "parse-names" : false, "suffix" : "" }, { "dropping-particle" : "", "family" : "Culvenor", "given" : "Darius", "non-dropping-particle" : "", "parse-names" : false, "suffix" : "" } ], "container-title" : "Remote Sensing of Environment", "id" : "ITEM-2", "issue" : "12", "issued" : { "date-parts" : [ [ "2010" ] ] }, "page" : "2970-2980", "publisher" : "Elsevier B.V.", "title" : "Phenological change detection while accounting for abrupt and gradual trends in satellite image time series", "type" : "article-journal", "volume" : "114" }, "uris" : [ "http://www.mendeley.com/documents/?uuid=064cc9f9-25c4-4150-b0c7-a7ed47196f6d" ] }, { "id" : "ITEM-3", "itemData" : { "DOI" : "10.1016/j.gloplacha.2012.03.010", "ISBN" : "0921-8181", "ISSN" : "09218181", "abstract" : "The projected influence of climate change on the timing and volume of phytomass production is expected to affect a number of ecosystem services. In order to develop coherent and locally effective adaptation and mitigation strategies, spatially explicit information on the observed changes is needed. Long-term variations of the vegetative growing season in different environmental zones of Europe for 1982-2006 have been derived by analysing time series of GIMMS NDVI data. The associations of phenologically homogenous spatial clusters to time series of temperature and precipitation data were evaluated. North-east Europe showed a trend to an earlier and longer growing season, particularly in the northern Baltic areas. Despite the earlier greening up large areas of Europe exhibited rather stable season length indicating the shift of the entire growing season to an earlier period. The northern Mediterranean displayed a growing season shift towards later dates while some agglomerations of earlier and shorter growing season were also seen. The correlation of phenological time series with climate data shows a cause-and-effect relationship over the semi natural areas consistent with results in literature. Managed ecosystems however appear to have heterogeneous change pattern with less or no correlation to climatic trends. Over these areas climatic trends seemed to overlap in a complex manner with more pronounced effects of local biophysical conditions and/or land management practices. Our results underline the importance of satellite derived phenological observations to explain local nonconformities to climatic trends for climate change impact assessment. \u00a9 2012 Elsevier B.V.", "author" : [ { "dropping-particle" : "", "family" : "Ivits", "given" : "E.", "non-dropping-particle" : "", "parse-names" : false, "suffix" : "" }, { "dropping-particle" : "", "family" : "Cherlet", "given" : "M.", "non-dropping-particle" : "", "parse-names" : false, "suffix" : "" }, { "dropping-particle" : "", "family" : "T\u00f3th", "given" : "G.", "non-dropping-particle" : "", "parse-names" : false, "suffix" : "" }, { "dropping-particle" : "", "family" : "Sommer", "given" : "S.", "non-dropping-particle" : "", "parse-names" : false, "suffix" : "" }, { "dropping-particle" : "", "family" : "Mehl", "given" : "W.", "non-dropping-particle" : "", "parse-names" : false, "suffix" : "" }, { "dropping-particle" : "", "family" : "Vogt", "given" : "J.", "non-dropping-particle" : "", "parse-names" : false, "suffix" : "" }, { "dropping-particle" : "", "family" : "Micale", "given" : "F.", "non-dropping-particle" : "", "parse-names" : false, "suffix" : "" } ], "container-title" : "Global and Planetary Change", "id" : "ITEM-3", "issued" : { "date-parts" : [ [ "2012" ] ] }, "page" : "85-97", "publisher" : "Elsevier B.V.", "title" : "Combining satellite derived phenology with climate data for climate change impact assessment", "type" : "article-journal", "volume" : "88-89" }, "uris" : [ "http://www.mendeley.com/documents/?uuid=bb9420f9-a8c3-43da-a7b2-dae1c718a887" ] }, { "id" : "ITEM-4", "itemData" : { "DOI" : "10.1016/j.jag.2014.03.024", "ISSN" : "15698432", "abstract" : "Start-of-season data are more and more used to qualify the land surface phenology trends in relation with climate variability and, more rarely, with human land management. In this paper, we compared the phenology of rangeland vs cropped land in the Sahel belt of Africa, using the only currently available global phenology product (MODIS MCD12Q2 - Land Cover Dynamics Yearly), and an enhanced crop mask of Mali. The differences in terms of start-of-season (SOS) are spatially (north south gradient), and temporally (10 years, 2001-2009) analyzed in bioclimatic terms. Our results show that globally the MODIS MCD12Q2 SOS dates of croplands and rangelands differ, and that these differences depend on the bioclimatic zone. In Sahelian and Guinean regions, cropland vegetation begins to grow earlier than rangeland vegetation (8-day and 4-day advance, respectively). Between, in the Sudanian and Sudano-Sahelian parts of Mali, rangeland vegetation greens about one week earlier than croplands. These results are discussed in the context of the land surface heterogeneity at MODIS scale, and in the context of the natural vegetation ecology. These results could help interpreting phenological trends in climate change analysis. \u00a9 2014 Elsevier B.V. All rights reserved.", "author" : [ { "dropping-particle" : "", "family" : "Begue", "given" : "Agnes", "non-dropping-particle" : "", "parse-names" : false, "suffix" : "" }, { "dropping-particle" : "", "family" : "Vintrou", "given" : "Elodie", "non-dropping-particle" : "", "parse-names" : false, "suffix" : "" }, { "dropping-particle" : "", "family" : "Saad", "given" : "Alexandre", "non-dropping-particle" : "", "parse-names" : false, "suffix" : "" }, { "dropping-particle" : "", "family" : "Hiernaux", "given" : "Pierre", "non-dropping-particle" : "", "parse-names" : false, "suffix" : "" } ], "container-title" : "International Journal of Applied Earth Observation and Geoinformation", "id" : "ITEM-4", "issue" : "1", "issued" : { "date-parts" : [ [ "2014" ] ] }, "page" : "167-170", "publisher" : "Elsevier B.V.", "title" : "Differences between cropland and rangeland MODIS phenology (start-of-season) in Mali", "type" : "article-journal", "volume" : "31" }, "uris" : [ "http://www.mendeley.com/documents/?uuid=fdab9171-8cc5-4313-8e76-53d034a7dd32" ] } ], "mendeley" : { "formattedCitation" : "(Verbesselt, Hyndman, Newnham, et al. 2010; Verbesselt, Hyndman, Zeileis, et al. 2010; Ivits et al. 2012; Begue et al. 2014)", "manualFormatting" : "Verbesselt et al. (2010a,b), Ivits et al. (2012) and Begue et al. (2014)", "plainTextFormattedCitation" : "(Verbesselt, Hyndman, Newnham, et al. 2010; Verbesselt, Hyndman, Zeileis, et al. 2010; Ivits et al. 2012; Begue et al. 2014)", "previouslyFormattedCitation" : "(Verbesselt, Hyndman, Newnham, et al. 2010; Verbesselt, Hyndman, Zeileis, et al. 2010; Ivits et al. 2012; Begue et al. 2014)" }, "properties" : { "noteIndex" : 0 }, "schema" : "https://github.com/citation-style-language/schema/raw/master/csl-citation.json" }</w:instrText>
      </w:r>
      <w:r w:rsidR="00B00C3F" w:rsidRPr="00705A9C">
        <w:fldChar w:fldCharType="separate"/>
      </w:r>
      <w:r w:rsidR="00B00C3F" w:rsidRPr="00705A9C">
        <w:rPr>
          <w:noProof/>
          <w:lang w:val="fr-FR"/>
        </w:rPr>
        <w:t xml:space="preserve">Verbesselt </w:t>
      </w:r>
      <w:r w:rsidR="00B00C3F" w:rsidRPr="00705A9C">
        <w:rPr>
          <w:i/>
          <w:noProof/>
          <w:lang w:val="fr-FR"/>
        </w:rPr>
        <w:t>et al.</w:t>
      </w:r>
      <w:r w:rsidR="00B00C3F" w:rsidRPr="00705A9C">
        <w:rPr>
          <w:noProof/>
          <w:lang w:val="fr-FR"/>
        </w:rPr>
        <w:t xml:space="preserve"> (2010a,b)</w:t>
      </w:r>
      <w:r w:rsidR="008613EC" w:rsidRPr="00705A9C">
        <w:rPr>
          <w:noProof/>
          <w:lang w:val="fr-FR"/>
        </w:rPr>
        <w:t>,</w:t>
      </w:r>
      <w:r w:rsidR="00B00C3F" w:rsidRPr="00705A9C">
        <w:rPr>
          <w:noProof/>
          <w:lang w:val="fr-FR"/>
        </w:rPr>
        <w:t xml:space="preserve"> Ivits </w:t>
      </w:r>
      <w:r w:rsidR="00B00C3F" w:rsidRPr="00705A9C">
        <w:rPr>
          <w:i/>
          <w:noProof/>
          <w:lang w:val="fr-FR"/>
        </w:rPr>
        <w:t>et al.</w:t>
      </w:r>
      <w:r w:rsidR="00B00C3F" w:rsidRPr="00705A9C">
        <w:rPr>
          <w:noProof/>
          <w:lang w:val="fr-FR"/>
        </w:rPr>
        <w:t xml:space="preserve"> (2012) </w:t>
      </w:r>
      <w:r w:rsidR="008613EC" w:rsidRPr="00705A9C">
        <w:rPr>
          <w:noProof/>
          <w:lang w:val="fr-FR"/>
        </w:rPr>
        <w:t xml:space="preserve">and </w:t>
      </w:r>
      <w:r w:rsidR="00B00C3F" w:rsidRPr="00705A9C">
        <w:rPr>
          <w:noProof/>
          <w:lang w:val="fr-FR"/>
        </w:rPr>
        <w:t xml:space="preserve">Begue </w:t>
      </w:r>
      <w:r w:rsidR="00B00C3F" w:rsidRPr="00705A9C">
        <w:rPr>
          <w:i/>
          <w:noProof/>
          <w:lang w:val="fr-FR"/>
        </w:rPr>
        <w:t>et al.</w:t>
      </w:r>
      <w:r w:rsidR="00B00C3F" w:rsidRPr="00705A9C">
        <w:rPr>
          <w:noProof/>
          <w:lang w:val="fr-FR"/>
        </w:rPr>
        <w:t xml:space="preserve"> </w:t>
      </w:r>
      <w:r w:rsidR="00B00C3F" w:rsidRPr="00705A9C">
        <w:rPr>
          <w:noProof/>
        </w:rPr>
        <w:t>(2014)</w:t>
      </w:r>
      <w:r w:rsidR="00B00C3F" w:rsidRPr="00705A9C">
        <w:fldChar w:fldCharType="end"/>
      </w:r>
      <w:r w:rsidR="00093300" w:rsidRPr="00705A9C">
        <w:t xml:space="preserve"> </w:t>
      </w:r>
      <w:r w:rsidR="00642672" w:rsidRPr="00705A9C">
        <w:t>identified</w:t>
      </w:r>
      <w:r w:rsidR="00093300" w:rsidRPr="00705A9C">
        <w:t xml:space="preserve"> </w:t>
      </w:r>
      <w:r w:rsidR="00642672" w:rsidRPr="00705A9C">
        <w:t>land management practices as a major factor influencing</w:t>
      </w:r>
      <w:r w:rsidR="00093300" w:rsidRPr="00705A9C">
        <w:t xml:space="preserve"> phenological changes </w:t>
      </w:r>
      <w:r w:rsidR="00642672" w:rsidRPr="00705A9C">
        <w:t xml:space="preserve">in </w:t>
      </w:r>
      <w:r w:rsidR="00F91C24" w:rsidRPr="00705A9C">
        <w:t>South Eastern Australia</w:t>
      </w:r>
      <w:r w:rsidR="00B00C3F" w:rsidRPr="00705A9C">
        <w:t xml:space="preserve">, </w:t>
      </w:r>
      <w:r w:rsidR="00F91C24" w:rsidRPr="00705A9C">
        <w:t xml:space="preserve">Europe </w:t>
      </w:r>
      <w:r w:rsidR="00B00C3F" w:rsidRPr="00705A9C">
        <w:t>and Mali</w:t>
      </w:r>
      <w:r w:rsidR="008613EC" w:rsidRPr="00705A9C">
        <w:t>,</w:t>
      </w:r>
      <w:r w:rsidR="00B00C3F" w:rsidRPr="00705A9C">
        <w:t xml:space="preserve"> </w:t>
      </w:r>
      <w:r w:rsidR="00F91C24" w:rsidRPr="00705A9C">
        <w:t>respectively</w:t>
      </w:r>
      <w:r w:rsidR="008603FF" w:rsidRPr="00705A9C">
        <w:t xml:space="preserve">. </w:t>
      </w:r>
    </w:p>
    <w:p w14:paraId="5A8A483F" w14:textId="09907A08" w:rsidR="00FC5F6E" w:rsidRPr="00705A9C" w:rsidRDefault="00416EC4" w:rsidP="009C6886">
      <w:pPr>
        <w:pStyle w:val="Newparagraph"/>
      </w:pPr>
      <w:r w:rsidRPr="00705A9C">
        <w:t>Because of</w:t>
      </w:r>
      <w:r w:rsidR="00FC5F6E" w:rsidRPr="00705A9C">
        <w:t xml:space="preserve"> the </w:t>
      </w:r>
      <w:r w:rsidRPr="00705A9C">
        <w:t xml:space="preserve">potentially confounding influence </w:t>
      </w:r>
      <w:r w:rsidR="00FC5F6E" w:rsidRPr="00705A9C">
        <w:t>of land cover changes</w:t>
      </w:r>
      <w:r w:rsidR="00452D34" w:rsidRPr="00705A9C">
        <w:t xml:space="preserve">, </w:t>
      </w:r>
      <w:r w:rsidR="00FC5F6E" w:rsidRPr="00705A9C">
        <w:t xml:space="preserve">it would be preferable to control for these changes, for example, by ensuring that only homogeneous pixels (i.e., those that have a constant land cover throughout the entire time-series) are used to </w:t>
      </w:r>
      <w:r w:rsidR="000C7275" w:rsidRPr="00705A9C">
        <w:t xml:space="preserve">characterise </w:t>
      </w:r>
      <w:r w:rsidR="00FC5F6E" w:rsidRPr="00705A9C">
        <w:t>inter-annual trends</w:t>
      </w:r>
      <w:r w:rsidR="000C7275" w:rsidRPr="00705A9C">
        <w:t xml:space="preserve"> for comparison with changing climate drivers</w:t>
      </w:r>
      <w:r w:rsidR="00FC5F6E" w:rsidRPr="00705A9C">
        <w:t xml:space="preserve">. This would </w:t>
      </w:r>
      <w:r w:rsidRPr="00705A9C">
        <w:t>allow separat</w:t>
      </w:r>
      <w:r w:rsidR="000C7275" w:rsidRPr="00705A9C">
        <w:t>ion of</w:t>
      </w:r>
      <w:r w:rsidRPr="00705A9C">
        <w:t xml:space="preserve"> those</w:t>
      </w:r>
      <w:r w:rsidR="00FC5F6E" w:rsidRPr="00705A9C">
        <w:t xml:space="preserve"> LSP trends that are solely </w:t>
      </w:r>
      <w:r w:rsidRPr="00705A9C">
        <w:t>climate-</w:t>
      </w:r>
      <w:r w:rsidR="00FC5F6E" w:rsidRPr="00705A9C">
        <w:t xml:space="preserve">driven </w:t>
      </w:r>
      <w:r w:rsidRPr="00705A9C">
        <w:t xml:space="preserve">from </w:t>
      </w:r>
      <w:r w:rsidR="00FC5F6E" w:rsidRPr="00705A9C">
        <w:t xml:space="preserve">those </w:t>
      </w:r>
      <w:r w:rsidRPr="00705A9C">
        <w:t xml:space="preserve">that are </w:t>
      </w:r>
      <w:r w:rsidR="00FC5F6E" w:rsidRPr="00705A9C">
        <w:t xml:space="preserve">influenced </w:t>
      </w:r>
      <w:r w:rsidRPr="00705A9C">
        <w:t xml:space="preserve">by </w:t>
      </w:r>
      <w:r w:rsidR="00FC5F6E" w:rsidRPr="00705A9C">
        <w:t xml:space="preserve">non-climatic factors. </w:t>
      </w:r>
      <w:r w:rsidR="00CD0915" w:rsidRPr="00705A9C">
        <w:t xml:space="preserve">To the best of our knowledge, </w:t>
      </w:r>
      <w:r w:rsidR="00CD0915" w:rsidRPr="00705A9C">
        <w:fldChar w:fldCharType="begin" w:fldLock="1"/>
      </w:r>
      <w:r w:rsidR="009E1CAA">
        <w:instrText>ADDIN CSL_CITATION { "citationItems" : [ { "id" : "ITEM-1", "itemData" : { "DOI" : "10.1016/j.rse.2013.11.020", "ISBN" : "0034-4257", "ISSN" : "00344257", "abstract" : "Trends in the start or end of growing season (SOS, EOS) of terrestrial vegetation reported previously as latitudinal averages limit the ability to investigate the effects of land cover change and species-wise conditioning on the presented vegetation phenology information. The current research provided more reliable estimates of the trends in the annual growth pattern of terrestrial vegetation occurring at latitudes greater than 45??N. 25years of satellite-derived Normalised Difference Vegetation Index (GIMMS NDVI) was used and reliable vegetated pixels were analysed to derive the SOS and EOS. The rate of change in SOS and EOS over 25years was estimated, aggregated and scrutinised at different measurement levels: a) vegetation type, b) percentage vegetative cover, c) core area, d) percentage forest cover loss, and e) latitude zones. The research presents renewed and detailed estimates of the trends in these phenology parameters in these strata. In the &gt;45??N zone, when only reliable pixels were considered, there was an advancement of -0.58daysyr-1 in SOS and a delay of +0.64daysyr-1 in EOS. For homogeneous vegetated areas (91-100% cover at 8km spatial resolution) the 55-65??N zone showed the maximum change with -1.07daysyr-1 advancement in SOS for needle leaved deciduous vegetation, and -1.06daysyr-1 delay in EOS for broad leaved deciduous vegetation. Overall, the increasing trend in EOS during senescence (September to November) was greater in magnitude than the decreasing trend in SOS during spring (March to May) and the change in EOS was more consistent and greater than that in SOS. ?? 2014 Elsevier Inc.", "author" : [ { "dropping-particle" : "", "family" : "Jeganathan", "given" : "C.", "non-dropping-particle" : "", "parse-names" : false, "suffix" : "" }, { "dropping-particle" : "", "family" : "Dash", "given" : "J.", "non-dropping-particle" : "", "parse-names" : false, "suffix" : "" }, { "dropping-particle" : "", "family" : "Atkinson", "given" : "P. M.", "non-dropping-particle" : "", "parse-names" : false, "suffix" : "" } ], "container-title" : "Remote Sensing of Environment", "id" : "ITEM-1", "issued" : { "date-parts" : [ [ "2014" ] ] }, "page" : "154-170", "publisher" : "Elsevier Inc.", "title" : "Remotely sensed trends in the phenology of northern high latitude terrestrial vegetation, controlling for land cover change and vegetation type", "type" : "article-journal", "volume" : "143" }, "uris" : [ "http://www.mendeley.com/documents/?uuid=ea7d6998-80ca-42c1-9315-105c5ea7b29e" ] } ], "mendeley" : { "formattedCitation" : "(Jeganathan, Dash, and Atkinson 2014)", "manualFormatting" : "Jeganathan et al. (2014)", "plainTextFormattedCitation" : "(Jeganathan, Dash, and Atkinson 2014)", "previouslyFormattedCitation" : "(Jeganathan, Dash, and Atkinson 2014)" }, "properties" : { "noteIndex" : 0 }, "schema" : "https://github.com/citation-style-language/schema/raw/master/csl-citation.json" }</w:instrText>
      </w:r>
      <w:r w:rsidR="00CD0915" w:rsidRPr="00705A9C">
        <w:fldChar w:fldCharType="separate"/>
      </w:r>
      <w:r w:rsidR="00CD0915" w:rsidRPr="00705A9C">
        <w:rPr>
          <w:noProof/>
        </w:rPr>
        <w:t>Jeganathan et al. (2014)</w:t>
      </w:r>
      <w:r w:rsidR="00CD0915" w:rsidRPr="00705A9C">
        <w:fldChar w:fldCharType="end"/>
      </w:r>
      <w:r w:rsidR="00CD0915" w:rsidRPr="00705A9C">
        <w:t xml:space="preserve"> may be the only study to have </w:t>
      </w:r>
      <w:r w:rsidR="00B72766" w:rsidRPr="00705A9C">
        <w:t xml:space="preserve">deliberately </w:t>
      </w:r>
      <w:r w:rsidR="00CD0915" w:rsidRPr="00705A9C">
        <w:t xml:space="preserve">controlled for land cover changes while analysing inter-annual and seasonal vegetation dynamics. </w:t>
      </w:r>
    </w:p>
    <w:p w14:paraId="04604F47" w14:textId="56345B80" w:rsidR="000C7275" w:rsidRPr="00705A9C" w:rsidRDefault="008613EC" w:rsidP="009C6886">
      <w:pPr>
        <w:pStyle w:val="Newparagraph"/>
      </w:pPr>
      <w:r w:rsidRPr="00705A9C">
        <w:t>I</w:t>
      </w:r>
      <w:r w:rsidR="002B0532" w:rsidRPr="00705A9C">
        <w:t>n addition</w:t>
      </w:r>
      <w:r w:rsidRPr="00705A9C">
        <w:t xml:space="preserve"> to the above gap</w:t>
      </w:r>
      <w:r w:rsidR="007036E7" w:rsidRPr="00705A9C">
        <w:t>s</w:t>
      </w:r>
      <w:r w:rsidRPr="00705A9C">
        <w:t xml:space="preserve"> in </w:t>
      </w:r>
      <w:r w:rsidR="00416EC4" w:rsidRPr="00705A9C">
        <w:t xml:space="preserve">research </w:t>
      </w:r>
      <w:r w:rsidRPr="00705A9C">
        <w:t>methodology</w:t>
      </w:r>
      <w:r w:rsidR="002B0532" w:rsidRPr="00705A9C">
        <w:t xml:space="preserve">, </w:t>
      </w:r>
      <w:r w:rsidRPr="00705A9C">
        <w:t xml:space="preserve">substantial </w:t>
      </w:r>
      <w:r w:rsidR="0021348A" w:rsidRPr="00705A9C">
        <w:t xml:space="preserve">gaps </w:t>
      </w:r>
      <w:r w:rsidR="001442BD" w:rsidRPr="00705A9C">
        <w:t>exist</w:t>
      </w:r>
      <w:r w:rsidR="0021348A" w:rsidRPr="00705A9C">
        <w:t xml:space="preserve"> with </w:t>
      </w:r>
      <w:r w:rsidRPr="00705A9C">
        <w:t xml:space="preserve">respect </w:t>
      </w:r>
      <w:r w:rsidR="0021348A" w:rsidRPr="00705A9C">
        <w:t xml:space="preserve">to the </w:t>
      </w:r>
      <w:r w:rsidR="00416EC4" w:rsidRPr="00705A9C">
        <w:t xml:space="preserve">study of the </w:t>
      </w:r>
      <w:r w:rsidR="0021348A" w:rsidRPr="00705A9C">
        <w:t xml:space="preserve">vegetation phenology of Africa </w:t>
      </w:r>
      <w:r w:rsidR="0021348A" w:rsidRPr="00705A9C">
        <w:fldChar w:fldCharType="begin" w:fldLock="1"/>
      </w:r>
      <w:r w:rsidR="009E1CAA">
        <w:instrText>ADDIN CSL_CITATION { "citationItems" : [ { "id" : "ITEM-1", "itemData" : { "DOI" : "10.1016/j.ecoinf.2016.05.004", "ISSN" : "15749541", "author" : [ { "dropping-particle" : "", "family" : "Adole", "given" : "Tracy", "non-dropping-particle" : "", "parse-names" : false, "suffix" : "" }, { "dropping-particle" : "", "family" : "Dash", "given" : "Jadu", "non-dropping-particle" : "", "parse-names" : false, "suffix" : "" }, { "dropping-particle" : "", "family" : "Atkinson", "given" : "Peter M.", "non-dropping-particle" : "", "parse-names" : false, "suffix" : "" } ], "container-title" : "Ecological Informatics", "id" : "ITEM-1", "issued" : { "date-parts" : [ [ "2016" ] ] }, "page" : "117-128", "publisher" : "Elsevier B.V.", "title" : "A systematic review of vegetation phenology in Africa", "type" : "article-journal", "volume" : "34" }, "uris" : [ "http://www.mendeley.com/documents/?uuid=17bad18b-fb50-4817-a713-154f6d45fc1c" ] }, { "id" : "ITEM-2", "itemData" : { "ISBN" : "9781107641655", "author" : [ { "dropping-particle" : "", "family" : "IPCC", "given" : "", "non-dropping-particle" : "", "parse-names" : false, "suffix" : "" } ], "container-title" : "Climate Change 2014: Impacts, Adaptation, and Vulnerability", "editor" : [ { "dropping-particle" : "", "family" : "Field", "given" : "C.B.", "non-dropping-particle" : "", "parse-names" : false, "suffix" : "" }, { "dropping-particle" : "", "family" : "Barros", "given" : "V.R.", "non-dropping-particle" : "", "parse-names" : false, "suffix" : "" }, { "dropping-particle" : "", "family" : "Dokken", "given" : "D.J.", "non-dropping-particle" : "", "parse-names" : false, "suffix" : "" }, { "dropping-particle" : "", "family" : "Mach", "given" : "K.J.", "non-dropping-particle" : "", "parse-names" : false, "suffix" : "" }, { "dropping-particle" : "", "family" : "Mastrandrea", "given" : "M.D.", "non-dropping-particle" : "", "parse-names" : false, "suffix" : "" }, { "dropping-particle" : "", "family" : "Bilir", "given" : "T.E.", "non-dropping-particle" : "", "parse-names" : false, "suffix" : "" }, { "dropping-particle" : "", "family" : "Chatterjee", "given" : "M.", "non-dropping-particle" : "", "parse-names" : false, "suffix" : "" }, { "dropping-particle" : "", "family" : "Ebi", "given" : "K.L.", "non-dropping-particle" : "", "parse-names" : false, "suffix" : "" }, { "dropping-particle" : "", "family" : "Estrada", "given" : "Y.O.", "non-dropping-particle" : "", "parse-names" : false, "suffix" : "" }, { "dropping-particle" : "", "family" : "Genova", "given" : "R.C.", "non-dropping-particle" : "", "parse-names" : false, "suffix" : "" }, { "dropping-particle" : "", "family" : "Girma", "given" : "B.", "non-dropping-particle" : "", "parse-names" : false, "suffix" : "" }, { "dropping-particle" : "", "family" : "Kissel", "given" : "E.S.", "non-dropping-particle" : "", "parse-names" : false, "suffix" : "" }, { "dropping-particle" : "", "family" : "Levy", "given" : "A.N.", "non-dropping-particle" : "", "parse-names" : false, "suffix" : "" }, { "dropping-particle" : "", "family" : "MacCracken", "given" : "S.", "non-dropping-particle" : "", "parse-names" : false, "suffix" : "" }, { "dropping-particle" : "", "family" : "Mastrandrea", "given" : "P.R.", "non-dropping-particle" : "", "parse-names" : false, "suffix" : "" }, { "dropping-particle" : "", "family" : "White", "given" : "L.L.", "non-dropping-particle" : "", "parse-names" : false, "suffix" : "" } ], "id" : "ITEM-2", "issued" : { "date-parts" : [ [ "2014" ] ] }, "number-of-pages" : "1132", "publisher" : "Cambridge University Press, Cambridge, United Kingdom and New York, NY, USA,1132pp", "title" : "Climate Change 2014: Impacts, Adaptation, and Vulnerability. Part A: Global and Sectoral Aspects. Contribution of Working Group II to the Fifth Assessment Report of the Intergovernmental Panel on Climate Change", "type" : "book" }, "uris" : [ "http://www.mendeley.com/documents/?uuid=40da8b16-5efa-478f-80fd-20cf470384b4" ] } ], "mendeley" : { "formattedCitation" : "(Adole, Dash, and Atkinson 2016; IPCC 2014)", "plainTextFormattedCitation" : "(Adole, Dash, and Atkinson 2016; IPCC 2014)", "previouslyFormattedCitation" : "(Adole, Dash, and Atkinson 2016; IPCC 2014)" }, "properties" : { "noteIndex" : 0 }, "schema" : "https://github.com/citation-style-language/schema/raw/master/csl-citation.json" }</w:instrText>
      </w:r>
      <w:r w:rsidR="0021348A" w:rsidRPr="00705A9C">
        <w:fldChar w:fldCharType="separate"/>
      </w:r>
      <w:r w:rsidR="00611088" w:rsidRPr="00705A9C">
        <w:rPr>
          <w:noProof/>
        </w:rPr>
        <w:t>(Adole, Dash, and Atkinson 2016; IPCC 2014)</w:t>
      </w:r>
      <w:r w:rsidR="0021348A" w:rsidRPr="00705A9C">
        <w:fldChar w:fldCharType="end"/>
      </w:r>
      <w:r w:rsidR="004F0D0E" w:rsidRPr="00705A9C">
        <w:t>.</w:t>
      </w:r>
      <w:r w:rsidR="0021348A" w:rsidRPr="00705A9C">
        <w:t xml:space="preserve">  </w:t>
      </w:r>
      <w:r w:rsidRPr="00705A9C">
        <w:t>W</w:t>
      </w:r>
      <w:r w:rsidR="00464882" w:rsidRPr="00705A9C">
        <w:t xml:space="preserve">hile it has been </w:t>
      </w:r>
      <w:r w:rsidR="001442BD" w:rsidRPr="00705A9C">
        <w:t xml:space="preserve">shown </w:t>
      </w:r>
      <w:r w:rsidR="00464882" w:rsidRPr="00705A9C">
        <w:t xml:space="preserve">that other factors </w:t>
      </w:r>
      <w:r w:rsidR="007F0658" w:rsidRPr="00705A9C">
        <w:t xml:space="preserve">besides </w:t>
      </w:r>
      <w:r w:rsidRPr="00705A9C">
        <w:t xml:space="preserve">climate </w:t>
      </w:r>
      <w:r w:rsidR="00464882" w:rsidRPr="00705A9C">
        <w:t>are responsible</w:t>
      </w:r>
      <w:r w:rsidR="004472CD" w:rsidRPr="00705A9C">
        <w:t xml:space="preserve"> for</w:t>
      </w:r>
      <w:r w:rsidR="000E0AF2" w:rsidRPr="00705A9C">
        <w:t xml:space="preserve"> some variation in phenology and </w:t>
      </w:r>
      <w:r w:rsidR="00464882" w:rsidRPr="00705A9C">
        <w:t>increase</w:t>
      </w:r>
      <w:r w:rsidR="001442BD" w:rsidRPr="00705A9C">
        <w:t>s in</w:t>
      </w:r>
      <w:r w:rsidR="00464882" w:rsidRPr="00705A9C">
        <w:t xml:space="preserve"> greenness in different regions </w:t>
      </w:r>
      <w:r w:rsidR="001442BD" w:rsidRPr="00705A9C">
        <w:t xml:space="preserve">of </w:t>
      </w:r>
      <w:r w:rsidR="00464882" w:rsidRPr="00705A9C">
        <w:t xml:space="preserve">the African continent </w:t>
      </w:r>
      <w:r w:rsidR="00464882" w:rsidRPr="00705A9C">
        <w:fldChar w:fldCharType="begin" w:fldLock="1"/>
      </w:r>
      <w:r w:rsidR="009E1CAA">
        <w:instrText>ADDIN CSL_CITATION { "citationItems" : [ { "id" : "ITEM-1", "itemData" : { "DOI" : "10.1016/j.gloenvcha.2005.08.004", "ISBN" : "0959-3780", "ISSN" : "09593780", "abstract" : "Contrary to assertions of widespread irreversible desertification in the African Sahel, a recent increase in seasonal greenness over large areas of the Sahel has been observed, which has been interpreted as a recovery from the great Sahelian droughts. This research investigates temporal and spatial patterns of vegetation greenness and rainfall variability in the African Sahel and their interrelationships based on analyses of Normalized Difference Vegetation Index (NDVI) time series for the period 1982-2003 and gridded satellite rainfall estimates. While rainfall emerges as the dominant causative factor for the increase in vegetation greenness, there is evidence of another causative factor, hypothetically a human-induced change superimposed on the climate trend. ?? 2005 Elsevier Ltd. All rights reserved.", "author" : [ { "dropping-particle" : "", "family" : "Herrmann", "given" : "Stefanie M.", "non-dropping-particle" : "", "parse-names" : false, "suffix" : "" }, { "dropping-particle" : "", "family" : "Anyamba", "given" : "Assaf", "non-dropping-particle" : "", "parse-names" : false, "suffix" : "" }, { "dropping-particle" : "", "family" : "Tucker", "given" : "Compton J.", "non-dropping-particle" : "", "parse-names" : false, "suffix" : "" } ], "container-title" : "Global Environmental Change", "id" : "ITEM-1", "issued" : { "date-parts" : [ [ "2005" ] ] }, "page" : "394-404", "title" : "Recent trends in vegetation dynamics in the African Sahel and their relationship to climate", "type" : "article-journal", "volume" : "15" }, "uris" : [ "http://www.mendeley.com/documents/?uuid=80002378-ddd8-457f-b44d-ae8496e93091" ] }, { "id" : "ITEM-2", "itemData" : { "DOI" : "10.1016/j.gloplacha.2011.01.001", "ISBN" : "0921-8181", "ISSN" : "09218181", "abstract" : "The ecosystem state or 'land condition' can be characterized by a set of attributes, which show variations at different temporal scales. A multi-resolution analysis (MRA) based on the wavelet transform (WT) has been implemented to examine the land condition of a dryland region in Ferlo (Senegal) over the period 2001-2009. This methodology has proven to be useful for smoothing time series while considering those temporal resolutions that incorporate information about the vegetation dynamics. For this purpose, time series of the 1-km Apparent Green Cover (AGC) from the 10-day composites SPOT Vegetation (VGT) data are analyzed. Two relevant outputs from the MRA, A1 (de-noised) and the A6 (inter-annual) components have served us for characterizing the annual vegetation production and assess the long-term variation, respectively. In a first stage, the vegetation seasonality (or intra-annual variation) over the area is described by using several metrics related to vegetation phenology derived from the de-noised time series (A1). In a second phase, the temporal variability of the inter-annual component series (A6) is accomplished to detect potential vegetation changes over the considered period. A Mann-Kendall test has been applied to confirm the significance of the observed inter-annual changes. A higher number of significant pixels (86%) are obtained when considering the inter-annual component in the trend analysis instead of the original time-series (47%). The results confirm a general greening up over the period 2001-2009, not fully explained by precipitation, as well as rather local negative trends. The Rain-Use Efficiency (RUE) ratio computed using the AGC as a proxy of vegetation production has been considered to further analyze the detected changes. Inter-annual changes in RUE provide a potential method of separating vegetation declines due to lack of rainfall from declines associated with degradation. Some spots of negative values in inter-annual RUE changes are found in certain areas for which several evidence of land degradation have been documented. \u00a9 2011 Elsevier B.V.", "author" : [ { "dropping-particle" : "", "family" : "Mart\u00ednez", "given" : "B.", "non-dropping-particle" : "", "parse-names" : false, "suffix" : "" }, { "dropping-particle" : "", "family" : "Gilabert", "given" : "M. a.", "non-dropping-particle" : "", "parse-names" : false, "suffix" : "" }, { "dropping-particle" : "", "family" : "Garc\u00eda-Haro", "given" : "F. J.", "non-dropping-particle" : "", "parse-names" : false, "suffix" : "" }, { "dropping-particle" : "", "family" : "Faye", "given" : "a.", "non-dropping-particle" : "", "parse-names" : false, "suffix" : "" }, { "dropping-particle" : "", "family" : "Meli\u00e1", "given" : "J.", "non-dropping-particle" : "", "parse-names" : false, "suffix" : "" } ], "container-title" : "Global and Planetary Change", "id" : "ITEM-2", "issue" : "3-4", "issued" : { "date-parts" : [ [ "2011" ] ] }, "page" : "152-165", "publisher" : "Elsevier B.V.", "title" : "Characterizing land condition variability in Ferlo, Senegal (2001-2009) using multi-temporal 1-km Apparent Green Cover (AGC) SPOT Vegetation data", "type" : "article-journal", "volume" : "76" }, "uris" : [ "http://www.mendeley.com/documents/?uuid=534c9357-f9fc-42b0-ac31-c0b7db4cac36" ] }, { "id" : "ITEM-3", "itemData" : { "DOI" : "10.1111/btp.12033", "ISBN" : "1744-7429", "ISSN" : "00063606", "abstract" : "Decreases in rainfall have been proposed to have a negative impact on tropical rain forests, and West Africa is currently experiencing a decline in rainfall at the multi-decadal scale. Here, we present analyses of a long-term dataset on the plant fruiting status from individuals of 44 species of the tropical rain forest of Ta\u00ef National Park, C\u00f4te d'Ivoire. This study includes records of 1401 individuals collected at monthly intervals for over 12\u00a0yr, 984 of which survived throughout the entire study period. The aims of this study were to: (1) quantitate inter-annual trends in species and forest scale fruit presence; and (2) test the importance of rainfall in explaining inter-annual fruit presence variability. Long-term upward trends in the expected proportion of individuals with fruits were found for the majority of species, while no significant downward trends were detected, driving a significant upward trend at the community level. Peak production months of the upward trending species were not associated with the dry or wet season. Significant rainfall correlations with the total proportion of individuals showing fruit were generally negative, with only five species showing significant positive correlations. Taken together, these results suggest that the observed inter-annual trends and variability of fruit abundance are currently not associated with rainfall. We discuss several parsimonious and complex alternative explanations.", "author" : [ { "dropping-particle" : "", "family" : "Polansky", "given" : "Leo", "non-dropping-particle" : "", "parse-names" : false, "suffix" : "" }, { "dropping-particle" : "", "family" : "Boesch", "given" : "Christophe", "non-dropping-particle" : "", "parse-names" : false, "suffix" : "" } ], "container-title" : "Biotropica", "id" : "ITEM-3", "issue" : "4", "issued" : { "date-parts" : [ [ "2013" ] ] }, "page" : "434-440", "title" : "Long-term Changes in Fruit Phenology in a West African Lowland Tropical Rain Forest are Not Explained by Rainfall", "type" : "article-journal", "volume" : "45" }, "uris" : [ "http://www.mendeley.com/documents/?uuid=893226b7-ee6c-4441-9189-4084007b4700" ] } ], "mendeley" : { "formattedCitation" : "(Herrmann, Anyamba, and Tucker 2005; Mart\u00ednez et al. 2011; Polansky and Boesch 2013)", "plainTextFormattedCitation" : "(Herrmann, Anyamba, and Tucker 2005; Mart\u00ednez et al. 2011; Polansky and Boesch 2013)", "previouslyFormattedCitation" : "(Herrmann, Anyamba, and Tucker 2005; Mart\u00ednez et al. 2011; Polansky and Boesch 2013)" }, "properties" : { "noteIndex" : 0 }, "schema" : "https://github.com/citation-style-language/schema/raw/master/csl-citation.json" }</w:instrText>
      </w:r>
      <w:r w:rsidR="00464882" w:rsidRPr="00705A9C">
        <w:fldChar w:fldCharType="separate"/>
      </w:r>
      <w:r w:rsidR="00611088" w:rsidRPr="00705A9C">
        <w:rPr>
          <w:noProof/>
        </w:rPr>
        <w:t>(Herrmann, Anyamba, and Tucker 2005; Martínez et al. 2011; Polansky and Boesch 2013)</w:t>
      </w:r>
      <w:r w:rsidR="00464882" w:rsidRPr="00705A9C">
        <w:fldChar w:fldCharType="end"/>
      </w:r>
      <w:r w:rsidR="00464882" w:rsidRPr="00705A9C">
        <w:t xml:space="preserve">, </w:t>
      </w:r>
      <w:r w:rsidR="007F0658" w:rsidRPr="00705A9C">
        <w:t>studies investigating</w:t>
      </w:r>
      <w:r w:rsidR="00464882" w:rsidRPr="00705A9C">
        <w:t xml:space="preserve"> this phenomenon</w:t>
      </w:r>
      <w:r w:rsidR="007F0658" w:rsidRPr="00705A9C">
        <w:t xml:space="preserve"> </w:t>
      </w:r>
      <w:r w:rsidR="000C7275" w:rsidRPr="00705A9C">
        <w:t xml:space="preserve">across the whole of Africa </w:t>
      </w:r>
      <w:r w:rsidR="007F0658" w:rsidRPr="00705A9C">
        <w:t>are limited</w:t>
      </w:r>
      <w:r w:rsidR="00464882" w:rsidRPr="00705A9C">
        <w:t xml:space="preserve">. </w:t>
      </w:r>
    </w:p>
    <w:p w14:paraId="3BD138D3" w14:textId="7DCDFA88" w:rsidR="001F667C" w:rsidRPr="00705A9C" w:rsidRDefault="001442BD" w:rsidP="009C6886">
      <w:pPr>
        <w:pStyle w:val="Newparagraph"/>
      </w:pPr>
      <w:r w:rsidRPr="00705A9C">
        <w:t>This paper represents</w:t>
      </w:r>
      <w:r w:rsidR="00BC14EF" w:rsidRPr="00705A9C">
        <w:t xml:space="preserve"> the </w:t>
      </w:r>
      <w:r w:rsidR="003A4DF9" w:rsidRPr="00705A9C">
        <w:t xml:space="preserve">first </w:t>
      </w:r>
      <w:r w:rsidRPr="00705A9C">
        <w:t xml:space="preserve">analysis of inter-annual </w:t>
      </w:r>
      <w:r w:rsidR="00452D34" w:rsidRPr="00705A9C">
        <w:t xml:space="preserve">LSP </w:t>
      </w:r>
      <w:r w:rsidR="00BC14EF" w:rsidRPr="00705A9C">
        <w:t>trend</w:t>
      </w:r>
      <w:r w:rsidRPr="00705A9C">
        <w:t>s</w:t>
      </w:r>
      <w:r w:rsidR="00BC14EF" w:rsidRPr="00705A9C">
        <w:t xml:space="preserve"> </w:t>
      </w:r>
      <w:r w:rsidR="00512D83" w:rsidRPr="00705A9C">
        <w:t xml:space="preserve">in Africa </w:t>
      </w:r>
      <w:r w:rsidR="004472CD" w:rsidRPr="00705A9C">
        <w:t xml:space="preserve">that </w:t>
      </w:r>
      <w:r w:rsidRPr="00705A9C">
        <w:t xml:space="preserve">controls for </w:t>
      </w:r>
      <w:r w:rsidR="004472CD" w:rsidRPr="00705A9C">
        <w:t>land cover changes</w:t>
      </w:r>
      <w:r w:rsidRPr="00705A9C">
        <w:t>,</w:t>
      </w:r>
      <w:r w:rsidR="004472CD" w:rsidRPr="00705A9C">
        <w:t xml:space="preserve"> </w:t>
      </w:r>
      <w:r w:rsidR="00512D83" w:rsidRPr="00705A9C">
        <w:t xml:space="preserve">using </w:t>
      </w:r>
      <w:r w:rsidR="0052268E" w:rsidRPr="00705A9C">
        <w:t>MODIS data</w:t>
      </w:r>
      <w:r w:rsidR="00B1430D" w:rsidRPr="00705A9C">
        <w:t xml:space="preserve">. </w:t>
      </w:r>
      <w:r w:rsidR="00540F52" w:rsidRPr="00705A9C">
        <w:t xml:space="preserve">The </w:t>
      </w:r>
      <w:r w:rsidR="00B1430D" w:rsidRPr="00705A9C">
        <w:t xml:space="preserve">aim </w:t>
      </w:r>
      <w:r w:rsidR="00540F52" w:rsidRPr="00705A9C">
        <w:t xml:space="preserve">was </w:t>
      </w:r>
      <w:r w:rsidR="00B1430D" w:rsidRPr="00705A9C">
        <w:t xml:space="preserve">to </w:t>
      </w:r>
      <w:r w:rsidR="00416EC4" w:rsidRPr="00705A9C">
        <w:t xml:space="preserve">separate out </w:t>
      </w:r>
      <w:r w:rsidR="00B1430D" w:rsidRPr="00705A9C">
        <w:t xml:space="preserve">the </w:t>
      </w:r>
      <w:r w:rsidR="00A0645D" w:rsidRPr="00705A9C">
        <w:t>LSP</w:t>
      </w:r>
      <w:r w:rsidR="001F0BBA" w:rsidRPr="00705A9C">
        <w:t xml:space="preserve"> </w:t>
      </w:r>
      <w:r w:rsidR="00A0645D" w:rsidRPr="00705A9C">
        <w:t>trends that</w:t>
      </w:r>
      <w:r w:rsidR="0052268E" w:rsidRPr="00705A9C">
        <w:t xml:space="preserve"> are </w:t>
      </w:r>
      <w:r w:rsidR="001F0BBA" w:rsidRPr="00705A9C">
        <w:t>not influence</w:t>
      </w:r>
      <w:r w:rsidR="00540F52" w:rsidRPr="00705A9C">
        <w:t>d</w:t>
      </w:r>
      <w:r w:rsidR="001F0BBA" w:rsidRPr="00705A9C">
        <w:t xml:space="preserve"> by </w:t>
      </w:r>
      <w:r w:rsidR="000A4629" w:rsidRPr="00705A9C">
        <w:t xml:space="preserve">(mainly) </w:t>
      </w:r>
      <w:r w:rsidR="001F0BBA" w:rsidRPr="00705A9C">
        <w:t xml:space="preserve">anthropological disturbances </w:t>
      </w:r>
      <w:r w:rsidR="000A4629" w:rsidRPr="00705A9C">
        <w:t xml:space="preserve">such as </w:t>
      </w:r>
      <w:r w:rsidR="00B72766" w:rsidRPr="00705A9C">
        <w:t xml:space="preserve">deforestation, </w:t>
      </w:r>
      <w:r w:rsidR="00B72766" w:rsidRPr="00705A9C">
        <w:lastRenderedPageBreak/>
        <w:t xml:space="preserve">agricultural land conversion, land management, </w:t>
      </w:r>
      <w:r w:rsidR="000A4629" w:rsidRPr="00705A9C">
        <w:t>land degradation, land transformatio</w:t>
      </w:r>
      <w:r w:rsidR="00416EC4" w:rsidRPr="00705A9C">
        <w:t>n</w:t>
      </w:r>
      <w:r w:rsidR="000A4629" w:rsidRPr="00705A9C">
        <w:t xml:space="preserve"> </w:t>
      </w:r>
      <w:r w:rsidR="00A0645D" w:rsidRPr="00705A9C">
        <w:t xml:space="preserve">and </w:t>
      </w:r>
      <w:r w:rsidR="000A4629" w:rsidRPr="00705A9C">
        <w:t xml:space="preserve">urbanization, </w:t>
      </w:r>
      <w:r w:rsidR="00416EC4" w:rsidRPr="00705A9C">
        <w:t xml:space="preserve">from </w:t>
      </w:r>
      <w:r w:rsidR="001F0BBA" w:rsidRPr="00705A9C">
        <w:t xml:space="preserve">trends that may have been influenced by </w:t>
      </w:r>
      <w:r w:rsidR="000A4629" w:rsidRPr="00705A9C">
        <w:t xml:space="preserve">these </w:t>
      </w:r>
      <w:r w:rsidR="00F52517" w:rsidRPr="00705A9C">
        <w:t>disturbances</w:t>
      </w:r>
      <w:r w:rsidR="001F0BBA" w:rsidRPr="00705A9C">
        <w:t xml:space="preserve">. </w:t>
      </w:r>
    </w:p>
    <w:p w14:paraId="28A713FB" w14:textId="77777777" w:rsidR="0078303B" w:rsidRPr="00705A9C" w:rsidRDefault="0078303B" w:rsidP="001F667C">
      <w:pPr>
        <w:pStyle w:val="ListParagraph"/>
      </w:pPr>
    </w:p>
    <w:p w14:paraId="58AAEA89" w14:textId="017ECD2F" w:rsidR="001F667C" w:rsidRPr="00705A9C" w:rsidRDefault="005C118A" w:rsidP="002318DC">
      <w:pPr>
        <w:pStyle w:val="Heading1"/>
        <w:numPr>
          <w:ilvl w:val="0"/>
          <w:numId w:val="45"/>
        </w:numPr>
      </w:pPr>
      <w:r w:rsidRPr="00705A9C">
        <w:t xml:space="preserve">Data and methodology </w:t>
      </w:r>
    </w:p>
    <w:p w14:paraId="0CCD8731" w14:textId="49E118DE" w:rsidR="00991F26" w:rsidRPr="00705A9C" w:rsidRDefault="004711F0" w:rsidP="00115785">
      <w:pPr>
        <w:pStyle w:val="Paragraph"/>
      </w:pPr>
      <w:r w:rsidRPr="00705A9C">
        <w:t>Moderate</w:t>
      </w:r>
      <w:r w:rsidR="00E4019F" w:rsidRPr="00705A9C">
        <w:t xml:space="preserve"> spatial and temporal resolution</w:t>
      </w:r>
      <w:r w:rsidR="005368CF" w:rsidRPr="00705A9C">
        <w:t xml:space="preserve"> satellite </w:t>
      </w:r>
      <w:r w:rsidR="00E4019F" w:rsidRPr="00705A9C">
        <w:t xml:space="preserve">sensor </w:t>
      </w:r>
      <w:r w:rsidR="005368CF" w:rsidRPr="00705A9C">
        <w:t>data</w:t>
      </w:r>
      <w:r w:rsidR="00B72766" w:rsidRPr="00705A9C">
        <w:t xml:space="preserve"> were used for </w:t>
      </w:r>
      <w:r w:rsidR="00416EC4" w:rsidRPr="00705A9C">
        <w:t xml:space="preserve">the </w:t>
      </w:r>
      <w:r w:rsidR="00B72766" w:rsidRPr="00705A9C">
        <w:t>analysis</w:t>
      </w:r>
      <w:r w:rsidR="005368CF" w:rsidRPr="00705A9C">
        <w:t xml:space="preserve">, </w:t>
      </w:r>
      <w:r w:rsidR="00B72766" w:rsidRPr="00705A9C">
        <w:t xml:space="preserve">specifically </w:t>
      </w:r>
      <w:r w:rsidR="005368CF" w:rsidRPr="00705A9C">
        <w:t>the MODIS/Terra Surface Reflectance 8-Day L3 Global 500 m SIN Grid V005</w:t>
      </w:r>
      <w:r w:rsidR="009B091A" w:rsidRPr="00705A9C">
        <w:t xml:space="preserve"> data (MOD09A1), and MODIS</w:t>
      </w:r>
      <w:r w:rsidR="005368CF" w:rsidRPr="00705A9C">
        <w:t xml:space="preserve"> Land Cover Type Yearly L3 Global 500 m SIN Grid V005 data (MCD12Q1). </w:t>
      </w:r>
      <w:r w:rsidR="00AF32AA" w:rsidRPr="00705A9C">
        <w:t>1</w:t>
      </w:r>
      <w:r w:rsidR="00C25557" w:rsidRPr="00705A9C">
        <w:t>6</w:t>
      </w:r>
      <w:r w:rsidR="00AF32AA" w:rsidRPr="00705A9C">
        <w:t xml:space="preserve"> years (18 Feb 2000 – 29 Aug 2015) </w:t>
      </w:r>
      <w:r w:rsidR="00EE3D83" w:rsidRPr="00705A9C">
        <w:t>of MOD09A1</w:t>
      </w:r>
      <w:r w:rsidR="00373AF5" w:rsidRPr="00705A9C">
        <w:t xml:space="preserve"> tiles and 13 years (2001 – 2013</w:t>
      </w:r>
      <w:r w:rsidR="00AF32AA" w:rsidRPr="00705A9C">
        <w:t xml:space="preserve">) of MCD12Q1 tiles </w:t>
      </w:r>
      <w:r w:rsidR="000C051D" w:rsidRPr="00705A9C">
        <w:t xml:space="preserve">covering the entire African </w:t>
      </w:r>
      <w:r w:rsidR="00EE3D83" w:rsidRPr="00705A9C">
        <w:t>continent were</w:t>
      </w:r>
      <w:r w:rsidR="00AF32AA" w:rsidRPr="00705A9C">
        <w:t xml:space="preserve"> downloaded from NASA’s LP DAAC (</w:t>
      </w:r>
      <w:hyperlink r:id="rId9" w:history="1">
        <w:r w:rsidR="00AF32AA" w:rsidRPr="00705A9C">
          <w:rPr>
            <w:rStyle w:val="Hyperlink"/>
          </w:rPr>
          <w:t>https://lpdaac.usgs.gov/</w:t>
        </w:r>
      </w:hyperlink>
      <w:r w:rsidR="001F667C" w:rsidRPr="00705A9C">
        <w:t>).</w:t>
      </w:r>
    </w:p>
    <w:p w14:paraId="3FE26915" w14:textId="2221CA8E" w:rsidR="006E1801" w:rsidRPr="00705A9C" w:rsidRDefault="00C61083" w:rsidP="002318DC">
      <w:pPr>
        <w:pStyle w:val="Heading2"/>
        <w:numPr>
          <w:ilvl w:val="1"/>
          <w:numId w:val="45"/>
        </w:numPr>
      </w:pPr>
      <w:r w:rsidRPr="00705A9C">
        <w:t xml:space="preserve"> </w:t>
      </w:r>
      <w:r w:rsidR="006E1801" w:rsidRPr="00705A9C">
        <w:t xml:space="preserve">LSP estimation </w:t>
      </w:r>
    </w:p>
    <w:p w14:paraId="5D19CAB3" w14:textId="20415EAA" w:rsidR="00AE234E" w:rsidRPr="00705A9C" w:rsidRDefault="006E1801" w:rsidP="00F53C3F">
      <w:pPr>
        <w:pStyle w:val="Paragraph"/>
        <w:rPr>
          <w:rFonts w:eastAsiaTheme="minorEastAsia"/>
          <w:lang w:eastAsia="zh-CN"/>
        </w:rPr>
      </w:pPr>
      <w:r w:rsidRPr="00705A9C">
        <w:t>The Enhanced Vegetation Index (EVI)</w:t>
      </w:r>
      <w:r w:rsidR="00E4019F" w:rsidRPr="00705A9C">
        <w:t>,</w:t>
      </w:r>
      <w:r w:rsidRPr="00705A9C">
        <w:t xml:space="preserve"> </w:t>
      </w:r>
      <w:r w:rsidR="009A6846" w:rsidRPr="00705A9C">
        <w:t xml:space="preserve">was selected for </w:t>
      </w:r>
      <w:r w:rsidR="00B72766" w:rsidRPr="00705A9C">
        <w:t xml:space="preserve">use in </w:t>
      </w:r>
      <w:r w:rsidR="009A6846" w:rsidRPr="00705A9C">
        <w:t xml:space="preserve">this </w:t>
      </w:r>
      <w:r w:rsidR="00E4019F" w:rsidRPr="00705A9C">
        <w:t>research</w:t>
      </w:r>
      <w:r w:rsidR="00416EC4" w:rsidRPr="00705A9C">
        <w:t xml:space="preserve"> </w:t>
      </w:r>
      <w:r w:rsidR="00416EC4" w:rsidRPr="00705A9C">
        <w:rPr>
          <w:rFonts w:eastAsiaTheme="minorEastAsia"/>
          <w:lang w:eastAsia="zh-CN"/>
        </w:rPr>
        <w:fldChar w:fldCharType="begin" w:fldLock="1"/>
      </w:r>
      <w:r w:rsidR="009E1CAA">
        <w:rPr>
          <w:rFonts w:eastAsiaTheme="minorEastAsia"/>
          <w:lang w:eastAsia="zh-CN"/>
        </w:rPr>
        <w:instrText>ADDIN CSL_CITATION { "citationItems" : [ { "id" : "ITEM-1", "itemData" : { "DOI" : "10.1016/S0034-4257(02)00096-2", "ISSN" : "00344257", "author" : [ { "dropping-particle" : "", "family" : "Huete", "given" : "A", "non-dropping-particle" : "", "parse-names" : false, "suffix" : "" }, { "dropping-particle" : "", "family" : "Didan", "given" : "K", "non-dropping-particle" : "", "parse-names" : false, "suffix" : "" }, { "dropping-particle" : "", "family" : "Miura", "given" : "T", "non-dropping-particle" : "", "parse-names" : false, "suffix" : "" }, { "dropping-particle" : "", "family" : "Rodriguez", "given" : "E.P", "non-dropping-particle" : "", "parse-names" : false, "suffix" : "" }, { "dropping-particle" : "", "family" : "Gao", "given" : "X", "non-dropping-particle" : "", "parse-names" : false, "suffix" : "" }, { "dropping-particle" : "", "family" : "Ferreira", "given" : "L.G", "non-dropping-particle" : "", "parse-names" : false, "suffix" : "" } ], "container-title" : "Remote Sensing of Environment", "id" : "ITEM-1", "issue" : "1-2", "issued" : { "date-parts" : [ [ "2002", "11" ] ] }, "page" : "195-213", "title" : "Overview of the radiometric and biophysical performance of the MODIS vegetation indices", "type" : "article-journal", "volume" : "83" }, "uris" : [ "http://www.mendeley.com/documents/?uuid=5d70cf39-9e80-416f-9008-0ad772a55866" ] }, { "id" : "ITEM-2", "itemData" : { "DOI" : "10.1007/978-1-4419-0026-5", "ISBN" : "978-1-4419-0025-8", "author" : [ { "dropping-particle" : "", "family" : "Reed", "given" : "Bradley C", "non-dropping-particle" : "", "parse-names" : false, "suffix" : "" }, { "dropping-particle" : "", "family" : "Schwartz", "given" : "Mark D", "non-dropping-particle" : "", "parse-names" : false, "suffix" : "" }, { "dropping-particle" : "", "family" : "Xiao", "given" : "Xiangming", "non-dropping-particle" : "", "parse-names" : false, "suffix" : "" } ], "container-title" : "Phenology of Ecosystem Processes", "editor" : [ { "dropping-particle" : "", "family" : "Noormets", "given" : "Asko", "non-dropping-particle" : "", "parse-names" : false, "suffix" : "" } ], "id" : "ITEM-2", "issued" : { "date-parts" : [ [ "2009" ] ] }, "page" : "231-246", "publisher" : "Springer New York", "publisher-place" : "New York, NY", "title" : "Remote Sensing Phenology: Status and the way forward", "type" : "chapter" }, "uris" : [ "http://www.mendeley.com/documents/?uuid=21f4f353-86d3-4932-925d-264ac2f00707" ] } ], "mendeley" : { "formattedCitation" : "(Huete et al. 2002; Reed, Schwartz, and Xiao 2009)", "plainTextFormattedCitation" : "(Huete et al. 2002; Reed, Schwartz, and Xiao 2009)", "previouslyFormattedCitation" : "(Huete et al. 2002; Reed, Schwartz, and Xiao 2009)" }, "properties" : { "noteIndex" : 0 }, "schema" : "https://github.com/citation-style-language/schema/raw/master/csl-citation.json" }</w:instrText>
      </w:r>
      <w:r w:rsidR="00416EC4" w:rsidRPr="00705A9C">
        <w:rPr>
          <w:rFonts w:eastAsiaTheme="minorEastAsia"/>
          <w:lang w:eastAsia="zh-CN"/>
        </w:rPr>
        <w:fldChar w:fldCharType="separate"/>
      </w:r>
      <w:r w:rsidR="00611088" w:rsidRPr="00705A9C">
        <w:rPr>
          <w:rFonts w:eastAsiaTheme="minorEastAsia"/>
          <w:noProof/>
          <w:lang w:eastAsia="zh-CN"/>
        </w:rPr>
        <w:t>(Huete et al. 2002; Reed, Schwartz, and Xiao 2009)</w:t>
      </w:r>
      <w:r w:rsidR="00416EC4" w:rsidRPr="00705A9C">
        <w:rPr>
          <w:rFonts w:eastAsiaTheme="minorEastAsia"/>
          <w:lang w:eastAsia="zh-CN"/>
        </w:rPr>
        <w:fldChar w:fldCharType="end"/>
      </w:r>
      <w:r w:rsidR="00416EC4" w:rsidRPr="00705A9C">
        <w:rPr>
          <w:rFonts w:eastAsiaTheme="minorEastAsia"/>
          <w:lang w:eastAsia="zh-CN"/>
        </w:rPr>
        <w:t> </w:t>
      </w:r>
      <w:r w:rsidR="00E61576" w:rsidRPr="00705A9C">
        <w:rPr>
          <w:rFonts w:eastAsiaTheme="minorEastAsia"/>
          <w:lang w:eastAsia="zh-CN"/>
        </w:rPr>
        <w:t>and</w:t>
      </w:r>
      <w:r w:rsidR="009A6846" w:rsidRPr="00705A9C">
        <w:t xml:space="preserve"> calculated </w:t>
      </w:r>
      <w:r w:rsidR="00373AF5" w:rsidRPr="00705A9C">
        <w:t xml:space="preserve">from the MOD09A1 data </w:t>
      </w:r>
      <w:r w:rsidR="00E61576" w:rsidRPr="00705A9C">
        <w:t xml:space="preserve">after </w:t>
      </w:r>
      <w:r w:rsidR="009A6846" w:rsidRPr="00705A9C">
        <w:t xml:space="preserve">residual atmospheric and sensor effects were filtered out in a Quality Assurance (QA) assessment procedure. (see </w:t>
      </w:r>
      <w:r w:rsidR="00F53C3F">
        <w:fldChar w:fldCharType="begin" w:fldLock="1"/>
      </w:r>
      <w:r w:rsidR="009E1CAA">
        <w:instrText>ADDIN CSL_CITATION { "citationItems" : [ { "id" : "ITEM-1", "itemData" : { "URL" : "https://lpdaac.usgs.gov/sites/default/files/public/modis/docs/MODIS_LP_QA_Tutorial-3.pdf", "abstract" : "Introduction This third part of the MODIS Land Products QA Tutorial provides the knowledge base to interpret and understand the QA information in the MODIS land surface reflectance (LSR) product suite. It contains QA sources specific to the LSR product collection, interpretation examples, and a demonstration of how one of the LDOPE tools helps deconstruct the QA information. As described in Part-1 of the QA tutorial, file-level metadata broadly summarizes data quality at the file-level, and is only intended to help in the search and discovery process. Users should not solely depend on file-level metadata as they evaluate data for their application needs. The primary focus of this tutorial is pixel-level metadata in the MODIS Land Surface Reflectance product suite.", "accessed" : { "date-parts" : [ [ "2018", "4", "16" ] ] }, "id" : "ITEM-1", "issued" : { "date-parts" : [ [ "2016" ] ] }, "title" : "MODIS Land Products Quality Assurance Tutorial: Part-3 How to interpret and use MODIS QA information in the Land Surface Reflectance product suite", "type" : "webpage" }, "uris" : [ "http://www.mendeley.com/documents/?uuid=b293cd9a-4f34-332d-988f-da967d94cba6" ] } ], "mendeley" : { "formattedCitation" : "(\u201cMODIS Land Products Quality Assurance Tutorial: Part-3 How to Interpret and Use MODIS QA Information in the Land Surface Reflectance Product Suite\u201d 2016)", "manualFormatting" : "\u201cMODIS Land Products Quality Assurance Tutorial,\u201d 2016", "plainTextFormattedCitation" : "(\u201cMODIS Land Products Quality Assurance Tutorial: Part-3 How to Interpret and Use MODIS QA Information in the Land Surface Reflectance Product Suite\u201d 2016)", "previouslyFormattedCitation" : "(\u201cMODIS Land Products Quality Assurance Tutorial: Part-3 How to Interpret and Use MODIS QA Information in the Land Surface Reflectance Product Suite\u201d 2016)" }, "properties" : { "noteIndex" : 0 }, "schema" : "https://github.com/citation-style-language/schema/raw/master/csl-citation.json" }</w:instrText>
      </w:r>
      <w:r w:rsidR="00F53C3F">
        <w:fldChar w:fldCharType="separate"/>
      </w:r>
      <w:r w:rsidR="00F53C3F" w:rsidRPr="00F53C3F">
        <w:rPr>
          <w:noProof/>
        </w:rPr>
        <w:t>“MODIS Land Products Quality Assurance Tutorial</w:t>
      </w:r>
      <w:r w:rsidR="00F53C3F">
        <w:rPr>
          <w:noProof/>
        </w:rPr>
        <w:t>,</w:t>
      </w:r>
      <w:r w:rsidR="00F53C3F" w:rsidRPr="00F53C3F">
        <w:rPr>
          <w:noProof/>
        </w:rPr>
        <w:t>” 2016</w:t>
      </w:r>
      <w:r w:rsidR="00F53C3F">
        <w:fldChar w:fldCharType="end"/>
      </w:r>
      <w:r w:rsidR="009A6846" w:rsidRPr="00705A9C">
        <w:t xml:space="preserve"> for details o</w:t>
      </w:r>
      <w:r w:rsidR="00E4019F" w:rsidRPr="00705A9C">
        <w:t>f</w:t>
      </w:r>
      <w:r w:rsidR="009A6846" w:rsidRPr="00705A9C">
        <w:t xml:space="preserve"> the QA procedure).  </w:t>
      </w:r>
    </w:p>
    <w:p w14:paraId="217E7EA7" w14:textId="7D9AB60C" w:rsidR="00991F26" w:rsidRPr="00705A9C" w:rsidRDefault="00387642" w:rsidP="00A86B9E">
      <w:pPr>
        <w:rPr>
          <w:iCs/>
        </w:rPr>
      </w:pPr>
      <w:r w:rsidRPr="00705A9C">
        <w:rPr>
          <w:rFonts w:eastAsiaTheme="minorEastAsia"/>
          <w:lang w:eastAsia="zh-CN"/>
        </w:rPr>
        <w:t xml:space="preserve">A </w:t>
      </w:r>
      <w:r w:rsidR="00F34A04" w:rsidRPr="00705A9C">
        <w:rPr>
          <w:rFonts w:eastAsiaTheme="minorEastAsia"/>
          <w:lang w:eastAsia="zh-CN"/>
        </w:rPr>
        <w:t>time-series</w:t>
      </w:r>
      <w:r w:rsidR="000F2567" w:rsidRPr="00705A9C">
        <w:rPr>
          <w:rFonts w:eastAsiaTheme="minorEastAsia"/>
          <w:lang w:eastAsia="zh-CN"/>
        </w:rPr>
        <w:t xml:space="preserve"> </w:t>
      </w:r>
      <w:r w:rsidRPr="00705A9C">
        <w:rPr>
          <w:rFonts w:eastAsiaTheme="minorEastAsia"/>
          <w:lang w:eastAsia="zh-CN"/>
        </w:rPr>
        <w:t>cycle of two years EVI stacked data was used to estimate LSP</w:t>
      </w:r>
      <w:r w:rsidR="00427F62" w:rsidRPr="00705A9C">
        <w:rPr>
          <w:rFonts w:eastAsiaTheme="minorEastAsia"/>
          <w:lang w:eastAsia="zh-CN"/>
        </w:rPr>
        <w:t xml:space="preserve"> in order </w:t>
      </w:r>
      <w:r w:rsidRPr="00705A9C">
        <w:rPr>
          <w:rFonts w:eastAsiaTheme="minorEastAsia"/>
          <w:lang w:eastAsia="zh-CN"/>
        </w:rPr>
        <w:t>to account for non-uniform growing seasons across Africa</w:t>
      </w:r>
      <w:r w:rsidR="00843F32" w:rsidRPr="00705A9C">
        <w:rPr>
          <w:iCs/>
        </w:rPr>
        <w:t xml:space="preserve">. </w:t>
      </w:r>
      <w:r w:rsidR="000F2567" w:rsidRPr="00705A9C">
        <w:rPr>
          <w:iCs/>
        </w:rPr>
        <w:t xml:space="preserve">The yearly values of </w:t>
      </w:r>
      <w:r w:rsidR="00201F7D" w:rsidRPr="00201F7D">
        <w:rPr>
          <w:iCs/>
        </w:rPr>
        <w:t>Start of Season (SOS)</w:t>
      </w:r>
      <w:r w:rsidR="000F2567" w:rsidRPr="00705A9C">
        <w:rPr>
          <w:iCs/>
        </w:rPr>
        <w:t xml:space="preserve">, </w:t>
      </w:r>
      <w:r w:rsidR="00201F7D" w:rsidRPr="00201F7D">
        <w:rPr>
          <w:iCs/>
        </w:rPr>
        <w:t>End of Season (EOS)</w:t>
      </w:r>
      <w:r w:rsidR="000F2567" w:rsidRPr="00705A9C">
        <w:rPr>
          <w:iCs/>
        </w:rPr>
        <w:t xml:space="preserve"> and </w:t>
      </w:r>
      <w:r w:rsidR="00201F7D" w:rsidRPr="00201F7D">
        <w:rPr>
          <w:iCs/>
        </w:rPr>
        <w:t xml:space="preserve">Length of Season (LOS) </w:t>
      </w:r>
      <w:r w:rsidR="000F2567" w:rsidRPr="00705A9C">
        <w:rPr>
          <w:iCs/>
        </w:rPr>
        <w:t xml:space="preserve"> </w:t>
      </w:r>
      <w:r w:rsidR="00474C3B" w:rsidRPr="00705A9C">
        <w:rPr>
          <w:iCs/>
        </w:rPr>
        <w:t xml:space="preserve">in each image pixel </w:t>
      </w:r>
      <w:r w:rsidR="000F2567" w:rsidRPr="00705A9C">
        <w:rPr>
          <w:iCs/>
        </w:rPr>
        <w:t>for the period of 2001 to 2015 were estimated using the</w:t>
      </w:r>
      <w:r w:rsidR="00D0183D" w:rsidRPr="00705A9C">
        <w:rPr>
          <w:iCs/>
        </w:rPr>
        <w:t xml:space="preserve"> methodology described in </w:t>
      </w:r>
      <w:r w:rsidR="00D0183D" w:rsidRPr="00705A9C">
        <w:rPr>
          <w:iCs/>
        </w:rPr>
        <w:fldChar w:fldCharType="begin" w:fldLock="1"/>
      </w:r>
      <w:r w:rsidR="009E1CAA">
        <w:rPr>
          <w:iCs/>
        </w:rPr>
        <w:instrText>ADDIN CSL_CITATION { "citationItems" : [ { "id" : "ITEM-1", "itemData" : { "DOI" : "10.1016/j.rse.2010.01.021", "ISBN" : "0034-4257", "ISSN" : "00344257", "abstract" : "India has a diverse set of vegetation types ranging from tropical evergreen to dry deciduous. The phenology of these natural vegetation types is often controlled by climatic condition. Estimating phenological variables will help in understanding the response of tropical and subtropical vegetation to climate change. The study investigated the annual and inter-annual variation in vegetation phenology in India using satellite remote sensing. The study used time-series data of the only available satellite measured index of terrestrial chlorophyll content (MERIS Terrestrial Chlorophyll Index) from 2003 to 2007 at 4.6 km spatial resolution. A strong coincidence was observed with expected phenological pattern, in particular, in inter-annual and latitudinal variability of key phenological variables. For major natural vegetation type the onset of greenness had greater latitudinal variation compared to the end of senescence and there was a small or no leafless period. In the 2003-04 growing season a late start for the onset of greenness was detected at low-to-mid latitudes and it was attributed to the extreme cold weather during the early part of 2003. The length of growing season varied from east to west for the major cropping areas in the Indo-Gangetic plain, for both the first and second crops. For the first time, this study attempted to establish a broad regional phenological pattern for India using remotely sensed estimation of canopy chlorophyll content using five years of data. The overall patterns of phenological variables detected from this study broadly coincide with the pattern of natural vegetation phenology revealed in earlier community level studies. The results of this study suggest the need for an organised network combining ground and space observation which is at presently missing in India. \u00a9 2010 Elsevier Inc. All rights reserved.", "author" : [ { "dropping-particle" : "", "family" : "Dash", "given" : "J.", "non-dropping-particle" : "", "parse-names" : false, "suffix" : "" }, { "dropping-particle" : "", "family" : "Jeganathan", "given" : "C.", "non-dropping-particle" : "", "parse-names" : false, "suffix" : "" }, { "dropping-particle" : "", "family" : "Atkinson", "given" : "P. M.", "non-dropping-particle" : "", "parse-names" : false, "suffix" : "" } ], "container-title" : "Remote Sensing of Environment", "id" : "ITEM-1", "issue" : "7", "issued" : { "date-parts" : [ [ "2010" ] ] }, "page" : "1388-1402", "publisher" : "Elsevier Inc.", "title" : "The use of MERIS Terrestrial Chlorophyll Index to study spatio-temporal variation in vegetation phenology over India", "type" : "article-journal", "volume" : "114" }, "uris" : [ "http://www.mendeley.com/documents/?uuid=a643653d-14e8-46a5-bdfc-c2c7c2e17b26" ] } ], "mendeley" : { "formattedCitation" : "(Dash, Jeganathan, and Atkinson 2010)", "plainTextFormattedCitation" : "(Dash, Jeganathan, and Atkinson 2010)", "previouslyFormattedCitation" : "(Dash, Jeganathan, and Atkinson 2010)" }, "properties" : { "noteIndex" : 0 }, "schema" : "https://github.com/citation-style-language/schema/raw/master/csl-citation.json" }</w:instrText>
      </w:r>
      <w:r w:rsidR="00D0183D" w:rsidRPr="00705A9C">
        <w:rPr>
          <w:iCs/>
        </w:rPr>
        <w:fldChar w:fldCharType="separate"/>
      </w:r>
      <w:r w:rsidR="00611088" w:rsidRPr="00705A9C">
        <w:rPr>
          <w:iCs/>
          <w:noProof/>
        </w:rPr>
        <w:t>(Dash, Jeganathan, and Atkinson 2010)</w:t>
      </w:r>
      <w:r w:rsidR="00D0183D" w:rsidRPr="00705A9C">
        <w:rPr>
          <w:iCs/>
        </w:rPr>
        <w:fldChar w:fldCharType="end"/>
      </w:r>
      <w:r w:rsidR="00115785" w:rsidRPr="00705A9C">
        <w:t xml:space="preserve">. As explained in Dash et al., (2010) the Discrete Fourier Transform (DFT) was applied to smoothen the EVI time-series and to account for the bimodal seasonality and double cropping agricultural systems found in some parts of Africa, the first six harmonics as used. However, only the first season results were considered for this analysis. After </w:t>
      </w:r>
      <w:r w:rsidR="00115785" w:rsidRPr="00705A9C">
        <w:lastRenderedPageBreak/>
        <w:t xml:space="preserve">smoothing, the LSP parameters used in this study were derived using the inflection point method. This method overcomes the uncertainties of using a pre-defined threshold which may lead to later onset and earlier end of vegetation growing season. An algorithm described in Dash et al., (2010) was used for this study. Beginning from the maximum peak, this algorithm iteratively searches for valley points (change in derivative value). Value points which shows a change in derivative value from positive to negative at the beginning of the growing cycle is the Start of Season (SOS), while a change in derivative value from negative to positive at the decaying end of the phenology cycle is the End of Season (EOS). To ensure the appropriate valley points are identified especially in irregular time-series two major conditions were incorporated into this algorithm: (1) at least four consecutive rising EVI values must be identified before key LSP parameters are defined, and (2) the difference between peak and the valley points must be greater than one fifth of the maximum EVI value. </w:t>
      </w:r>
      <w:r w:rsidR="00115785" w:rsidRPr="00705A9C">
        <w:rPr>
          <w:iCs/>
        </w:rPr>
        <w:t>(Schematic diagram of methodology is shown in</w:t>
      </w:r>
      <w:r w:rsidR="00A86B9E" w:rsidRPr="00705A9C">
        <w:rPr>
          <w:iCs/>
        </w:rPr>
        <w:t xml:space="preserve"> </w:t>
      </w:r>
      <w:r w:rsidR="00A86B9E" w:rsidRPr="00705A9C">
        <w:rPr>
          <w:iCs/>
        </w:rPr>
        <w:fldChar w:fldCharType="begin"/>
      </w:r>
      <w:r w:rsidR="00A86B9E" w:rsidRPr="00705A9C">
        <w:rPr>
          <w:iCs/>
        </w:rPr>
        <w:instrText xml:space="preserve"> REF _Ref506550378 \h  \* MERGEFORMAT </w:instrText>
      </w:r>
      <w:r w:rsidR="00A86B9E" w:rsidRPr="00705A9C">
        <w:rPr>
          <w:iCs/>
        </w:rPr>
      </w:r>
      <w:r w:rsidR="00A86B9E" w:rsidRPr="00705A9C">
        <w:rPr>
          <w:iCs/>
        </w:rPr>
        <w:fldChar w:fldCharType="separate"/>
      </w:r>
      <w:r w:rsidR="00A86B9E" w:rsidRPr="00705A9C">
        <w:t xml:space="preserve">Figure </w:t>
      </w:r>
      <w:r w:rsidR="00A86B9E" w:rsidRPr="00705A9C">
        <w:rPr>
          <w:noProof/>
        </w:rPr>
        <w:t>1</w:t>
      </w:r>
      <w:r w:rsidR="00A86B9E" w:rsidRPr="00705A9C">
        <w:rPr>
          <w:iCs/>
        </w:rPr>
        <w:fldChar w:fldCharType="end"/>
      </w:r>
      <w:r w:rsidR="00E266D5" w:rsidRPr="00705A9C">
        <w:rPr>
          <w:iCs/>
        </w:rPr>
        <w:t>)</w:t>
      </w:r>
      <w:r w:rsidR="00D0183D" w:rsidRPr="00705A9C">
        <w:rPr>
          <w:iCs/>
        </w:rPr>
        <w:t xml:space="preserve">. </w:t>
      </w:r>
    </w:p>
    <w:p w14:paraId="1C6B3F20" w14:textId="46380090" w:rsidR="00A9642B" w:rsidRPr="00705A9C" w:rsidRDefault="00C61083" w:rsidP="002318DC">
      <w:pPr>
        <w:pStyle w:val="Heading2"/>
        <w:numPr>
          <w:ilvl w:val="1"/>
          <w:numId w:val="45"/>
        </w:numPr>
      </w:pPr>
      <w:r w:rsidRPr="00705A9C">
        <w:rPr>
          <w:rFonts w:eastAsiaTheme="minorEastAsia"/>
          <w:lang w:eastAsia="zh-CN"/>
        </w:rPr>
        <w:t xml:space="preserve"> </w:t>
      </w:r>
      <w:r w:rsidR="00A9642B" w:rsidRPr="00705A9C">
        <w:rPr>
          <w:rFonts w:eastAsiaTheme="minorEastAsia"/>
          <w:lang w:eastAsia="zh-CN"/>
        </w:rPr>
        <w:t>Land cover change detection and trend analysis</w:t>
      </w:r>
    </w:p>
    <w:p w14:paraId="2AF98B31" w14:textId="37D89401" w:rsidR="00115785" w:rsidRPr="00705A9C" w:rsidRDefault="00A9642B" w:rsidP="00783143">
      <w:pPr>
        <w:pStyle w:val="Paragraph"/>
      </w:pPr>
      <w:r w:rsidRPr="00705A9C">
        <w:rPr>
          <w:rFonts w:eastAsiaTheme="minorEastAsia"/>
          <w:bCs/>
          <w:lang w:eastAsia="zh-CN"/>
        </w:rPr>
        <w:t>From the MCD12Q1 global land cover data, the 17-class International Geosphere Biosphere Programme (IGBP)</w:t>
      </w:r>
      <w:r w:rsidRPr="00705A9C">
        <w:t xml:space="preserve"> global vegetation classification scheme, was selected for analysis </w:t>
      </w:r>
      <w:r w:rsidRPr="00705A9C">
        <w:fldChar w:fldCharType="begin" w:fldLock="1"/>
      </w:r>
      <w:r w:rsidR="009E1CAA">
        <w:instrText>ADDIN CSL_CITATION { "citationItems" : [ { "id" : "ITEM-1", "itemData" : { "DOI" : "10.1016/j.rse.2009.08.016", "ISBN" : "0034-4257", "ISSN" : "00344257", "PMID" : "159", "abstract" : "Information related to land cover is immensely important to global change science. In the past decade, data sources and methodologies for creating global land cover maps from remote sensing have evolved rapidly. Here we describe the datasets and algorithms used to create the Collection 5 MODIS Global Land Cover Type product, which is substantially changed relative to Collection 4. In addition to using updated input data, the algorithm and ancillary datasets used to produce the product have been refined. Most importantly, the Collection 5 product is generated at 500-m spatial resolution, providing a four-fold increase in spatial resolution relative to the previous version. In addition, many components of the classification algorithm have been changed. The training site database has been revised, land surface temperature is now included as an input feature, and ancillary datasets used in post-processing of ensemble decision tree results have been updated. Further, methods used to correct classifier results for bias imposed by training data properties have been refined, techniques used to fuse ancillary data based on spatially varying prior probabilities have been revised, and a variety of methods have been developed to address limitations of the algorithm for the urban, wetland, and deciduous needleleaf classes. Finally, techniques used to stabilize classification results across years have been developed and implemented to reduce year-to-year variation in land cover labels not associated with land cover change. Results from a cross-validation analysis indicate that the overall accuracy of the product is about 75% correctly classified, but that the range in class-specific accuracies is large. Comparison of Collection 5 maps with Collection 4 results show substantial differences arising from increased spatial resolution and changes in the input data and classification algorithm. ?? 2009 Elsevier Inc.", "author" : [ { "dropping-particle" : "", "family" : "Friedl", "given" : "Mark A.", "non-dropping-particle" : "", "parse-names" : false, "suffix" : "" }, { "dropping-particle" : "", "family" : "Sulla-Menashe", "given" : "Damien", "non-dropping-particle" : "", "parse-names" : false, "suffix" : "" }, { "dropping-particle" : "", "family" : "Tan", "given" : "Bin", "non-dropping-particle" : "", "parse-names" : false, "suffix" : "" }, { "dropping-particle" : "", "family" : "Schneider", "given" : "Annemarie", "non-dropping-particle" : "", "parse-names" : false, "suffix" : "" }, { "dropping-particle" : "", "family" : "Ramankutty", "given" : "Navin", "non-dropping-particle" : "", "parse-names" : false, "suffix" : "" }, { "dropping-particle" : "", "family" : "Sibley", "given" : "Adam", "non-dropping-particle" : "", "parse-names" : false, "suffix" : "" }, { "dropping-particle" : "", "family" : "Huang", "given" : "Xiaoman", "non-dropping-particle" : "", "parse-names" : false, "suffix" : "" } ], "container-title" : "Remote Sensing of Environment", "id" : "ITEM-1", "issue" : "1", "issued" : { "date-parts" : [ [ "2010", "1" ] ] }, "page" : "168-182", "title" : "MODIS Collection 5 global land cover: Algorithm refinements and characterization of new datasets", "type" : "article-journal", "volume" : "114" }, "uris" : [ "http://www.mendeley.com/documents/?uuid=f0bfde20-3de4-4c70-8e5d-4544bb982903" ] }, { "id" : "ITEM-2", "itemData" : { "ISBN" : "VO - 3", "abstract" : "The International Geosphere-Biosphere Programme DISCover Global Land Cover Data Set (v 1.0) was assembled to provide a high spatial resolution data set for global studies of climate, biogeochemical cycles, atmospheric chemistry, water, energy, vegetation, and ecosystems. DISCover was compiled at a resolution of 1 kilometer using data from the National Oceanographic and Atmospheric Administration (NOAA) Advanced Very High Resolution Radiometer (AVHRR). Following production of DISCover, a study was performed to verify its thematic accuracy and provide statistically valid accuracy estimates on an area-weighted and by-class basis. Landsat Thematic Mapper and SPOT satellite image data were used to verify 379 primary core samples selected from DISCover 1.0 using a stratified random sampling procedure. The goal was to verify a minimum of 25 samples per DISCover class; this was accomplished for 13 of the 15 verified classes. Three regional expert image interpreters independently verified each sample. A majority decision rule was used to determine sample accuracy. For the 15 DISCover classes validated, the average class accuracy was 59.4% with accuracies for the 15 verified DISCover classes ranging between 40.0% and 100%. The area-weighted accuracy of the data set was determined to be 66.9%. Considering only samples for which a majority of interpreters agreed were classified in error (with majority agreement on the correct class) as well as those samples interpreted by consensus as correct, the average class accuracy of the data set was calculated to be 73.5%. This paper describes procedures utilized to validate the thematic accuracy of DISCover. Data set sampling design and core sample interpretation procedures are summarized. Interpretation procedures and interpreter confidence (recorded for each sample by each participant during the validation) is analyzed by category and interpretation region. This DISCover 1.0 validation demonstrates that Landsat TM and SPOT imagery can be efficiently used to validate high-resolution global land cover products. This study demonstrates that the 15 validated IGBP land cover classes were not equally interpretable on the TM and SPOT imagery. The utility of and confidence that may be placed in this technique depends upon the land cover classification scheme used or a subset of categories", "author" : [ { "dropping-particle" : "", "family" : "Scepan", "given" : "J", "non-dropping-particle" : "", "parse-names" : false, "suffix" : "" }, { "dropping-particle" : "", "family" : "Estes", "given" : "J E", "non-dropping-particle" : "", "parse-names" : false, "suffix" : "" } ], "container-title" : "Geoscience and Remote Sensing Symposium, 2001. IGARSS '01. IEEE 2001 International", "id" : "ITEM-2", "issue" : "C", "issued" : { "date-parts" : [ [ "2001" ] ] }, "page" : "1119-1121 vol.3", "title" : "Thematic validation of global land cover data sets-procedures and interpretation methods", "type" : "article-journal", "volume" : "3" }, "uris" : [ "http://www.mendeley.com/documents/?uuid=1870b11a-8d67-4423-822b-766b43447ea0" ] } ], "mendeley" : { "formattedCitation" : "(M. A. Friedl et al. 2010; Scepan and Estes 2001)", "plainTextFormattedCitation" : "(M. A. Friedl et al. 2010; Scepan and Estes 2001)", "previouslyFormattedCitation" : "(M. A. Friedl et al. 2010; Scepan and Estes 2001)" }, "properties" : { "noteIndex" : 0 }, "schema" : "https://github.com/citation-style-language/schema/raw/master/csl-citation.json" }</w:instrText>
      </w:r>
      <w:r w:rsidRPr="00705A9C">
        <w:fldChar w:fldCharType="separate"/>
      </w:r>
      <w:r w:rsidRPr="00705A9C">
        <w:rPr>
          <w:noProof/>
        </w:rPr>
        <w:t>(M. A. Friedl et al. 2010; Scepan and Estes 2001)</w:t>
      </w:r>
      <w:r w:rsidRPr="00705A9C">
        <w:fldChar w:fldCharType="end"/>
      </w:r>
      <w:r w:rsidRPr="00705A9C">
        <w:t xml:space="preserve">. </w:t>
      </w:r>
      <w:r w:rsidR="00A973DF" w:rsidRPr="00783143">
        <w:rPr>
          <w:highlight w:val="yellow"/>
        </w:rPr>
        <w:t xml:space="preserve">This product was chosen because of its relatively </w:t>
      </w:r>
      <w:r w:rsidR="00087143" w:rsidRPr="00783143">
        <w:rPr>
          <w:highlight w:val="yellow"/>
        </w:rPr>
        <w:t xml:space="preserve">fine </w:t>
      </w:r>
      <w:r w:rsidR="00A973DF" w:rsidRPr="00783143">
        <w:rPr>
          <w:highlight w:val="yellow"/>
        </w:rPr>
        <w:t xml:space="preserve">spatial </w:t>
      </w:r>
      <w:r w:rsidR="00811776" w:rsidRPr="00783143">
        <w:rPr>
          <w:highlight w:val="yellow"/>
        </w:rPr>
        <w:t xml:space="preserve">resolution, </w:t>
      </w:r>
      <w:r w:rsidR="003B1A4F" w:rsidRPr="00783143">
        <w:rPr>
          <w:highlight w:val="yellow"/>
        </w:rPr>
        <w:t>high temporal frequency</w:t>
      </w:r>
      <w:r w:rsidR="00EA300B" w:rsidRPr="00783143">
        <w:rPr>
          <w:highlight w:val="yellow"/>
        </w:rPr>
        <w:t xml:space="preserve"> </w:t>
      </w:r>
      <w:r w:rsidR="00811776" w:rsidRPr="00783143">
        <w:rPr>
          <w:highlight w:val="yellow"/>
        </w:rPr>
        <w:t xml:space="preserve">and </w:t>
      </w:r>
      <w:r w:rsidR="00944647" w:rsidRPr="00783143">
        <w:rPr>
          <w:highlight w:val="yellow"/>
        </w:rPr>
        <w:t xml:space="preserve">highest overall accuracy </w:t>
      </w:r>
      <w:r w:rsidR="00EA300B" w:rsidRPr="00783143">
        <w:rPr>
          <w:highlight w:val="yellow"/>
        </w:rPr>
        <w:t xml:space="preserve">when compared to other </w:t>
      </w:r>
      <w:r w:rsidR="00A973DF" w:rsidRPr="00783143">
        <w:rPr>
          <w:highlight w:val="yellow"/>
        </w:rPr>
        <w:t xml:space="preserve">land cover </w:t>
      </w:r>
      <w:r w:rsidR="00811776" w:rsidRPr="00783143">
        <w:rPr>
          <w:highlight w:val="yellow"/>
        </w:rPr>
        <w:t>data</w:t>
      </w:r>
      <w:r w:rsidR="00D25157" w:rsidRPr="00783143">
        <w:rPr>
          <w:highlight w:val="yellow"/>
        </w:rPr>
        <w:t xml:space="preserve"> </w:t>
      </w:r>
      <w:r w:rsidR="00D25157" w:rsidRPr="00783143">
        <w:rPr>
          <w:highlight w:val="yellow"/>
        </w:rPr>
        <w:fldChar w:fldCharType="begin" w:fldLock="1"/>
      </w:r>
      <w:r w:rsidR="009E1CAA">
        <w:rPr>
          <w:highlight w:val="yellow"/>
        </w:rPr>
        <w:instrText>ADDIN CSL_CITATION { "citationItems" : [ { "id" : "ITEM-1", "itemData" : { "DOI" : "1969905", "abstract" : "Earth surface has always been an interesting scientific study area. it is tightly connected with other researches such as hydrology, ecosystem, atmosphere and climate change. Among other options, satellite collected earth surface information has several advantages including its objectivity, synoptic view, large scale and relatively short time intervals. A series of satellite derived land cover products were generated to provide for the science community, some of them are free of access to all users. This study chooses five free land cover products over the African continent to find out the similarities (differences) among them, and to find out their classification accuracy by using Google Earth derived reference data. The five land cover products are: MODIS, USGS, UMD, GLC2000 and GlobCover. The results of this study show understandable agreement across the five land cover products. Discrepancies mainly attributed to the different data source and generation process used by each land cover product, furthermore the data pre-process procedures applied to these products in this study may also share some responsibility. Accuracy assessment shows relatively low accuracy of about 54% as an average. Reasons for the low accuracy could be the quality and availability of reference data, and possible biases introduced during visual interpretation and labeling of validation scenes. The findings of this study suggest users be cautious about any particular land cover product, aware of their weakness and strength in their applications.", "author" : [ { "dropping-particle" : "", "family" : "Bai", "given" : "Ling", "non-dropping-particle" : "", "parse-names" : false, "suffix" : "" } ], "id" : "ITEM-1", "issued" : { "date-parts" : [ [ "2010" ] ] }, "number-of-pages" : "66", "publisher" : "Lund University", "title" : "Comparison and Validation of Five Land Cover Products over the African Continent", "type" : "thesis" }, "uris" : [ "http://www.mendeley.com/documents/?uuid=3f285782-d728-4227-8b70-9f867225dd9e" ] }, { "id" : "ITEM-2", "itemData" : { "DOI" : "10.5194/bg-9-2145-2012", "ISBN" : "17264170 (ISSN)", "ISSN" : "17264170", "abstract" : "Improving systematic observations of land cover, as an Essential Climate Variable, should contribute to a better understanding of the global climate system and thus improve our ability to predict climatic change. The aim of this paper is to bring global land cover observations closer to meeting the needs of climate science. First, consultation mechanisms were established with the climate modeling community to identify its specific requirements in terms of satellite-based global land cover products. This assessment highlighted specific needs in terms of land cover characterization, accuracy of products, as well as stability and consistency needs that are currently not met or even addressed. The current land cover representation and mapping techniques were then called into question to specifically focus on the critical need of stable products expressed by climate users. Decoupling the stable and dynamic components of the land cover characterization and using a multi-year dataset were proposed as two key approaches to allow generating consistent suites of global land cover products over time. \u00a9 Author(s) 2012.", "author" : [ { "dropping-particle" : "", "family" : "Bontemps", "given" : "S.", "non-dropping-particle" : "", "parse-names" : false, "suffix" : "" }, { "dropping-particle" : "", "family" : "Herold", "given" : "M.", "non-dropping-particle" : "", "parse-names" : false, "suffix" : "" }, { "dropping-particle" : "", "family" : "Kooistra", "given" : "L.", "non-dropping-particle" : "", "parse-names" : false, "suffix" : "" }, { "dropping-particle" : "", "family" : "Groenestijn", "given" : "A.", "non-dropping-particle" : "Van", "parse-names" : false, "suffix" : "" }, { "dropping-particle" : "", "family" : "Hartley", "given" : "A.", "non-dropping-particle" : "", "parse-names" : false, "suffix" : "" }, { "dropping-particle" : "", "family" : "Arino", "given" : "O.", "non-dropping-particle" : "", "parse-names" : false, "suffix" : "" }, { "dropping-particle" : "", "family" : "Moreau", "given" : "I.", "non-dropping-particle" : "", "parse-names" : false, "suffix" : "" }, { "dropping-particle" : "", "family" : "Defourny", "given" : "P.", "non-dropping-particle" : "", "parse-names" : false, "suffix" : "" } ], "container-title" : "Biogeosciences", "id" : "ITEM-2", "issue" : "6", "issued" : { "date-parts" : [ [ "2012" ] ] }, "page" : "2145-2157", "title" : "Revisiting land cover observation to address the needs of the climate modeling community", "type" : "article-journal", "volume" : "9" }, "uris" : [ "http://www.mendeley.com/documents/?uuid=c896ed85-6b09-4edb-a7b1-be34598ce0c7" ] }, { "id" : "ITEM-3", "itemData" : { "DOI" : "10.1016/J.JAG.2013.03.005", "ISSN" : "0303-2434", "abstract" : "Land cover change is increasingly affecting the biophysics, biogeochemistry, and biogeography of the Earth's surface and the atmosphere, with far-reaching consequences to human well-being. However, our scientific understanding of the distribution and dynamics of land cover and land cover change (LCLCC) is limited. Previous global land cover assessments performed using coarse spatial resolution (300m\u20131km) satellite data did not provide enough thematic detail or change information for global change studies and for resource management. High resolution (\u223c30m) land cover characterization and monitoring is needed that permits detection of land change at the scale of most human activity and offers the increased flexibility of environmental model parameterization needed for global change studies. However, there are a number of challenges to overcome before producing such data sets including unavailability of consistent global coverage of satellite data, sheer volume of data, unavailability of timely and accurate training and validation data, difficulties in preparing image mosaics, and high performance computing requirements. Integration of remote sensing and information technology is needed for process automation and high-performance computing needs. Recent developments in these areas have created an opportunity for operational high resolution land cover mapping, and monitoring of the world. Here, we report and discuss these advancements and opportunities in producing the next generations of global land cover characterization, mapping, and monitoring at 30-m spatial resolution primarily in the context of United States, Group on Earth Observations Global 30m land cover initiative (UGLC).", "author" : [ { "dropping-particle" : "", "family" : "Giri", "given" : "C.", "non-dropping-particle" : "", "parse-names" : false, "suffix" : "" }, { "dropping-particle" : "", "family" : "Pengra", "given" : "B.", "non-dropping-particle" : "", "parse-names" : false, "suffix" : "" }, { "dropping-particle" : "", "family" : "Long", "given" : "J.", "non-dropping-particle" : "", "parse-names" : false, "suffix" : "" }, { "dropping-particle" : "", "family" : "Loveland", "given" : "T.R.", "non-dropping-particle" : "", "parse-names" : false, "suffix" : "" } ], "container-title" : "International Journal of Applied Earth Observation and Geoinformation", "id" : "ITEM-3", "issued" : { "date-parts" : [ [ "2013", "12", "1" ] ] }, "page" : "30-37", "publisher" : "Elsevier", "title" : "Next generation of global land cover characterization, mapping, and monitoring", "type" : "article-journal", "volume" : "25" }, "uris" : [ "http://www.mendeley.com/documents/?uuid=8189f78e-03b3-3a1b-b95a-be0f7162df52" ] } ], "mendeley" : { "formattedCitation" : "(Bai 2010; Bontemps et al. 2012; Giri et al. 2013)", "plainTextFormattedCitation" : "(Bai 2010; Bontemps et al. 2012; Giri et al. 2013)", "previouslyFormattedCitation" : "(Bai 2010; Bontemps et al. 2012; Giri et al. 2013)" }, "properties" : { "noteIndex" : 0 }, "schema" : "https://github.com/citation-style-language/schema/raw/master/csl-citation.json" }</w:instrText>
      </w:r>
      <w:r w:rsidR="00D25157" w:rsidRPr="00783143">
        <w:rPr>
          <w:highlight w:val="yellow"/>
        </w:rPr>
        <w:fldChar w:fldCharType="separate"/>
      </w:r>
      <w:r w:rsidR="000E1549" w:rsidRPr="00783143">
        <w:rPr>
          <w:noProof/>
          <w:highlight w:val="yellow"/>
        </w:rPr>
        <w:t>(Bai 2010; Bontemps et al. 2012; Giri et al. 2013)</w:t>
      </w:r>
      <w:r w:rsidR="00D25157" w:rsidRPr="00783143">
        <w:rPr>
          <w:highlight w:val="yellow"/>
        </w:rPr>
        <w:fldChar w:fldCharType="end"/>
      </w:r>
      <w:r w:rsidR="00811776" w:rsidRPr="00783143">
        <w:rPr>
          <w:highlight w:val="yellow"/>
        </w:rPr>
        <w:t xml:space="preserve">. </w:t>
      </w:r>
      <w:r w:rsidR="00F002D2" w:rsidRPr="00783143">
        <w:rPr>
          <w:highlight w:val="yellow"/>
        </w:rPr>
        <w:t>Also</w:t>
      </w:r>
      <w:r w:rsidR="003B263B">
        <w:rPr>
          <w:highlight w:val="yellow"/>
        </w:rPr>
        <w:t>,</w:t>
      </w:r>
      <w:r w:rsidR="00F002D2" w:rsidRPr="00783143">
        <w:rPr>
          <w:highlight w:val="yellow"/>
        </w:rPr>
        <w:t xml:space="preserve"> </w:t>
      </w:r>
      <w:r w:rsidR="00783143" w:rsidRPr="00783143">
        <w:rPr>
          <w:highlight w:val="yellow"/>
        </w:rPr>
        <w:t>it has</w:t>
      </w:r>
      <w:r w:rsidR="00F002D2" w:rsidRPr="00783143">
        <w:rPr>
          <w:highlight w:val="yellow"/>
        </w:rPr>
        <w:t xml:space="preserve"> been shown to be consistent with other land cover classification </w:t>
      </w:r>
      <w:r w:rsidR="00783143" w:rsidRPr="00783143">
        <w:rPr>
          <w:highlight w:val="yellow"/>
        </w:rPr>
        <w:t xml:space="preserve">outputs </w:t>
      </w:r>
      <w:r w:rsidR="00783143" w:rsidRPr="00783143">
        <w:rPr>
          <w:highlight w:val="yellow"/>
        </w:rPr>
        <w:fldChar w:fldCharType="begin" w:fldLock="1"/>
      </w:r>
      <w:r w:rsidR="009E1CAA">
        <w:rPr>
          <w:highlight w:val="yellow"/>
        </w:rPr>
        <w:instrText>ADDIN CSL_CITATION { "citationItems" : [ { "id" : "ITEM-1", "itemData" : { "DOI" : "10.1016/J.RSE.2017.07.010", "ISSN" : "0034-4257", "abstract" : "A time series of annual land use and land cover (LULC) maps that cover an extended period of time is a key dataset for climatological studies investigating land-atmosphere interaction. Change in LULC can influence regional climate by altering the surface roughness, soil moisture, heat flux partition, and terrestrial carbon storage. Although annual global LULC maps are generated from Moderate-resolution Imaging Spectroradiometer (MODIS) data, the earliest MODIS LULC map is for 2001, which limits the potential time period for climatological analyses. This study produced a continuous series of annual LULC maps of China from 1982 to 2013 using random forest classification of 19 phenological metrics derived from Advanced Very High Resolution Radiometer (AVHRR) Global Inventory Modeling and Mapping Studies (GIMMS) third generation NDVI (NDVI3g) data. The classifier was trained using reference data derived from the MODIS land cover type product (MCD12Q1). Based on a comparison with Google Earth images, the overall accuracy of a simplified eight-class version of our 2012 LULC map is 73.8%, which is not significantly different from the accuracy of the MODIS map of the same year. Our maps indicate that for the three decades studied, the area of croplands and forests in China increased, and the area of grasslands decreased. These annual maps of land cover will be an important dataset for future climate studies, and the methodologies used in this study can be applied to other geographical regions where availability of continuous time series of LULC maps is limited.", "author" : [ { "dropping-particle" : "", "family" : "He", "given" : "Yaqian", "non-dropping-particle" : "", "parse-names" : false, "suffix" : "" }, { "dropping-particle" : "", "family" : "Lee", "given" : "Eungul", "non-dropping-particle" : "", "parse-names" : false, "suffix" : "" }, { "dropping-particle" : "", "family" : "Warner", "given" : "Timothy A.", "non-dropping-particle" : "", "parse-names" : false, "suffix" : "" } ], "container-title" : "Remote Sensing of Environment", "id" : "ITEM-1", "issued" : { "date-parts" : [ [ "2017", "9", "15" ] ] }, "page" : "201-217", "publisher" : "Elsevier", "title" : "A time series of annual land use and land cover maps of China from 1982 to 2013 generated using AVHRR GIMMS NDVI3g data", "type" : "article-journal", "volume" : "199" }, "uris" : [ "http://www.mendeley.com/documents/?uuid=627665bc-e0d0-3e45-bd32-110ea927b72b" ] } ], "mendeley" : { "formattedCitation" : "(He, Lee, and Warner 2017)", "plainTextFormattedCitation" : "(He, Lee, and Warner 2017)", "previouslyFormattedCitation" : "(He, Lee, and Warner 2017)" }, "properties" : { "noteIndex" : 0 }, "schema" : "https://github.com/citation-style-language/schema/raw/master/csl-citation.json" }</w:instrText>
      </w:r>
      <w:r w:rsidR="00783143" w:rsidRPr="00783143">
        <w:rPr>
          <w:highlight w:val="yellow"/>
        </w:rPr>
        <w:fldChar w:fldCharType="separate"/>
      </w:r>
      <w:r w:rsidR="00783143" w:rsidRPr="00783143">
        <w:rPr>
          <w:noProof/>
          <w:highlight w:val="yellow"/>
        </w:rPr>
        <w:t>(He, Lee, and Warner 2017)</w:t>
      </w:r>
      <w:r w:rsidR="00783143" w:rsidRPr="00783143">
        <w:rPr>
          <w:highlight w:val="yellow"/>
        </w:rPr>
        <w:fldChar w:fldCharType="end"/>
      </w:r>
      <w:r w:rsidR="00783143">
        <w:t xml:space="preserve">. </w:t>
      </w:r>
      <w:r w:rsidRPr="00705A9C">
        <w:t xml:space="preserve">A reclassification was carried out to group land cover types with similar phenological behaviour into broad categories. Details of this reclassification into broad classes are provided in the </w:t>
      </w:r>
      <w:r w:rsidR="00A86B9E" w:rsidRPr="00705A9C">
        <w:fldChar w:fldCharType="begin"/>
      </w:r>
      <w:r w:rsidR="00A86B9E" w:rsidRPr="00705A9C">
        <w:instrText xml:space="preserve"> REF _Ref506550411 \h  \* MERGEFORMAT </w:instrText>
      </w:r>
      <w:r w:rsidR="00A86B9E" w:rsidRPr="00705A9C">
        <w:fldChar w:fldCharType="separate"/>
      </w:r>
      <w:r w:rsidR="00A86B9E" w:rsidRPr="00705A9C">
        <w:rPr>
          <w:sz w:val="22"/>
          <w:szCs w:val="22"/>
        </w:rPr>
        <w:t xml:space="preserve">Table </w:t>
      </w:r>
      <w:r w:rsidR="00A86B9E" w:rsidRPr="00705A9C">
        <w:rPr>
          <w:noProof/>
          <w:sz w:val="22"/>
          <w:szCs w:val="22"/>
        </w:rPr>
        <w:t>1</w:t>
      </w:r>
      <w:r w:rsidR="00A86B9E" w:rsidRPr="00705A9C">
        <w:fldChar w:fldCharType="end"/>
      </w:r>
      <w:r w:rsidR="00A86B9E" w:rsidRPr="00705A9C">
        <w:t xml:space="preserve"> </w:t>
      </w:r>
      <w:r w:rsidR="00226D16" w:rsidRPr="00705A9C">
        <w:t>and</w:t>
      </w:r>
      <w:r w:rsidR="00A86B9E" w:rsidRPr="00705A9C">
        <w:t xml:space="preserve"> </w:t>
      </w:r>
      <w:r w:rsidR="00A86B9E" w:rsidRPr="00705A9C">
        <w:fldChar w:fldCharType="begin"/>
      </w:r>
      <w:r w:rsidR="00A86B9E" w:rsidRPr="00705A9C">
        <w:instrText xml:space="preserve"> REF _Ref506550435 \h  \* MERGEFORMAT </w:instrText>
      </w:r>
      <w:r w:rsidR="00A86B9E" w:rsidRPr="00705A9C">
        <w:fldChar w:fldCharType="separate"/>
      </w:r>
      <w:r w:rsidR="00A86B9E" w:rsidRPr="00705A9C">
        <w:rPr>
          <w:color w:val="000000" w:themeColor="text1"/>
        </w:rPr>
        <w:t xml:space="preserve">Figure </w:t>
      </w:r>
      <w:r w:rsidR="00A86B9E" w:rsidRPr="00705A9C">
        <w:rPr>
          <w:noProof/>
          <w:color w:val="000000" w:themeColor="text1"/>
        </w:rPr>
        <w:t>2</w:t>
      </w:r>
      <w:r w:rsidR="00A86B9E" w:rsidRPr="00705A9C">
        <w:fldChar w:fldCharType="end"/>
      </w:r>
      <w:r w:rsidRPr="00705A9C">
        <w:t xml:space="preserve">. Other classes comprising water, permanent wetlands, barren or sparsely vegetated and urban/built-up areas were excluded from the analysis. </w:t>
      </w:r>
    </w:p>
    <w:p w14:paraId="7B3ABCB1" w14:textId="77777777" w:rsidR="003B263B" w:rsidRDefault="003B263B" w:rsidP="003B263B">
      <w:pPr>
        <w:spacing w:after="160" w:line="259" w:lineRule="auto"/>
        <w:rPr>
          <w:b/>
          <w:bCs/>
          <w:sz w:val="22"/>
          <w:szCs w:val="22"/>
        </w:rPr>
      </w:pPr>
      <w:bookmarkStart w:id="0" w:name="_Ref506550411"/>
    </w:p>
    <w:p w14:paraId="7994A521" w14:textId="0943E28A" w:rsidR="0068530F" w:rsidRPr="003B263B" w:rsidRDefault="0068530F" w:rsidP="003B263B">
      <w:pPr>
        <w:spacing w:after="160" w:line="259" w:lineRule="auto"/>
        <w:rPr>
          <w:b/>
          <w:bCs/>
          <w:sz w:val="22"/>
          <w:szCs w:val="22"/>
        </w:rPr>
      </w:pPr>
      <w:r w:rsidRPr="00705A9C">
        <w:rPr>
          <w:b/>
          <w:bCs/>
          <w:sz w:val="22"/>
          <w:szCs w:val="22"/>
        </w:rPr>
        <w:t xml:space="preserve">Table </w:t>
      </w:r>
      <w:r w:rsidRPr="00705A9C">
        <w:rPr>
          <w:b/>
          <w:bCs/>
          <w:i/>
          <w:iCs/>
          <w:sz w:val="22"/>
          <w:szCs w:val="22"/>
        </w:rPr>
        <w:fldChar w:fldCharType="begin"/>
      </w:r>
      <w:r w:rsidRPr="00705A9C">
        <w:rPr>
          <w:b/>
          <w:bCs/>
          <w:sz w:val="22"/>
          <w:szCs w:val="22"/>
        </w:rPr>
        <w:instrText xml:space="preserve"> SEQ Table \* ARABIC </w:instrText>
      </w:r>
      <w:r w:rsidRPr="00705A9C">
        <w:rPr>
          <w:b/>
          <w:bCs/>
          <w:i/>
          <w:iCs/>
          <w:sz w:val="22"/>
          <w:szCs w:val="22"/>
        </w:rPr>
        <w:fldChar w:fldCharType="separate"/>
      </w:r>
      <w:r w:rsidR="000E5A3D" w:rsidRPr="00705A9C">
        <w:rPr>
          <w:b/>
          <w:bCs/>
          <w:noProof/>
          <w:sz w:val="22"/>
          <w:szCs w:val="22"/>
        </w:rPr>
        <w:t>1</w:t>
      </w:r>
      <w:r w:rsidRPr="00705A9C">
        <w:rPr>
          <w:b/>
          <w:bCs/>
          <w:i/>
          <w:iCs/>
          <w:sz w:val="22"/>
          <w:szCs w:val="22"/>
        </w:rPr>
        <w:fldChar w:fldCharType="end"/>
      </w:r>
      <w:bookmarkEnd w:id="0"/>
      <w:r w:rsidRPr="00705A9C">
        <w:rPr>
          <w:b/>
          <w:bCs/>
          <w:sz w:val="22"/>
          <w:szCs w:val="22"/>
        </w:rPr>
        <w:t>:</w:t>
      </w:r>
      <w:r w:rsidRPr="00705A9C">
        <w:rPr>
          <w:sz w:val="22"/>
          <w:szCs w:val="22"/>
        </w:rPr>
        <w:t xml:space="preserve"> Reclassification of land cover type into broad categories based on the International Geosphere Biosphere Programme (IGBP) global vegetation classification scheme.</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8530F" w:rsidRPr="00705A9C" w14:paraId="37BB0C8F" w14:textId="77777777" w:rsidTr="007A7869">
        <w:tc>
          <w:tcPr>
            <w:tcW w:w="4508" w:type="dxa"/>
          </w:tcPr>
          <w:p w14:paraId="3726F971" w14:textId="77777777" w:rsidR="0094192D" w:rsidRPr="00705A9C" w:rsidRDefault="0094192D" w:rsidP="0068530F">
            <w:pPr>
              <w:spacing w:line="360" w:lineRule="auto"/>
              <w:rPr>
                <w:b/>
                <w:sz w:val="22"/>
                <w:szCs w:val="22"/>
              </w:rPr>
            </w:pPr>
            <w:r w:rsidRPr="00705A9C">
              <w:rPr>
                <w:b/>
                <w:sz w:val="22"/>
                <w:szCs w:val="22"/>
              </w:rPr>
              <w:t>Merged land cover type</w:t>
            </w:r>
          </w:p>
        </w:tc>
        <w:tc>
          <w:tcPr>
            <w:tcW w:w="4508" w:type="dxa"/>
          </w:tcPr>
          <w:p w14:paraId="6D3C2742" w14:textId="77777777" w:rsidR="0094192D" w:rsidRPr="00705A9C" w:rsidRDefault="0094192D" w:rsidP="0068530F">
            <w:pPr>
              <w:spacing w:line="360" w:lineRule="auto"/>
              <w:rPr>
                <w:b/>
                <w:sz w:val="22"/>
                <w:szCs w:val="22"/>
              </w:rPr>
            </w:pPr>
            <w:r w:rsidRPr="00705A9C">
              <w:rPr>
                <w:b/>
                <w:sz w:val="22"/>
                <w:szCs w:val="22"/>
              </w:rPr>
              <w:t>Initial land cover types</w:t>
            </w:r>
          </w:p>
        </w:tc>
      </w:tr>
      <w:tr w:rsidR="0068530F" w:rsidRPr="00705A9C" w14:paraId="482B8067" w14:textId="77777777" w:rsidTr="007A7869">
        <w:tc>
          <w:tcPr>
            <w:tcW w:w="4508" w:type="dxa"/>
            <w:vMerge w:val="restart"/>
          </w:tcPr>
          <w:p w14:paraId="1DDD8DE9" w14:textId="77777777" w:rsidR="0094192D" w:rsidRPr="00705A9C" w:rsidRDefault="0094192D" w:rsidP="0068530F">
            <w:pPr>
              <w:spacing w:line="360" w:lineRule="auto"/>
              <w:rPr>
                <w:sz w:val="22"/>
                <w:szCs w:val="22"/>
              </w:rPr>
            </w:pPr>
            <w:r w:rsidRPr="00705A9C">
              <w:rPr>
                <w:sz w:val="22"/>
                <w:szCs w:val="22"/>
              </w:rPr>
              <w:t>Evergreen forest</w:t>
            </w:r>
          </w:p>
        </w:tc>
        <w:tc>
          <w:tcPr>
            <w:tcW w:w="4508" w:type="dxa"/>
          </w:tcPr>
          <w:p w14:paraId="5799F3D1" w14:textId="77777777" w:rsidR="0094192D" w:rsidRPr="00705A9C" w:rsidRDefault="0094192D" w:rsidP="0068530F">
            <w:pPr>
              <w:spacing w:line="360" w:lineRule="auto"/>
              <w:rPr>
                <w:sz w:val="22"/>
                <w:szCs w:val="22"/>
              </w:rPr>
            </w:pPr>
            <w:r w:rsidRPr="00705A9C">
              <w:rPr>
                <w:sz w:val="22"/>
                <w:szCs w:val="22"/>
              </w:rPr>
              <w:t xml:space="preserve">Evergreen </w:t>
            </w:r>
            <w:proofErr w:type="spellStart"/>
            <w:r w:rsidRPr="00705A9C">
              <w:rPr>
                <w:sz w:val="22"/>
                <w:szCs w:val="22"/>
              </w:rPr>
              <w:t>needleleaf</w:t>
            </w:r>
            <w:proofErr w:type="spellEnd"/>
            <w:r w:rsidRPr="00705A9C">
              <w:rPr>
                <w:sz w:val="22"/>
                <w:szCs w:val="22"/>
              </w:rPr>
              <w:t xml:space="preserve"> forest</w:t>
            </w:r>
          </w:p>
        </w:tc>
      </w:tr>
      <w:tr w:rsidR="0068530F" w:rsidRPr="00705A9C" w14:paraId="507C9E55" w14:textId="77777777" w:rsidTr="007A7869">
        <w:tc>
          <w:tcPr>
            <w:tcW w:w="4508" w:type="dxa"/>
            <w:vMerge/>
          </w:tcPr>
          <w:p w14:paraId="47E9C356" w14:textId="77777777" w:rsidR="0094192D" w:rsidRPr="00705A9C" w:rsidRDefault="0094192D" w:rsidP="0068530F">
            <w:pPr>
              <w:spacing w:line="360" w:lineRule="auto"/>
              <w:rPr>
                <w:sz w:val="22"/>
                <w:szCs w:val="22"/>
              </w:rPr>
            </w:pPr>
          </w:p>
        </w:tc>
        <w:tc>
          <w:tcPr>
            <w:tcW w:w="4508" w:type="dxa"/>
          </w:tcPr>
          <w:p w14:paraId="6DF7A4DD" w14:textId="77777777" w:rsidR="0094192D" w:rsidRPr="00705A9C" w:rsidRDefault="0094192D" w:rsidP="0068530F">
            <w:pPr>
              <w:spacing w:line="360" w:lineRule="auto"/>
              <w:rPr>
                <w:sz w:val="22"/>
                <w:szCs w:val="22"/>
              </w:rPr>
            </w:pPr>
            <w:r w:rsidRPr="00705A9C">
              <w:rPr>
                <w:sz w:val="22"/>
                <w:szCs w:val="22"/>
              </w:rPr>
              <w:t>Evergreen broadleaf forest</w:t>
            </w:r>
          </w:p>
        </w:tc>
      </w:tr>
      <w:tr w:rsidR="0068530F" w:rsidRPr="00705A9C" w14:paraId="3271ED48" w14:textId="77777777" w:rsidTr="007A7869">
        <w:tc>
          <w:tcPr>
            <w:tcW w:w="4508" w:type="dxa"/>
            <w:vMerge w:val="restart"/>
          </w:tcPr>
          <w:p w14:paraId="57D2FA05" w14:textId="77777777" w:rsidR="0094192D" w:rsidRPr="00705A9C" w:rsidRDefault="0094192D" w:rsidP="0068530F">
            <w:pPr>
              <w:spacing w:line="360" w:lineRule="auto"/>
              <w:rPr>
                <w:sz w:val="22"/>
                <w:szCs w:val="22"/>
              </w:rPr>
            </w:pPr>
            <w:r w:rsidRPr="00705A9C">
              <w:rPr>
                <w:sz w:val="22"/>
                <w:szCs w:val="22"/>
              </w:rPr>
              <w:t>Deciduous forest</w:t>
            </w:r>
          </w:p>
        </w:tc>
        <w:tc>
          <w:tcPr>
            <w:tcW w:w="4508" w:type="dxa"/>
          </w:tcPr>
          <w:p w14:paraId="53CE752C" w14:textId="77777777" w:rsidR="0094192D" w:rsidRPr="00705A9C" w:rsidRDefault="0094192D" w:rsidP="0068530F">
            <w:pPr>
              <w:spacing w:line="360" w:lineRule="auto"/>
              <w:rPr>
                <w:sz w:val="22"/>
                <w:szCs w:val="22"/>
              </w:rPr>
            </w:pPr>
            <w:r w:rsidRPr="00705A9C">
              <w:rPr>
                <w:sz w:val="22"/>
                <w:szCs w:val="22"/>
              </w:rPr>
              <w:t xml:space="preserve">Deciduous </w:t>
            </w:r>
            <w:proofErr w:type="spellStart"/>
            <w:r w:rsidRPr="00705A9C">
              <w:rPr>
                <w:sz w:val="22"/>
                <w:szCs w:val="22"/>
              </w:rPr>
              <w:t>needleleaf</w:t>
            </w:r>
            <w:proofErr w:type="spellEnd"/>
            <w:r w:rsidRPr="00705A9C">
              <w:rPr>
                <w:sz w:val="22"/>
                <w:szCs w:val="22"/>
              </w:rPr>
              <w:t xml:space="preserve"> forest</w:t>
            </w:r>
          </w:p>
        </w:tc>
      </w:tr>
      <w:tr w:rsidR="0068530F" w:rsidRPr="00705A9C" w14:paraId="6BF5A2B7" w14:textId="77777777" w:rsidTr="007A7869">
        <w:tc>
          <w:tcPr>
            <w:tcW w:w="4508" w:type="dxa"/>
            <w:vMerge/>
          </w:tcPr>
          <w:p w14:paraId="57A8A3E5" w14:textId="77777777" w:rsidR="0094192D" w:rsidRPr="00705A9C" w:rsidRDefault="0094192D" w:rsidP="0068530F">
            <w:pPr>
              <w:spacing w:line="360" w:lineRule="auto"/>
              <w:rPr>
                <w:sz w:val="22"/>
                <w:szCs w:val="22"/>
              </w:rPr>
            </w:pPr>
          </w:p>
        </w:tc>
        <w:tc>
          <w:tcPr>
            <w:tcW w:w="4508" w:type="dxa"/>
          </w:tcPr>
          <w:p w14:paraId="7BA45FA1" w14:textId="77777777" w:rsidR="0094192D" w:rsidRPr="00705A9C" w:rsidRDefault="0094192D" w:rsidP="0068530F">
            <w:pPr>
              <w:spacing w:line="360" w:lineRule="auto"/>
              <w:rPr>
                <w:sz w:val="22"/>
                <w:szCs w:val="22"/>
              </w:rPr>
            </w:pPr>
            <w:r w:rsidRPr="00705A9C">
              <w:rPr>
                <w:sz w:val="22"/>
                <w:szCs w:val="22"/>
              </w:rPr>
              <w:t>Deciduous broadleaf forest</w:t>
            </w:r>
          </w:p>
        </w:tc>
      </w:tr>
      <w:tr w:rsidR="0068530F" w:rsidRPr="00705A9C" w14:paraId="2F07F641" w14:textId="77777777" w:rsidTr="007A7869">
        <w:tc>
          <w:tcPr>
            <w:tcW w:w="4508" w:type="dxa"/>
            <w:vMerge w:val="restart"/>
          </w:tcPr>
          <w:p w14:paraId="2976D58C" w14:textId="77777777" w:rsidR="0094192D" w:rsidRPr="00705A9C" w:rsidRDefault="0094192D" w:rsidP="0068530F">
            <w:pPr>
              <w:spacing w:line="360" w:lineRule="auto"/>
              <w:rPr>
                <w:sz w:val="22"/>
                <w:szCs w:val="22"/>
              </w:rPr>
            </w:pPr>
            <w:proofErr w:type="spellStart"/>
            <w:r w:rsidRPr="00705A9C">
              <w:rPr>
                <w:sz w:val="22"/>
                <w:szCs w:val="22"/>
              </w:rPr>
              <w:t>Shrublands</w:t>
            </w:r>
            <w:proofErr w:type="spellEnd"/>
          </w:p>
        </w:tc>
        <w:tc>
          <w:tcPr>
            <w:tcW w:w="4508" w:type="dxa"/>
          </w:tcPr>
          <w:p w14:paraId="4EEB2C1B" w14:textId="77777777" w:rsidR="0094192D" w:rsidRPr="00705A9C" w:rsidRDefault="0094192D" w:rsidP="0068530F">
            <w:pPr>
              <w:spacing w:line="360" w:lineRule="auto"/>
              <w:rPr>
                <w:sz w:val="22"/>
                <w:szCs w:val="22"/>
              </w:rPr>
            </w:pPr>
            <w:r w:rsidRPr="00705A9C">
              <w:rPr>
                <w:sz w:val="22"/>
                <w:szCs w:val="22"/>
              </w:rPr>
              <w:t xml:space="preserve">Closed </w:t>
            </w:r>
            <w:proofErr w:type="spellStart"/>
            <w:r w:rsidRPr="00705A9C">
              <w:rPr>
                <w:sz w:val="22"/>
                <w:szCs w:val="22"/>
              </w:rPr>
              <w:t>shrublands</w:t>
            </w:r>
            <w:proofErr w:type="spellEnd"/>
          </w:p>
        </w:tc>
      </w:tr>
      <w:tr w:rsidR="0068530F" w:rsidRPr="00705A9C" w14:paraId="386A7B9B" w14:textId="77777777" w:rsidTr="007A7869">
        <w:tc>
          <w:tcPr>
            <w:tcW w:w="4508" w:type="dxa"/>
            <w:vMerge/>
          </w:tcPr>
          <w:p w14:paraId="5F7EEB69" w14:textId="77777777" w:rsidR="0094192D" w:rsidRPr="00705A9C" w:rsidRDefault="0094192D" w:rsidP="0068530F">
            <w:pPr>
              <w:spacing w:line="360" w:lineRule="auto"/>
              <w:rPr>
                <w:sz w:val="22"/>
                <w:szCs w:val="22"/>
              </w:rPr>
            </w:pPr>
          </w:p>
        </w:tc>
        <w:tc>
          <w:tcPr>
            <w:tcW w:w="4508" w:type="dxa"/>
          </w:tcPr>
          <w:p w14:paraId="231A0625" w14:textId="77777777" w:rsidR="0094192D" w:rsidRPr="00705A9C" w:rsidRDefault="0094192D" w:rsidP="0068530F">
            <w:pPr>
              <w:spacing w:line="360" w:lineRule="auto"/>
              <w:rPr>
                <w:sz w:val="22"/>
                <w:szCs w:val="22"/>
              </w:rPr>
            </w:pPr>
            <w:r w:rsidRPr="00705A9C">
              <w:rPr>
                <w:sz w:val="22"/>
                <w:szCs w:val="22"/>
              </w:rPr>
              <w:t xml:space="preserve">Open </w:t>
            </w:r>
            <w:proofErr w:type="spellStart"/>
            <w:r w:rsidRPr="00705A9C">
              <w:rPr>
                <w:sz w:val="22"/>
                <w:szCs w:val="22"/>
              </w:rPr>
              <w:t>shrublands</w:t>
            </w:r>
            <w:proofErr w:type="spellEnd"/>
          </w:p>
        </w:tc>
      </w:tr>
      <w:tr w:rsidR="0068530F" w:rsidRPr="00705A9C" w14:paraId="65775BEE" w14:textId="77777777" w:rsidTr="007A7869">
        <w:tc>
          <w:tcPr>
            <w:tcW w:w="4508" w:type="dxa"/>
            <w:vMerge w:val="restart"/>
          </w:tcPr>
          <w:p w14:paraId="6814ABB1" w14:textId="77777777" w:rsidR="0094192D" w:rsidRPr="00705A9C" w:rsidRDefault="0094192D" w:rsidP="0068530F">
            <w:pPr>
              <w:spacing w:line="360" w:lineRule="auto"/>
              <w:rPr>
                <w:sz w:val="22"/>
                <w:szCs w:val="22"/>
              </w:rPr>
            </w:pPr>
            <w:r w:rsidRPr="00705A9C">
              <w:rPr>
                <w:sz w:val="22"/>
                <w:szCs w:val="22"/>
              </w:rPr>
              <w:t xml:space="preserve">Woody </w:t>
            </w:r>
            <w:proofErr w:type="spellStart"/>
            <w:r w:rsidRPr="00705A9C">
              <w:rPr>
                <w:sz w:val="22"/>
                <w:szCs w:val="22"/>
              </w:rPr>
              <w:t>savanna</w:t>
            </w:r>
            <w:proofErr w:type="spellEnd"/>
            <w:r w:rsidRPr="00705A9C">
              <w:rPr>
                <w:sz w:val="22"/>
                <w:szCs w:val="22"/>
              </w:rPr>
              <w:t>/</w:t>
            </w:r>
            <w:proofErr w:type="spellStart"/>
            <w:r w:rsidRPr="00705A9C">
              <w:rPr>
                <w:sz w:val="22"/>
                <w:szCs w:val="22"/>
              </w:rPr>
              <w:t>savanna</w:t>
            </w:r>
            <w:proofErr w:type="spellEnd"/>
          </w:p>
        </w:tc>
        <w:tc>
          <w:tcPr>
            <w:tcW w:w="4508" w:type="dxa"/>
          </w:tcPr>
          <w:p w14:paraId="7C0BA2F4" w14:textId="77777777" w:rsidR="0094192D" w:rsidRPr="00705A9C" w:rsidRDefault="0094192D" w:rsidP="0068530F">
            <w:pPr>
              <w:spacing w:line="360" w:lineRule="auto"/>
              <w:rPr>
                <w:sz w:val="22"/>
                <w:szCs w:val="22"/>
              </w:rPr>
            </w:pPr>
            <w:r w:rsidRPr="00705A9C">
              <w:rPr>
                <w:sz w:val="22"/>
                <w:szCs w:val="22"/>
              </w:rPr>
              <w:t xml:space="preserve">Woody </w:t>
            </w:r>
            <w:proofErr w:type="spellStart"/>
            <w:r w:rsidRPr="00705A9C">
              <w:rPr>
                <w:sz w:val="22"/>
                <w:szCs w:val="22"/>
              </w:rPr>
              <w:t>savannas</w:t>
            </w:r>
            <w:proofErr w:type="spellEnd"/>
          </w:p>
        </w:tc>
      </w:tr>
      <w:tr w:rsidR="0068530F" w:rsidRPr="00705A9C" w14:paraId="3CB0B978" w14:textId="77777777" w:rsidTr="007A7869">
        <w:tc>
          <w:tcPr>
            <w:tcW w:w="4508" w:type="dxa"/>
            <w:vMerge/>
          </w:tcPr>
          <w:p w14:paraId="2F0EABE1" w14:textId="77777777" w:rsidR="0094192D" w:rsidRPr="00705A9C" w:rsidRDefault="0094192D" w:rsidP="0068530F">
            <w:pPr>
              <w:spacing w:line="360" w:lineRule="auto"/>
              <w:rPr>
                <w:sz w:val="22"/>
                <w:szCs w:val="22"/>
              </w:rPr>
            </w:pPr>
          </w:p>
        </w:tc>
        <w:tc>
          <w:tcPr>
            <w:tcW w:w="4508" w:type="dxa"/>
          </w:tcPr>
          <w:p w14:paraId="60E49839" w14:textId="77777777" w:rsidR="0094192D" w:rsidRPr="00705A9C" w:rsidRDefault="0094192D" w:rsidP="0068530F">
            <w:pPr>
              <w:spacing w:line="360" w:lineRule="auto"/>
              <w:rPr>
                <w:sz w:val="22"/>
                <w:szCs w:val="22"/>
              </w:rPr>
            </w:pPr>
            <w:proofErr w:type="spellStart"/>
            <w:r w:rsidRPr="00705A9C">
              <w:rPr>
                <w:sz w:val="22"/>
                <w:szCs w:val="22"/>
              </w:rPr>
              <w:t>Savannas</w:t>
            </w:r>
            <w:proofErr w:type="spellEnd"/>
          </w:p>
        </w:tc>
      </w:tr>
      <w:tr w:rsidR="00772D5D" w:rsidRPr="00705A9C" w14:paraId="7BF38C18" w14:textId="77777777" w:rsidTr="007A7869">
        <w:tc>
          <w:tcPr>
            <w:tcW w:w="4508" w:type="dxa"/>
          </w:tcPr>
          <w:p w14:paraId="030078C5" w14:textId="409A47A6" w:rsidR="00772D5D" w:rsidRPr="00705A9C" w:rsidRDefault="00772D5D" w:rsidP="00772D5D">
            <w:pPr>
              <w:spacing w:line="360" w:lineRule="auto"/>
              <w:rPr>
                <w:sz w:val="22"/>
                <w:szCs w:val="22"/>
              </w:rPr>
            </w:pPr>
            <w:r w:rsidRPr="00BF28B3">
              <w:t>Grasslands</w:t>
            </w:r>
          </w:p>
        </w:tc>
        <w:tc>
          <w:tcPr>
            <w:tcW w:w="4508" w:type="dxa"/>
          </w:tcPr>
          <w:p w14:paraId="4425DF47" w14:textId="79BB8FDB" w:rsidR="00772D5D" w:rsidRPr="00705A9C" w:rsidRDefault="00772D5D" w:rsidP="00772D5D">
            <w:pPr>
              <w:spacing w:line="360" w:lineRule="auto"/>
              <w:rPr>
                <w:sz w:val="22"/>
                <w:szCs w:val="22"/>
              </w:rPr>
            </w:pPr>
            <w:r w:rsidRPr="00BF28B3">
              <w:t>Grasslands</w:t>
            </w:r>
          </w:p>
        </w:tc>
      </w:tr>
      <w:tr w:rsidR="007A7869" w:rsidRPr="00705A9C" w14:paraId="1E48E799" w14:textId="77777777" w:rsidTr="007A7869">
        <w:tc>
          <w:tcPr>
            <w:tcW w:w="4508" w:type="dxa"/>
          </w:tcPr>
          <w:p w14:paraId="674FF81A" w14:textId="3E04BB36" w:rsidR="007A7869" w:rsidRPr="004A7476" w:rsidRDefault="007A7869" w:rsidP="007A7869">
            <w:pPr>
              <w:spacing w:line="360" w:lineRule="auto"/>
              <w:rPr>
                <w:sz w:val="22"/>
                <w:szCs w:val="22"/>
                <w:highlight w:val="yellow"/>
              </w:rPr>
            </w:pPr>
            <w:r w:rsidRPr="004A7476">
              <w:rPr>
                <w:highlight w:val="yellow"/>
              </w:rPr>
              <w:t xml:space="preserve">Croplands </w:t>
            </w:r>
          </w:p>
        </w:tc>
        <w:tc>
          <w:tcPr>
            <w:tcW w:w="4508" w:type="dxa"/>
          </w:tcPr>
          <w:p w14:paraId="01EDE3CD" w14:textId="568EC94D" w:rsidR="007A7869" w:rsidRPr="004A7476" w:rsidRDefault="007A7869" w:rsidP="007A7869">
            <w:pPr>
              <w:spacing w:line="360" w:lineRule="auto"/>
              <w:rPr>
                <w:sz w:val="22"/>
                <w:szCs w:val="22"/>
                <w:highlight w:val="yellow"/>
              </w:rPr>
            </w:pPr>
            <w:r w:rsidRPr="004A7476">
              <w:rPr>
                <w:highlight w:val="yellow"/>
              </w:rPr>
              <w:t>Croplands</w:t>
            </w:r>
          </w:p>
        </w:tc>
      </w:tr>
      <w:tr w:rsidR="007A7869" w:rsidRPr="00705A9C" w14:paraId="7A0E36F2" w14:textId="77777777" w:rsidTr="007A7869">
        <w:tc>
          <w:tcPr>
            <w:tcW w:w="4508" w:type="dxa"/>
          </w:tcPr>
          <w:p w14:paraId="4F3F2013" w14:textId="3ECD8223" w:rsidR="007A7869" w:rsidRPr="004A7476" w:rsidRDefault="007A7869" w:rsidP="007A7869">
            <w:pPr>
              <w:spacing w:line="360" w:lineRule="auto"/>
              <w:rPr>
                <w:sz w:val="22"/>
                <w:szCs w:val="22"/>
                <w:highlight w:val="yellow"/>
              </w:rPr>
            </w:pPr>
            <w:r w:rsidRPr="004A7476">
              <w:rPr>
                <w:highlight w:val="yellow"/>
              </w:rPr>
              <w:t>Croplands/natural vegetation mosaic</w:t>
            </w:r>
          </w:p>
        </w:tc>
        <w:tc>
          <w:tcPr>
            <w:tcW w:w="4508" w:type="dxa"/>
          </w:tcPr>
          <w:p w14:paraId="43BE63FA" w14:textId="6D065985" w:rsidR="007A7869" w:rsidRPr="004A7476" w:rsidRDefault="007A7869" w:rsidP="007A7869">
            <w:pPr>
              <w:spacing w:line="360" w:lineRule="auto"/>
              <w:rPr>
                <w:sz w:val="22"/>
                <w:szCs w:val="22"/>
                <w:highlight w:val="yellow"/>
              </w:rPr>
            </w:pPr>
            <w:r w:rsidRPr="004A7476">
              <w:rPr>
                <w:highlight w:val="yellow"/>
              </w:rPr>
              <w:t>Croplands/natural vegetation mosaic</w:t>
            </w:r>
          </w:p>
        </w:tc>
      </w:tr>
    </w:tbl>
    <w:p w14:paraId="2F0F9380" w14:textId="77777777" w:rsidR="00115785" w:rsidRPr="00705A9C" w:rsidRDefault="00115785" w:rsidP="00115785"/>
    <w:p w14:paraId="479F87DF" w14:textId="7D1D7CB5" w:rsidR="00DB5F43" w:rsidRPr="00705A9C" w:rsidRDefault="00243641" w:rsidP="00226D16">
      <w:pPr>
        <w:pStyle w:val="Newparagraph"/>
      </w:pPr>
      <w:r w:rsidRPr="00705A9C">
        <w:t xml:space="preserve">To </w:t>
      </w:r>
      <w:r w:rsidR="003141B2" w:rsidRPr="00705A9C">
        <w:t xml:space="preserve">estimate </w:t>
      </w:r>
      <w:r w:rsidR="00A16E96" w:rsidRPr="00705A9C">
        <w:t xml:space="preserve">the </w:t>
      </w:r>
      <w:r w:rsidR="003141B2" w:rsidRPr="00705A9C">
        <w:t xml:space="preserve">inter-annual </w:t>
      </w:r>
      <w:r w:rsidR="00405919" w:rsidRPr="00705A9C">
        <w:t>LSP</w:t>
      </w:r>
      <w:r w:rsidRPr="00705A9C">
        <w:t xml:space="preserve"> </w:t>
      </w:r>
      <w:r w:rsidR="004731C6" w:rsidRPr="00705A9C">
        <w:t>tr</w:t>
      </w:r>
      <w:r w:rsidRPr="00705A9C">
        <w:t>end</w:t>
      </w:r>
      <w:r w:rsidR="003141B2" w:rsidRPr="00705A9C">
        <w:t>s</w:t>
      </w:r>
      <w:r w:rsidR="004731C6" w:rsidRPr="00705A9C">
        <w:t xml:space="preserve">, two </w:t>
      </w:r>
      <w:r w:rsidR="007353F9" w:rsidRPr="00705A9C">
        <w:t xml:space="preserve">main </w:t>
      </w:r>
      <w:r w:rsidR="006F77B6" w:rsidRPr="00705A9C">
        <w:t>categories</w:t>
      </w:r>
      <w:r w:rsidR="004731C6" w:rsidRPr="00705A9C">
        <w:t xml:space="preserve"> </w:t>
      </w:r>
      <w:r w:rsidR="00A16E96" w:rsidRPr="00705A9C">
        <w:t xml:space="preserve">of pixel </w:t>
      </w:r>
      <w:r w:rsidR="004731C6" w:rsidRPr="00705A9C">
        <w:t>were analysed</w:t>
      </w:r>
      <w:r w:rsidR="00A16E96" w:rsidRPr="00705A9C">
        <w:t xml:space="preserve"> based on the nature of their time-series</w:t>
      </w:r>
      <w:r w:rsidR="004731C6" w:rsidRPr="00705A9C">
        <w:t xml:space="preserve">: </w:t>
      </w:r>
      <w:r w:rsidRPr="00705A9C">
        <w:t>(</w:t>
      </w:r>
      <w:r w:rsidR="004731C6" w:rsidRPr="00705A9C">
        <w:t xml:space="preserve">1) </w:t>
      </w:r>
      <w:r w:rsidR="00C02E88" w:rsidRPr="00705A9C">
        <w:t>only</w:t>
      </w:r>
      <w:r w:rsidR="00CC5CF5" w:rsidRPr="00705A9C">
        <w:t xml:space="preserve"> </w:t>
      </w:r>
      <w:r w:rsidR="004731C6" w:rsidRPr="00705A9C">
        <w:t>pixels</w:t>
      </w:r>
      <w:r w:rsidR="000C051D" w:rsidRPr="00705A9C">
        <w:t xml:space="preserve"> with the same </w:t>
      </w:r>
      <w:r w:rsidR="00405919" w:rsidRPr="00705A9C">
        <w:t>land cover in</w:t>
      </w:r>
      <w:r w:rsidRPr="00705A9C">
        <w:t xml:space="preserve"> </w:t>
      </w:r>
      <w:r w:rsidR="00A16E96" w:rsidRPr="00705A9C">
        <w:t xml:space="preserve">all years of </w:t>
      </w:r>
      <w:r w:rsidRPr="00705A9C">
        <w:t xml:space="preserve">the </w:t>
      </w:r>
      <w:r w:rsidR="00F34A04" w:rsidRPr="00705A9C">
        <w:t>time-series</w:t>
      </w:r>
      <w:r w:rsidRPr="00705A9C">
        <w:t xml:space="preserve"> of 13 years </w:t>
      </w:r>
      <w:r w:rsidR="006F77B6" w:rsidRPr="00705A9C">
        <w:t xml:space="preserve">were used to </w:t>
      </w:r>
      <w:r w:rsidR="003141B2" w:rsidRPr="00705A9C">
        <w:t xml:space="preserve">estimate </w:t>
      </w:r>
      <w:r w:rsidR="006F77B6" w:rsidRPr="00705A9C">
        <w:t xml:space="preserve">the </w:t>
      </w:r>
      <w:r w:rsidR="00DB5F43" w:rsidRPr="00705A9C">
        <w:t>temporal trends</w:t>
      </w:r>
      <w:r w:rsidR="00A16E96" w:rsidRPr="00705A9C">
        <w:t xml:space="preserve">, and these were separable based on the </w:t>
      </w:r>
      <w:r w:rsidRPr="00705A9C">
        <w:t>type of land cover and (2)</w:t>
      </w:r>
      <w:r w:rsidR="007353F9" w:rsidRPr="00705A9C">
        <w:t xml:space="preserve"> pixels which changed from one</w:t>
      </w:r>
      <w:r w:rsidR="00405919" w:rsidRPr="00705A9C">
        <w:t xml:space="preserve"> land cover class</w:t>
      </w:r>
      <w:r w:rsidR="007353F9" w:rsidRPr="00705A9C">
        <w:t xml:space="preserve"> to another were </w:t>
      </w:r>
      <w:r w:rsidR="00A16E96" w:rsidRPr="00705A9C">
        <w:t xml:space="preserve">also analysed, but this time </w:t>
      </w:r>
      <w:r w:rsidR="007353F9" w:rsidRPr="00705A9C">
        <w:t xml:space="preserve">to determine if land cover </w:t>
      </w:r>
      <w:r w:rsidR="00971754" w:rsidRPr="00705A9C">
        <w:t>changes significantly influence</w:t>
      </w:r>
      <w:r w:rsidR="003141B2" w:rsidRPr="00705A9C">
        <w:t>d the</w:t>
      </w:r>
      <w:r w:rsidR="007353F9" w:rsidRPr="00705A9C">
        <w:t xml:space="preserve"> </w:t>
      </w:r>
      <w:r w:rsidR="00B72766" w:rsidRPr="00705A9C">
        <w:t xml:space="preserve">estimated </w:t>
      </w:r>
      <w:r w:rsidR="00510B26" w:rsidRPr="00705A9C">
        <w:t xml:space="preserve">LSP </w:t>
      </w:r>
      <w:r w:rsidR="007353F9" w:rsidRPr="00705A9C">
        <w:t xml:space="preserve">parameters. The </w:t>
      </w:r>
      <w:r w:rsidR="00EC64A7" w:rsidRPr="00705A9C">
        <w:t xml:space="preserve">latter category was further </w:t>
      </w:r>
      <w:r w:rsidR="006F77B6" w:rsidRPr="00705A9C">
        <w:t>characterised</w:t>
      </w:r>
      <w:r w:rsidR="00EC64A7" w:rsidRPr="00705A9C">
        <w:t xml:space="preserve"> </w:t>
      </w:r>
      <w:r w:rsidR="006F77B6" w:rsidRPr="00705A9C">
        <w:t xml:space="preserve">into sub-groups </w:t>
      </w:r>
      <w:r w:rsidR="00EC64A7" w:rsidRPr="00705A9C">
        <w:t xml:space="preserve">based on the number of times the land cover </w:t>
      </w:r>
      <w:r w:rsidR="003141B2" w:rsidRPr="00705A9C">
        <w:t xml:space="preserve">had </w:t>
      </w:r>
      <w:r w:rsidR="00EC64A7" w:rsidRPr="00705A9C">
        <w:t xml:space="preserve">changed in the entire </w:t>
      </w:r>
      <w:r w:rsidR="00F34A04" w:rsidRPr="00705A9C">
        <w:t>time-series</w:t>
      </w:r>
      <w:r w:rsidR="00427F62" w:rsidRPr="00705A9C">
        <w:t xml:space="preserve">. </w:t>
      </w:r>
      <w:r w:rsidR="00CA42EF" w:rsidRPr="00705A9C">
        <w:t>Only changes in vegetative land cover were considered. These were class</w:t>
      </w:r>
      <w:r w:rsidR="00AF6361" w:rsidRPr="00705A9C">
        <w:t>ifi</w:t>
      </w:r>
      <w:r w:rsidR="00CA42EF" w:rsidRPr="00705A9C">
        <w:t>ed in the following way: 1) c</w:t>
      </w:r>
      <w:r w:rsidR="000B0C47" w:rsidRPr="00705A9C">
        <w:t xml:space="preserve">hanges between two classes only were </w:t>
      </w:r>
      <w:r w:rsidR="003141B2" w:rsidRPr="00705A9C">
        <w:t xml:space="preserve">labelled </w:t>
      </w:r>
      <w:r w:rsidR="000B0C47" w:rsidRPr="00705A9C">
        <w:t>as “</w:t>
      </w:r>
      <w:r w:rsidR="000B0C47" w:rsidRPr="00705A9C">
        <w:rPr>
          <w:i/>
        </w:rPr>
        <w:t>one change</w:t>
      </w:r>
      <w:r w:rsidR="000B0C47" w:rsidRPr="00705A9C">
        <w:t>”</w:t>
      </w:r>
      <w:r w:rsidR="00CA42EF" w:rsidRPr="00705A9C">
        <w:t>, for example</w:t>
      </w:r>
      <w:r w:rsidR="00AF6361" w:rsidRPr="00705A9C">
        <w:t>,</w:t>
      </w:r>
      <w:r w:rsidR="00CA42EF" w:rsidRPr="00705A9C">
        <w:t xml:space="preserve"> a change from grasslands to croplands;</w:t>
      </w:r>
      <w:r w:rsidR="000B0C47" w:rsidRPr="00705A9C">
        <w:t xml:space="preserve"> </w:t>
      </w:r>
      <w:r w:rsidR="00CA42EF" w:rsidRPr="00705A9C">
        <w:t xml:space="preserve">2) </w:t>
      </w:r>
      <w:r w:rsidR="000B0C47" w:rsidRPr="00705A9C">
        <w:t>change</w:t>
      </w:r>
      <w:r w:rsidR="00424A99" w:rsidRPr="00705A9C">
        <w:t xml:space="preserve">s between three classes were </w:t>
      </w:r>
      <w:r w:rsidR="003141B2" w:rsidRPr="00705A9C">
        <w:t xml:space="preserve">labelled </w:t>
      </w:r>
      <w:r w:rsidR="00424A99" w:rsidRPr="00705A9C">
        <w:t>as “</w:t>
      </w:r>
      <w:r w:rsidR="00424A99" w:rsidRPr="00705A9C">
        <w:rPr>
          <w:i/>
        </w:rPr>
        <w:t>two changes</w:t>
      </w:r>
      <w:r w:rsidR="00424A99" w:rsidRPr="00705A9C">
        <w:t>”</w:t>
      </w:r>
      <w:r w:rsidR="00CA42EF" w:rsidRPr="00705A9C">
        <w:t xml:space="preserve">, for example a change from </w:t>
      </w:r>
      <w:r w:rsidR="00D63003" w:rsidRPr="00705A9C">
        <w:t xml:space="preserve">woody </w:t>
      </w:r>
      <w:proofErr w:type="spellStart"/>
      <w:r w:rsidR="00D63003" w:rsidRPr="00705A9C">
        <w:t>savanna</w:t>
      </w:r>
      <w:proofErr w:type="spellEnd"/>
      <w:r w:rsidR="00D63003" w:rsidRPr="00705A9C">
        <w:t xml:space="preserve"> to croplands and then to grasslands</w:t>
      </w:r>
      <w:r w:rsidR="003F1C61" w:rsidRPr="00705A9C">
        <w:t xml:space="preserve"> or back to </w:t>
      </w:r>
      <w:proofErr w:type="spellStart"/>
      <w:r w:rsidR="003F1C61" w:rsidRPr="00705A9C">
        <w:t>savanna</w:t>
      </w:r>
      <w:proofErr w:type="spellEnd"/>
      <w:r w:rsidR="00D63003" w:rsidRPr="00705A9C">
        <w:t>;</w:t>
      </w:r>
      <w:r w:rsidR="00424A99" w:rsidRPr="00705A9C">
        <w:t xml:space="preserve"> </w:t>
      </w:r>
      <w:r w:rsidR="00D63003" w:rsidRPr="00705A9C">
        <w:t xml:space="preserve">3) </w:t>
      </w:r>
      <w:r w:rsidR="003141B2" w:rsidRPr="00705A9C">
        <w:t xml:space="preserve">and </w:t>
      </w:r>
      <w:r w:rsidR="00424A99" w:rsidRPr="00705A9C">
        <w:t xml:space="preserve">those pixels that changed land cover types more than three times were </w:t>
      </w:r>
      <w:r w:rsidR="003141B2" w:rsidRPr="00705A9C">
        <w:t xml:space="preserve">labelled </w:t>
      </w:r>
      <w:r w:rsidR="00424A99" w:rsidRPr="00705A9C">
        <w:t xml:space="preserve">as </w:t>
      </w:r>
      <w:r w:rsidR="00424A99" w:rsidRPr="00705A9C">
        <w:rPr>
          <w:i/>
        </w:rPr>
        <w:t>“&gt; two changes”</w:t>
      </w:r>
      <w:r w:rsidR="00D63003" w:rsidRPr="00705A9C">
        <w:rPr>
          <w:i/>
        </w:rPr>
        <w:t xml:space="preserve">, </w:t>
      </w:r>
      <w:r w:rsidR="00D63003" w:rsidRPr="00705A9C">
        <w:t xml:space="preserve">(Woody </w:t>
      </w:r>
      <w:proofErr w:type="spellStart"/>
      <w:r w:rsidR="00D63003" w:rsidRPr="00705A9C">
        <w:lastRenderedPageBreak/>
        <w:t>savanna</w:t>
      </w:r>
      <w:proofErr w:type="spellEnd"/>
      <w:r w:rsidR="00D63003" w:rsidRPr="00705A9C">
        <w:t>/</w:t>
      </w:r>
      <w:proofErr w:type="spellStart"/>
      <w:r w:rsidR="00D63003" w:rsidRPr="00705A9C">
        <w:t>savanna</w:t>
      </w:r>
      <w:proofErr w:type="spellEnd"/>
      <w:r w:rsidR="00D63003" w:rsidRPr="00705A9C">
        <w:t xml:space="preserve"> - cropland/na</w:t>
      </w:r>
      <w:r w:rsidR="006C400C" w:rsidRPr="00705A9C">
        <w:t xml:space="preserve">tural vegetation - grasslands - </w:t>
      </w:r>
      <w:r w:rsidR="00D63003" w:rsidRPr="00705A9C">
        <w:t>cr</w:t>
      </w:r>
      <w:r w:rsidR="007A7869">
        <w:t>oplands</w:t>
      </w:r>
      <w:r w:rsidR="00D63003" w:rsidRPr="00705A9C">
        <w:t xml:space="preserve">) </w:t>
      </w:r>
      <w:r w:rsidR="003D293D" w:rsidRPr="00705A9C">
        <w:t>(</w:t>
      </w:r>
      <w:r w:rsidR="007F2CD2" w:rsidRPr="00705A9C">
        <w:t xml:space="preserve">See </w:t>
      </w:r>
      <w:r w:rsidR="00A86B9E" w:rsidRPr="00705A9C">
        <w:fldChar w:fldCharType="begin"/>
      </w:r>
      <w:r w:rsidR="00A86B9E" w:rsidRPr="00705A9C">
        <w:instrText xml:space="preserve"> REF _Ref506550435 \h  \* MERGEFORMAT </w:instrText>
      </w:r>
      <w:r w:rsidR="00A86B9E" w:rsidRPr="00705A9C">
        <w:fldChar w:fldCharType="separate"/>
      </w:r>
      <w:r w:rsidR="00A86B9E" w:rsidRPr="00705A9C">
        <w:rPr>
          <w:color w:val="000000" w:themeColor="text1"/>
        </w:rPr>
        <w:t xml:space="preserve">Figure </w:t>
      </w:r>
      <w:r w:rsidR="00A86B9E" w:rsidRPr="00705A9C">
        <w:rPr>
          <w:noProof/>
          <w:color w:val="000000" w:themeColor="text1"/>
        </w:rPr>
        <w:t>2</w:t>
      </w:r>
      <w:r w:rsidR="00A86B9E" w:rsidRPr="00705A9C">
        <w:fldChar w:fldCharType="end"/>
      </w:r>
      <w:r w:rsidR="00226D16" w:rsidRPr="00705A9C">
        <w:t xml:space="preserve"> </w:t>
      </w:r>
      <w:r w:rsidR="007F2CD2" w:rsidRPr="00705A9C">
        <w:t xml:space="preserve">for spatial </w:t>
      </w:r>
      <w:r w:rsidR="00D81DB3" w:rsidRPr="00705A9C">
        <w:t>patterns</w:t>
      </w:r>
      <w:r w:rsidR="007F2CD2" w:rsidRPr="00705A9C">
        <w:t xml:space="preserve"> of land cover types and </w:t>
      </w:r>
      <w:r w:rsidR="001258B3" w:rsidRPr="00705A9C">
        <w:t xml:space="preserve">the </w:t>
      </w:r>
      <w:r w:rsidR="00D81DB3" w:rsidRPr="00705A9C">
        <w:t>different</w:t>
      </w:r>
      <w:r w:rsidR="001258B3" w:rsidRPr="00705A9C">
        <w:t xml:space="preserve"> classes of pixels used in </w:t>
      </w:r>
      <w:r w:rsidR="00D81DB3" w:rsidRPr="00705A9C">
        <w:t>this</w:t>
      </w:r>
      <w:r w:rsidR="001258B3" w:rsidRPr="00705A9C">
        <w:t xml:space="preserve"> study). </w:t>
      </w:r>
    </w:p>
    <w:p w14:paraId="0D7AC692" w14:textId="571070B5" w:rsidR="00D02F40" w:rsidRPr="00705A9C" w:rsidRDefault="00800368" w:rsidP="0094192D">
      <w:pPr>
        <w:pStyle w:val="Newparagraph"/>
        <w:sectPr w:rsidR="00D02F40" w:rsidRPr="00705A9C" w:rsidSect="0094192D">
          <w:footerReference w:type="default" r:id="rId10"/>
          <w:pgSz w:w="11906" w:h="16838"/>
          <w:pgMar w:top="1440" w:right="1440" w:bottom="1440" w:left="1440" w:header="708" w:footer="708" w:gutter="0"/>
          <w:lnNumType w:countBy="1" w:restart="continuous"/>
          <w:cols w:space="708"/>
          <w:docGrid w:linePitch="360"/>
        </w:sectPr>
      </w:pPr>
      <w:r w:rsidRPr="00705A9C">
        <w:t xml:space="preserve">The Spearman’s non-parametric rank correlation </w:t>
      </w:r>
      <w:r w:rsidR="00B72766" w:rsidRPr="00705A9C">
        <w:t>coefficient</w:t>
      </w:r>
      <w:r w:rsidRPr="00705A9C">
        <w:t xml:space="preserve"> was used to </w:t>
      </w:r>
      <w:r w:rsidR="00B72766" w:rsidRPr="00705A9C">
        <w:t>characterise the magnitude and direction of</w:t>
      </w:r>
      <w:r w:rsidR="003141B2" w:rsidRPr="00705A9C">
        <w:t xml:space="preserve"> </w:t>
      </w:r>
      <w:r w:rsidRPr="00705A9C">
        <w:t xml:space="preserve">temporal trends </w:t>
      </w:r>
      <w:r w:rsidR="00B72766" w:rsidRPr="00705A9C">
        <w:t xml:space="preserve">in day of year </w:t>
      </w:r>
      <w:r w:rsidRPr="00705A9C">
        <w:t>with significance testing</w:t>
      </w:r>
      <w:r w:rsidR="003141B2" w:rsidRPr="00705A9C">
        <w:t xml:space="preserve"> (</w:t>
      </w:r>
      <w:r w:rsidRPr="00705A9C">
        <w:rPr>
          <w:i/>
        </w:rPr>
        <w:t>F</w:t>
      </w:r>
      <w:r w:rsidRPr="00705A9C">
        <w:t xml:space="preserve">- test at </w:t>
      </w:r>
      <w:r w:rsidR="003141B2" w:rsidRPr="00705A9C">
        <w:t xml:space="preserve">the </w:t>
      </w:r>
      <w:r w:rsidRPr="00705A9C">
        <w:t>95% confidence level</w:t>
      </w:r>
      <w:r w:rsidR="003141B2" w:rsidRPr="00705A9C">
        <w:t>)</w:t>
      </w:r>
      <w:r w:rsidRPr="00705A9C">
        <w:t>. This test was used because of it</w:t>
      </w:r>
      <w:r w:rsidR="003141B2" w:rsidRPr="00705A9C">
        <w:t>s</w:t>
      </w:r>
      <w:r w:rsidRPr="00705A9C">
        <w:t xml:space="preserve"> robustness in </w:t>
      </w:r>
      <w:r w:rsidR="00E154F5" w:rsidRPr="00705A9C">
        <w:t xml:space="preserve">relation to </w:t>
      </w:r>
      <w:r w:rsidRPr="00705A9C">
        <w:t xml:space="preserve">identifying trends in </w:t>
      </w:r>
      <w:r w:rsidR="008E3551" w:rsidRPr="00705A9C">
        <w:t>non-</w:t>
      </w:r>
      <w:r w:rsidR="00A16E96" w:rsidRPr="00705A9C">
        <w:t xml:space="preserve">Gaussian </w:t>
      </w:r>
      <w:r w:rsidR="008E3551" w:rsidRPr="00705A9C">
        <w:t>distributed data</w:t>
      </w:r>
      <w:r w:rsidR="00706D9E" w:rsidRPr="00705A9C">
        <w:t xml:space="preserve"> </w:t>
      </w:r>
      <w:r w:rsidR="00706D9E" w:rsidRPr="00705A9C">
        <w:fldChar w:fldCharType="begin" w:fldLock="1"/>
      </w:r>
      <w:r w:rsidR="009E1CAA">
        <w:instrText>ADDIN CSL_CITATION { "citationItems" : [ { "id" : "ITEM-1", "itemData" : { "DOI" : "10.1117/12.799824", "ISBN" : "9780819473356", "ISSN" : "0277786X", "abstract" : "African agriculture is expected to be hard-hit by ongoing climate change. Effects are heterogeneous within the continent, but in some regions resulting production declines have already impacted food security. Time series of remote sensing data allow us to examine where persistent changes occur. In this study, we propose to examine recent trends in agricultural production using 26 years of NDVI data. We use the 8-km resolution AVHRR NDVI 15-day composites of the GIMMS group (1981-2006). Temporal data-filtering is applied using an iterative Savitzky-Golay algorithm to remove noise in the time series. Except for some regions with persistent cloud cover, this filter produced smooth profiles. Subsequently two methods were used to extract phenology indicators from the profiles for each raster cell. These indicators include start of season, length of season, time of maximum NDVI, maximum NDVI, and cumulated NDVI over the season. Having extracted the indicators for every year, we aggregate them for agricultural areas at sub-national level using a crop mask. The aggregation was done to focus the analysis on agriculture, and allow future comparison with yield statistics. Trend analysis was performed for yearly aggregated indicators to assess where persistent change occurred during the 26-year period. Results show that the phenology extraction method chosen has an important influence on trend outcomes. Consistent trends suggest a rising yield trend for 500-1100 mm rainfall zones ranging from Senegal to Sudan. Negative yield trends are expected for the southern Atlantic coast of West Africa, and for western Tanzania. \u00a9 2008 SPIE.", "author" : [ { "dropping-particle" : "", "family" : "Vrieling", "given" : "A", "non-dropping-particle" : "", "parse-names" : false, "suffix" : "" }, { "dropping-particle" : "", "family" : "Beurs", "given" : "K M", "non-dropping-particle" : "De", "parse-names" : false, "suffix" : "" }, { "dropping-particle" : "", "family" : "Brown", "given" : "M E", "non-dropping-particle" : "", "parse-names" : false, "suffix" : "" } ], "container-title" : "Proceedings of SPIE - The International Society for Optical Engineering", "id" : "ITEM-1", "issued" : { "date-parts" : [ [ "2008" ] ] }, "page" : "1-10", "title" : "Recent trends in agricultural production of Africa based on AVHRR NDVI time series", "type" : "article-journal", "volume" : "7104" }, "uris" : [ "http://www.mendeley.com/documents/?uuid=514c1eed-7e65-44df-a380-95e4e3e3f286" ] }, { "id" : "ITEM-2", "itemData" : { "DOI" : "10.1016/S0022-1694(01)00594-7", "ISBN" : "0022-1694", "ISSN" : "00221694", "abstract" : "In many hydrological studies, two non-parametric rank-based statistical tests, namely the Mann-Kendall test and Spearman' s rho test are used for detecting monotonic trends in time series data. However, the power of these tests has not been well documented. This study investigates the power of the tests by Monte Carlo simulation. Simulation results indicate that their power depends on the pre-assigned significance level, magnitude of trend, sample size, and the amount of variation within a time series. That is, the bigger the absolute magnitude of trend, the more powerful are the tests; as the sample size increases, the tests become more powerful; and as the amount of variation increases within a time series, the power of the tests decrease. When a trend is present, the power is also dependent on the distribution type and skewness of the time series. The simulation results also demonstrate that these two tests have similar power in detecting a trend, to the point of being indistinguishable in practice. The two tests are implemented to assess the significance of trends in annual maximum daily streamflow data of 20 pristine basins in Ontario, Canada. Results indicate that the P-values computed by these different tests are almost identical. By the binomial distribution, the field significant downward trend was assessed at the significance level of 0.05. Results indicate that a higher number of sites show evidence of decreasing trends than one might expect due to chance alone. ?? 2002 Elsevier Science B.V. All rights reserved.", "author" : [ { "dropping-particle" : "", "family" : "Yue", "given" : "Sheng", "non-dropping-particle" : "", "parse-names" : false, "suffix" : "" }, { "dropping-particle" : "", "family" : "Pilon", "given" : "Paul", "non-dropping-particle" : "", "parse-names" : false, "suffix" : "" }, { "dropping-particle" : "", "family" : "Cavadias", "given" : "George", "non-dropping-particle" : "", "parse-names" : false, "suffix" : "" } ], "container-title" : "Journal of Hydrology", "id" : "ITEM-2", "issue" : "1-4", "issued" : { "date-parts" : [ [ "2002" ] ] }, "page" : "254-271", "title" : "Power of the Mann-Kendall and Spearman's rho tests for detecting monotonic trends in hydrological series", "type" : "article-journal", "volume" : "259" }, "uris" : [ "http://www.mendeley.com/documents/?uuid=bea6d74d-2915-4af9-a9f6-17988f50ab86" ] } ], "mendeley" : { "formattedCitation" : "(A Vrieling, De Beurs, and Brown 2008; Yue, Pilon, and Cavadias 2002)", "plainTextFormattedCitation" : "(A Vrieling, De Beurs, and Brown 2008; Yue, Pilon, and Cavadias 2002)", "previouslyFormattedCitation" : "(A Vrieling, De Beurs, and Brown 2008; Yue, Pilon, and Cavadias 2002)" }, "properties" : { "noteIndex" : 0 }, "schema" : "https://github.com/citation-style-language/schema/raw/master/csl-citation.json" }</w:instrText>
      </w:r>
      <w:r w:rsidR="00706D9E" w:rsidRPr="00705A9C">
        <w:fldChar w:fldCharType="separate"/>
      </w:r>
      <w:r w:rsidR="00611088" w:rsidRPr="00705A9C">
        <w:rPr>
          <w:noProof/>
        </w:rPr>
        <w:t>(A Vrieling, De Beurs, and Brown 2008; Yue, Pilon, and Cavadias 2002)</w:t>
      </w:r>
      <w:r w:rsidR="00706D9E" w:rsidRPr="00705A9C">
        <w:fldChar w:fldCharType="end"/>
      </w:r>
      <w:r w:rsidRPr="00705A9C">
        <w:t xml:space="preserve">. </w:t>
      </w:r>
      <w:r w:rsidR="00B72766" w:rsidRPr="00705A9C">
        <w:t>Simple linear</w:t>
      </w:r>
      <w:r w:rsidR="00CC60D9" w:rsidRPr="00705A9C">
        <w:t xml:space="preserve"> regression was </w:t>
      </w:r>
      <w:r w:rsidR="00B72766" w:rsidRPr="00705A9C">
        <w:t>then fitted to estimate the magnitude of the trends</w:t>
      </w:r>
      <w:r w:rsidR="009C5B24" w:rsidRPr="00705A9C">
        <w:t xml:space="preserve"> in number of days per year</w:t>
      </w:r>
      <w:r w:rsidR="00CC60D9" w:rsidRPr="00705A9C">
        <w:t xml:space="preserve">. </w:t>
      </w:r>
      <w:bookmarkStart w:id="1" w:name="_Ref469547595"/>
    </w:p>
    <w:bookmarkEnd w:id="1"/>
    <w:p w14:paraId="50EED645" w14:textId="77777777" w:rsidR="00FB7897" w:rsidRPr="00705A9C" w:rsidRDefault="00FB7897" w:rsidP="00FB7897">
      <w:pPr>
        <w:pStyle w:val="Tabletitle"/>
        <w:rPr>
          <w:rFonts w:eastAsiaTheme="minorHAnsi"/>
          <w:b/>
          <w:sz w:val="18"/>
          <w:szCs w:val="18"/>
          <w:lang w:eastAsia="en-US"/>
        </w:rPr>
      </w:pPr>
    </w:p>
    <w:p w14:paraId="062FC514" w14:textId="71C2492B" w:rsidR="00FB7897" w:rsidRPr="00705A9C" w:rsidRDefault="00FB7897" w:rsidP="00E64EF2">
      <w:pPr>
        <w:pStyle w:val="Tabletitle"/>
        <w:spacing w:before="0"/>
        <w:rPr>
          <w:i/>
          <w:sz w:val="22"/>
          <w:szCs w:val="22"/>
        </w:rPr>
      </w:pPr>
      <w:bookmarkStart w:id="2" w:name="_Ref506550622"/>
      <w:r w:rsidRPr="00705A9C">
        <w:rPr>
          <w:b/>
          <w:bCs/>
          <w:sz w:val="22"/>
          <w:szCs w:val="22"/>
        </w:rPr>
        <w:t xml:space="preserve">Table </w:t>
      </w:r>
      <w:r w:rsidRPr="00705A9C">
        <w:rPr>
          <w:b/>
          <w:bCs/>
          <w:sz w:val="22"/>
          <w:szCs w:val="22"/>
        </w:rPr>
        <w:fldChar w:fldCharType="begin"/>
      </w:r>
      <w:r w:rsidRPr="00705A9C">
        <w:rPr>
          <w:b/>
          <w:bCs/>
          <w:sz w:val="22"/>
          <w:szCs w:val="22"/>
        </w:rPr>
        <w:instrText xml:space="preserve"> SEQ Table \* ARABIC </w:instrText>
      </w:r>
      <w:r w:rsidRPr="00705A9C">
        <w:rPr>
          <w:b/>
          <w:bCs/>
          <w:sz w:val="22"/>
          <w:szCs w:val="22"/>
        </w:rPr>
        <w:fldChar w:fldCharType="separate"/>
      </w:r>
      <w:r w:rsidR="000E5A3D" w:rsidRPr="00705A9C">
        <w:rPr>
          <w:b/>
          <w:bCs/>
          <w:noProof/>
          <w:sz w:val="22"/>
          <w:szCs w:val="22"/>
        </w:rPr>
        <w:t>2</w:t>
      </w:r>
      <w:r w:rsidRPr="00705A9C">
        <w:rPr>
          <w:b/>
          <w:bCs/>
          <w:sz w:val="22"/>
          <w:szCs w:val="22"/>
        </w:rPr>
        <w:fldChar w:fldCharType="end"/>
      </w:r>
      <w:bookmarkEnd w:id="2"/>
      <w:r w:rsidRPr="00705A9C">
        <w:rPr>
          <w:b/>
          <w:bCs/>
          <w:sz w:val="22"/>
          <w:szCs w:val="22"/>
        </w:rPr>
        <w:t>:</w:t>
      </w:r>
      <w:r w:rsidRPr="00705A9C">
        <w:rPr>
          <w:sz w:val="22"/>
          <w:szCs w:val="22"/>
        </w:rPr>
        <w:t xml:space="preserve"> Number and proportion of pixel</w:t>
      </w:r>
      <w:r w:rsidR="00F533E9">
        <w:rPr>
          <w:sz w:val="22"/>
          <w:szCs w:val="22"/>
        </w:rPr>
        <w:t xml:space="preserve">s showing </w:t>
      </w:r>
      <w:r w:rsidR="00F53C3F">
        <w:rPr>
          <w:sz w:val="22"/>
          <w:szCs w:val="22"/>
        </w:rPr>
        <w:t>significant positive (S</w:t>
      </w:r>
      <w:r w:rsidR="00F533E9">
        <w:rPr>
          <w:sz w:val="22"/>
          <w:szCs w:val="22"/>
        </w:rPr>
        <w:t>ig. p</w:t>
      </w:r>
      <w:r w:rsidR="00F53C3F">
        <w:rPr>
          <w:sz w:val="22"/>
          <w:szCs w:val="22"/>
        </w:rPr>
        <w:t xml:space="preserve">os.) </w:t>
      </w:r>
      <w:r w:rsidRPr="00705A9C">
        <w:rPr>
          <w:sz w:val="22"/>
          <w:szCs w:val="22"/>
        </w:rPr>
        <w:t xml:space="preserve">and </w:t>
      </w:r>
      <w:r w:rsidR="00F533E9">
        <w:rPr>
          <w:sz w:val="22"/>
          <w:szCs w:val="22"/>
        </w:rPr>
        <w:t xml:space="preserve">significant negative (Sig. neg.) </w:t>
      </w:r>
      <w:r w:rsidRPr="00705A9C">
        <w:rPr>
          <w:sz w:val="22"/>
          <w:szCs w:val="22"/>
        </w:rPr>
        <w:t xml:space="preserve"> </w:t>
      </w:r>
      <w:proofErr w:type="gramStart"/>
      <w:r w:rsidRPr="00705A9C">
        <w:rPr>
          <w:sz w:val="22"/>
          <w:szCs w:val="22"/>
        </w:rPr>
        <w:t>trends</w:t>
      </w:r>
      <w:proofErr w:type="gramEnd"/>
      <w:r w:rsidRPr="00705A9C">
        <w:rPr>
          <w:sz w:val="22"/>
          <w:szCs w:val="22"/>
        </w:rPr>
        <w:t xml:space="preserve"> (</w:t>
      </w:r>
      <w:r w:rsidRPr="005F5887">
        <w:rPr>
          <w:i/>
          <w:sz w:val="22"/>
          <w:szCs w:val="22"/>
        </w:rPr>
        <w:t>p</w:t>
      </w:r>
      <w:r w:rsidRPr="00705A9C">
        <w:rPr>
          <w:sz w:val="22"/>
          <w:szCs w:val="22"/>
        </w:rPr>
        <w:t xml:space="preserve">-value &lt; 0.05) in each land cover change class. The </w:t>
      </w:r>
      <w:r w:rsidRPr="00705A9C">
        <w:rPr>
          <w:i/>
          <w:iCs/>
          <w:sz w:val="22"/>
          <w:szCs w:val="22"/>
        </w:rPr>
        <w:t>“no change”</w:t>
      </w:r>
      <w:r w:rsidRPr="00705A9C">
        <w:rPr>
          <w:sz w:val="22"/>
          <w:szCs w:val="22"/>
        </w:rPr>
        <w:t xml:space="preserve"> class is of greatest interest when analysing trends in LSP because it controls for land cover change (i.e., there was no land cover change in this group). </w:t>
      </w:r>
    </w:p>
    <w:tbl>
      <w:tblPr>
        <w:tblStyle w:val="TableGrid1"/>
        <w:tblW w:w="502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72"/>
        <w:gridCol w:w="994"/>
        <w:gridCol w:w="851"/>
        <w:gridCol w:w="851"/>
        <w:gridCol w:w="994"/>
        <w:gridCol w:w="851"/>
        <w:gridCol w:w="854"/>
        <w:gridCol w:w="848"/>
        <w:gridCol w:w="856"/>
        <w:gridCol w:w="907"/>
        <w:gridCol w:w="831"/>
        <w:gridCol w:w="800"/>
        <w:gridCol w:w="865"/>
      </w:tblGrid>
      <w:tr w:rsidR="007E3513" w:rsidRPr="007E3513" w14:paraId="3C88BA05" w14:textId="4A253F55" w:rsidTr="00D17D66">
        <w:tc>
          <w:tcPr>
            <w:tcW w:w="629" w:type="pct"/>
            <w:vMerge w:val="restart"/>
            <w:tcBorders>
              <w:top w:val="single" w:sz="4" w:space="0" w:color="auto"/>
              <w:bottom w:val="nil"/>
            </w:tcBorders>
          </w:tcPr>
          <w:p w14:paraId="564C4B1E" w14:textId="6EB97B86" w:rsidR="00D37D4D" w:rsidRPr="007E3513" w:rsidRDefault="00D37D4D" w:rsidP="00E64EF2">
            <w:pPr>
              <w:spacing w:line="360" w:lineRule="auto"/>
              <w:rPr>
                <w:b/>
                <w:sz w:val="16"/>
                <w:szCs w:val="16"/>
              </w:rPr>
            </w:pPr>
            <w:r w:rsidRPr="007E3513">
              <w:rPr>
                <w:b/>
                <w:sz w:val="16"/>
                <w:szCs w:val="16"/>
              </w:rPr>
              <w:t>Land cover change category</w:t>
            </w:r>
          </w:p>
        </w:tc>
        <w:tc>
          <w:tcPr>
            <w:tcW w:w="631" w:type="pct"/>
            <w:vMerge w:val="restart"/>
            <w:tcBorders>
              <w:top w:val="single" w:sz="4" w:space="0" w:color="auto"/>
              <w:bottom w:val="nil"/>
            </w:tcBorders>
          </w:tcPr>
          <w:p w14:paraId="47EAA8F9" w14:textId="77777777" w:rsidR="00D37D4D" w:rsidRPr="007E3513" w:rsidRDefault="00D37D4D" w:rsidP="00E64EF2">
            <w:pPr>
              <w:spacing w:line="360" w:lineRule="auto"/>
              <w:rPr>
                <w:b/>
                <w:sz w:val="16"/>
                <w:szCs w:val="16"/>
              </w:rPr>
            </w:pPr>
            <w:r w:rsidRPr="007E3513">
              <w:rPr>
                <w:b/>
                <w:sz w:val="16"/>
                <w:szCs w:val="16"/>
              </w:rPr>
              <w:t xml:space="preserve">Proportion of pixels in each category </w:t>
            </w:r>
          </w:p>
        </w:tc>
        <w:tc>
          <w:tcPr>
            <w:tcW w:w="1314" w:type="pct"/>
            <w:gridSpan w:val="4"/>
            <w:tcBorders>
              <w:top w:val="single" w:sz="4" w:space="0" w:color="auto"/>
              <w:bottom w:val="single" w:sz="4" w:space="0" w:color="auto"/>
            </w:tcBorders>
          </w:tcPr>
          <w:p w14:paraId="568BC739" w14:textId="5625A727" w:rsidR="00D37D4D" w:rsidRPr="007E3513" w:rsidRDefault="00D37D4D" w:rsidP="00E64EF2">
            <w:pPr>
              <w:spacing w:line="360" w:lineRule="auto"/>
              <w:rPr>
                <w:b/>
                <w:sz w:val="16"/>
                <w:szCs w:val="16"/>
              </w:rPr>
            </w:pPr>
            <w:r w:rsidRPr="007E3513">
              <w:rPr>
                <w:b/>
                <w:sz w:val="16"/>
                <w:szCs w:val="16"/>
              </w:rPr>
              <w:t>SOS</w:t>
            </w:r>
          </w:p>
        </w:tc>
        <w:tc>
          <w:tcPr>
            <w:tcW w:w="1214" w:type="pct"/>
            <w:gridSpan w:val="4"/>
            <w:tcBorders>
              <w:top w:val="single" w:sz="4" w:space="0" w:color="auto"/>
              <w:bottom w:val="single" w:sz="4" w:space="0" w:color="auto"/>
            </w:tcBorders>
          </w:tcPr>
          <w:p w14:paraId="29414258" w14:textId="64AC0C42" w:rsidR="00D37D4D" w:rsidRPr="007E3513" w:rsidRDefault="00D37D4D" w:rsidP="00E64EF2">
            <w:pPr>
              <w:spacing w:line="360" w:lineRule="auto"/>
              <w:rPr>
                <w:b/>
                <w:sz w:val="16"/>
                <w:szCs w:val="16"/>
              </w:rPr>
            </w:pPr>
            <w:r w:rsidRPr="007E3513">
              <w:rPr>
                <w:b/>
                <w:sz w:val="16"/>
                <w:szCs w:val="16"/>
              </w:rPr>
              <w:t>EOS</w:t>
            </w:r>
          </w:p>
        </w:tc>
        <w:tc>
          <w:tcPr>
            <w:tcW w:w="1212" w:type="pct"/>
            <w:gridSpan w:val="4"/>
            <w:tcBorders>
              <w:top w:val="single" w:sz="4" w:space="0" w:color="auto"/>
              <w:bottom w:val="single" w:sz="4" w:space="0" w:color="auto"/>
            </w:tcBorders>
          </w:tcPr>
          <w:p w14:paraId="11FB80D7" w14:textId="6389E915" w:rsidR="00D37D4D" w:rsidRPr="007E3513" w:rsidRDefault="00D37D4D" w:rsidP="00E64EF2">
            <w:pPr>
              <w:spacing w:line="360" w:lineRule="auto"/>
              <w:rPr>
                <w:b/>
                <w:sz w:val="16"/>
                <w:szCs w:val="16"/>
              </w:rPr>
            </w:pPr>
            <w:r w:rsidRPr="007E3513">
              <w:rPr>
                <w:b/>
                <w:sz w:val="16"/>
                <w:szCs w:val="16"/>
              </w:rPr>
              <w:t>LOS</w:t>
            </w:r>
          </w:p>
        </w:tc>
      </w:tr>
      <w:tr w:rsidR="007E3513" w:rsidRPr="007E3513" w14:paraId="7B0BE2FF" w14:textId="77777777" w:rsidTr="009D0839">
        <w:tc>
          <w:tcPr>
            <w:tcW w:w="629" w:type="pct"/>
            <w:vMerge/>
            <w:tcBorders>
              <w:top w:val="nil"/>
              <w:bottom w:val="single" w:sz="4" w:space="0" w:color="auto"/>
            </w:tcBorders>
          </w:tcPr>
          <w:p w14:paraId="723E4886" w14:textId="77777777" w:rsidR="00D37D4D" w:rsidRPr="007E3513" w:rsidRDefault="00D37D4D" w:rsidP="00D37D4D">
            <w:pPr>
              <w:spacing w:line="360" w:lineRule="auto"/>
              <w:rPr>
                <w:b/>
                <w:sz w:val="16"/>
                <w:szCs w:val="16"/>
              </w:rPr>
            </w:pPr>
          </w:p>
        </w:tc>
        <w:tc>
          <w:tcPr>
            <w:tcW w:w="631" w:type="pct"/>
            <w:vMerge/>
            <w:tcBorders>
              <w:top w:val="nil"/>
              <w:bottom w:val="single" w:sz="4" w:space="0" w:color="auto"/>
            </w:tcBorders>
          </w:tcPr>
          <w:p w14:paraId="5A713EFB" w14:textId="77777777" w:rsidR="00D37D4D" w:rsidRPr="007E3513" w:rsidRDefault="00D37D4D" w:rsidP="00D37D4D">
            <w:pPr>
              <w:spacing w:line="360" w:lineRule="auto"/>
              <w:rPr>
                <w:b/>
                <w:sz w:val="16"/>
                <w:szCs w:val="16"/>
              </w:rPr>
            </w:pPr>
          </w:p>
        </w:tc>
        <w:tc>
          <w:tcPr>
            <w:tcW w:w="657" w:type="pct"/>
            <w:gridSpan w:val="2"/>
            <w:tcBorders>
              <w:top w:val="single" w:sz="4" w:space="0" w:color="auto"/>
              <w:bottom w:val="single" w:sz="4" w:space="0" w:color="auto"/>
            </w:tcBorders>
          </w:tcPr>
          <w:p w14:paraId="4589F83A" w14:textId="375D1D2A" w:rsidR="00D37D4D" w:rsidRPr="007E3513" w:rsidRDefault="00D37D4D" w:rsidP="00D37D4D">
            <w:pPr>
              <w:spacing w:line="360" w:lineRule="auto"/>
              <w:rPr>
                <w:b/>
                <w:sz w:val="16"/>
                <w:szCs w:val="16"/>
              </w:rPr>
            </w:pPr>
            <w:r w:rsidRPr="007E3513">
              <w:rPr>
                <w:b/>
                <w:sz w:val="16"/>
                <w:szCs w:val="16"/>
              </w:rPr>
              <w:t>Number of pixels</w:t>
            </w:r>
          </w:p>
        </w:tc>
        <w:tc>
          <w:tcPr>
            <w:tcW w:w="657" w:type="pct"/>
            <w:gridSpan w:val="2"/>
            <w:tcBorders>
              <w:top w:val="single" w:sz="4" w:space="0" w:color="auto"/>
              <w:bottom w:val="single" w:sz="4" w:space="0" w:color="auto"/>
            </w:tcBorders>
          </w:tcPr>
          <w:p w14:paraId="22D92B96" w14:textId="6ABB9190" w:rsidR="00D37D4D" w:rsidRPr="007E3513" w:rsidRDefault="00D37D4D" w:rsidP="00D37D4D">
            <w:pPr>
              <w:spacing w:line="360" w:lineRule="auto"/>
              <w:rPr>
                <w:b/>
                <w:sz w:val="16"/>
                <w:szCs w:val="16"/>
              </w:rPr>
            </w:pPr>
            <w:r w:rsidRPr="007E3513">
              <w:rPr>
                <w:b/>
                <w:sz w:val="16"/>
                <w:szCs w:val="16"/>
              </w:rPr>
              <w:t>Proportion of pixels</w:t>
            </w:r>
          </w:p>
        </w:tc>
        <w:tc>
          <w:tcPr>
            <w:tcW w:w="607" w:type="pct"/>
            <w:gridSpan w:val="2"/>
            <w:tcBorders>
              <w:top w:val="single" w:sz="4" w:space="0" w:color="auto"/>
              <w:bottom w:val="single" w:sz="4" w:space="0" w:color="auto"/>
            </w:tcBorders>
          </w:tcPr>
          <w:p w14:paraId="0069CFBF" w14:textId="21B79192" w:rsidR="00D37D4D" w:rsidRPr="007E3513" w:rsidRDefault="00D37D4D" w:rsidP="00D37D4D">
            <w:pPr>
              <w:spacing w:line="360" w:lineRule="auto"/>
              <w:rPr>
                <w:b/>
                <w:sz w:val="16"/>
                <w:szCs w:val="16"/>
              </w:rPr>
            </w:pPr>
            <w:r w:rsidRPr="007E3513">
              <w:rPr>
                <w:b/>
                <w:sz w:val="16"/>
                <w:szCs w:val="16"/>
              </w:rPr>
              <w:t>Number of pixels</w:t>
            </w:r>
          </w:p>
        </w:tc>
        <w:tc>
          <w:tcPr>
            <w:tcW w:w="607" w:type="pct"/>
            <w:gridSpan w:val="2"/>
            <w:tcBorders>
              <w:top w:val="single" w:sz="4" w:space="0" w:color="auto"/>
              <w:bottom w:val="single" w:sz="4" w:space="0" w:color="auto"/>
            </w:tcBorders>
          </w:tcPr>
          <w:p w14:paraId="7A6EE18C" w14:textId="1A585EBD" w:rsidR="00D37D4D" w:rsidRPr="007E3513" w:rsidRDefault="00D37D4D" w:rsidP="00D37D4D">
            <w:pPr>
              <w:spacing w:line="360" w:lineRule="auto"/>
              <w:rPr>
                <w:b/>
                <w:sz w:val="16"/>
                <w:szCs w:val="16"/>
              </w:rPr>
            </w:pPr>
            <w:r w:rsidRPr="007E3513">
              <w:rPr>
                <w:b/>
                <w:sz w:val="16"/>
                <w:szCs w:val="16"/>
              </w:rPr>
              <w:t>Proportion of pixels</w:t>
            </w:r>
          </w:p>
        </w:tc>
        <w:tc>
          <w:tcPr>
            <w:tcW w:w="619" w:type="pct"/>
            <w:gridSpan w:val="2"/>
            <w:tcBorders>
              <w:top w:val="single" w:sz="4" w:space="0" w:color="auto"/>
              <w:bottom w:val="single" w:sz="4" w:space="0" w:color="auto"/>
            </w:tcBorders>
          </w:tcPr>
          <w:p w14:paraId="0ACFA256" w14:textId="5AF0B8C0" w:rsidR="00D37D4D" w:rsidRPr="007E3513" w:rsidRDefault="00D37D4D" w:rsidP="00D37D4D">
            <w:pPr>
              <w:spacing w:line="360" w:lineRule="auto"/>
              <w:rPr>
                <w:b/>
                <w:sz w:val="16"/>
                <w:szCs w:val="16"/>
              </w:rPr>
            </w:pPr>
            <w:r w:rsidRPr="007E3513">
              <w:rPr>
                <w:b/>
                <w:sz w:val="16"/>
                <w:szCs w:val="16"/>
              </w:rPr>
              <w:t>Number of pixels</w:t>
            </w:r>
          </w:p>
        </w:tc>
        <w:tc>
          <w:tcPr>
            <w:tcW w:w="593" w:type="pct"/>
            <w:gridSpan w:val="2"/>
            <w:tcBorders>
              <w:top w:val="single" w:sz="4" w:space="0" w:color="auto"/>
              <w:bottom w:val="single" w:sz="4" w:space="0" w:color="auto"/>
            </w:tcBorders>
          </w:tcPr>
          <w:p w14:paraId="65FECD03" w14:textId="5FEC75B7" w:rsidR="00D37D4D" w:rsidRPr="007E3513" w:rsidRDefault="00D37D4D" w:rsidP="00D37D4D">
            <w:pPr>
              <w:spacing w:line="360" w:lineRule="auto"/>
              <w:rPr>
                <w:b/>
                <w:sz w:val="16"/>
                <w:szCs w:val="16"/>
              </w:rPr>
            </w:pPr>
            <w:r w:rsidRPr="007E3513">
              <w:rPr>
                <w:b/>
                <w:sz w:val="16"/>
                <w:szCs w:val="16"/>
              </w:rPr>
              <w:t>Proportion of pixels</w:t>
            </w:r>
          </w:p>
        </w:tc>
      </w:tr>
      <w:tr w:rsidR="007E3513" w:rsidRPr="007E3513" w14:paraId="6EC7EA59" w14:textId="788A6D3A" w:rsidTr="00D17D66">
        <w:tc>
          <w:tcPr>
            <w:tcW w:w="629" w:type="pct"/>
            <w:vMerge/>
            <w:tcBorders>
              <w:top w:val="single" w:sz="4" w:space="0" w:color="auto"/>
              <w:bottom w:val="single" w:sz="4" w:space="0" w:color="auto"/>
            </w:tcBorders>
          </w:tcPr>
          <w:p w14:paraId="64551733" w14:textId="77777777" w:rsidR="008D3927" w:rsidRPr="007E3513" w:rsidRDefault="008D3927" w:rsidP="008D3927">
            <w:pPr>
              <w:rPr>
                <w:sz w:val="16"/>
                <w:szCs w:val="16"/>
              </w:rPr>
            </w:pPr>
          </w:p>
        </w:tc>
        <w:tc>
          <w:tcPr>
            <w:tcW w:w="631" w:type="pct"/>
            <w:vMerge/>
            <w:tcBorders>
              <w:top w:val="single" w:sz="4" w:space="0" w:color="auto"/>
              <w:bottom w:val="single" w:sz="4" w:space="0" w:color="auto"/>
            </w:tcBorders>
          </w:tcPr>
          <w:p w14:paraId="2F67E103" w14:textId="77777777" w:rsidR="008D3927" w:rsidRPr="007E3513" w:rsidRDefault="008D3927" w:rsidP="008D3927">
            <w:pPr>
              <w:rPr>
                <w:b/>
                <w:sz w:val="16"/>
                <w:szCs w:val="16"/>
              </w:rPr>
            </w:pPr>
          </w:p>
        </w:tc>
        <w:tc>
          <w:tcPr>
            <w:tcW w:w="354" w:type="pct"/>
            <w:tcBorders>
              <w:top w:val="single" w:sz="4" w:space="0" w:color="auto"/>
              <w:bottom w:val="single" w:sz="4" w:space="0" w:color="auto"/>
            </w:tcBorders>
          </w:tcPr>
          <w:p w14:paraId="3F2FEFA1" w14:textId="2C02EFE6" w:rsidR="008D3927" w:rsidRPr="007E3513" w:rsidRDefault="008D3927" w:rsidP="008D3927">
            <w:pPr>
              <w:rPr>
                <w:b/>
                <w:sz w:val="16"/>
                <w:szCs w:val="16"/>
              </w:rPr>
            </w:pPr>
            <w:r w:rsidRPr="007E3513">
              <w:rPr>
                <w:b/>
                <w:sz w:val="16"/>
                <w:szCs w:val="16"/>
              </w:rPr>
              <w:t>Sig. pos.</w:t>
            </w:r>
          </w:p>
        </w:tc>
        <w:tc>
          <w:tcPr>
            <w:tcW w:w="303" w:type="pct"/>
            <w:tcBorders>
              <w:top w:val="single" w:sz="4" w:space="0" w:color="auto"/>
              <w:bottom w:val="single" w:sz="4" w:space="0" w:color="auto"/>
            </w:tcBorders>
          </w:tcPr>
          <w:p w14:paraId="2D08CE87" w14:textId="77777777" w:rsidR="008D3927" w:rsidRPr="007E3513" w:rsidRDefault="008D3927" w:rsidP="008D3927">
            <w:pPr>
              <w:rPr>
                <w:b/>
                <w:sz w:val="16"/>
                <w:szCs w:val="16"/>
              </w:rPr>
            </w:pPr>
            <w:r w:rsidRPr="007E3513">
              <w:rPr>
                <w:b/>
                <w:sz w:val="16"/>
                <w:szCs w:val="16"/>
              </w:rPr>
              <w:t>Sig. neg.</w:t>
            </w:r>
          </w:p>
        </w:tc>
        <w:tc>
          <w:tcPr>
            <w:tcW w:w="303" w:type="pct"/>
            <w:tcBorders>
              <w:top w:val="single" w:sz="4" w:space="0" w:color="auto"/>
              <w:bottom w:val="single" w:sz="4" w:space="0" w:color="auto"/>
            </w:tcBorders>
          </w:tcPr>
          <w:p w14:paraId="363BC003" w14:textId="2B8E463A" w:rsidR="008D3927" w:rsidRPr="007E3513" w:rsidRDefault="008D3927" w:rsidP="008D3927">
            <w:pPr>
              <w:rPr>
                <w:b/>
                <w:sz w:val="16"/>
                <w:szCs w:val="16"/>
              </w:rPr>
            </w:pPr>
            <w:r w:rsidRPr="007E3513">
              <w:rPr>
                <w:b/>
                <w:sz w:val="16"/>
                <w:szCs w:val="16"/>
              </w:rPr>
              <w:t>Sig. pos.</w:t>
            </w:r>
          </w:p>
        </w:tc>
        <w:tc>
          <w:tcPr>
            <w:tcW w:w="354" w:type="pct"/>
            <w:tcBorders>
              <w:top w:val="single" w:sz="4" w:space="0" w:color="auto"/>
              <w:bottom w:val="single" w:sz="4" w:space="0" w:color="auto"/>
            </w:tcBorders>
          </w:tcPr>
          <w:p w14:paraId="3C94A91A" w14:textId="0C28E342" w:rsidR="008D3927" w:rsidRPr="007E3513" w:rsidRDefault="008D3927" w:rsidP="008D3927">
            <w:pPr>
              <w:rPr>
                <w:b/>
                <w:sz w:val="16"/>
                <w:szCs w:val="16"/>
              </w:rPr>
            </w:pPr>
            <w:r w:rsidRPr="007E3513">
              <w:rPr>
                <w:b/>
                <w:sz w:val="16"/>
                <w:szCs w:val="16"/>
              </w:rPr>
              <w:t>Sig. neg.</w:t>
            </w:r>
          </w:p>
        </w:tc>
        <w:tc>
          <w:tcPr>
            <w:tcW w:w="303" w:type="pct"/>
            <w:tcBorders>
              <w:top w:val="single" w:sz="4" w:space="0" w:color="auto"/>
              <w:bottom w:val="single" w:sz="4" w:space="0" w:color="auto"/>
            </w:tcBorders>
          </w:tcPr>
          <w:p w14:paraId="45E7DF1E" w14:textId="4B66AA00" w:rsidR="008D3927" w:rsidRPr="007E3513" w:rsidRDefault="008D3927" w:rsidP="008D3927">
            <w:pPr>
              <w:rPr>
                <w:b/>
                <w:sz w:val="16"/>
                <w:szCs w:val="16"/>
              </w:rPr>
            </w:pPr>
            <w:r w:rsidRPr="007E3513">
              <w:rPr>
                <w:b/>
                <w:sz w:val="16"/>
                <w:szCs w:val="16"/>
              </w:rPr>
              <w:t>Sig. pos.</w:t>
            </w:r>
          </w:p>
        </w:tc>
        <w:tc>
          <w:tcPr>
            <w:tcW w:w="304" w:type="pct"/>
            <w:tcBorders>
              <w:top w:val="single" w:sz="4" w:space="0" w:color="auto"/>
              <w:bottom w:val="single" w:sz="4" w:space="0" w:color="auto"/>
            </w:tcBorders>
          </w:tcPr>
          <w:p w14:paraId="6B676613" w14:textId="77777777" w:rsidR="008D3927" w:rsidRPr="007E3513" w:rsidRDefault="008D3927" w:rsidP="008D3927">
            <w:pPr>
              <w:rPr>
                <w:b/>
                <w:sz w:val="16"/>
                <w:szCs w:val="16"/>
              </w:rPr>
            </w:pPr>
            <w:r w:rsidRPr="007E3513">
              <w:rPr>
                <w:b/>
                <w:sz w:val="16"/>
                <w:szCs w:val="16"/>
              </w:rPr>
              <w:t>Sig. neg.</w:t>
            </w:r>
          </w:p>
        </w:tc>
        <w:tc>
          <w:tcPr>
            <w:tcW w:w="302" w:type="pct"/>
            <w:tcBorders>
              <w:top w:val="single" w:sz="4" w:space="0" w:color="auto"/>
              <w:bottom w:val="single" w:sz="4" w:space="0" w:color="auto"/>
            </w:tcBorders>
          </w:tcPr>
          <w:p w14:paraId="2DEE9CF7" w14:textId="4F7D6935" w:rsidR="008D3927" w:rsidRPr="007E3513" w:rsidRDefault="008D3927" w:rsidP="008D3927">
            <w:pPr>
              <w:rPr>
                <w:b/>
                <w:sz w:val="16"/>
                <w:szCs w:val="16"/>
              </w:rPr>
            </w:pPr>
            <w:r w:rsidRPr="007E3513">
              <w:rPr>
                <w:b/>
                <w:sz w:val="16"/>
                <w:szCs w:val="16"/>
              </w:rPr>
              <w:t>Sig. pos.</w:t>
            </w:r>
          </w:p>
        </w:tc>
        <w:tc>
          <w:tcPr>
            <w:tcW w:w="305" w:type="pct"/>
            <w:tcBorders>
              <w:top w:val="single" w:sz="4" w:space="0" w:color="auto"/>
              <w:bottom w:val="single" w:sz="4" w:space="0" w:color="auto"/>
            </w:tcBorders>
          </w:tcPr>
          <w:p w14:paraId="1EBD6718" w14:textId="193A0154" w:rsidR="008D3927" w:rsidRPr="007E3513" w:rsidRDefault="008D3927" w:rsidP="008D3927">
            <w:pPr>
              <w:rPr>
                <w:b/>
                <w:sz w:val="16"/>
                <w:szCs w:val="16"/>
              </w:rPr>
            </w:pPr>
            <w:r w:rsidRPr="007E3513">
              <w:rPr>
                <w:b/>
                <w:sz w:val="16"/>
                <w:szCs w:val="16"/>
              </w:rPr>
              <w:t>Sig. neg.</w:t>
            </w:r>
          </w:p>
        </w:tc>
        <w:tc>
          <w:tcPr>
            <w:tcW w:w="323" w:type="pct"/>
            <w:tcBorders>
              <w:top w:val="single" w:sz="4" w:space="0" w:color="auto"/>
              <w:bottom w:val="single" w:sz="4" w:space="0" w:color="auto"/>
            </w:tcBorders>
          </w:tcPr>
          <w:p w14:paraId="78C3E17B" w14:textId="479AF532" w:rsidR="008D3927" w:rsidRPr="007E3513" w:rsidRDefault="008D3927" w:rsidP="008D3927">
            <w:pPr>
              <w:rPr>
                <w:b/>
                <w:sz w:val="16"/>
                <w:szCs w:val="16"/>
              </w:rPr>
            </w:pPr>
            <w:r w:rsidRPr="007E3513">
              <w:rPr>
                <w:b/>
                <w:sz w:val="16"/>
                <w:szCs w:val="16"/>
              </w:rPr>
              <w:t>Sig. pos.</w:t>
            </w:r>
          </w:p>
        </w:tc>
        <w:tc>
          <w:tcPr>
            <w:tcW w:w="296" w:type="pct"/>
            <w:tcBorders>
              <w:top w:val="single" w:sz="4" w:space="0" w:color="auto"/>
              <w:bottom w:val="single" w:sz="4" w:space="0" w:color="auto"/>
            </w:tcBorders>
          </w:tcPr>
          <w:p w14:paraId="0DAE322F" w14:textId="77777777" w:rsidR="008D3927" w:rsidRPr="007E3513" w:rsidRDefault="008D3927" w:rsidP="008D3927">
            <w:pPr>
              <w:rPr>
                <w:b/>
                <w:sz w:val="16"/>
                <w:szCs w:val="16"/>
              </w:rPr>
            </w:pPr>
            <w:r w:rsidRPr="007E3513">
              <w:rPr>
                <w:b/>
                <w:sz w:val="16"/>
                <w:szCs w:val="16"/>
              </w:rPr>
              <w:t>Sig. neg.</w:t>
            </w:r>
          </w:p>
        </w:tc>
        <w:tc>
          <w:tcPr>
            <w:tcW w:w="285" w:type="pct"/>
            <w:tcBorders>
              <w:top w:val="single" w:sz="4" w:space="0" w:color="auto"/>
              <w:bottom w:val="single" w:sz="4" w:space="0" w:color="auto"/>
            </w:tcBorders>
          </w:tcPr>
          <w:p w14:paraId="5CEF8FCD" w14:textId="0C18008B" w:rsidR="008D3927" w:rsidRPr="007E3513" w:rsidRDefault="008D3927" w:rsidP="008D3927">
            <w:pPr>
              <w:rPr>
                <w:b/>
                <w:sz w:val="16"/>
                <w:szCs w:val="16"/>
              </w:rPr>
            </w:pPr>
            <w:r w:rsidRPr="007E3513">
              <w:rPr>
                <w:b/>
                <w:sz w:val="16"/>
                <w:szCs w:val="16"/>
              </w:rPr>
              <w:t>Sig. pos.</w:t>
            </w:r>
          </w:p>
        </w:tc>
        <w:tc>
          <w:tcPr>
            <w:tcW w:w="308" w:type="pct"/>
            <w:tcBorders>
              <w:top w:val="single" w:sz="4" w:space="0" w:color="auto"/>
              <w:bottom w:val="single" w:sz="4" w:space="0" w:color="auto"/>
            </w:tcBorders>
          </w:tcPr>
          <w:p w14:paraId="718D41F4" w14:textId="0FD97C70" w:rsidR="008D3927" w:rsidRPr="007E3513" w:rsidRDefault="008D3927" w:rsidP="008D3927">
            <w:pPr>
              <w:rPr>
                <w:b/>
                <w:sz w:val="16"/>
                <w:szCs w:val="16"/>
              </w:rPr>
            </w:pPr>
            <w:r w:rsidRPr="007E3513">
              <w:rPr>
                <w:b/>
                <w:sz w:val="16"/>
                <w:szCs w:val="16"/>
              </w:rPr>
              <w:t>Sig. neg.</w:t>
            </w:r>
          </w:p>
        </w:tc>
      </w:tr>
      <w:tr w:rsidR="00016B63" w:rsidRPr="007E3513" w14:paraId="2FF9A5A1" w14:textId="53281F75" w:rsidTr="00D17D66">
        <w:tc>
          <w:tcPr>
            <w:tcW w:w="629" w:type="pct"/>
            <w:tcBorders>
              <w:top w:val="single" w:sz="4" w:space="0" w:color="auto"/>
              <w:bottom w:val="nil"/>
            </w:tcBorders>
          </w:tcPr>
          <w:p w14:paraId="067637CB" w14:textId="77777777" w:rsidR="00016B63" w:rsidRPr="007E3513" w:rsidRDefault="00016B63" w:rsidP="00016B63">
            <w:pPr>
              <w:rPr>
                <w:sz w:val="16"/>
                <w:szCs w:val="16"/>
              </w:rPr>
            </w:pPr>
            <w:r w:rsidRPr="007E3513">
              <w:rPr>
                <w:sz w:val="16"/>
                <w:szCs w:val="16"/>
              </w:rPr>
              <w:t>No change</w:t>
            </w:r>
          </w:p>
        </w:tc>
        <w:tc>
          <w:tcPr>
            <w:tcW w:w="631" w:type="pct"/>
            <w:tcBorders>
              <w:top w:val="single" w:sz="4" w:space="0" w:color="auto"/>
              <w:bottom w:val="nil"/>
            </w:tcBorders>
          </w:tcPr>
          <w:p w14:paraId="00472A1C" w14:textId="5C962D9E" w:rsidR="00016B63" w:rsidRPr="00C2322F" w:rsidRDefault="00016B63" w:rsidP="00016B63">
            <w:pPr>
              <w:rPr>
                <w:sz w:val="16"/>
                <w:szCs w:val="16"/>
                <w:highlight w:val="yellow"/>
              </w:rPr>
            </w:pPr>
            <w:r w:rsidRPr="00C2322F">
              <w:rPr>
                <w:sz w:val="16"/>
                <w:szCs w:val="16"/>
                <w:highlight w:val="yellow"/>
              </w:rPr>
              <w:t>75%</w:t>
            </w:r>
          </w:p>
        </w:tc>
        <w:tc>
          <w:tcPr>
            <w:tcW w:w="354" w:type="pct"/>
            <w:tcBorders>
              <w:top w:val="single" w:sz="4" w:space="0" w:color="auto"/>
            </w:tcBorders>
            <w:shd w:val="clear" w:color="auto" w:fill="auto"/>
          </w:tcPr>
          <w:p w14:paraId="452732F6" w14:textId="7D1BB3C1" w:rsidR="00016B63" w:rsidRPr="00C2322F" w:rsidRDefault="00016B63" w:rsidP="00016B63">
            <w:pPr>
              <w:rPr>
                <w:sz w:val="16"/>
                <w:szCs w:val="16"/>
                <w:highlight w:val="yellow"/>
              </w:rPr>
            </w:pPr>
            <w:r w:rsidRPr="00C2322F">
              <w:rPr>
                <w:sz w:val="16"/>
                <w:szCs w:val="16"/>
                <w:highlight w:val="yellow"/>
              </w:rPr>
              <w:t>676823</w:t>
            </w:r>
          </w:p>
        </w:tc>
        <w:tc>
          <w:tcPr>
            <w:tcW w:w="303" w:type="pct"/>
            <w:tcBorders>
              <w:top w:val="single" w:sz="4" w:space="0" w:color="auto"/>
            </w:tcBorders>
          </w:tcPr>
          <w:p w14:paraId="0BDAE974" w14:textId="6D3F5C60" w:rsidR="00016B63" w:rsidRPr="00C2322F" w:rsidRDefault="00016B63" w:rsidP="00016B63">
            <w:pPr>
              <w:rPr>
                <w:sz w:val="16"/>
                <w:szCs w:val="16"/>
                <w:highlight w:val="yellow"/>
              </w:rPr>
            </w:pPr>
            <w:r w:rsidRPr="00C2322F">
              <w:rPr>
                <w:sz w:val="16"/>
                <w:szCs w:val="16"/>
                <w:highlight w:val="yellow"/>
              </w:rPr>
              <w:t>286722</w:t>
            </w:r>
          </w:p>
        </w:tc>
        <w:tc>
          <w:tcPr>
            <w:tcW w:w="303" w:type="pct"/>
            <w:tcBorders>
              <w:top w:val="single" w:sz="4" w:space="0" w:color="auto"/>
            </w:tcBorders>
            <w:shd w:val="clear" w:color="auto" w:fill="auto"/>
          </w:tcPr>
          <w:p w14:paraId="58E004AD" w14:textId="506FAF6F" w:rsidR="00016B63" w:rsidRPr="00C2322F" w:rsidRDefault="00016B63" w:rsidP="00016B63">
            <w:pPr>
              <w:rPr>
                <w:bCs/>
                <w:sz w:val="16"/>
                <w:szCs w:val="16"/>
                <w:highlight w:val="yellow"/>
              </w:rPr>
            </w:pPr>
            <w:r w:rsidRPr="00C2322F">
              <w:rPr>
                <w:bCs/>
                <w:sz w:val="16"/>
                <w:szCs w:val="16"/>
                <w:highlight w:val="yellow"/>
              </w:rPr>
              <w:t>2.78%</w:t>
            </w:r>
          </w:p>
        </w:tc>
        <w:tc>
          <w:tcPr>
            <w:tcW w:w="354" w:type="pct"/>
            <w:tcBorders>
              <w:top w:val="single" w:sz="4" w:space="0" w:color="auto"/>
            </w:tcBorders>
          </w:tcPr>
          <w:p w14:paraId="54A8DA54" w14:textId="715E840A" w:rsidR="00016B63" w:rsidRPr="00C2322F" w:rsidRDefault="00016B63" w:rsidP="00016B63">
            <w:pPr>
              <w:rPr>
                <w:bCs/>
                <w:sz w:val="16"/>
                <w:szCs w:val="16"/>
                <w:highlight w:val="yellow"/>
              </w:rPr>
            </w:pPr>
            <w:r w:rsidRPr="00C2322F">
              <w:rPr>
                <w:bCs/>
                <w:sz w:val="16"/>
                <w:szCs w:val="16"/>
                <w:highlight w:val="yellow"/>
              </w:rPr>
              <w:t>1.18%</w:t>
            </w:r>
          </w:p>
        </w:tc>
        <w:tc>
          <w:tcPr>
            <w:tcW w:w="303" w:type="pct"/>
            <w:tcBorders>
              <w:top w:val="single" w:sz="4" w:space="0" w:color="auto"/>
            </w:tcBorders>
          </w:tcPr>
          <w:p w14:paraId="683AC016" w14:textId="674DD10A" w:rsidR="00016B63" w:rsidRPr="00C2322F" w:rsidRDefault="00016B63" w:rsidP="00016B63">
            <w:pPr>
              <w:rPr>
                <w:sz w:val="16"/>
                <w:szCs w:val="16"/>
                <w:highlight w:val="yellow"/>
              </w:rPr>
            </w:pPr>
            <w:r w:rsidRPr="00C2322F">
              <w:rPr>
                <w:sz w:val="16"/>
                <w:szCs w:val="16"/>
                <w:highlight w:val="yellow"/>
              </w:rPr>
              <w:t>687864</w:t>
            </w:r>
          </w:p>
        </w:tc>
        <w:tc>
          <w:tcPr>
            <w:tcW w:w="304" w:type="pct"/>
            <w:tcBorders>
              <w:top w:val="single" w:sz="4" w:space="0" w:color="auto"/>
            </w:tcBorders>
          </w:tcPr>
          <w:p w14:paraId="30E7E7A1" w14:textId="113BC740" w:rsidR="00016B63" w:rsidRPr="00C2322F" w:rsidRDefault="00016B63" w:rsidP="00016B63">
            <w:pPr>
              <w:rPr>
                <w:sz w:val="16"/>
                <w:szCs w:val="16"/>
                <w:highlight w:val="yellow"/>
              </w:rPr>
            </w:pPr>
            <w:r w:rsidRPr="00C2322F">
              <w:rPr>
                <w:sz w:val="16"/>
                <w:szCs w:val="16"/>
                <w:highlight w:val="yellow"/>
              </w:rPr>
              <w:t>387520</w:t>
            </w:r>
          </w:p>
        </w:tc>
        <w:tc>
          <w:tcPr>
            <w:tcW w:w="302" w:type="pct"/>
            <w:tcBorders>
              <w:top w:val="single" w:sz="4" w:space="0" w:color="auto"/>
            </w:tcBorders>
          </w:tcPr>
          <w:p w14:paraId="7EB26D4E" w14:textId="5124F718" w:rsidR="00016B63" w:rsidRPr="00C2322F" w:rsidRDefault="00016B63" w:rsidP="00016B63">
            <w:pPr>
              <w:rPr>
                <w:bCs/>
                <w:sz w:val="16"/>
                <w:szCs w:val="16"/>
                <w:highlight w:val="yellow"/>
              </w:rPr>
            </w:pPr>
            <w:r w:rsidRPr="00C2322F">
              <w:rPr>
                <w:bCs/>
                <w:sz w:val="16"/>
                <w:szCs w:val="16"/>
                <w:highlight w:val="yellow"/>
              </w:rPr>
              <w:t>2.83%</w:t>
            </w:r>
          </w:p>
        </w:tc>
        <w:tc>
          <w:tcPr>
            <w:tcW w:w="305" w:type="pct"/>
            <w:tcBorders>
              <w:top w:val="single" w:sz="4" w:space="0" w:color="auto"/>
            </w:tcBorders>
          </w:tcPr>
          <w:p w14:paraId="2BA9EF1B" w14:textId="58748812" w:rsidR="00016B63" w:rsidRPr="00C2322F" w:rsidRDefault="00016B63" w:rsidP="00016B63">
            <w:pPr>
              <w:rPr>
                <w:bCs/>
                <w:sz w:val="16"/>
                <w:szCs w:val="16"/>
                <w:highlight w:val="yellow"/>
              </w:rPr>
            </w:pPr>
            <w:r w:rsidRPr="00C2322F">
              <w:rPr>
                <w:bCs/>
                <w:sz w:val="16"/>
                <w:szCs w:val="16"/>
                <w:highlight w:val="yellow"/>
              </w:rPr>
              <w:t>1.59%</w:t>
            </w:r>
          </w:p>
        </w:tc>
        <w:tc>
          <w:tcPr>
            <w:tcW w:w="323" w:type="pct"/>
            <w:tcBorders>
              <w:top w:val="single" w:sz="4" w:space="0" w:color="auto"/>
            </w:tcBorders>
          </w:tcPr>
          <w:p w14:paraId="4BADEAF2" w14:textId="4DC3C66E" w:rsidR="00016B63" w:rsidRPr="00C2322F" w:rsidRDefault="00016B63" w:rsidP="00016B63">
            <w:pPr>
              <w:rPr>
                <w:sz w:val="16"/>
                <w:szCs w:val="16"/>
                <w:highlight w:val="yellow"/>
              </w:rPr>
            </w:pPr>
            <w:r w:rsidRPr="00C2322F">
              <w:rPr>
                <w:sz w:val="16"/>
                <w:szCs w:val="16"/>
                <w:highlight w:val="yellow"/>
              </w:rPr>
              <w:t>264082</w:t>
            </w:r>
          </w:p>
        </w:tc>
        <w:tc>
          <w:tcPr>
            <w:tcW w:w="296" w:type="pct"/>
            <w:tcBorders>
              <w:top w:val="single" w:sz="4" w:space="0" w:color="auto"/>
            </w:tcBorders>
          </w:tcPr>
          <w:p w14:paraId="6A1B2F7C" w14:textId="2338CB6B" w:rsidR="00016B63" w:rsidRPr="00C2322F" w:rsidRDefault="00016B63" w:rsidP="00016B63">
            <w:pPr>
              <w:rPr>
                <w:sz w:val="16"/>
                <w:szCs w:val="16"/>
                <w:highlight w:val="yellow"/>
              </w:rPr>
            </w:pPr>
            <w:r w:rsidRPr="00C2322F">
              <w:rPr>
                <w:sz w:val="16"/>
                <w:szCs w:val="16"/>
                <w:highlight w:val="yellow"/>
              </w:rPr>
              <w:t>155223</w:t>
            </w:r>
          </w:p>
        </w:tc>
        <w:tc>
          <w:tcPr>
            <w:tcW w:w="285" w:type="pct"/>
            <w:tcBorders>
              <w:top w:val="single" w:sz="4" w:space="0" w:color="auto"/>
            </w:tcBorders>
          </w:tcPr>
          <w:p w14:paraId="7937493A" w14:textId="6F8ABE6B" w:rsidR="00016B63" w:rsidRPr="00C2322F" w:rsidRDefault="00016B63" w:rsidP="00016B63">
            <w:pPr>
              <w:rPr>
                <w:bCs/>
                <w:sz w:val="16"/>
                <w:szCs w:val="16"/>
                <w:highlight w:val="yellow"/>
              </w:rPr>
            </w:pPr>
            <w:r w:rsidRPr="00C2322F">
              <w:rPr>
                <w:bCs/>
                <w:sz w:val="16"/>
                <w:szCs w:val="16"/>
                <w:highlight w:val="yellow"/>
              </w:rPr>
              <w:t>1.09%</w:t>
            </w:r>
          </w:p>
        </w:tc>
        <w:tc>
          <w:tcPr>
            <w:tcW w:w="308" w:type="pct"/>
            <w:tcBorders>
              <w:top w:val="single" w:sz="4" w:space="0" w:color="auto"/>
            </w:tcBorders>
          </w:tcPr>
          <w:p w14:paraId="454BA20C" w14:textId="5F16279C" w:rsidR="00016B63" w:rsidRPr="00C2322F" w:rsidRDefault="00016B63" w:rsidP="00016B63">
            <w:pPr>
              <w:rPr>
                <w:bCs/>
                <w:sz w:val="16"/>
                <w:szCs w:val="16"/>
                <w:highlight w:val="yellow"/>
              </w:rPr>
            </w:pPr>
            <w:r w:rsidRPr="00C2322F">
              <w:rPr>
                <w:bCs/>
                <w:sz w:val="16"/>
                <w:szCs w:val="16"/>
                <w:highlight w:val="yellow"/>
              </w:rPr>
              <w:t>0.64%</w:t>
            </w:r>
          </w:p>
        </w:tc>
      </w:tr>
      <w:tr w:rsidR="00016B63" w:rsidRPr="007E3513" w14:paraId="4C168AEE" w14:textId="203E6D67" w:rsidTr="00D17D66">
        <w:tc>
          <w:tcPr>
            <w:tcW w:w="629" w:type="pct"/>
            <w:tcBorders>
              <w:top w:val="nil"/>
            </w:tcBorders>
          </w:tcPr>
          <w:p w14:paraId="555C991C" w14:textId="77777777" w:rsidR="00016B63" w:rsidRPr="007E3513" w:rsidRDefault="00016B63" w:rsidP="00016B63">
            <w:pPr>
              <w:rPr>
                <w:sz w:val="16"/>
                <w:szCs w:val="16"/>
              </w:rPr>
            </w:pPr>
            <w:r w:rsidRPr="007E3513">
              <w:rPr>
                <w:sz w:val="16"/>
                <w:szCs w:val="16"/>
              </w:rPr>
              <w:t>One change</w:t>
            </w:r>
          </w:p>
        </w:tc>
        <w:tc>
          <w:tcPr>
            <w:tcW w:w="631" w:type="pct"/>
            <w:tcBorders>
              <w:top w:val="nil"/>
            </w:tcBorders>
          </w:tcPr>
          <w:p w14:paraId="5C6AB34B" w14:textId="666050D0" w:rsidR="00016B63" w:rsidRPr="00C2322F" w:rsidRDefault="00016B63" w:rsidP="00016B63">
            <w:pPr>
              <w:rPr>
                <w:sz w:val="16"/>
                <w:szCs w:val="16"/>
                <w:highlight w:val="yellow"/>
              </w:rPr>
            </w:pPr>
            <w:r w:rsidRPr="00C2322F">
              <w:rPr>
                <w:sz w:val="16"/>
                <w:szCs w:val="16"/>
                <w:highlight w:val="yellow"/>
              </w:rPr>
              <w:t>18%</w:t>
            </w:r>
          </w:p>
        </w:tc>
        <w:tc>
          <w:tcPr>
            <w:tcW w:w="354" w:type="pct"/>
            <w:shd w:val="clear" w:color="auto" w:fill="auto"/>
          </w:tcPr>
          <w:p w14:paraId="046D2236" w14:textId="3343C7E9" w:rsidR="00016B63" w:rsidRPr="00C2322F" w:rsidRDefault="00016B63" w:rsidP="00016B63">
            <w:pPr>
              <w:rPr>
                <w:sz w:val="16"/>
                <w:szCs w:val="16"/>
                <w:highlight w:val="yellow"/>
              </w:rPr>
            </w:pPr>
            <w:r w:rsidRPr="00C2322F">
              <w:rPr>
                <w:sz w:val="16"/>
                <w:szCs w:val="16"/>
                <w:highlight w:val="yellow"/>
              </w:rPr>
              <w:t>854507</w:t>
            </w:r>
          </w:p>
        </w:tc>
        <w:tc>
          <w:tcPr>
            <w:tcW w:w="303" w:type="pct"/>
          </w:tcPr>
          <w:p w14:paraId="69C61C8D" w14:textId="5651F29B" w:rsidR="00016B63" w:rsidRPr="00C2322F" w:rsidRDefault="00016B63" w:rsidP="00016B63">
            <w:pPr>
              <w:rPr>
                <w:sz w:val="16"/>
                <w:szCs w:val="16"/>
                <w:highlight w:val="yellow"/>
              </w:rPr>
            </w:pPr>
            <w:r w:rsidRPr="00C2322F">
              <w:rPr>
                <w:sz w:val="16"/>
                <w:szCs w:val="16"/>
                <w:highlight w:val="yellow"/>
              </w:rPr>
              <w:t>217825</w:t>
            </w:r>
          </w:p>
        </w:tc>
        <w:tc>
          <w:tcPr>
            <w:tcW w:w="303" w:type="pct"/>
            <w:shd w:val="clear" w:color="auto" w:fill="auto"/>
          </w:tcPr>
          <w:p w14:paraId="0E055B6B" w14:textId="4C4ED664" w:rsidR="00016B63" w:rsidRPr="00C2322F" w:rsidRDefault="00016B63" w:rsidP="00016B63">
            <w:pPr>
              <w:rPr>
                <w:bCs/>
                <w:sz w:val="16"/>
                <w:szCs w:val="16"/>
                <w:highlight w:val="yellow"/>
              </w:rPr>
            </w:pPr>
            <w:r w:rsidRPr="00C2322F">
              <w:rPr>
                <w:bCs/>
                <w:sz w:val="16"/>
                <w:szCs w:val="16"/>
                <w:highlight w:val="yellow"/>
              </w:rPr>
              <w:t>3.52%</w:t>
            </w:r>
          </w:p>
        </w:tc>
        <w:tc>
          <w:tcPr>
            <w:tcW w:w="354" w:type="pct"/>
          </w:tcPr>
          <w:p w14:paraId="3900CB95" w14:textId="6EC0118E" w:rsidR="00016B63" w:rsidRPr="00C2322F" w:rsidRDefault="00016B63" w:rsidP="00016B63">
            <w:pPr>
              <w:rPr>
                <w:bCs/>
                <w:sz w:val="16"/>
                <w:szCs w:val="16"/>
                <w:highlight w:val="yellow"/>
              </w:rPr>
            </w:pPr>
            <w:r w:rsidRPr="00C2322F">
              <w:rPr>
                <w:bCs/>
                <w:sz w:val="16"/>
                <w:szCs w:val="16"/>
                <w:highlight w:val="yellow"/>
              </w:rPr>
              <w:t>0.90%</w:t>
            </w:r>
          </w:p>
        </w:tc>
        <w:tc>
          <w:tcPr>
            <w:tcW w:w="303" w:type="pct"/>
          </w:tcPr>
          <w:p w14:paraId="70422A22" w14:textId="64850D53" w:rsidR="00016B63" w:rsidRPr="00C2322F" w:rsidRDefault="00016B63" w:rsidP="00016B63">
            <w:pPr>
              <w:rPr>
                <w:sz w:val="16"/>
                <w:szCs w:val="16"/>
                <w:highlight w:val="yellow"/>
              </w:rPr>
            </w:pPr>
            <w:r w:rsidRPr="00C2322F">
              <w:rPr>
                <w:sz w:val="16"/>
                <w:szCs w:val="16"/>
                <w:highlight w:val="yellow"/>
              </w:rPr>
              <w:t>838527</w:t>
            </w:r>
          </w:p>
        </w:tc>
        <w:tc>
          <w:tcPr>
            <w:tcW w:w="304" w:type="pct"/>
          </w:tcPr>
          <w:p w14:paraId="35573D2F" w14:textId="137E5FF1" w:rsidR="00016B63" w:rsidRPr="00C2322F" w:rsidRDefault="00016B63" w:rsidP="00016B63">
            <w:pPr>
              <w:rPr>
                <w:sz w:val="16"/>
                <w:szCs w:val="16"/>
                <w:highlight w:val="yellow"/>
              </w:rPr>
            </w:pPr>
            <w:r w:rsidRPr="00C2322F">
              <w:rPr>
                <w:sz w:val="16"/>
                <w:szCs w:val="16"/>
                <w:highlight w:val="yellow"/>
              </w:rPr>
              <w:t>352015</w:t>
            </w:r>
          </w:p>
        </w:tc>
        <w:tc>
          <w:tcPr>
            <w:tcW w:w="302" w:type="pct"/>
          </w:tcPr>
          <w:p w14:paraId="5D5DB793" w14:textId="166D7DD4" w:rsidR="00016B63" w:rsidRPr="00C2322F" w:rsidRDefault="00016B63" w:rsidP="00016B63">
            <w:pPr>
              <w:rPr>
                <w:bCs/>
                <w:sz w:val="16"/>
                <w:szCs w:val="16"/>
                <w:highlight w:val="yellow"/>
              </w:rPr>
            </w:pPr>
            <w:r w:rsidRPr="00C2322F">
              <w:rPr>
                <w:bCs/>
                <w:sz w:val="16"/>
                <w:szCs w:val="16"/>
                <w:highlight w:val="yellow"/>
              </w:rPr>
              <w:t>3.45%</w:t>
            </w:r>
          </w:p>
        </w:tc>
        <w:tc>
          <w:tcPr>
            <w:tcW w:w="305" w:type="pct"/>
          </w:tcPr>
          <w:p w14:paraId="7163A687" w14:textId="74348F3F" w:rsidR="00016B63" w:rsidRPr="00C2322F" w:rsidRDefault="00016B63" w:rsidP="00016B63">
            <w:pPr>
              <w:rPr>
                <w:bCs/>
                <w:sz w:val="16"/>
                <w:szCs w:val="16"/>
                <w:highlight w:val="yellow"/>
              </w:rPr>
            </w:pPr>
            <w:r w:rsidRPr="00C2322F">
              <w:rPr>
                <w:bCs/>
                <w:sz w:val="16"/>
                <w:szCs w:val="16"/>
                <w:highlight w:val="yellow"/>
              </w:rPr>
              <w:t>1.45%</w:t>
            </w:r>
          </w:p>
        </w:tc>
        <w:tc>
          <w:tcPr>
            <w:tcW w:w="323" w:type="pct"/>
          </w:tcPr>
          <w:p w14:paraId="6ED2FE07" w14:textId="485258AB" w:rsidR="00016B63" w:rsidRPr="00C2322F" w:rsidRDefault="00016B63" w:rsidP="00016B63">
            <w:pPr>
              <w:rPr>
                <w:sz w:val="16"/>
                <w:szCs w:val="16"/>
                <w:highlight w:val="yellow"/>
              </w:rPr>
            </w:pPr>
            <w:r w:rsidRPr="00C2322F">
              <w:rPr>
                <w:sz w:val="16"/>
                <w:szCs w:val="16"/>
                <w:highlight w:val="yellow"/>
              </w:rPr>
              <w:t>307371</w:t>
            </w:r>
          </w:p>
        </w:tc>
        <w:tc>
          <w:tcPr>
            <w:tcW w:w="296" w:type="pct"/>
          </w:tcPr>
          <w:p w14:paraId="2F683719" w14:textId="6AF72E12" w:rsidR="00016B63" w:rsidRPr="00C2322F" w:rsidRDefault="00016B63" w:rsidP="00016B63">
            <w:pPr>
              <w:rPr>
                <w:sz w:val="16"/>
                <w:szCs w:val="16"/>
                <w:highlight w:val="yellow"/>
              </w:rPr>
            </w:pPr>
            <w:r w:rsidRPr="00C2322F">
              <w:rPr>
                <w:sz w:val="16"/>
                <w:szCs w:val="16"/>
                <w:highlight w:val="yellow"/>
              </w:rPr>
              <w:t>160246</w:t>
            </w:r>
          </w:p>
        </w:tc>
        <w:tc>
          <w:tcPr>
            <w:tcW w:w="285" w:type="pct"/>
          </w:tcPr>
          <w:p w14:paraId="6CE203AD" w14:textId="035BDDDB" w:rsidR="00016B63" w:rsidRPr="00C2322F" w:rsidRDefault="00016B63" w:rsidP="00016B63">
            <w:pPr>
              <w:rPr>
                <w:bCs/>
                <w:sz w:val="16"/>
                <w:szCs w:val="16"/>
                <w:highlight w:val="yellow"/>
              </w:rPr>
            </w:pPr>
            <w:r w:rsidRPr="00C2322F">
              <w:rPr>
                <w:bCs/>
                <w:sz w:val="16"/>
                <w:szCs w:val="16"/>
                <w:highlight w:val="yellow"/>
              </w:rPr>
              <w:t>1.26%</w:t>
            </w:r>
          </w:p>
        </w:tc>
        <w:tc>
          <w:tcPr>
            <w:tcW w:w="308" w:type="pct"/>
          </w:tcPr>
          <w:p w14:paraId="15F7BAC6" w14:textId="743E3BFD" w:rsidR="00016B63" w:rsidRPr="00C2322F" w:rsidRDefault="00016B63" w:rsidP="00016B63">
            <w:pPr>
              <w:rPr>
                <w:bCs/>
                <w:sz w:val="16"/>
                <w:szCs w:val="16"/>
                <w:highlight w:val="yellow"/>
              </w:rPr>
            </w:pPr>
            <w:r w:rsidRPr="00C2322F">
              <w:rPr>
                <w:bCs/>
                <w:sz w:val="16"/>
                <w:szCs w:val="16"/>
                <w:highlight w:val="yellow"/>
              </w:rPr>
              <w:t>0.66%</w:t>
            </w:r>
          </w:p>
        </w:tc>
      </w:tr>
      <w:tr w:rsidR="00016B63" w:rsidRPr="007E3513" w14:paraId="6F948C38" w14:textId="37151C08" w:rsidTr="00D17D66">
        <w:tc>
          <w:tcPr>
            <w:tcW w:w="629" w:type="pct"/>
          </w:tcPr>
          <w:p w14:paraId="285D41E6" w14:textId="77777777" w:rsidR="00016B63" w:rsidRPr="007E3513" w:rsidRDefault="00016B63" w:rsidP="00016B63">
            <w:pPr>
              <w:rPr>
                <w:sz w:val="16"/>
                <w:szCs w:val="16"/>
              </w:rPr>
            </w:pPr>
            <w:r w:rsidRPr="007E3513">
              <w:rPr>
                <w:sz w:val="16"/>
                <w:szCs w:val="16"/>
              </w:rPr>
              <w:t>Two changes</w:t>
            </w:r>
          </w:p>
        </w:tc>
        <w:tc>
          <w:tcPr>
            <w:tcW w:w="631" w:type="pct"/>
          </w:tcPr>
          <w:p w14:paraId="1CB5DA64" w14:textId="495C6FC0" w:rsidR="00016B63" w:rsidRPr="00C2322F" w:rsidRDefault="00016B63" w:rsidP="00016B63">
            <w:pPr>
              <w:rPr>
                <w:sz w:val="16"/>
                <w:szCs w:val="16"/>
                <w:highlight w:val="yellow"/>
              </w:rPr>
            </w:pPr>
            <w:r w:rsidRPr="00C2322F">
              <w:rPr>
                <w:sz w:val="16"/>
                <w:szCs w:val="16"/>
                <w:highlight w:val="yellow"/>
              </w:rPr>
              <w:t>3%</w:t>
            </w:r>
          </w:p>
        </w:tc>
        <w:tc>
          <w:tcPr>
            <w:tcW w:w="354" w:type="pct"/>
            <w:shd w:val="clear" w:color="auto" w:fill="auto"/>
          </w:tcPr>
          <w:p w14:paraId="0787ECE6" w14:textId="269CA42D" w:rsidR="00016B63" w:rsidRPr="00C2322F" w:rsidRDefault="00016B63" w:rsidP="00016B63">
            <w:pPr>
              <w:rPr>
                <w:sz w:val="16"/>
                <w:szCs w:val="16"/>
                <w:highlight w:val="yellow"/>
              </w:rPr>
            </w:pPr>
            <w:r w:rsidRPr="00C2322F">
              <w:rPr>
                <w:sz w:val="16"/>
                <w:szCs w:val="16"/>
                <w:highlight w:val="yellow"/>
              </w:rPr>
              <w:t>467500</w:t>
            </w:r>
          </w:p>
        </w:tc>
        <w:tc>
          <w:tcPr>
            <w:tcW w:w="303" w:type="pct"/>
          </w:tcPr>
          <w:p w14:paraId="0497DA5F" w14:textId="296EBAA8" w:rsidR="00016B63" w:rsidRPr="00C2322F" w:rsidRDefault="00016B63" w:rsidP="00016B63">
            <w:pPr>
              <w:rPr>
                <w:sz w:val="16"/>
                <w:szCs w:val="16"/>
                <w:highlight w:val="yellow"/>
              </w:rPr>
            </w:pPr>
            <w:r w:rsidRPr="00C2322F">
              <w:rPr>
                <w:sz w:val="16"/>
                <w:szCs w:val="16"/>
                <w:highlight w:val="yellow"/>
              </w:rPr>
              <w:t>110228</w:t>
            </w:r>
          </w:p>
        </w:tc>
        <w:tc>
          <w:tcPr>
            <w:tcW w:w="303" w:type="pct"/>
            <w:shd w:val="clear" w:color="auto" w:fill="auto"/>
          </w:tcPr>
          <w:p w14:paraId="27805AA5" w14:textId="38AE3CA0" w:rsidR="00016B63" w:rsidRPr="00C2322F" w:rsidRDefault="00016B63" w:rsidP="00016B63">
            <w:pPr>
              <w:rPr>
                <w:bCs/>
                <w:sz w:val="16"/>
                <w:szCs w:val="16"/>
                <w:highlight w:val="yellow"/>
              </w:rPr>
            </w:pPr>
            <w:r w:rsidRPr="00C2322F">
              <w:rPr>
                <w:bCs/>
                <w:sz w:val="16"/>
                <w:szCs w:val="16"/>
                <w:highlight w:val="yellow"/>
              </w:rPr>
              <w:t>1.92%</w:t>
            </w:r>
          </w:p>
        </w:tc>
        <w:tc>
          <w:tcPr>
            <w:tcW w:w="354" w:type="pct"/>
          </w:tcPr>
          <w:p w14:paraId="18ACD52F" w14:textId="02AD271E" w:rsidR="00016B63" w:rsidRPr="00C2322F" w:rsidRDefault="00016B63" w:rsidP="00016B63">
            <w:pPr>
              <w:rPr>
                <w:bCs/>
                <w:sz w:val="16"/>
                <w:szCs w:val="16"/>
                <w:highlight w:val="yellow"/>
              </w:rPr>
            </w:pPr>
            <w:r w:rsidRPr="00C2322F">
              <w:rPr>
                <w:bCs/>
                <w:sz w:val="16"/>
                <w:szCs w:val="16"/>
                <w:highlight w:val="yellow"/>
              </w:rPr>
              <w:t>0.45%</w:t>
            </w:r>
          </w:p>
        </w:tc>
        <w:tc>
          <w:tcPr>
            <w:tcW w:w="303" w:type="pct"/>
          </w:tcPr>
          <w:p w14:paraId="50A1256F" w14:textId="370018A5" w:rsidR="00016B63" w:rsidRPr="00C2322F" w:rsidRDefault="00016B63" w:rsidP="00016B63">
            <w:pPr>
              <w:rPr>
                <w:sz w:val="16"/>
                <w:szCs w:val="16"/>
                <w:highlight w:val="yellow"/>
              </w:rPr>
            </w:pPr>
            <w:r w:rsidRPr="00C2322F">
              <w:rPr>
                <w:sz w:val="16"/>
                <w:szCs w:val="16"/>
                <w:highlight w:val="yellow"/>
              </w:rPr>
              <w:t>474940</w:t>
            </w:r>
          </w:p>
        </w:tc>
        <w:tc>
          <w:tcPr>
            <w:tcW w:w="304" w:type="pct"/>
          </w:tcPr>
          <w:p w14:paraId="5125F2A2" w14:textId="34A786BE" w:rsidR="00016B63" w:rsidRPr="00C2322F" w:rsidRDefault="00016B63" w:rsidP="00016B63">
            <w:pPr>
              <w:rPr>
                <w:sz w:val="16"/>
                <w:szCs w:val="16"/>
                <w:highlight w:val="yellow"/>
              </w:rPr>
            </w:pPr>
            <w:r w:rsidRPr="00C2322F">
              <w:rPr>
                <w:sz w:val="16"/>
                <w:szCs w:val="16"/>
                <w:highlight w:val="yellow"/>
              </w:rPr>
              <w:t>162754</w:t>
            </w:r>
          </w:p>
        </w:tc>
        <w:tc>
          <w:tcPr>
            <w:tcW w:w="302" w:type="pct"/>
          </w:tcPr>
          <w:p w14:paraId="4C882DC0" w14:textId="0F271B20" w:rsidR="00016B63" w:rsidRPr="00C2322F" w:rsidRDefault="00016B63" w:rsidP="00016B63">
            <w:pPr>
              <w:rPr>
                <w:bCs/>
                <w:sz w:val="16"/>
                <w:szCs w:val="16"/>
                <w:highlight w:val="yellow"/>
              </w:rPr>
            </w:pPr>
            <w:r w:rsidRPr="00C2322F">
              <w:rPr>
                <w:bCs/>
                <w:sz w:val="16"/>
                <w:szCs w:val="16"/>
                <w:highlight w:val="yellow"/>
              </w:rPr>
              <w:t>1.95%</w:t>
            </w:r>
          </w:p>
        </w:tc>
        <w:tc>
          <w:tcPr>
            <w:tcW w:w="305" w:type="pct"/>
          </w:tcPr>
          <w:p w14:paraId="76E49EEB" w14:textId="0E309F37" w:rsidR="00016B63" w:rsidRPr="00C2322F" w:rsidRDefault="00016B63" w:rsidP="00016B63">
            <w:pPr>
              <w:rPr>
                <w:bCs/>
                <w:sz w:val="16"/>
                <w:szCs w:val="16"/>
                <w:highlight w:val="yellow"/>
              </w:rPr>
            </w:pPr>
            <w:r w:rsidRPr="00C2322F">
              <w:rPr>
                <w:bCs/>
                <w:sz w:val="16"/>
                <w:szCs w:val="16"/>
                <w:highlight w:val="yellow"/>
              </w:rPr>
              <w:t>0.67%</w:t>
            </w:r>
          </w:p>
        </w:tc>
        <w:tc>
          <w:tcPr>
            <w:tcW w:w="323" w:type="pct"/>
          </w:tcPr>
          <w:p w14:paraId="37DA0C7D" w14:textId="0BCB7B62" w:rsidR="00016B63" w:rsidRPr="00C2322F" w:rsidRDefault="00016B63" w:rsidP="00016B63">
            <w:pPr>
              <w:rPr>
                <w:sz w:val="16"/>
                <w:szCs w:val="16"/>
                <w:highlight w:val="yellow"/>
              </w:rPr>
            </w:pPr>
            <w:r w:rsidRPr="00C2322F">
              <w:rPr>
                <w:sz w:val="16"/>
                <w:szCs w:val="16"/>
                <w:highlight w:val="yellow"/>
              </w:rPr>
              <w:t>241246</w:t>
            </w:r>
          </w:p>
        </w:tc>
        <w:tc>
          <w:tcPr>
            <w:tcW w:w="296" w:type="pct"/>
          </w:tcPr>
          <w:p w14:paraId="431DF6DE" w14:textId="45B4C188" w:rsidR="00016B63" w:rsidRPr="00C2322F" w:rsidRDefault="00016B63" w:rsidP="00016B63">
            <w:pPr>
              <w:rPr>
                <w:sz w:val="16"/>
                <w:szCs w:val="16"/>
                <w:highlight w:val="yellow"/>
              </w:rPr>
            </w:pPr>
            <w:r w:rsidRPr="00C2322F">
              <w:rPr>
                <w:sz w:val="16"/>
                <w:szCs w:val="16"/>
                <w:highlight w:val="yellow"/>
              </w:rPr>
              <w:t>89551</w:t>
            </w:r>
          </w:p>
        </w:tc>
        <w:tc>
          <w:tcPr>
            <w:tcW w:w="285" w:type="pct"/>
          </w:tcPr>
          <w:p w14:paraId="5DBF61B5" w14:textId="7354A062" w:rsidR="00016B63" w:rsidRPr="00C2322F" w:rsidRDefault="00016B63" w:rsidP="00016B63">
            <w:pPr>
              <w:rPr>
                <w:bCs/>
                <w:sz w:val="16"/>
                <w:szCs w:val="16"/>
                <w:highlight w:val="yellow"/>
              </w:rPr>
            </w:pPr>
            <w:r w:rsidRPr="00C2322F">
              <w:rPr>
                <w:bCs/>
                <w:sz w:val="16"/>
                <w:szCs w:val="16"/>
                <w:highlight w:val="yellow"/>
              </w:rPr>
              <w:t>0.99%</w:t>
            </w:r>
          </w:p>
        </w:tc>
        <w:tc>
          <w:tcPr>
            <w:tcW w:w="308" w:type="pct"/>
          </w:tcPr>
          <w:p w14:paraId="3FE1391F" w14:textId="12184963" w:rsidR="00016B63" w:rsidRPr="00C2322F" w:rsidRDefault="00016B63" w:rsidP="00016B63">
            <w:pPr>
              <w:rPr>
                <w:bCs/>
                <w:sz w:val="16"/>
                <w:szCs w:val="16"/>
                <w:highlight w:val="yellow"/>
              </w:rPr>
            </w:pPr>
            <w:r w:rsidRPr="00C2322F">
              <w:rPr>
                <w:bCs/>
                <w:sz w:val="16"/>
                <w:szCs w:val="16"/>
                <w:highlight w:val="yellow"/>
              </w:rPr>
              <w:t>0.37%</w:t>
            </w:r>
          </w:p>
        </w:tc>
      </w:tr>
      <w:tr w:rsidR="00016B63" w:rsidRPr="007E3513" w14:paraId="14C95BF5" w14:textId="53D32058" w:rsidTr="00D17D66">
        <w:tc>
          <w:tcPr>
            <w:tcW w:w="629" w:type="pct"/>
            <w:tcBorders>
              <w:bottom w:val="nil"/>
            </w:tcBorders>
          </w:tcPr>
          <w:p w14:paraId="719EBE7D" w14:textId="77777777" w:rsidR="00016B63" w:rsidRPr="007E3513" w:rsidRDefault="00016B63" w:rsidP="00016B63">
            <w:pPr>
              <w:rPr>
                <w:sz w:val="16"/>
                <w:szCs w:val="16"/>
              </w:rPr>
            </w:pPr>
            <w:r w:rsidRPr="007E3513">
              <w:rPr>
                <w:sz w:val="16"/>
                <w:szCs w:val="16"/>
              </w:rPr>
              <w:t>&gt; Two changes</w:t>
            </w:r>
          </w:p>
        </w:tc>
        <w:tc>
          <w:tcPr>
            <w:tcW w:w="631" w:type="pct"/>
            <w:tcBorders>
              <w:bottom w:val="nil"/>
            </w:tcBorders>
          </w:tcPr>
          <w:p w14:paraId="71FEA49D" w14:textId="066F6735" w:rsidR="00016B63" w:rsidRPr="00C2322F" w:rsidRDefault="00016B63" w:rsidP="00016B63">
            <w:pPr>
              <w:rPr>
                <w:sz w:val="16"/>
                <w:szCs w:val="16"/>
                <w:highlight w:val="yellow"/>
              </w:rPr>
            </w:pPr>
            <w:r w:rsidRPr="00C2322F">
              <w:rPr>
                <w:sz w:val="16"/>
                <w:szCs w:val="16"/>
                <w:highlight w:val="yellow"/>
              </w:rPr>
              <w:t>3%</w:t>
            </w:r>
          </w:p>
        </w:tc>
        <w:tc>
          <w:tcPr>
            <w:tcW w:w="354" w:type="pct"/>
            <w:tcBorders>
              <w:bottom w:val="nil"/>
            </w:tcBorders>
            <w:shd w:val="clear" w:color="auto" w:fill="auto"/>
          </w:tcPr>
          <w:p w14:paraId="50FE07C1" w14:textId="2963DD5A" w:rsidR="00016B63" w:rsidRPr="00C2322F" w:rsidRDefault="00016B63" w:rsidP="00016B63">
            <w:pPr>
              <w:rPr>
                <w:sz w:val="16"/>
                <w:szCs w:val="16"/>
                <w:highlight w:val="yellow"/>
              </w:rPr>
            </w:pPr>
            <w:r w:rsidRPr="00C2322F">
              <w:rPr>
                <w:sz w:val="16"/>
                <w:szCs w:val="16"/>
                <w:highlight w:val="yellow"/>
              </w:rPr>
              <w:t>144460</w:t>
            </w:r>
          </w:p>
        </w:tc>
        <w:tc>
          <w:tcPr>
            <w:tcW w:w="303" w:type="pct"/>
            <w:tcBorders>
              <w:bottom w:val="nil"/>
            </w:tcBorders>
          </w:tcPr>
          <w:p w14:paraId="3C7C6688" w14:textId="7459725E" w:rsidR="00016B63" w:rsidRPr="00C2322F" w:rsidRDefault="00016B63" w:rsidP="00016B63">
            <w:pPr>
              <w:rPr>
                <w:sz w:val="16"/>
                <w:szCs w:val="16"/>
                <w:highlight w:val="yellow"/>
              </w:rPr>
            </w:pPr>
            <w:r w:rsidRPr="00C2322F">
              <w:rPr>
                <w:sz w:val="16"/>
                <w:szCs w:val="16"/>
                <w:highlight w:val="yellow"/>
              </w:rPr>
              <w:t>52850</w:t>
            </w:r>
          </w:p>
        </w:tc>
        <w:tc>
          <w:tcPr>
            <w:tcW w:w="303" w:type="pct"/>
            <w:tcBorders>
              <w:bottom w:val="nil"/>
            </w:tcBorders>
            <w:shd w:val="clear" w:color="auto" w:fill="auto"/>
          </w:tcPr>
          <w:p w14:paraId="457D5C02" w14:textId="1EC14700" w:rsidR="00016B63" w:rsidRPr="00C2322F" w:rsidRDefault="00016B63" w:rsidP="00016B63">
            <w:pPr>
              <w:rPr>
                <w:bCs/>
                <w:sz w:val="16"/>
                <w:szCs w:val="16"/>
                <w:highlight w:val="yellow"/>
              </w:rPr>
            </w:pPr>
            <w:r w:rsidRPr="00C2322F">
              <w:rPr>
                <w:bCs/>
                <w:sz w:val="16"/>
                <w:szCs w:val="16"/>
                <w:highlight w:val="yellow"/>
              </w:rPr>
              <w:t>0.59%</w:t>
            </w:r>
          </w:p>
        </w:tc>
        <w:tc>
          <w:tcPr>
            <w:tcW w:w="354" w:type="pct"/>
            <w:tcBorders>
              <w:bottom w:val="nil"/>
            </w:tcBorders>
          </w:tcPr>
          <w:p w14:paraId="5F89F209" w14:textId="047BE08C" w:rsidR="00016B63" w:rsidRPr="00C2322F" w:rsidRDefault="00016B63" w:rsidP="00016B63">
            <w:pPr>
              <w:rPr>
                <w:bCs/>
                <w:sz w:val="16"/>
                <w:szCs w:val="16"/>
                <w:highlight w:val="yellow"/>
              </w:rPr>
            </w:pPr>
            <w:r w:rsidRPr="00C2322F">
              <w:rPr>
                <w:bCs/>
                <w:sz w:val="16"/>
                <w:szCs w:val="16"/>
                <w:highlight w:val="yellow"/>
              </w:rPr>
              <w:t>0.22%</w:t>
            </w:r>
          </w:p>
        </w:tc>
        <w:tc>
          <w:tcPr>
            <w:tcW w:w="303" w:type="pct"/>
            <w:tcBorders>
              <w:bottom w:val="nil"/>
            </w:tcBorders>
          </w:tcPr>
          <w:p w14:paraId="0B764D12" w14:textId="19E73A90" w:rsidR="00016B63" w:rsidRPr="00C2322F" w:rsidRDefault="00016B63" w:rsidP="00016B63">
            <w:pPr>
              <w:rPr>
                <w:sz w:val="16"/>
                <w:szCs w:val="16"/>
                <w:highlight w:val="yellow"/>
              </w:rPr>
            </w:pPr>
            <w:r w:rsidRPr="00C2322F">
              <w:rPr>
                <w:sz w:val="16"/>
                <w:szCs w:val="16"/>
                <w:highlight w:val="yellow"/>
              </w:rPr>
              <w:t>195508</w:t>
            </w:r>
          </w:p>
        </w:tc>
        <w:tc>
          <w:tcPr>
            <w:tcW w:w="304" w:type="pct"/>
            <w:tcBorders>
              <w:bottom w:val="nil"/>
            </w:tcBorders>
          </w:tcPr>
          <w:p w14:paraId="547760F6" w14:textId="641C374A" w:rsidR="00016B63" w:rsidRPr="00C2322F" w:rsidRDefault="00016B63" w:rsidP="00016B63">
            <w:pPr>
              <w:rPr>
                <w:sz w:val="16"/>
                <w:szCs w:val="16"/>
                <w:highlight w:val="yellow"/>
              </w:rPr>
            </w:pPr>
            <w:r w:rsidRPr="00C2322F">
              <w:rPr>
                <w:sz w:val="16"/>
                <w:szCs w:val="16"/>
                <w:highlight w:val="yellow"/>
              </w:rPr>
              <w:t>54218</w:t>
            </w:r>
          </w:p>
        </w:tc>
        <w:tc>
          <w:tcPr>
            <w:tcW w:w="302" w:type="pct"/>
            <w:tcBorders>
              <w:bottom w:val="nil"/>
            </w:tcBorders>
          </w:tcPr>
          <w:p w14:paraId="6A950679" w14:textId="57CBC079" w:rsidR="00016B63" w:rsidRPr="00C2322F" w:rsidRDefault="00016B63" w:rsidP="00016B63">
            <w:pPr>
              <w:rPr>
                <w:bCs/>
                <w:sz w:val="16"/>
                <w:szCs w:val="16"/>
                <w:highlight w:val="yellow"/>
              </w:rPr>
            </w:pPr>
            <w:r w:rsidRPr="00C2322F">
              <w:rPr>
                <w:bCs/>
                <w:sz w:val="16"/>
                <w:szCs w:val="16"/>
                <w:highlight w:val="yellow"/>
              </w:rPr>
              <w:t>0.80%</w:t>
            </w:r>
          </w:p>
        </w:tc>
        <w:tc>
          <w:tcPr>
            <w:tcW w:w="305" w:type="pct"/>
            <w:tcBorders>
              <w:bottom w:val="nil"/>
            </w:tcBorders>
          </w:tcPr>
          <w:p w14:paraId="6E52166B" w14:textId="33BE0019" w:rsidR="00016B63" w:rsidRPr="00C2322F" w:rsidRDefault="00016B63" w:rsidP="00016B63">
            <w:pPr>
              <w:rPr>
                <w:bCs/>
                <w:sz w:val="16"/>
                <w:szCs w:val="16"/>
                <w:highlight w:val="yellow"/>
              </w:rPr>
            </w:pPr>
            <w:r w:rsidRPr="00C2322F">
              <w:rPr>
                <w:bCs/>
                <w:sz w:val="16"/>
                <w:szCs w:val="16"/>
                <w:highlight w:val="yellow"/>
              </w:rPr>
              <w:t>0.22%</w:t>
            </w:r>
          </w:p>
        </w:tc>
        <w:tc>
          <w:tcPr>
            <w:tcW w:w="323" w:type="pct"/>
            <w:tcBorders>
              <w:bottom w:val="nil"/>
            </w:tcBorders>
          </w:tcPr>
          <w:p w14:paraId="02CFAAC4" w14:textId="14023BA7" w:rsidR="00016B63" w:rsidRPr="00C2322F" w:rsidRDefault="00016B63" w:rsidP="00016B63">
            <w:pPr>
              <w:rPr>
                <w:sz w:val="16"/>
                <w:szCs w:val="16"/>
                <w:highlight w:val="yellow"/>
              </w:rPr>
            </w:pPr>
            <w:r w:rsidRPr="00C2322F">
              <w:rPr>
                <w:sz w:val="16"/>
                <w:szCs w:val="16"/>
                <w:highlight w:val="yellow"/>
              </w:rPr>
              <w:t>144022</w:t>
            </w:r>
          </w:p>
        </w:tc>
        <w:tc>
          <w:tcPr>
            <w:tcW w:w="296" w:type="pct"/>
            <w:tcBorders>
              <w:bottom w:val="nil"/>
            </w:tcBorders>
          </w:tcPr>
          <w:p w14:paraId="73D6DC2B" w14:textId="73810D4A" w:rsidR="00016B63" w:rsidRPr="00C2322F" w:rsidRDefault="00016B63" w:rsidP="00016B63">
            <w:pPr>
              <w:rPr>
                <w:sz w:val="16"/>
                <w:szCs w:val="16"/>
                <w:highlight w:val="yellow"/>
              </w:rPr>
            </w:pPr>
            <w:r w:rsidRPr="00C2322F">
              <w:rPr>
                <w:sz w:val="16"/>
                <w:szCs w:val="16"/>
                <w:highlight w:val="yellow"/>
              </w:rPr>
              <w:t>28400</w:t>
            </w:r>
          </w:p>
        </w:tc>
        <w:tc>
          <w:tcPr>
            <w:tcW w:w="285" w:type="pct"/>
            <w:tcBorders>
              <w:bottom w:val="nil"/>
            </w:tcBorders>
          </w:tcPr>
          <w:p w14:paraId="11DC8BC8" w14:textId="355D983C" w:rsidR="00016B63" w:rsidRPr="00C2322F" w:rsidRDefault="00016B63" w:rsidP="00016B63">
            <w:pPr>
              <w:rPr>
                <w:bCs/>
                <w:sz w:val="16"/>
                <w:szCs w:val="16"/>
                <w:highlight w:val="yellow"/>
              </w:rPr>
            </w:pPr>
            <w:r w:rsidRPr="00C2322F">
              <w:rPr>
                <w:bCs/>
                <w:sz w:val="16"/>
                <w:szCs w:val="16"/>
                <w:highlight w:val="yellow"/>
              </w:rPr>
              <w:t>0.59%</w:t>
            </w:r>
          </w:p>
        </w:tc>
        <w:tc>
          <w:tcPr>
            <w:tcW w:w="308" w:type="pct"/>
            <w:tcBorders>
              <w:bottom w:val="nil"/>
            </w:tcBorders>
          </w:tcPr>
          <w:p w14:paraId="658CB08D" w14:textId="356A4F4C" w:rsidR="00016B63" w:rsidRPr="00C2322F" w:rsidRDefault="00016B63" w:rsidP="00016B63">
            <w:pPr>
              <w:rPr>
                <w:bCs/>
                <w:sz w:val="16"/>
                <w:szCs w:val="16"/>
                <w:highlight w:val="yellow"/>
              </w:rPr>
            </w:pPr>
            <w:r w:rsidRPr="00C2322F">
              <w:rPr>
                <w:bCs/>
                <w:sz w:val="16"/>
                <w:szCs w:val="16"/>
                <w:highlight w:val="yellow"/>
              </w:rPr>
              <w:t>0.12%</w:t>
            </w:r>
          </w:p>
        </w:tc>
      </w:tr>
      <w:tr w:rsidR="00016B63" w:rsidRPr="007E3513" w14:paraId="5CE030E7" w14:textId="090776E5" w:rsidTr="00D17D66">
        <w:tc>
          <w:tcPr>
            <w:tcW w:w="629" w:type="pct"/>
            <w:tcBorders>
              <w:top w:val="nil"/>
              <w:bottom w:val="single" w:sz="4" w:space="0" w:color="auto"/>
            </w:tcBorders>
          </w:tcPr>
          <w:p w14:paraId="620060A7" w14:textId="77777777" w:rsidR="00016B63" w:rsidRPr="007E3513" w:rsidRDefault="00016B63" w:rsidP="00016B63">
            <w:pPr>
              <w:rPr>
                <w:sz w:val="16"/>
                <w:szCs w:val="16"/>
              </w:rPr>
            </w:pPr>
            <w:r w:rsidRPr="007E3513">
              <w:rPr>
                <w:sz w:val="16"/>
                <w:szCs w:val="16"/>
              </w:rPr>
              <w:t xml:space="preserve">Total </w:t>
            </w:r>
          </w:p>
        </w:tc>
        <w:tc>
          <w:tcPr>
            <w:tcW w:w="631" w:type="pct"/>
            <w:tcBorders>
              <w:top w:val="nil"/>
              <w:bottom w:val="single" w:sz="4" w:space="0" w:color="auto"/>
            </w:tcBorders>
          </w:tcPr>
          <w:p w14:paraId="4388CC4F" w14:textId="77777777" w:rsidR="00016B63" w:rsidRPr="007E3513" w:rsidRDefault="00016B63" w:rsidP="00016B63">
            <w:pPr>
              <w:rPr>
                <w:sz w:val="16"/>
                <w:szCs w:val="16"/>
              </w:rPr>
            </w:pPr>
            <w:r w:rsidRPr="007E3513">
              <w:rPr>
                <w:sz w:val="16"/>
                <w:szCs w:val="16"/>
              </w:rPr>
              <w:t>100%</w:t>
            </w:r>
          </w:p>
        </w:tc>
        <w:tc>
          <w:tcPr>
            <w:tcW w:w="354" w:type="pct"/>
            <w:tcBorders>
              <w:top w:val="nil"/>
              <w:bottom w:val="single" w:sz="4" w:space="0" w:color="auto"/>
            </w:tcBorders>
            <w:shd w:val="clear" w:color="auto" w:fill="auto"/>
          </w:tcPr>
          <w:p w14:paraId="7212C890" w14:textId="695D9CAA" w:rsidR="00016B63" w:rsidRPr="00BF3C3F" w:rsidRDefault="00016B63" w:rsidP="00016B63">
            <w:pPr>
              <w:rPr>
                <w:sz w:val="16"/>
                <w:szCs w:val="16"/>
              </w:rPr>
            </w:pPr>
            <w:r w:rsidRPr="00BF3C3F">
              <w:rPr>
                <w:sz w:val="16"/>
                <w:szCs w:val="16"/>
              </w:rPr>
              <w:t>2143290</w:t>
            </w:r>
          </w:p>
        </w:tc>
        <w:tc>
          <w:tcPr>
            <w:tcW w:w="303" w:type="pct"/>
            <w:tcBorders>
              <w:top w:val="nil"/>
              <w:bottom w:val="single" w:sz="4" w:space="0" w:color="auto"/>
            </w:tcBorders>
          </w:tcPr>
          <w:p w14:paraId="55A542A8" w14:textId="68B900F1" w:rsidR="00016B63" w:rsidRPr="00BF3C3F" w:rsidRDefault="00016B63" w:rsidP="00016B63">
            <w:pPr>
              <w:rPr>
                <w:sz w:val="16"/>
                <w:szCs w:val="16"/>
              </w:rPr>
            </w:pPr>
            <w:r w:rsidRPr="00BF3C3F">
              <w:rPr>
                <w:sz w:val="16"/>
                <w:szCs w:val="16"/>
              </w:rPr>
              <w:t>667625</w:t>
            </w:r>
          </w:p>
        </w:tc>
        <w:tc>
          <w:tcPr>
            <w:tcW w:w="303" w:type="pct"/>
            <w:tcBorders>
              <w:top w:val="nil"/>
              <w:bottom w:val="single" w:sz="4" w:space="0" w:color="auto"/>
            </w:tcBorders>
            <w:shd w:val="clear" w:color="auto" w:fill="auto"/>
          </w:tcPr>
          <w:p w14:paraId="7FA0327E" w14:textId="28B627DB" w:rsidR="00016B63" w:rsidRPr="007E3513" w:rsidRDefault="00016B63" w:rsidP="00016B63">
            <w:pPr>
              <w:rPr>
                <w:bCs/>
                <w:sz w:val="16"/>
                <w:szCs w:val="16"/>
              </w:rPr>
            </w:pPr>
            <w:r w:rsidRPr="007E3513">
              <w:rPr>
                <w:bCs/>
                <w:sz w:val="16"/>
                <w:szCs w:val="16"/>
              </w:rPr>
              <w:t>8.82%</w:t>
            </w:r>
          </w:p>
        </w:tc>
        <w:tc>
          <w:tcPr>
            <w:tcW w:w="354" w:type="pct"/>
            <w:tcBorders>
              <w:top w:val="nil"/>
              <w:bottom w:val="single" w:sz="4" w:space="0" w:color="auto"/>
            </w:tcBorders>
          </w:tcPr>
          <w:p w14:paraId="73CEC170" w14:textId="60BCA75A" w:rsidR="00016B63" w:rsidRPr="007E3513" w:rsidRDefault="00016B63" w:rsidP="00016B63">
            <w:pPr>
              <w:rPr>
                <w:bCs/>
                <w:sz w:val="16"/>
                <w:szCs w:val="16"/>
              </w:rPr>
            </w:pPr>
            <w:r w:rsidRPr="007E3513">
              <w:rPr>
                <w:bCs/>
                <w:sz w:val="16"/>
                <w:szCs w:val="16"/>
              </w:rPr>
              <w:t>2.75%</w:t>
            </w:r>
          </w:p>
        </w:tc>
        <w:tc>
          <w:tcPr>
            <w:tcW w:w="303" w:type="pct"/>
            <w:tcBorders>
              <w:top w:val="nil"/>
              <w:bottom w:val="single" w:sz="4" w:space="0" w:color="auto"/>
            </w:tcBorders>
          </w:tcPr>
          <w:p w14:paraId="3FFB1B18" w14:textId="79289F45" w:rsidR="00016B63" w:rsidRPr="00D17D66" w:rsidRDefault="00016B63" w:rsidP="00016B63">
            <w:pPr>
              <w:rPr>
                <w:sz w:val="16"/>
                <w:szCs w:val="16"/>
              </w:rPr>
            </w:pPr>
            <w:r w:rsidRPr="00D17D66">
              <w:rPr>
                <w:sz w:val="16"/>
                <w:szCs w:val="16"/>
              </w:rPr>
              <w:t>2196839</w:t>
            </w:r>
          </w:p>
        </w:tc>
        <w:tc>
          <w:tcPr>
            <w:tcW w:w="304" w:type="pct"/>
            <w:tcBorders>
              <w:top w:val="nil"/>
              <w:bottom w:val="single" w:sz="4" w:space="0" w:color="auto"/>
            </w:tcBorders>
          </w:tcPr>
          <w:p w14:paraId="1F4B4F6C" w14:textId="29CC0EEB" w:rsidR="00016B63" w:rsidRPr="00D17D66" w:rsidRDefault="00016B63" w:rsidP="00016B63">
            <w:pPr>
              <w:rPr>
                <w:sz w:val="16"/>
                <w:szCs w:val="16"/>
              </w:rPr>
            </w:pPr>
            <w:r w:rsidRPr="00D17D66">
              <w:rPr>
                <w:sz w:val="16"/>
                <w:szCs w:val="16"/>
              </w:rPr>
              <w:t>956507</w:t>
            </w:r>
          </w:p>
        </w:tc>
        <w:tc>
          <w:tcPr>
            <w:tcW w:w="302" w:type="pct"/>
            <w:tcBorders>
              <w:top w:val="nil"/>
              <w:bottom w:val="single" w:sz="4" w:space="0" w:color="auto"/>
            </w:tcBorders>
          </w:tcPr>
          <w:p w14:paraId="2CEFDFB8" w14:textId="7E642E86" w:rsidR="00016B63" w:rsidRPr="007E3513" w:rsidRDefault="00016B63" w:rsidP="00016B63">
            <w:pPr>
              <w:rPr>
                <w:bCs/>
                <w:sz w:val="16"/>
                <w:szCs w:val="16"/>
              </w:rPr>
            </w:pPr>
            <w:r w:rsidRPr="007E3513">
              <w:rPr>
                <w:bCs/>
                <w:sz w:val="16"/>
                <w:szCs w:val="16"/>
              </w:rPr>
              <w:t>9.04%</w:t>
            </w:r>
          </w:p>
        </w:tc>
        <w:tc>
          <w:tcPr>
            <w:tcW w:w="305" w:type="pct"/>
            <w:tcBorders>
              <w:top w:val="nil"/>
              <w:bottom w:val="single" w:sz="4" w:space="0" w:color="auto"/>
            </w:tcBorders>
          </w:tcPr>
          <w:p w14:paraId="18A75D00" w14:textId="3D41A054" w:rsidR="00016B63" w:rsidRPr="007E3513" w:rsidRDefault="00016B63" w:rsidP="00016B63">
            <w:pPr>
              <w:rPr>
                <w:bCs/>
                <w:sz w:val="16"/>
                <w:szCs w:val="16"/>
              </w:rPr>
            </w:pPr>
            <w:r w:rsidRPr="007E3513">
              <w:rPr>
                <w:bCs/>
                <w:sz w:val="16"/>
                <w:szCs w:val="16"/>
              </w:rPr>
              <w:t>3.93%</w:t>
            </w:r>
          </w:p>
        </w:tc>
        <w:tc>
          <w:tcPr>
            <w:tcW w:w="323" w:type="pct"/>
            <w:tcBorders>
              <w:top w:val="nil"/>
              <w:bottom w:val="single" w:sz="4" w:space="0" w:color="auto"/>
            </w:tcBorders>
          </w:tcPr>
          <w:p w14:paraId="2732A4B3" w14:textId="2E63621F" w:rsidR="00016B63" w:rsidRPr="00016B63" w:rsidRDefault="00016B63" w:rsidP="00016B63">
            <w:pPr>
              <w:rPr>
                <w:sz w:val="16"/>
                <w:szCs w:val="16"/>
              </w:rPr>
            </w:pPr>
            <w:r w:rsidRPr="00016B63">
              <w:rPr>
                <w:sz w:val="16"/>
                <w:szCs w:val="16"/>
              </w:rPr>
              <w:t>956721</w:t>
            </w:r>
          </w:p>
        </w:tc>
        <w:tc>
          <w:tcPr>
            <w:tcW w:w="296" w:type="pct"/>
            <w:tcBorders>
              <w:top w:val="nil"/>
              <w:bottom w:val="single" w:sz="4" w:space="0" w:color="auto"/>
            </w:tcBorders>
          </w:tcPr>
          <w:p w14:paraId="5CE51EEC" w14:textId="6E271FF9" w:rsidR="00016B63" w:rsidRPr="00016B63" w:rsidRDefault="00016B63" w:rsidP="00016B63">
            <w:pPr>
              <w:rPr>
                <w:sz w:val="16"/>
                <w:szCs w:val="16"/>
              </w:rPr>
            </w:pPr>
            <w:r w:rsidRPr="00016B63">
              <w:rPr>
                <w:sz w:val="16"/>
                <w:szCs w:val="16"/>
              </w:rPr>
              <w:t>433420</w:t>
            </w:r>
          </w:p>
        </w:tc>
        <w:tc>
          <w:tcPr>
            <w:tcW w:w="285" w:type="pct"/>
            <w:tcBorders>
              <w:top w:val="nil"/>
              <w:bottom w:val="single" w:sz="4" w:space="0" w:color="auto"/>
            </w:tcBorders>
          </w:tcPr>
          <w:p w14:paraId="37558950" w14:textId="7B1AC538" w:rsidR="00016B63" w:rsidRPr="007E3513" w:rsidRDefault="00016B63" w:rsidP="00016B63">
            <w:pPr>
              <w:rPr>
                <w:bCs/>
                <w:sz w:val="16"/>
                <w:szCs w:val="16"/>
              </w:rPr>
            </w:pPr>
            <w:r w:rsidRPr="007E3513">
              <w:rPr>
                <w:bCs/>
                <w:sz w:val="16"/>
                <w:szCs w:val="16"/>
              </w:rPr>
              <w:t>3.94%</w:t>
            </w:r>
          </w:p>
        </w:tc>
        <w:tc>
          <w:tcPr>
            <w:tcW w:w="308" w:type="pct"/>
            <w:tcBorders>
              <w:top w:val="nil"/>
              <w:bottom w:val="single" w:sz="4" w:space="0" w:color="auto"/>
            </w:tcBorders>
          </w:tcPr>
          <w:p w14:paraId="7E68F10D" w14:textId="4D0CF552" w:rsidR="00016B63" w:rsidRPr="007E3513" w:rsidRDefault="00016B63" w:rsidP="00016B63">
            <w:pPr>
              <w:rPr>
                <w:bCs/>
                <w:sz w:val="16"/>
                <w:szCs w:val="16"/>
              </w:rPr>
            </w:pPr>
            <w:r w:rsidRPr="007E3513">
              <w:rPr>
                <w:bCs/>
                <w:sz w:val="16"/>
                <w:szCs w:val="16"/>
              </w:rPr>
              <w:t>1.78%</w:t>
            </w:r>
          </w:p>
        </w:tc>
      </w:tr>
      <w:tr w:rsidR="007E3513" w:rsidRPr="007E3513" w14:paraId="74D9BF44" w14:textId="0F82279E" w:rsidTr="009D0839">
        <w:tc>
          <w:tcPr>
            <w:tcW w:w="629" w:type="pct"/>
            <w:tcBorders>
              <w:top w:val="single" w:sz="4" w:space="0" w:color="auto"/>
            </w:tcBorders>
          </w:tcPr>
          <w:p w14:paraId="56A9A8B7" w14:textId="577F6B43" w:rsidR="008D3927" w:rsidRPr="007E3513" w:rsidRDefault="008D3927" w:rsidP="008D3927">
            <w:pPr>
              <w:rPr>
                <w:b/>
                <w:sz w:val="16"/>
                <w:szCs w:val="16"/>
              </w:rPr>
            </w:pPr>
            <w:r w:rsidRPr="007E3513">
              <w:rPr>
                <w:b/>
                <w:sz w:val="16"/>
                <w:szCs w:val="16"/>
              </w:rPr>
              <w:t>Overall sig. (+ &amp; -)</w:t>
            </w:r>
          </w:p>
        </w:tc>
        <w:tc>
          <w:tcPr>
            <w:tcW w:w="631" w:type="pct"/>
            <w:tcBorders>
              <w:top w:val="single" w:sz="4" w:space="0" w:color="auto"/>
            </w:tcBorders>
          </w:tcPr>
          <w:p w14:paraId="45BA4687" w14:textId="77777777" w:rsidR="008D3927" w:rsidRPr="007E3513" w:rsidRDefault="008D3927" w:rsidP="008D3927">
            <w:pPr>
              <w:rPr>
                <w:b/>
                <w:sz w:val="16"/>
                <w:szCs w:val="16"/>
              </w:rPr>
            </w:pPr>
          </w:p>
        </w:tc>
        <w:tc>
          <w:tcPr>
            <w:tcW w:w="657" w:type="pct"/>
            <w:gridSpan w:val="2"/>
            <w:tcBorders>
              <w:top w:val="single" w:sz="4" w:space="0" w:color="auto"/>
            </w:tcBorders>
            <w:shd w:val="clear" w:color="auto" w:fill="auto"/>
            <w:vAlign w:val="bottom"/>
          </w:tcPr>
          <w:p w14:paraId="16307EEA" w14:textId="5CB4249B" w:rsidR="008D3927" w:rsidRPr="007E3513" w:rsidRDefault="008D3927" w:rsidP="008D3927">
            <w:pPr>
              <w:rPr>
                <w:b/>
                <w:sz w:val="16"/>
                <w:szCs w:val="16"/>
              </w:rPr>
            </w:pPr>
            <w:r w:rsidRPr="007E3513">
              <w:rPr>
                <w:b/>
                <w:sz w:val="16"/>
                <w:szCs w:val="16"/>
              </w:rPr>
              <w:t xml:space="preserve">2810915 </w:t>
            </w:r>
          </w:p>
        </w:tc>
        <w:tc>
          <w:tcPr>
            <w:tcW w:w="657" w:type="pct"/>
            <w:gridSpan w:val="2"/>
            <w:tcBorders>
              <w:top w:val="single" w:sz="4" w:space="0" w:color="auto"/>
            </w:tcBorders>
          </w:tcPr>
          <w:p w14:paraId="0759D82F" w14:textId="3FDD4DB4" w:rsidR="008D3927" w:rsidRPr="007E3513" w:rsidRDefault="008D3927" w:rsidP="008D3927">
            <w:pPr>
              <w:rPr>
                <w:b/>
                <w:sz w:val="16"/>
                <w:szCs w:val="16"/>
              </w:rPr>
            </w:pPr>
            <w:r w:rsidRPr="007E3513">
              <w:rPr>
                <w:b/>
                <w:sz w:val="16"/>
                <w:szCs w:val="16"/>
              </w:rPr>
              <w:t>11.56%</w:t>
            </w:r>
          </w:p>
        </w:tc>
        <w:tc>
          <w:tcPr>
            <w:tcW w:w="607" w:type="pct"/>
            <w:gridSpan w:val="2"/>
            <w:tcBorders>
              <w:top w:val="single" w:sz="4" w:space="0" w:color="auto"/>
            </w:tcBorders>
          </w:tcPr>
          <w:p w14:paraId="5D8190A0" w14:textId="104740D0" w:rsidR="008D3927" w:rsidRPr="007E3513" w:rsidRDefault="008D3927" w:rsidP="008D3927">
            <w:pPr>
              <w:rPr>
                <w:b/>
                <w:sz w:val="16"/>
                <w:szCs w:val="16"/>
              </w:rPr>
            </w:pPr>
            <w:r w:rsidRPr="007E3513">
              <w:rPr>
                <w:b/>
                <w:sz w:val="16"/>
                <w:szCs w:val="16"/>
              </w:rPr>
              <w:t xml:space="preserve">3153346 </w:t>
            </w:r>
          </w:p>
        </w:tc>
        <w:tc>
          <w:tcPr>
            <w:tcW w:w="607" w:type="pct"/>
            <w:gridSpan w:val="2"/>
            <w:tcBorders>
              <w:top w:val="single" w:sz="4" w:space="0" w:color="auto"/>
            </w:tcBorders>
          </w:tcPr>
          <w:p w14:paraId="396E1C16" w14:textId="24242596" w:rsidR="008D3927" w:rsidRPr="007E3513" w:rsidRDefault="008D3927" w:rsidP="008D3927">
            <w:pPr>
              <w:rPr>
                <w:b/>
                <w:sz w:val="16"/>
                <w:szCs w:val="16"/>
              </w:rPr>
            </w:pPr>
            <w:r w:rsidRPr="007E3513">
              <w:rPr>
                <w:b/>
                <w:sz w:val="16"/>
                <w:szCs w:val="16"/>
              </w:rPr>
              <w:t>12.97%</w:t>
            </w:r>
          </w:p>
        </w:tc>
        <w:tc>
          <w:tcPr>
            <w:tcW w:w="619" w:type="pct"/>
            <w:gridSpan w:val="2"/>
            <w:tcBorders>
              <w:top w:val="single" w:sz="4" w:space="0" w:color="auto"/>
            </w:tcBorders>
          </w:tcPr>
          <w:p w14:paraId="4E963E1D" w14:textId="50DF8658" w:rsidR="008D3927" w:rsidRPr="007E3513" w:rsidRDefault="008D3927" w:rsidP="008D3927">
            <w:pPr>
              <w:rPr>
                <w:b/>
                <w:sz w:val="16"/>
                <w:szCs w:val="16"/>
              </w:rPr>
            </w:pPr>
            <w:r w:rsidRPr="007E3513">
              <w:rPr>
                <w:b/>
                <w:sz w:val="16"/>
                <w:szCs w:val="16"/>
              </w:rPr>
              <w:t xml:space="preserve">1390141 </w:t>
            </w:r>
          </w:p>
        </w:tc>
        <w:tc>
          <w:tcPr>
            <w:tcW w:w="593" w:type="pct"/>
            <w:gridSpan w:val="2"/>
            <w:tcBorders>
              <w:top w:val="single" w:sz="4" w:space="0" w:color="auto"/>
            </w:tcBorders>
          </w:tcPr>
          <w:p w14:paraId="0F3683EF" w14:textId="05304AAC" w:rsidR="008D3927" w:rsidRPr="007E3513" w:rsidRDefault="008D3927" w:rsidP="008D3927">
            <w:pPr>
              <w:rPr>
                <w:b/>
                <w:sz w:val="16"/>
                <w:szCs w:val="16"/>
              </w:rPr>
            </w:pPr>
            <w:r w:rsidRPr="007E3513">
              <w:rPr>
                <w:b/>
                <w:sz w:val="16"/>
                <w:szCs w:val="16"/>
              </w:rPr>
              <w:t>5.72%</w:t>
            </w:r>
          </w:p>
        </w:tc>
      </w:tr>
    </w:tbl>
    <w:p w14:paraId="0F74CE83" w14:textId="77777777" w:rsidR="00D02F40" w:rsidRPr="00705A9C" w:rsidRDefault="00D02F40" w:rsidP="00EB5E9F">
      <w:pPr>
        <w:rPr>
          <w:b/>
        </w:rPr>
        <w:sectPr w:rsidR="00D02F40" w:rsidRPr="00705A9C" w:rsidSect="0094192D">
          <w:pgSz w:w="16838" w:h="11906" w:orient="landscape"/>
          <w:pgMar w:top="1440" w:right="1440" w:bottom="1440" w:left="1440" w:header="709" w:footer="709" w:gutter="0"/>
          <w:lnNumType w:countBy="1" w:restart="continuous"/>
          <w:cols w:space="708"/>
          <w:docGrid w:linePitch="360"/>
        </w:sectPr>
      </w:pPr>
    </w:p>
    <w:p w14:paraId="2F7EA00E" w14:textId="7AC26276" w:rsidR="00CA36C7" w:rsidRPr="00705A9C" w:rsidRDefault="00BA13BC" w:rsidP="00A338CD">
      <w:pPr>
        <w:pStyle w:val="Heading1"/>
        <w:numPr>
          <w:ilvl w:val="0"/>
          <w:numId w:val="20"/>
        </w:numPr>
      </w:pPr>
      <w:r w:rsidRPr="00705A9C">
        <w:lastRenderedPageBreak/>
        <w:t>R</w:t>
      </w:r>
      <w:r w:rsidR="00BB0A2A" w:rsidRPr="00705A9C">
        <w:t>esults</w:t>
      </w:r>
    </w:p>
    <w:p w14:paraId="03B40138" w14:textId="3F909A5C" w:rsidR="00E07CDB" w:rsidRPr="00705A9C" w:rsidRDefault="00226D16" w:rsidP="002318DC">
      <w:pPr>
        <w:pStyle w:val="Heading2"/>
        <w:numPr>
          <w:ilvl w:val="1"/>
          <w:numId w:val="20"/>
        </w:numPr>
      </w:pPr>
      <w:bookmarkStart w:id="3" w:name="_Ref471813193"/>
      <w:r w:rsidRPr="00705A9C">
        <w:t xml:space="preserve"> </w:t>
      </w:r>
      <w:r w:rsidR="00F415B6" w:rsidRPr="00705A9C">
        <w:t>LSP</w:t>
      </w:r>
      <w:r w:rsidR="00B91525" w:rsidRPr="00705A9C">
        <w:t xml:space="preserve"> trend analysis</w:t>
      </w:r>
      <w:bookmarkEnd w:id="3"/>
    </w:p>
    <w:p w14:paraId="48AF3513" w14:textId="2BD9EBAA" w:rsidR="00BA6418" w:rsidRPr="00705A9C" w:rsidRDefault="003F3224" w:rsidP="00A86B9E">
      <w:pPr>
        <w:pStyle w:val="Paragraph"/>
      </w:pPr>
      <w:r w:rsidRPr="00705A9C">
        <w:t>The spatial pattern</w:t>
      </w:r>
      <w:r w:rsidR="0012717F" w:rsidRPr="00705A9C">
        <w:t>s</w:t>
      </w:r>
      <w:r w:rsidRPr="00705A9C">
        <w:t xml:space="preserve"> of SOS for 2001 and 2015 are shown in </w:t>
      </w:r>
      <w:r w:rsidRPr="00705A9C">
        <w:fldChar w:fldCharType="begin"/>
      </w:r>
      <w:r w:rsidRPr="00705A9C">
        <w:instrText xml:space="preserve"> REF _Ref506550551 \h  \* MERGEFORMAT </w:instrText>
      </w:r>
      <w:r w:rsidRPr="00705A9C">
        <w:fldChar w:fldCharType="separate"/>
      </w:r>
      <w:r w:rsidRPr="00705A9C">
        <w:t xml:space="preserve">Figure </w:t>
      </w:r>
      <w:r w:rsidRPr="00705A9C">
        <w:rPr>
          <w:noProof/>
        </w:rPr>
        <w:t>3</w:t>
      </w:r>
      <w:r w:rsidRPr="00705A9C">
        <w:fldChar w:fldCharType="end"/>
      </w:r>
      <w:r w:rsidRPr="00705A9C">
        <w:t xml:space="preserve">. No clear seasonality was observed in most forested areas in Africa. The </w:t>
      </w:r>
      <w:r w:rsidR="00226D16" w:rsidRPr="00705A9C">
        <w:t>L</w:t>
      </w:r>
      <w:r w:rsidR="00F415B6" w:rsidRPr="00705A9C">
        <w:t>SP</w:t>
      </w:r>
      <w:r w:rsidR="00592C2D" w:rsidRPr="00705A9C">
        <w:t xml:space="preserve"> </w:t>
      </w:r>
      <w:r w:rsidR="001627F0" w:rsidRPr="00705A9C">
        <w:t>trend</w:t>
      </w:r>
      <w:r w:rsidR="00592C2D" w:rsidRPr="00705A9C">
        <w:t>s</w:t>
      </w:r>
      <w:r w:rsidR="001627F0" w:rsidRPr="00705A9C">
        <w:t xml:space="preserve"> </w:t>
      </w:r>
      <w:r w:rsidR="00295214" w:rsidRPr="00705A9C">
        <w:t xml:space="preserve">found to be significant </w:t>
      </w:r>
      <w:r w:rsidR="00592C2D" w:rsidRPr="00705A9C">
        <w:t xml:space="preserve">(95% confidence level) </w:t>
      </w:r>
      <w:r w:rsidR="00755E26" w:rsidRPr="00705A9C">
        <w:t xml:space="preserve">were </w:t>
      </w:r>
      <w:r w:rsidR="00592C2D" w:rsidRPr="00705A9C">
        <w:t xml:space="preserve">mapped </w:t>
      </w:r>
      <w:r w:rsidR="00B8235B" w:rsidRPr="00705A9C">
        <w:t xml:space="preserve">for all </w:t>
      </w:r>
      <w:r w:rsidR="00F415B6" w:rsidRPr="00705A9C">
        <w:t xml:space="preserve">LSP </w:t>
      </w:r>
      <w:r w:rsidR="00B8235B" w:rsidRPr="00705A9C">
        <w:t>parameters</w:t>
      </w:r>
      <w:r w:rsidRPr="00705A9C">
        <w:t xml:space="preserve">, and these mapped trends for SOS are shown in </w:t>
      </w:r>
      <w:r w:rsidRPr="00705A9C">
        <w:fldChar w:fldCharType="begin"/>
      </w:r>
      <w:r w:rsidRPr="00705A9C">
        <w:instrText xml:space="preserve"> REF _Ref506550569 \h  \* MERGEFORMAT </w:instrText>
      </w:r>
      <w:r w:rsidRPr="00705A9C">
        <w:fldChar w:fldCharType="separate"/>
      </w:r>
      <w:r w:rsidRPr="00705A9C">
        <w:t xml:space="preserve">Figure </w:t>
      </w:r>
      <w:r w:rsidRPr="00705A9C">
        <w:rPr>
          <w:noProof/>
        </w:rPr>
        <w:t>4</w:t>
      </w:r>
      <w:r w:rsidRPr="00705A9C">
        <w:fldChar w:fldCharType="end"/>
      </w:r>
      <w:r w:rsidR="0012732D" w:rsidRPr="00705A9C">
        <w:t xml:space="preserve">. </w:t>
      </w:r>
      <w:r w:rsidR="00CE05D8" w:rsidRPr="00705A9C">
        <w:t xml:space="preserve">A summary of the significant statistical trends </w:t>
      </w:r>
      <w:r w:rsidR="00BC512C" w:rsidRPr="00705A9C">
        <w:t>(</w:t>
      </w:r>
      <w:r w:rsidR="00BC512C" w:rsidRPr="00705A9C">
        <w:rPr>
          <w:i/>
        </w:rPr>
        <w:t>p</w:t>
      </w:r>
      <w:r w:rsidR="00BC512C" w:rsidRPr="00705A9C">
        <w:t xml:space="preserve">-value &lt; 0.05) for all </w:t>
      </w:r>
      <w:r w:rsidR="00510B26" w:rsidRPr="00705A9C">
        <w:t xml:space="preserve">LSP </w:t>
      </w:r>
      <w:r w:rsidR="00BC512C" w:rsidRPr="00705A9C">
        <w:t xml:space="preserve">parameters </w:t>
      </w:r>
      <w:r w:rsidR="00E871F0" w:rsidRPr="00705A9C">
        <w:t>by</w:t>
      </w:r>
      <w:r w:rsidR="00EB3B6F" w:rsidRPr="00705A9C">
        <w:t xml:space="preserve"> land cover change group are </w:t>
      </w:r>
      <w:r w:rsidR="004100D4" w:rsidRPr="00705A9C">
        <w:t>displayed</w:t>
      </w:r>
      <w:r w:rsidR="00EB3B6F" w:rsidRPr="00705A9C">
        <w:t xml:space="preserve"> in </w:t>
      </w:r>
      <w:r w:rsidR="00A86B9E" w:rsidRPr="00705A9C">
        <w:fldChar w:fldCharType="begin"/>
      </w:r>
      <w:r w:rsidR="00A86B9E" w:rsidRPr="00705A9C">
        <w:instrText xml:space="preserve"> REF _Ref506550622 \h  \* MERGEFORMAT </w:instrText>
      </w:r>
      <w:r w:rsidR="00A86B9E" w:rsidRPr="00705A9C">
        <w:fldChar w:fldCharType="separate"/>
      </w:r>
      <w:r w:rsidR="00A86B9E" w:rsidRPr="00705A9C">
        <w:rPr>
          <w:sz w:val="22"/>
          <w:szCs w:val="22"/>
        </w:rPr>
        <w:t xml:space="preserve">Table </w:t>
      </w:r>
      <w:r w:rsidR="00A86B9E" w:rsidRPr="00705A9C">
        <w:rPr>
          <w:noProof/>
          <w:sz w:val="22"/>
          <w:szCs w:val="22"/>
        </w:rPr>
        <w:t>2</w:t>
      </w:r>
      <w:r w:rsidR="00A86B9E" w:rsidRPr="00705A9C">
        <w:fldChar w:fldCharType="end"/>
      </w:r>
      <w:r w:rsidR="00EB3B6F" w:rsidRPr="00705A9C">
        <w:t>.</w:t>
      </w:r>
      <w:r w:rsidR="00E432C8" w:rsidRPr="00705A9C">
        <w:t xml:space="preserve"> </w:t>
      </w:r>
      <w:r w:rsidR="0040788C" w:rsidRPr="00705A9C">
        <w:t>Overall</w:t>
      </w:r>
      <w:r w:rsidR="00755E26" w:rsidRPr="00705A9C">
        <w:t>,</w:t>
      </w:r>
      <w:r w:rsidR="0040788C" w:rsidRPr="00705A9C">
        <w:t xml:space="preserve"> less than 1</w:t>
      </w:r>
      <w:r w:rsidR="00F120A0" w:rsidRPr="00705A9C">
        <w:t>3</w:t>
      </w:r>
      <w:r w:rsidR="0045109C" w:rsidRPr="00705A9C">
        <w:t>%</w:t>
      </w:r>
      <w:r w:rsidR="0040788C" w:rsidRPr="00705A9C">
        <w:t xml:space="preserve"> of pixels in each LSP parameter showed </w:t>
      </w:r>
      <w:r w:rsidR="00E432C8" w:rsidRPr="00705A9C">
        <w:t>significant trends (see</w:t>
      </w:r>
      <w:r w:rsidR="00A86B9E" w:rsidRPr="00705A9C">
        <w:t xml:space="preserve"> </w:t>
      </w:r>
      <w:r w:rsidR="00A86B9E" w:rsidRPr="00705A9C">
        <w:fldChar w:fldCharType="begin"/>
      </w:r>
      <w:r w:rsidR="00A86B9E" w:rsidRPr="00705A9C">
        <w:instrText xml:space="preserve"> REF _Ref506550622 \h  \* MERGEFORMAT </w:instrText>
      </w:r>
      <w:r w:rsidR="00A86B9E" w:rsidRPr="00705A9C">
        <w:fldChar w:fldCharType="separate"/>
      </w:r>
      <w:r w:rsidR="00A86B9E" w:rsidRPr="00705A9C">
        <w:rPr>
          <w:sz w:val="22"/>
          <w:szCs w:val="22"/>
        </w:rPr>
        <w:t xml:space="preserve">Table </w:t>
      </w:r>
      <w:r w:rsidR="00A86B9E" w:rsidRPr="00705A9C">
        <w:rPr>
          <w:noProof/>
          <w:sz w:val="22"/>
          <w:szCs w:val="22"/>
        </w:rPr>
        <w:t>2</w:t>
      </w:r>
      <w:r w:rsidR="00A86B9E" w:rsidRPr="00705A9C">
        <w:fldChar w:fldCharType="end"/>
      </w:r>
      <w:r w:rsidR="00E432C8" w:rsidRPr="00705A9C">
        <w:t xml:space="preserve">) and </w:t>
      </w:r>
      <w:r w:rsidR="006F75D0" w:rsidRPr="00705A9C">
        <w:t>an estimated</w:t>
      </w:r>
      <w:r w:rsidR="00E432C8" w:rsidRPr="00705A9C">
        <w:t xml:space="preserve"> 70% of these </w:t>
      </w:r>
      <w:r w:rsidR="00592C2D" w:rsidRPr="00705A9C">
        <w:t xml:space="preserve">pixels had trends </w:t>
      </w:r>
      <w:r w:rsidR="00E871F0" w:rsidRPr="00705A9C">
        <w:t>that were</w:t>
      </w:r>
      <w:r w:rsidR="00592C2D" w:rsidRPr="00705A9C">
        <w:t xml:space="preserve"> significantly positive</w:t>
      </w:r>
      <w:r w:rsidR="00755E26" w:rsidRPr="00705A9C">
        <w:t xml:space="preserve"> (i.e., the LSP event date becoming later)</w:t>
      </w:r>
      <w:r w:rsidR="00E432C8" w:rsidRPr="00705A9C">
        <w:t xml:space="preserve">. </w:t>
      </w:r>
      <w:r w:rsidR="006F75D0" w:rsidRPr="00705A9C">
        <w:t xml:space="preserve">For example, of the </w:t>
      </w:r>
      <w:r w:rsidR="00D941B0" w:rsidRPr="00705A9C">
        <w:t>12</w:t>
      </w:r>
      <w:r w:rsidR="00E31D0B" w:rsidRPr="00705A9C">
        <w:t>.</w:t>
      </w:r>
      <w:r w:rsidR="00D941B0" w:rsidRPr="00705A9C">
        <w:t>97</w:t>
      </w:r>
      <w:r w:rsidR="00E432C8" w:rsidRPr="00705A9C">
        <w:t xml:space="preserve">% </w:t>
      </w:r>
      <w:r w:rsidR="00E31D0B" w:rsidRPr="00705A9C">
        <w:t>(</w:t>
      </w:r>
      <w:r w:rsidR="00D941B0" w:rsidRPr="00705A9C">
        <w:t>3,153,346</w:t>
      </w:r>
      <w:r w:rsidR="00152850" w:rsidRPr="00705A9C">
        <w:t xml:space="preserve">) </w:t>
      </w:r>
      <w:r w:rsidR="00E432C8" w:rsidRPr="00705A9C">
        <w:t>significant pixels</w:t>
      </w:r>
      <w:r w:rsidR="00592C2D" w:rsidRPr="00705A9C">
        <w:t xml:space="preserve"> </w:t>
      </w:r>
      <w:r w:rsidR="00E31D0B" w:rsidRPr="00705A9C">
        <w:t xml:space="preserve">in </w:t>
      </w:r>
      <w:r w:rsidR="00D941B0" w:rsidRPr="00705A9C">
        <w:t>E</w:t>
      </w:r>
      <w:r w:rsidR="00592C2D" w:rsidRPr="00705A9C">
        <w:t>OS</w:t>
      </w:r>
      <w:r w:rsidR="00E432C8" w:rsidRPr="00705A9C">
        <w:t xml:space="preserve">, </w:t>
      </w:r>
      <w:r w:rsidR="00D941B0" w:rsidRPr="00705A9C">
        <w:t>9.04</w:t>
      </w:r>
      <w:r w:rsidR="006F75D0" w:rsidRPr="00705A9C">
        <w:t xml:space="preserve">% </w:t>
      </w:r>
      <w:r w:rsidR="00592C2D" w:rsidRPr="00705A9C">
        <w:t>(i.e.,</w:t>
      </w:r>
      <w:r w:rsidR="00E31D0B" w:rsidRPr="00705A9C">
        <w:t xml:space="preserve"> </w:t>
      </w:r>
      <w:r w:rsidR="004261DF" w:rsidRPr="00705A9C">
        <w:t>70</w:t>
      </w:r>
      <w:r w:rsidR="006F75D0" w:rsidRPr="00705A9C">
        <w:t xml:space="preserve">% of the total </w:t>
      </w:r>
      <w:r w:rsidR="00592C2D" w:rsidRPr="00705A9C">
        <w:t xml:space="preserve">number of </w:t>
      </w:r>
      <w:r w:rsidR="006F75D0" w:rsidRPr="00705A9C">
        <w:t>significant pixel</w:t>
      </w:r>
      <w:r w:rsidR="00592C2D" w:rsidRPr="00705A9C">
        <w:t>s)</w:t>
      </w:r>
      <w:r w:rsidR="006F75D0" w:rsidRPr="00705A9C">
        <w:t xml:space="preserve"> </w:t>
      </w:r>
      <w:r w:rsidR="00152850" w:rsidRPr="00705A9C">
        <w:t xml:space="preserve">were significantly positive. </w:t>
      </w:r>
    </w:p>
    <w:p w14:paraId="77955686" w14:textId="6B14E3CD" w:rsidR="003F7C9C" w:rsidRPr="00705A9C" w:rsidRDefault="00A86B9E" w:rsidP="00D149EC">
      <w:pPr>
        <w:pStyle w:val="Newparagraph"/>
      </w:pPr>
      <w:r w:rsidRPr="00705A9C">
        <w:fldChar w:fldCharType="begin"/>
      </w:r>
      <w:r w:rsidRPr="00705A9C">
        <w:instrText xml:space="preserve"> REF _Ref506550678 \h  \* MERGEFORMAT </w:instrText>
      </w:r>
      <w:r w:rsidRPr="00705A9C">
        <w:fldChar w:fldCharType="separate"/>
      </w:r>
      <w:r w:rsidRPr="00705A9C">
        <w:t xml:space="preserve">Table </w:t>
      </w:r>
      <w:r w:rsidRPr="00705A9C">
        <w:rPr>
          <w:noProof/>
        </w:rPr>
        <w:t>3</w:t>
      </w:r>
      <w:r w:rsidRPr="00705A9C">
        <w:fldChar w:fldCharType="end"/>
      </w:r>
      <w:r w:rsidR="00BA6418" w:rsidRPr="00705A9C">
        <w:t xml:space="preserve"> also shows the different combinations of LSP trends in this </w:t>
      </w:r>
      <w:r w:rsidR="00D941B0" w:rsidRPr="00705A9C">
        <w:t>study</w:t>
      </w:r>
      <w:r w:rsidR="00BA6418" w:rsidRPr="00705A9C">
        <w:t xml:space="preserve">. An estimated 9% of the entire continent had </w:t>
      </w:r>
      <w:r w:rsidR="000C7275" w:rsidRPr="00705A9C">
        <w:t xml:space="preserve">delayed </w:t>
      </w:r>
      <w:r w:rsidR="00BA6418" w:rsidRPr="00705A9C">
        <w:t xml:space="preserve">SOS dates, with 0.75% </w:t>
      </w:r>
      <w:r w:rsidR="000C7275" w:rsidRPr="00705A9C">
        <w:t xml:space="preserve">resulting </w:t>
      </w:r>
      <w:r w:rsidR="00BA6418" w:rsidRPr="00705A9C">
        <w:t>in “</w:t>
      </w:r>
      <w:r w:rsidR="00BA6418" w:rsidRPr="00705A9C">
        <w:rPr>
          <w:i/>
          <w:iCs/>
        </w:rPr>
        <w:t>delayed longer season</w:t>
      </w:r>
      <w:r w:rsidR="00BA6418" w:rsidRPr="00705A9C">
        <w:t>” (i.e. delayed SOS and increased LOS), 1</w:t>
      </w:r>
      <w:r w:rsidR="00937D22" w:rsidRPr="00705A9C">
        <w:t>.36</w:t>
      </w:r>
      <w:r w:rsidR="00BA6418" w:rsidRPr="00705A9C">
        <w:t>% result</w:t>
      </w:r>
      <w:r w:rsidR="000C7275" w:rsidRPr="00705A9C">
        <w:t>ing</w:t>
      </w:r>
      <w:r w:rsidR="00BA6418" w:rsidRPr="00705A9C">
        <w:t xml:space="preserve"> in </w:t>
      </w:r>
      <w:r w:rsidR="00BA6418" w:rsidRPr="00705A9C">
        <w:rPr>
          <w:i/>
          <w:iCs/>
        </w:rPr>
        <w:t xml:space="preserve">“delayed shorter season” </w:t>
      </w:r>
      <w:r w:rsidR="00BA6418" w:rsidRPr="00705A9C">
        <w:t>(i.e. delayed SOS and reduced LOS), and 6.62% with no significant LOS trend</w:t>
      </w:r>
      <w:r w:rsidR="00403E2C" w:rsidRPr="00705A9C">
        <w:t xml:space="preserve">. Similarly, of the estimated 3% advancing SOS dates, </w:t>
      </w:r>
      <w:r w:rsidR="00FE20F1" w:rsidRPr="00705A9C">
        <w:t>1.54</w:t>
      </w:r>
      <w:r w:rsidR="00403E2C" w:rsidRPr="00705A9C">
        <w:t xml:space="preserve">% led to </w:t>
      </w:r>
      <w:r w:rsidR="00403E2C" w:rsidRPr="00705A9C">
        <w:rPr>
          <w:i/>
          <w:iCs/>
        </w:rPr>
        <w:t>“earlier longer season”</w:t>
      </w:r>
      <w:r w:rsidR="004607E5" w:rsidRPr="00705A9C">
        <w:t xml:space="preserve"> (i.e. advanced SOS and increased LOS)</w:t>
      </w:r>
      <w:r w:rsidR="00937D22" w:rsidRPr="00705A9C">
        <w:t>,</w:t>
      </w:r>
      <w:r w:rsidR="00937D22" w:rsidRPr="00705A9C">
        <w:rPr>
          <w:i/>
          <w:iCs/>
        </w:rPr>
        <w:t xml:space="preserve"> </w:t>
      </w:r>
      <w:r w:rsidR="004607E5" w:rsidRPr="00705A9C">
        <w:t xml:space="preserve">0.05% resulted in </w:t>
      </w:r>
      <w:r w:rsidR="004607E5" w:rsidRPr="00705A9C">
        <w:rPr>
          <w:i/>
          <w:iCs/>
        </w:rPr>
        <w:t>“earlier shorter season”</w:t>
      </w:r>
      <w:r w:rsidR="003F7C9C" w:rsidRPr="00705A9C">
        <w:rPr>
          <w:i/>
          <w:iCs/>
        </w:rPr>
        <w:t xml:space="preserve"> </w:t>
      </w:r>
      <w:r w:rsidR="004607E5" w:rsidRPr="00705A9C">
        <w:t xml:space="preserve">(i.e. advanced SOS and </w:t>
      </w:r>
      <w:r w:rsidR="00436613" w:rsidRPr="00705A9C">
        <w:t>reduced</w:t>
      </w:r>
      <w:r w:rsidR="004607E5" w:rsidRPr="00705A9C">
        <w:t xml:space="preserve"> LOS), and 1.19% </w:t>
      </w:r>
      <w:r w:rsidR="003F7C9C" w:rsidRPr="00705A9C">
        <w:t xml:space="preserve">resulted in </w:t>
      </w:r>
      <w:r w:rsidR="004607E5" w:rsidRPr="00705A9C">
        <w:t xml:space="preserve">no significant LOS trend </w:t>
      </w:r>
      <w:r w:rsidRPr="00705A9C">
        <w:t xml:space="preserve">(see </w:t>
      </w:r>
      <w:r w:rsidRPr="00705A9C">
        <w:fldChar w:fldCharType="begin"/>
      </w:r>
      <w:r w:rsidRPr="00705A9C">
        <w:instrText xml:space="preserve"> REF _Ref506550678 \h  \* MERGEFORMAT </w:instrText>
      </w:r>
      <w:r w:rsidRPr="00705A9C">
        <w:fldChar w:fldCharType="separate"/>
      </w:r>
      <w:r w:rsidRPr="00705A9C">
        <w:t xml:space="preserve">Table </w:t>
      </w:r>
      <w:r w:rsidRPr="00705A9C">
        <w:rPr>
          <w:noProof/>
        </w:rPr>
        <w:t>3</w:t>
      </w:r>
      <w:r w:rsidRPr="00705A9C">
        <w:fldChar w:fldCharType="end"/>
      </w:r>
      <w:r w:rsidR="004607E5" w:rsidRPr="00705A9C">
        <w:t xml:space="preserve">). </w:t>
      </w:r>
      <w:r w:rsidR="005454A5" w:rsidRPr="00705A9C">
        <w:t>These observations suggest that despite significant shifts in</w:t>
      </w:r>
      <w:r w:rsidR="003740FA" w:rsidRPr="00705A9C">
        <w:t xml:space="preserve"> SOS and/or EOS dates, there </w:t>
      </w:r>
      <w:r w:rsidR="003F7C9C" w:rsidRPr="00705A9C">
        <w:t xml:space="preserve">was </w:t>
      </w:r>
      <w:r w:rsidR="005454A5" w:rsidRPr="00705A9C">
        <w:t xml:space="preserve">less change in LOS, </w:t>
      </w:r>
      <w:r w:rsidR="003F7C9C" w:rsidRPr="00705A9C">
        <w:t>indicating that</w:t>
      </w:r>
      <w:r w:rsidR="005454A5" w:rsidRPr="00705A9C">
        <w:t xml:space="preserve"> both SOS and EOS are becoming later</w:t>
      </w:r>
      <w:r w:rsidR="00E234FC" w:rsidRPr="00705A9C">
        <w:t xml:space="preserve"> or earlier</w:t>
      </w:r>
      <w:r w:rsidR="003F7C9C" w:rsidRPr="00705A9C">
        <w:t xml:space="preserve"> in synchrony</w:t>
      </w:r>
      <w:r w:rsidRPr="00705A9C">
        <w:t xml:space="preserve">, as shown in </w:t>
      </w:r>
      <w:r w:rsidRPr="00705A9C">
        <w:fldChar w:fldCharType="begin"/>
      </w:r>
      <w:r w:rsidRPr="00705A9C">
        <w:instrText xml:space="preserve"> REF _Ref506550678 \h  \* MERGEFORMAT </w:instrText>
      </w:r>
      <w:r w:rsidRPr="00705A9C">
        <w:fldChar w:fldCharType="separate"/>
      </w:r>
      <w:r w:rsidRPr="00705A9C">
        <w:t xml:space="preserve">Table </w:t>
      </w:r>
      <w:r w:rsidRPr="00705A9C">
        <w:rPr>
          <w:noProof/>
        </w:rPr>
        <w:t>3</w:t>
      </w:r>
      <w:r w:rsidRPr="00705A9C">
        <w:fldChar w:fldCharType="end"/>
      </w:r>
      <w:r w:rsidR="00CB598F" w:rsidRPr="00705A9C">
        <w:t xml:space="preserve">. </w:t>
      </w:r>
    </w:p>
    <w:p w14:paraId="23069BCA" w14:textId="7FF9DE29" w:rsidR="00F77CBE" w:rsidRPr="00705A9C" w:rsidRDefault="003F7C9C" w:rsidP="006740A6">
      <w:pPr>
        <w:pStyle w:val="Newparagraph"/>
      </w:pPr>
      <w:r w:rsidRPr="00705A9C">
        <w:t>T</w:t>
      </w:r>
      <w:r w:rsidR="00403E2C" w:rsidRPr="00705A9C">
        <w:t xml:space="preserve">here were </w:t>
      </w:r>
      <w:r w:rsidR="00B83D54" w:rsidRPr="00705A9C">
        <w:t>significant E</w:t>
      </w:r>
      <w:r w:rsidR="00403E2C" w:rsidRPr="00705A9C">
        <w:t xml:space="preserve">OS trends which </w:t>
      </w:r>
      <w:r w:rsidRPr="00705A9C">
        <w:t xml:space="preserve">led to </w:t>
      </w:r>
      <w:r w:rsidR="00403E2C" w:rsidRPr="00705A9C">
        <w:t>apparent changes in</w:t>
      </w:r>
      <w:r w:rsidR="00B83D54" w:rsidRPr="00705A9C">
        <w:t xml:space="preserve"> LOS</w:t>
      </w:r>
      <w:r w:rsidR="00403E2C" w:rsidRPr="00705A9C">
        <w:t>.</w:t>
      </w:r>
      <w:r w:rsidR="002D2F01" w:rsidRPr="00705A9C">
        <w:t xml:space="preserve"> For example </w:t>
      </w:r>
      <w:r w:rsidR="00C41F29" w:rsidRPr="00705A9C">
        <w:t xml:space="preserve">0.38% of </w:t>
      </w:r>
      <w:r w:rsidR="002D2F01" w:rsidRPr="00705A9C">
        <w:t>earl</w:t>
      </w:r>
      <w:r w:rsidR="00B83D54" w:rsidRPr="00705A9C">
        <w:t>ier E</w:t>
      </w:r>
      <w:r w:rsidR="00C41F29" w:rsidRPr="00705A9C">
        <w:t>OS</w:t>
      </w:r>
      <w:r w:rsidR="002D2F01" w:rsidRPr="00705A9C">
        <w:t xml:space="preserve"> led to </w:t>
      </w:r>
      <w:r w:rsidR="00B83D54" w:rsidRPr="00705A9C">
        <w:rPr>
          <w:i/>
          <w:iCs/>
        </w:rPr>
        <w:t>“shorter season”</w:t>
      </w:r>
      <w:r w:rsidR="00B83D54" w:rsidRPr="00705A9C">
        <w:t xml:space="preserve"> and </w:t>
      </w:r>
      <w:r w:rsidR="00C41F29" w:rsidRPr="00705A9C">
        <w:t xml:space="preserve">1.65% of </w:t>
      </w:r>
      <w:r w:rsidR="00B83D54" w:rsidRPr="00705A9C">
        <w:t xml:space="preserve">delayed EOS resulted in </w:t>
      </w:r>
      <w:r w:rsidR="00B83D54" w:rsidRPr="00705A9C">
        <w:rPr>
          <w:i/>
          <w:iCs/>
        </w:rPr>
        <w:t>“longer season</w:t>
      </w:r>
      <w:r w:rsidR="00C41F29" w:rsidRPr="00705A9C">
        <w:rPr>
          <w:i/>
          <w:iCs/>
        </w:rPr>
        <w:t xml:space="preserve">”. </w:t>
      </w:r>
      <w:r w:rsidR="00DB7A67" w:rsidRPr="00705A9C">
        <w:t>In general, significant increase</w:t>
      </w:r>
      <w:r w:rsidRPr="00705A9C">
        <w:t>s</w:t>
      </w:r>
      <w:r w:rsidR="00DB7A67" w:rsidRPr="00705A9C">
        <w:t xml:space="preserve"> in LOS </w:t>
      </w:r>
      <w:r w:rsidRPr="00705A9C">
        <w:t xml:space="preserve">were associated </w:t>
      </w:r>
      <w:r w:rsidR="00DB7A67" w:rsidRPr="00705A9C">
        <w:t xml:space="preserve">mostly </w:t>
      </w:r>
      <w:r w:rsidRPr="00705A9C">
        <w:t xml:space="preserve">with </w:t>
      </w:r>
      <w:r w:rsidR="00DB7A67" w:rsidRPr="00705A9C">
        <w:lastRenderedPageBreak/>
        <w:t>delayed EOS (2.4%)</w:t>
      </w:r>
      <w:r w:rsidRPr="00705A9C">
        <w:t>. That is,</w:t>
      </w:r>
      <w:r w:rsidR="00DB7A67" w:rsidRPr="00705A9C">
        <w:t xml:space="preserve"> over 60% of the significant LOS positive trends was influenced by delayed EOS dates</w:t>
      </w:r>
      <w:r w:rsidR="00AA5547" w:rsidRPr="00705A9C">
        <w:t>. These</w:t>
      </w:r>
      <w:r w:rsidR="00422A74" w:rsidRPr="00705A9C">
        <w:t xml:space="preserve"> were mostly observed in western and eastern Africa. </w:t>
      </w:r>
      <w:r w:rsidR="009D47AD" w:rsidRPr="00705A9C">
        <w:t xml:space="preserve">On the other hand, </w:t>
      </w:r>
      <w:r w:rsidR="004C591D" w:rsidRPr="00705A9C">
        <w:t xml:space="preserve">a </w:t>
      </w:r>
      <w:r w:rsidR="009D47AD" w:rsidRPr="00705A9C">
        <w:t xml:space="preserve">shorter LOS </w:t>
      </w:r>
      <w:r w:rsidR="004C591D" w:rsidRPr="00705A9C">
        <w:t xml:space="preserve">was </w:t>
      </w:r>
      <w:r w:rsidR="001121A7" w:rsidRPr="00705A9C">
        <w:t>mostly</w:t>
      </w:r>
      <w:r w:rsidR="004A0D92" w:rsidRPr="00705A9C">
        <w:t xml:space="preserve"> due to </w:t>
      </w:r>
      <w:r w:rsidR="004C591D" w:rsidRPr="00705A9C">
        <w:t xml:space="preserve">a </w:t>
      </w:r>
      <w:r w:rsidR="004A0D92" w:rsidRPr="00705A9C">
        <w:t>delayed</w:t>
      </w:r>
      <w:r w:rsidR="001121A7" w:rsidRPr="00705A9C">
        <w:t xml:space="preserve"> </w:t>
      </w:r>
      <w:r w:rsidR="009D47AD" w:rsidRPr="00705A9C">
        <w:t>SOS and earlier EOS</w:t>
      </w:r>
      <w:r w:rsidR="001121A7" w:rsidRPr="00705A9C">
        <w:t xml:space="preserve"> </w:t>
      </w:r>
      <w:r w:rsidR="00773FDE" w:rsidRPr="00705A9C">
        <w:t xml:space="preserve">(see </w:t>
      </w:r>
      <w:r w:rsidR="00A86B9E" w:rsidRPr="00705A9C">
        <w:fldChar w:fldCharType="begin"/>
      </w:r>
      <w:r w:rsidR="00A86B9E" w:rsidRPr="00705A9C">
        <w:instrText xml:space="preserve"> REF _Ref506550678 \h  \* MERGEFORMAT </w:instrText>
      </w:r>
      <w:r w:rsidR="00A86B9E" w:rsidRPr="00705A9C">
        <w:fldChar w:fldCharType="separate"/>
      </w:r>
      <w:r w:rsidR="00A86B9E" w:rsidRPr="00705A9C">
        <w:t xml:space="preserve">Table </w:t>
      </w:r>
      <w:r w:rsidR="00A86B9E" w:rsidRPr="00705A9C">
        <w:rPr>
          <w:noProof/>
        </w:rPr>
        <w:t>3</w:t>
      </w:r>
      <w:r w:rsidR="00A86B9E" w:rsidRPr="00705A9C">
        <w:fldChar w:fldCharType="end"/>
      </w:r>
      <w:r w:rsidR="003256D9" w:rsidRPr="00705A9C">
        <w:t>)</w:t>
      </w:r>
      <w:r w:rsidR="001121A7" w:rsidRPr="00705A9C">
        <w:t xml:space="preserve">. </w:t>
      </w:r>
      <w:r w:rsidR="009B14C1" w:rsidRPr="00705A9C">
        <w:t>This</w:t>
      </w:r>
      <w:r w:rsidR="00571AE9" w:rsidRPr="00705A9C">
        <w:t xml:space="preserve"> </w:t>
      </w:r>
      <w:r w:rsidR="009B14C1" w:rsidRPr="00705A9C">
        <w:t xml:space="preserve">shorter LOS </w:t>
      </w:r>
      <w:r w:rsidR="00571AE9" w:rsidRPr="00705A9C">
        <w:t xml:space="preserve">was seen in similar geographical sub-regions </w:t>
      </w:r>
      <w:r w:rsidR="0000245A" w:rsidRPr="00705A9C">
        <w:t>as</w:t>
      </w:r>
      <w:r w:rsidR="00571AE9" w:rsidRPr="00705A9C">
        <w:t xml:space="preserve"> </w:t>
      </w:r>
      <w:r w:rsidRPr="00705A9C">
        <w:t xml:space="preserve">observed </w:t>
      </w:r>
      <w:r w:rsidR="00571AE9" w:rsidRPr="00705A9C">
        <w:t>longer LOS</w:t>
      </w:r>
      <w:r w:rsidR="00E871F0" w:rsidRPr="00705A9C">
        <w:t>. H</w:t>
      </w:r>
      <w:r w:rsidR="009B14C1" w:rsidRPr="00705A9C">
        <w:t xml:space="preserve">owever, </w:t>
      </w:r>
      <w:r w:rsidR="00571AE9" w:rsidRPr="00705A9C">
        <w:t xml:space="preserve">observations were confined to certain regions like northern Nigeria, western Angola </w:t>
      </w:r>
      <w:r w:rsidR="002B1DB7" w:rsidRPr="00705A9C">
        <w:t xml:space="preserve">and the </w:t>
      </w:r>
      <w:proofErr w:type="spellStart"/>
      <w:r w:rsidR="002B1DB7" w:rsidRPr="00705A9C">
        <w:t>savannas</w:t>
      </w:r>
      <w:proofErr w:type="spellEnd"/>
      <w:r w:rsidR="002B1DB7" w:rsidRPr="00705A9C">
        <w:t xml:space="preserve"> of central Africa.</w:t>
      </w:r>
      <w:bookmarkStart w:id="4" w:name="_Ref470926077"/>
    </w:p>
    <w:p w14:paraId="35ACD906" w14:textId="0BC297C2" w:rsidR="00FD40C2" w:rsidRPr="00705A9C" w:rsidRDefault="003212BC" w:rsidP="00200DC8">
      <w:pPr>
        <w:pStyle w:val="Tabletitle"/>
      </w:pPr>
      <w:bookmarkStart w:id="5" w:name="_Ref506550678"/>
      <w:r w:rsidRPr="00705A9C">
        <w:rPr>
          <w:b/>
        </w:rPr>
        <w:t xml:space="preserve">Table </w:t>
      </w:r>
      <w:r w:rsidRPr="00705A9C">
        <w:rPr>
          <w:b/>
          <w:i/>
        </w:rPr>
        <w:fldChar w:fldCharType="begin"/>
      </w:r>
      <w:r w:rsidRPr="00705A9C">
        <w:rPr>
          <w:b/>
        </w:rPr>
        <w:instrText xml:space="preserve"> SEQ Table \* ARABIC </w:instrText>
      </w:r>
      <w:r w:rsidRPr="00705A9C">
        <w:rPr>
          <w:b/>
          <w:i/>
        </w:rPr>
        <w:fldChar w:fldCharType="separate"/>
      </w:r>
      <w:r w:rsidR="000E5A3D" w:rsidRPr="00705A9C">
        <w:rPr>
          <w:b/>
          <w:noProof/>
        </w:rPr>
        <w:t>3</w:t>
      </w:r>
      <w:r w:rsidRPr="00705A9C">
        <w:rPr>
          <w:b/>
          <w:i/>
        </w:rPr>
        <w:fldChar w:fldCharType="end"/>
      </w:r>
      <w:bookmarkEnd w:id="4"/>
      <w:bookmarkEnd w:id="5"/>
      <w:r w:rsidRPr="00705A9C">
        <w:rPr>
          <w:b/>
        </w:rPr>
        <w:t xml:space="preserve">: </w:t>
      </w:r>
      <w:r w:rsidRPr="00705A9C">
        <w:t xml:space="preserve">Observed combinations of </w:t>
      </w:r>
      <w:r w:rsidR="003F7C9C" w:rsidRPr="00705A9C">
        <w:t xml:space="preserve">changes in </w:t>
      </w:r>
      <w:r w:rsidRPr="00705A9C">
        <w:t>SOS and EOS</w:t>
      </w:r>
      <w:r w:rsidR="003F7C9C" w:rsidRPr="00705A9C">
        <w:t xml:space="preserve"> (</w:t>
      </w:r>
      <w:r w:rsidRPr="00705A9C">
        <w:t xml:space="preserve">leading to </w:t>
      </w:r>
      <w:r w:rsidR="003F7C9C" w:rsidRPr="00705A9C">
        <w:t xml:space="preserve">changes in </w:t>
      </w:r>
      <w:r w:rsidRPr="00705A9C">
        <w:t>LOS</w:t>
      </w:r>
      <w:r w:rsidR="003F7C9C" w:rsidRPr="00705A9C">
        <w:t>)</w:t>
      </w:r>
      <w:r w:rsidRPr="00705A9C">
        <w:t>,</w:t>
      </w:r>
      <w:r w:rsidR="00036146" w:rsidRPr="00705A9C">
        <w:t xml:space="preserve"> </w:t>
      </w:r>
      <w:r w:rsidRPr="00705A9C">
        <w:t>showing the percentage of pixels in each combination</w:t>
      </w:r>
      <w:r w:rsidR="00200DC8" w:rsidRPr="00705A9C">
        <w:t>.</w:t>
      </w:r>
    </w:p>
    <w:tbl>
      <w:tblPr>
        <w:tblW w:w="5000" w:type="pct"/>
        <w:tblBorders>
          <w:top w:val="single" w:sz="4" w:space="0" w:color="auto"/>
          <w:bottom w:val="single" w:sz="4" w:space="0" w:color="auto"/>
        </w:tblBorders>
        <w:tblLook w:val="04A0" w:firstRow="1" w:lastRow="0" w:firstColumn="1" w:lastColumn="0" w:noHBand="0" w:noVBand="1"/>
      </w:tblPr>
      <w:tblGrid>
        <w:gridCol w:w="1806"/>
        <w:gridCol w:w="1805"/>
        <w:gridCol w:w="1915"/>
        <w:gridCol w:w="3500"/>
      </w:tblGrid>
      <w:tr w:rsidR="007E2BC1" w:rsidRPr="00705A9C" w14:paraId="25451867" w14:textId="77777777" w:rsidTr="00E97061">
        <w:trPr>
          <w:trHeight w:val="300"/>
        </w:trPr>
        <w:tc>
          <w:tcPr>
            <w:tcW w:w="1000" w:type="pct"/>
            <w:tcBorders>
              <w:top w:val="single" w:sz="4" w:space="0" w:color="auto"/>
              <w:bottom w:val="single" w:sz="4" w:space="0" w:color="auto"/>
            </w:tcBorders>
            <w:shd w:val="clear" w:color="auto" w:fill="auto"/>
            <w:noWrap/>
            <w:vAlign w:val="bottom"/>
            <w:hideMark/>
          </w:tcPr>
          <w:p w14:paraId="3BD8A46E" w14:textId="5B93382A" w:rsidR="007E2BC1" w:rsidRPr="00705A9C" w:rsidRDefault="002D5BF8" w:rsidP="007E2BC1">
            <w:pPr>
              <w:spacing w:line="360" w:lineRule="auto"/>
              <w:rPr>
                <w:rFonts w:asciiTheme="majorBidi" w:hAnsiTheme="majorBidi" w:cstheme="majorBidi"/>
                <w:b/>
                <w:bCs/>
                <w:color w:val="000000"/>
                <w:sz w:val="20"/>
                <w:szCs w:val="20"/>
                <w:lang w:eastAsia="zh-CN"/>
              </w:rPr>
            </w:pPr>
            <w:r>
              <w:rPr>
                <w:rFonts w:asciiTheme="majorBidi" w:hAnsiTheme="majorBidi" w:cstheme="majorBidi"/>
                <w:b/>
                <w:bCs/>
                <w:color w:val="000000"/>
                <w:sz w:val="20"/>
                <w:szCs w:val="20"/>
                <w:lang w:eastAsia="zh-CN"/>
              </w:rPr>
              <w:t xml:space="preserve">Change in </w:t>
            </w:r>
            <w:r w:rsidR="007E2BC1" w:rsidRPr="00705A9C">
              <w:rPr>
                <w:rFonts w:asciiTheme="majorBidi" w:hAnsiTheme="majorBidi" w:cstheme="majorBidi"/>
                <w:b/>
                <w:bCs/>
                <w:color w:val="000000"/>
                <w:sz w:val="20"/>
                <w:szCs w:val="20"/>
                <w:lang w:eastAsia="zh-CN"/>
              </w:rPr>
              <w:t>SOS</w:t>
            </w:r>
          </w:p>
        </w:tc>
        <w:tc>
          <w:tcPr>
            <w:tcW w:w="1000" w:type="pct"/>
            <w:tcBorders>
              <w:top w:val="single" w:sz="4" w:space="0" w:color="auto"/>
              <w:bottom w:val="single" w:sz="4" w:space="0" w:color="auto"/>
            </w:tcBorders>
            <w:shd w:val="clear" w:color="auto" w:fill="auto"/>
            <w:noWrap/>
            <w:vAlign w:val="bottom"/>
            <w:hideMark/>
          </w:tcPr>
          <w:p w14:paraId="0128E6F5" w14:textId="7BBE5E61" w:rsidR="007E2BC1" w:rsidRPr="00705A9C" w:rsidRDefault="002D5BF8" w:rsidP="007E2BC1">
            <w:pPr>
              <w:spacing w:line="360" w:lineRule="auto"/>
              <w:rPr>
                <w:rFonts w:asciiTheme="majorBidi" w:hAnsiTheme="majorBidi" w:cstheme="majorBidi"/>
                <w:b/>
                <w:bCs/>
                <w:color w:val="000000"/>
                <w:sz w:val="20"/>
                <w:szCs w:val="20"/>
                <w:lang w:eastAsia="zh-CN"/>
              </w:rPr>
            </w:pPr>
            <w:r>
              <w:rPr>
                <w:rFonts w:asciiTheme="majorBidi" w:hAnsiTheme="majorBidi" w:cstheme="majorBidi"/>
                <w:b/>
                <w:bCs/>
                <w:color w:val="000000"/>
                <w:sz w:val="20"/>
                <w:szCs w:val="20"/>
                <w:lang w:eastAsia="zh-CN"/>
              </w:rPr>
              <w:t xml:space="preserve">Change in </w:t>
            </w:r>
            <w:r w:rsidR="007E2BC1" w:rsidRPr="00705A9C">
              <w:rPr>
                <w:rFonts w:asciiTheme="majorBidi" w:hAnsiTheme="majorBidi" w:cstheme="majorBidi"/>
                <w:b/>
                <w:bCs/>
                <w:color w:val="000000"/>
                <w:sz w:val="20"/>
                <w:szCs w:val="20"/>
                <w:lang w:eastAsia="zh-CN"/>
              </w:rPr>
              <w:t>EOS</w:t>
            </w:r>
          </w:p>
        </w:tc>
        <w:tc>
          <w:tcPr>
            <w:tcW w:w="1061" w:type="pct"/>
            <w:tcBorders>
              <w:top w:val="single" w:sz="4" w:space="0" w:color="auto"/>
              <w:bottom w:val="single" w:sz="4" w:space="0" w:color="auto"/>
            </w:tcBorders>
            <w:shd w:val="clear" w:color="auto" w:fill="auto"/>
            <w:noWrap/>
            <w:vAlign w:val="bottom"/>
            <w:hideMark/>
          </w:tcPr>
          <w:p w14:paraId="1930F410" w14:textId="55AB33C2" w:rsidR="007E2BC1" w:rsidRPr="00705A9C" w:rsidRDefault="002D5BF8" w:rsidP="007E2BC1">
            <w:pPr>
              <w:spacing w:line="360" w:lineRule="auto"/>
              <w:rPr>
                <w:rFonts w:asciiTheme="majorBidi" w:hAnsiTheme="majorBidi" w:cstheme="majorBidi"/>
                <w:b/>
                <w:bCs/>
                <w:color w:val="000000"/>
                <w:sz w:val="20"/>
                <w:szCs w:val="20"/>
                <w:lang w:eastAsia="zh-CN"/>
              </w:rPr>
            </w:pPr>
            <w:r>
              <w:rPr>
                <w:rFonts w:asciiTheme="majorBidi" w:hAnsiTheme="majorBidi" w:cstheme="majorBidi"/>
                <w:b/>
                <w:bCs/>
                <w:color w:val="000000"/>
                <w:sz w:val="20"/>
                <w:szCs w:val="20"/>
                <w:lang w:eastAsia="zh-CN"/>
              </w:rPr>
              <w:t xml:space="preserve">Change in </w:t>
            </w:r>
            <w:r w:rsidR="007E2BC1" w:rsidRPr="00705A9C">
              <w:rPr>
                <w:rFonts w:asciiTheme="majorBidi" w:hAnsiTheme="majorBidi" w:cstheme="majorBidi"/>
                <w:b/>
                <w:bCs/>
                <w:color w:val="000000"/>
                <w:sz w:val="20"/>
                <w:szCs w:val="20"/>
                <w:lang w:eastAsia="zh-CN"/>
              </w:rPr>
              <w:t>LOS</w:t>
            </w:r>
          </w:p>
        </w:tc>
        <w:tc>
          <w:tcPr>
            <w:tcW w:w="1939" w:type="pct"/>
            <w:tcBorders>
              <w:top w:val="single" w:sz="4" w:space="0" w:color="auto"/>
              <w:bottom w:val="single" w:sz="4" w:space="0" w:color="auto"/>
            </w:tcBorders>
            <w:shd w:val="clear" w:color="auto" w:fill="auto"/>
            <w:noWrap/>
            <w:vAlign w:val="bottom"/>
            <w:hideMark/>
          </w:tcPr>
          <w:p w14:paraId="060FBFFE" w14:textId="72748FE9" w:rsidR="007E2BC1" w:rsidRPr="00705A9C" w:rsidRDefault="00B244A9" w:rsidP="007E2BC1">
            <w:pPr>
              <w:spacing w:line="360" w:lineRule="auto"/>
              <w:rPr>
                <w:rFonts w:asciiTheme="majorBidi" w:hAnsiTheme="majorBidi" w:cstheme="majorBidi"/>
                <w:b/>
                <w:bCs/>
                <w:color w:val="000000"/>
                <w:sz w:val="20"/>
                <w:szCs w:val="20"/>
                <w:lang w:eastAsia="zh-CN"/>
              </w:rPr>
            </w:pPr>
            <w:r w:rsidRPr="00B244A9">
              <w:rPr>
                <w:rFonts w:asciiTheme="majorBidi" w:hAnsiTheme="majorBidi" w:cstheme="majorBidi"/>
                <w:b/>
                <w:bCs/>
                <w:color w:val="000000"/>
                <w:sz w:val="20"/>
                <w:szCs w:val="20"/>
                <w:lang w:eastAsia="zh-CN"/>
              </w:rPr>
              <w:t>Proportion of area (%)</w:t>
            </w:r>
          </w:p>
        </w:tc>
      </w:tr>
      <w:tr w:rsidR="007E2BC1" w:rsidRPr="00705A9C" w14:paraId="5DB39339" w14:textId="77777777" w:rsidTr="00E97061">
        <w:trPr>
          <w:trHeight w:val="300"/>
        </w:trPr>
        <w:tc>
          <w:tcPr>
            <w:tcW w:w="1000" w:type="pct"/>
            <w:tcBorders>
              <w:top w:val="single" w:sz="4" w:space="0" w:color="auto"/>
            </w:tcBorders>
            <w:shd w:val="clear" w:color="auto" w:fill="auto"/>
            <w:noWrap/>
            <w:vAlign w:val="bottom"/>
            <w:hideMark/>
          </w:tcPr>
          <w:p w14:paraId="66C5EE30" w14:textId="3A979350"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 xml:space="preserve">Earlier </w:t>
            </w:r>
          </w:p>
        </w:tc>
        <w:tc>
          <w:tcPr>
            <w:tcW w:w="1000" w:type="pct"/>
            <w:tcBorders>
              <w:top w:val="single" w:sz="4" w:space="0" w:color="auto"/>
            </w:tcBorders>
            <w:shd w:val="clear" w:color="auto" w:fill="auto"/>
            <w:noWrap/>
            <w:vAlign w:val="bottom"/>
            <w:hideMark/>
          </w:tcPr>
          <w:p w14:paraId="524F8390" w14:textId="1A34BED2"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61" w:type="pct"/>
            <w:tcBorders>
              <w:top w:val="single" w:sz="4" w:space="0" w:color="auto"/>
            </w:tcBorders>
            <w:shd w:val="clear" w:color="auto" w:fill="auto"/>
            <w:noWrap/>
            <w:vAlign w:val="bottom"/>
            <w:hideMark/>
          </w:tcPr>
          <w:p w14:paraId="4F76FE7B"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Longer season</w:t>
            </w:r>
          </w:p>
        </w:tc>
        <w:tc>
          <w:tcPr>
            <w:tcW w:w="1939" w:type="pct"/>
            <w:tcBorders>
              <w:top w:val="single" w:sz="4" w:space="0" w:color="auto"/>
            </w:tcBorders>
            <w:shd w:val="clear" w:color="auto" w:fill="auto"/>
            <w:noWrap/>
            <w:vAlign w:val="bottom"/>
            <w:hideMark/>
          </w:tcPr>
          <w:p w14:paraId="230DA65A"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1.45</w:t>
            </w:r>
          </w:p>
        </w:tc>
      </w:tr>
      <w:tr w:rsidR="007E2BC1" w:rsidRPr="00705A9C" w14:paraId="535A6452" w14:textId="77777777" w:rsidTr="007E2BC1">
        <w:trPr>
          <w:trHeight w:val="300"/>
        </w:trPr>
        <w:tc>
          <w:tcPr>
            <w:tcW w:w="1000" w:type="pct"/>
            <w:shd w:val="clear" w:color="auto" w:fill="auto"/>
            <w:noWrap/>
            <w:vAlign w:val="bottom"/>
            <w:hideMark/>
          </w:tcPr>
          <w:p w14:paraId="4D23EB51" w14:textId="5FC8C883"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00" w:type="pct"/>
            <w:shd w:val="clear" w:color="auto" w:fill="auto"/>
            <w:noWrap/>
            <w:vAlign w:val="bottom"/>
            <w:hideMark/>
          </w:tcPr>
          <w:p w14:paraId="760754B2" w14:textId="7DDC4C60"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61" w:type="pct"/>
            <w:shd w:val="clear" w:color="auto" w:fill="auto"/>
            <w:noWrap/>
            <w:vAlign w:val="bottom"/>
            <w:hideMark/>
          </w:tcPr>
          <w:p w14:paraId="12491B71"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Shorter season</w:t>
            </w:r>
          </w:p>
        </w:tc>
        <w:tc>
          <w:tcPr>
            <w:tcW w:w="1939" w:type="pct"/>
            <w:shd w:val="clear" w:color="auto" w:fill="auto"/>
            <w:noWrap/>
            <w:vAlign w:val="bottom"/>
            <w:hideMark/>
          </w:tcPr>
          <w:p w14:paraId="19AE6B63"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0.05</w:t>
            </w:r>
          </w:p>
        </w:tc>
      </w:tr>
      <w:tr w:rsidR="007E2BC1" w:rsidRPr="00705A9C" w14:paraId="0C9A21A3" w14:textId="77777777" w:rsidTr="007E2BC1">
        <w:trPr>
          <w:trHeight w:val="300"/>
        </w:trPr>
        <w:tc>
          <w:tcPr>
            <w:tcW w:w="1000" w:type="pct"/>
            <w:shd w:val="clear" w:color="auto" w:fill="auto"/>
            <w:noWrap/>
            <w:vAlign w:val="bottom"/>
            <w:hideMark/>
          </w:tcPr>
          <w:p w14:paraId="4DC76FD6" w14:textId="7822BE2B"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00" w:type="pct"/>
            <w:shd w:val="clear" w:color="auto" w:fill="auto"/>
            <w:noWrap/>
            <w:vAlign w:val="bottom"/>
            <w:hideMark/>
          </w:tcPr>
          <w:p w14:paraId="771A3A9B" w14:textId="42CFD4C9"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61" w:type="pct"/>
            <w:shd w:val="clear" w:color="auto" w:fill="auto"/>
            <w:noWrap/>
            <w:vAlign w:val="bottom"/>
            <w:hideMark/>
          </w:tcPr>
          <w:p w14:paraId="444752A8"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w:t>
            </w:r>
          </w:p>
        </w:tc>
        <w:tc>
          <w:tcPr>
            <w:tcW w:w="1939" w:type="pct"/>
            <w:shd w:val="clear" w:color="auto" w:fill="auto"/>
            <w:noWrap/>
            <w:vAlign w:val="bottom"/>
            <w:hideMark/>
          </w:tcPr>
          <w:p w14:paraId="7F3AC4BA"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1.19</w:t>
            </w:r>
          </w:p>
        </w:tc>
      </w:tr>
      <w:tr w:rsidR="007E2BC1" w:rsidRPr="00705A9C" w14:paraId="37000500" w14:textId="77777777" w:rsidTr="007E2BC1">
        <w:trPr>
          <w:trHeight w:val="300"/>
        </w:trPr>
        <w:tc>
          <w:tcPr>
            <w:tcW w:w="1000" w:type="pct"/>
            <w:shd w:val="clear" w:color="auto" w:fill="auto"/>
            <w:noWrap/>
            <w:vAlign w:val="bottom"/>
            <w:hideMark/>
          </w:tcPr>
          <w:p w14:paraId="10092CAE" w14:textId="36DB1DC2"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00" w:type="pct"/>
            <w:shd w:val="clear" w:color="auto" w:fill="auto"/>
            <w:noWrap/>
            <w:vAlign w:val="bottom"/>
            <w:hideMark/>
          </w:tcPr>
          <w:p w14:paraId="4B03C71B" w14:textId="1C628627"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61" w:type="pct"/>
            <w:shd w:val="clear" w:color="auto" w:fill="auto"/>
            <w:noWrap/>
            <w:vAlign w:val="bottom"/>
            <w:hideMark/>
          </w:tcPr>
          <w:p w14:paraId="6AFA43FA"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Longer season</w:t>
            </w:r>
          </w:p>
        </w:tc>
        <w:tc>
          <w:tcPr>
            <w:tcW w:w="1939" w:type="pct"/>
            <w:shd w:val="clear" w:color="auto" w:fill="auto"/>
            <w:noWrap/>
            <w:vAlign w:val="bottom"/>
            <w:hideMark/>
          </w:tcPr>
          <w:p w14:paraId="1E0EC09D"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0.01</w:t>
            </w:r>
          </w:p>
        </w:tc>
      </w:tr>
      <w:tr w:rsidR="007E2BC1" w:rsidRPr="00705A9C" w14:paraId="6445AB2F" w14:textId="77777777" w:rsidTr="007E2BC1">
        <w:trPr>
          <w:trHeight w:val="300"/>
        </w:trPr>
        <w:tc>
          <w:tcPr>
            <w:tcW w:w="1000" w:type="pct"/>
            <w:shd w:val="clear" w:color="auto" w:fill="auto"/>
            <w:noWrap/>
            <w:vAlign w:val="bottom"/>
            <w:hideMark/>
          </w:tcPr>
          <w:p w14:paraId="16CCB329" w14:textId="7F99E545"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00" w:type="pct"/>
            <w:shd w:val="clear" w:color="auto" w:fill="auto"/>
            <w:noWrap/>
            <w:vAlign w:val="bottom"/>
            <w:hideMark/>
          </w:tcPr>
          <w:p w14:paraId="4601DD6C"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w:t>
            </w:r>
          </w:p>
        </w:tc>
        <w:tc>
          <w:tcPr>
            <w:tcW w:w="1061" w:type="pct"/>
            <w:shd w:val="clear" w:color="auto" w:fill="auto"/>
            <w:noWrap/>
            <w:vAlign w:val="bottom"/>
            <w:hideMark/>
          </w:tcPr>
          <w:p w14:paraId="5098548C"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Longer season</w:t>
            </w:r>
          </w:p>
        </w:tc>
        <w:tc>
          <w:tcPr>
            <w:tcW w:w="1939" w:type="pct"/>
            <w:shd w:val="clear" w:color="auto" w:fill="auto"/>
            <w:noWrap/>
            <w:vAlign w:val="bottom"/>
            <w:hideMark/>
          </w:tcPr>
          <w:p w14:paraId="7EF0504E"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0.08</w:t>
            </w:r>
          </w:p>
        </w:tc>
      </w:tr>
      <w:tr w:rsidR="007E2BC1" w:rsidRPr="00705A9C" w14:paraId="4689BF2A" w14:textId="77777777" w:rsidTr="007E2BC1">
        <w:trPr>
          <w:trHeight w:val="300"/>
        </w:trPr>
        <w:tc>
          <w:tcPr>
            <w:tcW w:w="1000" w:type="pct"/>
            <w:shd w:val="clear" w:color="auto" w:fill="auto"/>
            <w:noWrap/>
            <w:vAlign w:val="bottom"/>
            <w:hideMark/>
          </w:tcPr>
          <w:p w14:paraId="5FC504D0" w14:textId="03FFEC5D"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00" w:type="pct"/>
            <w:shd w:val="clear" w:color="auto" w:fill="auto"/>
            <w:noWrap/>
            <w:vAlign w:val="bottom"/>
            <w:hideMark/>
          </w:tcPr>
          <w:p w14:paraId="24567821"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w:t>
            </w:r>
          </w:p>
        </w:tc>
        <w:tc>
          <w:tcPr>
            <w:tcW w:w="1061" w:type="pct"/>
            <w:shd w:val="clear" w:color="auto" w:fill="auto"/>
            <w:noWrap/>
            <w:vAlign w:val="bottom"/>
            <w:hideMark/>
          </w:tcPr>
          <w:p w14:paraId="244B584A" w14:textId="167F0749" w:rsidR="007E2BC1" w:rsidRPr="00705A9C" w:rsidRDefault="003F7C9C"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 xml:space="preserve">Longer </w:t>
            </w:r>
            <w:r w:rsidR="007E2BC1" w:rsidRPr="00705A9C">
              <w:rPr>
                <w:rFonts w:asciiTheme="majorBidi" w:hAnsiTheme="majorBidi" w:cstheme="majorBidi"/>
                <w:color w:val="000000"/>
                <w:sz w:val="20"/>
                <w:szCs w:val="20"/>
                <w:lang w:eastAsia="zh-CN"/>
              </w:rPr>
              <w:t>season</w:t>
            </w:r>
          </w:p>
        </w:tc>
        <w:tc>
          <w:tcPr>
            <w:tcW w:w="1939" w:type="pct"/>
            <w:shd w:val="clear" w:color="auto" w:fill="auto"/>
            <w:noWrap/>
            <w:vAlign w:val="bottom"/>
            <w:hideMark/>
          </w:tcPr>
          <w:p w14:paraId="7986E19A"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0.38</w:t>
            </w:r>
          </w:p>
        </w:tc>
      </w:tr>
      <w:tr w:rsidR="007E2BC1" w:rsidRPr="00705A9C" w14:paraId="55209B02" w14:textId="77777777" w:rsidTr="007E2BC1">
        <w:trPr>
          <w:trHeight w:val="300"/>
        </w:trPr>
        <w:tc>
          <w:tcPr>
            <w:tcW w:w="1000" w:type="pct"/>
            <w:shd w:val="clear" w:color="auto" w:fill="auto"/>
            <w:noWrap/>
            <w:vAlign w:val="bottom"/>
            <w:hideMark/>
          </w:tcPr>
          <w:p w14:paraId="2D778F97" w14:textId="5673796A"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00" w:type="pct"/>
            <w:shd w:val="clear" w:color="auto" w:fill="auto"/>
            <w:noWrap/>
            <w:vAlign w:val="bottom"/>
            <w:hideMark/>
          </w:tcPr>
          <w:p w14:paraId="5ECC6BD2" w14:textId="4EAFDA3C"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61" w:type="pct"/>
            <w:shd w:val="clear" w:color="auto" w:fill="auto"/>
            <w:noWrap/>
            <w:vAlign w:val="bottom"/>
            <w:hideMark/>
          </w:tcPr>
          <w:p w14:paraId="63513A91"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Longer season</w:t>
            </w:r>
          </w:p>
        </w:tc>
        <w:tc>
          <w:tcPr>
            <w:tcW w:w="1939" w:type="pct"/>
            <w:shd w:val="clear" w:color="auto" w:fill="auto"/>
            <w:noWrap/>
            <w:vAlign w:val="bottom"/>
            <w:hideMark/>
          </w:tcPr>
          <w:p w14:paraId="3E40C05E"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0.75</w:t>
            </w:r>
          </w:p>
        </w:tc>
      </w:tr>
      <w:tr w:rsidR="007E2BC1" w:rsidRPr="00705A9C" w14:paraId="58F9806C" w14:textId="77777777" w:rsidTr="007E2BC1">
        <w:trPr>
          <w:trHeight w:val="300"/>
        </w:trPr>
        <w:tc>
          <w:tcPr>
            <w:tcW w:w="1000" w:type="pct"/>
            <w:shd w:val="clear" w:color="auto" w:fill="auto"/>
            <w:noWrap/>
            <w:vAlign w:val="bottom"/>
            <w:hideMark/>
          </w:tcPr>
          <w:p w14:paraId="5EE772CB" w14:textId="4F7E0A8F"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00" w:type="pct"/>
            <w:shd w:val="clear" w:color="auto" w:fill="auto"/>
            <w:noWrap/>
            <w:vAlign w:val="bottom"/>
            <w:hideMark/>
          </w:tcPr>
          <w:p w14:paraId="702BB221" w14:textId="0C0D0045"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61" w:type="pct"/>
            <w:shd w:val="clear" w:color="auto" w:fill="auto"/>
            <w:noWrap/>
            <w:vAlign w:val="bottom"/>
            <w:hideMark/>
          </w:tcPr>
          <w:p w14:paraId="575D9AC4"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Shorter season</w:t>
            </w:r>
          </w:p>
        </w:tc>
        <w:tc>
          <w:tcPr>
            <w:tcW w:w="1939" w:type="pct"/>
            <w:shd w:val="clear" w:color="auto" w:fill="auto"/>
            <w:noWrap/>
            <w:vAlign w:val="bottom"/>
            <w:hideMark/>
          </w:tcPr>
          <w:p w14:paraId="3D0737EE"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0.01</w:t>
            </w:r>
          </w:p>
        </w:tc>
      </w:tr>
      <w:tr w:rsidR="007E2BC1" w:rsidRPr="00705A9C" w14:paraId="472746E3" w14:textId="77777777" w:rsidTr="007E2BC1">
        <w:trPr>
          <w:trHeight w:val="300"/>
        </w:trPr>
        <w:tc>
          <w:tcPr>
            <w:tcW w:w="1000" w:type="pct"/>
            <w:shd w:val="clear" w:color="auto" w:fill="auto"/>
            <w:noWrap/>
            <w:vAlign w:val="bottom"/>
            <w:hideMark/>
          </w:tcPr>
          <w:p w14:paraId="76C09CB4" w14:textId="19E8DD45"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00" w:type="pct"/>
            <w:shd w:val="clear" w:color="auto" w:fill="auto"/>
            <w:noWrap/>
            <w:vAlign w:val="bottom"/>
            <w:hideMark/>
          </w:tcPr>
          <w:p w14:paraId="56488DB1" w14:textId="0C4AB4A5"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61" w:type="pct"/>
            <w:shd w:val="clear" w:color="auto" w:fill="auto"/>
            <w:noWrap/>
            <w:vAlign w:val="bottom"/>
            <w:hideMark/>
          </w:tcPr>
          <w:p w14:paraId="38709325"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w:t>
            </w:r>
          </w:p>
        </w:tc>
        <w:tc>
          <w:tcPr>
            <w:tcW w:w="1939" w:type="pct"/>
            <w:shd w:val="clear" w:color="auto" w:fill="auto"/>
            <w:noWrap/>
            <w:vAlign w:val="bottom"/>
            <w:hideMark/>
          </w:tcPr>
          <w:p w14:paraId="51C9D618"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6.62</w:t>
            </w:r>
          </w:p>
        </w:tc>
      </w:tr>
      <w:tr w:rsidR="007E2BC1" w:rsidRPr="00705A9C" w14:paraId="1B88CF83" w14:textId="77777777" w:rsidTr="007E2BC1">
        <w:trPr>
          <w:trHeight w:val="300"/>
        </w:trPr>
        <w:tc>
          <w:tcPr>
            <w:tcW w:w="1000" w:type="pct"/>
            <w:shd w:val="clear" w:color="auto" w:fill="auto"/>
            <w:noWrap/>
            <w:vAlign w:val="bottom"/>
            <w:hideMark/>
          </w:tcPr>
          <w:p w14:paraId="48D74915" w14:textId="07791019"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00" w:type="pct"/>
            <w:shd w:val="clear" w:color="auto" w:fill="auto"/>
            <w:noWrap/>
            <w:vAlign w:val="bottom"/>
            <w:hideMark/>
          </w:tcPr>
          <w:p w14:paraId="061B8393" w14:textId="176A1EAE"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Earlier</w:t>
            </w:r>
          </w:p>
        </w:tc>
        <w:tc>
          <w:tcPr>
            <w:tcW w:w="1061" w:type="pct"/>
            <w:shd w:val="clear" w:color="auto" w:fill="auto"/>
            <w:noWrap/>
            <w:vAlign w:val="bottom"/>
            <w:hideMark/>
          </w:tcPr>
          <w:p w14:paraId="689342D1"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Shorter season</w:t>
            </w:r>
          </w:p>
        </w:tc>
        <w:tc>
          <w:tcPr>
            <w:tcW w:w="1939" w:type="pct"/>
            <w:shd w:val="clear" w:color="auto" w:fill="auto"/>
            <w:noWrap/>
            <w:vAlign w:val="bottom"/>
            <w:hideMark/>
          </w:tcPr>
          <w:p w14:paraId="74773067"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0.85</w:t>
            </w:r>
          </w:p>
        </w:tc>
      </w:tr>
      <w:tr w:rsidR="007E2BC1" w:rsidRPr="00705A9C" w14:paraId="6E7B8E51" w14:textId="77777777" w:rsidTr="007E2BC1">
        <w:trPr>
          <w:trHeight w:val="300"/>
        </w:trPr>
        <w:tc>
          <w:tcPr>
            <w:tcW w:w="1000" w:type="pct"/>
            <w:shd w:val="clear" w:color="auto" w:fill="auto"/>
            <w:noWrap/>
            <w:vAlign w:val="bottom"/>
            <w:hideMark/>
          </w:tcPr>
          <w:p w14:paraId="6A8DA43D" w14:textId="3F9F5A55"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00" w:type="pct"/>
            <w:shd w:val="clear" w:color="auto" w:fill="auto"/>
            <w:noWrap/>
            <w:vAlign w:val="bottom"/>
            <w:hideMark/>
          </w:tcPr>
          <w:p w14:paraId="56E29538"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w:t>
            </w:r>
          </w:p>
        </w:tc>
        <w:tc>
          <w:tcPr>
            <w:tcW w:w="1061" w:type="pct"/>
            <w:shd w:val="clear" w:color="auto" w:fill="auto"/>
            <w:noWrap/>
            <w:vAlign w:val="bottom"/>
            <w:hideMark/>
          </w:tcPr>
          <w:p w14:paraId="4D83761C"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Shorter season</w:t>
            </w:r>
          </w:p>
        </w:tc>
        <w:tc>
          <w:tcPr>
            <w:tcW w:w="1939" w:type="pct"/>
            <w:shd w:val="clear" w:color="auto" w:fill="auto"/>
            <w:noWrap/>
            <w:vAlign w:val="bottom"/>
            <w:hideMark/>
          </w:tcPr>
          <w:p w14:paraId="4756F82C"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0.50</w:t>
            </w:r>
          </w:p>
        </w:tc>
      </w:tr>
      <w:tr w:rsidR="007E2BC1" w:rsidRPr="00705A9C" w14:paraId="1DEBD024" w14:textId="77777777" w:rsidTr="007E2BC1">
        <w:trPr>
          <w:trHeight w:val="300"/>
        </w:trPr>
        <w:tc>
          <w:tcPr>
            <w:tcW w:w="1000" w:type="pct"/>
            <w:shd w:val="clear" w:color="auto" w:fill="auto"/>
            <w:noWrap/>
            <w:vAlign w:val="bottom"/>
            <w:hideMark/>
          </w:tcPr>
          <w:p w14:paraId="150FAD91" w14:textId="1EEE5D46" w:rsidR="007E2BC1" w:rsidRPr="00705A9C" w:rsidRDefault="002D5BF8" w:rsidP="007E2BC1">
            <w:pPr>
              <w:spacing w:line="360" w:lineRule="auto"/>
              <w:rPr>
                <w:rFonts w:asciiTheme="majorBidi" w:hAnsiTheme="majorBidi" w:cstheme="majorBidi"/>
                <w:color w:val="000000"/>
                <w:sz w:val="20"/>
                <w:szCs w:val="20"/>
                <w:lang w:eastAsia="zh-CN"/>
              </w:rPr>
            </w:pPr>
            <w:r>
              <w:rPr>
                <w:rFonts w:asciiTheme="majorBidi" w:hAnsiTheme="majorBidi" w:cstheme="majorBidi"/>
                <w:color w:val="000000"/>
                <w:sz w:val="20"/>
                <w:szCs w:val="20"/>
                <w:lang w:eastAsia="zh-CN"/>
              </w:rPr>
              <w:t>Delayed</w:t>
            </w:r>
          </w:p>
        </w:tc>
        <w:tc>
          <w:tcPr>
            <w:tcW w:w="1000" w:type="pct"/>
            <w:shd w:val="clear" w:color="auto" w:fill="auto"/>
            <w:noWrap/>
            <w:vAlign w:val="bottom"/>
            <w:hideMark/>
          </w:tcPr>
          <w:p w14:paraId="15825C22"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w:t>
            </w:r>
          </w:p>
        </w:tc>
        <w:tc>
          <w:tcPr>
            <w:tcW w:w="1061" w:type="pct"/>
            <w:shd w:val="clear" w:color="auto" w:fill="auto"/>
            <w:noWrap/>
            <w:vAlign w:val="bottom"/>
            <w:hideMark/>
          </w:tcPr>
          <w:p w14:paraId="451550A1" w14:textId="2346D741" w:rsidR="007E2BC1" w:rsidRPr="00705A9C" w:rsidRDefault="003F7C9C"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 xml:space="preserve">Shorter </w:t>
            </w:r>
            <w:r w:rsidR="007E2BC1" w:rsidRPr="00705A9C">
              <w:rPr>
                <w:rFonts w:asciiTheme="majorBidi" w:hAnsiTheme="majorBidi" w:cstheme="majorBidi"/>
                <w:color w:val="000000"/>
                <w:sz w:val="20"/>
                <w:szCs w:val="20"/>
                <w:lang w:eastAsia="zh-CN"/>
              </w:rPr>
              <w:t>season</w:t>
            </w:r>
          </w:p>
        </w:tc>
        <w:tc>
          <w:tcPr>
            <w:tcW w:w="1939" w:type="pct"/>
            <w:shd w:val="clear" w:color="auto" w:fill="auto"/>
            <w:noWrap/>
            <w:vAlign w:val="bottom"/>
            <w:hideMark/>
          </w:tcPr>
          <w:p w14:paraId="5DC306E1" w14:textId="77777777" w:rsidR="007E2BC1" w:rsidRPr="00705A9C" w:rsidRDefault="007E2BC1" w:rsidP="007E2BC1">
            <w:pPr>
              <w:spacing w:line="360" w:lineRule="auto"/>
              <w:rPr>
                <w:rFonts w:asciiTheme="majorBidi" w:hAnsiTheme="majorBidi" w:cstheme="majorBidi"/>
                <w:color w:val="000000"/>
                <w:sz w:val="20"/>
                <w:szCs w:val="20"/>
                <w:lang w:eastAsia="zh-CN"/>
              </w:rPr>
            </w:pPr>
            <w:r w:rsidRPr="00705A9C">
              <w:rPr>
                <w:rFonts w:asciiTheme="majorBidi" w:hAnsiTheme="majorBidi" w:cstheme="majorBidi"/>
                <w:color w:val="000000"/>
                <w:sz w:val="20"/>
                <w:szCs w:val="20"/>
                <w:lang w:eastAsia="zh-CN"/>
              </w:rPr>
              <w:t>1.65</w:t>
            </w:r>
          </w:p>
        </w:tc>
      </w:tr>
    </w:tbl>
    <w:p w14:paraId="43A22F5C" w14:textId="00124EA9" w:rsidR="00F77CBE" w:rsidRPr="00705A9C" w:rsidRDefault="00F77CBE" w:rsidP="00C30319"/>
    <w:p w14:paraId="01C5CA39" w14:textId="77777777" w:rsidR="00E07CDB" w:rsidRPr="00705A9C" w:rsidRDefault="00E07CDB" w:rsidP="00E07CDB">
      <w:pPr>
        <w:keepNext/>
        <w:spacing w:line="240" w:lineRule="auto"/>
        <w:rPr>
          <w:b/>
        </w:rPr>
      </w:pPr>
    </w:p>
    <w:p w14:paraId="1884704F" w14:textId="32EA5419" w:rsidR="00427F62" w:rsidRPr="00705A9C" w:rsidRDefault="00A86B9E" w:rsidP="002318DC">
      <w:pPr>
        <w:pStyle w:val="Heading2"/>
        <w:numPr>
          <w:ilvl w:val="1"/>
          <w:numId w:val="20"/>
        </w:numPr>
      </w:pPr>
      <w:r w:rsidRPr="00705A9C">
        <w:t xml:space="preserve"> </w:t>
      </w:r>
      <w:r w:rsidR="00510B26" w:rsidRPr="00705A9C">
        <w:t>LSP</w:t>
      </w:r>
      <w:r w:rsidR="008F50DE" w:rsidRPr="00705A9C">
        <w:t xml:space="preserve"> trends </w:t>
      </w:r>
      <w:r w:rsidR="00540BF6" w:rsidRPr="00705A9C">
        <w:t xml:space="preserve">based on land cover </w:t>
      </w:r>
      <w:r w:rsidR="008F50DE" w:rsidRPr="00705A9C">
        <w:t xml:space="preserve">type </w:t>
      </w:r>
    </w:p>
    <w:p w14:paraId="00D20296" w14:textId="372F1462" w:rsidR="00E07CDB" w:rsidRPr="00705A9C" w:rsidRDefault="001B3285" w:rsidP="00200DC8">
      <w:pPr>
        <w:pStyle w:val="Paragraph"/>
        <w:rPr>
          <w:b/>
        </w:rPr>
      </w:pPr>
      <w:r w:rsidRPr="00705A9C">
        <w:t>The</w:t>
      </w:r>
      <w:r w:rsidR="00D662EA" w:rsidRPr="00705A9C">
        <w:t xml:space="preserve"> trends in </w:t>
      </w:r>
      <w:r w:rsidR="00D662EA" w:rsidRPr="00705A9C">
        <w:rPr>
          <w:i/>
          <w:iCs/>
        </w:rPr>
        <w:t>“no change”</w:t>
      </w:r>
      <w:r w:rsidR="00D662EA" w:rsidRPr="00705A9C">
        <w:t xml:space="preserve"> pixels </w:t>
      </w:r>
      <w:r w:rsidR="00E4395E" w:rsidRPr="00705A9C">
        <w:t xml:space="preserve">were </w:t>
      </w:r>
      <w:r w:rsidR="003F3F7C" w:rsidRPr="00705A9C">
        <w:t>identified mainly</w:t>
      </w:r>
      <w:r w:rsidR="000669FD" w:rsidRPr="00705A9C">
        <w:t xml:space="preserve"> </w:t>
      </w:r>
      <w:r w:rsidR="00145C1E" w:rsidRPr="00705A9C">
        <w:t xml:space="preserve">in </w:t>
      </w:r>
      <w:r w:rsidR="00C75B73" w:rsidRPr="00705A9C">
        <w:t xml:space="preserve">woody </w:t>
      </w:r>
      <w:proofErr w:type="spellStart"/>
      <w:r w:rsidR="00C75B73" w:rsidRPr="00705A9C">
        <w:t>savanna</w:t>
      </w:r>
      <w:proofErr w:type="spellEnd"/>
      <w:r w:rsidR="00C75B73" w:rsidRPr="00705A9C">
        <w:t>/</w:t>
      </w:r>
      <w:proofErr w:type="spellStart"/>
      <w:r w:rsidR="00C75B73" w:rsidRPr="00705A9C">
        <w:t>savanna</w:t>
      </w:r>
      <w:proofErr w:type="spellEnd"/>
      <w:r w:rsidR="00C75B73" w:rsidRPr="00705A9C">
        <w:t xml:space="preserve"> and croplands/natural vegetation</w:t>
      </w:r>
      <w:r w:rsidR="00710B48" w:rsidRPr="00705A9C">
        <w:t xml:space="preserve"> mosaic</w:t>
      </w:r>
      <w:r w:rsidR="003F3F7C" w:rsidRPr="00705A9C">
        <w:t>.</w:t>
      </w:r>
      <w:r w:rsidRPr="00705A9C">
        <w:t xml:space="preserve"> </w:t>
      </w:r>
      <w:r w:rsidR="00C75B73" w:rsidRPr="00705A9C">
        <w:t xml:space="preserve">More specifically, </w:t>
      </w:r>
      <w:r w:rsidRPr="00705A9C">
        <w:t xml:space="preserve">72% of these significant pixels were found in woody </w:t>
      </w:r>
      <w:proofErr w:type="spellStart"/>
      <w:r w:rsidRPr="00705A9C">
        <w:t>savanna</w:t>
      </w:r>
      <w:proofErr w:type="spellEnd"/>
      <w:r w:rsidRPr="00705A9C">
        <w:t>/</w:t>
      </w:r>
      <w:proofErr w:type="spellStart"/>
      <w:r w:rsidRPr="00705A9C">
        <w:t>savanna</w:t>
      </w:r>
      <w:proofErr w:type="spellEnd"/>
      <w:r w:rsidRPr="00705A9C">
        <w:t xml:space="preserve">, </w:t>
      </w:r>
      <w:r w:rsidR="00D54B19" w:rsidRPr="00D54B19">
        <w:rPr>
          <w:highlight w:val="yellow"/>
        </w:rPr>
        <w:t>16</w:t>
      </w:r>
      <w:r w:rsidR="00CD35B8" w:rsidRPr="00D54B19">
        <w:rPr>
          <w:highlight w:val="yellow"/>
        </w:rPr>
        <w:t xml:space="preserve">% </w:t>
      </w:r>
      <w:r w:rsidRPr="00D54B19">
        <w:rPr>
          <w:highlight w:val="yellow"/>
        </w:rPr>
        <w:t>in croplands/natural</w:t>
      </w:r>
      <w:r w:rsidR="00C75B73" w:rsidRPr="00D54B19">
        <w:rPr>
          <w:highlight w:val="yellow"/>
        </w:rPr>
        <w:t xml:space="preserve"> vegetation</w:t>
      </w:r>
      <w:r w:rsidR="00710B48" w:rsidRPr="00D54B19">
        <w:rPr>
          <w:highlight w:val="yellow"/>
        </w:rPr>
        <w:t xml:space="preserve"> mosaic</w:t>
      </w:r>
      <w:r w:rsidRPr="00D54B19">
        <w:rPr>
          <w:highlight w:val="yellow"/>
        </w:rPr>
        <w:t xml:space="preserve">, </w:t>
      </w:r>
      <w:r w:rsidR="00D54B19" w:rsidRPr="00D54B19">
        <w:rPr>
          <w:highlight w:val="yellow"/>
        </w:rPr>
        <w:t>7% in croplands</w:t>
      </w:r>
      <w:r w:rsidR="00D54B19">
        <w:t xml:space="preserve">, </w:t>
      </w:r>
      <w:r w:rsidRPr="00705A9C">
        <w:t>4% in grasslands</w:t>
      </w:r>
      <w:r w:rsidR="00244B08" w:rsidRPr="00705A9C">
        <w:t xml:space="preserve"> and 1%</w:t>
      </w:r>
      <w:r w:rsidRPr="00705A9C">
        <w:t xml:space="preserve"> in </w:t>
      </w:r>
      <w:proofErr w:type="spellStart"/>
      <w:r w:rsidRPr="00705A9C">
        <w:t>shrublands</w:t>
      </w:r>
      <w:proofErr w:type="spellEnd"/>
      <w:r w:rsidRPr="00705A9C">
        <w:t xml:space="preserve">. </w:t>
      </w:r>
    </w:p>
    <w:p w14:paraId="7BB5175C" w14:textId="24214504" w:rsidR="00B91525" w:rsidRPr="00705A9C" w:rsidRDefault="00AE3B4D" w:rsidP="00A86B9E">
      <w:pPr>
        <w:pStyle w:val="Newparagraph"/>
        <w:rPr>
          <w:b/>
        </w:rPr>
      </w:pPr>
      <w:r w:rsidRPr="00705A9C">
        <w:t xml:space="preserve">Corresponding to the general pattern of </w:t>
      </w:r>
      <w:r w:rsidR="00C75B73" w:rsidRPr="00705A9C">
        <w:t>SOS becoming later (i.e.</w:t>
      </w:r>
      <w:r w:rsidR="009901B2" w:rsidRPr="00705A9C">
        <w:t>,</w:t>
      </w:r>
      <w:r w:rsidR="00C75B73" w:rsidRPr="00705A9C">
        <w:t xml:space="preserve"> </w:t>
      </w:r>
      <w:r w:rsidRPr="00705A9C">
        <w:t>more significant positive trends</w:t>
      </w:r>
      <w:r w:rsidR="0045491A" w:rsidRPr="00705A9C">
        <w:t xml:space="preserve"> compared to negative trends</w:t>
      </w:r>
      <w:r w:rsidR="00C75B73" w:rsidRPr="00705A9C">
        <w:t>)</w:t>
      </w:r>
      <w:r w:rsidR="0045491A" w:rsidRPr="00705A9C">
        <w:t>,</w:t>
      </w:r>
      <w:r w:rsidRPr="00705A9C">
        <w:t xml:space="preserve"> woody </w:t>
      </w:r>
      <w:proofErr w:type="spellStart"/>
      <w:r w:rsidRPr="00705A9C">
        <w:t>savanna</w:t>
      </w:r>
      <w:proofErr w:type="spellEnd"/>
      <w:r w:rsidRPr="00705A9C">
        <w:t>/</w:t>
      </w:r>
      <w:proofErr w:type="spellStart"/>
      <w:r w:rsidRPr="00705A9C">
        <w:t>savanna</w:t>
      </w:r>
      <w:proofErr w:type="spellEnd"/>
      <w:r w:rsidR="00007E30" w:rsidRPr="00705A9C">
        <w:t xml:space="preserve"> </w:t>
      </w:r>
      <w:r w:rsidRPr="00705A9C">
        <w:t xml:space="preserve">had more </w:t>
      </w:r>
      <w:r w:rsidR="00427F62" w:rsidRPr="00705A9C">
        <w:t xml:space="preserve">pixels with </w:t>
      </w:r>
      <w:r w:rsidR="00C75B73" w:rsidRPr="00705A9C">
        <w:lastRenderedPageBreak/>
        <w:t xml:space="preserve">trend towards a </w:t>
      </w:r>
      <w:r w:rsidRPr="00705A9C">
        <w:t xml:space="preserve">delayed </w:t>
      </w:r>
      <w:r w:rsidR="00244B08" w:rsidRPr="00705A9C">
        <w:t xml:space="preserve">SOS </w:t>
      </w:r>
      <w:r w:rsidR="00301469" w:rsidRPr="00705A9C">
        <w:t xml:space="preserve">with a slope </w:t>
      </w:r>
      <w:r w:rsidR="00244B08" w:rsidRPr="00705A9C">
        <w:t>of between 2 to</w:t>
      </w:r>
      <w:r w:rsidR="00FE73B9" w:rsidRPr="00705A9C">
        <w:t xml:space="preserve"> 2.4 days year</w:t>
      </w:r>
      <w:r w:rsidR="00FE73B9" w:rsidRPr="00705A9C">
        <w:rPr>
          <w:vertAlign w:val="superscript"/>
        </w:rPr>
        <w:t>-1</w:t>
      </w:r>
      <w:r w:rsidR="00007E30" w:rsidRPr="00705A9C">
        <w:t xml:space="preserve"> across </w:t>
      </w:r>
      <w:r w:rsidR="00301469" w:rsidRPr="00705A9C">
        <w:t xml:space="preserve">all </w:t>
      </w:r>
      <w:r w:rsidR="00007E30" w:rsidRPr="00705A9C">
        <w:t>Africa</w:t>
      </w:r>
      <w:r w:rsidR="003C1319" w:rsidRPr="00705A9C">
        <w:t xml:space="preserve"> (spatial pattern of slope magnitudes </w:t>
      </w:r>
      <w:r w:rsidR="00B61C28" w:rsidRPr="00705A9C">
        <w:t xml:space="preserve">and frequency distributions </w:t>
      </w:r>
      <w:r w:rsidR="003C1319" w:rsidRPr="00705A9C">
        <w:t xml:space="preserve">are detailed in </w:t>
      </w:r>
      <w:r w:rsidR="00A338CD" w:rsidRPr="00705A9C">
        <w:fldChar w:fldCharType="begin"/>
      </w:r>
      <w:r w:rsidR="00A338CD" w:rsidRPr="00705A9C">
        <w:instrText xml:space="preserve"> REF _Ref506551011 \h  \* MERGEFORMAT </w:instrText>
      </w:r>
      <w:r w:rsidR="00A338CD" w:rsidRPr="00705A9C">
        <w:fldChar w:fldCharType="separate"/>
      </w:r>
      <w:r w:rsidR="00A338CD" w:rsidRPr="00705A9C">
        <w:t xml:space="preserve">Figure </w:t>
      </w:r>
      <w:r w:rsidR="00A338CD" w:rsidRPr="00705A9C">
        <w:rPr>
          <w:noProof/>
        </w:rPr>
        <w:t>5</w:t>
      </w:r>
      <w:r w:rsidR="00A338CD" w:rsidRPr="00705A9C">
        <w:fldChar w:fldCharType="end"/>
      </w:r>
      <w:r w:rsidR="00F26F80" w:rsidRPr="00705A9C">
        <w:t xml:space="preserve"> and</w:t>
      </w:r>
      <w:r w:rsidR="00A338CD" w:rsidRPr="00705A9C">
        <w:t xml:space="preserve"> </w:t>
      </w:r>
      <w:r w:rsidR="00A338CD" w:rsidRPr="00705A9C">
        <w:fldChar w:fldCharType="begin"/>
      </w:r>
      <w:r w:rsidR="00A338CD" w:rsidRPr="00705A9C">
        <w:instrText xml:space="preserve"> REF _Ref506551021 \h  \* MERGEFORMAT </w:instrText>
      </w:r>
      <w:r w:rsidR="00A338CD" w:rsidRPr="00705A9C">
        <w:fldChar w:fldCharType="separate"/>
      </w:r>
      <w:r w:rsidR="00A338CD" w:rsidRPr="00705A9C">
        <w:t xml:space="preserve">Figure </w:t>
      </w:r>
      <w:r w:rsidR="00A338CD" w:rsidRPr="00705A9C">
        <w:rPr>
          <w:noProof/>
        </w:rPr>
        <w:t>6</w:t>
      </w:r>
      <w:r w:rsidR="00A338CD" w:rsidRPr="00705A9C">
        <w:fldChar w:fldCharType="end"/>
      </w:r>
      <w:r w:rsidR="003C1319" w:rsidRPr="00705A9C">
        <w:t>)</w:t>
      </w:r>
      <w:r w:rsidR="00FE73B9" w:rsidRPr="00705A9C">
        <w:t xml:space="preserve">. </w:t>
      </w:r>
      <w:r w:rsidR="00301469" w:rsidRPr="00705A9C">
        <w:t>A</w:t>
      </w:r>
      <w:r w:rsidR="00FA5D7A" w:rsidRPr="00705A9C">
        <w:t xml:space="preserve"> very small prop</w:t>
      </w:r>
      <w:r w:rsidR="00C75B73" w:rsidRPr="00705A9C">
        <w:t xml:space="preserve">ortion of woody </w:t>
      </w:r>
      <w:proofErr w:type="spellStart"/>
      <w:r w:rsidR="00C75B73" w:rsidRPr="00705A9C">
        <w:t>savanna</w:t>
      </w:r>
      <w:proofErr w:type="spellEnd"/>
      <w:r w:rsidR="00C75B73" w:rsidRPr="00705A9C">
        <w:t>/</w:t>
      </w:r>
      <w:proofErr w:type="spellStart"/>
      <w:r w:rsidR="00C75B73" w:rsidRPr="00705A9C">
        <w:t>savanna</w:t>
      </w:r>
      <w:proofErr w:type="spellEnd"/>
      <w:r w:rsidR="00FA5D7A" w:rsidRPr="00705A9C">
        <w:t xml:space="preserve"> pixels of about 0.4%, distributed </w:t>
      </w:r>
      <w:r w:rsidR="00007E30" w:rsidRPr="00705A9C">
        <w:t>in central and eastern Africa</w:t>
      </w:r>
      <w:r w:rsidR="00301469" w:rsidRPr="00705A9C">
        <w:t>,</w:t>
      </w:r>
      <w:r w:rsidR="00007E30" w:rsidRPr="00705A9C">
        <w:t xml:space="preserve"> had </w:t>
      </w:r>
      <w:r w:rsidR="00C75B73" w:rsidRPr="00705A9C">
        <w:t xml:space="preserve">a trend towards an </w:t>
      </w:r>
      <w:r w:rsidR="00D938C3" w:rsidRPr="00705A9C">
        <w:t>earlier</w:t>
      </w:r>
      <w:r w:rsidR="00007E30" w:rsidRPr="00705A9C">
        <w:t xml:space="preserve"> SOS </w:t>
      </w:r>
      <w:r w:rsidR="00301469" w:rsidRPr="00705A9C">
        <w:t xml:space="preserve">with a slope </w:t>
      </w:r>
      <w:r w:rsidR="00C75B73" w:rsidRPr="00705A9C">
        <w:t>of -3 to</w:t>
      </w:r>
      <w:r w:rsidR="00D938C3" w:rsidRPr="00705A9C">
        <w:t xml:space="preserve"> -4 </w:t>
      </w:r>
      <w:proofErr w:type="gramStart"/>
      <w:r w:rsidR="00D938C3" w:rsidRPr="00705A9C">
        <w:t>days</w:t>
      </w:r>
      <w:proofErr w:type="gramEnd"/>
      <w:r w:rsidR="00D938C3" w:rsidRPr="00705A9C">
        <w:t xml:space="preserve"> year</w:t>
      </w:r>
      <w:r w:rsidR="00D938C3" w:rsidRPr="00705A9C">
        <w:rPr>
          <w:vertAlign w:val="superscript"/>
        </w:rPr>
        <w:t>-1</w:t>
      </w:r>
      <w:r w:rsidR="00D938C3" w:rsidRPr="00705A9C">
        <w:t>.</w:t>
      </w:r>
      <w:r w:rsidR="00FA5D7A" w:rsidRPr="00705A9C">
        <w:t xml:space="preserve"> The EOS </w:t>
      </w:r>
      <w:r w:rsidR="00B178B4" w:rsidRPr="00705A9C">
        <w:t xml:space="preserve">and LOS </w:t>
      </w:r>
      <w:r w:rsidR="00FA5D7A" w:rsidRPr="00705A9C">
        <w:t xml:space="preserve">trends </w:t>
      </w:r>
      <w:r w:rsidR="00C75B73" w:rsidRPr="00705A9C">
        <w:t xml:space="preserve">for woody </w:t>
      </w:r>
      <w:proofErr w:type="spellStart"/>
      <w:r w:rsidR="00C75B73" w:rsidRPr="00705A9C">
        <w:t>savanna</w:t>
      </w:r>
      <w:proofErr w:type="spellEnd"/>
      <w:r w:rsidR="00C75B73" w:rsidRPr="00705A9C">
        <w:t>/</w:t>
      </w:r>
      <w:proofErr w:type="spellStart"/>
      <w:r w:rsidR="00C75B73" w:rsidRPr="00705A9C">
        <w:t>savanna</w:t>
      </w:r>
      <w:proofErr w:type="spellEnd"/>
      <w:r w:rsidR="00FA5D7A" w:rsidRPr="00705A9C">
        <w:t xml:space="preserve"> were similar to the SOS trends,</w:t>
      </w:r>
      <w:r w:rsidR="00A42EF5" w:rsidRPr="00705A9C">
        <w:t xml:space="preserve"> </w:t>
      </w:r>
      <w:r w:rsidR="00B178B4" w:rsidRPr="00705A9C">
        <w:t xml:space="preserve">having more significant positive pixels. However, </w:t>
      </w:r>
      <w:r w:rsidR="00D80CD5" w:rsidRPr="00705A9C">
        <w:t xml:space="preserve">for woody </w:t>
      </w:r>
      <w:proofErr w:type="spellStart"/>
      <w:r w:rsidR="00D80CD5" w:rsidRPr="00705A9C">
        <w:t>savanna</w:t>
      </w:r>
      <w:proofErr w:type="spellEnd"/>
      <w:r w:rsidR="00D80CD5" w:rsidRPr="00705A9C">
        <w:t>/</w:t>
      </w:r>
      <w:proofErr w:type="spellStart"/>
      <w:r w:rsidR="00D80CD5" w:rsidRPr="00705A9C">
        <w:t>savanna</w:t>
      </w:r>
      <w:proofErr w:type="spellEnd"/>
      <w:r w:rsidR="00D80CD5" w:rsidRPr="00705A9C">
        <w:t xml:space="preserve"> </w:t>
      </w:r>
      <w:r w:rsidR="00B178B4" w:rsidRPr="00705A9C">
        <w:t xml:space="preserve">the positive LOS trends </w:t>
      </w:r>
      <w:r w:rsidR="007117E9" w:rsidRPr="00705A9C">
        <w:t xml:space="preserve">observed </w:t>
      </w:r>
      <w:r w:rsidR="00B178B4" w:rsidRPr="00705A9C">
        <w:t>were mostly</w:t>
      </w:r>
      <w:r w:rsidR="007117E9" w:rsidRPr="00705A9C">
        <w:t xml:space="preserve"> a result of earlier SOS dates leading to</w:t>
      </w:r>
      <w:r w:rsidR="00301469" w:rsidRPr="00705A9C">
        <w:t xml:space="preserve"> an</w:t>
      </w:r>
      <w:r w:rsidR="00B178B4" w:rsidRPr="00705A9C">
        <w:t xml:space="preserve"> </w:t>
      </w:r>
      <w:r w:rsidR="00B178B4" w:rsidRPr="00705A9C">
        <w:rPr>
          <w:i/>
        </w:rPr>
        <w:t>“</w:t>
      </w:r>
      <w:r w:rsidR="007117E9" w:rsidRPr="00705A9C">
        <w:rPr>
          <w:i/>
        </w:rPr>
        <w:t>e</w:t>
      </w:r>
      <w:r w:rsidR="00B178B4" w:rsidRPr="00705A9C">
        <w:rPr>
          <w:i/>
        </w:rPr>
        <w:t>arlier</w:t>
      </w:r>
      <w:r w:rsidR="00301469" w:rsidRPr="00705A9C">
        <w:rPr>
          <w:i/>
        </w:rPr>
        <w:t xml:space="preserve"> and</w:t>
      </w:r>
      <w:r w:rsidR="00B178B4" w:rsidRPr="00705A9C">
        <w:rPr>
          <w:i/>
        </w:rPr>
        <w:t xml:space="preserve"> longer season</w:t>
      </w:r>
      <w:r w:rsidR="00201F0A" w:rsidRPr="00705A9C">
        <w:rPr>
          <w:i/>
        </w:rPr>
        <w:t xml:space="preserve">”. </w:t>
      </w:r>
      <w:r w:rsidR="0070401A" w:rsidRPr="00705A9C">
        <w:t xml:space="preserve">Croplands/natural vegetation </w:t>
      </w:r>
      <w:r w:rsidR="00710B48" w:rsidRPr="00705A9C">
        <w:t xml:space="preserve">mosaic </w:t>
      </w:r>
      <w:r w:rsidR="0070401A" w:rsidRPr="00705A9C">
        <w:t xml:space="preserve">on the other hand had </w:t>
      </w:r>
      <w:r w:rsidR="005D6169" w:rsidRPr="00705A9C">
        <w:t xml:space="preserve">more </w:t>
      </w:r>
      <w:r w:rsidR="005D6169" w:rsidRPr="00705A9C">
        <w:rPr>
          <w:i/>
        </w:rPr>
        <w:t>“longer season”</w:t>
      </w:r>
      <w:r w:rsidR="005D6169" w:rsidRPr="00705A9C">
        <w:t xml:space="preserve"> LOS trend</w:t>
      </w:r>
      <w:r w:rsidR="00301469" w:rsidRPr="00705A9C">
        <w:t>s</w:t>
      </w:r>
      <w:r w:rsidR="005D6169" w:rsidRPr="00705A9C">
        <w:t xml:space="preserve">. This was </w:t>
      </w:r>
      <w:r w:rsidR="00301469" w:rsidRPr="00705A9C">
        <w:t>due to</w:t>
      </w:r>
      <w:r w:rsidR="005D6169" w:rsidRPr="00705A9C">
        <w:t xml:space="preserve"> </w:t>
      </w:r>
      <w:r w:rsidR="00301469" w:rsidRPr="00705A9C">
        <w:t xml:space="preserve">a </w:t>
      </w:r>
      <w:r w:rsidR="005D6169" w:rsidRPr="00705A9C">
        <w:t xml:space="preserve">delayed EOS only, particularly in West African countries like Mali and Senegal. Although there were delayed SOS </w:t>
      </w:r>
      <w:r w:rsidR="00D22F2A" w:rsidRPr="00705A9C">
        <w:t xml:space="preserve">trends </w:t>
      </w:r>
      <w:r w:rsidR="005D6169" w:rsidRPr="00705A9C">
        <w:t xml:space="preserve">of </w:t>
      </w:r>
      <w:r w:rsidR="00385F90" w:rsidRPr="00705A9C">
        <w:t>approximate</w:t>
      </w:r>
      <w:r w:rsidR="005D6169" w:rsidRPr="00705A9C">
        <w:t>ly</w:t>
      </w:r>
      <w:r w:rsidR="004132D4" w:rsidRPr="00705A9C">
        <w:t xml:space="preserve"> 2.3 </w:t>
      </w:r>
      <w:r w:rsidR="00BA2803" w:rsidRPr="00705A9C">
        <w:t>days year</w:t>
      </w:r>
      <w:r w:rsidR="00BA2803" w:rsidRPr="00705A9C">
        <w:rPr>
          <w:vertAlign w:val="superscript"/>
        </w:rPr>
        <w:t>-1</w:t>
      </w:r>
      <w:r w:rsidR="00DF3E83" w:rsidRPr="00705A9C">
        <w:t xml:space="preserve">, </w:t>
      </w:r>
      <w:r w:rsidR="00D80CD5" w:rsidRPr="00705A9C">
        <w:t>simil</w:t>
      </w:r>
      <w:r w:rsidR="005D6169" w:rsidRPr="00705A9C">
        <w:t xml:space="preserve">ar rates of change in EOS were observed. </w:t>
      </w:r>
    </w:p>
    <w:p w14:paraId="672B6EEA" w14:textId="77777777" w:rsidR="00A9642B" w:rsidRPr="00705A9C" w:rsidRDefault="00A9642B" w:rsidP="00A9642B">
      <w:pPr>
        <w:keepNext/>
      </w:pPr>
    </w:p>
    <w:p w14:paraId="65C9489F" w14:textId="50D077CF" w:rsidR="00E07CDB" w:rsidRPr="00705A9C" w:rsidRDefault="00A338CD" w:rsidP="002318DC">
      <w:pPr>
        <w:pStyle w:val="Heading2"/>
        <w:numPr>
          <w:ilvl w:val="1"/>
          <w:numId w:val="20"/>
        </w:numPr>
      </w:pPr>
      <w:r w:rsidRPr="00705A9C">
        <w:t xml:space="preserve"> </w:t>
      </w:r>
      <w:r w:rsidR="00510B26" w:rsidRPr="00705A9C">
        <w:t>LSP</w:t>
      </w:r>
      <w:r w:rsidR="008F50DE" w:rsidRPr="00705A9C">
        <w:t xml:space="preserve"> trends based on land cover change </w:t>
      </w:r>
    </w:p>
    <w:p w14:paraId="696A9EBD" w14:textId="139F43AF" w:rsidR="00C70877" w:rsidRPr="00705A9C" w:rsidRDefault="00A9618B" w:rsidP="00A9618B">
      <w:pPr>
        <w:pStyle w:val="Paragraph"/>
      </w:pPr>
      <w:r w:rsidRPr="00F73B5F">
        <w:rPr>
          <w:highlight w:val="yellow"/>
        </w:rPr>
        <w:fldChar w:fldCharType="begin"/>
      </w:r>
      <w:r w:rsidRPr="00F73B5F">
        <w:rPr>
          <w:highlight w:val="yellow"/>
        </w:rPr>
        <w:instrText xml:space="preserve"> REF _Ref506550622 \h  \* MERGEFORMAT </w:instrText>
      </w:r>
      <w:r w:rsidRPr="00F73B5F">
        <w:rPr>
          <w:highlight w:val="yellow"/>
        </w:rPr>
      </w:r>
      <w:r w:rsidRPr="00F73B5F">
        <w:rPr>
          <w:highlight w:val="yellow"/>
        </w:rPr>
        <w:fldChar w:fldCharType="separate"/>
      </w:r>
      <w:r w:rsidRPr="00F73B5F">
        <w:rPr>
          <w:sz w:val="22"/>
          <w:szCs w:val="22"/>
          <w:highlight w:val="yellow"/>
        </w:rPr>
        <w:t xml:space="preserve">Table </w:t>
      </w:r>
      <w:r w:rsidRPr="00F73B5F">
        <w:rPr>
          <w:noProof/>
          <w:sz w:val="22"/>
          <w:szCs w:val="22"/>
          <w:highlight w:val="yellow"/>
        </w:rPr>
        <w:t>2</w:t>
      </w:r>
      <w:r w:rsidRPr="00F73B5F">
        <w:rPr>
          <w:highlight w:val="yellow"/>
        </w:rPr>
        <w:fldChar w:fldCharType="end"/>
      </w:r>
      <w:r w:rsidRPr="00F73B5F">
        <w:rPr>
          <w:highlight w:val="yellow"/>
        </w:rPr>
        <w:t xml:space="preserve"> </w:t>
      </w:r>
      <w:r w:rsidR="001162AE" w:rsidRPr="00F73B5F">
        <w:rPr>
          <w:highlight w:val="yellow"/>
        </w:rPr>
        <w:t>shows</w:t>
      </w:r>
      <w:r w:rsidR="00033EBB" w:rsidRPr="00F73B5F">
        <w:rPr>
          <w:highlight w:val="yellow"/>
        </w:rPr>
        <w:t xml:space="preserve"> </w:t>
      </w:r>
      <w:r w:rsidR="00DF166C" w:rsidRPr="00F73B5F">
        <w:rPr>
          <w:highlight w:val="yellow"/>
        </w:rPr>
        <w:t xml:space="preserve">the </w:t>
      </w:r>
      <w:r w:rsidR="00E4395E" w:rsidRPr="00F73B5F">
        <w:rPr>
          <w:highlight w:val="yellow"/>
        </w:rPr>
        <w:t xml:space="preserve">number </w:t>
      </w:r>
      <w:r w:rsidR="00DF166C" w:rsidRPr="00F73B5F">
        <w:rPr>
          <w:highlight w:val="yellow"/>
        </w:rPr>
        <w:t xml:space="preserve">and proportion of land </w:t>
      </w:r>
      <w:r w:rsidR="00E653D3" w:rsidRPr="00F73B5F">
        <w:rPr>
          <w:highlight w:val="yellow"/>
        </w:rPr>
        <w:t xml:space="preserve">cover </w:t>
      </w:r>
      <w:r w:rsidR="00E4395E" w:rsidRPr="00F73B5F">
        <w:rPr>
          <w:highlight w:val="yellow"/>
        </w:rPr>
        <w:t xml:space="preserve">change events </w:t>
      </w:r>
      <w:r w:rsidR="00DF166C" w:rsidRPr="00F73B5F">
        <w:rPr>
          <w:highlight w:val="yellow"/>
        </w:rPr>
        <w:t xml:space="preserve">and their corresponding significant trends. The significant </w:t>
      </w:r>
      <w:r w:rsidR="00F73B5F" w:rsidRPr="00F73B5F">
        <w:rPr>
          <w:highlight w:val="yellow"/>
        </w:rPr>
        <w:t xml:space="preserve">SOS </w:t>
      </w:r>
      <w:r w:rsidR="00DF166C" w:rsidRPr="00F73B5F">
        <w:rPr>
          <w:highlight w:val="yellow"/>
        </w:rPr>
        <w:t xml:space="preserve">trends in </w:t>
      </w:r>
      <w:r w:rsidR="00892AC3" w:rsidRPr="00F73B5F">
        <w:rPr>
          <w:highlight w:val="yellow"/>
        </w:rPr>
        <w:t xml:space="preserve">the </w:t>
      </w:r>
      <w:r w:rsidR="00892AC3" w:rsidRPr="00F73B5F">
        <w:rPr>
          <w:i/>
          <w:highlight w:val="yellow"/>
        </w:rPr>
        <w:t>“one change”</w:t>
      </w:r>
      <w:r w:rsidR="00892AC3" w:rsidRPr="00F73B5F">
        <w:rPr>
          <w:highlight w:val="yellow"/>
        </w:rPr>
        <w:t xml:space="preserve"> category </w:t>
      </w:r>
      <w:r w:rsidR="00F73B5F" w:rsidRPr="00F73B5F">
        <w:rPr>
          <w:highlight w:val="yellow"/>
        </w:rPr>
        <w:t>with 18</w:t>
      </w:r>
      <w:r w:rsidR="00892AC3" w:rsidRPr="00F73B5F">
        <w:rPr>
          <w:highlight w:val="yellow"/>
        </w:rPr>
        <w:t xml:space="preserve">% </w:t>
      </w:r>
      <w:r w:rsidR="000A456D" w:rsidRPr="00F73B5F">
        <w:rPr>
          <w:highlight w:val="yellow"/>
        </w:rPr>
        <w:t>of the total number of pixel</w:t>
      </w:r>
      <w:r w:rsidR="00E4395E" w:rsidRPr="00F73B5F">
        <w:rPr>
          <w:highlight w:val="yellow"/>
        </w:rPr>
        <w:t>s</w:t>
      </w:r>
      <w:r w:rsidR="000A456D" w:rsidRPr="00F73B5F">
        <w:rPr>
          <w:highlight w:val="yellow"/>
        </w:rPr>
        <w:t xml:space="preserve"> </w:t>
      </w:r>
      <w:r w:rsidR="00F73B5F" w:rsidRPr="00F73B5F">
        <w:rPr>
          <w:highlight w:val="yellow"/>
        </w:rPr>
        <w:t>had 4.41</w:t>
      </w:r>
      <w:r w:rsidR="000A456D" w:rsidRPr="00F73B5F">
        <w:rPr>
          <w:highlight w:val="yellow"/>
        </w:rPr>
        <w:t xml:space="preserve">% of </w:t>
      </w:r>
      <w:r w:rsidR="00E4395E" w:rsidRPr="00F73B5F">
        <w:rPr>
          <w:highlight w:val="yellow"/>
        </w:rPr>
        <w:t xml:space="preserve">the </w:t>
      </w:r>
      <w:r w:rsidR="000A456D" w:rsidRPr="00F73B5F">
        <w:rPr>
          <w:highlight w:val="yellow"/>
        </w:rPr>
        <w:t>total significant trend</w:t>
      </w:r>
      <w:r w:rsidR="005644F5" w:rsidRPr="00F73B5F">
        <w:rPr>
          <w:highlight w:val="yellow"/>
        </w:rPr>
        <w:t xml:space="preserve">, </w:t>
      </w:r>
      <w:r w:rsidR="00E82116" w:rsidRPr="00F73B5F">
        <w:rPr>
          <w:highlight w:val="yellow"/>
        </w:rPr>
        <w:t>while</w:t>
      </w:r>
      <w:r w:rsidR="005644F5" w:rsidRPr="00F73B5F">
        <w:rPr>
          <w:highlight w:val="yellow"/>
        </w:rPr>
        <w:t xml:space="preserve"> the </w:t>
      </w:r>
      <w:r w:rsidR="00F73B5F" w:rsidRPr="00F73B5F">
        <w:rPr>
          <w:i/>
          <w:highlight w:val="yellow"/>
        </w:rPr>
        <w:t>“no change</w:t>
      </w:r>
      <w:r w:rsidR="005644F5" w:rsidRPr="00F73B5F">
        <w:rPr>
          <w:i/>
          <w:highlight w:val="yellow"/>
        </w:rPr>
        <w:t>”</w:t>
      </w:r>
      <w:r w:rsidR="005644F5" w:rsidRPr="00F73B5F">
        <w:rPr>
          <w:highlight w:val="yellow"/>
        </w:rPr>
        <w:t xml:space="preserve"> category </w:t>
      </w:r>
      <w:r w:rsidR="00F73B5F" w:rsidRPr="00F73B5F">
        <w:rPr>
          <w:highlight w:val="yellow"/>
        </w:rPr>
        <w:t>with 75</w:t>
      </w:r>
      <w:r w:rsidR="005644F5" w:rsidRPr="00F73B5F">
        <w:rPr>
          <w:highlight w:val="yellow"/>
        </w:rPr>
        <w:t xml:space="preserve">% of </w:t>
      </w:r>
      <w:r w:rsidR="00E4395E" w:rsidRPr="00F73B5F">
        <w:rPr>
          <w:highlight w:val="yellow"/>
        </w:rPr>
        <w:t xml:space="preserve">the </w:t>
      </w:r>
      <w:r w:rsidR="005644F5" w:rsidRPr="00F73B5F">
        <w:rPr>
          <w:highlight w:val="yellow"/>
        </w:rPr>
        <w:t xml:space="preserve">total number of pixels </w:t>
      </w:r>
      <w:r w:rsidR="00F73B5F" w:rsidRPr="00F73B5F">
        <w:rPr>
          <w:highlight w:val="yellow"/>
        </w:rPr>
        <w:t>had 3.96</w:t>
      </w:r>
      <w:r w:rsidR="005644F5" w:rsidRPr="00F73B5F">
        <w:rPr>
          <w:highlight w:val="yellow"/>
        </w:rPr>
        <w:t xml:space="preserve">% of </w:t>
      </w:r>
      <w:r w:rsidR="00E4395E" w:rsidRPr="00F73B5F">
        <w:rPr>
          <w:highlight w:val="yellow"/>
        </w:rPr>
        <w:t xml:space="preserve">the </w:t>
      </w:r>
      <w:r w:rsidR="005644F5" w:rsidRPr="00F73B5F">
        <w:rPr>
          <w:highlight w:val="yellow"/>
        </w:rPr>
        <w:t>total significant trend</w:t>
      </w:r>
      <w:r w:rsidR="005A4E0E" w:rsidRPr="00705A9C">
        <w:t xml:space="preserve">. </w:t>
      </w:r>
      <w:r w:rsidR="00F73B5F">
        <w:t>In addition</w:t>
      </w:r>
      <w:r w:rsidR="0035555C" w:rsidRPr="00705A9C">
        <w:t xml:space="preserve">, linear regression of </w:t>
      </w:r>
      <w:r w:rsidR="00301469" w:rsidRPr="00705A9C">
        <w:t xml:space="preserve">a </w:t>
      </w:r>
      <w:r w:rsidR="0035555C" w:rsidRPr="00705A9C">
        <w:t xml:space="preserve">13 years profile of significant pixels in both </w:t>
      </w:r>
      <w:r w:rsidR="00900CB4" w:rsidRPr="00705A9C">
        <w:t xml:space="preserve">the </w:t>
      </w:r>
      <w:r w:rsidR="0035555C" w:rsidRPr="00705A9C">
        <w:t>“</w:t>
      </w:r>
      <w:r w:rsidR="0035555C" w:rsidRPr="00705A9C">
        <w:rPr>
          <w:i/>
        </w:rPr>
        <w:t>one change”</w:t>
      </w:r>
      <w:r w:rsidR="0035555C" w:rsidRPr="00705A9C">
        <w:t xml:space="preserve"> and </w:t>
      </w:r>
      <w:r w:rsidR="006B6D2F" w:rsidRPr="00705A9C">
        <w:rPr>
          <w:i/>
        </w:rPr>
        <w:t>“t</w:t>
      </w:r>
      <w:r w:rsidR="0035555C" w:rsidRPr="00705A9C">
        <w:rPr>
          <w:i/>
        </w:rPr>
        <w:t xml:space="preserve">wo changes” </w:t>
      </w:r>
      <w:r w:rsidR="0035555C" w:rsidRPr="00705A9C">
        <w:t xml:space="preserve">categories showed significant shifts in </w:t>
      </w:r>
      <w:r w:rsidR="00510B26" w:rsidRPr="00705A9C">
        <w:t xml:space="preserve">LSP </w:t>
      </w:r>
      <w:r w:rsidR="004E1E4E" w:rsidRPr="00705A9C">
        <w:t>parameters</w:t>
      </w:r>
      <w:r w:rsidR="00B43EDB" w:rsidRPr="00705A9C">
        <w:t>.</w:t>
      </w:r>
      <w:r w:rsidR="00900CB4" w:rsidRPr="00705A9C">
        <w:t xml:space="preserve"> </w:t>
      </w:r>
      <w:r w:rsidR="007A5CB7" w:rsidRPr="00705A9C">
        <w:t>This can be seen in</w:t>
      </w:r>
      <w:r w:rsidRPr="00705A9C">
        <w:t xml:space="preserve"> </w:t>
      </w:r>
      <w:r w:rsidRPr="00705A9C">
        <w:fldChar w:fldCharType="begin"/>
      </w:r>
      <w:r w:rsidRPr="00705A9C">
        <w:instrText xml:space="preserve"> REF _Ref506553352 \h  \* MERGEFORMAT </w:instrText>
      </w:r>
      <w:r w:rsidRPr="00705A9C">
        <w:fldChar w:fldCharType="separate"/>
      </w:r>
      <w:r w:rsidRPr="00705A9C">
        <w:t xml:space="preserve">Figure </w:t>
      </w:r>
      <w:r w:rsidRPr="00705A9C">
        <w:rPr>
          <w:noProof/>
        </w:rPr>
        <w:t>7</w:t>
      </w:r>
      <w:r w:rsidRPr="00705A9C">
        <w:fldChar w:fldCharType="end"/>
      </w:r>
      <w:r w:rsidR="007A5CB7" w:rsidRPr="00705A9C">
        <w:t xml:space="preserve">, which shows </w:t>
      </w:r>
      <w:r w:rsidR="00301469" w:rsidRPr="00705A9C">
        <w:t xml:space="preserve">the </w:t>
      </w:r>
      <w:r w:rsidR="00093BCF" w:rsidRPr="00705A9C">
        <w:t>time-series</w:t>
      </w:r>
      <w:r w:rsidR="00301469" w:rsidRPr="00705A9C">
        <w:t xml:space="preserve"> for </w:t>
      </w:r>
      <w:r w:rsidR="005C6CEC" w:rsidRPr="00705A9C">
        <w:t>three</w:t>
      </w:r>
      <w:r w:rsidR="00B43EDB" w:rsidRPr="00705A9C">
        <w:t xml:space="preserve"> pixels</w:t>
      </w:r>
      <w:r w:rsidR="00301469" w:rsidRPr="00705A9C">
        <w:t xml:space="preserve">, one in the </w:t>
      </w:r>
      <w:r w:rsidR="00B43EDB" w:rsidRPr="00705A9C">
        <w:t xml:space="preserve">(a) </w:t>
      </w:r>
      <w:r w:rsidR="00B43EDB" w:rsidRPr="00705A9C">
        <w:rPr>
          <w:i/>
          <w:iCs/>
        </w:rPr>
        <w:t>“one change”</w:t>
      </w:r>
      <w:r w:rsidR="005C6CEC" w:rsidRPr="00705A9C">
        <w:t xml:space="preserve"> category, </w:t>
      </w:r>
      <w:r w:rsidR="00B43EDB" w:rsidRPr="00705A9C">
        <w:t xml:space="preserve">(b) </w:t>
      </w:r>
      <w:r w:rsidR="00B43EDB" w:rsidRPr="00705A9C">
        <w:rPr>
          <w:i/>
          <w:iCs/>
        </w:rPr>
        <w:t>“two changes”</w:t>
      </w:r>
      <w:r w:rsidR="00B43EDB" w:rsidRPr="00705A9C">
        <w:t xml:space="preserve"> category</w:t>
      </w:r>
      <w:r w:rsidR="005C6CEC" w:rsidRPr="00705A9C">
        <w:t xml:space="preserve">, and (c) </w:t>
      </w:r>
      <w:r w:rsidR="005C6CEC" w:rsidRPr="00705A9C">
        <w:rPr>
          <w:i/>
        </w:rPr>
        <w:t>“&gt;two changes”</w:t>
      </w:r>
      <w:r w:rsidR="005C6CEC" w:rsidRPr="00705A9C">
        <w:t xml:space="preserve"> category</w:t>
      </w:r>
      <w:r w:rsidR="00B43EDB" w:rsidRPr="00705A9C">
        <w:t xml:space="preserve">. </w:t>
      </w:r>
      <w:r w:rsidR="00093BCF" w:rsidRPr="00705A9C">
        <w:t xml:space="preserve">In </w:t>
      </w:r>
      <w:r w:rsidR="005C6CEC" w:rsidRPr="00705A9C">
        <w:t>the three</w:t>
      </w:r>
      <w:r w:rsidR="00093BCF" w:rsidRPr="00705A9C">
        <w:t xml:space="preserve"> cases, </w:t>
      </w:r>
      <w:r w:rsidR="009901B2" w:rsidRPr="00705A9C">
        <w:t xml:space="preserve">the </w:t>
      </w:r>
      <w:r w:rsidR="00602A0C" w:rsidRPr="00705A9C">
        <w:t xml:space="preserve">SOS dates shifted from February to June as </w:t>
      </w:r>
      <w:r w:rsidR="00093BCF" w:rsidRPr="00705A9C">
        <w:t xml:space="preserve">the </w:t>
      </w:r>
      <w:r w:rsidR="00602A0C" w:rsidRPr="00705A9C">
        <w:t xml:space="preserve">land cover </w:t>
      </w:r>
      <w:r w:rsidR="00301469" w:rsidRPr="00705A9C">
        <w:t xml:space="preserve">changed </w:t>
      </w:r>
      <w:r w:rsidR="00602A0C" w:rsidRPr="00705A9C">
        <w:t xml:space="preserve">from woody </w:t>
      </w:r>
      <w:proofErr w:type="spellStart"/>
      <w:r w:rsidR="00602A0C" w:rsidRPr="00705A9C">
        <w:t>savanna</w:t>
      </w:r>
      <w:proofErr w:type="spellEnd"/>
      <w:r w:rsidR="00602A0C" w:rsidRPr="00705A9C">
        <w:t>/</w:t>
      </w:r>
      <w:proofErr w:type="spellStart"/>
      <w:r w:rsidR="00602A0C" w:rsidRPr="00705A9C">
        <w:t>savanna</w:t>
      </w:r>
      <w:proofErr w:type="spellEnd"/>
      <w:r w:rsidR="00602A0C" w:rsidRPr="00705A9C">
        <w:t xml:space="preserve"> to croplands and</w:t>
      </w:r>
      <w:r w:rsidR="00246261" w:rsidRPr="00705A9C">
        <w:t>/or</w:t>
      </w:r>
      <w:r w:rsidR="00602A0C" w:rsidRPr="00705A9C">
        <w:t xml:space="preserve"> grasslands. </w:t>
      </w:r>
      <w:r w:rsidR="00A76E0D" w:rsidRPr="00705A9C">
        <w:t xml:space="preserve">The results </w:t>
      </w:r>
      <w:r w:rsidR="003C1B85" w:rsidRPr="00705A9C">
        <w:t xml:space="preserve">show that SOS dates were delayed with an average </w:t>
      </w:r>
      <w:r w:rsidR="00602A0C" w:rsidRPr="00705A9C">
        <w:t xml:space="preserve">of 9.5 </w:t>
      </w:r>
      <w:r w:rsidR="00BA2803" w:rsidRPr="00705A9C">
        <w:t>days year</w:t>
      </w:r>
      <w:r w:rsidR="00BA2803" w:rsidRPr="00705A9C">
        <w:rPr>
          <w:vertAlign w:val="superscript"/>
        </w:rPr>
        <w:t>-1</w:t>
      </w:r>
      <w:r w:rsidR="00602A0C" w:rsidRPr="00705A9C">
        <w:t xml:space="preserve"> </w:t>
      </w:r>
      <w:r w:rsidR="003C1B85" w:rsidRPr="00705A9C">
        <w:t>in</w:t>
      </w:r>
      <w:r w:rsidR="00602A0C" w:rsidRPr="00705A9C">
        <w:t xml:space="preserve"> both categories of change. In the same way, </w:t>
      </w:r>
      <w:r w:rsidR="00602A0C" w:rsidRPr="00705A9C">
        <w:lastRenderedPageBreak/>
        <w:t xml:space="preserve">EOS dates shifted from December to February with an average increase of 5 </w:t>
      </w:r>
      <w:r w:rsidR="00BA2803" w:rsidRPr="00705A9C">
        <w:t>days year</w:t>
      </w:r>
      <w:r w:rsidR="00BA2803" w:rsidRPr="00705A9C">
        <w:rPr>
          <w:vertAlign w:val="superscript"/>
        </w:rPr>
        <w:t>-1</w:t>
      </w:r>
      <w:r w:rsidR="00602A0C" w:rsidRPr="00705A9C">
        <w:t xml:space="preserve">. </w:t>
      </w:r>
      <w:r w:rsidR="00301469" w:rsidRPr="00705A9C">
        <w:t>Inevitably</w:t>
      </w:r>
      <w:r w:rsidR="00602A0C" w:rsidRPr="00705A9C">
        <w:t>, LOS shorte</w:t>
      </w:r>
      <w:r w:rsidR="00301469" w:rsidRPr="00705A9C">
        <w:t>ned</w:t>
      </w:r>
      <w:r w:rsidR="00602A0C" w:rsidRPr="00705A9C">
        <w:t xml:space="preserve"> by an average rate of 4 </w:t>
      </w:r>
      <w:r w:rsidR="00BA2803" w:rsidRPr="00705A9C">
        <w:t>days year</w:t>
      </w:r>
      <w:r w:rsidR="00BA2803" w:rsidRPr="00705A9C">
        <w:rPr>
          <w:vertAlign w:val="superscript"/>
        </w:rPr>
        <w:t>-1</w:t>
      </w:r>
      <w:r w:rsidR="00602A0C" w:rsidRPr="00705A9C">
        <w:t xml:space="preserve"> for both categories of change.  </w:t>
      </w:r>
      <w:r w:rsidR="0093779F" w:rsidRPr="00705A9C">
        <w:t xml:space="preserve">However, there was no significant difference between the </w:t>
      </w:r>
      <w:proofErr w:type="gramStart"/>
      <w:r w:rsidR="0093779F" w:rsidRPr="00705A9C">
        <w:t>rate</w:t>
      </w:r>
      <w:proofErr w:type="gramEnd"/>
      <w:r w:rsidR="0093779F" w:rsidRPr="00705A9C">
        <w:t xml:space="preserve"> of change in the different land cover change categories</w:t>
      </w:r>
      <w:r w:rsidR="003C1B85" w:rsidRPr="00705A9C">
        <w:t>.</w:t>
      </w:r>
      <w:r w:rsidR="00635862" w:rsidRPr="00705A9C">
        <w:rPr>
          <w:i/>
        </w:rPr>
        <w:t xml:space="preserve"> </w:t>
      </w:r>
    </w:p>
    <w:p w14:paraId="2BF4B30D" w14:textId="612935BB" w:rsidR="00375D62" w:rsidRPr="00705A9C" w:rsidRDefault="00375D62" w:rsidP="00200DC8">
      <w:pPr>
        <w:spacing w:line="360" w:lineRule="auto"/>
        <w:jc w:val="both"/>
      </w:pPr>
    </w:p>
    <w:p w14:paraId="07B8BC17" w14:textId="7197838C" w:rsidR="00D76475" w:rsidRPr="00705A9C" w:rsidRDefault="005B557E" w:rsidP="002318DC">
      <w:pPr>
        <w:pStyle w:val="Heading1"/>
        <w:numPr>
          <w:ilvl w:val="0"/>
          <w:numId w:val="20"/>
        </w:numPr>
      </w:pPr>
      <w:r w:rsidRPr="00705A9C">
        <w:t>Discussion</w:t>
      </w:r>
    </w:p>
    <w:p w14:paraId="452CE461" w14:textId="54130C44" w:rsidR="004E3C30" w:rsidRPr="00705A9C" w:rsidRDefault="00A9618B" w:rsidP="005B523E">
      <w:pPr>
        <w:pStyle w:val="Paragraph"/>
      </w:pPr>
      <w:r w:rsidRPr="00705A9C">
        <w:t xml:space="preserve">Several studies have suggested that significant changes have occurred in Africa’s vegetation </w:t>
      </w:r>
      <w:r w:rsidR="0012717F" w:rsidRPr="00705A9C">
        <w:t>in recent decades</w:t>
      </w:r>
      <w:r w:rsidRPr="00705A9C">
        <w:t xml:space="preserve"> </w:t>
      </w:r>
      <w:r w:rsidRPr="00705A9C">
        <w:fldChar w:fldCharType="begin" w:fldLock="1"/>
      </w:r>
      <w:r w:rsidR="009E1CAA">
        <w:instrText>ADDIN CSL_CITATION { "citationItems" : [ { "id" : "ITEM-1", "itemData" : { "DOI" : "10.1038/nature13265", "ISBN" : "1476-4687 (Electronic)\\n0028-0836 (Linking)", "ISSN" : "1476-4687", "PMID" : "24759324", "abstract" : "Tropical forests are global epicentres of biodiversity and important modulators of climate change, and are mainly constrained by rainfall patterns. The severe short-term droughts that occurred recently in Amazonia have drawn attention to the vulnerability of tropical forests to climatic disturbances. The central African rainforests, the second-largest on Earth, have experienced a long-term drying trend whose impacts on vegetation dynamics remain mostly unknown because in situ observations are very limited. The Congolese forest, with its drier conditions and higher percentage of semi-evergreen trees, may be more tolerant to short-term rainfall reduction than are wetter tropical forests, but for a long-term drought there may be critical thresholds of water availability below which higher-biomass, closed-canopy forests transition to more open, lower-biomass forests. Here we present observational evidence for a widespread decline in forest greenness over the past decade based on analyses of satellite data (optical, thermal, microwave and gravity) from several independent sensors over the Congo basin. This decline in vegetation greenness, particularly in the northern Congolese forest, is generally consistent with decreases in rainfall, terrestrial water storage, water content in aboveground woody and leaf biomass, and the canopy backscatter anomaly caused by changes in structure and moisture in upper forest layers. It is also consistent with increases in photosynthetically active radiation and land surface temperature. These multiple lines of evidence indicate that this large-scale vegetation browning, or loss of photosynthetic capacity, may be partially attributable to the long-term drying trend. Our results suggest that a continued gradual decline of photosynthetic capacity and moisture content driven by the persistent drying trend could alter the composition and structure of the Congolese forest to favour the spread of drought-tolerant species.", "author" : [ { "dropping-particle" : "", "family" : "Zhou", "given" : "Liming", "non-dropping-particle" : "", "parse-names" : false, "suffix" : "" }, { "dropping-particle" : "", "family" : "Tian", "given" : "Yuhong", "non-dropping-particle" : "", "parse-names" : false, "suffix" : "" }, { "dropping-particle" : "", "family" : "Myneni", "given" : "Ranga B", "non-dropping-particle" : "", "parse-names" : false, "suffix" : "" }, { "dropping-particle" : "", "family" : "Ciais", "given" : "Philippe", "non-dropping-particle" : "", "parse-names" : false, "suffix" : "" }, { "dropping-particle" : "", "family" : "Saatchi", "given" : "Sassan", "non-dropping-particle" : "", "parse-names" : false, "suffix" : "" }, { "dropping-particle" : "", "family" : "Liu", "given" : "Yi Y", "non-dropping-particle" : "", "parse-names" : false, "suffix" : "" }, { "dropping-particle" : "", "family" : "Piao", "given" : "Shilong", "non-dropping-particle" : "", "parse-names" : false, "suffix" : "" }, { "dropping-particle" : "", "family" : "Chen", "given" : "Haishan", "non-dropping-particle" : "", "parse-names" : false, "suffix" : "" }, { "dropping-particle" : "", "family" : "Vermote", "given" : "Eric F", "non-dropping-particle" : "", "parse-names" : false, "suffix" : "" }, { "dropping-particle" : "", "family" : "Song", "given" : "Conghe", "non-dropping-particle" : "", "parse-names" : false, "suffix" : "" }, { "dropping-particle" : "", "family" : "Hwang", "given" : "Taehee", "non-dropping-particle" : "", "parse-names" : false, "suffix" : "" } ], "container-title" : "Nature", "id" : "ITEM-1", "issue" : "7498", "issued" : { "date-parts" : [ [ "2014" ] ] }, "page" : "86-90", "publisher" : "Nature Publishing Group", "title" : "Widespread decline of Congo rainforest greenness in the past decade.", "type" : "article-journal", "volume" : "509" }, "uris" : [ "http://www.mendeley.com/documents/?uuid=1f491099-4d30-4ad9-8e9d-ce631e079dcd" ] }, { "id" : "ITEM-2", "itemData" : { "DOI" : "10.1029/2002GL016772", "ISBN" : "0094-8276", "ISSN" : "0094-8276", "abstract" : "Pathfinder AVHRR NDVI data have been analyzed for the African Sahel to study recent trends in vegetation greenness. A strong increase in seasonal NDVI was observed over large areas in the Sahel during the period 1982\u20131999. The increase is interpreted as a vegetation recovery from the drought periods of the 1980's. Although strong shifts in satellite overpass times have led to shifting solar zenith angles (SZA) over the time period, only minimal influence of SZA's on the Pathfinder NDVI was found in our data. A preliminary analysis of rainfall data indicates increasing rainfall during the period. The observed trends may have important implications to the Sahel including changes to the water cycle, energy exchange and carbon storage.", "author" : [ { "dropping-particle" : "", "family" : "Eklundh", "given" : "Lars", "non-dropping-particle" : "", "parse-names" : false, "suffix" : "" } ], "container-title" : "Geophysical Research Letters", "id" : "ITEM-2", "issue" : "8", "issued" : { "date-parts" : [ [ "2003" ] ] }, "page" : "1-4", "title" : "Vegetation index trends for the African Sahel 1982\u20131999", "type" : "article-journal", "volume" : "30" }, "uris" : [ "http://www.mendeley.com/documents/?uuid=ad9b6a21-539e-4155-8f0f-634fae70213f" ] }, { "id" : "ITEM-3", "itemData" : { "DOI" : "10.1016/j.gloenvcha.2005.08.004", "ISBN" : "0959-3780", "ISSN" : "09593780", "abstract" : "Contrary to assertions of widespread irreversible desertification in the African Sahel, a recent increase in seasonal greenness over large areas of the Sahel has been observed, which has been interpreted as a recovery from the great Sahelian droughts. This research investigates temporal and spatial patterns of vegetation greenness and rainfall variability in the African Sahel and their interrelationships based on analyses of Normalized Difference Vegetation Index (NDVI) time series for the period 1982-2003 and gridded satellite rainfall estimates. While rainfall emerges as the dominant causative factor for the increase in vegetation greenness, there is evidence of another causative factor, hypothetically a human-induced change superimposed on the climate trend. ?? 2005 Elsevier Ltd. All rights reserved.", "author" : [ { "dropping-particle" : "", "family" : "Herrmann", "given" : "Stefanie M.", "non-dropping-particle" : "", "parse-names" : false, "suffix" : "" }, { "dropping-particle" : "", "family" : "Anyamba", "given" : "Assaf", "non-dropping-particle" : "", "parse-names" : false, "suffix" : "" }, { "dropping-particle" : "", "family" : "Tucker", "given" : "Compton J.", "non-dropping-particle" : "", "parse-names" : false, "suffix" : "" } ], "container-title" : "Global Environmental Change", "id" : "ITEM-3", "issued" : { "date-parts" : [ [ "2005" ] ] }, "page" : "394-404", "title" : "Recent trends in vegetation dynamics in the African Sahel and their relationship to climate", "type" : "article-journal", "volume" : "15" }, "uris" : [ "http://www.mendeley.com/documents/?uuid=80002378-ddd8-457f-b44d-ae8496e93091" ] }, { "id" : "ITEM-4", "itemData" : { "DOI" : "10.1016/j.gloplacha.2011.01.001", "ISBN" : "0921-8181", "ISSN" : "09218181", "abstract" : "The ecosystem state or 'land condition' can be characterized by a set of attributes, which show variations at different temporal scales. A multi-resolution analysis (MRA) based on the wavelet transform (WT) has been implemented to examine the land condition of a dryland region in Ferlo (Senegal) over the period 2001-2009. This methodology has proven to be useful for smoothing time series while considering those temporal resolutions that incorporate information about the vegetation dynamics. For this purpose, time series of the 1-km Apparent Green Cover (AGC) from the 10-day composites SPOT Vegetation (VGT) data are analyzed. Two relevant outputs from the MRA, A1 (de-noised) and the A6 (inter-annual) components have served us for characterizing the annual vegetation production and assess the long-term variation, respectively. In a first stage, the vegetation seasonality (or intra-annual variation) over the area is described by using several metrics related to vegetation phenology derived from the de-noised time series (A1). In a second phase, the temporal variability of the inter-annual component series (A6) is accomplished to detect potential vegetation changes over the considered period. A Mann-Kendall test has been applied to confirm the significance of the observed inter-annual changes. A higher number of significant pixels (86%) are obtained when considering the inter-annual component in the trend analysis instead of the original time-series (47%). The results confirm a general greening up over the period 2001-2009, not fully explained by precipitation, as well as rather local negative trends. The Rain-Use Efficiency (RUE) ratio computed using the AGC as a proxy of vegetation production has been considered to further analyze the detected changes. Inter-annual changes in RUE provide a potential method of separating vegetation declines due to lack of rainfall from declines associated with degradation. Some spots of negative values in inter-annual RUE changes are found in certain areas for which several evidence of land degradation have been documented. \u00a9 2011 Elsevier B.V.", "author" : [ { "dropping-particle" : "", "family" : "Mart\u00ednez", "given" : "B.", "non-dropping-particle" : "", "parse-names" : false, "suffix" : "" }, { "dropping-particle" : "", "family" : "Gilabert", "given" : "M. a.", "non-dropping-particle" : "", "parse-names" : false, "suffix" : "" }, { "dropping-particle" : "", "family" : "Garc\u00eda-Haro", "given" : "F. J.", "non-dropping-particle" : "", "parse-names" : false, "suffix" : "" }, { "dropping-particle" : "", "family" : "Faye", "given" : "a.", "non-dropping-particle" : "", "parse-names" : false, "suffix" : "" }, { "dropping-particle" : "", "family" : "Meli\u00e1", "given" : "J.", "non-dropping-particle" : "", "parse-names" : false, "suffix" : "" } ], "container-title" : "Global and Planetary Change", "id" : "ITEM-4", "issue" : "3-4", "issued" : { "date-parts" : [ [ "2011" ] ] }, "page" : "152-165", "publisher" : "Elsevier B.V.", "title" : "Characterizing land condition variability in Ferlo, Senegal (2001-2009) using multi-temporal 1-km Apparent Green Cover (AGC) SPOT Vegetation data", "type" : "article-journal", "volume" : "76" }, "uris" : [ "http://www.mendeley.com/documents/?uuid=534c9357-f9fc-42b0-ac31-c0b7db4cac36" ] } ], "mendeley" : { "formattedCitation" : "(Zhou et al. 2014; Eklundh 2003; Herrmann, Anyamba, and Tucker 2005; Mart\u00ednez et al. 2011)", "plainTextFormattedCitation" : "(Zhou et al. 2014; Eklundh 2003; Herrmann, Anyamba, and Tucker 2005; Mart\u00ednez et al. 2011)", "previouslyFormattedCitation" : "(Zhou et al. 2014; Eklundh 2003; Herrmann, Anyamba, and Tucker 2005; Mart\u00ednez et al. 2011)" }, "properties" : { "noteIndex" : 0 }, "schema" : "https://github.com/citation-style-language/schema/raw/master/csl-citation.json" }</w:instrText>
      </w:r>
      <w:r w:rsidRPr="00705A9C">
        <w:fldChar w:fldCharType="separate"/>
      </w:r>
      <w:r w:rsidRPr="00705A9C">
        <w:rPr>
          <w:noProof/>
        </w:rPr>
        <w:t>(Zhou et al. 2014; Eklundh 2003; Herrmann, Anyamba, and Tucker 2005; Martínez et al. 2011)</w:t>
      </w:r>
      <w:r w:rsidRPr="00705A9C">
        <w:fldChar w:fldCharType="end"/>
      </w:r>
      <w:r w:rsidR="00BD698B" w:rsidRPr="00705A9C">
        <w:t xml:space="preserve">. </w:t>
      </w:r>
      <w:r w:rsidR="005B523E" w:rsidRPr="00705A9C">
        <w:t xml:space="preserve">It has also been implied that changes in land </w:t>
      </w:r>
      <w:r w:rsidR="0012717F" w:rsidRPr="00705A9C">
        <w:t xml:space="preserve">cover </w:t>
      </w:r>
      <w:r w:rsidR="005B523E" w:rsidRPr="00705A9C">
        <w:t xml:space="preserve">can equally drive </w:t>
      </w:r>
      <w:r w:rsidR="0012717F" w:rsidRPr="00705A9C">
        <w:t xml:space="preserve">changes in the rate of </w:t>
      </w:r>
      <w:r w:rsidR="005B523E" w:rsidRPr="00705A9C">
        <w:t xml:space="preserve">green-up observed from remote sensing methods </w:t>
      </w:r>
      <w:r w:rsidR="00D5090A" w:rsidRPr="00705A9C">
        <w:fldChar w:fldCharType="begin" w:fldLock="1"/>
      </w:r>
      <w:r w:rsidR="006F4E7F">
        <w:instrText>ADDIN CSL_CITATION { "citationItems" : [ { "id" : "ITEM-1", "itemData" : { "DOI" : "10.1002/joc.4231", "ISSN" : "08998418", "abstract" : "Policymakers, governments and aid agencies require operational environmental monitoring in support of\\r\\nevidence-based policy-making and resource deployment in crisis situations. For Africa, this is only feasible at sub-continental\\r\\nscale with a large network of automated meteorological stations, a large number of highly coordinated field observers or with\\r\\nsatellite remote sensing. The challenge with satellite data lies in the derivation of meaningful environmental indicators. This\\r\\narticle describes a conceptual framework for understanding satellite-derived indicators of rainfall and vegetation greenness\\r\\ntrends over Africa. It attributes observed vegetation changes to climatic (i.e. rainfall linked) and non-climatic drivers. A\\r\\ndecade of annual rainfall and vegetation data over sub-Saharan Africa was analysed using satellite-based rainfall estimates\\r\\n[Famine Early Warning System Rainfall Estimation 2.0 (FEWSNET RFE 2.0)] from National Oceanic and Atmospheric\\r\\nAdministration\u2019s (NOAA\u2019s) Climate Prediction Centre and the Normalized Difference Vegetation Index (NDVI) obtained\\r\\nfrom the Satellite Pour l\u2019Observation de la Terre Vegetation (SPOT-VGT) sensor. Rainfall and vegetation greenness trends\\r\\nwere analysed for 759 administrative regions of sub-Saharan Africa to identify those regions that have experienced a negative,\\r\\npositive or stable rainfall/vegetation trend over the period 2001\u20132010. The character of the relationship between the annual\\r\\nrainfall and max NDVI trends were examined to identify areas where the changes in greenness could be attributed to\\r\\nclimatic (rainfall) and non-climatic (human land use or ecological disturbance) changes. Regions where increasing rainfall was\\r\\nassociated with vegetation greening were found in West Africa, Central African Republic, West Cameroon and northeastern\\r\\npart of South Africa, whereas areas with evidence of \u2018climatic vegetation degradation\u2019 were located in Southern Madagascar,\\r\\nNigeria, Kenya and the Garden Route region of South Africa.\\r\\n", "author" : [ { "dropping-particle" : "", "family" : "Hoscilo", "given" : "A.", "non-dropping-particle" : "", "parse-names" : false, "suffix" : "" }, { "dropping-particle" : "", "family" : "Balzter", "given" : "H.", "non-dropping-particle" : "", "parse-names" : false, "suffix" : "" }, { "dropping-particle" : "", "family" : "Bartholom\u00e9", "given" : "E.", "non-dropping-particle" : "", "parse-names" : false, "suffix" : "" }, { "dropping-particle" : "", "family" : "Boschetti", "given" : "M.", "non-dropping-particle" : "", "parse-names" : false, "suffix" : "" }, { "dropping-particle" : "", "family" : "Brivio", "given" : "P. A.", "non-dropping-particle" : "", "parse-names" : false, "suffix" : "" }, { "dropping-particle" : "", "family" : "Brink", "given" : "A.", "non-dropping-particle" : "", "parse-names" : false, "suffix" : "" }, { "dropping-particle" : "", "family" : "Clerici", "given" : "M.", "non-dropping-particle" : "", "parse-names" : false, "suffix" : "" }, { "dropping-particle" : "", "family" : "Pekel", "given" : "J. F.", "non-dropping-particle" : "", "parse-names" : false, "suffix" : "" } ], "container-title" : "International Journal of Climatology", "id" : "ITEM-1", "issue" : "12", "issued" : { "date-parts" : [ [ "2015" ] ] }, "page" : "3582\u20133592", "title" : "A conceptual model for assessing rainfall and vegetation trends in sub-Saharan Africa from satellite data", "type" : "article-journal", "volume" : "35" }, "uris" : [ "http://www.mendeley.com/documents/?uuid=6c07d2c4-d262-4f82-9b30-79e04ffdd887" ] } ], "mendeley" : { "formattedCitation" : "(Hoscilo et al. 2015)", "plainTextFormattedCitation" : "(Hoscilo et al. 2015)", "previouslyFormattedCitation" : "(Hoscilo et al. 2015)" }, "properties" : { "noteIndex" : 0 }, "schema" : "https://github.com/citation-style-language/schema/raw/master/csl-citation.json" }</w:instrText>
      </w:r>
      <w:r w:rsidR="00D5090A" w:rsidRPr="00705A9C">
        <w:fldChar w:fldCharType="separate"/>
      </w:r>
      <w:r w:rsidR="009E1CAA" w:rsidRPr="009E1CAA">
        <w:rPr>
          <w:noProof/>
        </w:rPr>
        <w:t>(Hoscilo et al. 2015)</w:t>
      </w:r>
      <w:r w:rsidR="00D5090A" w:rsidRPr="00705A9C">
        <w:fldChar w:fldCharType="end"/>
      </w:r>
      <w:r w:rsidR="0012717F" w:rsidRPr="00705A9C">
        <w:t xml:space="preserve">, and the </w:t>
      </w:r>
      <w:r w:rsidR="00814B3F" w:rsidRPr="00705A9C">
        <w:t xml:space="preserve">findings </w:t>
      </w:r>
      <w:r w:rsidR="0012717F" w:rsidRPr="00705A9C">
        <w:t xml:space="preserve">of </w:t>
      </w:r>
      <w:r w:rsidR="00814B3F" w:rsidRPr="00705A9C">
        <w:t xml:space="preserve">this </w:t>
      </w:r>
      <w:r w:rsidR="0012717F" w:rsidRPr="00705A9C">
        <w:t>research support this view. I</w:t>
      </w:r>
      <w:r w:rsidR="00814B3F" w:rsidRPr="00705A9C">
        <w:t xml:space="preserve">t </w:t>
      </w:r>
      <w:r w:rsidR="0012717F" w:rsidRPr="00705A9C">
        <w:t>is, therefore,</w:t>
      </w:r>
      <w:r w:rsidR="00814B3F" w:rsidRPr="00705A9C">
        <w:t xml:space="preserve"> </w:t>
      </w:r>
      <w:r w:rsidR="0012717F" w:rsidRPr="00705A9C">
        <w:t xml:space="preserve">accepted </w:t>
      </w:r>
      <w:r w:rsidR="00814B3F" w:rsidRPr="00705A9C">
        <w:t xml:space="preserve">that </w:t>
      </w:r>
      <w:r w:rsidR="00AE2760" w:rsidRPr="00705A9C">
        <w:t xml:space="preserve">changes in land cover can significantly influence </w:t>
      </w:r>
      <w:r w:rsidR="00947C3D" w:rsidRPr="00705A9C">
        <w:t xml:space="preserve">observed </w:t>
      </w:r>
      <w:r w:rsidR="00510B26" w:rsidRPr="00705A9C">
        <w:t>LSP</w:t>
      </w:r>
      <w:r w:rsidR="00AE2760" w:rsidRPr="00705A9C">
        <w:t xml:space="preserve"> trends</w:t>
      </w:r>
      <w:r w:rsidR="001E4D6B" w:rsidRPr="00705A9C">
        <w:t xml:space="preserve"> </w:t>
      </w:r>
      <w:r w:rsidR="00326EA3" w:rsidRPr="00705A9C">
        <w:t xml:space="preserve">and, </w:t>
      </w:r>
      <w:r w:rsidR="0012717F" w:rsidRPr="00705A9C">
        <w:t>consequently</w:t>
      </w:r>
      <w:r w:rsidR="00326EA3" w:rsidRPr="00705A9C">
        <w:t>, any inferences made about the impact of climate changes on vegetation phenology.</w:t>
      </w:r>
      <w:r w:rsidR="00AE2760" w:rsidRPr="00705A9C">
        <w:t xml:space="preserve"> </w:t>
      </w:r>
      <w:r w:rsidR="004F168B" w:rsidRPr="00705A9C">
        <w:t xml:space="preserve">Analysis of the </w:t>
      </w:r>
      <w:r w:rsidR="00947C3D" w:rsidRPr="00705A9C">
        <w:t xml:space="preserve">set of </w:t>
      </w:r>
      <w:r w:rsidR="00A31AC2" w:rsidRPr="00705A9C">
        <w:t xml:space="preserve">LSP </w:t>
      </w:r>
      <w:r w:rsidR="004F168B" w:rsidRPr="00705A9C">
        <w:t>trend</w:t>
      </w:r>
      <w:r w:rsidR="00947C3D" w:rsidRPr="00705A9C">
        <w:t>s across all of Africa</w:t>
      </w:r>
      <w:r w:rsidR="004F168B" w:rsidRPr="00705A9C">
        <w:t xml:space="preserve"> revealed that </w:t>
      </w:r>
      <w:r w:rsidR="003304A0" w:rsidRPr="00705A9C">
        <w:t>of the 11.56% (SOS), 12.97% (EOS) and 5.72% (LOS) of pixels that were significant</w:t>
      </w:r>
      <w:r w:rsidR="00947C3D" w:rsidRPr="00705A9C">
        <w:t>ly trending</w:t>
      </w:r>
      <w:r w:rsidR="008F7D47">
        <w:t xml:space="preserve">, an estimated </w:t>
      </w:r>
      <w:r w:rsidR="008F7D47" w:rsidRPr="008F7D47">
        <w:rPr>
          <w:highlight w:val="yellow"/>
        </w:rPr>
        <w:t>65 – 7</w:t>
      </w:r>
      <w:r w:rsidR="003304A0" w:rsidRPr="008F7D47">
        <w:rPr>
          <w:highlight w:val="yellow"/>
        </w:rPr>
        <w:t>0%</w:t>
      </w:r>
      <w:r w:rsidR="003304A0" w:rsidRPr="00705A9C">
        <w:t xml:space="preserve"> belong to “</w:t>
      </w:r>
      <w:r w:rsidR="003304A0" w:rsidRPr="00705A9C">
        <w:rPr>
          <w:i/>
        </w:rPr>
        <w:t>changed</w:t>
      </w:r>
      <w:r w:rsidR="003304A0" w:rsidRPr="00705A9C">
        <w:t xml:space="preserve">” land cover change categories </w:t>
      </w:r>
      <w:r w:rsidR="00947C3D" w:rsidRPr="00705A9C">
        <w:t>(</w:t>
      </w:r>
      <w:r w:rsidR="003304A0" w:rsidRPr="00705A9C">
        <w:t>i.e.</w:t>
      </w:r>
      <w:r w:rsidR="009901B2" w:rsidRPr="00705A9C">
        <w:t>,</w:t>
      </w:r>
      <w:r w:rsidR="003304A0" w:rsidRPr="00705A9C">
        <w:t xml:space="preserve"> pi</w:t>
      </w:r>
      <w:r w:rsidR="00B04D72" w:rsidRPr="00705A9C">
        <w:t>xels that</w:t>
      </w:r>
      <w:r w:rsidR="003304A0" w:rsidRPr="00705A9C">
        <w:t xml:space="preserve"> have changed land cover type in the time period 2001 </w:t>
      </w:r>
      <w:r w:rsidR="009901B2" w:rsidRPr="00705A9C">
        <w:t>to</w:t>
      </w:r>
      <w:r w:rsidR="003304A0" w:rsidRPr="00705A9C">
        <w:t xml:space="preserve"> 2013</w:t>
      </w:r>
      <w:r w:rsidR="00947C3D" w:rsidRPr="00705A9C">
        <w:t>)</w:t>
      </w:r>
      <w:r w:rsidR="003304A0" w:rsidRPr="00705A9C">
        <w:t xml:space="preserve">. </w:t>
      </w:r>
      <w:r w:rsidR="008576ED" w:rsidRPr="00705A9C">
        <w:t>Although, clima</w:t>
      </w:r>
      <w:r w:rsidR="008A45B0" w:rsidRPr="00705A9C">
        <w:t>tic factors</w:t>
      </w:r>
      <w:r w:rsidR="008576ED" w:rsidRPr="00705A9C">
        <w:t xml:space="preserve"> </w:t>
      </w:r>
      <w:r w:rsidR="00947C3D" w:rsidRPr="00705A9C">
        <w:t xml:space="preserve">may </w:t>
      </w:r>
      <w:r w:rsidR="008576ED" w:rsidRPr="00705A9C">
        <w:t xml:space="preserve">have contributed to these </w:t>
      </w:r>
      <w:r w:rsidR="00510B26" w:rsidRPr="00705A9C">
        <w:t>LSP</w:t>
      </w:r>
      <w:r w:rsidR="005B523E" w:rsidRPr="00705A9C">
        <w:t xml:space="preserve"> trends</w:t>
      </w:r>
      <w:r w:rsidR="008A45B0" w:rsidRPr="00705A9C">
        <w:t xml:space="preserve">, </w:t>
      </w:r>
      <w:r w:rsidR="00EF749A" w:rsidRPr="00705A9C">
        <w:t xml:space="preserve">results show that </w:t>
      </w:r>
      <w:r w:rsidR="00067F5A" w:rsidRPr="00705A9C">
        <w:t xml:space="preserve">changes in land cover </w:t>
      </w:r>
      <w:r w:rsidR="00BA2803" w:rsidRPr="00705A9C">
        <w:t xml:space="preserve">can </w:t>
      </w:r>
      <w:r w:rsidR="008A45B0" w:rsidRPr="00705A9C">
        <w:t xml:space="preserve">also influence </w:t>
      </w:r>
      <w:r w:rsidR="00491A86" w:rsidRPr="00705A9C">
        <w:t>LSP</w:t>
      </w:r>
      <w:r w:rsidR="00067F5A" w:rsidRPr="00705A9C">
        <w:t xml:space="preserve"> </w:t>
      </w:r>
      <w:r w:rsidR="008A45B0" w:rsidRPr="00705A9C">
        <w:t>trends</w:t>
      </w:r>
      <w:r w:rsidR="00D431F3" w:rsidRPr="00705A9C">
        <w:t>. This is because phenological</w:t>
      </w:r>
      <w:r w:rsidR="00831334" w:rsidRPr="00705A9C">
        <w:t xml:space="preserve"> response to environmental cues varies based on the type of land cover</w:t>
      </w:r>
      <w:r w:rsidR="005339F2" w:rsidRPr="00705A9C">
        <w:t xml:space="preserve"> </w:t>
      </w:r>
      <w:r w:rsidR="005339F2" w:rsidRPr="00705A9C">
        <w:fldChar w:fldCharType="begin" w:fldLock="1"/>
      </w:r>
      <w:r w:rsidR="009E1CAA">
        <w:instrText>ADDIN CSL_CITATION { "citationItems" : [ { "id" : "ITEM-1", "itemData" : { "DOI" : "10.1111/nph.14262", "ISSN" : "0028646X", "author" : [ { "dropping-particle" : "", "family" : "Ryan", "given" : "Casey M.", "non-dropping-particle" : "", "parse-names" : false, "suffix" : "" }, { "dropping-particle" : "", "family" : "Williams", "given" : "Mathew", "non-dropping-particle" : "", "parse-names" : false, "suffix" : "" }, { "dropping-particle" : "", "family" : "Grace", "given" : "John", "non-dropping-particle" : "", "parse-names" : false, "suffix" : "" }, { "dropping-particle" : "", "family" : "Woollen", "given" : "Emily", "non-dropping-particle" : "", "parse-names" : false, "suffix" : "" }, { "dropping-particle" : "", "family" : "Lehmann", "given" : "Caroline E. R.", "non-dropping-particle" : "", "parse-names" : false, "suffix" : "" } ], "container-title" : "New Phytologist", "id" : "ITEM-1", "issued" : { "date-parts" : [ [ "2017" ] ] }, "page" : "625-633", "title" : "Pre-rain green-up is ubiquitous across southern tropical Africa: implications for temporal niche separation and model representation", "type" : "article-journal", "volume" : "213" }, "uris" : [ "http://www.mendeley.com/documents/?uuid=0a5a4e47-8624-4495-8a87-2da76e92f200" ] }, { "id" : "ITEM-2", "itemData" : { "DOI" : "10.1002/2013JG002572.Received", "author" : [ { "dropping-particle" : "", "family" : "Guan", "given" : "Kaiyu", "non-dropping-particle" : "", "parse-names" : false, "suffix" : "" }, { "dropping-particle" : "", "family" : "Wood", "given" : "Eric F.", "non-dropping-particle" : "", "parse-names" : false, "suffix" : "" }, { "dropping-particle" : "", "family" : "Medvigy", "given" : "David", "non-dropping-particle" : "", "parse-names" : false, "suffix" : "" }, { "dropping-particle" : "", "family" : "Kimball", "given" : "John", "non-dropping-particle" : "", "parse-names" : false, "suffix" : "" }, { "dropping-particle" : "", "family" : "Ming Pan", "given" : "Kelly K. Caylor", "non-dropping-particle" : "", "parse-names" : false, "suffix" : "" }, { "dropping-particle" : "", "family" : "Sheffield", "given" : "Justin", "non-dropping-particle" : "", "parse-names" : false, "suffix" : "" }, { "dropping-particle" : "", "family" : "Xu", "given" : "Xiangtao", "non-dropping-particle" : "", "parse-names" : false, "suffix" : "" }, { "dropping-particle" : "", "family" : "Jones", "given" : "Matthew O.", "non-dropping-particle" : "", "parse-names" : false, "suffix" : "" } ], "container-title" : "Journal of Geophysical Research Biogeosciences", "id" : "ITEM-2", "issued" : { "date-parts" : [ [ "2014" ] ] }, "page" : "1652-1669", "title" : "Terrestrial hydrological controls on land surface phenology of African savannas and woodlands", "type" : "article-journal", "volume" : "119" }, "uris" : [ "http://www.mendeley.com/documents/?uuid=1b610cd5-8383-4bff-b1b4-0626fbd364ee" ] } ], "mendeley" : { "formattedCitation" : "(Ryan et al. 2017; Guan et al. 2014)", "plainTextFormattedCitation" : "(Ryan et al. 2017; Guan et al. 2014)", "previouslyFormattedCitation" : "(Ryan et al. 2017; Guan et al. 2014)" }, "properties" : { "noteIndex" : 0 }, "schema" : "https://github.com/citation-style-language/schema/raw/master/csl-citation.json" }</w:instrText>
      </w:r>
      <w:r w:rsidR="005339F2" w:rsidRPr="00705A9C">
        <w:fldChar w:fldCharType="separate"/>
      </w:r>
      <w:r w:rsidR="00611088" w:rsidRPr="00705A9C">
        <w:rPr>
          <w:noProof/>
        </w:rPr>
        <w:t>(Ryan et al. 2017; Guan et al. 2014)</w:t>
      </w:r>
      <w:r w:rsidR="005339F2" w:rsidRPr="00705A9C">
        <w:fldChar w:fldCharType="end"/>
      </w:r>
      <w:r w:rsidR="00831334" w:rsidRPr="00705A9C">
        <w:t xml:space="preserve">.  </w:t>
      </w:r>
      <w:r w:rsidR="00F51FCA" w:rsidRPr="00705A9C">
        <w:t xml:space="preserve">Additionally, pixels with </w:t>
      </w:r>
      <w:r w:rsidR="00947C3D" w:rsidRPr="00705A9C">
        <w:t xml:space="preserve">a greater </w:t>
      </w:r>
      <w:r w:rsidR="00BA2803" w:rsidRPr="00705A9C">
        <w:t xml:space="preserve">slope magnitude </w:t>
      </w:r>
      <w:r w:rsidR="00F51FCA" w:rsidRPr="00705A9C">
        <w:t xml:space="preserve">were </w:t>
      </w:r>
      <w:r w:rsidR="00947C3D" w:rsidRPr="00705A9C">
        <w:t xml:space="preserve">observed more frequently </w:t>
      </w:r>
      <w:r w:rsidR="00BA2803" w:rsidRPr="00705A9C">
        <w:t xml:space="preserve">in </w:t>
      </w:r>
      <w:r w:rsidR="00F51FCA" w:rsidRPr="00705A9C">
        <w:t xml:space="preserve">the </w:t>
      </w:r>
      <w:r w:rsidR="00902BAC" w:rsidRPr="00705A9C">
        <w:t>“</w:t>
      </w:r>
      <w:r w:rsidR="00BA2803" w:rsidRPr="00705A9C">
        <w:rPr>
          <w:i/>
        </w:rPr>
        <w:t>changed</w:t>
      </w:r>
      <w:r w:rsidR="00902BAC" w:rsidRPr="00705A9C">
        <w:t xml:space="preserve">” </w:t>
      </w:r>
      <w:r w:rsidR="00BA2803" w:rsidRPr="00705A9C">
        <w:t xml:space="preserve">pixels </w:t>
      </w:r>
      <w:r w:rsidR="00F51FCA" w:rsidRPr="00705A9C">
        <w:t>categor</w:t>
      </w:r>
      <w:r w:rsidR="00947C3D" w:rsidRPr="00705A9C">
        <w:t>y</w:t>
      </w:r>
      <w:r w:rsidR="00F51FCA" w:rsidRPr="00705A9C">
        <w:t xml:space="preserve"> compared to </w:t>
      </w:r>
      <w:r w:rsidR="00C61070" w:rsidRPr="00705A9C">
        <w:t xml:space="preserve">the </w:t>
      </w:r>
      <w:r w:rsidR="00F51FCA" w:rsidRPr="00705A9C">
        <w:rPr>
          <w:i/>
          <w:iCs/>
        </w:rPr>
        <w:t>“no change”</w:t>
      </w:r>
      <w:r w:rsidR="00F51FCA" w:rsidRPr="00705A9C">
        <w:t xml:space="preserve"> </w:t>
      </w:r>
      <w:r w:rsidR="00C61070" w:rsidRPr="00705A9C">
        <w:t>category</w:t>
      </w:r>
      <w:r w:rsidR="00D22196" w:rsidRPr="00705A9C">
        <w:t xml:space="preserve"> (see</w:t>
      </w:r>
      <w:r w:rsidR="00DE44F7" w:rsidRPr="00705A9C">
        <w:t xml:space="preserve"> </w:t>
      </w:r>
      <w:r w:rsidR="005C6CEC" w:rsidRPr="00705A9C">
        <w:t>Figur</w:t>
      </w:r>
      <w:r w:rsidR="005B523E" w:rsidRPr="00705A9C">
        <w:t>e 7</w:t>
      </w:r>
      <w:r w:rsidR="00D22196" w:rsidRPr="00705A9C">
        <w:rPr>
          <w:lang w:val="en-US"/>
        </w:rPr>
        <w:t>).</w:t>
      </w:r>
      <w:r w:rsidR="00902BAC" w:rsidRPr="00705A9C">
        <w:rPr>
          <w:lang w:val="en-US"/>
        </w:rPr>
        <w:t xml:space="preserve"> </w:t>
      </w:r>
      <w:r w:rsidR="00E10CF8" w:rsidRPr="00705A9C">
        <w:rPr>
          <w:lang w:val="en-US"/>
        </w:rPr>
        <w:t xml:space="preserve"> </w:t>
      </w:r>
    </w:p>
    <w:p w14:paraId="68E03156" w14:textId="10C53A49" w:rsidR="004E3C30" w:rsidRPr="00705A9C" w:rsidRDefault="001D4A50" w:rsidP="00CA329F">
      <w:pPr>
        <w:pStyle w:val="Newparagraph"/>
      </w:pPr>
      <w:r w:rsidRPr="00705A9C">
        <w:t>P</w:t>
      </w:r>
      <w:r w:rsidR="00902BAC" w:rsidRPr="00705A9C">
        <w:t>revious studies</w:t>
      </w:r>
      <w:r w:rsidRPr="00705A9C">
        <w:t xml:space="preserve"> are generally in agreement with our findings </w:t>
      </w:r>
      <w:r w:rsidRPr="00705A9C">
        <w:fldChar w:fldCharType="begin" w:fldLock="1"/>
      </w:r>
      <w:r w:rsidR="009E1CAA">
        <w:instrText>ADDIN CSL_CITATION { "citationItems" : [ { "id" : "ITEM-1", "itemData" : { "DOI" : "10.1016/j.rse.2006.11.025", "ISBN" : "0034-4257", "ISSN" : "00344257", "abstract" : "The Sahel region of Africa has experienced a decrease in rainfall from the early 1960s to mid 1990s. Recent studies have detected an increased in NDVI amplitude and growing season integrated NDVI for the region since 1982. However, these studies have not examined how plant phenology has changed. Phenology examines life cycle events such as bud burst and leaf senescence. Using the software TIMESAT to estimate phenological parameters from the GIMMS AVHRR NDVI dataset, we have found significant positive trends for the length of the growing and end of the growing season for the Soudan and Guinean regions, but significant trends in the Sahel could not be detected. The geographical extent of these trends contrasts with the more northern extent of positive trends of NDVI amplitude and growing season integrated NDVI. Results suggest two types of \"greening\" trends associated with rainfall change since the drought in the early 1980s. \u00a9 2006 Elsevier Inc. All rights reserved.", "author" : [ { "dropping-particle" : "", "family" : "Heumann", "given" : "B. W.", "non-dropping-particle" : "", "parse-names" : false, "suffix" : "" }, { "dropping-particle" : "", "family" : "Seaquist", "given" : "J. W.", "non-dropping-particle" : "", "parse-names" : false, "suffix" : "" }, { "dropping-particle" : "", "family" : "Eklundh", "given" : "L.", "non-dropping-particle" : "", "parse-names" : false, "suffix" : "" }, { "dropping-particle" : "", "family" : "J\u00f6nsson", "given" : "P.", "non-dropping-particle" : "", "parse-names" : false, "suffix" : "" } ], "container-title" : "Remote Sensing of Environment", "id" : "ITEM-1", "issued" : { "date-parts" : [ [ "2007" ] ] }, "page" : "385-392", "title" : "AVHRR derived phenological change in the Sahel and Soudan, Africa, 1982-2005", "type" : "article-journal", "volume" : "108" }, "uris" : [ "http://www.mendeley.com/documents/?uuid=efe8f572-aeb7-40ac-aafd-c09d0a3c7931" ] }, { "id" : "ITEM-2", "itemData" : { "DOI" : "10.3390/rs5020982", "ISBN" : "2072-4292", "ISSN" : "20724292", "abstract" : "The spatial distribution of crops and farming systems in Africa is determined by the duration of the period during which crop and livestock water requirements are met. The length of growing period (LGP) is normally assessed from weather station data\u2014scarce in large parts of Africa\u2014or coarse-resolution rainfall estimates derived from weather satellites. In this study, we analyzed LGP and its variability based on the 1981\u20132011 GIMMS NDVI3g dataset. We applied a variable threshold method in combination with a searching algorithm to determine start- and end-of-season. We obtained reliable LGP estimates for arid, semi-arid and sub-humid climates that are consistent in space and time. This approach effectively mapped bimodality for clearly separated wet seasons in the Horn of Africa. Due to cloud contamination, the identified bimodality along the Guinea coast was judged to be less certain. High LGP variability is dominant in arid and semi-arid areas, and is indicative of crop failure risk. Significant negative trends in LGP were found for the northern part of the Sahel, for parts of Tanzania and northern Mozambique, and for the short rains of eastern Kenya. Positive trends occurred across western Africa, in southern Africa, and in eastern Kenya for the long rains. Our LGP analysis provides useful information for the mapping of farming systems, and to study the effects of climate variability and other drivers of change on vegetation and crop suitability.", "author" : [ { "dropping-particle" : "", "family" : "Vrieling", "given" : "Anton", "non-dropping-particle" : "", "parse-names" : false, "suffix" : "" }, { "dropping-particle" : "", "family" : "Leeuw", "given" : "Jan", "non-dropping-particle" : "De", "parse-names" : false, "suffix" : "" }, { "dropping-particle" : "", "family" : "Said", "given" : "Mohammed Y.", "non-dropping-particle" : "", "parse-names" : false, "suffix" : "" } ], "container-title" : "Remote Sensing", "id" : "ITEM-2", "issued" : { "date-parts" : [ [ "2013" ] ] }, "page" : "982-1000", "title" : "Length of growing period over africa: Variability and trends from 30 years of NDVI time series", "type" : "article-journal", "volume" : "5" }, "uris" : [ "http://www.mendeley.com/documents/?uuid=34b36e7b-12d9-4a00-9365-ed1c16812c02" ] } ], "mendeley" : { "formattedCitation" : "(Heumann et al. 2007; Anton Vrieling, De Leeuw, and Said 2013)", "plainTextFormattedCitation" : "(Heumann et al. 2007; Anton Vrieling, De Leeuw, and Said 2013)", "previouslyFormattedCitation" : "(Heumann et al. 2007; Anton Vrieling, De Leeuw, and Said 2013)" }, "properties" : { "noteIndex" : 0 }, "schema" : "https://github.com/citation-style-language/schema/raw/master/csl-citation.json" }</w:instrText>
      </w:r>
      <w:r w:rsidRPr="00705A9C">
        <w:fldChar w:fldCharType="separate"/>
      </w:r>
      <w:r w:rsidR="00611088" w:rsidRPr="00705A9C">
        <w:rPr>
          <w:noProof/>
        </w:rPr>
        <w:t>(Heumann et al. 2007; Anton Vrieling, De Leeuw, and Said 2013)</w:t>
      </w:r>
      <w:r w:rsidRPr="00705A9C">
        <w:fldChar w:fldCharType="end"/>
      </w:r>
      <w:r w:rsidRPr="00705A9C">
        <w:t xml:space="preserve"> </w:t>
      </w:r>
      <w:r w:rsidR="005D6BC0" w:rsidRPr="00705A9C">
        <w:t xml:space="preserve">with respect to </w:t>
      </w:r>
      <w:r w:rsidRPr="00705A9C">
        <w:t xml:space="preserve">the overall pattern of </w:t>
      </w:r>
      <w:r w:rsidR="00510B26" w:rsidRPr="00705A9C">
        <w:t>LSP</w:t>
      </w:r>
      <w:r w:rsidRPr="00705A9C">
        <w:t xml:space="preserve"> trends and the observation of significant positive LOS being associated mostly with delayed EOS. </w:t>
      </w:r>
      <w:r w:rsidRPr="00705A9C">
        <w:lastRenderedPageBreak/>
        <w:t>This was seen irrespective of the datasets and study periods of the different studies, therefore</w:t>
      </w:r>
      <w:r w:rsidR="005D6BC0" w:rsidRPr="00705A9C">
        <w:t>,</w:t>
      </w:r>
      <w:r w:rsidRPr="00705A9C">
        <w:t xml:space="preserve"> indicating the influence of </w:t>
      </w:r>
      <w:r w:rsidR="005045CF" w:rsidRPr="00705A9C">
        <w:t xml:space="preserve">other </w:t>
      </w:r>
      <w:r w:rsidRPr="00705A9C">
        <w:t>common drivers</w:t>
      </w:r>
      <w:r w:rsidR="005045CF" w:rsidRPr="00705A9C">
        <w:t xml:space="preserve"> of LSP</w:t>
      </w:r>
      <w:r w:rsidR="004F7A6C" w:rsidRPr="00705A9C">
        <w:t xml:space="preserve">. </w:t>
      </w:r>
      <w:r w:rsidRPr="00705A9C">
        <w:t xml:space="preserve"> </w:t>
      </w:r>
      <w:r w:rsidR="00A31AC2" w:rsidRPr="00705A9C">
        <w:t>Some</w:t>
      </w:r>
      <w:r w:rsidRPr="00705A9C">
        <w:t xml:space="preserve"> interesting differences with previous studies </w:t>
      </w:r>
      <w:r w:rsidR="00902BAC" w:rsidRPr="00705A9C">
        <w:t xml:space="preserve">were observed. </w:t>
      </w:r>
      <w:r w:rsidR="00756737" w:rsidRPr="00705A9C">
        <w:t xml:space="preserve">While </w:t>
      </w:r>
      <w:r w:rsidR="00756737" w:rsidRPr="00705A9C">
        <w:fldChar w:fldCharType="begin" w:fldLock="1"/>
      </w:r>
      <w:r w:rsidR="009E1CAA">
        <w:instrText>ADDIN CSL_CITATION { "citationItems" : [ { "id" : "ITEM-1", "itemData" : { "DOI" : "10.1016/j.rse.2006.11.025", "ISBN" : "0034-4257", "ISSN" : "00344257", "abstract" : "The Sahel region of Africa has experienced a decrease in rainfall from the early 1960s to mid 1990s. Recent studies have detected an increased in NDVI amplitude and growing season integrated NDVI for the region since 1982. However, these studies have not examined how plant phenology has changed. Phenology examines life cycle events such as bud burst and leaf senescence. Using the software TIMESAT to estimate phenological parameters from the GIMMS AVHRR NDVI dataset, we have found significant positive trends for the length of the growing and end of the growing season for the Soudan and Guinean regions, but significant trends in the Sahel could not be detected. The geographical extent of these trends contrasts with the more northern extent of positive trends of NDVI amplitude and growing season integrated NDVI. Results suggest two types of \"greening\" trends associated with rainfall change since the drought in the early 1980s. \u00a9 2006 Elsevier Inc. All rights reserved.", "author" : [ { "dropping-particle" : "", "family" : "Heumann", "given" : "B. W.", "non-dropping-particle" : "", "parse-names" : false, "suffix" : "" }, { "dropping-particle" : "", "family" : "Seaquist", "given" : "J. W.", "non-dropping-particle" : "", "parse-names" : false, "suffix" : "" }, { "dropping-particle" : "", "family" : "Eklundh", "given" : "L.", "non-dropping-particle" : "", "parse-names" : false, "suffix" : "" }, { "dropping-particle" : "", "family" : "J\u00f6nsson", "given" : "P.", "non-dropping-particle" : "", "parse-names" : false, "suffix" : "" } ], "container-title" : "Remote Sensing of Environment", "id" : "ITEM-1", "issued" : { "date-parts" : [ [ "2007" ] ] }, "page" : "385-392", "title" : "AVHRR derived phenological change in the Sahel and Soudan, Africa, 1982-2005", "type" : "article-journal", "volume" : "108" }, "uris" : [ "http://www.mendeley.com/documents/?uuid=efe8f572-aeb7-40ac-aafd-c09d0a3c7931" ] } ], "mendeley" : { "formattedCitation" : "(Heumann et al. 2007)", "manualFormatting" : "Heumann et al. (2007)", "plainTextFormattedCitation" : "(Heumann et al. 2007)", "previouslyFormattedCitation" : "(Heumann et al. 2007)" }, "properties" : { "noteIndex" : 0 }, "schema" : "https://github.com/citation-style-language/schema/raw/master/csl-citation.json" }</w:instrText>
      </w:r>
      <w:r w:rsidR="00756737" w:rsidRPr="00705A9C">
        <w:fldChar w:fldCharType="separate"/>
      </w:r>
      <w:r w:rsidR="00756737" w:rsidRPr="00705A9C">
        <w:rPr>
          <w:noProof/>
        </w:rPr>
        <w:t xml:space="preserve">Heumann </w:t>
      </w:r>
      <w:r w:rsidR="00756737" w:rsidRPr="00705A9C">
        <w:rPr>
          <w:i/>
          <w:noProof/>
        </w:rPr>
        <w:t>et al.</w:t>
      </w:r>
      <w:r w:rsidR="00756737" w:rsidRPr="00705A9C">
        <w:rPr>
          <w:noProof/>
        </w:rPr>
        <w:t xml:space="preserve"> </w:t>
      </w:r>
      <w:r w:rsidR="00930DBA" w:rsidRPr="00705A9C">
        <w:rPr>
          <w:noProof/>
        </w:rPr>
        <w:t>(</w:t>
      </w:r>
      <w:r w:rsidR="00756737" w:rsidRPr="00705A9C">
        <w:rPr>
          <w:noProof/>
        </w:rPr>
        <w:t>2007)</w:t>
      </w:r>
      <w:r w:rsidR="00756737" w:rsidRPr="00705A9C">
        <w:fldChar w:fldCharType="end"/>
      </w:r>
      <w:r w:rsidR="00756737" w:rsidRPr="00705A9C">
        <w:t xml:space="preserve"> found significant positive trends for LOS across the whole of western Africa, </w:t>
      </w:r>
      <w:r w:rsidRPr="00705A9C">
        <w:t xml:space="preserve">the present </w:t>
      </w:r>
      <w:r w:rsidR="00756737" w:rsidRPr="00705A9C">
        <w:t xml:space="preserve">results revealed </w:t>
      </w:r>
      <w:r w:rsidR="00DD177B" w:rsidRPr="00705A9C">
        <w:rPr>
          <w:i/>
          <w:iCs/>
        </w:rPr>
        <w:t>“delayed shorter seasons”</w:t>
      </w:r>
      <w:r w:rsidR="00DD177B" w:rsidRPr="00705A9C">
        <w:t xml:space="preserve"> in LOS </w:t>
      </w:r>
      <w:r w:rsidR="008A52BC" w:rsidRPr="00705A9C">
        <w:t>in northern Nigeria</w:t>
      </w:r>
      <w:r w:rsidR="00947C3D" w:rsidRPr="00705A9C">
        <w:t xml:space="preserve"> (</w:t>
      </w:r>
      <w:r w:rsidR="008A52BC" w:rsidRPr="00705A9C">
        <w:t xml:space="preserve">i.e. significant </w:t>
      </w:r>
      <w:r w:rsidR="00756737" w:rsidRPr="00705A9C">
        <w:t>negative trends in LO</w:t>
      </w:r>
      <w:r w:rsidR="008A52BC" w:rsidRPr="00705A9C">
        <w:t xml:space="preserve">S </w:t>
      </w:r>
      <w:r w:rsidR="006355F5" w:rsidRPr="00705A9C">
        <w:t xml:space="preserve">were </w:t>
      </w:r>
      <w:r w:rsidR="00947C3D" w:rsidRPr="00705A9C">
        <w:t xml:space="preserve">associated </w:t>
      </w:r>
      <w:r w:rsidR="00894763" w:rsidRPr="00705A9C">
        <w:t xml:space="preserve">mainly </w:t>
      </w:r>
      <w:r w:rsidR="00947C3D" w:rsidRPr="00705A9C">
        <w:t xml:space="preserve">with </w:t>
      </w:r>
      <w:r w:rsidR="00DD177B" w:rsidRPr="00705A9C">
        <w:t xml:space="preserve">significant </w:t>
      </w:r>
      <w:r w:rsidR="008A52BC" w:rsidRPr="00705A9C">
        <w:t>positive trends in</w:t>
      </w:r>
      <w:r w:rsidR="00DD177B" w:rsidRPr="00705A9C">
        <w:t xml:space="preserve"> </w:t>
      </w:r>
      <w:r w:rsidR="008A52BC" w:rsidRPr="00705A9C">
        <w:t>SOS</w:t>
      </w:r>
      <w:r w:rsidR="00947C3D" w:rsidRPr="00705A9C">
        <w:t>)</w:t>
      </w:r>
      <w:r w:rsidR="00DC14AB" w:rsidRPr="00705A9C">
        <w:t xml:space="preserve">. </w:t>
      </w:r>
      <w:r w:rsidR="009A6580" w:rsidRPr="00705A9C">
        <w:t>Similarly</w:t>
      </w:r>
      <w:r w:rsidR="0020651D" w:rsidRPr="00705A9C">
        <w:t xml:space="preserve">, </w:t>
      </w:r>
      <w:r w:rsidR="004C18D2" w:rsidRPr="00705A9C">
        <w:t>the magnitude of the rate of change in days year</w:t>
      </w:r>
      <w:r w:rsidR="004C18D2" w:rsidRPr="00705A9C">
        <w:rPr>
          <w:vertAlign w:val="superscript"/>
        </w:rPr>
        <w:t>-1</w:t>
      </w:r>
      <w:r w:rsidR="004C18D2" w:rsidRPr="00705A9C">
        <w:t xml:space="preserve"> in </w:t>
      </w:r>
      <w:r w:rsidR="00947C3D" w:rsidRPr="00705A9C">
        <w:t>this analysis</w:t>
      </w:r>
      <w:r w:rsidR="004C18D2" w:rsidRPr="00705A9C">
        <w:t xml:space="preserve"> </w:t>
      </w:r>
      <w:r w:rsidR="00947C3D" w:rsidRPr="00705A9C">
        <w:t xml:space="preserve">was greater </w:t>
      </w:r>
      <w:r w:rsidR="004C18D2" w:rsidRPr="00705A9C">
        <w:t>than</w:t>
      </w:r>
      <w:r w:rsidR="00E35B59" w:rsidRPr="00705A9C">
        <w:t xml:space="preserve"> those from</w:t>
      </w:r>
      <w:r w:rsidR="004C18D2" w:rsidRPr="00705A9C">
        <w:t xml:space="preserve"> </w:t>
      </w:r>
      <w:r w:rsidR="00E35B59" w:rsidRPr="00705A9C">
        <w:fldChar w:fldCharType="begin" w:fldLock="1"/>
      </w:r>
      <w:r w:rsidR="009E1CAA">
        <w:instrText>ADDIN CSL_CITATION { "citationItems" : [ { "id" : "ITEM-1", "itemData" : { "DOI" : "10.3390/rs5020982", "ISBN" : "2072-4292", "ISSN" : "20724292", "abstract" : "The spatial distribution of crops and farming systems in Africa is determined by the duration of the period during which crop and livestock water requirements are met. The length of growing period (LGP) is normally assessed from weather station data\u2014scarce in large parts of Africa\u2014or coarse-resolution rainfall estimates derived from weather satellites. In this study, we analyzed LGP and its variability based on the 1981\u20132011 GIMMS NDVI3g dataset. We applied a variable threshold method in combination with a searching algorithm to determine start- and end-of-season. We obtained reliable LGP estimates for arid, semi-arid and sub-humid climates that are consistent in space and time. This approach effectively mapped bimodality for clearly separated wet seasons in the Horn of Africa. Due to cloud contamination, the identified bimodality along the Guinea coast was judged to be less certain. High LGP variability is dominant in arid and semi-arid areas, and is indicative of crop failure risk. Significant negative trends in LGP were found for the northern part of the Sahel, for parts of Tanzania and northern Mozambique, and for the short rains of eastern Kenya. Positive trends occurred across western Africa, in southern Africa, and in eastern Kenya for the long rains. Our LGP analysis provides useful information for the mapping of farming systems, and to study the effects of climate variability and other drivers of change on vegetation and crop suitability.", "author" : [ { "dropping-particle" : "", "family" : "Vrieling", "given" : "Anton", "non-dropping-particle" : "", "parse-names" : false, "suffix" : "" }, { "dropping-particle" : "", "family" : "Leeuw", "given" : "Jan", "non-dropping-particle" : "De", "parse-names" : false, "suffix" : "" }, { "dropping-particle" : "", "family" : "Said", "given" : "Mohammed Y.", "non-dropping-particle" : "", "parse-names" : false, "suffix" : "" } ], "container-title" : "Remote Sensing", "id" : "ITEM-1", "issued" : { "date-parts" : [ [ "2013" ] ] }, "page" : "982-1000", "title" : "Length of growing period over africa: Variability and trends from 30 years of NDVI time series", "type" : "article-journal", "volume" : "5" }, "uris" : [ "http://www.mendeley.com/documents/?uuid=34b36e7b-12d9-4a00-9365-ed1c16812c02" ] }, { "id" : "ITEM-2", "itemData" : { "DOI" : "10.1007/s00484-014-0802-z", "ISSN" : "00207128", "PMID" : "24639008", "abstract" : "Land surface phenology is widely retrieved from satellite observations at regional and global scales, and its long-term record has been demonstrated to be a valuable tool for reconstructing past climate variations, monitoring the dynamics of terrestrial ecosystems in response to climate impacts, and predicting biological responses to future climate scenarios. This study detected global land surface phenology from the advanced very high resolution radiometer (AVHRR) and the Moderate Resolution Imaging Spectroradiometer (MODIS) data from 1982 to 2010. Based on daily enhanced vegetation index at a spatial resolution of 0.05 degrees, we simulated the seasonal vegetative trajectory for each individual pixel using piecewise logistic models, which was then used to detect the onset of greenness increase (OGI) and the length of vegetation growing season (GSL). Further, both overall interannual variations and pixel-based trends were examined across Koeppen's climate regions for the periods of 1982-1999 and 2000-2010, respectively. The results show that OGI and GSL varied considerably during 1982-2010 across the globe. Generally, the interannual variation could be more than a month in precipitation-controlled tropical and dry climates while it was mainly less than 15 days in temperature-controlled temperate, cold, and polar climates. OGI, overall, shifted early, and GSL was prolonged from 1982 to 2010 in most climate regions in North America and Asia while the consistently significant trends only occurred in cold climate and polar climate in North America. The overall trends in Europe were generally insignificant. Over South America, late OGI was consistent (particularly from 1982 to 1999) while either positive or negative GSL trends in a climate region were mostly reversed between the periods of 1982-1999 and 2000-2010. In the Northern Hemisphere of Africa, OGI trends were mostly insignificant, but prolonged GSL was evident over individual climate regions during the last 3 decades. OGI mainly showed late trends in the Southern Hemisphere of Africa while GSL was reversed from reduced GSL trends (1982-1999) to prolonged trends (2000-2010). In Australia, GSL exhibited considerable interannual variation, but the consistent trend lacked presence in most regions. Finally, the proportion of pixels with significant trends was less than 1 % in most of climate regions although it could be as large as 10 %.", "author" : [ { "dropping-particle" : "", "family" : "Zhang", "given" : "Xiaoyang", "non-dropping-particle" : "", "parse-names" : false, "suffix" : "" }, { "dropping-particle" : "", "family" : "Tan", "given" : "Bin", "non-dropping-particle" : "", "parse-names" : false, "suffix" : "" }, { "dropping-particle" : "", "family" : "Yu", "given" : "Yunyue", "non-dropping-particle" : "", "parse-names" : false, "suffix" : "" } ], "container-title" : "International Journal of Biometeorology", "id" : "ITEM-2", "issue" : "4", "issued" : { "date-parts" : [ [ "2014" ] ] }, "page" : "547-564", "title" : "Interannual variations and trends in global land surface phenology derived from enhanced vegetation index during 1982-2010", "type" : "article-journal", "volume" : "58" }, "uris" : [ "http://www.mendeley.com/documents/?uuid=136a8ddf-e54e-4ae6-9d68-422674129039" ] }, { "id" : "ITEM-3", "itemData" : { "DOI" : "10.1080/01431160802562255", "ISBN" : "0143-1161", "ISSN" : "0143-1161", "abstract" : "A double logistic function has been used to describe global inventory mapping and monitoring studies (GIMMS) normalized difference vegetation index (NDVI) yearly evolution for the 1981 to 2003 period, in order to estimate land surface phenology parameter. A principal component analysis on the resulting time series indicates that the first components explain 36, 53 and 37% of the variance for the start, end and length of growing season, respectively, and shows generally good spatial homogeneity. Mann\u2013Kendall trend tests have been carried out, and trends were estimated by linear regression. Maps of these trends show a global advance in spring dates of 0.38 days per year, a global delay in autumn dates of 0.45 days per year and a global increase of 0.8 days per year in the growing seasons validated by comparison with previous works. Correlations between retrieved phenological parameters and climate indices generally showed a good spatial coherence. 1.", "author" : [ { "dropping-particle" : "", "family" : "Julien", "given" : "Y.", "non-dropping-particle" : "", "parse-names" : false, "suffix" : "" }, { "dropping-particle" : "", "family" : "Sobrino", "given" : "J. a.", "non-dropping-particle" : "", "parse-names" : false, "suffix" : "" } ], "container-title" : "International Journal of Remote Sensing", "id" : "ITEM-3", "issue" : "13", "issued" : { "date-parts" : [ [ "2009" ] ] }, "page" : "3495-3513", "title" : "Global land surface phenology trends from GIMMS database", "type" : "article-journal", "volume" : "30" }, "uris" : [ "http://www.mendeley.com/documents/?uuid=6f122c96-71ae-49a4-9efd-fe86cae53d72" ] } ], "mendeley" : { "formattedCitation" : "(Anton Vrieling, De Leeuw, and Said 2013; X. Zhang, Tan, and Yu 2014; Julien and Sobrino 2009)", "manualFormatting" : "Julien and Sobrino (2009); Vrieling et al. (2013) and Zhang et al. (2014)", "plainTextFormattedCitation" : "(Anton Vrieling, De Leeuw, and Said 2013; X. Zhang, Tan, and Yu 2014; Julien and Sobrino 2009)", "previouslyFormattedCitation" : "(Anton Vrieling, De Leeuw, and Said 2013; X. Zhang, Tan, and Yu 2014; Julien and Sobrino 2009)" }, "properties" : { "noteIndex" : 0 }, "schema" : "https://github.com/citation-style-language/schema/raw/master/csl-citation.json" }</w:instrText>
      </w:r>
      <w:r w:rsidR="00E35B59" w:rsidRPr="00705A9C">
        <w:fldChar w:fldCharType="separate"/>
      </w:r>
      <w:r w:rsidR="00E35B59" w:rsidRPr="00705A9C">
        <w:rPr>
          <w:noProof/>
        </w:rPr>
        <w:t xml:space="preserve">Julien </w:t>
      </w:r>
      <w:r w:rsidR="00947C3D" w:rsidRPr="00705A9C">
        <w:rPr>
          <w:noProof/>
        </w:rPr>
        <w:t xml:space="preserve">and </w:t>
      </w:r>
      <w:r w:rsidR="00E35B59" w:rsidRPr="00705A9C">
        <w:rPr>
          <w:noProof/>
        </w:rPr>
        <w:t xml:space="preserve">Sobrino (2009); Vrieling </w:t>
      </w:r>
      <w:r w:rsidR="00E35B59" w:rsidRPr="00705A9C">
        <w:rPr>
          <w:i/>
          <w:noProof/>
        </w:rPr>
        <w:t>et al.</w:t>
      </w:r>
      <w:r w:rsidR="00E35B59" w:rsidRPr="00705A9C">
        <w:rPr>
          <w:noProof/>
        </w:rPr>
        <w:t xml:space="preserve"> (2013) </w:t>
      </w:r>
      <w:r w:rsidR="00947C3D" w:rsidRPr="00705A9C">
        <w:rPr>
          <w:noProof/>
        </w:rPr>
        <w:t xml:space="preserve">and </w:t>
      </w:r>
      <w:r w:rsidR="00E35B59" w:rsidRPr="00705A9C">
        <w:rPr>
          <w:noProof/>
        </w:rPr>
        <w:t xml:space="preserve">Zhang </w:t>
      </w:r>
      <w:r w:rsidR="00E35B59" w:rsidRPr="00705A9C">
        <w:rPr>
          <w:i/>
          <w:noProof/>
        </w:rPr>
        <w:t>et al.</w:t>
      </w:r>
      <w:r w:rsidR="00E35B59" w:rsidRPr="00705A9C">
        <w:rPr>
          <w:noProof/>
        </w:rPr>
        <w:t xml:space="preserve"> (2014)</w:t>
      </w:r>
      <w:r w:rsidR="00E35B59" w:rsidRPr="00705A9C">
        <w:fldChar w:fldCharType="end"/>
      </w:r>
      <w:r w:rsidR="00E35B59" w:rsidRPr="00705A9C">
        <w:t>. The</w:t>
      </w:r>
      <w:r w:rsidR="00861C36" w:rsidRPr="00705A9C">
        <w:t xml:space="preserve">se differences could be attributed to the </w:t>
      </w:r>
      <w:r w:rsidR="005C6641" w:rsidRPr="00705A9C">
        <w:t>type</w:t>
      </w:r>
      <w:r w:rsidR="005D6BC0" w:rsidRPr="00705A9C">
        <w:t>s</w:t>
      </w:r>
      <w:r w:rsidR="005C6641" w:rsidRPr="00705A9C">
        <w:t xml:space="preserve"> of </w:t>
      </w:r>
      <w:r w:rsidR="00E35B59" w:rsidRPr="00705A9C">
        <w:t>dataset and the duration of the study period</w:t>
      </w:r>
      <w:r w:rsidR="005D6BC0" w:rsidRPr="00705A9C">
        <w:t>s</w:t>
      </w:r>
      <w:r w:rsidR="00E35B59" w:rsidRPr="00705A9C">
        <w:t xml:space="preserve"> </w:t>
      </w:r>
      <w:r w:rsidR="00861C36" w:rsidRPr="00705A9C">
        <w:t>used in these studies</w:t>
      </w:r>
      <w:r w:rsidR="005C6641" w:rsidRPr="00705A9C">
        <w:t xml:space="preserve"> </w:t>
      </w:r>
      <w:r w:rsidR="005C6641" w:rsidRPr="00705A9C">
        <w:fldChar w:fldCharType="begin" w:fldLock="1"/>
      </w:r>
      <w:r w:rsidR="009E1CAA">
        <w:instrText>ADDIN CSL_CITATION { "citationItems" : [ { "id" : "ITEM-1", "itemData" : { "DOI" : "10.1007/s00484-014-0802-z", "ISSN" : "00207128", "PMID" : "24639008", "abstract" : "Land surface phenology is widely retrieved from satellite observations at regional and global scales, and its long-term record has been demonstrated to be a valuable tool for reconstructing past climate variations, monitoring the dynamics of terrestrial ecosystems in response to climate impacts, and predicting biological responses to future climate scenarios. This study detected global land surface phenology from the advanced very high resolution radiometer (AVHRR) and the Moderate Resolution Imaging Spectroradiometer (MODIS) data from 1982 to 2010. Based on daily enhanced vegetation index at a spatial resolution of 0.05 degrees, we simulated the seasonal vegetative trajectory for each individual pixel using piecewise logistic models, which was then used to detect the onset of greenness increase (OGI) and the length of vegetation growing season (GSL). Further, both overall interannual variations and pixel-based trends were examined across Koeppen's climate regions for the periods of 1982-1999 and 2000-2010, respectively. The results show that OGI and GSL varied considerably during 1982-2010 across the globe. Generally, the interannual variation could be more than a month in precipitation-controlled tropical and dry climates while it was mainly less than 15 days in temperature-controlled temperate, cold, and polar climates. OGI, overall, shifted early, and GSL was prolonged from 1982 to 2010 in most climate regions in North America and Asia while the consistently significant trends only occurred in cold climate and polar climate in North America. The overall trends in Europe were generally insignificant. Over South America, late OGI was consistent (particularly from 1982 to 1999) while either positive or negative GSL trends in a climate region were mostly reversed between the periods of 1982-1999 and 2000-2010. In the Northern Hemisphere of Africa, OGI trends were mostly insignificant, but prolonged GSL was evident over individual climate regions during the last 3 decades. OGI mainly showed late trends in the Southern Hemisphere of Africa while GSL was reversed from reduced GSL trends (1982-1999) to prolonged trends (2000-2010). In Australia, GSL exhibited considerable interannual variation, but the consistent trend lacked presence in most regions. Finally, the proportion of pixels with significant trends was less than 1 % in most of climate regions although it could be as large as 10 %.", "author" : [ { "dropping-particle" : "", "family" : "Zhang", "given" : "Xiaoyang", "non-dropping-particle" : "", "parse-names" : false, "suffix" : "" }, { "dropping-particle" : "", "family" : "Tan", "given" : "Bin", "non-dropping-particle" : "", "parse-names" : false, "suffix" : "" }, { "dropping-particle" : "", "family" : "Yu", "given" : "Yunyue", "non-dropping-particle" : "", "parse-names" : false, "suffix" : "" } ], "container-title" : "International Journal of Biometeorology", "id" : "ITEM-1", "issue" : "4", "issued" : { "date-parts" : [ [ "2014" ] ] }, "page" : "547-564", "title" : "Interannual variations and trends in global land surface phenology derived from enhanced vegetation index during 1982-2010", "type" : "article-journal", "volume" : "58" }, "uris" : [ "http://www.mendeley.com/documents/?uuid=136a8ddf-e54e-4ae6-9d68-422674129039" ] }, { "id" : "ITEM-2", "itemData" : { "DOI" : "10.1111/j.1365-2486.2005.00949.x", "ISBN" : "1354-1013", "ISSN" : "13541013", "abstract" : "The International Geosphere-Biosphere Program has delineated five study areas that form a northern high-latitude network for the analyses of vegetation and carbon dynamics. We examined the magnitude and significance of changes in the land surface phenologies of ecoregions within these transects using the NASA Pathfinder Advanced Very High-Resolution Radiometer Land dataset. We applied the seasonal Mann-Kendall (SMK) trend test, a robust and nonparametric approach, to determine the significance of trends in the normalized difference vegetation index (NDVI) over the five transects. The SMK trend test provides an important alternative over the frequently used but unreliable trend analysis based on linear regression. In addition, we modeled the land surface phenology using quadratic or nonlinear spherical models to relate the NDVI data to accumulated growing degree-days (base 0&amp;DEG; C). Nonlinear spherical models parsimoniously describe the green-up dynamics in taiga and tundra ecoregions. Models for each ecoregion within each transect were fitted separately for two time periods (1985-1988 and 1995-1999) and their parameter coefficient estimates were compared. In 10 of 24 ecoregions that comprise 72% of the land area in the transects, the date of the peak NDVI value was significantly earlier (range 2-18 days) in the second study period than in the first study period. This progression was more pronounced in North America than in Siberia (weighted average of 9.3 vs. 6.3 days earlier). Understanding of what constitutes significant change in land surface phenology amidst background variation is a critical component of global change science. A diversity of datasets, techniques, and study areas has led to a range of conclusions about boreal phenology. We discuss statistical pitfalls in standard analyses and offer a framework to conduct statistically reliable change assessments of land surface phenologies.", "author" : [ { "dropping-particle" : "", "family" : "Beurs", "given" : "Kirsten M.", "non-dropping-particle" : "de", "parse-names" : false, "suffix" : "" }, { "dropping-particle" : "", "family" : "Henebry", "given" : "Geoffrey M.", "non-dropping-particle" : "", "parse-names" : false, "suffix" : "" } ], "container-title" : "Global Change Biology", "id" : "ITEM-2", "issue" : "5", "issued" : { "date-parts" : [ [ "2005" ] ] }, "page" : "779-790", "title" : "Land surface phenology and temperature variation in the International Geosphere-Biosphere Program high-latitude transects", "type" : "article-journal", "volume" : "11" }, "uris" : [ "http://www.mendeley.com/documents/?uuid=f2f735ca-6016-46fe-a174-dc18e5d92555" ] } ], "mendeley" : { "formattedCitation" : "(X. Zhang, Tan, and Yu 2014; de Beurs and Henebry 2005)", "plainTextFormattedCitation" : "(X. Zhang, Tan, and Yu 2014; de Beurs and Henebry 2005)", "previouslyFormattedCitation" : "(X. Zhang, Tan, and Yu 2014; de Beurs and Henebry 2005)" }, "properties" : { "noteIndex" : 0 }, "schema" : "https://github.com/citation-style-language/schema/raw/master/csl-citation.json" }</w:instrText>
      </w:r>
      <w:r w:rsidR="005C6641" w:rsidRPr="00705A9C">
        <w:fldChar w:fldCharType="separate"/>
      </w:r>
      <w:r w:rsidR="005A1849" w:rsidRPr="00705A9C">
        <w:rPr>
          <w:noProof/>
        </w:rPr>
        <w:t>(X. Zhang, Tan, and Yu 2014; de Beurs and Henebry 2005)</w:t>
      </w:r>
      <w:r w:rsidR="005C6641" w:rsidRPr="00705A9C">
        <w:fldChar w:fldCharType="end"/>
      </w:r>
      <w:r w:rsidR="00861C36" w:rsidRPr="00705A9C">
        <w:t xml:space="preserve">. </w:t>
      </w:r>
      <w:r w:rsidR="004616DD" w:rsidRPr="00705A9C">
        <w:t xml:space="preserve">While these </w:t>
      </w:r>
      <w:r w:rsidRPr="00705A9C">
        <w:t xml:space="preserve">previous </w:t>
      </w:r>
      <w:r w:rsidR="004616DD" w:rsidRPr="00705A9C">
        <w:t>studies used the 8 k</w:t>
      </w:r>
      <w:r w:rsidR="00861C36" w:rsidRPr="00705A9C">
        <w:t xml:space="preserve">m AVHRR NDVI datasets with longer duration ranging from 1981 </w:t>
      </w:r>
      <w:r w:rsidR="009901B2" w:rsidRPr="00705A9C">
        <w:t>to</w:t>
      </w:r>
      <w:r w:rsidR="00861C36" w:rsidRPr="00705A9C">
        <w:t xml:space="preserve"> 2011, none exceeding 2011, </w:t>
      </w:r>
      <w:r w:rsidR="00947C3D" w:rsidRPr="00705A9C">
        <w:t xml:space="preserve">the present </w:t>
      </w:r>
      <w:r w:rsidR="00861C36" w:rsidRPr="00705A9C">
        <w:t xml:space="preserve">study used the </w:t>
      </w:r>
      <w:r w:rsidR="005C2B73" w:rsidRPr="00705A9C">
        <w:t>EVI derived from the MODIS/Terra Surface Reflectance 8-Day L3 Global 500 m</w:t>
      </w:r>
      <w:r w:rsidR="005D6BC0" w:rsidRPr="00705A9C">
        <w:t xml:space="preserve"> product</w:t>
      </w:r>
      <w:r w:rsidR="005C2B73" w:rsidRPr="00705A9C">
        <w:t xml:space="preserve">. </w:t>
      </w:r>
      <w:r w:rsidR="00BB538E" w:rsidRPr="00705A9C">
        <w:t xml:space="preserve">This much finer spatial resolution is expected to reveal greater variation in trends due to the well-known spatial convolution associated with the measurement process. Also, the present study period (2001 to 2015), while not as long as for some previous studies, accounted for more recent seasonal vegetation events across the continent.  However, there are some issues associated with </w:t>
      </w:r>
      <w:r w:rsidR="00AF6361" w:rsidRPr="00705A9C">
        <w:t xml:space="preserve">these </w:t>
      </w:r>
      <w:r w:rsidR="00BB538E" w:rsidRPr="00705A9C">
        <w:t xml:space="preserve">data. The </w:t>
      </w:r>
      <w:r w:rsidR="00664390" w:rsidRPr="00705A9C">
        <w:t xml:space="preserve">degradation of the blue band (Band 3, 470 nm) in </w:t>
      </w:r>
      <w:r w:rsidR="00AF6361" w:rsidRPr="00705A9C">
        <w:t xml:space="preserve">these </w:t>
      </w:r>
      <w:r w:rsidR="00664390" w:rsidRPr="00705A9C">
        <w:t>data</w:t>
      </w:r>
      <w:r w:rsidR="004E3D03" w:rsidRPr="00705A9C">
        <w:t xml:space="preserve"> ha</w:t>
      </w:r>
      <w:r w:rsidR="00AF6361" w:rsidRPr="00705A9C">
        <w:t>s</w:t>
      </w:r>
      <w:r w:rsidR="00664390" w:rsidRPr="00705A9C">
        <w:t xml:space="preserve"> </w:t>
      </w:r>
      <w:r w:rsidR="00AF6361" w:rsidRPr="00705A9C">
        <w:t xml:space="preserve">been recorded as having a </w:t>
      </w:r>
      <w:r w:rsidR="004E3D03" w:rsidRPr="00705A9C">
        <w:t xml:space="preserve">negative influence on </w:t>
      </w:r>
      <w:r w:rsidR="00664390" w:rsidRPr="00705A9C">
        <w:t>temporal</w:t>
      </w:r>
      <w:r w:rsidR="004E3D03" w:rsidRPr="00705A9C">
        <w:t xml:space="preserve"> trend</w:t>
      </w:r>
      <w:r w:rsidR="00664390" w:rsidRPr="00705A9C">
        <w:t xml:space="preserve"> </w:t>
      </w:r>
      <w:r w:rsidR="004E3D03" w:rsidRPr="00705A9C">
        <w:t xml:space="preserve">analysis </w:t>
      </w:r>
      <w:r w:rsidR="00AF6361" w:rsidRPr="00705A9C">
        <w:t xml:space="preserve">previously </w:t>
      </w:r>
      <w:r w:rsidR="004E3D03" w:rsidRPr="00705A9C">
        <w:fldChar w:fldCharType="begin" w:fldLock="1"/>
      </w:r>
      <w:r w:rsidR="009E1CAA">
        <w:instrText>ADDIN CSL_CITATION { "citationItems" : [ { "id" : "ITEM-1", "itemData" : { "DOI" : "10.1016/j.rse.2011.12.001", "ISBN" : "0034-4257", "ISSN" : "00344257", "abstract" : "Time series of satellite data provide unparalleled information on the response of vegetation to climate variability. Detecting subtle changes in vegetation over time requires consistent satellite-based measurements. Here, the impact of sensor degradation on trend detection was evaluated using Collection 5 data from the Moderate Resolution Imaging Spectroradiometer (MODIS) sensors on the Terra and Aqua platforms. For Terra MODIS, the impact of blue band (Band 3, 470nm) degradation on simulated surface reflectance was most pronounced at near-nadir view angles, leading to a 0.001-0.004yr-1decline in Normalized Difference Vegetation Index (NDVI) under a range of simulated aerosol conditions and surface types. Observed trends in MODIS NDVI over North America were consistent with simulated results, with nearly a threefold difference in negative NDVI trends derived from Terra (17.4%) and Aqua (6.7%) MODIS sensors during 2002-2010. Planned adjustments to Terra MODIS calibration for Collection 6 data reprocessing will largely eliminate this negative bias in detection of NDVI trends. \u00a9 2011 Elsevier Inc.", "author" : [ { "dropping-particle" : "", "family" : "Wang", "given" : "Dongdong", "non-dropping-particle" : "", "parse-names" : false, "suffix" : "" }, { "dropping-particle" : "", "family" : "Morton", "given" : "Douglas", "non-dropping-particle" : "", "parse-names" : false, "suffix" : "" }, { "dropping-particle" : "", "family" : "Masek", "given" : "Jeffrey", "non-dropping-particle" : "", "parse-names" : false, "suffix" : "" }, { "dropping-particle" : "", "family" : "Wu", "given" : "Aisheng", "non-dropping-particle" : "", "parse-names" : false, "suffix" : "" }, { "dropping-particle" : "", "family" : "Nagol", "given" : "Jyoteshwar", "non-dropping-particle" : "", "parse-names" : false, "suffix" : "" }, { "dropping-particle" : "", "family" : "Xiong", "given" : "Xiaoxiong", "non-dropping-particle" : "", "parse-names" : false, "suffix" : "" }, { "dropping-particle" : "", "family" : "Levy", "given" : "Robert", "non-dropping-particle" : "", "parse-names" : false, "suffix" : "" }, { "dropping-particle" : "", "family" : "Vermote", "given" : "Eric", "non-dropping-particle" : "", "parse-names" : false, "suffix" : "" }, { "dropping-particle" : "", "family" : "Wolfe", "given" : "Robert", "non-dropping-particle" : "", "parse-names" : false, "suffix" : "" } ], "container-title" : "Remote Sensing of Environment", "id" : "ITEM-1", "issued" : { "date-parts" : [ [ "2012", "4" ] ] }, "page" : "55-61", "title" : "Impact of sensor degradation on the MODIS NDVI time series", "type" : "article-journal", "volume" : "119" }, "uris" : [ "http://www.mendeley.com/documents/?uuid=d36898a4-5bd7-3c99-a9c0-2a2c37420376" ] } ], "mendeley" : { "formattedCitation" : "(Wang et al. 2012)", "plainTextFormattedCitation" : "(Wang et al. 2012)", "previouslyFormattedCitation" : "(Wang et al. 2012)" }, "properties" : { "noteIndex" : 0 }, "schema" : "https://github.com/citation-style-language/schema/raw/master/csl-citation.json" }</w:instrText>
      </w:r>
      <w:r w:rsidR="004E3D03" w:rsidRPr="00705A9C">
        <w:fldChar w:fldCharType="separate"/>
      </w:r>
      <w:r w:rsidR="00611088" w:rsidRPr="00705A9C">
        <w:rPr>
          <w:noProof/>
        </w:rPr>
        <w:t>(Wang et al. 2012)</w:t>
      </w:r>
      <w:r w:rsidR="004E3D03" w:rsidRPr="00705A9C">
        <w:fldChar w:fldCharType="end"/>
      </w:r>
      <w:r w:rsidR="00BB538E" w:rsidRPr="00705A9C">
        <w:t xml:space="preserve">. </w:t>
      </w:r>
      <w:r w:rsidR="00162CC1" w:rsidRPr="00705A9C">
        <w:t xml:space="preserve">In addition, </w:t>
      </w:r>
      <w:r w:rsidR="005A1849" w:rsidRPr="00705A9C">
        <w:t xml:space="preserve">sensor degradation have been shown to influence magnitude of vegetation indices derived from this data, but not seasonality </w:t>
      </w:r>
      <w:r w:rsidR="005A1849" w:rsidRPr="00705A9C">
        <w:fldChar w:fldCharType="begin" w:fldLock="1"/>
      </w:r>
      <w:r w:rsidR="009E1CAA">
        <w:instrText>ADDIN CSL_CITATION { "citationItems" : [ { "id" : "ITEM-1", "itemData" : { "DOI" : "10.1016/j.rse.2016.12.018", "ISSN" : "00344257", "abstract" : "Accurately monitoring global vegetation dynamics with modern remote sensing is critical for understanding the functions and processes of the biosphere and its interactions with the planetary climate. The MODerate resolution Imaging Spectroradiometer (MODIS) vegetation index (VI) product has been a primary data source for this purpose. To date, the MODIS team had released several versions of VI products that have widely used in global change studies and practical applications. In this study, we re-examined the global vegetation activity by comparing the recent MODIS Collection 6 (C6) VIs with Collection 5 (C5) VIs including Normalized Difference Vegetation Index (NDVI) and Enhanced Vegetation Index (EVI) from Terra (2001\u20132015) and Aqua Satellites (2003\u20132015). We found substantial differences in global vegetation trends betweenTerra-C5 and -C6 VIs, especially EVI. From 2001 to 2015, global vegetation showed a remarkable greening trend in annual EVI from the Terra-C6 (0.28% year\u2212 1; P &lt; 0.001), in contrast to the decreasing EVI trend from the Terra-C5 (\u2212 0.14% year\u2212 1, P &lt; 0.01). Spatially, large portions of the browning areas in tropical regions identified by Terra-C5 VIs were not evident in Terra-C6 VIs. In contrast, the widespread greening areas in Terra-C6 VIs were consistent with Aqua-C6 VIs and GIMMS3g NDVI. Our finding of a greening Earth supports the recent studies suggesting an enhanced land carbon sink. Our study suggests that most of the vegetation browning trends detected by MODIS Terra-C5 VIs were likely caused by sensor degradation, particularly for the period after 2007. Therefore, previous studies of temporal vegetation trends based solely on Terra-C5 VIs may need to be reevaluated. Our new analysis offers the most updated understanding of the global vegetation dynamics during the past 15 years and contributes to accurately understanding the role of vegetation played in the Earth's biogeochemical and climatic systems.", "author" : [ { "dropping-particle" : "", "family" : "Zhang", "given" : "Yulong", "non-dropping-particle" : "", "parse-names" : false, "suffix" : "" }, { "dropping-particle" : "", "family" : "Song", "given" : "Conghe", "non-dropping-particle" : "", "parse-names" : false, "suffix" : "" }, { "dropping-particle" : "", "family" : "Band", "given" : "Lawrence E.", "non-dropping-particle" : "", "parse-names" : false, "suffix" : "" }, { "dropping-particle" : "", "family" : "Sun", "given" : "Ge", "non-dropping-particle" : "", "parse-names" : false, "suffix" : "" }, { "dropping-particle" : "", "family" : "Li", "given" : "Junxiang", "non-dropping-particle" : "", "parse-names" : false, "suffix" : "" } ], "container-title" : "Remote Sensing of Environment", "id" : "ITEM-1", "issued" : { "date-parts" : [ [ "2017", "3", "15" ] ] }, "page" : "145-155", "publisher" : "Elsevier", "title" : "Reanalysis of global terrestrial vegetation trends from MODIS products: Browning or greening?", "type" : "article-journal", "volume" : "191" }, "uris" : [ "http://www.mendeley.com/documents/?uuid=34202575-237b-30f3-8ea1-70066e9d50f1" ] } ], "mendeley" : { "formattedCitation" : "(Y. Zhang et al. 2017)", "plainTextFormattedCitation" : "(Y. Zhang et al. 2017)", "previouslyFormattedCitation" : "(Y. Zhang et al. 2017)" }, "properties" : { "noteIndex" : 0 }, "schema" : "https://github.com/citation-style-language/schema/raw/master/csl-citation.json" }</w:instrText>
      </w:r>
      <w:r w:rsidR="005A1849" w:rsidRPr="00705A9C">
        <w:fldChar w:fldCharType="separate"/>
      </w:r>
      <w:r w:rsidR="005A1849" w:rsidRPr="00705A9C">
        <w:rPr>
          <w:noProof/>
        </w:rPr>
        <w:t>(Y. Zhang et al. 2017)</w:t>
      </w:r>
      <w:r w:rsidR="005A1849" w:rsidRPr="00705A9C">
        <w:fldChar w:fldCharType="end"/>
      </w:r>
      <w:r w:rsidR="005A1849" w:rsidRPr="00705A9C">
        <w:t>.</w:t>
      </w:r>
      <w:r w:rsidR="00C3254C" w:rsidRPr="00705A9C">
        <w:t xml:space="preserve"> </w:t>
      </w:r>
      <w:r w:rsidR="00AF6361" w:rsidRPr="00705A9C">
        <w:t>Further</w:t>
      </w:r>
      <w:r w:rsidR="00C3254C" w:rsidRPr="00705A9C">
        <w:t>more</w:t>
      </w:r>
      <w:r w:rsidR="00AF6361" w:rsidRPr="00705A9C">
        <w:t>,</w:t>
      </w:r>
      <w:r w:rsidR="00BB538E" w:rsidRPr="00705A9C">
        <w:t xml:space="preserve"> </w:t>
      </w:r>
      <w:r w:rsidR="00C3254C" w:rsidRPr="00705A9C">
        <w:t xml:space="preserve">the accuracy of the land cover data which is not very high may have influenced the areas of changes observed in the different change categories. </w:t>
      </w:r>
      <w:r w:rsidR="00CA329F" w:rsidRPr="00705A9C">
        <w:t>Additionally, as a result of the availability of land cover data not</w:t>
      </w:r>
      <w:r w:rsidR="00BB538E" w:rsidRPr="00705A9C">
        <w:t xml:space="preserve"> </w:t>
      </w:r>
      <w:r w:rsidR="00511B54" w:rsidRPr="00705A9C">
        <w:t>exceeding</w:t>
      </w:r>
      <w:r w:rsidR="00BB538E" w:rsidRPr="00705A9C">
        <w:t xml:space="preserve"> 2013, </w:t>
      </w:r>
      <w:r w:rsidR="00CA329F" w:rsidRPr="00705A9C">
        <w:t xml:space="preserve">an </w:t>
      </w:r>
      <w:r w:rsidR="00BB538E" w:rsidRPr="00705A9C">
        <w:t>assumption that no significant changes in land cover occurred between 2013 and 2015</w:t>
      </w:r>
      <w:r w:rsidR="00AF6361" w:rsidRPr="00705A9C">
        <w:t xml:space="preserve"> </w:t>
      </w:r>
      <w:r w:rsidR="00CA329F" w:rsidRPr="00705A9C">
        <w:t xml:space="preserve">was made </w:t>
      </w:r>
      <w:r w:rsidR="00AF6361" w:rsidRPr="00705A9C">
        <w:t xml:space="preserve">(while noting that </w:t>
      </w:r>
      <w:r w:rsidR="00BB538E" w:rsidRPr="00705A9C">
        <w:t>Terra MODIS 500</w:t>
      </w:r>
      <w:r w:rsidR="00AF6361" w:rsidRPr="00705A9C">
        <w:t xml:space="preserve"> </w:t>
      </w:r>
      <w:r w:rsidR="00BB538E" w:rsidRPr="00705A9C">
        <w:t xml:space="preserve">m </w:t>
      </w:r>
      <w:r w:rsidR="00AF6361" w:rsidRPr="00705A9C">
        <w:t xml:space="preserve">data are the </w:t>
      </w:r>
      <w:r w:rsidR="00BB538E" w:rsidRPr="00705A9C">
        <w:t xml:space="preserve">earliest with </w:t>
      </w:r>
      <w:r w:rsidR="000058F3" w:rsidRPr="00705A9C">
        <w:t>the longest time-</w:t>
      </w:r>
      <w:r w:rsidR="000058F3" w:rsidRPr="00705A9C">
        <w:lastRenderedPageBreak/>
        <w:t>series</w:t>
      </w:r>
      <w:r w:rsidR="00AF6361" w:rsidRPr="00705A9C">
        <w:t xml:space="preserve">; </w:t>
      </w:r>
      <w:r w:rsidR="000058F3" w:rsidRPr="00705A9C">
        <w:t xml:space="preserve">2000-present). </w:t>
      </w:r>
      <w:r w:rsidR="004C2A79" w:rsidRPr="00705A9C">
        <w:t xml:space="preserve">Another assumption in this </w:t>
      </w:r>
      <w:r w:rsidR="0012717F" w:rsidRPr="00705A9C">
        <w:t xml:space="preserve">research </w:t>
      </w:r>
      <w:r w:rsidR="004C2A79" w:rsidRPr="00705A9C">
        <w:t xml:space="preserve">was the consistency of the unchanged land cover pixels of cropland/natural vegetation mosaic. </w:t>
      </w:r>
      <w:r w:rsidR="008B6C9C" w:rsidRPr="008B6C9C">
        <w:rPr>
          <w:highlight w:val="yellow"/>
        </w:rPr>
        <w:t xml:space="preserve">Changes in </w:t>
      </w:r>
      <w:r w:rsidR="000E4640">
        <w:rPr>
          <w:highlight w:val="yellow"/>
        </w:rPr>
        <w:t>the percentage c</w:t>
      </w:r>
      <w:r w:rsidR="008B6C9C" w:rsidRPr="008B6C9C">
        <w:rPr>
          <w:highlight w:val="yellow"/>
        </w:rPr>
        <w:t xml:space="preserve">omposition of </w:t>
      </w:r>
      <w:r w:rsidR="00C244DF">
        <w:rPr>
          <w:highlight w:val="yellow"/>
        </w:rPr>
        <w:t xml:space="preserve">this </w:t>
      </w:r>
      <w:r w:rsidR="008B6C9C" w:rsidRPr="008B6C9C">
        <w:rPr>
          <w:highlight w:val="yellow"/>
        </w:rPr>
        <w:t>land cover type</w:t>
      </w:r>
      <w:r w:rsidR="008B6C9C">
        <w:t xml:space="preserve"> and i</w:t>
      </w:r>
      <w:r w:rsidR="004C2A79" w:rsidRPr="00705A9C">
        <w:t xml:space="preserve">nter-annual crop rotation to a different crop type can significantly influence LSP timings. </w:t>
      </w:r>
      <w:r w:rsidR="00CA329F" w:rsidRPr="00705A9C">
        <w:t>Also</w:t>
      </w:r>
      <w:r w:rsidR="00BB538E" w:rsidRPr="00705A9C">
        <w:t xml:space="preserve">, </w:t>
      </w:r>
      <w:r w:rsidR="00AF6361" w:rsidRPr="00705A9C">
        <w:t xml:space="preserve">the analysis of </w:t>
      </w:r>
      <w:r w:rsidR="00511B54" w:rsidRPr="00705A9C">
        <w:t>LSP trend</w:t>
      </w:r>
      <w:r w:rsidR="00AF6361" w:rsidRPr="00705A9C">
        <w:t>s</w:t>
      </w:r>
      <w:r w:rsidR="00511B54" w:rsidRPr="00705A9C">
        <w:t xml:space="preserve"> to determine </w:t>
      </w:r>
      <w:r w:rsidR="00AF6361" w:rsidRPr="00705A9C">
        <w:t xml:space="preserve">the </w:t>
      </w:r>
      <w:r w:rsidR="00511B54" w:rsidRPr="00705A9C">
        <w:t xml:space="preserve">magnitude of change based on land cover changes </w:t>
      </w:r>
      <w:r w:rsidR="00AF6361" w:rsidRPr="00705A9C">
        <w:t xml:space="preserve">was </w:t>
      </w:r>
      <w:r w:rsidR="00511B54" w:rsidRPr="00705A9C">
        <w:t xml:space="preserve">restricted to the time period 2001 to 2013. </w:t>
      </w:r>
    </w:p>
    <w:p w14:paraId="0E4BE8D7" w14:textId="77777777" w:rsidR="00F1154E" w:rsidRPr="00705A9C" w:rsidRDefault="00F1154E">
      <w:pPr>
        <w:pStyle w:val="ListParagraph"/>
        <w:ind w:left="357"/>
      </w:pPr>
    </w:p>
    <w:p w14:paraId="1662186F" w14:textId="0F68383C" w:rsidR="004E3C30" w:rsidRPr="00705A9C" w:rsidRDefault="00D21854" w:rsidP="002318DC">
      <w:pPr>
        <w:pStyle w:val="Heading1"/>
        <w:numPr>
          <w:ilvl w:val="0"/>
          <w:numId w:val="20"/>
        </w:numPr>
      </w:pPr>
      <w:r w:rsidRPr="00705A9C">
        <w:t>Conclusion</w:t>
      </w:r>
    </w:p>
    <w:p w14:paraId="59CD0AC3" w14:textId="0AC7FA89" w:rsidR="0080658C" w:rsidRPr="00705A9C" w:rsidRDefault="001D4A50" w:rsidP="00200DC8">
      <w:pPr>
        <w:pStyle w:val="Paragraph"/>
      </w:pPr>
      <w:r w:rsidRPr="00705A9C">
        <w:t>Trends in p</w:t>
      </w:r>
      <w:r w:rsidR="00002E0C" w:rsidRPr="00705A9C">
        <w:t>henolog</w:t>
      </w:r>
      <w:r w:rsidRPr="00705A9C">
        <w:t>y</w:t>
      </w:r>
      <w:r w:rsidR="00002E0C" w:rsidRPr="00705A9C">
        <w:t xml:space="preserve"> are </w:t>
      </w:r>
      <w:r w:rsidRPr="00705A9C">
        <w:t>increasingly</w:t>
      </w:r>
      <w:r w:rsidR="00002E0C" w:rsidRPr="00705A9C">
        <w:t xml:space="preserve"> being used to </w:t>
      </w:r>
      <w:r w:rsidR="005D6BC0" w:rsidRPr="00705A9C">
        <w:t xml:space="preserve">infer </w:t>
      </w:r>
      <w:r w:rsidRPr="00705A9C">
        <w:t xml:space="preserve">the effects of </w:t>
      </w:r>
      <w:r w:rsidR="0014259D" w:rsidRPr="00705A9C">
        <w:t xml:space="preserve">climate </w:t>
      </w:r>
      <w:r w:rsidRPr="00705A9C">
        <w:t xml:space="preserve">changes </w:t>
      </w:r>
      <w:r w:rsidR="0014259D" w:rsidRPr="00705A9C">
        <w:t>on vegetation development and growth pattern</w:t>
      </w:r>
      <w:r w:rsidRPr="00705A9C">
        <w:t>s</w:t>
      </w:r>
      <w:r w:rsidR="0014259D" w:rsidRPr="00705A9C">
        <w:t xml:space="preserve">. </w:t>
      </w:r>
      <w:r w:rsidR="00413077" w:rsidRPr="00705A9C">
        <w:t>Understanding the drivers of vegetation phenological trends is</w:t>
      </w:r>
      <w:r w:rsidRPr="00705A9C">
        <w:t>,</w:t>
      </w:r>
      <w:r w:rsidR="00413077" w:rsidRPr="00705A9C">
        <w:t xml:space="preserve"> therefore</w:t>
      </w:r>
      <w:r w:rsidRPr="00705A9C">
        <w:t>,</w:t>
      </w:r>
      <w:r w:rsidR="00413077" w:rsidRPr="00705A9C">
        <w:t xml:space="preserve"> paramount in vegetation-climate studies. However, most</w:t>
      </w:r>
      <w:r w:rsidR="0014259D" w:rsidRPr="00705A9C">
        <w:t xml:space="preserve"> studies </w:t>
      </w:r>
      <w:r w:rsidR="005D6BC0" w:rsidRPr="00705A9C">
        <w:t xml:space="preserve">analyse the relation of phenology with </w:t>
      </w:r>
      <w:r w:rsidR="0014259D" w:rsidRPr="00705A9C">
        <w:t>the</w:t>
      </w:r>
      <w:r w:rsidR="00413077" w:rsidRPr="00705A9C">
        <w:t>se</w:t>
      </w:r>
      <w:r w:rsidR="0014259D" w:rsidRPr="00705A9C">
        <w:t xml:space="preserve"> drivers with</w:t>
      </w:r>
      <w:r w:rsidR="00413077" w:rsidRPr="00705A9C">
        <w:t>out</w:t>
      </w:r>
      <w:r w:rsidR="0014259D" w:rsidRPr="00705A9C">
        <w:t xml:space="preserve"> due consideration </w:t>
      </w:r>
      <w:r w:rsidRPr="00705A9C">
        <w:t xml:space="preserve">for </w:t>
      </w:r>
      <w:r w:rsidR="0080658C" w:rsidRPr="00705A9C">
        <w:t xml:space="preserve">confounding </w:t>
      </w:r>
      <w:r w:rsidR="0014259D" w:rsidRPr="00705A9C">
        <w:t xml:space="preserve">land cover changes which may </w:t>
      </w:r>
      <w:r w:rsidR="005D6BC0" w:rsidRPr="00705A9C">
        <w:t xml:space="preserve">also </w:t>
      </w:r>
      <w:r w:rsidR="0014259D" w:rsidRPr="00705A9C">
        <w:t>significant</w:t>
      </w:r>
      <w:r w:rsidR="0080658C" w:rsidRPr="00705A9C">
        <w:t>ly</w:t>
      </w:r>
      <w:r w:rsidR="0014259D" w:rsidRPr="00705A9C">
        <w:t xml:space="preserve"> </w:t>
      </w:r>
      <w:r w:rsidRPr="00705A9C">
        <w:t xml:space="preserve">impact </w:t>
      </w:r>
      <w:r w:rsidR="0080658C" w:rsidRPr="00705A9C">
        <w:t>LSP</w:t>
      </w:r>
      <w:r w:rsidR="0014259D" w:rsidRPr="00705A9C">
        <w:t xml:space="preserve">. </w:t>
      </w:r>
      <w:r w:rsidRPr="00705A9C">
        <w:t>C</w:t>
      </w:r>
      <w:r w:rsidR="00324C33" w:rsidRPr="00705A9C">
        <w:t xml:space="preserve">onsidering the magnitude of </w:t>
      </w:r>
      <w:r w:rsidRPr="00705A9C">
        <w:t xml:space="preserve">the </w:t>
      </w:r>
      <w:r w:rsidR="00324C33" w:rsidRPr="00705A9C">
        <w:t xml:space="preserve">land cover changes </w:t>
      </w:r>
      <w:r w:rsidR="00002E0C" w:rsidRPr="00705A9C">
        <w:t xml:space="preserve">taking place </w:t>
      </w:r>
      <w:r w:rsidRPr="00705A9C">
        <w:t xml:space="preserve">across </w:t>
      </w:r>
      <w:r w:rsidR="00002E0C" w:rsidRPr="00705A9C">
        <w:t xml:space="preserve">the African </w:t>
      </w:r>
      <w:r w:rsidR="0014259D" w:rsidRPr="00705A9C">
        <w:t xml:space="preserve">continent, this </w:t>
      </w:r>
      <w:r w:rsidRPr="00705A9C">
        <w:t xml:space="preserve">research </w:t>
      </w:r>
      <w:r w:rsidR="0080658C" w:rsidRPr="00705A9C">
        <w:t xml:space="preserve">controlled for land cover change such as to </w:t>
      </w:r>
      <w:r w:rsidR="0014259D" w:rsidRPr="00705A9C">
        <w:t xml:space="preserve">analyse </w:t>
      </w:r>
      <w:r w:rsidRPr="00705A9C">
        <w:t xml:space="preserve">inter-annual </w:t>
      </w:r>
      <w:r w:rsidR="0014259D" w:rsidRPr="00705A9C">
        <w:t xml:space="preserve">time-series of </w:t>
      </w:r>
      <w:r w:rsidR="00510B26" w:rsidRPr="00705A9C">
        <w:t>LSP</w:t>
      </w:r>
      <w:r w:rsidR="0014259D" w:rsidRPr="00705A9C">
        <w:t xml:space="preserve"> parameters</w:t>
      </w:r>
      <w:r w:rsidR="0080658C" w:rsidRPr="00705A9C">
        <w:t xml:space="preserve"> independent of these effects.</w:t>
      </w:r>
      <w:r w:rsidR="0014259D" w:rsidRPr="00705A9C">
        <w:t xml:space="preserve"> </w:t>
      </w:r>
      <w:r w:rsidR="0080658C" w:rsidRPr="00705A9C">
        <w:t xml:space="preserve">For the purposes of comparison, we also analysed LSP trends for pixels for which </w:t>
      </w:r>
      <w:r w:rsidRPr="00705A9C">
        <w:t xml:space="preserve">the land cover </w:t>
      </w:r>
      <w:r w:rsidR="0014259D" w:rsidRPr="00705A9C">
        <w:t xml:space="preserve">changed. </w:t>
      </w:r>
    </w:p>
    <w:p w14:paraId="7DDD2D99" w14:textId="521543A5" w:rsidR="00694D43" w:rsidRPr="00705A9C" w:rsidRDefault="0080658C" w:rsidP="00200DC8">
      <w:pPr>
        <w:pStyle w:val="Newparagraph"/>
      </w:pPr>
      <w:r w:rsidRPr="00705A9C">
        <w:t xml:space="preserve">When controlling for land cover change, significant </w:t>
      </w:r>
      <w:r w:rsidR="00563EB4" w:rsidRPr="00705A9C">
        <w:t>trends were observed in all groups of pixels</w:t>
      </w:r>
      <w:r w:rsidR="005339F2" w:rsidRPr="00705A9C">
        <w:t>, and an estimated 70% of these trend</w:t>
      </w:r>
      <w:r w:rsidR="009901B2" w:rsidRPr="00705A9C">
        <w:t>s in both SOS and EOS</w:t>
      </w:r>
      <w:r w:rsidR="005339F2" w:rsidRPr="00705A9C">
        <w:t xml:space="preserve"> were signif</w:t>
      </w:r>
      <w:r w:rsidR="000F06A1" w:rsidRPr="00705A9C">
        <w:t>ic</w:t>
      </w:r>
      <w:r w:rsidR="005339F2" w:rsidRPr="00705A9C">
        <w:t>antly</w:t>
      </w:r>
      <w:r w:rsidR="0063438C" w:rsidRPr="00705A9C">
        <w:t xml:space="preserve"> </w:t>
      </w:r>
      <w:proofErr w:type="gramStart"/>
      <w:r w:rsidR="0063438C" w:rsidRPr="00705A9C">
        <w:t>positive</w:t>
      </w:r>
      <w:r w:rsidR="00225B9E" w:rsidRPr="00705A9C">
        <w:t xml:space="preserve">, </w:t>
      </w:r>
      <w:r w:rsidR="009901B2" w:rsidRPr="00705A9C">
        <w:t>that</w:t>
      </w:r>
      <w:proofErr w:type="gramEnd"/>
      <w:r w:rsidR="009901B2" w:rsidRPr="00705A9C">
        <w:t xml:space="preserve"> is, </w:t>
      </w:r>
      <w:r w:rsidR="00201F0A" w:rsidRPr="00705A9C">
        <w:t xml:space="preserve">mostly </w:t>
      </w:r>
      <w:r w:rsidR="00225B9E" w:rsidRPr="00705A9C">
        <w:t>delayed SOS and EOS dates. These occurred more</w:t>
      </w:r>
      <w:r w:rsidR="001C1CE5" w:rsidRPr="00705A9C">
        <w:t xml:space="preserve"> in the </w:t>
      </w:r>
      <w:proofErr w:type="spellStart"/>
      <w:r w:rsidR="00225B9E" w:rsidRPr="00705A9C">
        <w:t>Sudano-Sahelian</w:t>
      </w:r>
      <w:proofErr w:type="spellEnd"/>
      <w:r w:rsidR="00225B9E" w:rsidRPr="00705A9C">
        <w:t xml:space="preserve"> </w:t>
      </w:r>
      <w:r w:rsidR="001C1CE5" w:rsidRPr="00705A9C">
        <w:t xml:space="preserve">and </w:t>
      </w:r>
      <w:proofErr w:type="spellStart"/>
      <w:r w:rsidR="00225B9E" w:rsidRPr="00705A9C">
        <w:t>Sudanian</w:t>
      </w:r>
      <w:proofErr w:type="spellEnd"/>
      <w:r w:rsidR="001C1CE5" w:rsidRPr="00705A9C">
        <w:t xml:space="preserve"> region</w:t>
      </w:r>
      <w:r w:rsidRPr="00705A9C">
        <w:t>s</w:t>
      </w:r>
      <w:r w:rsidR="001C1CE5" w:rsidRPr="00705A9C">
        <w:t xml:space="preserve"> of Africa. </w:t>
      </w:r>
      <w:r w:rsidRPr="00705A9C">
        <w:t>Importantly,</w:t>
      </w:r>
      <w:r w:rsidR="00563EB4" w:rsidRPr="00705A9C">
        <w:t xml:space="preserve"> t</w:t>
      </w:r>
      <w:r w:rsidR="001D4A50" w:rsidRPr="00705A9C">
        <w:t>he</w:t>
      </w:r>
      <w:r w:rsidR="00D87682" w:rsidRPr="00705A9C">
        <w:t xml:space="preserve"> land cover change</w:t>
      </w:r>
      <w:r w:rsidR="00BB3102" w:rsidRPr="00705A9C">
        <w:t>s</w:t>
      </w:r>
      <w:r w:rsidR="00D87682" w:rsidRPr="00705A9C">
        <w:t xml:space="preserve"> </w:t>
      </w:r>
      <w:r w:rsidR="0014259D" w:rsidRPr="00705A9C">
        <w:t xml:space="preserve">significantly </w:t>
      </w:r>
      <w:r w:rsidR="00BB3102" w:rsidRPr="00705A9C">
        <w:t>affect</w:t>
      </w:r>
      <w:r w:rsidR="00413077" w:rsidRPr="00705A9C">
        <w:t>ed</w:t>
      </w:r>
      <w:r w:rsidR="001D4A50" w:rsidRPr="00705A9C">
        <w:t xml:space="preserve"> the</w:t>
      </w:r>
      <w:r w:rsidR="0014259D" w:rsidRPr="00705A9C">
        <w:t xml:space="preserve"> </w:t>
      </w:r>
      <w:r w:rsidR="00510B26" w:rsidRPr="00705A9C">
        <w:t>LSP</w:t>
      </w:r>
      <w:r w:rsidR="0014259D" w:rsidRPr="00705A9C">
        <w:t xml:space="preserve"> trends</w:t>
      </w:r>
      <w:r w:rsidRPr="00705A9C">
        <w:t>; larger</w:t>
      </w:r>
      <w:r w:rsidR="0063438C" w:rsidRPr="00705A9C">
        <w:t xml:space="preserve"> trend</w:t>
      </w:r>
      <w:r w:rsidRPr="00705A9C">
        <w:t xml:space="preserve">s were observed </w:t>
      </w:r>
      <w:r w:rsidR="0063438C" w:rsidRPr="00705A9C">
        <w:t xml:space="preserve">in the </w:t>
      </w:r>
      <w:r w:rsidRPr="00705A9C">
        <w:t xml:space="preserve">“changed” </w:t>
      </w:r>
      <w:r w:rsidR="0063438C" w:rsidRPr="00705A9C">
        <w:t xml:space="preserve">land cover groups. </w:t>
      </w:r>
      <w:r w:rsidRPr="00705A9C">
        <w:t>I</w:t>
      </w:r>
      <w:r w:rsidR="0014518C" w:rsidRPr="00705A9C">
        <w:t xml:space="preserve">f </w:t>
      </w:r>
      <w:r w:rsidR="000F179F" w:rsidRPr="00705A9C">
        <w:t xml:space="preserve">these </w:t>
      </w:r>
      <w:r w:rsidR="0014518C" w:rsidRPr="00705A9C">
        <w:t xml:space="preserve">land cover changes were not controlled for in </w:t>
      </w:r>
      <w:r w:rsidRPr="00705A9C">
        <w:t xml:space="preserve">the </w:t>
      </w:r>
      <w:r w:rsidR="0014518C" w:rsidRPr="00705A9C">
        <w:t xml:space="preserve">LSP trend analysis, </w:t>
      </w:r>
      <w:r w:rsidR="000F179F" w:rsidRPr="00705A9C">
        <w:t xml:space="preserve">some </w:t>
      </w:r>
      <w:r w:rsidRPr="00705A9C">
        <w:t xml:space="preserve">of the reported </w:t>
      </w:r>
      <w:r w:rsidR="000F179F" w:rsidRPr="00705A9C">
        <w:t>trend</w:t>
      </w:r>
      <w:r w:rsidRPr="00705A9C">
        <w:t>s</w:t>
      </w:r>
      <w:r w:rsidR="000F179F" w:rsidRPr="00705A9C">
        <w:t xml:space="preserve"> would have been </w:t>
      </w:r>
      <w:r w:rsidRPr="00705A9C">
        <w:t xml:space="preserve">erroneously </w:t>
      </w:r>
      <w:r w:rsidR="000F179F" w:rsidRPr="00705A9C">
        <w:t xml:space="preserve">significantly </w:t>
      </w:r>
      <w:r w:rsidRPr="00705A9C">
        <w:t>larger</w:t>
      </w:r>
      <w:r w:rsidR="000F179F" w:rsidRPr="00705A9C">
        <w:t xml:space="preserve">. </w:t>
      </w:r>
      <w:r w:rsidR="00BB3102" w:rsidRPr="00705A9C">
        <w:t>Based on the</w:t>
      </w:r>
      <w:r w:rsidR="001D4A50" w:rsidRPr="00705A9C">
        <w:t>se</w:t>
      </w:r>
      <w:r w:rsidR="00BB3102" w:rsidRPr="00705A9C">
        <w:t xml:space="preserve"> </w:t>
      </w:r>
      <w:r w:rsidR="00BB3102" w:rsidRPr="00705A9C">
        <w:lastRenderedPageBreak/>
        <w:t xml:space="preserve">results, we </w:t>
      </w:r>
      <w:r w:rsidR="00D87682" w:rsidRPr="00705A9C">
        <w:t xml:space="preserve">suggest that </w:t>
      </w:r>
      <w:r w:rsidR="00BB3102" w:rsidRPr="00705A9C">
        <w:t xml:space="preserve">future </w:t>
      </w:r>
      <w:r w:rsidR="001D4A50" w:rsidRPr="00705A9C">
        <w:t>analyses</w:t>
      </w:r>
      <w:r w:rsidR="00BB3102" w:rsidRPr="00705A9C">
        <w:t xml:space="preserve"> </w:t>
      </w:r>
      <w:r w:rsidR="001D4A50" w:rsidRPr="00705A9C">
        <w:t xml:space="preserve">of </w:t>
      </w:r>
      <w:r w:rsidR="00510B26" w:rsidRPr="00705A9C">
        <w:t>LSP</w:t>
      </w:r>
      <w:r w:rsidR="00BB3102" w:rsidRPr="00705A9C">
        <w:t xml:space="preserve"> trend</w:t>
      </w:r>
      <w:r w:rsidR="001D4A50" w:rsidRPr="00705A9C">
        <w:t>s</w:t>
      </w:r>
      <w:r w:rsidR="00BB3102" w:rsidRPr="00705A9C">
        <w:t xml:space="preserve"> should </w:t>
      </w:r>
      <w:r w:rsidRPr="00705A9C">
        <w:t xml:space="preserve">control for </w:t>
      </w:r>
      <w:r w:rsidR="00BB3102" w:rsidRPr="00705A9C">
        <w:t xml:space="preserve">land cover changes </w:t>
      </w:r>
      <w:r w:rsidR="001D4A50" w:rsidRPr="00705A9C">
        <w:t xml:space="preserve">such </w:t>
      </w:r>
      <w:r w:rsidR="00BB3102" w:rsidRPr="00705A9C">
        <w:t xml:space="preserve">as </w:t>
      </w:r>
      <w:r w:rsidR="00D87682" w:rsidRPr="00705A9C">
        <w:t xml:space="preserve">to </w:t>
      </w:r>
      <w:r w:rsidR="001D4A50" w:rsidRPr="00705A9C">
        <w:t>isolate those</w:t>
      </w:r>
      <w:r w:rsidR="00D87682" w:rsidRPr="00705A9C">
        <w:t xml:space="preserve"> </w:t>
      </w:r>
      <w:r w:rsidR="00510B26" w:rsidRPr="00705A9C">
        <w:t>LSP</w:t>
      </w:r>
      <w:r w:rsidR="00577E52" w:rsidRPr="00705A9C">
        <w:t xml:space="preserve"> trend</w:t>
      </w:r>
      <w:r w:rsidR="001D4A50" w:rsidRPr="00705A9C">
        <w:t>s</w:t>
      </w:r>
      <w:r w:rsidR="00D87682" w:rsidRPr="00705A9C">
        <w:t xml:space="preserve"> </w:t>
      </w:r>
      <w:r w:rsidR="005D6BC0" w:rsidRPr="00705A9C">
        <w:t xml:space="preserve">that </w:t>
      </w:r>
      <w:r w:rsidR="00D87682" w:rsidRPr="00705A9C">
        <w:t>a</w:t>
      </w:r>
      <w:r w:rsidR="00577E52" w:rsidRPr="00705A9C">
        <w:t>re</w:t>
      </w:r>
      <w:r w:rsidR="00306A51" w:rsidRPr="00705A9C">
        <w:t xml:space="preserve"> solely </w:t>
      </w:r>
      <w:r w:rsidR="005D6BC0" w:rsidRPr="00705A9C">
        <w:t>climate-</w:t>
      </w:r>
      <w:r w:rsidR="00306A51" w:rsidRPr="00705A9C">
        <w:t>driven and/or</w:t>
      </w:r>
      <w:r w:rsidR="00D87682" w:rsidRPr="00705A9C">
        <w:t xml:space="preserve"> </w:t>
      </w:r>
      <w:r w:rsidR="00BB3102" w:rsidRPr="00705A9C">
        <w:t>those</w:t>
      </w:r>
      <w:r w:rsidR="00D87682" w:rsidRPr="00705A9C">
        <w:t xml:space="preserve"> influenced by other anthropogenic activities</w:t>
      </w:r>
      <w:r w:rsidR="0053655D" w:rsidRPr="00705A9C">
        <w:t xml:space="preserve"> or </w:t>
      </w:r>
      <w:r w:rsidR="005D6BC0" w:rsidRPr="00705A9C">
        <w:t xml:space="preserve">a </w:t>
      </w:r>
      <w:r w:rsidR="0053655D" w:rsidRPr="00705A9C">
        <w:t>combination of both</w:t>
      </w:r>
      <w:r w:rsidR="00D87682" w:rsidRPr="00705A9C">
        <w:t>.</w:t>
      </w:r>
      <w:r w:rsidR="00837A78" w:rsidRPr="00705A9C">
        <w:t xml:space="preserve"> </w:t>
      </w:r>
      <w:r w:rsidR="00CF6DCA" w:rsidRPr="00705A9C">
        <w:t xml:space="preserve"> </w:t>
      </w:r>
    </w:p>
    <w:p w14:paraId="303D4A5E" w14:textId="77777777" w:rsidR="009E6B62" w:rsidRPr="00705A9C" w:rsidRDefault="009E6B62" w:rsidP="008573DB"/>
    <w:p w14:paraId="6B4BB81C" w14:textId="77777777" w:rsidR="001C4A91" w:rsidRPr="00705A9C" w:rsidRDefault="001C4A91" w:rsidP="00200DC8">
      <w:pPr>
        <w:pStyle w:val="Acknowledgements"/>
      </w:pPr>
      <w:r w:rsidRPr="00705A9C">
        <w:t>Acknowledgments</w:t>
      </w:r>
    </w:p>
    <w:p w14:paraId="71F9BA3B" w14:textId="2587DFB9" w:rsidR="00640D77" w:rsidRPr="00705A9C" w:rsidRDefault="001C4A91" w:rsidP="00200DC8">
      <w:pPr>
        <w:pStyle w:val="Acknowledgements"/>
      </w:pPr>
      <w:r w:rsidRPr="00705A9C">
        <w:t xml:space="preserve">The authors would like to thank the Commonwealth Scholarship Commission in the UK for funding and support provided to Tracy Adole.  </w:t>
      </w:r>
      <w:r w:rsidR="00540FCC" w:rsidRPr="00705A9C">
        <w:t xml:space="preserve">The author would also like to acknowledge </w:t>
      </w:r>
      <w:r w:rsidR="006534B7" w:rsidRPr="00705A9C">
        <w:t xml:space="preserve">the NASA EOSDIS Land Processes Distributed Active Archive Center (LP DAAC) were the MODIS data were acquired, </w:t>
      </w:r>
      <w:r w:rsidR="00540FCC" w:rsidRPr="00705A9C">
        <w:t xml:space="preserve">and the two </w:t>
      </w:r>
      <w:r w:rsidR="006534B7" w:rsidRPr="00705A9C">
        <w:t>anonymous reviewers</w:t>
      </w:r>
      <w:r w:rsidR="00714A1F" w:rsidRPr="00705A9C">
        <w:t xml:space="preserve"> for their constructive criticism. </w:t>
      </w:r>
      <w:r w:rsidR="00503C34" w:rsidRPr="00705A9C">
        <w:br w:type="page"/>
      </w:r>
    </w:p>
    <w:p w14:paraId="1ABF061D" w14:textId="77777777" w:rsidR="00CE4E3B" w:rsidRPr="00705A9C" w:rsidRDefault="00CE4E3B" w:rsidP="00200DC8">
      <w:pPr>
        <w:pStyle w:val="References"/>
        <w:rPr>
          <w:b/>
        </w:rPr>
      </w:pPr>
      <w:r w:rsidRPr="00705A9C">
        <w:rPr>
          <w:b/>
        </w:rPr>
        <w:lastRenderedPageBreak/>
        <w:t>Reference</w:t>
      </w:r>
    </w:p>
    <w:p w14:paraId="2457923C" w14:textId="1A225D00" w:rsidR="006F4E7F" w:rsidRPr="006F4E7F" w:rsidRDefault="00CE4E3B" w:rsidP="006F4E7F">
      <w:pPr>
        <w:widowControl w:val="0"/>
        <w:autoSpaceDE w:val="0"/>
        <w:autoSpaceDN w:val="0"/>
        <w:adjustRightInd w:val="0"/>
        <w:spacing w:before="120" w:line="360" w:lineRule="auto"/>
        <w:ind w:left="480" w:hanging="480"/>
        <w:rPr>
          <w:noProof/>
        </w:rPr>
      </w:pPr>
      <w:r w:rsidRPr="00705A9C">
        <w:fldChar w:fldCharType="begin" w:fldLock="1"/>
      </w:r>
      <w:r w:rsidRPr="00705A9C">
        <w:instrText xml:space="preserve">ADDIN Mendeley Bibliography CSL_BIBLIOGRAPHY </w:instrText>
      </w:r>
      <w:r w:rsidRPr="00705A9C">
        <w:fldChar w:fldCharType="separate"/>
      </w:r>
      <w:bookmarkStart w:id="6" w:name="_GoBack"/>
      <w:bookmarkEnd w:id="6"/>
      <w:r w:rsidR="006F4E7F" w:rsidRPr="006F4E7F">
        <w:rPr>
          <w:noProof/>
        </w:rPr>
        <w:t xml:space="preserve">Adole, Tracy, Jadu Dash, and Peter M. Atkinson. 2016. “A Systematic Review of Vegetation Phenology in Africa.” </w:t>
      </w:r>
      <w:r w:rsidR="006F4E7F" w:rsidRPr="006F4E7F">
        <w:rPr>
          <w:i/>
          <w:iCs/>
          <w:noProof/>
        </w:rPr>
        <w:t>Ecological Informatics</w:t>
      </w:r>
      <w:r w:rsidR="006F4E7F" w:rsidRPr="006F4E7F">
        <w:rPr>
          <w:noProof/>
        </w:rPr>
        <w:t xml:space="preserve"> 34. Elsevier B.V.: 117–28. https://doi.org/10.1016/j.ecoinf.2016.05.004.</w:t>
      </w:r>
    </w:p>
    <w:p w14:paraId="4E91D77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Bai, Ling. 2010. “Comparison and Validation of Five Land Cover Products over the African Continent.” Lund University. https://doi.org/1969905.</w:t>
      </w:r>
    </w:p>
    <w:p w14:paraId="4C031B1D"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Begue, Agnes, Elodie Vintrou, Alexandre Saad, and Pierre Hiernaux. 2014. “Differences between Cropland and Rangeland MODIS Phenology (Start-of-Season) in Mali.” </w:t>
      </w:r>
      <w:r w:rsidRPr="006F4E7F">
        <w:rPr>
          <w:i/>
          <w:iCs/>
          <w:noProof/>
        </w:rPr>
        <w:t>International Journal of Applied Earth Observation and Geoinformation</w:t>
      </w:r>
      <w:r w:rsidRPr="006F4E7F">
        <w:rPr>
          <w:noProof/>
        </w:rPr>
        <w:t xml:space="preserve"> 31 (1). Elsevier B.V.: 167–70. https://doi.org/10.1016/j.jag.2014.03.024.</w:t>
      </w:r>
    </w:p>
    <w:p w14:paraId="2E33F430"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Beurs, Kirsten M. de, and Geoffrey M. Henebry. 2005. “Land Surface Phenology and Temperature Variation in the International Geosphere-Biosphere Program High-Latitude Transects.” </w:t>
      </w:r>
      <w:r w:rsidRPr="006F4E7F">
        <w:rPr>
          <w:i/>
          <w:iCs/>
          <w:noProof/>
        </w:rPr>
        <w:t>Global Change Biology</w:t>
      </w:r>
      <w:r w:rsidRPr="006F4E7F">
        <w:rPr>
          <w:noProof/>
        </w:rPr>
        <w:t xml:space="preserve"> 11 (5): 779–90. https://doi.org/10.1111/j.1365-2486.2005.00949.x.</w:t>
      </w:r>
    </w:p>
    <w:p w14:paraId="1A2BA850"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Bontemps, S., M. Herold, L. Kooistra, A. Van Groenestijn, A. Hartley, O. Arino, I. Moreau, and P. Defourny. 2012. “Revisiting Land Cover Observation to Address the Needs of the Climate Modeling Community.” </w:t>
      </w:r>
      <w:r w:rsidRPr="006F4E7F">
        <w:rPr>
          <w:i/>
          <w:iCs/>
          <w:noProof/>
        </w:rPr>
        <w:t>Biogeosciences</w:t>
      </w:r>
      <w:r w:rsidRPr="006F4E7F">
        <w:rPr>
          <w:noProof/>
        </w:rPr>
        <w:t xml:space="preserve"> 9 (6): 2145–57. https://doi.org/10.5194/bg-9-2145-2012.</w:t>
      </w:r>
    </w:p>
    <w:p w14:paraId="17E4B47F"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Dash, J., C. Jeganathan, and P. M. Atkinson. 2010. “The Use of MERIS Terrestrial Chlorophyll Index to Study Spatio-Temporal Variation in Vegetation Phenology over India.” </w:t>
      </w:r>
      <w:r w:rsidRPr="006F4E7F">
        <w:rPr>
          <w:i/>
          <w:iCs/>
          <w:noProof/>
        </w:rPr>
        <w:t>Remote Sensing of Environment</w:t>
      </w:r>
      <w:r w:rsidRPr="006F4E7F">
        <w:rPr>
          <w:noProof/>
        </w:rPr>
        <w:t xml:space="preserve"> 114 (7). Elsevier Inc.: 1388–1402. https://doi.org/10.1016/j.rse.2010.01.021.</w:t>
      </w:r>
    </w:p>
    <w:p w14:paraId="3BED1ECA"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Delbart, Nicolas, Laurent Kergoat, Thuy Le Toan, Julien Lhermitte, and Ghislain Picard. 2005. “Determination of Phenological Dates in Boreal Regions Using Normalized Difference Water Index.” </w:t>
      </w:r>
      <w:r w:rsidRPr="006F4E7F">
        <w:rPr>
          <w:i/>
          <w:iCs/>
          <w:noProof/>
        </w:rPr>
        <w:t>Remote Sensing of Environment</w:t>
      </w:r>
      <w:r w:rsidRPr="006F4E7F">
        <w:rPr>
          <w:noProof/>
        </w:rPr>
        <w:t xml:space="preserve"> 97: 26–38. https://doi.org/10.1016/j.rse.2005.03.011.</w:t>
      </w:r>
    </w:p>
    <w:p w14:paraId="12C2FD2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Eklundh, Lars. 2003. “Vegetation Index Trends for the African Sahel 1982–1999.” </w:t>
      </w:r>
      <w:r w:rsidRPr="006F4E7F">
        <w:rPr>
          <w:i/>
          <w:iCs/>
          <w:noProof/>
        </w:rPr>
        <w:t>Geophysical Research Letters</w:t>
      </w:r>
      <w:r w:rsidRPr="006F4E7F">
        <w:rPr>
          <w:noProof/>
        </w:rPr>
        <w:t xml:space="preserve"> 30 (8): 1–4. https://doi.org/10.1029/2002GL016772.</w:t>
      </w:r>
    </w:p>
    <w:p w14:paraId="5D75BB58"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Friedl, M H, G M Henebry, B C Reed, A Huete, M a White, J Morisette, R R Nemani, X Zhang, R B Myneni, and M Friedl. 2006. “Land Surface Phenology.” </w:t>
      </w:r>
      <w:r w:rsidRPr="006F4E7F">
        <w:rPr>
          <w:i/>
          <w:iCs/>
          <w:noProof/>
        </w:rPr>
        <w:t>A Community White Paper Requested by NASA</w:t>
      </w:r>
      <w:r w:rsidRPr="006F4E7F">
        <w:rPr>
          <w:noProof/>
        </w:rPr>
        <w:t xml:space="preserve"> April 10. </w:t>
      </w:r>
      <w:r w:rsidRPr="006F4E7F">
        <w:rPr>
          <w:noProof/>
        </w:rPr>
        <w:lastRenderedPageBreak/>
        <w:t>ftp://ftp.iluci.org/Land_ESDR/Phenology_Friedl_whitepaper.pdf.</w:t>
      </w:r>
    </w:p>
    <w:p w14:paraId="08A10F71"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Friedl, Mark A., Damien Sulla-Menashe, Bin Tan, Annemarie Schneider, Navin Ramankutty, Adam Sibley, and Xiaoman Huang. 2010. “MODIS Collection 5 Global Land Cover: Algorithm Refinements and Characterization of New Datasets.” </w:t>
      </w:r>
      <w:r w:rsidRPr="006F4E7F">
        <w:rPr>
          <w:i/>
          <w:iCs/>
          <w:noProof/>
        </w:rPr>
        <w:t>Remote Sensing of Environment</w:t>
      </w:r>
      <w:r w:rsidRPr="006F4E7F">
        <w:rPr>
          <w:noProof/>
        </w:rPr>
        <w:t xml:space="preserve"> 114 (1): 168–82. https://doi.org/10.1016/j.rse.2009.08.016.</w:t>
      </w:r>
    </w:p>
    <w:p w14:paraId="25DA07D1"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Garonna, I., R. De Jong, and M.E. Schaepman. 2016. “Variability and Evolution of Global Land Surface Phenology over the Past Three Decades.” </w:t>
      </w:r>
      <w:r w:rsidRPr="006F4E7F">
        <w:rPr>
          <w:i/>
          <w:iCs/>
          <w:noProof/>
        </w:rPr>
        <w:t>Global Change Biology</w:t>
      </w:r>
      <w:r w:rsidRPr="006F4E7F">
        <w:rPr>
          <w:noProof/>
        </w:rPr>
        <w:t>, no. October 2015: 1456–68. https://doi.org/10.1111/gcb.13168.</w:t>
      </w:r>
    </w:p>
    <w:p w14:paraId="386AA56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Giri, C., B. Pengra, J. Long, and T.R. Loveland. 2013. “Next Generation of Global Land Cover Characterization, Mapping, and Monitoring.” </w:t>
      </w:r>
      <w:r w:rsidRPr="006F4E7F">
        <w:rPr>
          <w:i/>
          <w:iCs/>
          <w:noProof/>
        </w:rPr>
        <w:t>International Journal of Applied Earth Observation and Geoinformation</w:t>
      </w:r>
      <w:r w:rsidRPr="006F4E7F">
        <w:rPr>
          <w:noProof/>
        </w:rPr>
        <w:t xml:space="preserve"> 25 (December). Elsevier: 30–37. https://doi.org/10.1016/J.JAG.2013.03.005.</w:t>
      </w:r>
    </w:p>
    <w:p w14:paraId="6E576CE0"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Guan, Kaiyu, Eric F. Wood, David Medvigy, John Kimball, Kelly K. Caylor Ming Pan, Justin Sheffield, Xiangtao Xu, and Matthew O. Jones. 2014. “Terrestrial Hydrological Controls on Land Surface Phenology of African Savannas and Woodlands.” </w:t>
      </w:r>
      <w:r w:rsidRPr="006F4E7F">
        <w:rPr>
          <w:i/>
          <w:iCs/>
          <w:noProof/>
        </w:rPr>
        <w:t>Journal of Geophysical Research Biogeosciences</w:t>
      </w:r>
      <w:r w:rsidRPr="006F4E7F">
        <w:rPr>
          <w:noProof/>
        </w:rPr>
        <w:t xml:space="preserve"> 119: 1652–69. https://doi.org/10.1002/2013JG002572.Received.</w:t>
      </w:r>
    </w:p>
    <w:p w14:paraId="2AF8CA2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He, Yaqian, Eungul Lee, and Timothy A. Warner. 2017. “A Time Series of Annual Land Use and Land Cover Maps of China from 1982 to 2013 Generated Using AVHRR GIMMS NDVI3g Data.” </w:t>
      </w:r>
      <w:r w:rsidRPr="006F4E7F">
        <w:rPr>
          <w:i/>
          <w:iCs/>
          <w:noProof/>
        </w:rPr>
        <w:t>Remote Sensing of Environment</w:t>
      </w:r>
      <w:r w:rsidRPr="006F4E7F">
        <w:rPr>
          <w:noProof/>
        </w:rPr>
        <w:t xml:space="preserve"> 199 (September). Elsevier: 201–17. https://doi.org/10.1016/J.RSE.2017.07.010.</w:t>
      </w:r>
    </w:p>
    <w:p w14:paraId="256F3E77"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Herrmann, Stefanie M., Assaf Anyamba, and Compton J. Tucker. 2005. “Recent Trends in Vegetation Dynamics in the African Sahel and Their Relationship to Climate.” </w:t>
      </w:r>
      <w:r w:rsidRPr="006F4E7F">
        <w:rPr>
          <w:i/>
          <w:iCs/>
          <w:noProof/>
        </w:rPr>
        <w:t>Global Environmental Change</w:t>
      </w:r>
      <w:r w:rsidRPr="006F4E7F">
        <w:rPr>
          <w:noProof/>
        </w:rPr>
        <w:t xml:space="preserve"> 15: 394–404. https://doi.org/10.1016/j.gloenvcha.2005.08.004.</w:t>
      </w:r>
    </w:p>
    <w:p w14:paraId="37BC12FA"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Heumann, B. W., J. W. Seaquist, L. Eklundh, and P. Jönsson. 2007. “AVHRR Derived Phenological Change in the Sahel and Soudan, Africa, 1982-2005.” </w:t>
      </w:r>
      <w:r w:rsidRPr="006F4E7F">
        <w:rPr>
          <w:i/>
          <w:iCs/>
          <w:noProof/>
        </w:rPr>
        <w:t>Remote Sensing of Environment</w:t>
      </w:r>
      <w:r w:rsidRPr="006F4E7F">
        <w:rPr>
          <w:noProof/>
        </w:rPr>
        <w:t xml:space="preserve"> 108: 385–92. https://doi.org/10.1016/j.rse.2006.11.025.</w:t>
      </w:r>
    </w:p>
    <w:p w14:paraId="4530E00E"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Hoscilo, A., H. Balzter, E. Bartholomé, M. Boschetti, P. A. Brivio, A. Brink, M. Clerici, and J. F. Pekel. 2015. “A Conceptual Model for Assessing Rainfall and Vegetation Trends in Sub-Saharan Africa from Satellite Data.” </w:t>
      </w:r>
      <w:r w:rsidRPr="006F4E7F">
        <w:rPr>
          <w:i/>
          <w:iCs/>
          <w:noProof/>
        </w:rPr>
        <w:t>International Journal of Climatology</w:t>
      </w:r>
      <w:r w:rsidRPr="006F4E7F">
        <w:rPr>
          <w:noProof/>
        </w:rPr>
        <w:t xml:space="preserve"> 35 (12): 3582–3592. https://doi.org/10.1002/joc.4231.</w:t>
      </w:r>
    </w:p>
    <w:p w14:paraId="7F104DC0"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lastRenderedPageBreak/>
        <w:t xml:space="preserve">Huete, A, K Didan, T Miura, E.P Rodriguez, X Gao, and L.G Ferreira. 2002. “Overview of the Radiometric and Biophysical Performance of the MODIS Vegetation Indices.” </w:t>
      </w:r>
      <w:r w:rsidRPr="006F4E7F">
        <w:rPr>
          <w:i/>
          <w:iCs/>
          <w:noProof/>
        </w:rPr>
        <w:t>Remote Sensing of Environment</w:t>
      </w:r>
      <w:r w:rsidRPr="006F4E7F">
        <w:rPr>
          <w:noProof/>
        </w:rPr>
        <w:t xml:space="preserve"> 83 (1–2): 195–213. https://doi.org/10.1016/S0034-4257(02)00096-2.</w:t>
      </w:r>
    </w:p>
    <w:p w14:paraId="2F83C8B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IPCC. 2014. </w:t>
      </w:r>
      <w:r w:rsidRPr="006F4E7F">
        <w:rPr>
          <w:i/>
          <w:iCs/>
          <w:noProof/>
        </w:rPr>
        <w:t>Climate Change 2014: Impacts, Adaptation, and Vulnerability. Part A: Global and Sectoral Aspects. Contribution of Working Group II to the Fifth Assessment Report of the Intergovernmental Panel on Climate Change</w:t>
      </w:r>
      <w:r w:rsidRPr="006F4E7F">
        <w:rPr>
          <w:noProof/>
        </w:rPr>
        <w:t xml:space="preserve">. Edited by C.B. Field, V.R. Barros, D.J. Dokken, K.J. Mach, M.D. Mastrandrea, T.E. Bilir, M. Chatterjee, et al. </w:t>
      </w:r>
      <w:r w:rsidRPr="006F4E7F">
        <w:rPr>
          <w:i/>
          <w:iCs/>
          <w:noProof/>
        </w:rPr>
        <w:t>Climate Change 2014: Impacts, Adaptation, and Vulnerability</w:t>
      </w:r>
      <w:r w:rsidRPr="006F4E7F">
        <w:rPr>
          <w:noProof/>
        </w:rPr>
        <w:t>. Cambridge University Press, Cambridge, United Kingdom and New York, NY, USA,1132pp.</w:t>
      </w:r>
    </w:p>
    <w:p w14:paraId="6DB71793"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Ivits, E., M. Cherlet, G. Tóth, S. Sommer, W. Mehl, J. Vogt, and F. Micale. 2012. “Combining Satellite Derived Phenology with Climate Data for Climate Change Impact Assessment.” </w:t>
      </w:r>
      <w:r w:rsidRPr="006F4E7F">
        <w:rPr>
          <w:i/>
          <w:iCs/>
          <w:noProof/>
        </w:rPr>
        <w:t>Global and Planetary Change</w:t>
      </w:r>
      <w:r w:rsidRPr="006F4E7F">
        <w:rPr>
          <w:noProof/>
        </w:rPr>
        <w:t xml:space="preserve"> 88–89. Elsevier B.V.: 85–97. https://doi.org/10.1016/j.gloplacha.2012.03.010.</w:t>
      </w:r>
    </w:p>
    <w:p w14:paraId="2410441C"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Jeganathan, C., J. Dash, and P. M. Atkinson. 2014. “Remotely Sensed Trends in the Phenology of Northern High Latitude Terrestrial Vegetation, Controlling for Land Cover Change and Vegetation Type.” </w:t>
      </w:r>
      <w:r w:rsidRPr="006F4E7F">
        <w:rPr>
          <w:i/>
          <w:iCs/>
          <w:noProof/>
        </w:rPr>
        <w:t>Remote Sensing of Environment</w:t>
      </w:r>
      <w:r w:rsidRPr="006F4E7F">
        <w:rPr>
          <w:noProof/>
        </w:rPr>
        <w:t xml:space="preserve"> 143. Elsevier Inc.: 154–70. https://doi.org/10.1016/j.rse.2013.11.020.</w:t>
      </w:r>
    </w:p>
    <w:p w14:paraId="1F11BA9E"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Jeong, SU-JONG, CHANG-HOI Ho, HYEON-JU Gim, and MOLLY E. Brown. 2011. “Phenology Shifts at Start vs. End of Growing Season in Temperate Vegetation over the Northern Hemisphere for the Period 1982-2008.” </w:t>
      </w:r>
      <w:r w:rsidRPr="006F4E7F">
        <w:rPr>
          <w:i/>
          <w:iCs/>
          <w:noProof/>
        </w:rPr>
        <w:t>Global Change Biology</w:t>
      </w:r>
      <w:r w:rsidRPr="006F4E7F">
        <w:rPr>
          <w:noProof/>
        </w:rPr>
        <w:t xml:space="preserve"> 17 (7): 2385–99. https://doi.org/10.1111/j.1365-2486.2011.02397.x.</w:t>
      </w:r>
    </w:p>
    <w:p w14:paraId="06310E14"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Julien, Y., and J. a. Sobrino. 2009. “Global Land Surface Phenology Trends from GIMMS Database.” </w:t>
      </w:r>
      <w:r w:rsidRPr="006F4E7F">
        <w:rPr>
          <w:i/>
          <w:iCs/>
          <w:noProof/>
        </w:rPr>
        <w:t>International Journal of Remote Sensing</w:t>
      </w:r>
      <w:r w:rsidRPr="006F4E7F">
        <w:rPr>
          <w:noProof/>
        </w:rPr>
        <w:t xml:space="preserve"> 30 (13): 3495–3513. https://doi.org/10.1080/01431160802562255.</w:t>
      </w:r>
    </w:p>
    <w:p w14:paraId="22F5BE1B"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Krishnaswamy, Jagdish, Robert John, and Shijo Joseph. 2014. “Consistent Response of Vegetation Dynamics to Recent Climate Change in Tropical Mountain Regions.” </w:t>
      </w:r>
      <w:r w:rsidRPr="006F4E7F">
        <w:rPr>
          <w:i/>
          <w:iCs/>
          <w:noProof/>
        </w:rPr>
        <w:t>Global Change Biology</w:t>
      </w:r>
      <w:r w:rsidRPr="006F4E7F">
        <w:rPr>
          <w:noProof/>
        </w:rPr>
        <w:t xml:space="preserve"> 20 (1): 203–15. https://doi.org/10.1111/gcb.12362.</w:t>
      </w:r>
    </w:p>
    <w:p w14:paraId="488AC50F"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Liu, Qiang, Yongshuo H. Fu, Zaichun Zhu, Yongwen Liu, Zhuo Liu, Mengtian Huang, Ivan A. Janssens, and Shilong Piao. 2016. “Delayed Autumn Phenology in the Northern Hemisphere Is Related to Change in Both Climate and Spring Phenology.” </w:t>
      </w:r>
      <w:r w:rsidRPr="006F4E7F">
        <w:rPr>
          <w:i/>
          <w:iCs/>
          <w:noProof/>
        </w:rPr>
        <w:t xml:space="preserve">Global </w:t>
      </w:r>
      <w:r w:rsidRPr="006F4E7F">
        <w:rPr>
          <w:i/>
          <w:iCs/>
          <w:noProof/>
        </w:rPr>
        <w:lastRenderedPageBreak/>
        <w:t>Change Biology</w:t>
      </w:r>
      <w:r w:rsidRPr="006F4E7F">
        <w:rPr>
          <w:noProof/>
        </w:rPr>
        <w:t>. https://doi.org/10.1111/gcb.13311.</w:t>
      </w:r>
    </w:p>
    <w:p w14:paraId="0EB6B395"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Martínez, B., M. a. Gilabert, F. J. García-Haro, a. Faye, and J. Meliá. 2011. “Characterizing Land Condition Variability in Ferlo, Senegal (2001-2009) Using Multi-Temporal 1-Km Apparent Green Cover (AGC) SPOT Vegetation Data.” </w:t>
      </w:r>
      <w:r w:rsidRPr="006F4E7F">
        <w:rPr>
          <w:i/>
          <w:iCs/>
          <w:noProof/>
        </w:rPr>
        <w:t>Global and Planetary Change</w:t>
      </w:r>
      <w:r w:rsidRPr="006F4E7F">
        <w:rPr>
          <w:noProof/>
        </w:rPr>
        <w:t xml:space="preserve"> 76 (3–4). Elsevier B.V.: 152–65. https://doi.org/10.1016/j.gloplacha.2011.01.001.</w:t>
      </w:r>
    </w:p>
    <w:p w14:paraId="12141A85"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“MODIS Land Products Quality Assurance Tutorial: Part-3 How to Interpret and Use MODIS QA Information in the Land Surface Reflectance Product Suite.” 2016. 2016. https://lpdaac.usgs.gov/sites/default/files/public/modis/docs/MODIS_LP_QA_Tutorial-3.pdf.</w:t>
      </w:r>
    </w:p>
    <w:p w14:paraId="284A2D6B"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Myneni, R. B., C. D. Keeling, C. J. Tucker, G. Asrar, and R. R. Nemani. 1997. “Increased Plant Growth in the Northern Latitudes from 1981–1991.” </w:t>
      </w:r>
      <w:r w:rsidRPr="006F4E7F">
        <w:rPr>
          <w:i/>
          <w:iCs/>
          <w:noProof/>
        </w:rPr>
        <w:t>Nature</w:t>
      </w:r>
      <w:r w:rsidRPr="006F4E7F">
        <w:rPr>
          <w:noProof/>
        </w:rPr>
        <w:t xml:space="preserve"> 386: 698–702.</w:t>
      </w:r>
    </w:p>
    <w:p w14:paraId="40BD3830"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Olsson, L., L. Eklundh, and J. Ardö. 2005. “A Recent Greening of the Sahel—trends, Patterns and Potential Causes.” </w:t>
      </w:r>
      <w:r w:rsidRPr="006F4E7F">
        <w:rPr>
          <w:i/>
          <w:iCs/>
          <w:noProof/>
        </w:rPr>
        <w:t>Journal of Arid Environments</w:t>
      </w:r>
      <w:r w:rsidRPr="006F4E7F">
        <w:rPr>
          <w:noProof/>
        </w:rPr>
        <w:t xml:space="preserve"> 63 (3): 556–66. https://doi.org/10.1016/j.jaridenv.2005.03.008.</w:t>
      </w:r>
    </w:p>
    <w:p w14:paraId="36216CDE"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Piao, Shilong, Pierre Friedlingstein, Philippe Ciais, Nicolas Viovy, and Jérôme Demarty. 2007. “Growing Season Extension and Its Impact on Terrestrial Carbon Cycle in the Northern Hemisphere over the Past 2 Decades.” </w:t>
      </w:r>
      <w:r w:rsidRPr="006F4E7F">
        <w:rPr>
          <w:i/>
          <w:iCs/>
          <w:noProof/>
        </w:rPr>
        <w:t>Global Biogeochemical Cycles</w:t>
      </w:r>
      <w:r w:rsidRPr="006F4E7F">
        <w:rPr>
          <w:noProof/>
        </w:rPr>
        <w:t xml:space="preserve"> 21: 1–11. https://doi.org/10.1029/2006GB002888.</w:t>
      </w:r>
    </w:p>
    <w:p w14:paraId="3B5A5BE9"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Polansky, Leo, and Christophe Boesch. 2013. “Long-Term Changes in Fruit Phenology in a West African Lowland Tropical Rain Forest Are Not Explained by Rainfall.” </w:t>
      </w:r>
      <w:r w:rsidRPr="006F4E7F">
        <w:rPr>
          <w:i/>
          <w:iCs/>
          <w:noProof/>
        </w:rPr>
        <w:t>Biotropica</w:t>
      </w:r>
      <w:r w:rsidRPr="006F4E7F">
        <w:rPr>
          <w:noProof/>
        </w:rPr>
        <w:t xml:space="preserve"> 45 (4): 434–40. https://doi.org/10.1111/btp.12033.</w:t>
      </w:r>
    </w:p>
    <w:p w14:paraId="1484DCA1"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Reed, Bradley C. 2007. “Trend Analysis of Time-Series Phenology of North America Derived from Satellite Data.” </w:t>
      </w:r>
      <w:r w:rsidRPr="006F4E7F">
        <w:rPr>
          <w:i/>
          <w:iCs/>
          <w:noProof/>
        </w:rPr>
        <w:t>GIScience &amp; Remote Sensing</w:t>
      </w:r>
      <w:r w:rsidRPr="006F4E7F">
        <w:rPr>
          <w:noProof/>
        </w:rPr>
        <w:t xml:space="preserve"> 43 (1): 24–38. https://doi.org/10.2747/1548-1603.43.1.24.</w:t>
      </w:r>
    </w:p>
    <w:p w14:paraId="4810BDF1"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Reed, Bradley C, Mark D Schwartz, and Xiangming Xiao. 2009. “Remote Sensing Phenology: Status and the Way Forward.” In </w:t>
      </w:r>
      <w:r w:rsidRPr="006F4E7F">
        <w:rPr>
          <w:i/>
          <w:iCs/>
          <w:noProof/>
        </w:rPr>
        <w:t>Phenology of Ecosystem Processes</w:t>
      </w:r>
      <w:r w:rsidRPr="006F4E7F">
        <w:rPr>
          <w:noProof/>
        </w:rPr>
        <w:t>, edited by Asko Noormets, 231–46. New York, NY: Springer New York. https://doi.org/10.1007/978-1-4419-0026-5.</w:t>
      </w:r>
    </w:p>
    <w:p w14:paraId="45539BE5"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Ryan, Casey M., Mathew Williams, John Grace, Emily Woollen, and Caroline E. R. Lehmann. 2017. “Pre-Rain Green-up Is Ubiquitous across Southern Tropical Africa: Implications for Temporal Niche Separation and Model Representation.” </w:t>
      </w:r>
      <w:r w:rsidRPr="006F4E7F">
        <w:rPr>
          <w:i/>
          <w:iCs/>
          <w:noProof/>
        </w:rPr>
        <w:t xml:space="preserve">New </w:t>
      </w:r>
      <w:r w:rsidRPr="006F4E7F">
        <w:rPr>
          <w:i/>
          <w:iCs/>
          <w:noProof/>
        </w:rPr>
        <w:lastRenderedPageBreak/>
        <w:t>Phytologist</w:t>
      </w:r>
      <w:r w:rsidRPr="006F4E7F">
        <w:rPr>
          <w:noProof/>
        </w:rPr>
        <w:t xml:space="preserve"> 213: 625–33. https://doi.org/10.1111/nph.14262.</w:t>
      </w:r>
    </w:p>
    <w:p w14:paraId="339075C3"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Scepan, J, and J E Estes. 2001. “Thematic Validation of Global Land Cover Data Sets-Procedures and Interpretation Methods.” </w:t>
      </w:r>
      <w:r w:rsidRPr="006F4E7F">
        <w:rPr>
          <w:i/>
          <w:iCs/>
          <w:noProof/>
        </w:rPr>
        <w:t>Geoscience and Remote Sensing Symposium, 2001. IGARSS ’01. IEEE 2001 International</w:t>
      </w:r>
      <w:r w:rsidRPr="006F4E7F">
        <w:rPr>
          <w:noProof/>
        </w:rPr>
        <w:t xml:space="preserve"> 3 (C): 1119–21 vol.3.</w:t>
      </w:r>
    </w:p>
    <w:p w14:paraId="48027DF3"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Tang, G., J. A. Arnone, P. S J Verburg, R. L. Jasoni, and L. Sun. 2015. “Trends and Climatic Sensitivities of Vegetation Phenology in Semiarid and Arid Ecosystems in the US Great Basin during 1982-2011.” </w:t>
      </w:r>
      <w:r w:rsidRPr="006F4E7F">
        <w:rPr>
          <w:i/>
          <w:iCs/>
          <w:noProof/>
        </w:rPr>
        <w:t>Biogeosciences</w:t>
      </w:r>
      <w:r w:rsidRPr="006F4E7F">
        <w:rPr>
          <w:noProof/>
        </w:rPr>
        <w:t xml:space="preserve"> 12 (23): 6985–97. https://doi.org/10.5194/bg-12-6985-2015.</w:t>
      </w:r>
    </w:p>
    <w:p w14:paraId="22A6B164"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Verbesselt, Jan, Rob Hyndman, Glenn Newnham, and Darius Culvenor. 2010. “Detecting Trend and Seasonal Changes in Satellite Image Time Series.” </w:t>
      </w:r>
      <w:r w:rsidRPr="006F4E7F">
        <w:rPr>
          <w:i/>
          <w:iCs/>
          <w:noProof/>
        </w:rPr>
        <w:t>Remote Sensing of Environment</w:t>
      </w:r>
      <w:r w:rsidRPr="006F4E7F">
        <w:rPr>
          <w:noProof/>
        </w:rPr>
        <w:t xml:space="preserve"> 114 (1): 106–15. https://doi.org/10.1016/j.rse.2009.08.014.</w:t>
      </w:r>
    </w:p>
    <w:p w14:paraId="6FF0023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Verbesselt, Jan, Rob Hyndman, Achim Zeileis, and Darius Culvenor. 2010. “Phenological Change Detection While Accounting for Abrupt and Gradual Trends in Satellite Image Time Series.” </w:t>
      </w:r>
      <w:r w:rsidRPr="006F4E7F">
        <w:rPr>
          <w:i/>
          <w:iCs/>
          <w:noProof/>
        </w:rPr>
        <w:t>Remote Sensing of Environment</w:t>
      </w:r>
      <w:r w:rsidRPr="006F4E7F">
        <w:rPr>
          <w:noProof/>
        </w:rPr>
        <w:t xml:space="preserve"> 114 (12). Elsevier B.V.: 2970–80. https://doi.org/10.1016/j.rse.2010.08.003.</w:t>
      </w:r>
    </w:p>
    <w:p w14:paraId="6591333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Vrieling, A, K M De Beurs, and M E Brown. 2008. “Recent Trends in Agricultural Production of Africa Based on AVHRR NDVI Time Series.” </w:t>
      </w:r>
      <w:r w:rsidRPr="006F4E7F">
        <w:rPr>
          <w:i/>
          <w:iCs/>
          <w:noProof/>
        </w:rPr>
        <w:t>Proceedings of SPIE - The International Society for Optical Engineering</w:t>
      </w:r>
      <w:r w:rsidRPr="006F4E7F">
        <w:rPr>
          <w:noProof/>
        </w:rPr>
        <w:t xml:space="preserve"> 7104: 1–10. https://doi.org/10.1117/12.799824.</w:t>
      </w:r>
    </w:p>
    <w:p w14:paraId="0E65E8E6"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Vrieling, Anton, Kirsten M. de Beurs, and Molly E. Brown. 2011. “Variability of African Farming Systems from Phenological Analysis of NDVI Time Series.” </w:t>
      </w:r>
      <w:r w:rsidRPr="006F4E7F">
        <w:rPr>
          <w:i/>
          <w:iCs/>
          <w:noProof/>
        </w:rPr>
        <w:t>Climatic Change</w:t>
      </w:r>
      <w:r w:rsidRPr="006F4E7F">
        <w:rPr>
          <w:noProof/>
        </w:rPr>
        <w:t xml:space="preserve"> 109 (3–4): 455–77. https://doi.org/10.1007/s10584-011-0049-1.</w:t>
      </w:r>
    </w:p>
    <w:p w14:paraId="76A469F6"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Vrieling, Anton, Jan De Leeuw, and Mohammed Y. Said. 2013. “Length of Growing Period over Africa: Variability and Trends from 30 Years of NDVI Time Series.” </w:t>
      </w:r>
      <w:r w:rsidRPr="006F4E7F">
        <w:rPr>
          <w:i/>
          <w:iCs/>
          <w:noProof/>
        </w:rPr>
        <w:t>Remote Sensing</w:t>
      </w:r>
      <w:r w:rsidRPr="006F4E7F">
        <w:rPr>
          <w:noProof/>
        </w:rPr>
        <w:t xml:space="preserve"> 5: 982–1000. https://doi.org/10.3390/rs5020982.</w:t>
      </w:r>
    </w:p>
    <w:p w14:paraId="1C81FB3B"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Wang, Dongdong, Douglas Morton, Jeffrey Masek, Aisheng Wu, Jyoteshwar Nagol, Xiaoxiong Xiong, Robert Levy, Eric Vermote, and Robert Wolfe. 2012. “Impact of Sensor Degradation on the MODIS NDVI Time Series.” </w:t>
      </w:r>
      <w:r w:rsidRPr="006F4E7F">
        <w:rPr>
          <w:i/>
          <w:iCs/>
          <w:noProof/>
        </w:rPr>
        <w:t>Remote Sensing of Environment</w:t>
      </w:r>
      <w:r w:rsidRPr="006F4E7F">
        <w:rPr>
          <w:noProof/>
        </w:rPr>
        <w:t xml:space="preserve"> 119 (April): 55–61. https://doi.org/10.1016/j.rse.2011.12.001.</w:t>
      </w:r>
    </w:p>
    <w:p w14:paraId="418FB976"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Yang, Yuting, Huade Guan, Miaogen Shen, Wei Liang, and Lei Jiang. 2015. “Changes in Autumn Vegetation Dormancy Onset Date and the Climate Controls across Temperate </w:t>
      </w:r>
      <w:r w:rsidRPr="006F4E7F">
        <w:rPr>
          <w:noProof/>
        </w:rPr>
        <w:lastRenderedPageBreak/>
        <w:t xml:space="preserve">Ecosystems in China from 1982 to 2010.” </w:t>
      </w:r>
      <w:r w:rsidRPr="006F4E7F">
        <w:rPr>
          <w:i/>
          <w:iCs/>
          <w:noProof/>
        </w:rPr>
        <w:t>Global Change Biology</w:t>
      </w:r>
      <w:r w:rsidRPr="006F4E7F">
        <w:rPr>
          <w:noProof/>
        </w:rPr>
        <w:t xml:space="preserve"> 21 (2): 652–65. https://doi.org/10.1111/gcb.12778.</w:t>
      </w:r>
    </w:p>
    <w:p w14:paraId="41CAB218"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Yue, Sheng, Paul Pilon, and George Cavadias. 2002. “Power of the Mann-Kendall and Spearman’s Rho Tests for Detecting Monotonic Trends in Hydrological Series.” </w:t>
      </w:r>
      <w:r w:rsidRPr="006F4E7F">
        <w:rPr>
          <w:i/>
          <w:iCs/>
          <w:noProof/>
        </w:rPr>
        <w:t>Journal of Hydrology</w:t>
      </w:r>
      <w:r w:rsidRPr="006F4E7F">
        <w:rPr>
          <w:noProof/>
        </w:rPr>
        <w:t xml:space="preserve"> 259 (1–4): 254–71. https://doi.org/10.1016/S0022-1694(01)00594-7.</w:t>
      </w:r>
    </w:p>
    <w:p w14:paraId="181F0E79"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Zhang, Xiaoyang, Mark A. Friedl, and Crystal B. Schaaf. 2006. “Global Vegetation Phenology from Moderate Resolution Imaging Spectroradiometer (MODIS): Evaluation of Global Patterns and Comparison with in Situ Measurements.” </w:t>
      </w:r>
      <w:r w:rsidRPr="006F4E7F">
        <w:rPr>
          <w:i/>
          <w:iCs/>
          <w:noProof/>
        </w:rPr>
        <w:t>Journal of Geophysical Research: Biogeosciences</w:t>
      </w:r>
      <w:r w:rsidRPr="006F4E7F">
        <w:rPr>
          <w:noProof/>
        </w:rPr>
        <w:t xml:space="preserve"> 111 (G4): G04017. https://doi.org/10.1029/2006JG000217.</w:t>
      </w:r>
    </w:p>
    <w:p w14:paraId="7A7B03EE"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Zhang, Xiaoyang, Bin Tan, and Yunyue Yu. 2014. “Interannual Variations and Trends in Global Land Surface Phenology Derived from Enhanced Vegetation Index during 1982-2010.” </w:t>
      </w:r>
      <w:r w:rsidRPr="006F4E7F">
        <w:rPr>
          <w:i/>
          <w:iCs/>
          <w:noProof/>
        </w:rPr>
        <w:t>International Journal of Biometeorology</w:t>
      </w:r>
      <w:r w:rsidRPr="006F4E7F">
        <w:rPr>
          <w:noProof/>
        </w:rPr>
        <w:t xml:space="preserve"> 58 (4): 547–64. https://doi.org/10.1007/s00484-014-0802-z.</w:t>
      </w:r>
    </w:p>
    <w:p w14:paraId="5C52C8B5"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Zhang, Yulong, Conghe Song, Lawrence E. Band, Ge Sun, and Junxiang Li. 2017. “Reanalysis of Global Terrestrial Vegetation Trends from MODIS Products: Browning or Greening?” </w:t>
      </w:r>
      <w:r w:rsidRPr="006F4E7F">
        <w:rPr>
          <w:i/>
          <w:iCs/>
          <w:noProof/>
        </w:rPr>
        <w:t>Remote Sensing of Environment</w:t>
      </w:r>
      <w:r w:rsidRPr="006F4E7F">
        <w:rPr>
          <w:noProof/>
        </w:rPr>
        <w:t xml:space="preserve"> 191 (March). Elsevier: 145–55. https://doi.org/10.1016/j.rse.2016.12.018.</w:t>
      </w:r>
    </w:p>
    <w:p w14:paraId="6EEA9C58"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Zhou, Liming, Yuhong Tian, Ranga B Myneni, Philippe Ciais, Sassan Saatchi, Yi Y Liu, Shilong Piao, et al. 2014. “Widespread Decline of Congo Rainforest Greenness in the Past Decade.” </w:t>
      </w:r>
      <w:r w:rsidRPr="006F4E7F">
        <w:rPr>
          <w:i/>
          <w:iCs/>
          <w:noProof/>
        </w:rPr>
        <w:t>Nature</w:t>
      </w:r>
      <w:r w:rsidRPr="006F4E7F">
        <w:rPr>
          <w:noProof/>
        </w:rPr>
        <w:t xml:space="preserve"> 509 (7498). Nature Publishing Group: 86–90. https://doi.org/10.1038/nature13265.</w:t>
      </w:r>
    </w:p>
    <w:p w14:paraId="397CDEF2"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Zhou, Liming, Compton J. Tucker, Robert K. Kaufmann, Daniel Slayback, Nikolay V. Shabanov, and Ranga B. Myneni. 2001. “Variations in Northern Vegetation Activity Inferred from Satellite Data of Vegetation Index during 1981 to 1999.” </w:t>
      </w:r>
      <w:r w:rsidRPr="006F4E7F">
        <w:rPr>
          <w:i/>
          <w:iCs/>
          <w:noProof/>
        </w:rPr>
        <w:t>Journal of Geophysical Research</w:t>
      </w:r>
      <w:r w:rsidRPr="006F4E7F">
        <w:rPr>
          <w:noProof/>
        </w:rPr>
        <w:t xml:space="preserve"> 106: 20069. https://doi.org/10.1029/2000JD000115.</w:t>
      </w:r>
    </w:p>
    <w:p w14:paraId="0681B0E0"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Zhu, Likai, Jane Southworth, and Jijun Meng. 2014. “Comparison of the Driving Forces of Spring Phenology among Savanna Landscapes by Including Combined Spatial and Temporal Heterogeneity.” </w:t>
      </w:r>
      <w:r w:rsidRPr="006F4E7F">
        <w:rPr>
          <w:i/>
          <w:iCs/>
          <w:noProof/>
        </w:rPr>
        <w:t>International Journal of Biometeorology</w:t>
      </w:r>
      <w:r w:rsidRPr="006F4E7F">
        <w:rPr>
          <w:noProof/>
        </w:rPr>
        <w:t xml:space="preserve"> 59 (10): 1373–84. https://doi.org/10.1007/s00484-014-0947-9.</w:t>
      </w:r>
    </w:p>
    <w:p w14:paraId="386B3560" w14:textId="77777777" w:rsidR="006F4E7F" w:rsidRPr="006F4E7F" w:rsidRDefault="006F4E7F" w:rsidP="006F4E7F">
      <w:pPr>
        <w:widowControl w:val="0"/>
        <w:autoSpaceDE w:val="0"/>
        <w:autoSpaceDN w:val="0"/>
        <w:adjustRightInd w:val="0"/>
        <w:spacing w:before="120" w:line="360" w:lineRule="auto"/>
        <w:ind w:left="480" w:hanging="480"/>
        <w:rPr>
          <w:noProof/>
        </w:rPr>
      </w:pPr>
      <w:r w:rsidRPr="006F4E7F">
        <w:rPr>
          <w:noProof/>
        </w:rPr>
        <w:t xml:space="preserve">Zhu, Wenquan, Hanqin Tian, Xiaofeng Xu, Yaozhong Pan, Guangsheng Chen, and Wenpeng Lin. 2012. “Extension of the Growing Season Due to Delayed Autumn over Mid and </w:t>
      </w:r>
      <w:r w:rsidRPr="006F4E7F">
        <w:rPr>
          <w:noProof/>
        </w:rPr>
        <w:lastRenderedPageBreak/>
        <w:t xml:space="preserve">High Latitudes in North America during 1982-2006.” </w:t>
      </w:r>
      <w:r w:rsidRPr="006F4E7F">
        <w:rPr>
          <w:i/>
          <w:iCs/>
          <w:noProof/>
        </w:rPr>
        <w:t>Global Ecology and Biogeography</w:t>
      </w:r>
      <w:r w:rsidRPr="006F4E7F">
        <w:rPr>
          <w:noProof/>
        </w:rPr>
        <w:t xml:space="preserve"> 21 (2): 260–71. https://doi.org/10.1111/j.1466-8238.2011.00675.x.</w:t>
      </w:r>
    </w:p>
    <w:p w14:paraId="32F84049" w14:textId="77777777" w:rsidR="00C5111D" w:rsidRPr="00705A9C" w:rsidRDefault="00CE4E3B" w:rsidP="002318DC">
      <w:pPr>
        <w:pStyle w:val="References"/>
      </w:pPr>
      <w:r w:rsidRPr="00705A9C">
        <w:fldChar w:fldCharType="end"/>
      </w:r>
    </w:p>
    <w:p w14:paraId="77634D7B" w14:textId="77777777" w:rsidR="00C5111D" w:rsidRPr="00705A9C" w:rsidRDefault="00C5111D">
      <w:pPr>
        <w:spacing w:after="160" w:line="259" w:lineRule="auto"/>
      </w:pPr>
      <w:r w:rsidRPr="00705A9C">
        <w:br w:type="page"/>
      </w:r>
    </w:p>
    <w:p w14:paraId="14924258" w14:textId="77777777" w:rsidR="00C5111D" w:rsidRPr="00705A9C" w:rsidRDefault="00C5111D" w:rsidP="00957500">
      <w:pPr>
        <w:pStyle w:val="References"/>
        <w:spacing w:before="240"/>
        <w:rPr>
          <w:b/>
        </w:rPr>
      </w:pPr>
      <w:r w:rsidRPr="00705A9C">
        <w:rPr>
          <w:b/>
        </w:rPr>
        <w:lastRenderedPageBreak/>
        <w:t>List of figures</w:t>
      </w:r>
    </w:p>
    <w:p w14:paraId="742FA21F" w14:textId="4A07E7EF" w:rsidR="00C5111D" w:rsidRPr="00705A9C" w:rsidRDefault="00C5111D" w:rsidP="00957500">
      <w:pPr>
        <w:pStyle w:val="References"/>
        <w:spacing w:before="240"/>
      </w:pPr>
      <w:bookmarkStart w:id="7" w:name="_Ref506550378"/>
      <w:r w:rsidRPr="00705A9C">
        <w:rPr>
          <w:b/>
        </w:rPr>
        <w:t xml:space="preserve">Figure </w:t>
      </w:r>
      <w:r w:rsidRPr="00705A9C">
        <w:rPr>
          <w:b/>
        </w:rPr>
        <w:fldChar w:fldCharType="begin"/>
      </w:r>
      <w:r w:rsidRPr="00705A9C">
        <w:rPr>
          <w:b/>
        </w:rPr>
        <w:instrText xml:space="preserve"> SEQ Figure \* ARABIC </w:instrText>
      </w:r>
      <w:r w:rsidRPr="00705A9C">
        <w:rPr>
          <w:b/>
        </w:rPr>
        <w:fldChar w:fldCharType="separate"/>
      </w:r>
      <w:r w:rsidR="000E5A3D" w:rsidRPr="00705A9C">
        <w:rPr>
          <w:b/>
          <w:noProof/>
        </w:rPr>
        <w:t>1</w:t>
      </w:r>
      <w:r w:rsidRPr="00705A9C">
        <w:rPr>
          <w:b/>
        </w:rPr>
        <w:fldChar w:fldCharType="end"/>
      </w:r>
      <w:bookmarkEnd w:id="7"/>
      <w:r w:rsidRPr="00705A9C">
        <w:rPr>
          <w:b/>
        </w:rPr>
        <w:t>:</w:t>
      </w:r>
      <w:r w:rsidRPr="00705A9C">
        <w:t xml:space="preserve"> Schematic diagram illustrating the research methodology adopted in this study</w:t>
      </w:r>
    </w:p>
    <w:p w14:paraId="76DA9BC3" w14:textId="02C05F90" w:rsidR="00957500" w:rsidRPr="00705A9C" w:rsidRDefault="00957500" w:rsidP="00957500">
      <w:pPr>
        <w:keepNext/>
        <w:spacing w:before="240" w:line="360" w:lineRule="auto"/>
      </w:pPr>
    </w:p>
    <w:p w14:paraId="334E5D44" w14:textId="2B4BDC1F" w:rsidR="00957500" w:rsidRPr="00705A9C" w:rsidRDefault="00957500" w:rsidP="00957500">
      <w:pPr>
        <w:pStyle w:val="Caption"/>
        <w:spacing w:before="240" w:after="0" w:line="360" w:lineRule="auto"/>
        <w:rPr>
          <w:i w:val="0"/>
          <w:iCs w:val="0"/>
          <w:color w:val="000000" w:themeColor="text1"/>
          <w:sz w:val="24"/>
          <w:szCs w:val="24"/>
        </w:rPr>
      </w:pPr>
      <w:bookmarkStart w:id="8" w:name="_Ref506550435"/>
      <w:r w:rsidRPr="00705A9C">
        <w:rPr>
          <w:b/>
          <w:bCs/>
          <w:i w:val="0"/>
          <w:iCs w:val="0"/>
          <w:color w:val="000000" w:themeColor="text1"/>
          <w:sz w:val="24"/>
          <w:szCs w:val="24"/>
        </w:rPr>
        <w:t xml:space="preserve">Figure </w:t>
      </w:r>
      <w:r w:rsidRPr="00705A9C">
        <w:rPr>
          <w:b/>
          <w:bCs/>
          <w:i w:val="0"/>
          <w:iCs w:val="0"/>
          <w:color w:val="000000" w:themeColor="text1"/>
          <w:sz w:val="24"/>
          <w:szCs w:val="24"/>
        </w:rPr>
        <w:fldChar w:fldCharType="begin"/>
      </w:r>
      <w:r w:rsidRPr="00705A9C">
        <w:rPr>
          <w:b/>
          <w:bCs/>
          <w:i w:val="0"/>
          <w:iCs w:val="0"/>
          <w:color w:val="000000" w:themeColor="text1"/>
          <w:sz w:val="24"/>
          <w:szCs w:val="24"/>
        </w:rPr>
        <w:instrText xml:space="preserve"> SEQ Figure \* ARABIC </w:instrText>
      </w:r>
      <w:r w:rsidRPr="00705A9C">
        <w:rPr>
          <w:b/>
          <w:bCs/>
          <w:i w:val="0"/>
          <w:iCs w:val="0"/>
          <w:color w:val="000000" w:themeColor="text1"/>
          <w:sz w:val="24"/>
          <w:szCs w:val="24"/>
        </w:rPr>
        <w:fldChar w:fldCharType="separate"/>
      </w:r>
      <w:r w:rsidR="000E5A3D" w:rsidRPr="00705A9C">
        <w:rPr>
          <w:b/>
          <w:bCs/>
          <w:i w:val="0"/>
          <w:iCs w:val="0"/>
          <w:noProof/>
          <w:color w:val="000000" w:themeColor="text1"/>
          <w:sz w:val="24"/>
          <w:szCs w:val="24"/>
        </w:rPr>
        <w:t>2</w:t>
      </w:r>
      <w:r w:rsidRPr="00705A9C">
        <w:rPr>
          <w:b/>
          <w:bCs/>
          <w:i w:val="0"/>
          <w:iCs w:val="0"/>
          <w:color w:val="000000" w:themeColor="text1"/>
          <w:sz w:val="24"/>
          <w:szCs w:val="24"/>
        </w:rPr>
        <w:fldChar w:fldCharType="end"/>
      </w:r>
      <w:bookmarkEnd w:id="8"/>
      <w:r w:rsidRPr="00705A9C">
        <w:rPr>
          <w:b/>
          <w:bCs/>
          <w:i w:val="0"/>
          <w:iCs w:val="0"/>
          <w:color w:val="000000" w:themeColor="text1"/>
          <w:sz w:val="24"/>
          <w:szCs w:val="24"/>
        </w:rPr>
        <w:t>:</w:t>
      </w:r>
      <w:r w:rsidRPr="00705A9C">
        <w:rPr>
          <w:i w:val="0"/>
          <w:iCs w:val="0"/>
          <w:color w:val="000000" w:themeColor="text1"/>
          <w:sz w:val="24"/>
          <w:szCs w:val="24"/>
        </w:rPr>
        <w:t xml:space="preserve"> (a) Reclassified 2013 MODIS land cover product (MCD12Q1). (b) Change classification based on number of land cover changes in the time-series of 13 years.</w:t>
      </w:r>
    </w:p>
    <w:p w14:paraId="06D71DEE" w14:textId="45CCBEE6" w:rsidR="00957500" w:rsidRPr="00705A9C" w:rsidRDefault="00957500" w:rsidP="00957500">
      <w:pPr>
        <w:pStyle w:val="References"/>
        <w:keepNext/>
        <w:spacing w:before="240"/>
      </w:pPr>
    </w:p>
    <w:p w14:paraId="5C697D0A" w14:textId="00AC406B" w:rsidR="00957500" w:rsidRPr="00705A9C" w:rsidRDefault="00957500" w:rsidP="00957500">
      <w:pPr>
        <w:keepNext/>
        <w:spacing w:before="240" w:line="360" w:lineRule="auto"/>
        <w:rPr>
          <w:bCs/>
        </w:rPr>
      </w:pPr>
      <w:bookmarkStart w:id="9" w:name="_Ref506550551"/>
      <w:r w:rsidRPr="00705A9C">
        <w:rPr>
          <w:b/>
          <w:bCs/>
        </w:rPr>
        <w:t xml:space="preserve">Figure </w:t>
      </w:r>
      <w:r w:rsidRPr="00705A9C">
        <w:rPr>
          <w:b/>
          <w:bCs/>
        </w:rPr>
        <w:fldChar w:fldCharType="begin"/>
      </w:r>
      <w:r w:rsidRPr="00705A9C">
        <w:rPr>
          <w:b/>
          <w:bCs/>
        </w:rPr>
        <w:instrText xml:space="preserve"> SEQ Figure \* ARABIC </w:instrText>
      </w:r>
      <w:r w:rsidRPr="00705A9C">
        <w:rPr>
          <w:b/>
          <w:bCs/>
        </w:rPr>
        <w:fldChar w:fldCharType="separate"/>
      </w:r>
      <w:r w:rsidR="000E5A3D" w:rsidRPr="00705A9C">
        <w:rPr>
          <w:b/>
          <w:bCs/>
          <w:noProof/>
        </w:rPr>
        <w:t>3</w:t>
      </w:r>
      <w:r w:rsidRPr="00705A9C">
        <w:rPr>
          <w:b/>
          <w:bCs/>
        </w:rPr>
        <w:fldChar w:fldCharType="end"/>
      </w:r>
      <w:bookmarkEnd w:id="9"/>
      <w:r w:rsidRPr="00705A9C">
        <w:rPr>
          <w:bCs/>
        </w:rPr>
        <w:t xml:space="preserve"> Spatial distributions of SOS (Months) in (</w:t>
      </w:r>
      <w:r w:rsidRPr="00705A9C">
        <w:rPr>
          <w:bCs/>
          <w:i/>
          <w:iCs/>
        </w:rPr>
        <w:t>a</w:t>
      </w:r>
      <w:r w:rsidRPr="00705A9C">
        <w:rPr>
          <w:bCs/>
        </w:rPr>
        <w:t>) 2001 and (</w:t>
      </w:r>
      <w:r w:rsidRPr="00705A9C">
        <w:rPr>
          <w:bCs/>
          <w:i/>
          <w:iCs/>
        </w:rPr>
        <w:t>b</w:t>
      </w:r>
      <w:r w:rsidRPr="00705A9C">
        <w:rPr>
          <w:bCs/>
        </w:rPr>
        <w:t>) 2015.</w:t>
      </w:r>
    </w:p>
    <w:p w14:paraId="062333CA" w14:textId="77777777" w:rsidR="00957500" w:rsidRPr="00705A9C" w:rsidRDefault="00957500" w:rsidP="00957500">
      <w:pPr>
        <w:keepNext/>
        <w:spacing w:before="240" w:line="360" w:lineRule="auto"/>
        <w:rPr>
          <w:bCs/>
        </w:rPr>
      </w:pPr>
    </w:p>
    <w:p w14:paraId="2DB26433" w14:textId="77777777" w:rsidR="003E4424" w:rsidRPr="00705A9C" w:rsidRDefault="003E4424" w:rsidP="00957500">
      <w:pPr>
        <w:pStyle w:val="Figurecaption"/>
      </w:pPr>
      <w:bookmarkStart w:id="10" w:name="_Ref506550569"/>
      <w:r w:rsidRPr="00705A9C">
        <w:rPr>
          <w:b/>
        </w:rPr>
        <w:t xml:space="preserve">Figure </w:t>
      </w:r>
      <w:r w:rsidRPr="00705A9C">
        <w:rPr>
          <w:b/>
        </w:rPr>
        <w:fldChar w:fldCharType="begin"/>
      </w:r>
      <w:r w:rsidRPr="00705A9C">
        <w:rPr>
          <w:b/>
        </w:rPr>
        <w:instrText xml:space="preserve"> SEQ Figure \* ARABIC </w:instrText>
      </w:r>
      <w:r w:rsidRPr="00705A9C">
        <w:rPr>
          <w:b/>
        </w:rPr>
        <w:fldChar w:fldCharType="separate"/>
      </w:r>
      <w:r w:rsidR="000E5A3D" w:rsidRPr="00705A9C">
        <w:rPr>
          <w:b/>
          <w:noProof/>
        </w:rPr>
        <w:t>4</w:t>
      </w:r>
      <w:r w:rsidRPr="00705A9C">
        <w:rPr>
          <w:b/>
        </w:rPr>
        <w:fldChar w:fldCharType="end"/>
      </w:r>
      <w:bookmarkEnd w:id="10"/>
      <w:r w:rsidRPr="00705A9C">
        <w:rPr>
          <w:b/>
        </w:rPr>
        <w:t xml:space="preserve">: </w:t>
      </w:r>
      <w:r w:rsidRPr="00705A9C">
        <w:t>Spatial distribution of significant inter-annual Start of Season (SOS) trends in Africa estimated from 8-day 500 m MODIS-EVI time-series for 2001-2015. (</w:t>
      </w:r>
      <w:r w:rsidRPr="00705A9C">
        <w:rPr>
          <w:i/>
          <w:iCs/>
        </w:rPr>
        <w:t>a</w:t>
      </w:r>
      <w:r w:rsidRPr="00705A9C">
        <w:t xml:space="preserve">) All significant LSP trends in both </w:t>
      </w:r>
      <w:r w:rsidRPr="00705A9C">
        <w:rPr>
          <w:i/>
        </w:rPr>
        <w:t>“no change”</w:t>
      </w:r>
      <w:r w:rsidRPr="00705A9C">
        <w:t xml:space="preserve"> land cover and changed land cover pixels. (</w:t>
      </w:r>
      <w:r w:rsidRPr="00705A9C">
        <w:rPr>
          <w:i/>
          <w:iCs/>
        </w:rPr>
        <w:t>b</w:t>
      </w:r>
      <w:r w:rsidRPr="00705A9C">
        <w:t xml:space="preserve">) Significant trends in </w:t>
      </w:r>
      <w:r w:rsidRPr="00705A9C">
        <w:rPr>
          <w:i/>
        </w:rPr>
        <w:t>“no change”</w:t>
      </w:r>
      <w:r w:rsidRPr="00705A9C">
        <w:t xml:space="preserve"> land cover pixels only. Spatially contiguous areas of positive change (later SOS) and negative change (earlier SOS) are apparent. </w:t>
      </w:r>
    </w:p>
    <w:p w14:paraId="6D0C1F08" w14:textId="77777777" w:rsidR="003E4424" w:rsidRPr="00705A9C" w:rsidRDefault="003E4424" w:rsidP="00957500">
      <w:pPr>
        <w:pStyle w:val="References"/>
        <w:spacing w:before="240"/>
      </w:pPr>
    </w:p>
    <w:p w14:paraId="7DBAAAE4" w14:textId="77777777" w:rsidR="00492629" w:rsidRPr="00705A9C" w:rsidRDefault="00492629" w:rsidP="00957500">
      <w:pPr>
        <w:pStyle w:val="Figurecaption"/>
      </w:pPr>
      <w:bookmarkStart w:id="11" w:name="_Ref506551011"/>
      <w:r w:rsidRPr="00705A9C">
        <w:rPr>
          <w:b/>
        </w:rPr>
        <w:t xml:space="preserve">Figure </w:t>
      </w:r>
      <w:r w:rsidRPr="00705A9C">
        <w:rPr>
          <w:b/>
        </w:rPr>
        <w:fldChar w:fldCharType="begin"/>
      </w:r>
      <w:r w:rsidRPr="00705A9C">
        <w:rPr>
          <w:b/>
        </w:rPr>
        <w:instrText xml:space="preserve"> SEQ Figure \* ARABIC </w:instrText>
      </w:r>
      <w:r w:rsidRPr="00705A9C">
        <w:rPr>
          <w:b/>
        </w:rPr>
        <w:fldChar w:fldCharType="separate"/>
      </w:r>
      <w:r w:rsidR="000E5A3D" w:rsidRPr="00705A9C">
        <w:rPr>
          <w:b/>
          <w:noProof/>
        </w:rPr>
        <w:t>5</w:t>
      </w:r>
      <w:r w:rsidRPr="00705A9C">
        <w:rPr>
          <w:b/>
        </w:rPr>
        <w:fldChar w:fldCharType="end"/>
      </w:r>
      <w:bookmarkEnd w:id="11"/>
      <w:r w:rsidRPr="00705A9C">
        <w:rPr>
          <w:b/>
        </w:rPr>
        <w:t>:</w:t>
      </w:r>
      <w:r w:rsidRPr="00705A9C">
        <w:t xml:space="preserve"> Spatial pattern of the magnitude of inter-annual Start of Season (SOS) trends (i.e., magnitude and direction of slope based on linear regression) while controlling for land cover change and using only significant pixels at p&lt;0.05. (</w:t>
      </w:r>
      <w:r w:rsidRPr="00705A9C">
        <w:rPr>
          <w:i/>
          <w:iCs/>
        </w:rPr>
        <w:t>a</w:t>
      </w:r>
      <w:r w:rsidRPr="00705A9C">
        <w:t>) Magnitude of slope in all pixels. (</w:t>
      </w:r>
      <w:r w:rsidRPr="00705A9C">
        <w:rPr>
          <w:i/>
          <w:iCs/>
        </w:rPr>
        <w:t>b</w:t>
      </w:r>
      <w:r w:rsidRPr="00705A9C">
        <w:t>) Magnitude of slope in “no change” land cover pixels only. Spatially contiguous areas of positive change (later SOS; blue) and negative change (earlier SOS; red) are apparent.</w:t>
      </w:r>
    </w:p>
    <w:p w14:paraId="42A70807" w14:textId="77777777" w:rsidR="00D715CD" w:rsidRPr="00705A9C" w:rsidRDefault="00D715CD" w:rsidP="00957500">
      <w:pPr>
        <w:spacing w:before="240" w:line="360" w:lineRule="auto"/>
      </w:pPr>
    </w:p>
    <w:p w14:paraId="0242679F" w14:textId="77777777" w:rsidR="00D715CD" w:rsidRPr="00705A9C" w:rsidRDefault="00D715CD" w:rsidP="00957500">
      <w:pPr>
        <w:keepNext/>
        <w:spacing w:before="240" w:line="360" w:lineRule="auto"/>
        <w:rPr>
          <w:vertAlign w:val="superscript"/>
        </w:rPr>
      </w:pPr>
      <w:bookmarkStart w:id="12" w:name="_Ref506551021"/>
      <w:r w:rsidRPr="00705A9C">
        <w:rPr>
          <w:b/>
        </w:rPr>
        <w:t xml:space="preserve">Figure </w:t>
      </w:r>
      <w:r w:rsidRPr="00705A9C">
        <w:rPr>
          <w:b/>
        </w:rPr>
        <w:fldChar w:fldCharType="begin"/>
      </w:r>
      <w:r w:rsidRPr="00705A9C">
        <w:rPr>
          <w:b/>
        </w:rPr>
        <w:instrText xml:space="preserve"> SEQ Figure \* ARABIC </w:instrText>
      </w:r>
      <w:r w:rsidRPr="00705A9C">
        <w:rPr>
          <w:b/>
        </w:rPr>
        <w:fldChar w:fldCharType="separate"/>
      </w:r>
      <w:r w:rsidR="000E5A3D" w:rsidRPr="00705A9C">
        <w:rPr>
          <w:b/>
          <w:noProof/>
        </w:rPr>
        <w:t>6</w:t>
      </w:r>
      <w:r w:rsidRPr="00705A9C">
        <w:rPr>
          <w:b/>
        </w:rPr>
        <w:fldChar w:fldCharType="end"/>
      </w:r>
      <w:bookmarkEnd w:id="12"/>
      <w:r w:rsidRPr="00705A9C">
        <w:rPr>
          <w:b/>
        </w:rPr>
        <w:t>:</w:t>
      </w:r>
      <w:r w:rsidRPr="00705A9C">
        <w:t xml:space="preserve"> The pixel distributions of SOS trends in days year</w:t>
      </w:r>
      <w:r w:rsidRPr="00705A9C">
        <w:rPr>
          <w:vertAlign w:val="superscript"/>
        </w:rPr>
        <w:t>-1</w:t>
      </w:r>
    </w:p>
    <w:p w14:paraId="5DED6C0B" w14:textId="77777777" w:rsidR="002318DC" w:rsidRPr="00705A9C" w:rsidRDefault="002318DC" w:rsidP="00957500">
      <w:pPr>
        <w:keepNext/>
        <w:spacing w:before="240" w:line="360" w:lineRule="auto"/>
      </w:pPr>
    </w:p>
    <w:p w14:paraId="4B5039D7" w14:textId="2D49EDC0" w:rsidR="00D715CD" w:rsidRPr="00BF7459" w:rsidRDefault="00D715CD" w:rsidP="00957500">
      <w:pPr>
        <w:pStyle w:val="Figurecaption"/>
        <w:rPr>
          <w:b/>
          <w:color w:val="000000" w:themeColor="text1"/>
        </w:rPr>
      </w:pPr>
      <w:bookmarkStart w:id="13" w:name="_Ref506553352"/>
      <w:r w:rsidRPr="00705A9C">
        <w:rPr>
          <w:b/>
        </w:rPr>
        <w:t xml:space="preserve">Figure </w:t>
      </w:r>
      <w:r w:rsidRPr="00705A9C">
        <w:rPr>
          <w:b/>
        </w:rPr>
        <w:fldChar w:fldCharType="begin"/>
      </w:r>
      <w:r w:rsidRPr="00705A9C">
        <w:rPr>
          <w:b/>
        </w:rPr>
        <w:instrText xml:space="preserve"> SEQ Figure \* ARABIC </w:instrText>
      </w:r>
      <w:r w:rsidRPr="00705A9C">
        <w:rPr>
          <w:b/>
        </w:rPr>
        <w:fldChar w:fldCharType="separate"/>
      </w:r>
      <w:r w:rsidR="000E5A3D" w:rsidRPr="00705A9C">
        <w:rPr>
          <w:b/>
          <w:noProof/>
        </w:rPr>
        <w:t>7</w:t>
      </w:r>
      <w:r w:rsidRPr="00705A9C">
        <w:rPr>
          <w:b/>
        </w:rPr>
        <w:fldChar w:fldCharType="end"/>
      </w:r>
      <w:bookmarkEnd w:id="13"/>
      <w:r w:rsidRPr="00705A9C">
        <w:rPr>
          <w:b/>
        </w:rPr>
        <w:t>:</w:t>
      </w:r>
      <w:r w:rsidRPr="00705A9C">
        <w:t xml:space="preserve"> Examples of temporal profiles of phenological parameters plotted against year and showing the land cover changes through time. Dotted lines show fitted regression models, which illustrate the rate of change in land cover per year. (</w:t>
      </w:r>
      <w:r w:rsidRPr="00705A9C">
        <w:rPr>
          <w:i/>
          <w:iCs/>
        </w:rPr>
        <w:t>a</w:t>
      </w:r>
      <w:r w:rsidRPr="00705A9C">
        <w:t>) “no change”, (</w:t>
      </w:r>
      <w:r w:rsidRPr="00705A9C">
        <w:rPr>
          <w:i/>
          <w:iCs/>
        </w:rPr>
        <w:t>b</w:t>
      </w:r>
      <w:r w:rsidRPr="00705A9C">
        <w:t xml:space="preserve">) one change” </w:t>
      </w:r>
      <w:r w:rsidRPr="00705A9C">
        <w:lastRenderedPageBreak/>
        <w:t>and (</w:t>
      </w:r>
      <w:r w:rsidRPr="00705A9C">
        <w:rPr>
          <w:i/>
          <w:iCs/>
        </w:rPr>
        <w:t>c</w:t>
      </w:r>
      <w:r w:rsidRPr="00705A9C">
        <w:t>) “&gt;two changes” land cover categories.  The trends in the phenological parameters is greater in the “changed” pixel categories than in the “no change” category</w:t>
      </w:r>
      <w:r w:rsidR="0058311A">
        <w:t>.</w:t>
      </w:r>
    </w:p>
    <w:p w14:paraId="5AFCFD92" w14:textId="77777777" w:rsidR="00D715CD" w:rsidRPr="002318DC" w:rsidRDefault="00D715CD" w:rsidP="002318DC"/>
    <w:p w14:paraId="1813E141" w14:textId="77777777" w:rsidR="00492629" w:rsidRDefault="00492629" w:rsidP="002318DC">
      <w:pPr>
        <w:pStyle w:val="References"/>
      </w:pPr>
    </w:p>
    <w:p w14:paraId="71AEE4D9" w14:textId="77777777" w:rsidR="00C5111D" w:rsidRPr="00452D34" w:rsidRDefault="00C5111D" w:rsidP="00200DC8">
      <w:pPr>
        <w:pStyle w:val="References"/>
      </w:pPr>
    </w:p>
    <w:sectPr w:rsidR="00C5111D" w:rsidRPr="00452D34" w:rsidSect="002056D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12A2C" w14:textId="77777777" w:rsidR="00A246C0" w:rsidRDefault="00A246C0" w:rsidP="006D7BA3">
      <w:pPr>
        <w:spacing w:line="240" w:lineRule="auto"/>
      </w:pPr>
      <w:r>
        <w:separator/>
      </w:r>
    </w:p>
  </w:endnote>
  <w:endnote w:type="continuationSeparator" w:id="0">
    <w:p w14:paraId="735415F5" w14:textId="77777777" w:rsidR="00A246C0" w:rsidRDefault="00A246C0" w:rsidP="006D7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447793"/>
      <w:docPartObj>
        <w:docPartGallery w:val="Page Numbers (Bottom of Page)"/>
        <w:docPartUnique/>
      </w:docPartObj>
    </w:sdtPr>
    <w:sdtEndPr>
      <w:rPr>
        <w:noProof/>
      </w:rPr>
    </w:sdtEndPr>
    <w:sdtContent>
      <w:p w14:paraId="2330CBCF" w14:textId="5F19549C" w:rsidR="009E1CAA" w:rsidRDefault="009E1CAA">
        <w:pPr>
          <w:pStyle w:val="Footer"/>
          <w:jc w:val="center"/>
        </w:pPr>
        <w:r>
          <w:fldChar w:fldCharType="begin"/>
        </w:r>
        <w:r>
          <w:instrText xml:space="preserve"> PAGE   \* MERGEFORMAT </w:instrText>
        </w:r>
        <w:r>
          <w:fldChar w:fldCharType="separate"/>
        </w:r>
        <w:r w:rsidR="006F4E7F">
          <w:rPr>
            <w:noProof/>
          </w:rPr>
          <w:t>23</w:t>
        </w:r>
        <w:r>
          <w:rPr>
            <w:noProof/>
          </w:rPr>
          <w:fldChar w:fldCharType="end"/>
        </w:r>
      </w:p>
    </w:sdtContent>
  </w:sdt>
  <w:p w14:paraId="155107A5" w14:textId="77777777" w:rsidR="009E1CAA" w:rsidRDefault="009E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52B83" w14:textId="77777777" w:rsidR="00A246C0" w:rsidRDefault="00A246C0" w:rsidP="006D7BA3">
      <w:pPr>
        <w:spacing w:line="240" w:lineRule="auto"/>
      </w:pPr>
      <w:r>
        <w:separator/>
      </w:r>
    </w:p>
  </w:footnote>
  <w:footnote w:type="continuationSeparator" w:id="0">
    <w:p w14:paraId="27EBA0AC" w14:textId="77777777" w:rsidR="00A246C0" w:rsidRDefault="00A246C0" w:rsidP="006D7B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D551D"/>
    <w:multiLevelType w:val="multilevel"/>
    <w:tmpl w:val="8F1A6520"/>
    <w:lvl w:ilvl="0">
      <w:start w:val="1"/>
      <w:numFmt w:val="decimal"/>
      <w:lvlText w:val="%1."/>
      <w:lvlJc w:val="left"/>
      <w:pPr>
        <w:ind w:left="360" w:hanging="360"/>
      </w:pPr>
      <w:rPr>
        <w:rFonts w:hint="default"/>
      </w:rPr>
    </w:lvl>
    <w:lvl w:ilvl="1">
      <w:start w:val="1"/>
      <w:numFmt w:val="none"/>
      <w:lvlRestart w:val="0"/>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BD2D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AE561A"/>
    <w:multiLevelType w:val="multilevel"/>
    <w:tmpl w:val="12BE60B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11BB644D"/>
    <w:multiLevelType w:val="hybridMultilevel"/>
    <w:tmpl w:val="6FDCEE0E"/>
    <w:lvl w:ilvl="0" w:tplc="0809000F">
      <w:start w:val="1"/>
      <w:numFmt w:val="decimal"/>
      <w:lvlText w:val="%1."/>
      <w:lvlJc w:val="left"/>
      <w:pPr>
        <w:ind w:left="1131" w:hanging="360"/>
      </w:pPr>
    </w:lvl>
    <w:lvl w:ilvl="1" w:tplc="08090019" w:tentative="1">
      <w:start w:val="1"/>
      <w:numFmt w:val="lowerLetter"/>
      <w:lvlText w:val="%2."/>
      <w:lvlJc w:val="left"/>
      <w:pPr>
        <w:ind w:left="1851" w:hanging="360"/>
      </w:pPr>
    </w:lvl>
    <w:lvl w:ilvl="2" w:tplc="0809001B" w:tentative="1">
      <w:start w:val="1"/>
      <w:numFmt w:val="lowerRoman"/>
      <w:lvlText w:val="%3."/>
      <w:lvlJc w:val="right"/>
      <w:pPr>
        <w:ind w:left="2571" w:hanging="180"/>
      </w:pPr>
    </w:lvl>
    <w:lvl w:ilvl="3" w:tplc="0809000F" w:tentative="1">
      <w:start w:val="1"/>
      <w:numFmt w:val="decimal"/>
      <w:lvlText w:val="%4."/>
      <w:lvlJc w:val="left"/>
      <w:pPr>
        <w:ind w:left="3291" w:hanging="360"/>
      </w:pPr>
    </w:lvl>
    <w:lvl w:ilvl="4" w:tplc="08090019" w:tentative="1">
      <w:start w:val="1"/>
      <w:numFmt w:val="lowerLetter"/>
      <w:lvlText w:val="%5."/>
      <w:lvlJc w:val="left"/>
      <w:pPr>
        <w:ind w:left="4011" w:hanging="360"/>
      </w:pPr>
    </w:lvl>
    <w:lvl w:ilvl="5" w:tplc="0809001B" w:tentative="1">
      <w:start w:val="1"/>
      <w:numFmt w:val="lowerRoman"/>
      <w:lvlText w:val="%6."/>
      <w:lvlJc w:val="right"/>
      <w:pPr>
        <w:ind w:left="4731" w:hanging="180"/>
      </w:pPr>
    </w:lvl>
    <w:lvl w:ilvl="6" w:tplc="0809000F" w:tentative="1">
      <w:start w:val="1"/>
      <w:numFmt w:val="decimal"/>
      <w:lvlText w:val="%7."/>
      <w:lvlJc w:val="left"/>
      <w:pPr>
        <w:ind w:left="5451" w:hanging="360"/>
      </w:pPr>
    </w:lvl>
    <w:lvl w:ilvl="7" w:tplc="08090019" w:tentative="1">
      <w:start w:val="1"/>
      <w:numFmt w:val="lowerLetter"/>
      <w:lvlText w:val="%8."/>
      <w:lvlJc w:val="left"/>
      <w:pPr>
        <w:ind w:left="6171" w:hanging="360"/>
      </w:pPr>
    </w:lvl>
    <w:lvl w:ilvl="8" w:tplc="0809001B" w:tentative="1">
      <w:start w:val="1"/>
      <w:numFmt w:val="lowerRoman"/>
      <w:lvlText w:val="%9."/>
      <w:lvlJc w:val="right"/>
      <w:pPr>
        <w:ind w:left="6891" w:hanging="180"/>
      </w:pPr>
    </w:lvl>
  </w:abstractNum>
  <w:abstractNum w:abstractNumId="17" w15:restartNumberingAfterBreak="0">
    <w:nsid w:val="1C8270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4B40"/>
    <w:multiLevelType w:val="hybridMultilevel"/>
    <w:tmpl w:val="54B03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4908EC"/>
    <w:multiLevelType w:val="multilevel"/>
    <w:tmpl w:val="720A5E2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2"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82D7E48"/>
    <w:multiLevelType w:val="hybridMultilevel"/>
    <w:tmpl w:val="D930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A15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BD1E4A"/>
    <w:multiLevelType w:val="multilevel"/>
    <w:tmpl w:val="D5F259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21C7344"/>
    <w:multiLevelType w:val="multilevel"/>
    <w:tmpl w:val="B82034F8"/>
    <w:lvl w:ilvl="0">
      <w:start w:val="1"/>
      <w:numFmt w:val="decimal"/>
      <w:lvlText w:val="%1."/>
      <w:lvlJc w:val="left"/>
      <w:pPr>
        <w:ind w:left="357" w:hanging="357"/>
      </w:pPr>
      <w:rPr>
        <w:rFonts w:hint="default"/>
      </w:rPr>
    </w:lvl>
    <w:lvl w:ilvl="1">
      <w:start w:val="1"/>
      <w:numFmt w:val="none"/>
      <w:lvlText w:val="3.2."/>
      <w:lvlJc w:val="left"/>
      <w:pPr>
        <w:ind w:left="714" w:hanging="35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4C673F9A"/>
    <w:multiLevelType w:val="multilevel"/>
    <w:tmpl w:val="1C962A8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945BC"/>
    <w:multiLevelType w:val="multilevel"/>
    <w:tmpl w:val="E7EA903E"/>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F1189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CA3823"/>
    <w:multiLevelType w:val="multilevel"/>
    <w:tmpl w:val="F1027138"/>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38E0D49"/>
    <w:multiLevelType w:val="hybridMultilevel"/>
    <w:tmpl w:val="A04E5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9D5F0E"/>
    <w:multiLevelType w:val="hybridMultilevel"/>
    <w:tmpl w:val="F13C2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F64DC9"/>
    <w:multiLevelType w:val="multilevel"/>
    <w:tmpl w:val="9A82DF9A"/>
    <w:lvl w:ilvl="0">
      <w:start w:val="1"/>
      <w:numFmt w:val="decimal"/>
      <w:lvlText w:val="%1."/>
      <w:lvlJc w:val="left"/>
      <w:pPr>
        <w:ind w:left="360" w:hanging="360"/>
      </w:pPr>
      <w:rPr>
        <w:rFonts w:hint="default"/>
      </w:rPr>
    </w:lvl>
    <w:lvl w:ilvl="1">
      <w:start w:val="1"/>
      <w:numFmt w:val="none"/>
      <w:lvlRestart w:val="0"/>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8D4A0C"/>
    <w:multiLevelType w:val="multilevel"/>
    <w:tmpl w:val="3C666C08"/>
    <w:lvl w:ilvl="0">
      <w:start w:val="2"/>
      <w:numFmt w:val="decimal"/>
      <w:lvlText w:val="%1."/>
      <w:lvlJc w:val="left"/>
      <w:pPr>
        <w:ind w:left="357" w:hanging="357"/>
      </w:pPr>
      <w:rPr>
        <w:rFonts w:hint="default"/>
      </w:rPr>
    </w:lvl>
    <w:lvl w:ilvl="1">
      <w:start w:val="3"/>
      <w:numFmt w:val="decimal"/>
      <w:lvlText w:val="%1.%2."/>
      <w:lvlJc w:val="left"/>
      <w:pPr>
        <w:ind w:left="714" w:hanging="35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3" w15:restartNumberingAfterBreak="0">
    <w:nsid w:val="765E417E"/>
    <w:multiLevelType w:val="multilevel"/>
    <w:tmpl w:val="1C462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DE57CF"/>
    <w:multiLevelType w:val="multilevel"/>
    <w:tmpl w:val="9D983D0C"/>
    <w:lvl w:ilvl="0">
      <w:start w:val="3"/>
      <w:numFmt w:val="decimal"/>
      <w:lvlText w:val="%1."/>
      <w:lvlJc w:val="left"/>
      <w:pPr>
        <w:ind w:left="357" w:hanging="357"/>
      </w:pPr>
      <w:rPr>
        <w:rFonts w:hint="default"/>
        <w:b/>
      </w:rPr>
    </w:lvl>
    <w:lvl w:ilvl="1">
      <w:start w:val="1"/>
      <w:numFmt w:val="decimal"/>
      <w:lvlText w:val="%1.%2."/>
      <w:lvlJc w:val="left"/>
      <w:pPr>
        <w:ind w:left="1081" w:hanging="357"/>
      </w:pPr>
      <w:rPr>
        <w:rFonts w:hint="default"/>
        <w:b/>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23"/>
  </w:num>
  <w:num w:numId="2">
    <w:abstractNumId w:val="33"/>
  </w:num>
  <w:num w:numId="3">
    <w:abstractNumId w:val="13"/>
  </w:num>
  <w:num w:numId="4">
    <w:abstractNumId w:val="43"/>
  </w:num>
  <w:num w:numId="5">
    <w:abstractNumId w:val="21"/>
  </w:num>
  <w:num w:numId="6">
    <w:abstractNumId w:val="30"/>
  </w:num>
  <w:num w:numId="7">
    <w:abstractNumId w:val="35"/>
  </w:num>
  <w:num w:numId="8">
    <w:abstractNumId w:val="44"/>
  </w:num>
  <w:num w:numId="9">
    <w:abstractNumId w:val="42"/>
  </w:num>
  <w:num w:numId="10">
    <w:abstractNumId w:val="16"/>
  </w:num>
  <w:num w:numId="11">
    <w:abstractNumId w:val="20"/>
  </w:num>
  <w:num w:numId="12">
    <w:abstractNumId w:val="15"/>
  </w:num>
  <w:num w:numId="13">
    <w:abstractNumId w:val="29"/>
  </w:num>
  <w:num w:numId="14">
    <w:abstractNumId w:val="24"/>
  </w:num>
  <w:num w:numId="15">
    <w:abstractNumId w:val="17"/>
  </w:num>
  <w:num w:numId="16">
    <w:abstractNumId w:val="11"/>
  </w:num>
  <w:num w:numId="17">
    <w:abstractNumId w:val="40"/>
  </w:num>
  <w:num w:numId="18">
    <w:abstractNumId w:val="37"/>
  </w:num>
  <w:num w:numId="19">
    <w:abstractNumId w:val="39"/>
  </w:num>
  <w:num w:numId="20">
    <w:abstractNumId w:val="36"/>
  </w:num>
  <w:num w:numId="21">
    <w:abstractNumId w:val="22"/>
  </w:num>
  <w:num w:numId="22">
    <w:abstractNumId w:val="31"/>
  </w:num>
  <w:num w:numId="23">
    <w:abstractNumId w:val="1"/>
  </w:num>
  <w:num w:numId="24">
    <w:abstractNumId w:val="2"/>
  </w:num>
  <w:num w:numId="25">
    <w:abstractNumId w:val="3"/>
  </w:num>
  <w:num w:numId="26">
    <w:abstractNumId w:val="4"/>
  </w:num>
  <w:num w:numId="27">
    <w:abstractNumId w:val="9"/>
  </w:num>
  <w:num w:numId="28">
    <w:abstractNumId w:val="5"/>
  </w:num>
  <w:num w:numId="29">
    <w:abstractNumId w:val="7"/>
  </w:num>
  <w:num w:numId="30">
    <w:abstractNumId w:val="6"/>
  </w:num>
  <w:num w:numId="31">
    <w:abstractNumId w:val="10"/>
  </w:num>
  <w:num w:numId="32">
    <w:abstractNumId w:val="8"/>
  </w:num>
  <w:num w:numId="33">
    <w:abstractNumId w:val="27"/>
  </w:num>
  <w:num w:numId="34">
    <w:abstractNumId w:val="32"/>
  </w:num>
  <w:num w:numId="35">
    <w:abstractNumId w:val="19"/>
  </w:num>
  <w:num w:numId="36">
    <w:abstractNumId w:val="26"/>
  </w:num>
  <w:num w:numId="37">
    <w:abstractNumId w:val="12"/>
  </w:num>
  <w:num w:numId="38">
    <w:abstractNumId w:val="0"/>
  </w:num>
  <w:num w:numId="39">
    <w:abstractNumId w:val="14"/>
  </w:num>
  <w:num w:numId="40">
    <w:abstractNumId w:val="28"/>
  </w:num>
  <w:num w:numId="41">
    <w:abstractNumId w:val="34"/>
  </w:num>
  <w:num w:numId="42">
    <w:abstractNumId w:val="38"/>
  </w:num>
  <w:num w:numId="43">
    <w:abstractNumId w:val="18"/>
  </w:num>
  <w:num w:numId="44">
    <w:abstractNumId w:val="4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de-DE" w:vendorID="64" w:dllVersion="131078" w:nlCheck="1" w:checkStyle="1"/>
  <w:proofState w:spelling="clean" w:grammar="clean"/>
  <w:attachedTemplate r:id="rId1"/>
  <w:linkStyle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86"/>
    <w:rsid w:val="000011E0"/>
    <w:rsid w:val="00001C9E"/>
    <w:rsid w:val="0000245A"/>
    <w:rsid w:val="00002E0C"/>
    <w:rsid w:val="000058F3"/>
    <w:rsid w:val="00006AC8"/>
    <w:rsid w:val="00007E30"/>
    <w:rsid w:val="00016B63"/>
    <w:rsid w:val="00021CA8"/>
    <w:rsid w:val="00021F0D"/>
    <w:rsid w:val="000246BB"/>
    <w:rsid w:val="000326A2"/>
    <w:rsid w:val="00033EBB"/>
    <w:rsid w:val="00036146"/>
    <w:rsid w:val="000377DB"/>
    <w:rsid w:val="00037EBD"/>
    <w:rsid w:val="0004722C"/>
    <w:rsid w:val="00051DF4"/>
    <w:rsid w:val="000527D4"/>
    <w:rsid w:val="00053D52"/>
    <w:rsid w:val="00063DDC"/>
    <w:rsid w:val="00065475"/>
    <w:rsid w:val="000669FD"/>
    <w:rsid w:val="00067F5A"/>
    <w:rsid w:val="000731F1"/>
    <w:rsid w:val="00073EF0"/>
    <w:rsid w:val="000752CD"/>
    <w:rsid w:val="0008597D"/>
    <w:rsid w:val="00087143"/>
    <w:rsid w:val="00093300"/>
    <w:rsid w:val="00093BCF"/>
    <w:rsid w:val="000941BA"/>
    <w:rsid w:val="000A456D"/>
    <w:rsid w:val="000A4629"/>
    <w:rsid w:val="000A471A"/>
    <w:rsid w:val="000A4CF8"/>
    <w:rsid w:val="000A5152"/>
    <w:rsid w:val="000B0C47"/>
    <w:rsid w:val="000B1BEF"/>
    <w:rsid w:val="000B3AF8"/>
    <w:rsid w:val="000B4778"/>
    <w:rsid w:val="000B72D9"/>
    <w:rsid w:val="000C051D"/>
    <w:rsid w:val="000C140C"/>
    <w:rsid w:val="000C7275"/>
    <w:rsid w:val="000D13B6"/>
    <w:rsid w:val="000D3844"/>
    <w:rsid w:val="000D50F8"/>
    <w:rsid w:val="000D5B4A"/>
    <w:rsid w:val="000E0AF2"/>
    <w:rsid w:val="000E1549"/>
    <w:rsid w:val="000E3616"/>
    <w:rsid w:val="000E4640"/>
    <w:rsid w:val="000E5A3D"/>
    <w:rsid w:val="000F06A1"/>
    <w:rsid w:val="000F179F"/>
    <w:rsid w:val="000F2567"/>
    <w:rsid w:val="000F3129"/>
    <w:rsid w:val="000F4314"/>
    <w:rsid w:val="000F5156"/>
    <w:rsid w:val="001121A7"/>
    <w:rsid w:val="00112577"/>
    <w:rsid w:val="00112860"/>
    <w:rsid w:val="00115785"/>
    <w:rsid w:val="001162AE"/>
    <w:rsid w:val="00116D17"/>
    <w:rsid w:val="001173CE"/>
    <w:rsid w:val="001176AA"/>
    <w:rsid w:val="00117EB1"/>
    <w:rsid w:val="00120A40"/>
    <w:rsid w:val="00121A49"/>
    <w:rsid w:val="001258B3"/>
    <w:rsid w:val="0012622B"/>
    <w:rsid w:val="0012717F"/>
    <w:rsid w:val="0012732D"/>
    <w:rsid w:val="00127A07"/>
    <w:rsid w:val="00132ECB"/>
    <w:rsid w:val="00133866"/>
    <w:rsid w:val="00134963"/>
    <w:rsid w:val="00134A13"/>
    <w:rsid w:val="00135E19"/>
    <w:rsid w:val="001372A2"/>
    <w:rsid w:val="0014062E"/>
    <w:rsid w:val="0014259D"/>
    <w:rsid w:val="001442BD"/>
    <w:rsid w:val="0014518C"/>
    <w:rsid w:val="00145C1E"/>
    <w:rsid w:val="00152850"/>
    <w:rsid w:val="001549CD"/>
    <w:rsid w:val="00160F68"/>
    <w:rsid w:val="001627F0"/>
    <w:rsid w:val="00162CC1"/>
    <w:rsid w:val="0016432D"/>
    <w:rsid w:val="001643C1"/>
    <w:rsid w:val="00180CFA"/>
    <w:rsid w:val="001825FB"/>
    <w:rsid w:val="00183B13"/>
    <w:rsid w:val="00184FEA"/>
    <w:rsid w:val="00186B66"/>
    <w:rsid w:val="0019324F"/>
    <w:rsid w:val="00193FF4"/>
    <w:rsid w:val="001A5672"/>
    <w:rsid w:val="001A7DA9"/>
    <w:rsid w:val="001B0CD8"/>
    <w:rsid w:val="001B0D78"/>
    <w:rsid w:val="001B301F"/>
    <w:rsid w:val="001B3285"/>
    <w:rsid w:val="001B4EB8"/>
    <w:rsid w:val="001C1053"/>
    <w:rsid w:val="001C1CE5"/>
    <w:rsid w:val="001C2978"/>
    <w:rsid w:val="001C476E"/>
    <w:rsid w:val="001C4A91"/>
    <w:rsid w:val="001C5BFA"/>
    <w:rsid w:val="001D1D89"/>
    <w:rsid w:val="001D4A50"/>
    <w:rsid w:val="001D7267"/>
    <w:rsid w:val="001D7A10"/>
    <w:rsid w:val="001D7FEB"/>
    <w:rsid w:val="001E45F0"/>
    <w:rsid w:val="001E4D6B"/>
    <w:rsid w:val="001E5A09"/>
    <w:rsid w:val="001E7021"/>
    <w:rsid w:val="001E70FF"/>
    <w:rsid w:val="001F0BBA"/>
    <w:rsid w:val="001F350F"/>
    <w:rsid w:val="001F3AD1"/>
    <w:rsid w:val="001F54F9"/>
    <w:rsid w:val="001F667C"/>
    <w:rsid w:val="00200DC8"/>
    <w:rsid w:val="00200FAD"/>
    <w:rsid w:val="002015B7"/>
    <w:rsid w:val="00201F0A"/>
    <w:rsid w:val="00201F7D"/>
    <w:rsid w:val="0020304E"/>
    <w:rsid w:val="00205607"/>
    <w:rsid w:val="002056D5"/>
    <w:rsid w:val="0020651D"/>
    <w:rsid w:val="00207279"/>
    <w:rsid w:val="0021348A"/>
    <w:rsid w:val="00213A2B"/>
    <w:rsid w:val="002226B4"/>
    <w:rsid w:val="00224016"/>
    <w:rsid w:val="00225B9E"/>
    <w:rsid w:val="0022665F"/>
    <w:rsid w:val="00226B87"/>
    <w:rsid w:val="00226D16"/>
    <w:rsid w:val="002318DC"/>
    <w:rsid w:val="00236B8B"/>
    <w:rsid w:val="00243641"/>
    <w:rsid w:val="00244B08"/>
    <w:rsid w:val="00246261"/>
    <w:rsid w:val="002508DC"/>
    <w:rsid w:val="00251100"/>
    <w:rsid w:val="0025323A"/>
    <w:rsid w:val="00256355"/>
    <w:rsid w:val="0025682D"/>
    <w:rsid w:val="00263B8D"/>
    <w:rsid w:val="00276A3A"/>
    <w:rsid w:val="00280492"/>
    <w:rsid w:val="0028351E"/>
    <w:rsid w:val="00284359"/>
    <w:rsid w:val="00286524"/>
    <w:rsid w:val="00287EA1"/>
    <w:rsid w:val="00293477"/>
    <w:rsid w:val="00295214"/>
    <w:rsid w:val="002B0532"/>
    <w:rsid w:val="002B075C"/>
    <w:rsid w:val="002B08DE"/>
    <w:rsid w:val="002B1DB7"/>
    <w:rsid w:val="002B3CA8"/>
    <w:rsid w:val="002B4F69"/>
    <w:rsid w:val="002B6A94"/>
    <w:rsid w:val="002B6ACF"/>
    <w:rsid w:val="002B6D33"/>
    <w:rsid w:val="002C09A5"/>
    <w:rsid w:val="002C20D2"/>
    <w:rsid w:val="002D1159"/>
    <w:rsid w:val="002D2F01"/>
    <w:rsid w:val="002D31B6"/>
    <w:rsid w:val="002D389D"/>
    <w:rsid w:val="002D5BF8"/>
    <w:rsid w:val="002E1107"/>
    <w:rsid w:val="002E12EE"/>
    <w:rsid w:val="002E3D9D"/>
    <w:rsid w:val="00301469"/>
    <w:rsid w:val="00304337"/>
    <w:rsid w:val="00306A51"/>
    <w:rsid w:val="003104E7"/>
    <w:rsid w:val="003141B2"/>
    <w:rsid w:val="00317B30"/>
    <w:rsid w:val="003212BC"/>
    <w:rsid w:val="00321BEA"/>
    <w:rsid w:val="003241B5"/>
    <w:rsid w:val="00324381"/>
    <w:rsid w:val="00324C33"/>
    <w:rsid w:val="003251AF"/>
    <w:rsid w:val="003256D9"/>
    <w:rsid w:val="00326EA3"/>
    <w:rsid w:val="003304A0"/>
    <w:rsid w:val="00334E73"/>
    <w:rsid w:val="00345801"/>
    <w:rsid w:val="00345A28"/>
    <w:rsid w:val="00352373"/>
    <w:rsid w:val="00354622"/>
    <w:rsid w:val="0035555C"/>
    <w:rsid w:val="003557B0"/>
    <w:rsid w:val="00362C57"/>
    <w:rsid w:val="00372BE3"/>
    <w:rsid w:val="00373AF5"/>
    <w:rsid w:val="003740FA"/>
    <w:rsid w:val="00375D62"/>
    <w:rsid w:val="00376371"/>
    <w:rsid w:val="00376DFC"/>
    <w:rsid w:val="00384ADA"/>
    <w:rsid w:val="00385F90"/>
    <w:rsid w:val="00387642"/>
    <w:rsid w:val="00390160"/>
    <w:rsid w:val="003A0A9A"/>
    <w:rsid w:val="003A1FEA"/>
    <w:rsid w:val="003A4DF9"/>
    <w:rsid w:val="003A77AB"/>
    <w:rsid w:val="003B110F"/>
    <w:rsid w:val="003B1A4F"/>
    <w:rsid w:val="003B263B"/>
    <w:rsid w:val="003B3C82"/>
    <w:rsid w:val="003C0AE3"/>
    <w:rsid w:val="003C1319"/>
    <w:rsid w:val="003C1B85"/>
    <w:rsid w:val="003C6782"/>
    <w:rsid w:val="003D293D"/>
    <w:rsid w:val="003E1952"/>
    <w:rsid w:val="003E4424"/>
    <w:rsid w:val="003E475F"/>
    <w:rsid w:val="003E56B2"/>
    <w:rsid w:val="003E5F46"/>
    <w:rsid w:val="003E721A"/>
    <w:rsid w:val="003F1C61"/>
    <w:rsid w:val="003F2224"/>
    <w:rsid w:val="003F2623"/>
    <w:rsid w:val="003F3224"/>
    <w:rsid w:val="003F3F7C"/>
    <w:rsid w:val="003F7C9C"/>
    <w:rsid w:val="0040132F"/>
    <w:rsid w:val="00401F11"/>
    <w:rsid w:val="00403E2C"/>
    <w:rsid w:val="00405919"/>
    <w:rsid w:val="0040788C"/>
    <w:rsid w:val="00407DD9"/>
    <w:rsid w:val="004100D4"/>
    <w:rsid w:val="00413077"/>
    <w:rsid w:val="004132D4"/>
    <w:rsid w:val="0041461E"/>
    <w:rsid w:val="0041652B"/>
    <w:rsid w:val="00416EC4"/>
    <w:rsid w:val="00417325"/>
    <w:rsid w:val="00421250"/>
    <w:rsid w:val="00422A74"/>
    <w:rsid w:val="00424A99"/>
    <w:rsid w:val="0042515C"/>
    <w:rsid w:val="004261DF"/>
    <w:rsid w:val="00427F62"/>
    <w:rsid w:val="004335D3"/>
    <w:rsid w:val="004338A9"/>
    <w:rsid w:val="00436613"/>
    <w:rsid w:val="004370AD"/>
    <w:rsid w:val="00437F54"/>
    <w:rsid w:val="004457B6"/>
    <w:rsid w:val="004472CD"/>
    <w:rsid w:val="0045109C"/>
    <w:rsid w:val="0045197C"/>
    <w:rsid w:val="00451BCB"/>
    <w:rsid w:val="00451DAE"/>
    <w:rsid w:val="00452121"/>
    <w:rsid w:val="00452D34"/>
    <w:rsid w:val="0045491A"/>
    <w:rsid w:val="004607E5"/>
    <w:rsid w:val="004616DD"/>
    <w:rsid w:val="00462571"/>
    <w:rsid w:val="0046361B"/>
    <w:rsid w:val="00464882"/>
    <w:rsid w:val="00466388"/>
    <w:rsid w:val="004711F0"/>
    <w:rsid w:val="004731C6"/>
    <w:rsid w:val="004736B6"/>
    <w:rsid w:val="00473CFF"/>
    <w:rsid w:val="00474A35"/>
    <w:rsid w:val="00474C3B"/>
    <w:rsid w:val="004802CD"/>
    <w:rsid w:val="00486630"/>
    <w:rsid w:val="00491A86"/>
    <w:rsid w:val="00492484"/>
    <w:rsid w:val="00492629"/>
    <w:rsid w:val="004935FB"/>
    <w:rsid w:val="004A0D92"/>
    <w:rsid w:val="004A33CE"/>
    <w:rsid w:val="004A6F9A"/>
    <w:rsid w:val="004A7476"/>
    <w:rsid w:val="004A7E79"/>
    <w:rsid w:val="004B1B5B"/>
    <w:rsid w:val="004B683D"/>
    <w:rsid w:val="004C18D2"/>
    <w:rsid w:val="004C240B"/>
    <w:rsid w:val="004C2A79"/>
    <w:rsid w:val="004C4162"/>
    <w:rsid w:val="004C4E04"/>
    <w:rsid w:val="004C591D"/>
    <w:rsid w:val="004D0207"/>
    <w:rsid w:val="004D5502"/>
    <w:rsid w:val="004D65A1"/>
    <w:rsid w:val="004E1E4E"/>
    <w:rsid w:val="004E3C30"/>
    <w:rsid w:val="004E3D03"/>
    <w:rsid w:val="004E4B25"/>
    <w:rsid w:val="004E5AA1"/>
    <w:rsid w:val="004E615B"/>
    <w:rsid w:val="004F0D0E"/>
    <w:rsid w:val="004F168B"/>
    <w:rsid w:val="004F5689"/>
    <w:rsid w:val="004F6E16"/>
    <w:rsid w:val="004F7A6C"/>
    <w:rsid w:val="00500973"/>
    <w:rsid w:val="00502DFC"/>
    <w:rsid w:val="00503C34"/>
    <w:rsid w:val="005045CF"/>
    <w:rsid w:val="00510B26"/>
    <w:rsid w:val="00510FC1"/>
    <w:rsid w:val="00511B54"/>
    <w:rsid w:val="00512D83"/>
    <w:rsid w:val="005135F0"/>
    <w:rsid w:val="0052268E"/>
    <w:rsid w:val="00524ACB"/>
    <w:rsid w:val="005313EE"/>
    <w:rsid w:val="00533233"/>
    <w:rsid w:val="005339F2"/>
    <w:rsid w:val="005345C1"/>
    <w:rsid w:val="00535C09"/>
    <w:rsid w:val="00535D88"/>
    <w:rsid w:val="0053655D"/>
    <w:rsid w:val="005368CF"/>
    <w:rsid w:val="00536EFF"/>
    <w:rsid w:val="00540168"/>
    <w:rsid w:val="00540BF6"/>
    <w:rsid w:val="00540F52"/>
    <w:rsid w:val="00540FCC"/>
    <w:rsid w:val="00544214"/>
    <w:rsid w:val="005454A5"/>
    <w:rsid w:val="005509BE"/>
    <w:rsid w:val="00552522"/>
    <w:rsid w:val="0055723B"/>
    <w:rsid w:val="00561C6A"/>
    <w:rsid w:val="00563EB4"/>
    <w:rsid w:val="00564052"/>
    <w:rsid w:val="005644F5"/>
    <w:rsid w:val="00571AE9"/>
    <w:rsid w:val="00577925"/>
    <w:rsid w:val="00577E52"/>
    <w:rsid w:val="00580CEF"/>
    <w:rsid w:val="00582931"/>
    <w:rsid w:val="0058311A"/>
    <w:rsid w:val="00592C2D"/>
    <w:rsid w:val="005932B0"/>
    <w:rsid w:val="005943D3"/>
    <w:rsid w:val="00594D43"/>
    <w:rsid w:val="00597562"/>
    <w:rsid w:val="005A1849"/>
    <w:rsid w:val="005A4E0E"/>
    <w:rsid w:val="005B2291"/>
    <w:rsid w:val="005B29A2"/>
    <w:rsid w:val="005B523E"/>
    <w:rsid w:val="005B557E"/>
    <w:rsid w:val="005C118A"/>
    <w:rsid w:val="005C2B73"/>
    <w:rsid w:val="005C58DA"/>
    <w:rsid w:val="005C6641"/>
    <w:rsid w:val="005C6CEC"/>
    <w:rsid w:val="005D493A"/>
    <w:rsid w:val="005D6169"/>
    <w:rsid w:val="005D6BC0"/>
    <w:rsid w:val="005D7AD4"/>
    <w:rsid w:val="005E5026"/>
    <w:rsid w:val="005F5887"/>
    <w:rsid w:val="00602A0C"/>
    <w:rsid w:val="00602EAA"/>
    <w:rsid w:val="00611088"/>
    <w:rsid w:val="00613B6D"/>
    <w:rsid w:val="006179F0"/>
    <w:rsid w:val="00625886"/>
    <w:rsid w:val="00631DF7"/>
    <w:rsid w:val="00632421"/>
    <w:rsid w:val="00632778"/>
    <w:rsid w:val="0063438C"/>
    <w:rsid w:val="00634E2F"/>
    <w:rsid w:val="006355F5"/>
    <w:rsid w:val="00635772"/>
    <w:rsid w:val="00635862"/>
    <w:rsid w:val="0063669E"/>
    <w:rsid w:val="00640D77"/>
    <w:rsid w:val="00642672"/>
    <w:rsid w:val="0064437B"/>
    <w:rsid w:val="006503B3"/>
    <w:rsid w:val="006534B7"/>
    <w:rsid w:val="00655130"/>
    <w:rsid w:val="00656AF8"/>
    <w:rsid w:val="00656C0A"/>
    <w:rsid w:val="00657505"/>
    <w:rsid w:val="00661C97"/>
    <w:rsid w:val="00664390"/>
    <w:rsid w:val="00664C35"/>
    <w:rsid w:val="00666C59"/>
    <w:rsid w:val="0067359E"/>
    <w:rsid w:val="006740A6"/>
    <w:rsid w:val="00682FD9"/>
    <w:rsid w:val="0068530F"/>
    <w:rsid w:val="0069318E"/>
    <w:rsid w:val="00694D43"/>
    <w:rsid w:val="006A1EA1"/>
    <w:rsid w:val="006A2A1F"/>
    <w:rsid w:val="006A3614"/>
    <w:rsid w:val="006A5B32"/>
    <w:rsid w:val="006A5BED"/>
    <w:rsid w:val="006A7735"/>
    <w:rsid w:val="006B03BB"/>
    <w:rsid w:val="006B4D6F"/>
    <w:rsid w:val="006B559C"/>
    <w:rsid w:val="006B6D2F"/>
    <w:rsid w:val="006B7CE7"/>
    <w:rsid w:val="006C3284"/>
    <w:rsid w:val="006C400C"/>
    <w:rsid w:val="006C7D2F"/>
    <w:rsid w:val="006D005E"/>
    <w:rsid w:val="006D29D2"/>
    <w:rsid w:val="006D37B2"/>
    <w:rsid w:val="006D4AEB"/>
    <w:rsid w:val="006D7BA3"/>
    <w:rsid w:val="006E1801"/>
    <w:rsid w:val="006F03F2"/>
    <w:rsid w:val="006F376E"/>
    <w:rsid w:val="006F4087"/>
    <w:rsid w:val="006F4E7F"/>
    <w:rsid w:val="006F75D0"/>
    <w:rsid w:val="006F77B6"/>
    <w:rsid w:val="006F7D31"/>
    <w:rsid w:val="007006B7"/>
    <w:rsid w:val="00700E9B"/>
    <w:rsid w:val="007036E7"/>
    <w:rsid w:val="0070401A"/>
    <w:rsid w:val="00705A9C"/>
    <w:rsid w:val="00706D9E"/>
    <w:rsid w:val="00710B48"/>
    <w:rsid w:val="00711684"/>
    <w:rsid w:val="007117E9"/>
    <w:rsid w:val="00714A1F"/>
    <w:rsid w:val="007313FB"/>
    <w:rsid w:val="00732851"/>
    <w:rsid w:val="00733B64"/>
    <w:rsid w:val="0073424A"/>
    <w:rsid w:val="007353F9"/>
    <w:rsid w:val="00737989"/>
    <w:rsid w:val="00741C6F"/>
    <w:rsid w:val="00743329"/>
    <w:rsid w:val="00750563"/>
    <w:rsid w:val="007506F8"/>
    <w:rsid w:val="007513DD"/>
    <w:rsid w:val="00755E26"/>
    <w:rsid w:val="00756737"/>
    <w:rsid w:val="00756B01"/>
    <w:rsid w:val="00757975"/>
    <w:rsid w:val="00761DD7"/>
    <w:rsid w:val="00762EC7"/>
    <w:rsid w:val="00763DB8"/>
    <w:rsid w:val="00764451"/>
    <w:rsid w:val="00766F25"/>
    <w:rsid w:val="00772D5D"/>
    <w:rsid w:val="00773FDE"/>
    <w:rsid w:val="0077478F"/>
    <w:rsid w:val="00782D01"/>
    <w:rsid w:val="0078303B"/>
    <w:rsid w:val="00783143"/>
    <w:rsid w:val="00787C03"/>
    <w:rsid w:val="00792D79"/>
    <w:rsid w:val="007A0BEB"/>
    <w:rsid w:val="007A20F0"/>
    <w:rsid w:val="007A3B78"/>
    <w:rsid w:val="007A5CB7"/>
    <w:rsid w:val="007A7869"/>
    <w:rsid w:val="007B0980"/>
    <w:rsid w:val="007B0DEC"/>
    <w:rsid w:val="007C01A6"/>
    <w:rsid w:val="007C4463"/>
    <w:rsid w:val="007C4D59"/>
    <w:rsid w:val="007C5036"/>
    <w:rsid w:val="007C6017"/>
    <w:rsid w:val="007E2BC1"/>
    <w:rsid w:val="007E3513"/>
    <w:rsid w:val="007E387C"/>
    <w:rsid w:val="007E46F7"/>
    <w:rsid w:val="007E4C39"/>
    <w:rsid w:val="007E5AC8"/>
    <w:rsid w:val="007F0658"/>
    <w:rsid w:val="007F1D89"/>
    <w:rsid w:val="007F2CD2"/>
    <w:rsid w:val="007F630E"/>
    <w:rsid w:val="00800368"/>
    <w:rsid w:val="008056E6"/>
    <w:rsid w:val="0080658C"/>
    <w:rsid w:val="0080660D"/>
    <w:rsid w:val="00811776"/>
    <w:rsid w:val="00814B3F"/>
    <w:rsid w:val="008214AB"/>
    <w:rsid w:val="008225EE"/>
    <w:rsid w:val="00822FC3"/>
    <w:rsid w:val="00824696"/>
    <w:rsid w:val="00825A47"/>
    <w:rsid w:val="008262B8"/>
    <w:rsid w:val="00831334"/>
    <w:rsid w:val="00832154"/>
    <w:rsid w:val="00833E8B"/>
    <w:rsid w:val="008364BA"/>
    <w:rsid w:val="00837A78"/>
    <w:rsid w:val="00837E5B"/>
    <w:rsid w:val="00843F32"/>
    <w:rsid w:val="00852FD2"/>
    <w:rsid w:val="00856BED"/>
    <w:rsid w:val="008573DB"/>
    <w:rsid w:val="008576ED"/>
    <w:rsid w:val="008603FF"/>
    <w:rsid w:val="008613EC"/>
    <w:rsid w:val="00861C36"/>
    <w:rsid w:val="00863C29"/>
    <w:rsid w:val="00870714"/>
    <w:rsid w:val="008710DD"/>
    <w:rsid w:val="00881AA1"/>
    <w:rsid w:val="00881C01"/>
    <w:rsid w:val="00881EC8"/>
    <w:rsid w:val="00892AC3"/>
    <w:rsid w:val="00894763"/>
    <w:rsid w:val="008964C5"/>
    <w:rsid w:val="00896702"/>
    <w:rsid w:val="008A0381"/>
    <w:rsid w:val="008A45B0"/>
    <w:rsid w:val="008A52BC"/>
    <w:rsid w:val="008B0EA6"/>
    <w:rsid w:val="008B17A8"/>
    <w:rsid w:val="008B3D8F"/>
    <w:rsid w:val="008B4DCE"/>
    <w:rsid w:val="008B6C9C"/>
    <w:rsid w:val="008C2EA4"/>
    <w:rsid w:val="008C7C3B"/>
    <w:rsid w:val="008D2484"/>
    <w:rsid w:val="008D3927"/>
    <w:rsid w:val="008E041F"/>
    <w:rsid w:val="008E31C7"/>
    <w:rsid w:val="008E3551"/>
    <w:rsid w:val="008F28E0"/>
    <w:rsid w:val="008F50DE"/>
    <w:rsid w:val="008F769D"/>
    <w:rsid w:val="008F7D47"/>
    <w:rsid w:val="00900CB4"/>
    <w:rsid w:val="00901C83"/>
    <w:rsid w:val="00902BAC"/>
    <w:rsid w:val="009115DF"/>
    <w:rsid w:val="00916E93"/>
    <w:rsid w:val="00924736"/>
    <w:rsid w:val="00930DBA"/>
    <w:rsid w:val="00934786"/>
    <w:rsid w:val="0093779F"/>
    <w:rsid w:val="00937D22"/>
    <w:rsid w:val="0094192D"/>
    <w:rsid w:val="00944647"/>
    <w:rsid w:val="00947558"/>
    <w:rsid w:val="00947C3D"/>
    <w:rsid w:val="0095427F"/>
    <w:rsid w:val="00956383"/>
    <w:rsid w:val="00956CB8"/>
    <w:rsid w:val="00957500"/>
    <w:rsid w:val="00960C52"/>
    <w:rsid w:val="009616AE"/>
    <w:rsid w:val="00963AC5"/>
    <w:rsid w:val="009666F2"/>
    <w:rsid w:val="00967873"/>
    <w:rsid w:val="00971754"/>
    <w:rsid w:val="00973752"/>
    <w:rsid w:val="0097624E"/>
    <w:rsid w:val="00982DF2"/>
    <w:rsid w:val="009862D4"/>
    <w:rsid w:val="009901B2"/>
    <w:rsid w:val="00991F26"/>
    <w:rsid w:val="00992B75"/>
    <w:rsid w:val="009970D8"/>
    <w:rsid w:val="009A2A10"/>
    <w:rsid w:val="009A6580"/>
    <w:rsid w:val="009A6846"/>
    <w:rsid w:val="009B091A"/>
    <w:rsid w:val="009B139F"/>
    <w:rsid w:val="009B14C1"/>
    <w:rsid w:val="009C186A"/>
    <w:rsid w:val="009C1C5C"/>
    <w:rsid w:val="009C5B24"/>
    <w:rsid w:val="009C6886"/>
    <w:rsid w:val="009D0839"/>
    <w:rsid w:val="009D0C0C"/>
    <w:rsid w:val="009D2CAA"/>
    <w:rsid w:val="009D32F5"/>
    <w:rsid w:val="009D353F"/>
    <w:rsid w:val="009D47AD"/>
    <w:rsid w:val="009D4CD7"/>
    <w:rsid w:val="009E1CAA"/>
    <w:rsid w:val="009E4053"/>
    <w:rsid w:val="009E6B62"/>
    <w:rsid w:val="009F2467"/>
    <w:rsid w:val="009F4F62"/>
    <w:rsid w:val="009F6DA5"/>
    <w:rsid w:val="00A02490"/>
    <w:rsid w:val="00A0645D"/>
    <w:rsid w:val="00A129BB"/>
    <w:rsid w:val="00A13B79"/>
    <w:rsid w:val="00A14447"/>
    <w:rsid w:val="00A16E96"/>
    <w:rsid w:val="00A224B0"/>
    <w:rsid w:val="00A22A65"/>
    <w:rsid w:val="00A246C0"/>
    <w:rsid w:val="00A26D6B"/>
    <w:rsid w:val="00A309B8"/>
    <w:rsid w:val="00A31AC2"/>
    <w:rsid w:val="00A338CD"/>
    <w:rsid w:val="00A34672"/>
    <w:rsid w:val="00A36E97"/>
    <w:rsid w:val="00A42EF5"/>
    <w:rsid w:val="00A55654"/>
    <w:rsid w:val="00A55A67"/>
    <w:rsid w:val="00A65668"/>
    <w:rsid w:val="00A660C7"/>
    <w:rsid w:val="00A67887"/>
    <w:rsid w:val="00A7129F"/>
    <w:rsid w:val="00A730BE"/>
    <w:rsid w:val="00A74252"/>
    <w:rsid w:val="00A76E0D"/>
    <w:rsid w:val="00A80BBA"/>
    <w:rsid w:val="00A85CD8"/>
    <w:rsid w:val="00A86B9E"/>
    <w:rsid w:val="00A873CC"/>
    <w:rsid w:val="00A87A8E"/>
    <w:rsid w:val="00A946A6"/>
    <w:rsid w:val="00A9618B"/>
    <w:rsid w:val="00A9642B"/>
    <w:rsid w:val="00A973DF"/>
    <w:rsid w:val="00AA2A64"/>
    <w:rsid w:val="00AA3BC3"/>
    <w:rsid w:val="00AA5547"/>
    <w:rsid w:val="00AA5F7D"/>
    <w:rsid w:val="00AB244F"/>
    <w:rsid w:val="00AB4FF2"/>
    <w:rsid w:val="00AB5D1B"/>
    <w:rsid w:val="00AB71E6"/>
    <w:rsid w:val="00AC0A5B"/>
    <w:rsid w:val="00AD07A2"/>
    <w:rsid w:val="00AD557C"/>
    <w:rsid w:val="00AD79D0"/>
    <w:rsid w:val="00AE04CD"/>
    <w:rsid w:val="00AE0706"/>
    <w:rsid w:val="00AE0B08"/>
    <w:rsid w:val="00AE16CB"/>
    <w:rsid w:val="00AE234E"/>
    <w:rsid w:val="00AE2760"/>
    <w:rsid w:val="00AE30BE"/>
    <w:rsid w:val="00AE3B4D"/>
    <w:rsid w:val="00AF0C34"/>
    <w:rsid w:val="00AF13DA"/>
    <w:rsid w:val="00AF2EE2"/>
    <w:rsid w:val="00AF32AA"/>
    <w:rsid w:val="00AF6361"/>
    <w:rsid w:val="00B00C3F"/>
    <w:rsid w:val="00B0149E"/>
    <w:rsid w:val="00B04D72"/>
    <w:rsid w:val="00B120CB"/>
    <w:rsid w:val="00B12F39"/>
    <w:rsid w:val="00B1430D"/>
    <w:rsid w:val="00B178B4"/>
    <w:rsid w:val="00B20151"/>
    <w:rsid w:val="00B209FD"/>
    <w:rsid w:val="00B230E3"/>
    <w:rsid w:val="00B23486"/>
    <w:rsid w:val="00B244A9"/>
    <w:rsid w:val="00B34BC1"/>
    <w:rsid w:val="00B43447"/>
    <w:rsid w:val="00B43EDB"/>
    <w:rsid w:val="00B52CBD"/>
    <w:rsid w:val="00B55A2D"/>
    <w:rsid w:val="00B57E89"/>
    <w:rsid w:val="00B61C28"/>
    <w:rsid w:val="00B63B4D"/>
    <w:rsid w:val="00B63DC4"/>
    <w:rsid w:val="00B66C70"/>
    <w:rsid w:val="00B70377"/>
    <w:rsid w:val="00B72766"/>
    <w:rsid w:val="00B7564F"/>
    <w:rsid w:val="00B8235B"/>
    <w:rsid w:val="00B83B2E"/>
    <w:rsid w:val="00B83D54"/>
    <w:rsid w:val="00B8501D"/>
    <w:rsid w:val="00B85CCF"/>
    <w:rsid w:val="00B87039"/>
    <w:rsid w:val="00B90BD9"/>
    <w:rsid w:val="00B91525"/>
    <w:rsid w:val="00B9478F"/>
    <w:rsid w:val="00BA0AE6"/>
    <w:rsid w:val="00BA13BC"/>
    <w:rsid w:val="00BA2803"/>
    <w:rsid w:val="00BA6418"/>
    <w:rsid w:val="00BB0A2A"/>
    <w:rsid w:val="00BB0D09"/>
    <w:rsid w:val="00BB3102"/>
    <w:rsid w:val="00BB452C"/>
    <w:rsid w:val="00BB538E"/>
    <w:rsid w:val="00BB5F7B"/>
    <w:rsid w:val="00BB6DF1"/>
    <w:rsid w:val="00BB70DF"/>
    <w:rsid w:val="00BB7712"/>
    <w:rsid w:val="00BC14EF"/>
    <w:rsid w:val="00BC345A"/>
    <w:rsid w:val="00BC40F5"/>
    <w:rsid w:val="00BC4763"/>
    <w:rsid w:val="00BC512C"/>
    <w:rsid w:val="00BC64DD"/>
    <w:rsid w:val="00BC6A0D"/>
    <w:rsid w:val="00BC7061"/>
    <w:rsid w:val="00BC7C69"/>
    <w:rsid w:val="00BD37DB"/>
    <w:rsid w:val="00BD5514"/>
    <w:rsid w:val="00BD698B"/>
    <w:rsid w:val="00BD7140"/>
    <w:rsid w:val="00BE2C4F"/>
    <w:rsid w:val="00BE65CD"/>
    <w:rsid w:val="00BF3996"/>
    <w:rsid w:val="00BF3C3F"/>
    <w:rsid w:val="00BF3FBB"/>
    <w:rsid w:val="00BF7459"/>
    <w:rsid w:val="00C006A7"/>
    <w:rsid w:val="00C02E88"/>
    <w:rsid w:val="00C05AED"/>
    <w:rsid w:val="00C10E6E"/>
    <w:rsid w:val="00C157E0"/>
    <w:rsid w:val="00C17A66"/>
    <w:rsid w:val="00C219B8"/>
    <w:rsid w:val="00C2322F"/>
    <w:rsid w:val="00C244DF"/>
    <w:rsid w:val="00C25557"/>
    <w:rsid w:val="00C26182"/>
    <w:rsid w:val="00C30319"/>
    <w:rsid w:val="00C3254C"/>
    <w:rsid w:val="00C333BC"/>
    <w:rsid w:val="00C3595E"/>
    <w:rsid w:val="00C40449"/>
    <w:rsid w:val="00C41F29"/>
    <w:rsid w:val="00C438D0"/>
    <w:rsid w:val="00C4456D"/>
    <w:rsid w:val="00C465DE"/>
    <w:rsid w:val="00C5111D"/>
    <w:rsid w:val="00C52CC6"/>
    <w:rsid w:val="00C537ED"/>
    <w:rsid w:val="00C5413A"/>
    <w:rsid w:val="00C60279"/>
    <w:rsid w:val="00C605D1"/>
    <w:rsid w:val="00C61070"/>
    <w:rsid w:val="00C61083"/>
    <w:rsid w:val="00C70877"/>
    <w:rsid w:val="00C75B73"/>
    <w:rsid w:val="00C82F77"/>
    <w:rsid w:val="00CA329F"/>
    <w:rsid w:val="00CA36C7"/>
    <w:rsid w:val="00CA42D2"/>
    <w:rsid w:val="00CA42EF"/>
    <w:rsid w:val="00CB598F"/>
    <w:rsid w:val="00CB7212"/>
    <w:rsid w:val="00CC5CF5"/>
    <w:rsid w:val="00CC60D9"/>
    <w:rsid w:val="00CC6AF0"/>
    <w:rsid w:val="00CD0915"/>
    <w:rsid w:val="00CD1270"/>
    <w:rsid w:val="00CD35B8"/>
    <w:rsid w:val="00CD443D"/>
    <w:rsid w:val="00CD68BA"/>
    <w:rsid w:val="00CE05D8"/>
    <w:rsid w:val="00CE0C35"/>
    <w:rsid w:val="00CE0DEF"/>
    <w:rsid w:val="00CE1404"/>
    <w:rsid w:val="00CE4E3B"/>
    <w:rsid w:val="00CE685A"/>
    <w:rsid w:val="00CE6D0D"/>
    <w:rsid w:val="00CE72CD"/>
    <w:rsid w:val="00CF139C"/>
    <w:rsid w:val="00CF3E14"/>
    <w:rsid w:val="00CF3E5B"/>
    <w:rsid w:val="00CF5B72"/>
    <w:rsid w:val="00CF6CC1"/>
    <w:rsid w:val="00CF6DCA"/>
    <w:rsid w:val="00D0183D"/>
    <w:rsid w:val="00D02F40"/>
    <w:rsid w:val="00D053DC"/>
    <w:rsid w:val="00D05434"/>
    <w:rsid w:val="00D07DCC"/>
    <w:rsid w:val="00D149EC"/>
    <w:rsid w:val="00D17D66"/>
    <w:rsid w:val="00D21854"/>
    <w:rsid w:val="00D22196"/>
    <w:rsid w:val="00D22217"/>
    <w:rsid w:val="00D22F2A"/>
    <w:rsid w:val="00D25157"/>
    <w:rsid w:val="00D25A64"/>
    <w:rsid w:val="00D30E71"/>
    <w:rsid w:val="00D35906"/>
    <w:rsid w:val="00D37A89"/>
    <w:rsid w:val="00D37D4D"/>
    <w:rsid w:val="00D431F3"/>
    <w:rsid w:val="00D46725"/>
    <w:rsid w:val="00D47C67"/>
    <w:rsid w:val="00D5090A"/>
    <w:rsid w:val="00D53E29"/>
    <w:rsid w:val="00D5425E"/>
    <w:rsid w:val="00D54B19"/>
    <w:rsid w:val="00D55259"/>
    <w:rsid w:val="00D55FE9"/>
    <w:rsid w:val="00D574E6"/>
    <w:rsid w:val="00D615F2"/>
    <w:rsid w:val="00D61B1D"/>
    <w:rsid w:val="00D61F9D"/>
    <w:rsid w:val="00D63003"/>
    <w:rsid w:val="00D64739"/>
    <w:rsid w:val="00D662EA"/>
    <w:rsid w:val="00D703F2"/>
    <w:rsid w:val="00D70598"/>
    <w:rsid w:val="00D710A3"/>
    <w:rsid w:val="00D715CD"/>
    <w:rsid w:val="00D7236C"/>
    <w:rsid w:val="00D76475"/>
    <w:rsid w:val="00D7661B"/>
    <w:rsid w:val="00D80CD5"/>
    <w:rsid w:val="00D81DB3"/>
    <w:rsid w:val="00D8221D"/>
    <w:rsid w:val="00D8456B"/>
    <w:rsid w:val="00D848B0"/>
    <w:rsid w:val="00D87682"/>
    <w:rsid w:val="00D90694"/>
    <w:rsid w:val="00D909A2"/>
    <w:rsid w:val="00D938C3"/>
    <w:rsid w:val="00D941B0"/>
    <w:rsid w:val="00D96F05"/>
    <w:rsid w:val="00DA1AC1"/>
    <w:rsid w:val="00DA20C5"/>
    <w:rsid w:val="00DA65FD"/>
    <w:rsid w:val="00DA7BBA"/>
    <w:rsid w:val="00DB0B97"/>
    <w:rsid w:val="00DB1884"/>
    <w:rsid w:val="00DB2DB8"/>
    <w:rsid w:val="00DB32D8"/>
    <w:rsid w:val="00DB5F43"/>
    <w:rsid w:val="00DB7A67"/>
    <w:rsid w:val="00DC14AB"/>
    <w:rsid w:val="00DC509E"/>
    <w:rsid w:val="00DD177B"/>
    <w:rsid w:val="00DE2182"/>
    <w:rsid w:val="00DE277A"/>
    <w:rsid w:val="00DE2AE9"/>
    <w:rsid w:val="00DE44F7"/>
    <w:rsid w:val="00DF166C"/>
    <w:rsid w:val="00DF3370"/>
    <w:rsid w:val="00DF3E83"/>
    <w:rsid w:val="00DF4BB0"/>
    <w:rsid w:val="00DF5E14"/>
    <w:rsid w:val="00DF6E64"/>
    <w:rsid w:val="00E01E73"/>
    <w:rsid w:val="00E05508"/>
    <w:rsid w:val="00E061C0"/>
    <w:rsid w:val="00E06AF6"/>
    <w:rsid w:val="00E07CDB"/>
    <w:rsid w:val="00E108CB"/>
    <w:rsid w:val="00E10CF8"/>
    <w:rsid w:val="00E13163"/>
    <w:rsid w:val="00E154F5"/>
    <w:rsid w:val="00E15774"/>
    <w:rsid w:val="00E22C0A"/>
    <w:rsid w:val="00E23124"/>
    <w:rsid w:val="00E234FC"/>
    <w:rsid w:val="00E24F40"/>
    <w:rsid w:val="00E266D5"/>
    <w:rsid w:val="00E312B7"/>
    <w:rsid w:val="00E31D0B"/>
    <w:rsid w:val="00E343CA"/>
    <w:rsid w:val="00E35B59"/>
    <w:rsid w:val="00E4019F"/>
    <w:rsid w:val="00E41C94"/>
    <w:rsid w:val="00E432C8"/>
    <w:rsid w:val="00E4395E"/>
    <w:rsid w:val="00E46FA5"/>
    <w:rsid w:val="00E50068"/>
    <w:rsid w:val="00E51F83"/>
    <w:rsid w:val="00E575A5"/>
    <w:rsid w:val="00E61576"/>
    <w:rsid w:val="00E62C6A"/>
    <w:rsid w:val="00E63571"/>
    <w:rsid w:val="00E63B9F"/>
    <w:rsid w:val="00E64EF2"/>
    <w:rsid w:val="00E653D3"/>
    <w:rsid w:val="00E6679F"/>
    <w:rsid w:val="00E705E3"/>
    <w:rsid w:val="00E706FE"/>
    <w:rsid w:val="00E70951"/>
    <w:rsid w:val="00E70AC8"/>
    <w:rsid w:val="00E729EB"/>
    <w:rsid w:val="00E82116"/>
    <w:rsid w:val="00E828E1"/>
    <w:rsid w:val="00E863C6"/>
    <w:rsid w:val="00E871F0"/>
    <w:rsid w:val="00E91067"/>
    <w:rsid w:val="00E96676"/>
    <w:rsid w:val="00E97061"/>
    <w:rsid w:val="00EA300B"/>
    <w:rsid w:val="00EA34C9"/>
    <w:rsid w:val="00EA6F03"/>
    <w:rsid w:val="00EB0ED4"/>
    <w:rsid w:val="00EB26A4"/>
    <w:rsid w:val="00EB330A"/>
    <w:rsid w:val="00EB3B6F"/>
    <w:rsid w:val="00EB5B15"/>
    <w:rsid w:val="00EB5E9F"/>
    <w:rsid w:val="00EB742B"/>
    <w:rsid w:val="00EC00F0"/>
    <w:rsid w:val="00EC4F1A"/>
    <w:rsid w:val="00EC522B"/>
    <w:rsid w:val="00EC64A7"/>
    <w:rsid w:val="00ED494A"/>
    <w:rsid w:val="00ED5D12"/>
    <w:rsid w:val="00ED6D8D"/>
    <w:rsid w:val="00EE0897"/>
    <w:rsid w:val="00EE1BDE"/>
    <w:rsid w:val="00EE1BDF"/>
    <w:rsid w:val="00EE2E12"/>
    <w:rsid w:val="00EE3D83"/>
    <w:rsid w:val="00EE5052"/>
    <w:rsid w:val="00EF436C"/>
    <w:rsid w:val="00EF4970"/>
    <w:rsid w:val="00EF7055"/>
    <w:rsid w:val="00EF749A"/>
    <w:rsid w:val="00F002D2"/>
    <w:rsid w:val="00F01533"/>
    <w:rsid w:val="00F054FE"/>
    <w:rsid w:val="00F06220"/>
    <w:rsid w:val="00F1154E"/>
    <w:rsid w:val="00F120A0"/>
    <w:rsid w:val="00F13D29"/>
    <w:rsid w:val="00F202BC"/>
    <w:rsid w:val="00F25A89"/>
    <w:rsid w:val="00F26F80"/>
    <w:rsid w:val="00F27D3E"/>
    <w:rsid w:val="00F313B5"/>
    <w:rsid w:val="00F34A04"/>
    <w:rsid w:val="00F3520C"/>
    <w:rsid w:val="00F415B6"/>
    <w:rsid w:val="00F442E4"/>
    <w:rsid w:val="00F4537C"/>
    <w:rsid w:val="00F460B5"/>
    <w:rsid w:val="00F46937"/>
    <w:rsid w:val="00F5005C"/>
    <w:rsid w:val="00F503AA"/>
    <w:rsid w:val="00F51FCA"/>
    <w:rsid w:val="00F52517"/>
    <w:rsid w:val="00F533E9"/>
    <w:rsid w:val="00F53C3F"/>
    <w:rsid w:val="00F54281"/>
    <w:rsid w:val="00F55685"/>
    <w:rsid w:val="00F55875"/>
    <w:rsid w:val="00F60048"/>
    <w:rsid w:val="00F7381F"/>
    <w:rsid w:val="00F73B5F"/>
    <w:rsid w:val="00F77CBE"/>
    <w:rsid w:val="00F825C4"/>
    <w:rsid w:val="00F83FA1"/>
    <w:rsid w:val="00F90D45"/>
    <w:rsid w:val="00F913AD"/>
    <w:rsid w:val="00F91C24"/>
    <w:rsid w:val="00F91CFB"/>
    <w:rsid w:val="00F94E19"/>
    <w:rsid w:val="00F973B9"/>
    <w:rsid w:val="00FA1345"/>
    <w:rsid w:val="00FA5D7A"/>
    <w:rsid w:val="00FB0ABA"/>
    <w:rsid w:val="00FB1AC3"/>
    <w:rsid w:val="00FB274C"/>
    <w:rsid w:val="00FB7897"/>
    <w:rsid w:val="00FC1D53"/>
    <w:rsid w:val="00FC1DBF"/>
    <w:rsid w:val="00FC5F6E"/>
    <w:rsid w:val="00FD1E98"/>
    <w:rsid w:val="00FD40B3"/>
    <w:rsid w:val="00FD40C2"/>
    <w:rsid w:val="00FD7C22"/>
    <w:rsid w:val="00FE20F1"/>
    <w:rsid w:val="00FE73B9"/>
    <w:rsid w:val="00FF14DA"/>
    <w:rsid w:val="00FF2F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794084"/>
  <w15:docId w15:val="{CA686BF6-266C-4198-BEE9-3E13F4CA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CAA"/>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Paragraph"/>
    <w:link w:val="Heading1Char"/>
    <w:qFormat/>
    <w:rsid w:val="009E1CAA"/>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9E1CAA"/>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9E1CAA"/>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9E1CAA"/>
    <w:pPr>
      <w:spacing w:before="360"/>
      <w:outlineLvl w:val="3"/>
    </w:pPr>
    <w:rPr>
      <w:bCs/>
      <w:szCs w:val="28"/>
    </w:rPr>
  </w:style>
  <w:style w:type="character" w:default="1" w:styleId="DefaultParagraphFont">
    <w:name w:val="Default Paragraph Font"/>
    <w:uiPriority w:val="1"/>
    <w:semiHidden/>
    <w:unhideWhenUsed/>
    <w:rsid w:val="009E1C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1CAA"/>
  </w:style>
  <w:style w:type="paragraph" w:styleId="ListParagraph">
    <w:name w:val="List Paragraph"/>
    <w:basedOn w:val="Normal"/>
    <w:uiPriority w:val="34"/>
    <w:qFormat/>
    <w:rsid w:val="00B87039"/>
    <w:pPr>
      <w:ind w:left="720"/>
      <w:contextualSpacing/>
    </w:pPr>
  </w:style>
  <w:style w:type="character" w:styleId="CommentReference">
    <w:name w:val="annotation reference"/>
    <w:basedOn w:val="DefaultParagraphFont"/>
    <w:uiPriority w:val="99"/>
    <w:semiHidden/>
    <w:unhideWhenUsed/>
    <w:rsid w:val="00F5005C"/>
    <w:rPr>
      <w:sz w:val="16"/>
      <w:szCs w:val="16"/>
    </w:rPr>
  </w:style>
  <w:style w:type="paragraph" w:styleId="CommentText">
    <w:name w:val="annotation text"/>
    <w:basedOn w:val="Normal"/>
    <w:link w:val="CommentTextChar"/>
    <w:uiPriority w:val="99"/>
    <w:semiHidden/>
    <w:unhideWhenUsed/>
    <w:rsid w:val="00F5005C"/>
    <w:pPr>
      <w:spacing w:line="240" w:lineRule="auto"/>
    </w:pPr>
    <w:rPr>
      <w:sz w:val="20"/>
      <w:szCs w:val="20"/>
    </w:rPr>
  </w:style>
  <w:style w:type="character" w:customStyle="1" w:styleId="CommentTextChar">
    <w:name w:val="Comment Text Char"/>
    <w:basedOn w:val="DefaultParagraphFont"/>
    <w:link w:val="CommentText"/>
    <w:uiPriority w:val="99"/>
    <w:semiHidden/>
    <w:rsid w:val="00F5005C"/>
    <w:rPr>
      <w:sz w:val="20"/>
      <w:szCs w:val="20"/>
    </w:rPr>
  </w:style>
  <w:style w:type="paragraph" w:styleId="CommentSubject">
    <w:name w:val="annotation subject"/>
    <w:basedOn w:val="CommentText"/>
    <w:next w:val="CommentText"/>
    <w:link w:val="CommentSubjectChar"/>
    <w:uiPriority w:val="99"/>
    <w:semiHidden/>
    <w:unhideWhenUsed/>
    <w:rsid w:val="00F5005C"/>
    <w:rPr>
      <w:b/>
      <w:bCs/>
    </w:rPr>
  </w:style>
  <w:style w:type="character" w:customStyle="1" w:styleId="CommentSubjectChar">
    <w:name w:val="Comment Subject Char"/>
    <w:basedOn w:val="CommentTextChar"/>
    <w:link w:val="CommentSubject"/>
    <w:uiPriority w:val="99"/>
    <w:semiHidden/>
    <w:rsid w:val="00F5005C"/>
    <w:rPr>
      <w:b/>
      <w:bCs/>
      <w:sz w:val="20"/>
      <w:szCs w:val="20"/>
    </w:rPr>
  </w:style>
  <w:style w:type="paragraph" w:styleId="BalloonText">
    <w:name w:val="Balloon Text"/>
    <w:basedOn w:val="Normal"/>
    <w:link w:val="BalloonTextChar"/>
    <w:uiPriority w:val="99"/>
    <w:semiHidden/>
    <w:unhideWhenUsed/>
    <w:rsid w:val="00F500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05C"/>
    <w:rPr>
      <w:rFonts w:ascii="Segoe UI" w:hAnsi="Segoe UI" w:cs="Segoe UI"/>
      <w:sz w:val="18"/>
      <w:szCs w:val="18"/>
    </w:rPr>
  </w:style>
  <w:style w:type="paragraph" w:styleId="Header">
    <w:name w:val="header"/>
    <w:basedOn w:val="Normal"/>
    <w:link w:val="HeaderChar"/>
    <w:rsid w:val="009E1CA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9E1CAA"/>
    <w:rPr>
      <w:rFonts w:ascii="Times New Roman" w:eastAsia="Times New Roman" w:hAnsi="Times New Roman" w:cs="Times New Roman"/>
      <w:sz w:val="24"/>
      <w:szCs w:val="24"/>
      <w:lang w:eastAsia="en-GB"/>
    </w:rPr>
  </w:style>
  <w:style w:type="paragraph" w:styleId="Footer">
    <w:name w:val="footer"/>
    <w:basedOn w:val="Normal"/>
    <w:link w:val="FooterChar"/>
    <w:rsid w:val="009E1CAA"/>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9E1CA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32AA"/>
    <w:rPr>
      <w:color w:val="0563C1" w:themeColor="hyperlink"/>
      <w:u w:val="single"/>
    </w:rPr>
  </w:style>
  <w:style w:type="table" w:styleId="TableGrid">
    <w:name w:val="Table Grid"/>
    <w:basedOn w:val="TableNormal"/>
    <w:uiPriority w:val="39"/>
    <w:rsid w:val="00BB0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7C3B"/>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236B8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26A4"/>
    <w:rPr>
      <w:color w:val="954F72" w:themeColor="followedHyperlink"/>
      <w:u w:val="single"/>
    </w:rPr>
  </w:style>
  <w:style w:type="paragraph" w:styleId="Revision">
    <w:name w:val="Revision"/>
    <w:hidden/>
    <w:uiPriority w:val="99"/>
    <w:semiHidden/>
    <w:rsid w:val="007E4C39"/>
    <w:pPr>
      <w:spacing w:after="0" w:line="240" w:lineRule="auto"/>
    </w:pPr>
  </w:style>
  <w:style w:type="character" w:styleId="LineNumber">
    <w:name w:val="line number"/>
    <w:basedOn w:val="DefaultParagraphFont"/>
    <w:uiPriority w:val="99"/>
    <w:semiHidden/>
    <w:unhideWhenUsed/>
    <w:rsid w:val="00C26182"/>
  </w:style>
  <w:style w:type="character" w:customStyle="1" w:styleId="Heading1Char">
    <w:name w:val="Heading 1 Char"/>
    <w:basedOn w:val="DefaultParagraphFont"/>
    <w:link w:val="Heading1"/>
    <w:rsid w:val="009E1CAA"/>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9E1CAA"/>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9E1CAA"/>
    <w:rPr>
      <w:rFonts w:ascii="Times New Roman" w:eastAsia="Times New Roman" w:hAnsi="Times New Roman" w:cs="Arial"/>
      <w:bCs/>
      <w:i/>
      <w:sz w:val="24"/>
      <w:szCs w:val="26"/>
      <w:lang w:eastAsia="en-GB"/>
    </w:rPr>
  </w:style>
  <w:style w:type="character" w:customStyle="1" w:styleId="Heading4Char">
    <w:name w:val="Heading 4 Char"/>
    <w:basedOn w:val="DefaultParagraphFont"/>
    <w:link w:val="Heading4"/>
    <w:rsid w:val="009E1CAA"/>
    <w:rPr>
      <w:rFonts w:ascii="Times New Roman" w:eastAsia="Times New Roman" w:hAnsi="Times New Roman" w:cs="Times New Roman"/>
      <w:bCs/>
      <w:sz w:val="24"/>
      <w:szCs w:val="28"/>
      <w:lang w:eastAsia="en-GB"/>
    </w:rPr>
  </w:style>
  <w:style w:type="paragraph" w:customStyle="1" w:styleId="Articletitle">
    <w:name w:val="Article title"/>
    <w:basedOn w:val="Normal"/>
    <w:next w:val="Normal"/>
    <w:qFormat/>
    <w:rsid w:val="009E1CAA"/>
    <w:pPr>
      <w:spacing w:after="120" w:line="360" w:lineRule="auto"/>
    </w:pPr>
    <w:rPr>
      <w:b/>
      <w:sz w:val="28"/>
    </w:rPr>
  </w:style>
  <w:style w:type="paragraph" w:customStyle="1" w:styleId="Authornames">
    <w:name w:val="Author names"/>
    <w:basedOn w:val="Normal"/>
    <w:next w:val="Normal"/>
    <w:qFormat/>
    <w:rsid w:val="009E1CAA"/>
    <w:pPr>
      <w:spacing w:before="240" w:line="360" w:lineRule="auto"/>
    </w:pPr>
    <w:rPr>
      <w:sz w:val="28"/>
    </w:rPr>
  </w:style>
  <w:style w:type="paragraph" w:customStyle="1" w:styleId="Affiliation">
    <w:name w:val="Affiliation"/>
    <w:basedOn w:val="Normal"/>
    <w:qFormat/>
    <w:rsid w:val="009E1CAA"/>
    <w:pPr>
      <w:spacing w:before="240" w:line="360" w:lineRule="auto"/>
    </w:pPr>
    <w:rPr>
      <w:i/>
    </w:rPr>
  </w:style>
  <w:style w:type="paragraph" w:customStyle="1" w:styleId="Receiveddates">
    <w:name w:val="Received dates"/>
    <w:basedOn w:val="Affiliation"/>
    <w:next w:val="Normal"/>
    <w:qFormat/>
    <w:rsid w:val="009E1CAA"/>
  </w:style>
  <w:style w:type="paragraph" w:customStyle="1" w:styleId="Abstract">
    <w:name w:val="Abstract"/>
    <w:basedOn w:val="Normal"/>
    <w:next w:val="Keywords"/>
    <w:qFormat/>
    <w:rsid w:val="009E1CAA"/>
    <w:pPr>
      <w:spacing w:before="360" w:after="300" w:line="360" w:lineRule="auto"/>
      <w:ind w:left="720" w:right="567"/>
    </w:pPr>
    <w:rPr>
      <w:sz w:val="22"/>
    </w:rPr>
  </w:style>
  <w:style w:type="paragraph" w:customStyle="1" w:styleId="Keywords">
    <w:name w:val="Keywords"/>
    <w:basedOn w:val="Normal"/>
    <w:next w:val="Paragraph"/>
    <w:qFormat/>
    <w:rsid w:val="009E1CAA"/>
    <w:pPr>
      <w:spacing w:before="240" w:after="240" w:line="360" w:lineRule="auto"/>
      <w:ind w:left="720" w:right="567"/>
    </w:pPr>
    <w:rPr>
      <w:sz w:val="22"/>
    </w:rPr>
  </w:style>
  <w:style w:type="paragraph" w:customStyle="1" w:styleId="Correspondencedetails">
    <w:name w:val="Correspondence details"/>
    <w:basedOn w:val="Normal"/>
    <w:qFormat/>
    <w:rsid w:val="009E1CAA"/>
    <w:pPr>
      <w:spacing w:before="240" w:line="360" w:lineRule="auto"/>
    </w:pPr>
  </w:style>
  <w:style w:type="paragraph" w:customStyle="1" w:styleId="Displayedquotation">
    <w:name w:val="Displayed quotation"/>
    <w:basedOn w:val="Normal"/>
    <w:qFormat/>
    <w:rsid w:val="009E1CAA"/>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9E1CAA"/>
    <w:pPr>
      <w:widowControl/>
      <w:numPr>
        <w:numId w:val="33"/>
      </w:numPr>
      <w:spacing w:after="240"/>
      <w:contextualSpacing/>
    </w:pPr>
  </w:style>
  <w:style w:type="paragraph" w:customStyle="1" w:styleId="Displayedequation">
    <w:name w:val="Displayed equation"/>
    <w:basedOn w:val="Normal"/>
    <w:next w:val="Paragraph"/>
    <w:qFormat/>
    <w:rsid w:val="009E1CAA"/>
    <w:pPr>
      <w:tabs>
        <w:tab w:val="center" w:pos="4253"/>
        <w:tab w:val="right" w:pos="8222"/>
      </w:tabs>
      <w:spacing w:before="240" w:after="240"/>
      <w:jc w:val="center"/>
    </w:pPr>
  </w:style>
  <w:style w:type="paragraph" w:customStyle="1" w:styleId="Acknowledgements">
    <w:name w:val="Acknowledgements"/>
    <w:basedOn w:val="Normal"/>
    <w:next w:val="Normal"/>
    <w:qFormat/>
    <w:rsid w:val="009E1CAA"/>
    <w:pPr>
      <w:spacing w:before="120" w:line="360" w:lineRule="auto"/>
    </w:pPr>
    <w:rPr>
      <w:sz w:val="22"/>
    </w:rPr>
  </w:style>
  <w:style w:type="paragraph" w:customStyle="1" w:styleId="Tabletitle">
    <w:name w:val="Table title"/>
    <w:basedOn w:val="Normal"/>
    <w:next w:val="Normal"/>
    <w:qFormat/>
    <w:rsid w:val="009E1CAA"/>
    <w:pPr>
      <w:spacing w:before="240" w:line="360" w:lineRule="auto"/>
    </w:pPr>
  </w:style>
  <w:style w:type="paragraph" w:customStyle="1" w:styleId="Figurecaption">
    <w:name w:val="Figure caption"/>
    <w:basedOn w:val="Normal"/>
    <w:next w:val="Normal"/>
    <w:qFormat/>
    <w:rsid w:val="009E1CAA"/>
    <w:pPr>
      <w:spacing w:before="240" w:line="360" w:lineRule="auto"/>
    </w:pPr>
  </w:style>
  <w:style w:type="paragraph" w:customStyle="1" w:styleId="Footnotes">
    <w:name w:val="Footnotes"/>
    <w:basedOn w:val="Normal"/>
    <w:qFormat/>
    <w:rsid w:val="009E1CAA"/>
    <w:pPr>
      <w:spacing w:before="120" w:line="360" w:lineRule="auto"/>
      <w:ind w:left="482" w:hanging="482"/>
      <w:contextualSpacing/>
    </w:pPr>
    <w:rPr>
      <w:sz w:val="22"/>
    </w:rPr>
  </w:style>
  <w:style w:type="paragraph" w:customStyle="1" w:styleId="Notesoncontributors">
    <w:name w:val="Notes on contributors"/>
    <w:basedOn w:val="Normal"/>
    <w:qFormat/>
    <w:rsid w:val="009E1CAA"/>
    <w:pPr>
      <w:spacing w:before="240" w:line="360" w:lineRule="auto"/>
    </w:pPr>
    <w:rPr>
      <w:sz w:val="22"/>
    </w:rPr>
  </w:style>
  <w:style w:type="paragraph" w:customStyle="1" w:styleId="Normalparagraphstyle">
    <w:name w:val="Normal paragraph style"/>
    <w:basedOn w:val="Normal"/>
    <w:next w:val="Normal"/>
    <w:rsid w:val="009E1CAA"/>
  </w:style>
  <w:style w:type="paragraph" w:customStyle="1" w:styleId="Paragraph">
    <w:name w:val="Paragraph"/>
    <w:basedOn w:val="Normal"/>
    <w:next w:val="Newparagraph"/>
    <w:qFormat/>
    <w:rsid w:val="009E1CAA"/>
    <w:pPr>
      <w:widowControl w:val="0"/>
      <w:spacing w:before="240"/>
    </w:pPr>
  </w:style>
  <w:style w:type="paragraph" w:customStyle="1" w:styleId="Newparagraph">
    <w:name w:val="New paragraph"/>
    <w:basedOn w:val="Normal"/>
    <w:qFormat/>
    <w:rsid w:val="009E1CAA"/>
    <w:pPr>
      <w:ind w:firstLine="720"/>
    </w:pPr>
  </w:style>
  <w:style w:type="paragraph" w:styleId="NormalIndent">
    <w:name w:val="Normal Indent"/>
    <w:basedOn w:val="Normal"/>
    <w:rsid w:val="009E1CAA"/>
    <w:pPr>
      <w:ind w:left="720"/>
    </w:pPr>
  </w:style>
  <w:style w:type="paragraph" w:customStyle="1" w:styleId="References">
    <w:name w:val="References"/>
    <w:basedOn w:val="Normal"/>
    <w:qFormat/>
    <w:rsid w:val="009E1CAA"/>
    <w:pPr>
      <w:spacing w:before="120" w:line="360" w:lineRule="auto"/>
      <w:ind w:left="720" w:hanging="720"/>
      <w:contextualSpacing/>
    </w:pPr>
  </w:style>
  <w:style w:type="paragraph" w:customStyle="1" w:styleId="Subjectcodes">
    <w:name w:val="Subject codes"/>
    <w:basedOn w:val="Keywords"/>
    <w:next w:val="Paragraph"/>
    <w:qFormat/>
    <w:rsid w:val="009E1CAA"/>
  </w:style>
  <w:style w:type="paragraph" w:customStyle="1" w:styleId="Bulletedlist">
    <w:name w:val="Bulleted list"/>
    <w:basedOn w:val="Paragraph"/>
    <w:next w:val="Paragraph"/>
    <w:qFormat/>
    <w:rsid w:val="009E1CAA"/>
    <w:pPr>
      <w:widowControl/>
      <w:numPr>
        <w:numId w:val="34"/>
      </w:numPr>
      <w:spacing w:after="240"/>
      <w:contextualSpacing/>
    </w:pPr>
  </w:style>
  <w:style w:type="paragraph" w:styleId="FootnoteText">
    <w:name w:val="footnote text"/>
    <w:basedOn w:val="Normal"/>
    <w:link w:val="FootnoteTextChar"/>
    <w:autoRedefine/>
    <w:rsid w:val="009E1CAA"/>
    <w:pPr>
      <w:ind w:left="284" w:hanging="284"/>
    </w:pPr>
    <w:rPr>
      <w:sz w:val="22"/>
      <w:szCs w:val="20"/>
    </w:rPr>
  </w:style>
  <w:style w:type="character" w:customStyle="1" w:styleId="FootnoteTextChar">
    <w:name w:val="Footnote Text Char"/>
    <w:basedOn w:val="DefaultParagraphFont"/>
    <w:link w:val="FootnoteText"/>
    <w:rsid w:val="009E1CAA"/>
    <w:rPr>
      <w:rFonts w:ascii="Times New Roman" w:eastAsia="Times New Roman" w:hAnsi="Times New Roman" w:cs="Times New Roman"/>
      <w:szCs w:val="20"/>
      <w:lang w:eastAsia="en-GB"/>
    </w:rPr>
  </w:style>
  <w:style w:type="character" w:styleId="FootnoteReference">
    <w:name w:val="footnote reference"/>
    <w:basedOn w:val="DefaultParagraphFont"/>
    <w:rsid w:val="009E1CAA"/>
    <w:rPr>
      <w:vertAlign w:val="superscript"/>
    </w:rPr>
  </w:style>
  <w:style w:type="paragraph" w:styleId="EndnoteText">
    <w:name w:val="endnote text"/>
    <w:basedOn w:val="Normal"/>
    <w:link w:val="EndnoteTextChar"/>
    <w:autoRedefine/>
    <w:rsid w:val="009E1CAA"/>
    <w:pPr>
      <w:ind w:left="284" w:hanging="284"/>
    </w:pPr>
    <w:rPr>
      <w:sz w:val="22"/>
      <w:szCs w:val="20"/>
    </w:rPr>
  </w:style>
  <w:style w:type="character" w:customStyle="1" w:styleId="EndnoteTextChar">
    <w:name w:val="Endnote Text Char"/>
    <w:basedOn w:val="DefaultParagraphFont"/>
    <w:link w:val="EndnoteText"/>
    <w:rsid w:val="009E1CAA"/>
    <w:rPr>
      <w:rFonts w:ascii="Times New Roman" w:eastAsia="Times New Roman" w:hAnsi="Times New Roman" w:cs="Times New Roman"/>
      <w:szCs w:val="20"/>
      <w:lang w:eastAsia="en-GB"/>
    </w:rPr>
  </w:style>
  <w:style w:type="character" w:styleId="EndnoteReference">
    <w:name w:val="endnote reference"/>
    <w:basedOn w:val="DefaultParagraphFont"/>
    <w:rsid w:val="009E1CAA"/>
    <w:rPr>
      <w:vertAlign w:val="superscript"/>
    </w:rPr>
  </w:style>
  <w:style w:type="paragraph" w:customStyle="1" w:styleId="Heading4Paragraph">
    <w:name w:val="Heading 4 + Paragraph"/>
    <w:basedOn w:val="Paragraph"/>
    <w:next w:val="Newparagraph"/>
    <w:qFormat/>
    <w:rsid w:val="009E1CAA"/>
    <w:pPr>
      <w:widowControl/>
      <w:spacing w:before="360"/>
    </w:pPr>
  </w:style>
  <w:style w:type="paragraph" w:customStyle="1" w:styleId="SMcaption">
    <w:name w:val="SM caption"/>
    <w:basedOn w:val="Normal"/>
    <w:qFormat/>
    <w:rsid w:val="00957500"/>
    <w:pPr>
      <w:spacing w:line="240" w:lineRule="auto"/>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524">
      <w:bodyDiv w:val="1"/>
      <w:marLeft w:val="0"/>
      <w:marRight w:val="0"/>
      <w:marTop w:val="0"/>
      <w:marBottom w:val="0"/>
      <w:divBdr>
        <w:top w:val="none" w:sz="0" w:space="0" w:color="auto"/>
        <w:left w:val="none" w:sz="0" w:space="0" w:color="auto"/>
        <w:bottom w:val="none" w:sz="0" w:space="0" w:color="auto"/>
        <w:right w:val="none" w:sz="0" w:space="0" w:color="auto"/>
      </w:divBdr>
    </w:div>
    <w:div w:id="67963764">
      <w:bodyDiv w:val="1"/>
      <w:marLeft w:val="0"/>
      <w:marRight w:val="0"/>
      <w:marTop w:val="0"/>
      <w:marBottom w:val="0"/>
      <w:divBdr>
        <w:top w:val="none" w:sz="0" w:space="0" w:color="auto"/>
        <w:left w:val="none" w:sz="0" w:space="0" w:color="auto"/>
        <w:bottom w:val="none" w:sz="0" w:space="0" w:color="auto"/>
        <w:right w:val="none" w:sz="0" w:space="0" w:color="auto"/>
      </w:divBdr>
    </w:div>
    <w:div w:id="970599887">
      <w:bodyDiv w:val="1"/>
      <w:marLeft w:val="0"/>
      <w:marRight w:val="0"/>
      <w:marTop w:val="0"/>
      <w:marBottom w:val="0"/>
      <w:divBdr>
        <w:top w:val="none" w:sz="0" w:space="0" w:color="auto"/>
        <w:left w:val="none" w:sz="0" w:space="0" w:color="auto"/>
        <w:bottom w:val="none" w:sz="0" w:space="0" w:color="auto"/>
        <w:right w:val="none" w:sz="0" w:space="0" w:color="auto"/>
      </w:divBdr>
    </w:div>
    <w:div w:id="1334335569">
      <w:bodyDiv w:val="1"/>
      <w:marLeft w:val="0"/>
      <w:marRight w:val="0"/>
      <w:marTop w:val="0"/>
      <w:marBottom w:val="0"/>
      <w:divBdr>
        <w:top w:val="none" w:sz="0" w:space="0" w:color="auto"/>
        <w:left w:val="none" w:sz="0" w:space="0" w:color="auto"/>
        <w:bottom w:val="none" w:sz="0" w:space="0" w:color="auto"/>
        <w:right w:val="none" w:sz="0" w:space="0" w:color="auto"/>
      </w:divBdr>
    </w:div>
    <w:div w:id="1603679755">
      <w:bodyDiv w:val="1"/>
      <w:marLeft w:val="0"/>
      <w:marRight w:val="0"/>
      <w:marTop w:val="0"/>
      <w:marBottom w:val="0"/>
      <w:divBdr>
        <w:top w:val="none" w:sz="0" w:space="0" w:color="auto"/>
        <w:left w:val="none" w:sz="0" w:space="0" w:color="auto"/>
        <w:bottom w:val="none" w:sz="0" w:space="0" w:color="auto"/>
        <w:right w:val="none" w:sz="0" w:space="0" w:color="auto"/>
      </w:divBdr>
    </w:div>
    <w:div w:id="170782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dole@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pdaac.usg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1g14\Dropbox\new_thoughts\Third_paper\TO_JOURNAL\NEW_SUBMISSION\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B1DE-C5B7-4AA6-A577-47577985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858</TotalTime>
  <Pages>1</Pages>
  <Words>34154</Words>
  <Characters>194678</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Adole T.</dc:creator>
  <cp:keywords/>
  <dc:description/>
  <cp:lastModifiedBy>Adole T.</cp:lastModifiedBy>
  <cp:revision>49</cp:revision>
  <dcterms:created xsi:type="dcterms:W3CDTF">2018-02-19T12:51:00Z</dcterms:created>
  <dcterms:modified xsi:type="dcterms:W3CDTF">2018-05-27T06:24:00Z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40af151b-4d8e-37f5-aa1a-bfb2e057baf1</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http://www.zotero.org/styles/global-ecology-and-biogeography</vt:lpwstr>
  </property>
  <property fmtid="{D5CDD505-2E9C-101B-9397-08002B2CF9AE}" pid="18" name="Mendeley Recent Style Name 6_1">
    <vt:lpwstr>Global Ecology and Biogeography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