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C907" w14:textId="22B91AE0" w:rsidR="00227DD9" w:rsidRPr="002F5BE1" w:rsidRDefault="00A139A1" w:rsidP="00EA70E8">
      <w:pPr>
        <w:jc w:val="center"/>
        <w:outlineLvl w:val="0"/>
        <w:rPr>
          <w:rFonts w:ascii="Garamond" w:hAnsi="Garamond"/>
          <w:b/>
          <w:sz w:val="24"/>
          <w:szCs w:val="24"/>
        </w:rPr>
      </w:pPr>
      <w:r>
        <w:rPr>
          <w:rFonts w:ascii="Garamond" w:hAnsi="Garamond"/>
          <w:b/>
          <w:sz w:val="24"/>
          <w:szCs w:val="24"/>
        </w:rPr>
        <w:t>[</w:t>
      </w:r>
      <w:r w:rsidR="007C7E59" w:rsidRPr="002F5BE1">
        <w:rPr>
          <w:rFonts w:ascii="Garamond" w:hAnsi="Garamond"/>
          <w:b/>
          <w:sz w:val="24"/>
          <w:szCs w:val="24"/>
        </w:rPr>
        <w:t>Book review</w:t>
      </w:r>
      <w:r w:rsidR="00D5392B" w:rsidRPr="002F5BE1">
        <w:rPr>
          <w:rFonts w:ascii="Garamond" w:hAnsi="Garamond"/>
          <w:b/>
          <w:sz w:val="24"/>
          <w:szCs w:val="24"/>
        </w:rPr>
        <w:t xml:space="preserve"> </w:t>
      </w:r>
      <w:r w:rsidR="00227DD9" w:rsidRPr="002F5BE1">
        <w:rPr>
          <w:rFonts w:ascii="Garamond" w:hAnsi="Garamond"/>
          <w:b/>
          <w:sz w:val="24"/>
          <w:szCs w:val="24"/>
        </w:rPr>
        <w:t>for the MLR</w:t>
      </w:r>
      <w:r>
        <w:rPr>
          <w:rFonts w:ascii="Garamond" w:hAnsi="Garamond"/>
          <w:b/>
          <w:sz w:val="24"/>
          <w:szCs w:val="24"/>
        </w:rPr>
        <w:t>]</w:t>
      </w:r>
    </w:p>
    <w:p w14:paraId="363FA086" w14:textId="77777777" w:rsidR="00EA70E8" w:rsidRPr="002F5BE1" w:rsidRDefault="00EA70E8" w:rsidP="00EA70E8">
      <w:pPr>
        <w:jc w:val="center"/>
        <w:outlineLvl w:val="0"/>
        <w:rPr>
          <w:rFonts w:ascii="Garamond" w:hAnsi="Garamond"/>
          <w:b/>
          <w:sz w:val="24"/>
          <w:szCs w:val="24"/>
        </w:rPr>
      </w:pPr>
    </w:p>
    <w:p w14:paraId="63423B47" w14:textId="7ABB62EF" w:rsidR="00EA70E8" w:rsidRPr="00A139A1" w:rsidRDefault="00A26CFD" w:rsidP="00EA70E8">
      <w:pPr>
        <w:jc w:val="center"/>
        <w:outlineLvl w:val="0"/>
        <w:rPr>
          <w:rFonts w:ascii="Garamond" w:hAnsi="Garamond"/>
          <w:i/>
          <w:sz w:val="24"/>
          <w:szCs w:val="24"/>
        </w:rPr>
      </w:pPr>
      <w:r w:rsidRPr="00A139A1">
        <w:rPr>
          <w:rFonts w:ascii="Garamond" w:hAnsi="Garamond"/>
          <w:i/>
          <w:sz w:val="24"/>
          <w:szCs w:val="24"/>
        </w:rPr>
        <w:t xml:space="preserve">Benjamin Mason Meier and </w:t>
      </w:r>
      <w:r w:rsidR="00EA70E8" w:rsidRPr="00A139A1">
        <w:rPr>
          <w:rFonts w:ascii="Garamond" w:hAnsi="Garamond"/>
          <w:i/>
          <w:sz w:val="24"/>
          <w:szCs w:val="24"/>
        </w:rPr>
        <w:t xml:space="preserve">Lawrence O. </w:t>
      </w:r>
      <w:proofErr w:type="spellStart"/>
      <w:r w:rsidR="00EA70E8" w:rsidRPr="00A139A1">
        <w:rPr>
          <w:rFonts w:ascii="Garamond" w:hAnsi="Garamond"/>
          <w:i/>
          <w:sz w:val="24"/>
          <w:szCs w:val="24"/>
        </w:rPr>
        <w:t>Gostin</w:t>
      </w:r>
      <w:proofErr w:type="spellEnd"/>
      <w:r w:rsidR="00EA70E8" w:rsidRPr="00A139A1">
        <w:rPr>
          <w:rFonts w:ascii="Garamond" w:hAnsi="Garamond"/>
          <w:i/>
          <w:sz w:val="24"/>
          <w:szCs w:val="24"/>
        </w:rPr>
        <w:t xml:space="preserve"> (</w:t>
      </w:r>
      <w:proofErr w:type="spellStart"/>
      <w:r w:rsidR="00EA70E8" w:rsidRPr="00A139A1">
        <w:rPr>
          <w:rFonts w:ascii="Garamond" w:hAnsi="Garamond"/>
          <w:i/>
          <w:sz w:val="24"/>
          <w:szCs w:val="24"/>
        </w:rPr>
        <w:t>eds</w:t>
      </w:r>
      <w:proofErr w:type="spellEnd"/>
      <w:r w:rsidR="00EA70E8" w:rsidRPr="00A139A1">
        <w:rPr>
          <w:rFonts w:ascii="Garamond" w:hAnsi="Garamond"/>
          <w:i/>
          <w:sz w:val="24"/>
          <w:szCs w:val="24"/>
        </w:rPr>
        <w:t xml:space="preserve">) </w:t>
      </w:r>
    </w:p>
    <w:p w14:paraId="0F7885F7" w14:textId="77777777" w:rsidR="00EA70E8" w:rsidRPr="002F5BE1" w:rsidRDefault="00EA70E8" w:rsidP="00EA70E8">
      <w:pPr>
        <w:jc w:val="center"/>
        <w:outlineLvl w:val="0"/>
        <w:rPr>
          <w:rFonts w:ascii="Garamond" w:hAnsi="Garamond"/>
          <w:b/>
          <w:sz w:val="24"/>
          <w:szCs w:val="24"/>
        </w:rPr>
      </w:pPr>
      <w:r w:rsidRPr="002F5BE1">
        <w:rPr>
          <w:rFonts w:ascii="Garamond" w:hAnsi="Garamond"/>
          <w:b/>
          <w:sz w:val="24"/>
          <w:szCs w:val="24"/>
        </w:rPr>
        <w:t>‘</w:t>
      </w:r>
      <w:r w:rsidR="00227DD9" w:rsidRPr="002F5BE1">
        <w:rPr>
          <w:rFonts w:ascii="Garamond" w:hAnsi="Garamond"/>
          <w:b/>
          <w:sz w:val="24"/>
          <w:szCs w:val="24"/>
        </w:rPr>
        <w:t>Human Rights in Global Health: Rights-Based Governance for a Globalizing World</w:t>
      </w:r>
      <w:r w:rsidRPr="002F5BE1">
        <w:rPr>
          <w:rFonts w:ascii="Garamond" w:hAnsi="Garamond"/>
          <w:b/>
          <w:sz w:val="24"/>
          <w:szCs w:val="24"/>
        </w:rPr>
        <w:t xml:space="preserve">’ </w:t>
      </w:r>
    </w:p>
    <w:p w14:paraId="50D48703" w14:textId="77777777" w:rsidR="00A139A1" w:rsidRPr="00A139A1" w:rsidRDefault="00A139A1" w:rsidP="00EA70E8">
      <w:pPr>
        <w:jc w:val="center"/>
        <w:outlineLvl w:val="0"/>
        <w:rPr>
          <w:rFonts w:ascii="Garamond" w:hAnsi="Garamond"/>
          <w:sz w:val="24"/>
          <w:szCs w:val="24"/>
        </w:rPr>
      </w:pPr>
      <w:r w:rsidRPr="00A139A1">
        <w:rPr>
          <w:rFonts w:ascii="Garamond" w:hAnsi="Garamond"/>
          <w:sz w:val="24"/>
          <w:szCs w:val="24"/>
        </w:rPr>
        <w:t>(Oxford University Press: New York,</w:t>
      </w:r>
      <w:r w:rsidR="00EA70E8" w:rsidRPr="00A139A1">
        <w:rPr>
          <w:rFonts w:ascii="Garamond" w:hAnsi="Garamond"/>
          <w:sz w:val="24"/>
          <w:szCs w:val="24"/>
        </w:rPr>
        <w:t xml:space="preserve"> 2018)</w:t>
      </w:r>
      <w:r w:rsidRPr="00A139A1">
        <w:rPr>
          <w:rFonts w:ascii="Garamond" w:hAnsi="Garamond"/>
          <w:sz w:val="24"/>
          <w:szCs w:val="24"/>
        </w:rPr>
        <w:t xml:space="preserve"> </w:t>
      </w:r>
    </w:p>
    <w:p w14:paraId="77D8A2DE" w14:textId="6719283F" w:rsidR="00EA70E8" w:rsidRPr="00A139A1" w:rsidRDefault="00A139A1" w:rsidP="00EA70E8">
      <w:pPr>
        <w:jc w:val="center"/>
        <w:outlineLvl w:val="0"/>
        <w:rPr>
          <w:rFonts w:ascii="Garamond" w:hAnsi="Garamond"/>
          <w:sz w:val="24"/>
          <w:szCs w:val="24"/>
        </w:rPr>
      </w:pPr>
      <w:r w:rsidRPr="00A139A1">
        <w:rPr>
          <w:rFonts w:ascii="Garamond" w:hAnsi="Garamond"/>
          <w:sz w:val="24"/>
          <w:szCs w:val="24"/>
        </w:rPr>
        <w:t xml:space="preserve">(616 pages, </w:t>
      </w:r>
      <w:proofErr w:type="spellStart"/>
      <w:r w:rsidRPr="00A139A1">
        <w:rPr>
          <w:rFonts w:ascii="Garamond" w:hAnsi="Garamond"/>
          <w:sz w:val="24"/>
          <w:szCs w:val="24"/>
        </w:rPr>
        <w:t>pb</w:t>
      </w:r>
      <w:proofErr w:type="spellEnd"/>
      <w:r w:rsidRPr="00A139A1">
        <w:rPr>
          <w:rFonts w:ascii="Garamond" w:hAnsi="Garamond"/>
          <w:sz w:val="24"/>
          <w:szCs w:val="24"/>
        </w:rPr>
        <w:t>, £39.99)</w:t>
      </w:r>
    </w:p>
    <w:p w14:paraId="632F6B3D" w14:textId="77777777" w:rsidR="00390962" w:rsidRPr="002F5BE1" w:rsidRDefault="00390962" w:rsidP="005B5B3F">
      <w:pPr>
        <w:jc w:val="both"/>
        <w:rPr>
          <w:rFonts w:ascii="Garamond" w:hAnsi="Garamond"/>
          <w:sz w:val="24"/>
          <w:szCs w:val="24"/>
        </w:rPr>
      </w:pPr>
    </w:p>
    <w:p w14:paraId="06BEDC3E" w14:textId="3E59011D" w:rsidR="00F20995" w:rsidRDefault="00F80F4D" w:rsidP="005B5B3F">
      <w:pPr>
        <w:jc w:val="both"/>
        <w:rPr>
          <w:rFonts w:ascii="Garamond" w:hAnsi="Garamond"/>
          <w:sz w:val="24"/>
          <w:szCs w:val="24"/>
        </w:rPr>
      </w:pPr>
      <w:r>
        <w:rPr>
          <w:rFonts w:ascii="Garamond" w:hAnsi="Garamond"/>
          <w:sz w:val="24"/>
          <w:szCs w:val="24"/>
        </w:rPr>
        <w:t>Recent</w:t>
      </w:r>
      <w:r w:rsidR="00DA23EF">
        <w:rPr>
          <w:rFonts w:ascii="Garamond" w:hAnsi="Garamond"/>
          <w:sz w:val="24"/>
          <w:szCs w:val="24"/>
        </w:rPr>
        <w:t xml:space="preserve"> virus outbreaks</w:t>
      </w:r>
      <w:r w:rsidR="003919C7">
        <w:rPr>
          <w:rFonts w:ascii="Garamond" w:hAnsi="Garamond"/>
          <w:sz w:val="24"/>
          <w:szCs w:val="24"/>
        </w:rPr>
        <w:t xml:space="preserve"> </w:t>
      </w:r>
      <w:r w:rsidR="00DA23EF">
        <w:rPr>
          <w:rFonts w:ascii="Garamond" w:hAnsi="Garamond"/>
          <w:sz w:val="24"/>
          <w:szCs w:val="24"/>
        </w:rPr>
        <w:t xml:space="preserve">such as </w:t>
      </w:r>
      <w:r w:rsidR="005A5EAF">
        <w:rPr>
          <w:rFonts w:ascii="Garamond" w:hAnsi="Garamond"/>
          <w:sz w:val="24"/>
          <w:szCs w:val="24"/>
        </w:rPr>
        <w:t xml:space="preserve">Ebola, </w:t>
      </w:r>
      <w:proofErr w:type="spellStart"/>
      <w:r w:rsidR="005A5EAF">
        <w:rPr>
          <w:rFonts w:ascii="Garamond" w:hAnsi="Garamond"/>
          <w:sz w:val="24"/>
          <w:szCs w:val="24"/>
        </w:rPr>
        <w:t>Zika</w:t>
      </w:r>
      <w:proofErr w:type="spellEnd"/>
      <w:r w:rsidR="005A5EAF">
        <w:rPr>
          <w:rFonts w:ascii="Garamond" w:hAnsi="Garamond"/>
          <w:sz w:val="24"/>
          <w:szCs w:val="24"/>
        </w:rPr>
        <w:t xml:space="preserve">, </w:t>
      </w:r>
      <w:r>
        <w:rPr>
          <w:rFonts w:ascii="Garamond" w:hAnsi="Garamond"/>
          <w:sz w:val="24"/>
          <w:szCs w:val="24"/>
        </w:rPr>
        <w:t xml:space="preserve">or cholera keep reminding us that in a globalised world, health cannot be conceived as a state-centric issue. More positively, </w:t>
      </w:r>
      <w:r w:rsidR="00EB10ED">
        <w:rPr>
          <w:rFonts w:ascii="Garamond" w:hAnsi="Garamond"/>
          <w:sz w:val="24"/>
          <w:szCs w:val="24"/>
        </w:rPr>
        <w:t xml:space="preserve">medical </w:t>
      </w:r>
      <w:r>
        <w:rPr>
          <w:rFonts w:ascii="Garamond" w:hAnsi="Garamond"/>
          <w:sz w:val="24"/>
          <w:szCs w:val="24"/>
        </w:rPr>
        <w:t xml:space="preserve">treatments found through ground-breaking research can also travel </w:t>
      </w:r>
      <w:r w:rsidR="0056320F">
        <w:rPr>
          <w:rFonts w:ascii="Garamond" w:hAnsi="Garamond"/>
          <w:sz w:val="24"/>
          <w:szCs w:val="24"/>
        </w:rPr>
        <w:t xml:space="preserve">swiftly </w:t>
      </w:r>
      <w:r>
        <w:rPr>
          <w:rFonts w:ascii="Garamond" w:hAnsi="Garamond"/>
          <w:sz w:val="24"/>
          <w:szCs w:val="24"/>
        </w:rPr>
        <w:t>across continents.</w:t>
      </w:r>
      <w:r w:rsidR="00EB10ED">
        <w:rPr>
          <w:rFonts w:ascii="Garamond" w:hAnsi="Garamond"/>
          <w:sz w:val="24"/>
          <w:szCs w:val="24"/>
        </w:rPr>
        <w:t xml:space="preserve"> However, </w:t>
      </w:r>
      <w:r w:rsidR="002E60AA">
        <w:rPr>
          <w:rFonts w:ascii="Garamond" w:hAnsi="Garamond"/>
          <w:sz w:val="24"/>
          <w:szCs w:val="24"/>
        </w:rPr>
        <w:t xml:space="preserve">prevalence of </w:t>
      </w:r>
      <w:r w:rsidR="00EB10ED">
        <w:rPr>
          <w:rFonts w:ascii="Garamond" w:hAnsi="Garamond"/>
          <w:sz w:val="24"/>
          <w:szCs w:val="24"/>
        </w:rPr>
        <w:t>ill-health</w:t>
      </w:r>
      <w:r w:rsidR="002E60AA">
        <w:rPr>
          <w:rFonts w:ascii="Garamond" w:hAnsi="Garamond"/>
          <w:sz w:val="24"/>
          <w:szCs w:val="24"/>
        </w:rPr>
        <w:t xml:space="preserve"> and access to its cures</w:t>
      </w:r>
      <w:r w:rsidR="00EB10ED">
        <w:rPr>
          <w:rFonts w:ascii="Garamond" w:hAnsi="Garamond"/>
          <w:sz w:val="24"/>
          <w:szCs w:val="24"/>
        </w:rPr>
        <w:t xml:space="preserve"> </w:t>
      </w:r>
      <w:r w:rsidR="00390962">
        <w:rPr>
          <w:rFonts w:ascii="Garamond" w:hAnsi="Garamond"/>
          <w:sz w:val="24"/>
          <w:szCs w:val="24"/>
        </w:rPr>
        <w:t xml:space="preserve">are not often </w:t>
      </w:r>
      <w:r w:rsidR="00860520">
        <w:rPr>
          <w:rFonts w:ascii="Garamond" w:hAnsi="Garamond"/>
          <w:sz w:val="24"/>
          <w:szCs w:val="24"/>
        </w:rPr>
        <w:t>reliant</w:t>
      </w:r>
      <w:r w:rsidR="002E60AA">
        <w:rPr>
          <w:rFonts w:ascii="Garamond" w:hAnsi="Garamond"/>
          <w:sz w:val="24"/>
          <w:szCs w:val="24"/>
        </w:rPr>
        <w:t xml:space="preserve"> on coincidence. C</w:t>
      </w:r>
      <w:r w:rsidR="00EB10ED">
        <w:rPr>
          <w:rFonts w:ascii="Garamond" w:hAnsi="Garamond"/>
          <w:sz w:val="24"/>
          <w:szCs w:val="24"/>
        </w:rPr>
        <w:t xml:space="preserve">ertain regions, certain countries, </w:t>
      </w:r>
      <w:r w:rsidR="008A00AE">
        <w:rPr>
          <w:rFonts w:ascii="Garamond" w:hAnsi="Garamond"/>
          <w:sz w:val="24"/>
          <w:szCs w:val="24"/>
        </w:rPr>
        <w:t xml:space="preserve">and </w:t>
      </w:r>
      <w:r w:rsidR="00EB10ED">
        <w:rPr>
          <w:rFonts w:ascii="Garamond" w:hAnsi="Garamond"/>
          <w:sz w:val="24"/>
          <w:szCs w:val="24"/>
        </w:rPr>
        <w:t>certain</w:t>
      </w:r>
      <w:r w:rsidR="008A00AE">
        <w:rPr>
          <w:rFonts w:ascii="Garamond" w:hAnsi="Garamond"/>
          <w:sz w:val="24"/>
          <w:szCs w:val="24"/>
        </w:rPr>
        <w:t xml:space="preserve"> groups of</w:t>
      </w:r>
      <w:r w:rsidR="00EB10ED">
        <w:rPr>
          <w:rFonts w:ascii="Garamond" w:hAnsi="Garamond"/>
          <w:sz w:val="24"/>
          <w:szCs w:val="24"/>
        </w:rPr>
        <w:t xml:space="preserve"> individuals tend to suffer a higher burden of diseases than others. What can we learn from this and how can we address it? </w:t>
      </w:r>
    </w:p>
    <w:p w14:paraId="3FF2AF07" w14:textId="3268C175" w:rsidR="008E4F2A" w:rsidRDefault="00F20995" w:rsidP="005B5B3F">
      <w:pPr>
        <w:jc w:val="both"/>
        <w:rPr>
          <w:rFonts w:ascii="Garamond" w:hAnsi="Garamond"/>
          <w:sz w:val="24"/>
          <w:szCs w:val="24"/>
        </w:rPr>
      </w:pPr>
      <w:r>
        <w:rPr>
          <w:rFonts w:ascii="Garamond" w:hAnsi="Garamond"/>
          <w:sz w:val="24"/>
          <w:szCs w:val="24"/>
        </w:rPr>
        <w:t xml:space="preserve">Whilst it may not be the first discipline </w:t>
      </w:r>
      <w:r w:rsidR="00A46699">
        <w:rPr>
          <w:rFonts w:ascii="Garamond" w:hAnsi="Garamond"/>
          <w:sz w:val="24"/>
          <w:szCs w:val="24"/>
        </w:rPr>
        <w:t>coming</w:t>
      </w:r>
      <w:r w:rsidR="00A26CFD">
        <w:rPr>
          <w:rFonts w:ascii="Garamond" w:hAnsi="Garamond"/>
          <w:sz w:val="24"/>
          <w:szCs w:val="24"/>
        </w:rPr>
        <w:t xml:space="preserve"> to the mind of many</w:t>
      </w:r>
      <w:r>
        <w:rPr>
          <w:rFonts w:ascii="Garamond" w:hAnsi="Garamond"/>
          <w:sz w:val="24"/>
          <w:szCs w:val="24"/>
        </w:rPr>
        <w:t>, human rights law has</w:t>
      </w:r>
      <w:r w:rsidR="00860520">
        <w:rPr>
          <w:rFonts w:ascii="Garamond" w:hAnsi="Garamond"/>
          <w:sz w:val="24"/>
          <w:szCs w:val="24"/>
        </w:rPr>
        <w:t xml:space="preserve"> – in fact –</w:t>
      </w:r>
      <w:r>
        <w:rPr>
          <w:rFonts w:ascii="Garamond" w:hAnsi="Garamond"/>
          <w:sz w:val="24"/>
          <w:szCs w:val="24"/>
        </w:rPr>
        <w:t xml:space="preserve"> a lot to say on </w:t>
      </w:r>
      <w:r w:rsidR="00860520">
        <w:rPr>
          <w:rFonts w:ascii="Garamond" w:hAnsi="Garamond"/>
          <w:sz w:val="24"/>
          <w:szCs w:val="24"/>
        </w:rPr>
        <w:t>global</w:t>
      </w:r>
      <w:r>
        <w:rPr>
          <w:rFonts w:ascii="Garamond" w:hAnsi="Garamond"/>
          <w:sz w:val="24"/>
          <w:szCs w:val="24"/>
        </w:rPr>
        <w:t xml:space="preserve"> health inequities, thanks to</w:t>
      </w:r>
      <w:r w:rsidR="00A26CFD">
        <w:rPr>
          <w:rFonts w:ascii="Garamond" w:hAnsi="Garamond"/>
          <w:sz w:val="24"/>
          <w:szCs w:val="24"/>
        </w:rPr>
        <w:t xml:space="preserve"> the</w:t>
      </w:r>
      <w:r>
        <w:rPr>
          <w:rFonts w:ascii="Garamond" w:hAnsi="Garamond"/>
          <w:sz w:val="24"/>
          <w:szCs w:val="24"/>
        </w:rPr>
        <w:t xml:space="preserve"> values</w:t>
      </w:r>
      <w:r w:rsidR="00A26CFD">
        <w:rPr>
          <w:rFonts w:ascii="Garamond" w:hAnsi="Garamond"/>
          <w:sz w:val="24"/>
          <w:szCs w:val="24"/>
        </w:rPr>
        <w:t xml:space="preserve"> it is driven by: </w:t>
      </w:r>
      <w:r>
        <w:rPr>
          <w:rFonts w:ascii="Garamond" w:hAnsi="Garamond"/>
          <w:sz w:val="24"/>
          <w:szCs w:val="24"/>
        </w:rPr>
        <w:t xml:space="preserve">the </w:t>
      </w:r>
      <w:r w:rsidR="00A26CFD">
        <w:rPr>
          <w:rFonts w:ascii="Garamond" w:hAnsi="Garamond"/>
          <w:sz w:val="24"/>
          <w:szCs w:val="24"/>
        </w:rPr>
        <w:t xml:space="preserve">quest for dignity and </w:t>
      </w:r>
      <w:r>
        <w:rPr>
          <w:rFonts w:ascii="Garamond" w:hAnsi="Garamond"/>
          <w:sz w:val="24"/>
          <w:szCs w:val="24"/>
        </w:rPr>
        <w:t>equality</w:t>
      </w:r>
      <w:r w:rsidR="00A26CFD">
        <w:rPr>
          <w:rFonts w:ascii="Garamond" w:hAnsi="Garamond"/>
          <w:sz w:val="24"/>
          <w:szCs w:val="24"/>
        </w:rPr>
        <w:t xml:space="preserve"> for all human beings. As we </w:t>
      </w:r>
      <w:r w:rsidR="0056320F">
        <w:rPr>
          <w:rFonts w:ascii="Garamond" w:hAnsi="Garamond"/>
          <w:sz w:val="24"/>
          <w:szCs w:val="24"/>
        </w:rPr>
        <w:t>step</w:t>
      </w:r>
      <w:r w:rsidR="00A26CFD">
        <w:rPr>
          <w:rFonts w:ascii="Garamond" w:hAnsi="Garamond"/>
          <w:sz w:val="24"/>
          <w:szCs w:val="24"/>
        </w:rPr>
        <w:t xml:space="preserve"> into the seventh decade since the human right to health was first recognised, and the third decade since the health and human rights movement was formed, the volume </w:t>
      </w:r>
      <w:r w:rsidR="00A26CFD" w:rsidRPr="00860520">
        <w:rPr>
          <w:rFonts w:ascii="Garamond" w:hAnsi="Garamond"/>
          <w:i/>
          <w:sz w:val="24"/>
          <w:szCs w:val="24"/>
        </w:rPr>
        <w:t>Human Rights in Global Health: Rights-Based Governance for a Globalizing World</w:t>
      </w:r>
      <w:r w:rsidR="00A26CFD">
        <w:rPr>
          <w:rFonts w:ascii="Garamond" w:hAnsi="Garamond"/>
          <w:sz w:val="24"/>
          <w:szCs w:val="24"/>
        </w:rPr>
        <w:t xml:space="preserve"> edited by </w:t>
      </w:r>
      <w:r w:rsidR="008E4F2A">
        <w:rPr>
          <w:rFonts w:ascii="Garamond" w:hAnsi="Garamond"/>
          <w:sz w:val="24"/>
          <w:szCs w:val="24"/>
        </w:rPr>
        <w:t xml:space="preserve">Dr </w:t>
      </w:r>
      <w:r w:rsidR="00A26CFD" w:rsidRPr="00A26CFD">
        <w:rPr>
          <w:rFonts w:ascii="Garamond" w:hAnsi="Garamond"/>
          <w:sz w:val="24"/>
          <w:szCs w:val="24"/>
        </w:rPr>
        <w:t xml:space="preserve">Benjamin Mason Meier and </w:t>
      </w:r>
      <w:r w:rsidR="008E4F2A">
        <w:rPr>
          <w:rFonts w:ascii="Garamond" w:hAnsi="Garamond"/>
          <w:sz w:val="24"/>
          <w:szCs w:val="24"/>
        </w:rPr>
        <w:t xml:space="preserve">Professor </w:t>
      </w:r>
      <w:r w:rsidR="00A26CFD" w:rsidRPr="00A26CFD">
        <w:rPr>
          <w:rFonts w:ascii="Garamond" w:hAnsi="Garamond"/>
          <w:sz w:val="24"/>
          <w:szCs w:val="24"/>
        </w:rPr>
        <w:t xml:space="preserve">Lawrence O. </w:t>
      </w:r>
      <w:proofErr w:type="spellStart"/>
      <w:r w:rsidR="00A26CFD" w:rsidRPr="00A26CFD">
        <w:rPr>
          <w:rFonts w:ascii="Garamond" w:hAnsi="Garamond"/>
          <w:sz w:val="24"/>
          <w:szCs w:val="24"/>
        </w:rPr>
        <w:t>Gostin</w:t>
      </w:r>
      <w:proofErr w:type="spellEnd"/>
      <w:r w:rsidR="00A26CFD">
        <w:rPr>
          <w:rFonts w:ascii="Garamond" w:hAnsi="Garamond"/>
          <w:sz w:val="24"/>
          <w:szCs w:val="24"/>
        </w:rPr>
        <w:t xml:space="preserve"> come</w:t>
      </w:r>
      <w:r w:rsidR="00A46699">
        <w:rPr>
          <w:rFonts w:ascii="Garamond" w:hAnsi="Garamond"/>
          <w:sz w:val="24"/>
          <w:szCs w:val="24"/>
        </w:rPr>
        <w:t>s</w:t>
      </w:r>
      <w:r w:rsidR="00A26CFD">
        <w:rPr>
          <w:rFonts w:ascii="Garamond" w:hAnsi="Garamond"/>
          <w:sz w:val="24"/>
          <w:szCs w:val="24"/>
        </w:rPr>
        <w:t xml:space="preserve"> at an opportune time</w:t>
      </w:r>
      <w:r w:rsidR="00A139A1">
        <w:rPr>
          <w:rFonts w:ascii="Garamond" w:hAnsi="Garamond"/>
          <w:sz w:val="24"/>
          <w:szCs w:val="24"/>
        </w:rPr>
        <w:t>. Throughout its 616</w:t>
      </w:r>
      <w:r w:rsidR="00A26CFD">
        <w:rPr>
          <w:rFonts w:ascii="Garamond" w:hAnsi="Garamond"/>
          <w:sz w:val="24"/>
          <w:szCs w:val="24"/>
        </w:rPr>
        <w:t xml:space="preserve"> pages, this book </w:t>
      </w:r>
      <w:r w:rsidR="0056320F">
        <w:rPr>
          <w:rFonts w:ascii="Garamond" w:hAnsi="Garamond"/>
          <w:sz w:val="24"/>
          <w:szCs w:val="24"/>
        </w:rPr>
        <w:t>enables the reader</w:t>
      </w:r>
      <w:r w:rsidR="00A26CFD">
        <w:rPr>
          <w:rFonts w:ascii="Garamond" w:hAnsi="Garamond"/>
          <w:sz w:val="24"/>
          <w:szCs w:val="24"/>
        </w:rPr>
        <w:t xml:space="preserve"> to reflect on how human rights have influenced and shaped global health, and what the future holds in this field.</w:t>
      </w:r>
    </w:p>
    <w:p w14:paraId="0CB76C27" w14:textId="15DAB21D" w:rsidR="002F1FA4" w:rsidRDefault="00E17D6A" w:rsidP="005B5B3F">
      <w:pPr>
        <w:jc w:val="both"/>
        <w:rPr>
          <w:rFonts w:ascii="Garamond" w:hAnsi="Garamond"/>
          <w:sz w:val="24"/>
          <w:szCs w:val="24"/>
        </w:rPr>
      </w:pPr>
      <w:r>
        <w:rPr>
          <w:rFonts w:ascii="Garamond" w:hAnsi="Garamond"/>
          <w:sz w:val="24"/>
          <w:szCs w:val="24"/>
        </w:rPr>
        <w:t xml:space="preserve">Forty-eight </w:t>
      </w:r>
      <w:r w:rsidR="00A46699">
        <w:rPr>
          <w:rFonts w:ascii="Garamond" w:hAnsi="Garamond"/>
          <w:sz w:val="24"/>
          <w:szCs w:val="24"/>
        </w:rPr>
        <w:t xml:space="preserve">eminent </w:t>
      </w:r>
      <w:r w:rsidRPr="00E17D6A">
        <w:rPr>
          <w:rFonts w:ascii="Garamond" w:hAnsi="Garamond"/>
          <w:sz w:val="24"/>
          <w:szCs w:val="24"/>
        </w:rPr>
        <w:t>scholars</w:t>
      </w:r>
      <w:r>
        <w:rPr>
          <w:rFonts w:ascii="Garamond" w:hAnsi="Garamond"/>
          <w:sz w:val="24"/>
          <w:szCs w:val="24"/>
        </w:rPr>
        <w:t xml:space="preserve"> bring</w:t>
      </w:r>
      <w:r w:rsidR="003D4086" w:rsidRPr="002F5BE1">
        <w:rPr>
          <w:rFonts w:ascii="Garamond" w:hAnsi="Garamond"/>
          <w:sz w:val="24"/>
          <w:szCs w:val="24"/>
        </w:rPr>
        <w:t xml:space="preserve"> together </w:t>
      </w:r>
      <w:r>
        <w:rPr>
          <w:rFonts w:ascii="Garamond" w:hAnsi="Garamond"/>
          <w:sz w:val="24"/>
          <w:szCs w:val="24"/>
        </w:rPr>
        <w:t>their findings</w:t>
      </w:r>
      <w:r w:rsidR="008E4F2A">
        <w:rPr>
          <w:rFonts w:ascii="Garamond" w:hAnsi="Garamond"/>
          <w:sz w:val="24"/>
          <w:szCs w:val="24"/>
        </w:rPr>
        <w:t xml:space="preserve"> across twenty-four chapters,</w:t>
      </w:r>
      <w:r>
        <w:rPr>
          <w:rFonts w:ascii="Garamond" w:hAnsi="Garamond"/>
          <w:sz w:val="24"/>
          <w:szCs w:val="24"/>
        </w:rPr>
        <w:t xml:space="preserve"> </w:t>
      </w:r>
      <w:r w:rsidR="003D4086" w:rsidRPr="002F5BE1">
        <w:rPr>
          <w:rFonts w:ascii="Garamond" w:hAnsi="Garamond"/>
          <w:sz w:val="24"/>
          <w:szCs w:val="24"/>
        </w:rPr>
        <w:t xml:space="preserve">to </w:t>
      </w:r>
      <w:r>
        <w:rPr>
          <w:rFonts w:ascii="Garamond" w:hAnsi="Garamond"/>
          <w:sz w:val="24"/>
          <w:szCs w:val="24"/>
        </w:rPr>
        <w:t>shed light on</w:t>
      </w:r>
      <w:r w:rsidR="00BD613C" w:rsidRPr="002F5BE1">
        <w:rPr>
          <w:rFonts w:ascii="Garamond" w:hAnsi="Garamond"/>
          <w:sz w:val="24"/>
          <w:szCs w:val="24"/>
        </w:rPr>
        <w:t xml:space="preserve"> a comparative and systematic analysis of how international institutions operationalise human rights to promote global health. </w:t>
      </w:r>
      <w:r w:rsidR="008E4F2A">
        <w:rPr>
          <w:rFonts w:ascii="Garamond" w:hAnsi="Garamond"/>
          <w:sz w:val="24"/>
          <w:szCs w:val="24"/>
        </w:rPr>
        <w:t>In this volume, authors will discuss</w:t>
      </w:r>
      <w:r w:rsidR="003D4086" w:rsidRPr="002F5BE1">
        <w:rPr>
          <w:rFonts w:ascii="Garamond" w:hAnsi="Garamond"/>
          <w:sz w:val="24"/>
          <w:szCs w:val="24"/>
        </w:rPr>
        <w:t xml:space="preserve"> </w:t>
      </w:r>
      <w:r w:rsidR="008E4F2A">
        <w:rPr>
          <w:rFonts w:ascii="Garamond" w:hAnsi="Garamond"/>
          <w:sz w:val="24"/>
          <w:szCs w:val="24"/>
        </w:rPr>
        <w:t>how international institutions and schemes that have a key relationship with global health have come to life, and how they have mainstreamed human rights in their operations. The analysis of such contemporary</w:t>
      </w:r>
      <w:r w:rsidR="002F1FA4">
        <w:rPr>
          <w:rFonts w:ascii="Garamond" w:hAnsi="Garamond"/>
          <w:sz w:val="24"/>
          <w:szCs w:val="24"/>
        </w:rPr>
        <w:t xml:space="preserve"> practices will reveal how certain factors may facilitate or inhibit the integration of the human rights discourse in global health governance, and what opportunities </w:t>
      </w:r>
      <w:r w:rsidR="002F1FA4" w:rsidRPr="002F5BE1">
        <w:rPr>
          <w:rFonts w:ascii="Garamond" w:hAnsi="Garamond"/>
          <w:sz w:val="24"/>
          <w:szCs w:val="24"/>
        </w:rPr>
        <w:t>a human rights-based approach</w:t>
      </w:r>
      <w:r w:rsidR="002F1FA4">
        <w:rPr>
          <w:rFonts w:ascii="Garamond" w:hAnsi="Garamond"/>
          <w:sz w:val="24"/>
          <w:szCs w:val="24"/>
        </w:rPr>
        <w:t xml:space="preserve"> represents for this field.</w:t>
      </w:r>
    </w:p>
    <w:p w14:paraId="6738944A" w14:textId="77777777" w:rsidR="00382791" w:rsidRPr="002F5BE1" w:rsidRDefault="00382791" w:rsidP="005B5B3F">
      <w:pPr>
        <w:jc w:val="both"/>
        <w:rPr>
          <w:rFonts w:ascii="Garamond" w:hAnsi="Garamond"/>
          <w:sz w:val="24"/>
          <w:szCs w:val="24"/>
        </w:rPr>
      </w:pPr>
    </w:p>
    <w:p w14:paraId="6A5EE131" w14:textId="575317B4" w:rsidR="005F6D89" w:rsidRPr="002F5BE1" w:rsidRDefault="005102C9" w:rsidP="008041E3">
      <w:pPr>
        <w:jc w:val="both"/>
        <w:rPr>
          <w:rFonts w:ascii="Garamond" w:hAnsi="Garamond"/>
          <w:sz w:val="24"/>
          <w:szCs w:val="24"/>
        </w:rPr>
      </w:pPr>
      <w:r w:rsidRPr="002F5BE1">
        <w:rPr>
          <w:rFonts w:ascii="Garamond" w:hAnsi="Garamond"/>
          <w:sz w:val="24"/>
          <w:szCs w:val="24"/>
        </w:rPr>
        <w:t>The first sec</w:t>
      </w:r>
      <w:r w:rsidR="00D60846">
        <w:rPr>
          <w:rFonts w:ascii="Garamond" w:hAnsi="Garamond"/>
          <w:sz w:val="24"/>
          <w:szCs w:val="24"/>
        </w:rPr>
        <w:t>tion of this volume introduces</w:t>
      </w:r>
      <w:r w:rsidR="00C86051">
        <w:rPr>
          <w:rFonts w:ascii="Garamond" w:hAnsi="Garamond"/>
          <w:sz w:val="24"/>
          <w:szCs w:val="24"/>
        </w:rPr>
        <w:t xml:space="preserve"> the</w:t>
      </w:r>
      <w:r w:rsidR="00DD198D" w:rsidRPr="002F5BE1">
        <w:rPr>
          <w:rFonts w:ascii="Garamond" w:hAnsi="Garamond"/>
          <w:sz w:val="24"/>
          <w:szCs w:val="24"/>
        </w:rPr>
        <w:t xml:space="preserve"> key</w:t>
      </w:r>
      <w:r w:rsidRPr="002F5BE1">
        <w:rPr>
          <w:rFonts w:ascii="Garamond" w:hAnsi="Garamond"/>
          <w:sz w:val="24"/>
          <w:szCs w:val="24"/>
        </w:rPr>
        <w:t xml:space="preserve"> argument</w:t>
      </w:r>
      <w:r w:rsidR="00C86051">
        <w:rPr>
          <w:rFonts w:ascii="Garamond" w:hAnsi="Garamond"/>
          <w:sz w:val="24"/>
          <w:szCs w:val="24"/>
        </w:rPr>
        <w:t xml:space="preserve"> of this book</w:t>
      </w:r>
      <w:r w:rsidRPr="002F5BE1">
        <w:rPr>
          <w:rFonts w:ascii="Garamond" w:hAnsi="Garamond"/>
          <w:sz w:val="24"/>
          <w:szCs w:val="24"/>
        </w:rPr>
        <w:t>: the importance of</w:t>
      </w:r>
      <w:r w:rsidR="00D60846">
        <w:rPr>
          <w:rFonts w:ascii="Garamond" w:hAnsi="Garamond"/>
          <w:sz w:val="24"/>
          <w:szCs w:val="24"/>
        </w:rPr>
        <w:t xml:space="preserve"> integrating</w:t>
      </w:r>
      <w:r w:rsidRPr="002F5BE1">
        <w:rPr>
          <w:rFonts w:ascii="Garamond" w:hAnsi="Garamond"/>
          <w:sz w:val="24"/>
          <w:szCs w:val="24"/>
        </w:rPr>
        <w:t xml:space="preserve"> human rights</w:t>
      </w:r>
      <w:r w:rsidR="00D60846">
        <w:rPr>
          <w:rFonts w:ascii="Garamond" w:hAnsi="Garamond"/>
          <w:sz w:val="24"/>
          <w:szCs w:val="24"/>
        </w:rPr>
        <w:t xml:space="preserve"> law</w:t>
      </w:r>
      <w:r w:rsidRPr="002F5BE1">
        <w:rPr>
          <w:rFonts w:ascii="Garamond" w:hAnsi="Garamond"/>
          <w:sz w:val="24"/>
          <w:szCs w:val="24"/>
        </w:rPr>
        <w:t xml:space="preserve"> </w:t>
      </w:r>
      <w:r w:rsidR="00D60846">
        <w:rPr>
          <w:rFonts w:ascii="Garamond" w:hAnsi="Garamond"/>
          <w:sz w:val="24"/>
          <w:szCs w:val="24"/>
        </w:rPr>
        <w:t>in</w:t>
      </w:r>
      <w:r w:rsidRPr="002F5BE1">
        <w:rPr>
          <w:rFonts w:ascii="Garamond" w:hAnsi="Garamond"/>
          <w:sz w:val="24"/>
          <w:szCs w:val="24"/>
        </w:rPr>
        <w:t xml:space="preserve"> global health</w:t>
      </w:r>
      <w:r w:rsidR="00D60846">
        <w:rPr>
          <w:rFonts w:ascii="Garamond" w:hAnsi="Garamond"/>
          <w:sz w:val="24"/>
          <w:szCs w:val="24"/>
        </w:rPr>
        <w:t xml:space="preserve"> governance</w:t>
      </w:r>
      <w:r w:rsidRPr="002F5BE1">
        <w:rPr>
          <w:rFonts w:ascii="Garamond" w:hAnsi="Garamond"/>
          <w:sz w:val="24"/>
          <w:szCs w:val="24"/>
        </w:rPr>
        <w:t xml:space="preserve">. Chapters 1 to 4 narrate very coherently how the human rights-based approach </w:t>
      </w:r>
      <w:r w:rsidR="009D2459">
        <w:rPr>
          <w:rFonts w:ascii="Garamond" w:hAnsi="Garamond"/>
          <w:sz w:val="24"/>
          <w:szCs w:val="24"/>
        </w:rPr>
        <w:t>sprang and blossomed in</w:t>
      </w:r>
      <w:r w:rsidRPr="002F5BE1">
        <w:rPr>
          <w:rFonts w:ascii="Garamond" w:hAnsi="Garamond"/>
          <w:sz w:val="24"/>
          <w:szCs w:val="24"/>
        </w:rPr>
        <w:t xml:space="preserve"> </w:t>
      </w:r>
      <w:r w:rsidR="00C86051">
        <w:rPr>
          <w:rFonts w:ascii="Garamond" w:hAnsi="Garamond"/>
          <w:sz w:val="24"/>
          <w:szCs w:val="24"/>
        </w:rPr>
        <w:t xml:space="preserve">the </w:t>
      </w:r>
      <w:r w:rsidRPr="002F5BE1">
        <w:rPr>
          <w:rFonts w:ascii="Garamond" w:hAnsi="Garamond"/>
          <w:sz w:val="24"/>
          <w:szCs w:val="24"/>
        </w:rPr>
        <w:t>global health</w:t>
      </w:r>
      <w:r w:rsidR="00C86051">
        <w:rPr>
          <w:rFonts w:ascii="Garamond" w:hAnsi="Garamond"/>
          <w:sz w:val="24"/>
          <w:szCs w:val="24"/>
        </w:rPr>
        <w:t xml:space="preserve"> arena</w:t>
      </w:r>
      <w:r w:rsidRPr="002F5BE1">
        <w:rPr>
          <w:rFonts w:ascii="Garamond" w:hAnsi="Garamond"/>
          <w:sz w:val="24"/>
          <w:szCs w:val="24"/>
        </w:rPr>
        <w:t xml:space="preserve">, how it currently operates, and what future </w:t>
      </w:r>
      <w:r w:rsidR="00281F30">
        <w:rPr>
          <w:rFonts w:ascii="Garamond" w:hAnsi="Garamond"/>
          <w:sz w:val="24"/>
          <w:szCs w:val="24"/>
        </w:rPr>
        <w:t xml:space="preserve">it </w:t>
      </w:r>
      <w:r w:rsidR="008041E3">
        <w:rPr>
          <w:rFonts w:ascii="Garamond" w:hAnsi="Garamond"/>
          <w:sz w:val="24"/>
          <w:szCs w:val="24"/>
        </w:rPr>
        <w:t>holds for</w:t>
      </w:r>
      <w:r w:rsidRPr="002F5BE1">
        <w:rPr>
          <w:rFonts w:ascii="Garamond" w:hAnsi="Garamond"/>
          <w:sz w:val="24"/>
          <w:szCs w:val="24"/>
        </w:rPr>
        <w:t xml:space="preserve"> </w:t>
      </w:r>
      <w:r w:rsidR="008041E3">
        <w:rPr>
          <w:rFonts w:ascii="Garamond" w:hAnsi="Garamond"/>
          <w:sz w:val="24"/>
          <w:szCs w:val="24"/>
        </w:rPr>
        <w:t xml:space="preserve">the </w:t>
      </w:r>
      <w:r w:rsidRPr="002F5BE1">
        <w:rPr>
          <w:rFonts w:ascii="Garamond" w:hAnsi="Garamond"/>
          <w:sz w:val="24"/>
          <w:szCs w:val="24"/>
        </w:rPr>
        <w:t>sustainable development</w:t>
      </w:r>
      <w:r w:rsidR="00281F30">
        <w:rPr>
          <w:rFonts w:ascii="Garamond" w:hAnsi="Garamond"/>
          <w:sz w:val="24"/>
          <w:szCs w:val="24"/>
        </w:rPr>
        <w:t xml:space="preserve"> </w:t>
      </w:r>
      <w:r w:rsidR="008041E3">
        <w:rPr>
          <w:rFonts w:ascii="Garamond" w:hAnsi="Garamond"/>
          <w:sz w:val="24"/>
          <w:szCs w:val="24"/>
        </w:rPr>
        <w:t>agenda.</w:t>
      </w:r>
      <w:r w:rsidR="00ED10C8" w:rsidRPr="002F5BE1">
        <w:rPr>
          <w:rFonts w:ascii="Garamond" w:hAnsi="Garamond"/>
          <w:sz w:val="24"/>
          <w:szCs w:val="24"/>
        </w:rPr>
        <w:t xml:space="preserve"> While Chapter 1</w:t>
      </w:r>
      <w:r w:rsidR="001D532D">
        <w:rPr>
          <w:rFonts w:ascii="Garamond" w:hAnsi="Garamond"/>
          <w:sz w:val="24"/>
          <w:szCs w:val="24"/>
        </w:rPr>
        <w:t xml:space="preserve"> (</w:t>
      </w:r>
      <w:proofErr w:type="spellStart"/>
      <w:r w:rsidR="001D532D" w:rsidRPr="001D532D">
        <w:rPr>
          <w:rFonts w:ascii="Garamond" w:hAnsi="Garamond"/>
          <w:i/>
          <w:sz w:val="24"/>
          <w:szCs w:val="24"/>
        </w:rPr>
        <w:t>Gostin</w:t>
      </w:r>
      <w:proofErr w:type="spellEnd"/>
      <w:r w:rsidR="001D532D" w:rsidRPr="001D532D">
        <w:rPr>
          <w:rFonts w:ascii="Garamond" w:hAnsi="Garamond"/>
          <w:i/>
          <w:sz w:val="24"/>
          <w:szCs w:val="24"/>
        </w:rPr>
        <w:t xml:space="preserve"> and Mason Meier</w:t>
      </w:r>
      <w:r w:rsidR="001D532D">
        <w:rPr>
          <w:rFonts w:ascii="Garamond" w:hAnsi="Garamond"/>
          <w:sz w:val="24"/>
          <w:szCs w:val="24"/>
        </w:rPr>
        <w:t>)</w:t>
      </w:r>
      <w:r w:rsidR="00ED10C8" w:rsidRPr="002F5BE1">
        <w:rPr>
          <w:rFonts w:ascii="Garamond" w:hAnsi="Garamond"/>
          <w:sz w:val="24"/>
          <w:szCs w:val="24"/>
        </w:rPr>
        <w:t xml:space="preserve"> highlights th</w:t>
      </w:r>
      <w:r w:rsidR="00AB2C98" w:rsidRPr="002F5BE1">
        <w:rPr>
          <w:rFonts w:ascii="Garamond" w:hAnsi="Garamond"/>
          <w:sz w:val="24"/>
          <w:szCs w:val="24"/>
        </w:rPr>
        <w:t xml:space="preserve">at human rights law has become the predominant normative framework </w:t>
      </w:r>
      <w:r w:rsidR="008041E3">
        <w:rPr>
          <w:rFonts w:ascii="Garamond" w:hAnsi="Garamond"/>
          <w:sz w:val="24"/>
          <w:szCs w:val="24"/>
        </w:rPr>
        <w:t>in</w:t>
      </w:r>
      <w:r w:rsidR="00AB2C98" w:rsidRPr="002F5BE1">
        <w:rPr>
          <w:rFonts w:ascii="Garamond" w:hAnsi="Garamond"/>
          <w:sz w:val="24"/>
          <w:szCs w:val="24"/>
        </w:rPr>
        <w:t xml:space="preserve"> </w:t>
      </w:r>
      <w:r w:rsidR="008041E3">
        <w:rPr>
          <w:rFonts w:ascii="Garamond" w:hAnsi="Garamond"/>
          <w:sz w:val="24"/>
          <w:szCs w:val="24"/>
        </w:rPr>
        <w:t xml:space="preserve">global </w:t>
      </w:r>
      <w:r w:rsidR="00AB2C98" w:rsidRPr="002F5BE1">
        <w:rPr>
          <w:rFonts w:ascii="Garamond" w:hAnsi="Garamond"/>
          <w:sz w:val="24"/>
          <w:szCs w:val="24"/>
        </w:rPr>
        <w:t>health policies, programmes and practices, Chapter 2</w:t>
      </w:r>
      <w:r w:rsidR="001D532D">
        <w:rPr>
          <w:rFonts w:ascii="Garamond" w:hAnsi="Garamond"/>
          <w:sz w:val="24"/>
          <w:szCs w:val="24"/>
        </w:rPr>
        <w:t xml:space="preserve"> (</w:t>
      </w:r>
      <w:r w:rsidR="007B6288" w:rsidRPr="007B6288">
        <w:rPr>
          <w:rFonts w:ascii="Garamond" w:hAnsi="Garamond"/>
          <w:i/>
          <w:sz w:val="24"/>
          <w:szCs w:val="24"/>
        </w:rPr>
        <w:t xml:space="preserve">Ely </w:t>
      </w:r>
      <w:proofErr w:type="spellStart"/>
      <w:r w:rsidR="001D532D" w:rsidRPr="001D532D">
        <w:rPr>
          <w:rFonts w:ascii="Garamond" w:hAnsi="Garamond"/>
          <w:i/>
          <w:sz w:val="24"/>
          <w:szCs w:val="24"/>
        </w:rPr>
        <w:t>Yamin</w:t>
      </w:r>
      <w:proofErr w:type="spellEnd"/>
      <w:r w:rsidR="001D532D" w:rsidRPr="001D532D">
        <w:rPr>
          <w:rFonts w:ascii="Garamond" w:hAnsi="Garamond"/>
          <w:i/>
          <w:sz w:val="24"/>
          <w:szCs w:val="24"/>
        </w:rPr>
        <w:t xml:space="preserve"> and Constantin</w:t>
      </w:r>
      <w:r w:rsidR="001D532D">
        <w:rPr>
          <w:rFonts w:ascii="Garamond" w:hAnsi="Garamond"/>
          <w:sz w:val="24"/>
          <w:szCs w:val="24"/>
        </w:rPr>
        <w:t>)</w:t>
      </w:r>
      <w:r w:rsidR="00AB2C98" w:rsidRPr="002F5BE1">
        <w:rPr>
          <w:rFonts w:ascii="Garamond" w:hAnsi="Garamond"/>
          <w:sz w:val="24"/>
          <w:szCs w:val="24"/>
        </w:rPr>
        <w:t xml:space="preserve"> </w:t>
      </w:r>
      <w:r w:rsidR="00F129EC">
        <w:rPr>
          <w:rFonts w:ascii="Garamond" w:hAnsi="Garamond"/>
          <w:sz w:val="24"/>
          <w:szCs w:val="24"/>
        </w:rPr>
        <w:t>emphasises</w:t>
      </w:r>
      <w:r w:rsidR="00AB2C98" w:rsidRPr="002F5BE1">
        <w:rPr>
          <w:rFonts w:ascii="Garamond" w:hAnsi="Garamond"/>
          <w:sz w:val="24"/>
          <w:szCs w:val="24"/>
        </w:rPr>
        <w:t xml:space="preserve"> that its relationship with health (known as the ‘health and human rig</w:t>
      </w:r>
      <w:bookmarkStart w:id="0" w:name="_GoBack"/>
      <w:bookmarkEnd w:id="0"/>
      <w:r w:rsidR="00AB2C98" w:rsidRPr="002F5BE1">
        <w:rPr>
          <w:rFonts w:ascii="Garamond" w:hAnsi="Garamond"/>
          <w:sz w:val="24"/>
          <w:szCs w:val="24"/>
        </w:rPr>
        <w:t>hts movement’) is not one field but many</w:t>
      </w:r>
      <w:r w:rsidR="00C63DF1" w:rsidRPr="002F5BE1">
        <w:rPr>
          <w:rFonts w:ascii="Garamond" w:hAnsi="Garamond"/>
          <w:sz w:val="24"/>
          <w:szCs w:val="24"/>
        </w:rPr>
        <w:t>. Chapter 3</w:t>
      </w:r>
      <w:r w:rsidR="001D532D">
        <w:rPr>
          <w:rFonts w:ascii="Garamond" w:hAnsi="Garamond"/>
          <w:sz w:val="24"/>
          <w:szCs w:val="24"/>
        </w:rPr>
        <w:t xml:space="preserve"> (</w:t>
      </w:r>
      <w:r w:rsidR="001D532D" w:rsidRPr="001D532D">
        <w:rPr>
          <w:rFonts w:ascii="Garamond" w:hAnsi="Garamond"/>
          <w:i/>
          <w:sz w:val="24"/>
          <w:szCs w:val="24"/>
        </w:rPr>
        <w:t xml:space="preserve">Mason Meier and </w:t>
      </w:r>
      <w:proofErr w:type="spellStart"/>
      <w:r w:rsidR="001D532D" w:rsidRPr="001D532D">
        <w:rPr>
          <w:rFonts w:ascii="Garamond" w:hAnsi="Garamond"/>
          <w:i/>
          <w:sz w:val="24"/>
          <w:szCs w:val="24"/>
        </w:rPr>
        <w:t>Gostin</w:t>
      </w:r>
      <w:proofErr w:type="spellEnd"/>
      <w:r w:rsidR="001D532D">
        <w:rPr>
          <w:rFonts w:ascii="Garamond" w:hAnsi="Garamond"/>
          <w:sz w:val="24"/>
          <w:szCs w:val="24"/>
        </w:rPr>
        <w:t>)</w:t>
      </w:r>
      <w:r w:rsidR="00C63DF1" w:rsidRPr="002F5BE1">
        <w:rPr>
          <w:rFonts w:ascii="Garamond" w:hAnsi="Garamond"/>
          <w:sz w:val="24"/>
          <w:szCs w:val="24"/>
        </w:rPr>
        <w:t xml:space="preserve"> follows up on this</w:t>
      </w:r>
      <w:r w:rsidR="00F129EC">
        <w:rPr>
          <w:rFonts w:ascii="Garamond" w:hAnsi="Garamond"/>
          <w:sz w:val="24"/>
          <w:szCs w:val="24"/>
        </w:rPr>
        <w:t>,</w:t>
      </w:r>
      <w:r w:rsidR="00C63DF1" w:rsidRPr="002F5BE1">
        <w:rPr>
          <w:rFonts w:ascii="Garamond" w:hAnsi="Garamond"/>
          <w:sz w:val="24"/>
          <w:szCs w:val="24"/>
        </w:rPr>
        <w:t xml:space="preserve"> by stressing that the </w:t>
      </w:r>
      <w:r w:rsidR="00E9341A" w:rsidRPr="002F5BE1">
        <w:rPr>
          <w:rFonts w:ascii="Garamond" w:hAnsi="Garamond"/>
          <w:sz w:val="24"/>
          <w:szCs w:val="24"/>
        </w:rPr>
        <w:t>fragmented</w:t>
      </w:r>
      <w:r w:rsidR="00C63DF1" w:rsidRPr="002F5BE1">
        <w:rPr>
          <w:rFonts w:ascii="Garamond" w:hAnsi="Garamond"/>
          <w:sz w:val="24"/>
          <w:szCs w:val="24"/>
        </w:rPr>
        <w:t xml:space="preserve"> use of</w:t>
      </w:r>
      <w:r w:rsidR="00DD198D" w:rsidRPr="002F5BE1">
        <w:rPr>
          <w:rFonts w:ascii="Garamond" w:hAnsi="Garamond"/>
          <w:sz w:val="24"/>
          <w:szCs w:val="24"/>
        </w:rPr>
        <w:t xml:space="preserve"> a human rights-based approach </w:t>
      </w:r>
      <w:r w:rsidR="00C63DF1" w:rsidRPr="002F5BE1">
        <w:rPr>
          <w:rFonts w:ascii="Garamond" w:hAnsi="Garamond"/>
          <w:sz w:val="24"/>
          <w:szCs w:val="24"/>
        </w:rPr>
        <w:t>to health across a</w:t>
      </w:r>
      <w:r w:rsidR="00DD198D" w:rsidRPr="002F5BE1">
        <w:rPr>
          <w:rFonts w:ascii="Garamond" w:hAnsi="Garamond"/>
          <w:sz w:val="24"/>
          <w:szCs w:val="24"/>
        </w:rPr>
        <w:t xml:space="preserve"> </w:t>
      </w:r>
      <w:r w:rsidR="00E9341A" w:rsidRPr="002F5BE1">
        <w:rPr>
          <w:rFonts w:ascii="Garamond" w:hAnsi="Garamond"/>
          <w:sz w:val="24"/>
          <w:szCs w:val="24"/>
        </w:rPr>
        <w:t xml:space="preserve">growing </w:t>
      </w:r>
      <w:r w:rsidR="00C63DF1" w:rsidRPr="002F5BE1">
        <w:rPr>
          <w:rFonts w:ascii="Garamond" w:hAnsi="Garamond"/>
          <w:sz w:val="24"/>
          <w:szCs w:val="24"/>
        </w:rPr>
        <w:t>number of institutions intereste</w:t>
      </w:r>
      <w:r w:rsidR="00E9341A" w:rsidRPr="002F5BE1">
        <w:rPr>
          <w:rFonts w:ascii="Garamond" w:hAnsi="Garamond"/>
          <w:sz w:val="24"/>
          <w:szCs w:val="24"/>
        </w:rPr>
        <w:t>d in global health calls</w:t>
      </w:r>
      <w:r w:rsidR="008041E3">
        <w:rPr>
          <w:rFonts w:ascii="Garamond" w:hAnsi="Garamond"/>
          <w:sz w:val="24"/>
          <w:szCs w:val="24"/>
        </w:rPr>
        <w:t xml:space="preserve"> for a comparative analysis of its impact on human rights implementation. </w:t>
      </w:r>
      <w:r w:rsidR="0083733E" w:rsidRPr="002F5BE1">
        <w:rPr>
          <w:rFonts w:ascii="Garamond" w:hAnsi="Garamond"/>
          <w:sz w:val="24"/>
          <w:szCs w:val="24"/>
        </w:rPr>
        <w:t xml:space="preserve">Somewhat responding to this concern, </w:t>
      </w:r>
      <w:r w:rsidR="00233143" w:rsidRPr="002F5BE1">
        <w:rPr>
          <w:rFonts w:ascii="Garamond" w:hAnsi="Garamond"/>
          <w:sz w:val="24"/>
          <w:szCs w:val="24"/>
        </w:rPr>
        <w:t>C</w:t>
      </w:r>
      <w:r w:rsidR="00DB6B41" w:rsidRPr="002F5BE1">
        <w:rPr>
          <w:rFonts w:ascii="Garamond" w:hAnsi="Garamond"/>
          <w:sz w:val="24"/>
          <w:szCs w:val="24"/>
        </w:rPr>
        <w:t>hapter 4</w:t>
      </w:r>
      <w:r w:rsidR="001D532D">
        <w:rPr>
          <w:rFonts w:ascii="Garamond" w:hAnsi="Garamond"/>
          <w:sz w:val="24"/>
          <w:szCs w:val="24"/>
        </w:rPr>
        <w:t xml:space="preserve"> (</w:t>
      </w:r>
      <w:proofErr w:type="spellStart"/>
      <w:r w:rsidR="001D532D" w:rsidRPr="001D532D">
        <w:rPr>
          <w:rFonts w:ascii="Garamond" w:hAnsi="Garamond"/>
          <w:i/>
          <w:sz w:val="24"/>
          <w:szCs w:val="24"/>
        </w:rPr>
        <w:t>Sidibé</w:t>
      </w:r>
      <w:proofErr w:type="spellEnd"/>
      <w:r w:rsidR="001D532D" w:rsidRPr="001D532D">
        <w:rPr>
          <w:rFonts w:ascii="Garamond" w:hAnsi="Garamond"/>
          <w:i/>
          <w:sz w:val="24"/>
          <w:szCs w:val="24"/>
        </w:rPr>
        <w:t xml:space="preserve">, </w:t>
      </w:r>
      <w:proofErr w:type="spellStart"/>
      <w:r w:rsidR="001D532D" w:rsidRPr="001D532D">
        <w:rPr>
          <w:rFonts w:ascii="Garamond" w:hAnsi="Garamond"/>
          <w:i/>
          <w:sz w:val="24"/>
          <w:szCs w:val="24"/>
        </w:rPr>
        <w:t>Nygren</w:t>
      </w:r>
      <w:proofErr w:type="spellEnd"/>
      <w:r w:rsidR="001D532D" w:rsidRPr="001D532D">
        <w:rPr>
          <w:rFonts w:ascii="Garamond" w:hAnsi="Garamond"/>
          <w:i/>
          <w:sz w:val="24"/>
          <w:szCs w:val="24"/>
        </w:rPr>
        <w:t>-</w:t>
      </w:r>
      <w:r w:rsidR="001D532D" w:rsidRPr="001D532D">
        <w:rPr>
          <w:rFonts w:ascii="Garamond" w:hAnsi="Garamond"/>
          <w:i/>
          <w:sz w:val="24"/>
          <w:szCs w:val="24"/>
        </w:rPr>
        <w:lastRenderedPageBreak/>
        <w:t xml:space="preserve">Krug, McBride, and </w:t>
      </w:r>
      <w:proofErr w:type="spellStart"/>
      <w:r w:rsidR="001D532D" w:rsidRPr="001D532D">
        <w:rPr>
          <w:rFonts w:ascii="Garamond" w:hAnsi="Garamond"/>
          <w:i/>
          <w:sz w:val="24"/>
          <w:szCs w:val="24"/>
        </w:rPr>
        <w:t>Buse</w:t>
      </w:r>
      <w:proofErr w:type="spellEnd"/>
      <w:r w:rsidR="001D532D">
        <w:rPr>
          <w:rFonts w:ascii="Garamond" w:hAnsi="Garamond"/>
          <w:sz w:val="24"/>
          <w:szCs w:val="24"/>
        </w:rPr>
        <w:t>)</w:t>
      </w:r>
      <w:r w:rsidR="00DB6B41" w:rsidRPr="002F5BE1">
        <w:rPr>
          <w:rFonts w:ascii="Garamond" w:hAnsi="Garamond"/>
          <w:sz w:val="24"/>
          <w:szCs w:val="24"/>
        </w:rPr>
        <w:t xml:space="preserve"> </w:t>
      </w:r>
      <w:r w:rsidR="0062746A">
        <w:rPr>
          <w:rFonts w:ascii="Garamond" w:hAnsi="Garamond"/>
          <w:sz w:val="24"/>
          <w:szCs w:val="24"/>
        </w:rPr>
        <w:t>discuss</w:t>
      </w:r>
      <w:r w:rsidR="00382791">
        <w:rPr>
          <w:rFonts w:ascii="Garamond" w:hAnsi="Garamond"/>
          <w:sz w:val="24"/>
          <w:szCs w:val="24"/>
        </w:rPr>
        <w:t>es</w:t>
      </w:r>
      <w:r w:rsidR="0062746A">
        <w:rPr>
          <w:rFonts w:ascii="Garamond" w:hAnsi="Garamond"/>
          <w:sz w:val="24"/>
          <w:szCs w:val="24"/>
        </w:rPr>
        <w:t xml:space="preserve"> the </w:t>
      </w:r>
      <w:r w:rsidR="00427528">
        <w:rPr>
          <w:rFonts w:ascii="Garamond" w:hAnsi="Garamond"/>
          <w:sz w:val="24"/>
          <w:szCs w:val="24"/>
        </w:rPr>
        <w:t>potential</w:t>
      </w:r>
      <w:r w:rsidR="0062746A">
        <w:rPr>
          <w:rFonts w:ascii="Garamond" w:hAnsi="Garamond"/>
          <w:sz w:val="24"/>
          <w:szCs w:val="24"/>
        </w:rPr>
        <w:t xml:space="preserve"> of</w:t>
      </w:r>
      <w:r w:rsidR="00DB6B41" w:rsidRPr="002F5BE1">
        <w:rPr>
          <w:rFonts w:ascii="Garamond" w:hAnsi="Garamond"/>
          <w:sz w:val="24"/>
          <w:szCs w:val="24"/>
        </w:rPr>
        <w:t xml:space="preserve"> </w:t>
      </w:r>
      <w:r w:rsidR="009E0D8B" w:rsidRPr="002F5BE1">
        <w:rPr>
          <w:rFonts w:ascii="Garamond" w:hAnsi="Garamond"/>
          <w:sz w:val="24"/>
          <w:szCs w:val="24"/>
        </w:rPr>
        <w:t xml:space="preserve">the </w:t>
      </w:r>
      <w:r w:rsidR="0083733E" w:rsidRPr="002F5BE1">
        <w:rPr>
          <w:rFonts w:ascii="Garamond" w:hAnsi="Garamond"/>
          <w:sz w:val="24"/>
          <w:szCs w:val="24"/>
        </w:rPr>
        <w:t xml:space="preserve">UN </w:t>
      </w:r>
      <w:r w:rsidR="009E0D8B" w:rsidRPr="002F5BE1">
        <w:rPr>
          <w:rFonts w:ascii="Garamond" w:hAnsi="Garamond"/>
          <w:sz w:val="24"/>
          <w:szCs w:val="24"/>
        </w:rPr>
        <w:t xml:space="preserve">2030 Agenda and Sustainable Development Goals </w:t>
      </w:r>
      <w:r w:rsidR="00427528">
        <w:rPr>
          <w:rFonts w:ascii="Garamond" w:hAnsi="Garamond"/>
          <w:sz w:val="24"/>
          <w:szCs w:val="24"/>
        </w:rPr>
        <w:t xml:space="preserve">to be </w:t>
      </w:r>
      <w:r w:rsidR="00DB6B41" w:rsidRPr="002F5BE1">
        <w:rPr>
          <w:rFonts w:ascii="Garamond" w:hAnsi="Garamond"/>
          <w:sz w:val="24"/>
          <w:szCs w:val="24"/>
        </w:rPr>
        <w:t>a unifying force for action</w:t>
      </w:r>
      <w:r w:rsidR="009E0D8B" w:rsidRPr="002F5BE1">
        <w:rPr>
          <w:rFonts w:ascii="Garamond" w:hAnsi="Garamond"/>
          <w:sz w:val="24"/>
          <w:szCs w:val="24"/>
        </w:rPr>
        <w:t xml:space="preserve"> for global health governance, </w:t>
      </w:r>
      <w:r w:rsidR="00DD198D" w:rsidRPr="002F5BE1">
        <w:rPr>
          <w:rFonts w:ascii="Garamond" w:hAnsi="Garamond"/>
          <w:sz w:val="24"/>
          <w:szCs w:val="24"/>
        </w:rPr>
        <w:t>under the condition</w:t>
      </w:r>
      <w:r w:rsidR="009E0D8B" w:rsidRPr="002F5BE1">
        <w:rPr>
          <w:rFonts w:ascii="Garamond" w:hAnsi="Garamond"/>
          <w:sz w:val="24"/>
          <w:szCs w:val="24"/>
        </w:rPr>
        <w:t xml:space="preserve"> that people and their rights </w:t>
      </w:r>
      <w:r w:rsidR="00427528">
        <w:rPr>
          <w:rFonts w:ascii="Garamond" w:hAnsi="Garamond"/>
          <w:sz w:val="24"/>
          <w:szCs w:val="24"/>
        </w:rPr>
        <w:t xml:space="preserve">remain </w:t>
      </w:r>
      <w:r w:rsidR="003B31A4">
        <w:rPr>
          <w:rFonts w:ascii="Garamond" w:hAnsi="Garamond"/>
          <w:sz w:val="24"/>
          <w:szCs w:val="24"/>
        </w:rPr>
        <w:t>its key</w:t>
      </w:r>
      <w:r w:rsidR="00427528">
        <w:rPr>
          <w:rFonts w:ascii="Garamond" w:hAnsi="Garamond"/>
          <w:sz w:val="24"/>
          <w:szCs w:val="24"/>
        </w:rPr>
        <w:t xml:space="preserve"> focus</w:t>
      </w:r>
      <w:r w:rsidR="003B31A4">
        <w:rPr>
          <w:rFonts w:ascii="Garamond" w:hAnsi="Garamond"/>
          <w:sz w:val="24"/>
          <w:szCs w:val="24"/>
        </w:rPr>
        <w:t>es</w:t>
      </w:r>
      <w:r w:rsidR="00DD198D" w:rsidRPr="002F5BE1">
        <w:rPr>
          <w:rFonts w:ascii="Garamond" w:hAnsi="Garamond"/>
          <w:sz w:val="24"/>
          <w:szCs w:val="24"/>
        </w:rPr>
        <w:t>.</w:t>
      </w:r>
    </w:p>
    <w:p w14:paraId="3A0187E7" w14:textId="42546BE4" w:rsidR="00711A4A" w:rsidRDefault="00DD198D" w:rsidP="00C452A0">
      <w:pPr>
        <w:jc w:val="both"/>
        <w:rPr>
          <w:rFonts w:ascii="Garamond" w:hAnsi="Garamond"/>
          <w:sz w:val="24"/>
          <w:szCs w:val="24"/>
          <w:highlight w:val="yellow"/>
        </w:rPr>
      </w:pPr>
      <w:r w:rsidRPr="002F5BE1">
        <w:rPr>
          <w:rFonts w:ascii="Garamond" w:hAnsi="Garamond"/>
          <w:sz w:val="24"/>
          <w:szCs w:val="24"/>
        </w:rPr>
        <w:t xml:space="preserve">In the second section of this volume, Chapters 5 to 7 </w:t>
      </w:r>
      <w:r w:rsidR="007F3432" w:rsidRPr="002F5BE1">
        <w:rPr>
          <w:rFonts w:ascii="Garamond" w:hAnsi="Garamond"/>
          <w:sz w:val="24"/>
          <w:szCs w:val="24"/>
        </w:rPr>
        <w:t xml:space="preserve">clearly </w:t>
      </w:r>
      <w:r w:rsidRPr="002F5BE1">
        <w:rPr>
          <w:rFonts w:ascii="Garamond" w:hAnsi="Garamond"/>
          <w:sz w:val="24"/>
          <w:szCs w:val="24"/>
        </w:rPr>
        <w:t xml:space="preserve">outline the past, current and future role of the World Health Organization in </w:t>
      </w:r>
      <w:r w:rsidR="003B31A4">
        <w:rPr>
          <w:rFonts w:ascii="Garamond" w:hAnsi="Garamond"/>
          <w:sz w:val="24"/>
          <w:szCs w:val="24"/>
        </w:rPr>
        <w:t xml:space="preserve">developing and implementing </w:t>
      </w:r>
      <w:r w:rsidRPr="002F5BE1">
        <w:rPr>
          <w:rFonts w:ascii="Garamond" w:hAnsi="Garamond"/>
          <w:sz w:val="24"/>
          <w:szCs w:val="24"/>
        </w:rPr>
        <w:t xml:space="preserve">human rights norms to promote global health. </w:t>
      </w:r>
      <w:r w:rsidR="0083733E" w:rsidRPr="002F5BE1">
        <w:rPr>
          <w:rFonts w:ascii="Garamond" w:hAnsi="Garamond"/>
          <w:sz w:val="24"/>
          <w:szCs w:val="24"/>
        </w:rPr>
        <w:t xml:space="preserve">As </w:t>
      </w:r>
      <w:r w:rsidR="005277DF" w:rsidRPr="002F5BE1">
        <w:rPr>
          <w:rFonts w:ascii="Garamond" w:hAnsi="Garamond"/>
          <w:sz w:val="24"/>
          <w:szCs w:val="24"/>
        </w:rPr>
        <w:t>highlighted by</w:t>
      </w:r>
      <w:r w:rsidR="0083733E" w:rsidRPr="002F5BE1">
        <w:rPr>
          <w:rFonts w:ascii="Garamond" w:hAnsi="Garamond"/>
          <w:sz w:val="24"/>
          <w:szCs w:val="24"/>
        </w:rPr>
        <w:t xml:space="preserve"> </w:t>
      </w:r>
      <w:r w:rsidRPr="002F5BE1">
        <w:rPr>
          <w:rFonts w:ascii="Garamond" w:hAnsi="Garamond"/>
          <w:sz w:val="24"/>
          <w:szCs w:val="24"/>
        </w:rPr>
        <w:t>Chapter 5</w:t>
      </w:r>
      <w:r w:rsidR="001D532D">
        <w:rPr>
          <w:rFonts w:ascii="Garamond" w:hAnsi="Garamond"/>
          <w:sz w:val="24"/>
          <w:szCs w:val="24"/>
        </w:rPr>
        <w:t xml:space="preserve"> (</w:t>
      </w:r>
      <w:r w:rsidR="001D532D" w:rsidRPr="001D532D">
        <w:rPr>
          <w:rFonts w:ascii="Garamond" w:hAnsi="Garamond"/>
          <w:i/>
          <w:sz w:val="24"/>
          <w:szCs w:val="24"/>
        </w:rPr>
        <w:t>Mason Meier and Kastler</w:t>
      </w:r>
      <w:r w:rsidR="001D532D">
        <w:rPr>
          <w:rFonts w:ascii="Garamond" w:hAnsi="Garamond"/>
          <w:sz w:val="24"/>
          <w:szCs w:val="24"/>
        </w:rPr>
        <w:t>)</w:t>
      </w:r>
      <w:r w:rsidR="0083733E" w:rsidRPr="002F5BE1">
        <w:rPr>
          <w:rFonts w:ascii="Garamond" w:hAnsi="Garamond"/>
          <w:sz w:val="24"/>
          <w:szCs w:val="24"/>
        </w:rPr>
        <w:t>, the recognition of a human right to health in the 1946 Constitution of the World Health Organization contrast</w:t>
      </w:r>
      <w:r w:rsidR="005277DF" w:rsidRPr="002F5BE1">
        <w:rPr>
          <w:rFonts w:ascii="Garamond" w:hAnsi="Garamond"/>
          <w:sz w:val="24"/>
          <w:szCs w:val="24"/>
        </w:rPr>
        <w:t>s</w:t>
      </w:r>
      <w:r w:rsidR="0083733E" w:rsidRPr="002F5BE1">
        <w:rPr>
          <w:rFonts w:ascii="Garamond" w:hAnsi="Garamond"/>
          <w:sz w:val="24"/>
          <w:szCs w:val="24"/>
        </w:rPr>
        <w:t xml:space="preserve"> with </w:t>
      </w:r>
      <w:r w:rsidR="00A235B3">
        <w:rPr>
          <w:rFonts w:ascii="Garamond" w:hAnsi="Garamond"/>
          <w:sz w:val="24"/>
          <w:szCs w:val="24"/>
        </w:rPr>
        <w:t xml:space="preserve">the organisation’s </w:t>
      </w:r>
      <w:r w:rsidR="0083733E" w:rsidRPr="002F5BE1">
        <w:rPr>
          <w:rFonts w:ascii="Garamond" w:hAnsi="Garamond"/>
          <w:sz w:val="24"/>
          <w:szCs w:val="24"/>
        </w:rPr>
        <w:t xml:space="preserve">reluctance to use a human rights discourse during the first two or three decades of its existence, </w:t>
      </w:r>
      <w:r w:rsidR="00C6549C" w:rsidRPr="002F5BE1">
        <w:rPr>
          <w:rFonts w:ascii="Garamond" w:hAnsi="Garamond"/>
          <w:sz w:val="24"/>
          <w:szCs w:val="24"/>
        </w:rPr>
        <w:t>in an attempt to be non-political</w:t>
      </w:r>
      <w:r w:rsidR="0083733E" w:rsidRPr="002F5BE1">
        <w:rPr>
          <w:rFonts w:ascii="Garamond" w:hAnsi="Garamond"/>
          <w:sz w:val="24"/>
          <w:szCs w:val="24"/>
        </w:rPr>
        <w:t>. However,</w:t>
      </w:r>
      <w:r w:rsidR="005277DF" w:rsidRPr="002F5BE1">
        <w:rPr>
          <w:rFonts w:ascii="Garamond" w:hAnsi="Garamond"/>
          <w:sz w:val="24"/>
          <w:szCs w:val="24"/>
        </w:rPr>
        <w:t xml:space="preserve"> the World Health Organization has</w:t>
      </w:r>
      <w:r w:rsidR="0083733E" w:rsidRPr="002F5BE1">
        <w:rPr>
          <w:rFonts w:ascii="Garamond" w:hAnsi="Garamond"/>
          <w:sz w:val="24"/>
          <w:szCs w:val="24"/>
        </w:rPr>
        <w:t xml:space="preserve"> further engage</w:t>
      </w:r>
      <w:r w:rsidR="005277DF" w:rsidRPr="002F5BE1">
        <w:rPr>
          <w:rFonts w:ascii="Garamond" w:hAnsi="Garamond"/>
          <w:sz w:val="24"/>
          <w:szCs w:val="24"/>
        </w:rPr>
        <w:t>d</w:t>
      </w:r>
      <w:r w:rsidR="0083733E" w:rsidRPr="002F5BE1">
        <w:rPr>
          <w:rFonts w:ascii="Garamond" w:hAnsi="Garamond"/>
          <w:sz w:val="24"/>
          <w:szCs w:val="24"/>
        </w:rPr>
        <w:t xml:space="preserve"> with the human rights framework since the 1970s, leading to more collaboration with human rights treaty bodies and the promotion of a </w:t>
      </w:r>
      <w:r w:rsidR="005277DF" w:rsidRPr="002F5BE1">
        <w:rPr>
          <w:rFonts w:ascii="Garamond" w:hAnsi="Garamond"/>
          <w:sz w:val="24"/>
          <w:szCs w:val="24"/>
        </w:rPr>
        <w:t xml:space="preserve">human </w:t>
      </w:r>
      <w:r w:rsidR="0083733E" w:rsidRPr="002F5BE1">
        <w:rPr>
          <w:rFonts w:ascii="Garamond" w:hAnsi="Garamond"/>
          <w:sz w:val="24"/>
          <w:szCs w:val="24"/>
        </w:rPr>
        <w:t xml:space="preserve">rights-based </w:t>
      </w:r>
      <w:r w:rsidR="00AE1781" w:rsidRPr="002F5BE1">
        <w:rPr>
          <w:rFonts w:ascii="Garamond" w:hAnsi="Garamond"/>
          <w:sz w:val="24"/>
          <w:szCs w:val="24"/>
        </w:rPr>
        <w:t xml:space="preserve">approach to health in the 2000s. </w:t>
      </w:r>
      <w:r w:rsidR="00A235B3">
        <w:rPr>
          <w:rFonts w:ascii="Garamond" w:hAnsi="Garamond"/>
          <w:sz w:val="24"/>
          <w:szCs w:val="24"/>
        </w:rPr>
        <w:t xml:space="preserve">The last ten years even witnessed </w:t>
      </w:r>
      <w:r w:rsidR="005277DF" w:rsidRPr="002F5BE1">
        <w:rPr>
          <w:rFonts w:ascii="Garamond" w:hAnsi="Garamond"/>
          <w:sz w:val="24"/>
          <w:szCs w:val="24"/>
        </w:rPr>
        <w:t>the creation of a Unit focusing on gender, equity and human rights, and the adoption of a Universal Health Coverage policy relying on human rights standards, both discussed in Chapter 6</w:t>
      </w:r>
      <w:r w:rsidR="001D532D">
        <w:rPr>
          <w:rFonts w:ascii="Garamond" w:hAnsi="Garamond"/>
          <w:sz w:val="24"/>
          <w:szCs w:val="24"/>
        </w:rPr>
        <w:t xml:space="preserve"> (</w:t>
      </w:r>
      <w:r w:rsidR="001D532D" w:rsidRPr="001D532D">
        <w:rPr>
          <w:rFonts w:ascii="Garamond" w:hAnsi="Garamond"/>
          <w:i/>
          <w:sz w:val="24"/>
          <w:szCs w:val="24"/>
        </w:rPr>
        <w:t>Thomas and Magar</w:t>
      </w:r>
      <w:r w:rsidR="001D532D">
        <w:rPr>
          <w:rFonts w:ascii="Garamond" w:hAnsi="Garamond"/>
          <w:sz w:val="24"/>
          <w:szCs w:val="24"/>
        </w:rPr>
        <w:t>)</w:t>
      </w:r>
      <w:r w:rsidR="005277DF" w:rsidRPr="002F5BE1">
        <w:rPr>
          <w:rFonts w:ascii="Garamond" w:hAnsi="Garamond"/>
          <w:sz w:val="24"/>
          <w:szCs w:val="24"/>
        </w:rPr>
        <w:t xml:space="preserve">. </w:t>
      </w:r>
      <w:r w:rsidR="007F3432" w:rsidRPr="002F5BE1">
        <w:rPr>
          <w:rFonts w:ascii="Garamond" w:hAnsi="Garamond"/>
          <w:sz w:val="24"/>
          <w:szCs w:val="24"/>
        </w:rPr>
        <w:t>Chapter 7</w:t>
      </w:r>
      <w:r w:rsidR="001D532D">
        <w:rPr>
          <w:rFonts w:ascii="Garamond" w:hAnsi="Garamond"/>
          <w:sz w:val="24"/>
          <w:szCs w:val="24"/>
        </w:rPr>
        <w:t xml:space="preserve"> (</w:t>
      </w:r>
      <w:proofErr w:type="spellStart"/>
      <w:r w:rsidR="001D532D" w:rsidRPr="001D532D">
        <w:rPr>
          <w:rFonts w:ascii="Garamond" w:hAnsi="Garamond"/>
          <w:i/>
          <w:sz w:val="24"/>
          <w:szCs w:val="24"/>
        </w:rPr>
        <w:t>Bustreo</w:t>
      </w:r>
      <w:proofErr w:type="spellEnd"/>
      <w:r w:rsidR="001D532D" w:rsidRPr="001D532D">
        <w:rPr>
          <w:rFonts w:ascii="Garamond" w:hAnsi="Garamond"/>
          <w:i/>
          <w:sz w:val="24"/>
          <w:szCs w:val="24"/>
        </w:rPr>
        <w:t xml:space="preserve">, Magar, Khosla, </w:t>
      </w:r>
      <w:proofErr w:type="spellStart"/>
      <w:r w:rsidR="001D532D" w:rsidRPr="001D532D">
        <w:rPr>
          <w:rFonts w:ascii="Garamond" w:hAnsi="Garamond"/>
          <w:i/>
          <w:sz w:val="24"/>
          <w:szCs w:val="24"/>
        </w:rPr>
        <w:t>Stahlhofer</w:t>
      </w:r>
      <w:proofErr w:type="spellEnd"/>
      <w:r w:rsidR="001D532D" w:rsidRPr="001D532D">
        <w:rPr>
          <w:rFonts w:ascii="Garamond" w:hAnsi="Garamond"/>
          <w:i/>
          <w:sz w:val="24"/>
          <w:szCs w:val="24"/>
        </w:rPr>
        <w:t>, and Thomas</w:t>
      </w:r>
      <w:r w:rsidR="001D532D">
        <w:rPr>
          <w:rFonts w:ascii="Garamond" w:hAnsi="Garamond"/>
          <w:sz w:val="24"/>
          <w:szCs w:val="24"/>
        </w:rPr>
        <w:t>)</w:t>
      </w:r>
      <w:r w:rsidR="007F3432" w:rsidRPr="002F5BE1">
        <w:rPr>
          <w:rFonts w:ascii="Garamond" w:hAnsi="Garamond"/>
          <w:sz w:val="24"/>
          <w:szCs w:val="24"/>
        </w:rPr>
        <w:t xml:space="preserve"> concludes </w:t>
      </w:r>
      <w:r w:rsidR="00BF0286">
        <w:rPr>
          <w:rFonts w:ascii="Garamond" w:hAnsi="Garamond"/>
          <w:sz w:val="24"/>
          <w:szCs w:val="24"/>
        </w:rPr>
        <w:t>by shedding light on what could be a bright future for</w:t>
      </w:r>
      <w:r w:rsidR="003E6222">
        <w:rPr>
          <w:rFonts w:ascii="Garamond" w:hAnsi="Garamond"/>
          <w:sz w:val="24"/>
          <w:szCs w:val="24"/>
        </w:rPr>
        <w:t xml:space="preserve"> human rights in</w:t>
      </w:r>
      <w:r w:rsidR="007F3432" w:rsidRPr="002F5BE1">
        <w:rPr>
          <w:rFonts w:ascii="Garamond" w:hAnsi="Garamond"/>
          <w:sz w:val="24"/>
          <w:szCs w:val="24"/>
        </w:rPr>
        <w:t xml:space="preserve"> </w:t>
      </w:r>
      <w:r w:rsidR="00E713BA" w:rsidRPr="002F5BE1">
        <w:rPr>
          <w:rFonts w:ascii="Garamond" w:hAnsi="Garamond"/>
          <w:sz w:val="24"/>
          <w:szCs w:val="24"/>
        </w:rPr>
        <w:t>the World Health Organization</w:t>
      </w:r>
      <w:r w:rsidR="007F3432" w:rsidRPr="002F5BE1">
        <w:rPr>
          <w:rFonts w:ascii="Garamond" w:hAnsi="Garamond"/>
          <w:sz w:val="24"/>
          <w:szCs w:val="24"/>
        </w:rPr>
        <w:t xml:space="preserve">, particularly </w:t>
      </w:r>
      <w:r w:rsidR="00BF0286">
        <w:rPr>
          <w:rFonts w:ascii="Garamond" w:hAnsi="Garamond"/>
          <w:sz w:val="24"/>
          <w:szCs w:val="24"/>
        </w:rPr>
        <w:t>when combined with the</w:t>
      </w:r>
      <w:r w:rsidR="007F3432" w:rsidRPr="002F5BE1">
        <w:rPr>
          <w:rFonts w:ascii="Garamond" w:hAnsi="Garamond"/>
          <w:sz w:val="24"/>
          <w:szCs w:val="24"/>
        </w:rPr>
        <w:t xml:space="preserve"> 2030 UN Agenda fo</w:t>
      </w:r>
      <w:r w:rsidR="00E713BA">
        <w:rPr>
          <w:rFonts w:ascii="Garamond" w:hAnsi="Garamond"/>
          <w:sz w:val="24"/>
          <w:szCs w:val="24"/>
        </w:rPr>
        <w:t>r Sustainable Development, but</w:t>
      </w:r>
      <w:r w:rsidR="00BF0286">
        <w:rPr>
          <w:rFonts w:ascii="Garamond" w:hAnsi="Garamond"/>
          <w:sz w:val="24"/>
          <w:szCs w:val="24"/>
        </w:rPr>
        <w:t xml:space="preserve"> it also stresses that insufficient </w:t>
      </w:r>
      <w:r w:rsidR="007F3432" w:rsidRPr="002F5BE1">
        <w:rPr>
          <w:rFonts w:ascii="Garamond" w:hAnsi="Garamond"/>
          <w:sz w:val="24"/>
          <w:szCs w:val="24"/>
        </w:rPr>
        <w:t>funding and staffing</w:t>
      </w:r>
      <w:r w:rsidR="00BF0286">
        <w:rPr>
          <w:rFonts w:ascii="Garamond" w:hAnsi="Garamond"/>
          <w:sz w:val="24"/>
          <w:szCs w:val="24"/>
        </w:rPr>
        <w:t xml:space="preserve"> can jeopardise this</w:t>
      </w:r>
      <w:r w:rsidR="007F3432" w:rsidRPr="002F5BE1">
        <w:rPr>
          <w:rFonts w:ascii="Garamond" w:hAnsi="Garamond"/>
          <w:sz w:val="24"/>
          <w:szCs w:val="24"/>
        </w:rPr>
        <w:t>.</w:t>
      </w:r>
    </w:p>
    <w:p w14:paraId="352E6201" w14:textId="367B5C9E" w:rsidR="00614A71" w:rsidRPr="00854995" w:rsidRDefault="00614A71" w:rsidP="00614A71">
      <w:pPr>
        <w:jc w:val="both"/>
        <w:rPr>
          <w:rFonts w:ascii="Garamond" w:hAnsi="Garamond"/>
          <w:sz w:val="24"/>
          <w:szCs w:val="24"/>
        </w:rPr>
      </w:pPr>
      <w:r w:rsidRPr="00854995">
        <w:rPr>
          <w:rFonts w:ascii="Garamond" w:hAnsi="Garamond"/>
          <w:sz w:val="24"/>
          <w:szCs w:val="24"/>
        </w:rPr>
        <w:t>The third section of this volume carries out an ambitious multi-sectoral analysis of how different United Nations agencies mainstream human rights to promote global health. Chapters 8, 10, 11 and 13 paint a relatively positive picture of what the UN landscape looks like, and what it could look like, when promoting global health through human rights law. Two chapters emphasise the particular mutation of institutions’ practice subsequently to the drafting of human rights documents. Chapter 8</w:t>
      </w:r>
      <w:r w:rsidR="00253CED">
        <w:rPr>
          <w:rFonts w:ascii="Garamond" w:hAnsi="Garamond"/>
          <w:sz w:val="24"/>
          <w:szCs w:val="24"/>
        </w:rPr>
        <w:t xml:space="preserve"> (</w:t>
      </w:r>
      <w:r w:rsidR="00253CED" w:rsidRPr="00253CED">
        <w:rPr>
          <w:rFonts w:ascii="Garamond" w:hAnsi="Garamond"/>
          <w:i/>
          <w:sz w:val="24"/>
          <w:szCs w:val="24"/>
        </w:rPr>
        <w:t xml:space="preserve">Mason Meier, </w:t>
      </w:r>
      <w:proofErr w:type="spellStart"/>
      <w:r w:rsidR="00253CED" w:rsidRPr="00253CED">
        <w:rPr>
          <w:rFonts w:ascii="Garamond" w:hAnsi="Garamond"/>
          <w:i/>
          <w:sz w:val="24"/>
          <w:szCs w:val="24"/>
        </w:rPr>
        <w:t>Motlagh</w:t>
      </w:r>
      <w:proofErr w:type="spellEnd"/>
      <w:r w:rsidR="00253CED" w:rsidRPr="00253CED">
        <w:rPr>
          <w:rFonts w:ascii="Garamond" w:hAnsi="Garamond"/>
          <w:i/>
          <w:sz w:val="24"/>
          <w:szCs w:val="24"/>
        </w:rPr>
        <w:t xml:space="preserve">, and </w:t>
      </w:r>
      <w:proofErr w:type="spellStart"/>
      <w:r w:rsidR="00253CED" w:rsidRPr="00253CED">
        <w:rPr>
          <w:rFonts w:ascii="Garamond" w:hAnsi="Garamond"/>
          <w:i/>
          <w:sz w:val="24"/>
          <w:szCs w:val="24"/>
        </w:rPr>
        <w:t>Rasanathan</w:t>
      </w:r>
      <w:proofErr w:type="spellEnd"/>
      <w:r w:rsidR="00253CED">
        <w:rPr>
          <w:rFonts w:ascii="Garamond" w:hAnsi="Garamond"/>
          <w:sz w:val="24"/>
          <w:szCs w:val="24"/>
        </w:rPr>
        <w:t>)</w:t>
      </w:r>
      <w:r w:rsidRPr="00854995">
        <w:rPr>
          <w:rFonts w:ascii="Garamond" w:hAnsi="Garamond"/>
          <w:sz w:val="24"/>
          <w:szCs w:val="24"/>
        </w:rPr>
        <w:t xml:space="preserve"> discusses how the UN Convention on the Rights of the Child 1989 positively transformed the mission and programming of the UN Children’s Fund in the field of health. Following this, Chapter 11</w:t>
      </w:r>
      <w:r w:rsidR="00253CED">
        <w:rPr>
          <w:rFonts w:ascii="Garamond" w:hAnsi="Garamond"/>
          <w:sz w:val="24"/>
          <w:szCs w:val="24"/>
        </w:rPr>
        <w:t xml:space="preserve"> (</w:t>
      </w:r>
      <w:proofErr w:type="spellStart"/>
      <w:r w:rsidR="00253CED" w:rsidRPr="00253CED">
        <w:rPr>
          <w:rFonts w:ascii="Garamond" w:hAnsi="Garamond"/>
          <w:i/>
          <w:sz w:val="24"/>
          <w:szCs w:val="24"/>
        </w:rPr>
        <w:t>Filmer</w:t>
      </w:r>
      <w:proofErr w:type="spellEnd"/>
      <w:r w:rsidR="00253CED" w:rsidRPr="00253CED">
        <w:rPr>
          <w:rFonts w:ascii="Garamond" w:hAnsi="Garamond"/>
          <w:i/>
          <w:sz w:val="24"/>
          <w:szCs w:val="24"/>
        </w:rPr>
        <w:t>-Wilson and Mora</w:t>
      </w:r>
      <w:r w:rsidR="00253CED">
        <w:rPr>
          <w:rFonts w:ascii="Garamond" w:hAnsi="Garamond"/>
          <w:sz w:val="24"/>
          <w:szCs w:val="24"/>
        </w:rPr>
        <w:t>)</w:t>
      </w:r>
      <w:r w:rsidRPr="00854995">
        <w:rPr>
          <w:rFonts w:ascii="Garamond" w:hAnsi="Garamond"/>
          <w:sz w:val="24"/>
          <w:szCs w:val="24"/>
        </w:rPr>
        <w:t xml:space="preserve"> argues that the 1994 International Conference on Population and Development broadened the mandate of the UN Populations Fund towards a more human rights-based health agenda, notably regarding reproductive rights and women’s rights. Chapters 10 and 13, however, tell successful stories that started from the very beginning. Chapters 10</w:t>
      </w:r>
      <w:r w:rsidR="00253CED">
        <w:rPr>
          <w:rFonts w:ascii="Garamond" w:hAnsi="Garamond"/>
          <w:sz w:val="24"/>
          <w:szCs w:val="24"/>
        </w:rPr>
        <w:t xml:space="preserve"> (</w:t>
      </w:r>
      <w:r w:rsidR="00253CED" w:rsidRPr="00253CED">
        <w:rPr>
          <w:rFonts w:ascii="Garamond" w:hAnsi="Garamond"/>
          <w:i/>
          <w:sz w:val="24"/>
          <w:szCs w:val="24"/>
        </w:rPr>
        <w:t xml:space="preserve">Chapman and </w:t>
      </w:r>
      <w:proofErr w:type="spellStart"/>
      <w:r w:rsidR="00253CED" w:rsidRPr="00253CED">
        <w:rPr>
          <w:rFonts w:ascii="Garamond" w:hAnsi="Garamond"/>
          <w:i/>
          <w:sz w:val="24"/>
          <w:szCs w:val="24"/>
        </w:rPr>
        <w:t>Tararas</w:t>
      </w:r>
      <w:proofErr w:type="spellEnd"/>
      <w:r w:rsidR="00253CED">
        <w:rPr>
          <w:rFonts w:ascii="Garamond" w:hAnsi="Garamond"/>
          <w:sz w:val="24"/>
          <w:szCs w:val="24"/>
        </w:rPr>
        <w:t>)</w:t>
      </w:r>
      <w:r w:rsidRPr="00854995">
        <w:rPr>
          <w:rFonts w:ascii="Garamond" w:hAnsi="Garamond"/>
          <w:sz w:val="24"/>
          <w:szCs w:val="24"/>
        </w:rPr>
        <w:t xml:space="preserve"> outlines that human rights have always been integrated in the agenda of the UN Educational, Scientific and Cultural Organization, including in bioethics and sexual education programmes for instance. Chapter 13 </w:t>
      </w:r>
      <w:r w:rsidR="00253CED">
        <w:rPr>
          <w:rFonts w:ascii="Garamond" w:hAnsi="Garamond"/>
          <w:sz w:val="24"/>
          <w:szCs w:val="24"/>
        </w:rPr>
        <w:t>(</w:t>
      </w:r>
      <w:proofErr w:type="spellStart"/>
      <w:r w:rsidR="00253CED" w:rsidRPr="00253CED">
        <w:rPr>
          <w:rFonts w:ascii="Garamond" w:hAnsi="Garamond"/>
          <w:i/>
          <w:sz w:val="24"/>
          <w:szCs w:val="24"/>
        </w:rPr>
        <w:t>Nygren</w:t>
      </w:r>
      <w:proofErr w:type="spellEnd"/>
      <w:r w:rsidR="00253CED" w:rsidRPr="00253CED">
        <w:rPr>
          <w:rFonts w:ascii="Garamond" w:hAnsi="Garamond"/>
          <w:i/>
          <w:sz w:val="24"/>
          <w:szCs w:val="24"/>
        </w:rPr>
        <w:t>-Krug</w:t>
      </w:r>
      <w:r w:rsidR="00253CED">
        <w:rPr>
          <w:rFonts w:ascii="Garamond" w:hAnsi="Garamond"/>
          <w:sz w:val="24"/>
          <w:szCs w:val="24"/>
        </w:rPr>
        <w:t xml:space="preserve">) </w:t>
      </w:r>
      <w:r w:rsidRPr="00854995">
        <w:rPr>
          <w:rFonts w:ascii="Garamond" w:hAnsi="Garamond"/>
          <w:sz w:val="24"/>
          <w:szCs w:val="24"/>
        </w:rPr>
        <w:t>continues on the same positive note, by stressing the deep roots of human rights norms in the Joint UN Programme on HIV/AIDS’ strategy, leadership and culture, and by discussing how challenges such as the co-sponsored nature of the Programme have even become opportunities to better promote and improve global health. Some institutions’ practices, nonetheless, stand in sharp contrast with those discussed above, as noted in Chapters 9, 12 and 14. Chapter 9</w:t>
      </w:r>
      <w:r w:rsidR="00253CED">
        <w:rPr>
          <w:rFonts w:ascii="Garamond" w:hAnsi="Garamond"/>
          <w:sz w:val="24"/>
          <w:szCs w:val="24"/>
        </w:rPr>
        <w:t xml:space="preserve"> (</w:t>
      </w:r>
      <w:proofErr w:type="spellStart"/>
      <w:r w:rsidR="00253CED" w:rsidRPr="00253CED">
        <w:rPr>
          <w:rFonts w:ascii="Garamond" w:hAnsi="Garamond"/>
          <w:i/>
          <w:sz w:val="24"/>
          <w:szCs w:val="24"/>
        </w:rPr>
        <w:t>Swepston</w:t>
      </w:r>
      <w:proofErr w:type="spellEnd"/>
      <w:r w:rsidR="00253CED">
        <w:rPr>
          <w:rFonts w:ascii="Garamond" w:hAnsi="Garamond"/>
          <w:sz w:val="24"/>
          <w:szCs w:val="24"/>
        </w:rPr>
        <w:t>)</w:t>
      </w:r>
      <w:r w:rsidRPr="00854995">
        <w:rPr>
          <w:rFonts w:ascii="Garamond" w:hAnsi="Garamond"/>
          <w:sz w:val="24"/>
          <w:szCs w:val="24"/>
        </w:rPr>
        <w:t xml:space="preserve"> highlights the difficulties faced by the International </w:t>
      </w:r>
      <w:proofErr w:type="spellStart"/>
      <w:r w:rsidRPr="00854995">
        <w:rPr>
          <w:rFonts w:ascii="Garamond" w:hAnsi="Garamond"/>
          <w:sz w:val="24"/>
          <w:szCs w:val="24"/>
        </w:rPr>
        <w:t>Labor</w:t>
      </w:r>
      <w:proofErr w:type="spellEnd"/>
      <w:r w:rsidRPr="00854995">
        <w:rPr>
          <w:rFonts w:ascii="Garamond" w:hAnsi="Garamond"/>
          <w:sz w:val="24"/>
          <w:szCs w:val="24"/>
        </w:rPr>
        <w:t xml:space="preserve"> Organization in conceptualising human rights through its work until recently, while Chapter 12</w:t>
      </w:r>
      <w:r w:rsidR="00253CED">
        <w:rPr>
          <w:rFonts w:ascii="Garamond" w:hAnsi="Garamond"/>
          <w:sz w:val="24"/>
          <w:szCs w:val="24"/>
        </w:rPr>
        <w:t xml:space="preserve"> (</w:t>
      </w:r>
      <w:r w:rsidR="00253CED" w:rsidRPr="00253CED">
        <w:rPr>
          <w:rFonts w:ascii="Garamond" w:hAnsi="Garamond"/>
          <w:i/>
          <w:sz w:val="24"/>
          <w:szCs w:val="24"/>
        </w:rPr>
        <w:t xml:space="preserve">de </w:t>
      </w:r>
      <w:proofErr w:type="spellStart"/>
      <w:r w:rsidR="00253CED" w:rsidRPr="00253CED">
        <w:rPr>
          <w:rFonts w:ascii="Garamond" w:hAnsi="Garamond"/>
          <w:i/>
          <w:sz w:val="24"/>
          <w:szCs w:val="24"/>
        </w:rPr>
        <w:t>Schutter</w:t>
      </w:r>
      <w:proofErr w:type="spellEnd"/>
      <w:r w:rsidR="00253CED" w:rsidRPr="00253CED">
        <w:rPr>
          <w:rFonts w:ascii="Garamond" w:hAnsi="Garamond"/>
          <w:i/>
          <w:sz w:val="24"/>
          <w:szCs w:val="24"/>
        </w:rPr>
        <w:t xml:space="preserve"> and </w:t>
      </w:r>
      <w:proofErr w:type="spellStart"/>
      <w:r w:rsidR="00253CED" w:rsidRPr="00253CED">
        <w:rPr>
          <w:rFonts w:ascii="Garamond" w:hAnsi="Garamond"/>
          <w:i/>
          <w:sz w:val="24"/>
          <w:szCs w:val="24"/>
        </w:rPr>
        <w:t>Anthes</w:t>
      </w:r>
      <w:proofErr w:type="spellEnd"/>
      <w:r w:rsidR="00253CED">
        <w:rPr>
          <w:rFonts w:ascii="Garamond" w:hAnsi="Garamond"/>
          <w:sz w:val="24"/>
          <w:szCs w:val="24"/>
        </w:rPr>
        <w:t>)</w:t>
      </w:r>
      <w:r w:rsidRPr="00854995">
        <w:rPr>
          <w:rFonts w:ascii="Garamond" w:hAnsi="Garamond"/>
          <w:sz w:val="24"/>
          <w:szCs w:val="24"/>
        </w:rPr>
        <w:t xml:space="preserve"> concludes that the efforts of the UN Food and Agriculture Organization to integrate a human rights framework in its activities have reached a standstill, partly due to the recent decline of the right to food agenda and the volatility of funding. Finally, Chapter 14</w:t>
      </w:r>
      <w:r w:rsidR="00253CED">
        <w:rPr>
          <w:rFonts w:ascii="Garamond" w:hAnsi="Garamond"/>
          <w:sz w:val="24"/>
          <w:szCs w:val="24"/>
        </w:rPr>
        <w:t xml:space="preserve"> (</w:t>
      </w:r>
      <w:r w:rsidR="00253CED" w:rsidRPr="00253CED">
        <w:rPr>
          <w:rFonts w:ascii="Garamond" w:hAnsi="Garamond"/>
          <w:i/>
          <w:sz w:val="24"/>
          <w:szCs w:val="24"/>
        </w:rPr>
        <w:t xml:space="preserve">Hawkes, </w:t>
      </w:r>
      <w:proofErr w:type="spellStart"/>
      <w:r w:rsidR="00253CED" w:rsidRPr="00253CED">
        <w:rPr>
          <w:rFonts w:ascii="Garamond" w:hAnsi="Garamond"/>
          <w:i/>
          <w:sz w:val="24"/>
          <w:szCs w:val="24"/>
        </w:rPr>
        <w:t>Kreienkamp</w:t>
      </w:r>
      <w:proofErr w:type="spellEnd"/>
      <w:r w:rsidR="00253CED" w:rsidRPr="00253CED">
        <w:rPr>
          <w:rFonts w:ascii="Garamond" w:hAnsi="Garamond"/>
          <w:i/>
          <w:sz w:val="24"/>
          <w:szCs w:val="24"/>
        </w:rPr>
        <w:t xml:space="preserve">, and </w:t>
      </w:r>
      <w:proofErr w:type="spellStart"/>
      <w:r w:rsidR="00253CED" w:rsidRPr="00253CED">
        <w:rPr>
          <w:rFonts w:ascii="Garamond" w:hAnsi="Garamond"/>
          <w:i/>
          <w:sz w:val="24"/>
          <w:szCs w:val="24"/>
        </w:rPr>
        <w:t>Buse</w:t>
      </w:r>
      <w:proofErr w:type="spellEnd"/>
      <w:r w:rsidR="00253CED">
        <w:rPr>
          <w:rFonts w:ascii="Garamond" w:hAnsi="Garamond"/>
          <w:sz w:val="24"/>
          <w:szCs w:val="24"/>
        </w:rPr>
        <w:t>)</w:t>
      </w:r>
      <w:r w:rsidRPr="00854995">
        <w:rPr>
          <w:rFonts w:ascii="Garamond" w:hAnsi="Garamond"/>
          <w:sz w:val="24"/>
          <w:szCs w:val="24"/>
        </w:rPr>
        <w:t xml:space="preserve"> does not reach brighter conclusions by taking a broader perspective. It argues that the inadequate use of a human rights-based approach by inter-governmental partnerships for health and human rights in general can only be resolved through better vision, tools, staff training, reporting procedures, and accountability mechanisms.</w:t>
      </w:r>
    </w:p>
    <w:p w14:paraId="42F15ACE" w14:textId="1D660778" w:rsidR="00504E68" w:rsidRPr="002F5BE1" w:rsidRDefault="00C452A0" w:rsidP="00D6332A">
      <w:pPr>
        <w:jc w:val="both"/>
        <w:rPr>
          <w:rFonts w:ascii="Garamond" w:hAnsi="Garamond"/>
          <w:sz w:val="24"/>
          <w:szCs w:val="24"/>
        </w:rPr>
      </w:pPr>
      <w:r>
        <w:rPr>
          <w:rFonts w:ascii="Garamond" w:hAnsi="Garamond"/>
          <w:sz w:val="24"/>
          <w:szCs w:val="24"/>
        </w:rPr>
        <w:lastRenderedPageBreak/>
        <w:t>T</w:t>
      </w:r>
      <w:r w:rsidR="00426335" w:rsidRPr="002F5BE1">
        <w:rPr>
          <w:rFonts w:ascii="Garamond" w:hAnsi="Garamond"/>
          <w:sz w:val="24"/>
          <w:szCs w:val="24"/>
        </w:rPr>
        <w:t>he fourth section of this volume</w:t>
      </w:r>
      <w:r>
        <w:rPr>
          <w:rFonts w:ascii="Garamond" w:hAnsi="Garamond"/>
          <w:sz w:val="24"/>
          <w:szCs w:val="24"/>
        </w:rPr>
        <w:t xml:space="preserve"> shifts to a different focus, as</w:t>
      </w:r>
      <w:r w:rsidRPr="002F5BE1">
        <w:rPr>
          <w:rFonts w:ascii="Garamond" w:hAnsi="Garamond"/>
          <w:sz w:val="24"/>
          <w:szCs w:val="24"/>
        </w:rPr>
        <w:t xml:space="preserve"> </w:t>
      </w:r>
      <w:r>
        <w:rPr>
          <w:rFonts w:ascii="Garamond" w:hAnsi="Garamond"/>
          <w:sz w:val="24"/>
          <w:szCs w:val="24"/>
        </w:rPr>
        <w:t>chapters 15 to 20</w:t>
      </w:r>
      <w:r w:rsidR="00DF4502" w:rsidRPr="002F5BE1">
        <w:rPr>
          <w:rFonts w:ascii="Garamond" w:hAnsi="Garamond"/>
          <w:sz w:val="24"/>
          <w:szCs w:val="24"/>
        </w:rPr>
        <w:t xml:space="preserve"> assess how international economic governance agencies</w:t>
      </w:r>
      <w:r>
        <w:rPr>
          <w:rFonts w:ascii="Garamond" w:hAnsi="Garamond"/>
          <w:sz w:val="24"/>
          <w:szCs w:val="24"/>
        </w:rPr>
        <w:t xml:space="preserve"> integrate</w:t>
      </w:r>
      <w:r w:rsidR="00DF4502" w:rsidRPr="002F5BE1">
        <w:rPr>
          <w:rFonts w:ascii="Garamond" w:hAnsi="Garamond"/>
          <w:sz w:val="24"/>
          <w:szCs w:val="24"/>
        </w:rPr>
        <w:t xml:space="preserve"> human right</w:t>
      </w:r>
      <w:r>
        <w:rPr>
          <w:rFonts w:ascii="Garamond" w:hAnsi="Garamond"/>
          <w:sz w:val="24"/>
          <w:szCs w:val="24"/>
        </w:rPr>
        <w:t xml:space="preserve">s norms </w:t>
      </w:r>
      <w:r w:rsidR="00DF4502" w:rsidRPr="002F5BE1">
        <w:rPr>
          <w:rFonts w:ascii="Garamond" w:hAnsi="Garamond"/>
          <w:sz w:val="24"/>
          <w:szCs w:val="24"/>
        </w:rPr>
        <w:t>to promote global health, in their efforts to</w:t>
      </w:r>
      <w:r>
        <w:rPr>
          <w:rFonts w:ascii="Garamond" w:hAnsi="Garamond"/>
          <w:sz w:val="24"/>
          <w:szCs w:val="24"/>
        </w:rPr>
        <w:t xml:space="preserve"> raise</w:t>
      </w:r>
      <w:r w:rsidR="00DF4502" w:rsidRPr="002F5BE1">
        <w:rPr>
          <w:rFonts w:ascii="Garamond" w:hAnsi="Garamond"/>
          <w:sz w:val="24"/>
          <w:szCs w:val="24"/>
        </w:rPr>
        <w:t xml:space="preserve"> economic development and </w:t>
      </w:r>
      <w:r>
        <w:rPr>
          <w:rFonts w:ascii="Garamond" w:hAnsi="Garamond"/>
          <w:sz w:val="24"/>
          <w:szCs w:val="24"/>
        </w:rPr>
        <w:t>fight</w:t>
      </w:r>
      <w:r w:rsidR="00DF4502" w:rsidRPr="002F5BE1">
        <w:rPr>
          <w:rFonts w:ascii="Garamond" w:hAnsi="Garamond"/>
          <w:sz w:val="24"/>
          <w:szCs w:val="24"/>
        </w:rPr>
        <w:t xml:space="preserve"> poverty. Chapters 15, 18 and 20 take a b</w:t>
      </w:r>
      <w:r>
        <w:rPr>
          <w:rFonts w:ascii="Garamond" w:hAnsi="Garamond"/>
          <w:sz w:val="24"/>
          <w:szCs w:val="24"/>
        </w:rPr>
        <w:t>road</w:t>
      </w:r>
      <w:r w:rsidR="00DF4502" w:rsidRPr="002F5BE1">
        <w:rPr>
          <w:rFonts w:ascii="Garamond" w:hAnsi="Garamond"/>
          <w:sz w:val="24"/>
          <w:szCs w:val="24"/>
        </w:rPr>
        <w:t xml:space="preserve"> perspective, </w:t>
      </w:r>
      <w:r w:rsidR="00830855" w:rsidRPr="002F5BE1">
        <w:rPr>
          <w:rFonts w:ascii="Garamond" w:hAnsi="Garamond"/>
          <w:sz w:val="24"/>
          <w:szCs w:val="24"/>
        </w:rPr>
        <w:t>for they</w:t>
      </w:r>
      <w:r w:rsidR="00DF4502" w:rsidRPr="002F5BE1">
        <w:rPr>
          <w:rFonts w:ascii="Garamond" w:hAnsi="Garamond"/>
          <w:sz w:val="24"/>
          <w:szCs w:val="24"/>
        </w:rPr>
        <w:t xml:space="preserve"> </w:t>
      </w:r>
      <w:r w:rsidR="00830855" w:rsidRPr="002F5BE1">
        <w:rPr>
          <w:rFonts w:ascii="Garamond" w:hAnsi="Garamond"/>
          <w:sz w:val="24"/>
          <w:szCs w:val="24"/>
        </w:rPr>
        <w:t>analyse</w:t>
      </w:r>
      <w:r w:rsidR="00DF4502" w:rsidRPr="002F5BE1">
        <w:rPr>
          <w:rFonts w:ascii="Garamond" w:hAnsi="Garamond"/>
          <w:sz w:val="24"/>
          <w:szCs w:val="24"/>
        </w:rPr>
        <w:t xml:space="preserve"> how the right to development, national foreign assistance programmes and multilateral funding</w:t>
      </w:r>
      <w:r w:rsidR="006D22F2" w:rsidRPr="002F5BE1">
        <w:rPr>
          <w:rFonts w:ascii="Garamond" w:hAnsi="Garamond"/>
          <w:sz w:val="24"/>
          <w:szCs w:val="24"/>
        </w:rPr>
        <w:t xml:space="preserve"> are </w:t>
      </w:r>
      <w:r w:rsidR="00DF4502" w:rsidRPr="002F5BE1">
        <w:rPr>
          <w:rFonts w:ascii="Garamond" w:hAnsi="Garamond"/>
          <w:sz w:val="24"/>
          <w:szCs w:val="24"/>
        </w:rPr>
        <w:t>used</w:t>
      </w:r>
      <w:r w:rsidR="00DB4476">
        <w:rPr>
          <w:rFonts w:ascii="Garamond" w:hAnsi="Garamond"/>
          <w:sz w:val="24"/>
          <w:szCs w:val="24"/>
        </w:rPr>
        <w:t xml:space="preserve"> (</w:t>
      </w:r>
      <w:r w:rsidR="006D22F2" w:rsidRPr="002F5BE1">
        <w:rPr>
          <w:rFonts w:ascii="Garamond" w:hAnsi="Garamond"/>
          <w:sz w:val="24"/>
          <w:szCs w:val="24"/>
        </w:rPr>
        <w:t>or could be used</w:t>
      </w:r>
      <w:r w:rsidR="00DB4476">
        <w:rPr>
          <w:rFonts w:ascii="Garamond" w:hAnsi="Garamond"/>
          <w:sz w:val="24"/>
          <w:szCs w:val="24"/>
        </w:rPr>
        <w:t>)</w:t>
      </w:r>
      <w:r w:rsidR="00DF4502" w:rsidRPr="002F5BE1">
        <w:rPr>
          <w:rFonts w:ascii="Garamond" w:hAnsi="Garamond"/>
          <w:sz w:val="24"/>
          <w:szCs w:val="24"/>
        </w:rPr>
        <w:t xml:space="preserve"> at the international level to promote global health. </w:t>
      </w:r>
      <w:r w:rsidR="006D22F2" w:rsidRPr="002F5BE1">
        <w:rPr>
          <w:rFonts w:ascii="Garamond" w:hAnsi="Garamond"/>
          <w:sz w:val="24"/>
          <w:szCs w:val="24"/>
        </w:rPr>
        <w:t xml:space="preserve">Chapter 15 </w:t>
      </w:r>
      <w:r w:rsidR="00253CED">
        <w:rPr>
          <w:rFonts w:ascii="Garamond" w:hAnsi="Garamond"/>
          <w:sz w:val="24"/>
          <w:szCs w:val="24"/>
        </w:rPr>
        <w:t>(</w:t>
      </w:r>
      <w:r w:rsidR="00253CED" w:rsidRPr="00253CED">
        <w:rPr>
          <w:rFonts w:ascii="Garamond" w:hAnsi="Garamond"/>
          <w:i/>
          <w:sz w:val="24"/>
          <w:szCs w:val="24"/>
        </w:rPr>
        <w:t>Marks</w:t>
      </w:r>
      <w:r w:rsidR="00253CED">
        <w:rPr>
          <w:rFonts w:ascii="Garamond" w:hAnsi="Garamond"/>
          <w:sz w:val="24"/>
          <w:szCs w:val="24"/>
        </w:rPr>
        <w:t xml:space="preserve">) </w:t>
      </w:r>
      <w:r w:rsidR="006D22F2" w:rsidRPr="002F5BE1">
        <w:rPr>
          <w:rFonts w:ascii="Garamond" w:hAnsi="Garamond"/>
          <w:sz w:val="24"/>
          <w:szCs w:val="24"/>
        </w:rPr>
        <w:t xml:space="preserve">highlights that </w:t>
      </w:r>
      <w:r w:rsidR="00756F68" w:rsidRPr="002F5BE1">
        <w:rPr>
          <w:rFonts w:ascii="Garamond" w:hAnsi="Garamond"/>
          <w:sz w:val="24"/>
          <w:szCs w:val="24"/>
        </w:rPr>
        <w:t>international</w:t>
      </w:r>
      <w:r w:rsidR="006D22F2" w:rsidRPr="002F5BE1">
        <w:rPr>
          <w:rFonts w:ascii="Garamond" w:hAnsi="Garamond"/>
          <w:sz w:val="24"/>
          <w:szCs w:val="24"/>
        </w:rPr>
        <w:t xml:space="preserve"> effor</w:t>
      </w:r>
      <w:r w:rsidR="00DB4476">
        <w:rPr>
          <w:rFonts w:ascii="Garamond" w:hAnsi="Garamond"/>
          <w:sz w:val="24"/>
          <w:szCs w:val="24"/>
        </w:rPr>
        <w:t>ts promoting</w:t>
      </w:r>
      <w:r w:rsidR="006D22F2" w:rsidRPr="002F5BE1">
        <w:rPr>
          <w:rFonts w:ascii="Garamond" w:hAnsi="Garamond"/>
          <w:sz w:val="24"/>
          <w:szCs w:val="24"/>
        </w:rPr>
        <w:t xml:space="preserve"> a human rights-based approach to development have been more effective than </w:t>
      </w:r>
      <w:r w:rsidR="000273DE" w:rsidRPr="002F5BE1">
        <w:rPr>
          <w:rFonts w:ascii="Garamond" w:hAnsi="Garamond"/>
          <w:sz w:val="24"/>
          <w:szCs w:val="24"/>
        </w:rPr>
        <w:t>those promoting</w:t>
      </w:r>
      <w:r w:rsidR="006D22F2" w:rsidRPr="002F5BE1">
        <w:rPr>
          <w:rFonts w:ascii="Garamond" w:hAnsi="Garamond"/>
          <w:sz w:val="24"/>
          <w:szCs w:val="24"/>
        </w:rPr>
        <w:t xml:space="preserve"> a right to development and that, as a result, the latter does not often appear in</w:t>
      </w:r>
      <w:r w:rsidR="0005551E">
        <w:rPr>
          <w:rFonts w:ascii="Garamond" w:hAnsi="Garamond"/>
          <w:sz w:val="24"/>
          <w:szCs w:val="24"/>
        </w:rPr>
        <w:t xml:space="preserve"> </w:t>
      </w:r>
      <w:r w:rsidR="00DB4476">
        <w:rPr>
          <w:rFonts w:ascii="Garamond" w:hAnsi="Garamond"/>
          <w:sz w:val="24"/>
          <w:szCs w:val="24"/>
        </w:rPr>
        <w:t xml:space="preserve">the </w:t>
      </w:r>
      <w:r w:rsidR="0005551E" w:rsidRPr="002F5BE1">
        <w:rPr>
          <w:rFonts w:ascii="Garamond" w:hAnsi="Garamond"/>
          <w:sz w:val="24"/>
          <w:szCs w:val="24"/>
        </w:rPr>
        <w:t>global health policies</w:t>
      </w:r>
      <w:r w:rsidR="0005551E">
        <w:rPr>
          <w:rFonts w:ascii="Garamond" w:hAnsi="Garamond"/>
          <w:sz w:val="24"/>
          <w:szCs w:val="24"/>
        </w:rPr>
        <w:t xml:space="preserve"> of</w:t>
      </w:r>
      <w:r w:rsidR="006D22F2" w:rsidRPr="002F5BE1">
        <w:rPr>
          <w:rFonts w:ascii="Garamond" w:hAnsi="Garamond"/>
          <w:sz w:val="24"/>
          <w:szCs w:val="24"/>
        </w:rPr>
        <w:t xml:space="preserve"> </w:t>
      </w:r>
      <w:r w:rsidR="0005551E">
        <w:rPr>
          <w:rFonts w:ascii="Garamond" w:hAnsi="Garamond"/>
          <w:sz w:val="24"/>
          <w:szCs w:val="24"/>
        </w:rPr>
        <w:t>economic institutions</w:t>
      </w:r>
      <w:r w:rsidR="006D22F2" w:rsidRPr="002F5BE1">
        <w:rPr>
          <w:rFonts w:ascii="Garamond" w:hAnsi="Garamond"/>
          <w:sz w:val="24"/>
          <w:szCs w:val="24"/>
        </w:rPr>
        <w:t>.</w:t>
      </w:r>
      <w:r w:rsidR="009B2BDD" w:rsidRPr="002F5BE1">
        <w:rPr>
          <w:rFonts w:ascii="Garamond" w:hAnsi="Garamond"/>
          <w:sz w:val="24"/>
          <w:szCs w:val="24"/>
        </w:rPr>
        <w:t xml:space="preserve"> </w:t>
      </w:r>
      <w:r w:rsidR="00DB4476">
        <w:rPr>
          <w:rFonts w:ascii="Garamond" w:hAnsi="Garamond"/>
          <w:sz w:val="24"/>
          <w:szCs w:val="24"/>
        </w:rPr>
        <w:t>F</w:t>
      </w:r>
      <w:r w:rsidR="009B2BDD" w:rsidRPr="002F5BE1">
        <w:rPr>
          <w:rFonts w:ascii="Garamond" w:hAnsi="Garamond"/>
          <w:sz w:val="24"/>
          <w:szCs w:val="24"/>
        </w:rPr>
        <w:t>ocusing on</w:t>
      </w:r>
      <w:r w:rsidR="00F411B2" w:rsidRPr="002F5BE1">
        <w:rPr>
          <w:rFonts w:ascii="Garamond" w:hAnsi="Garamond"/>
          <w:sz w:val="24"/>
          <w:szCs w:val="24"/>
        </w:rPr>
        <w:t xml:space="preserve"> </w:t>
      </w:r>
      <w:r w:rsidR="009B2BDD" w:rsidRPr="002F5BE1">
        <w:rPr>
          <w:rFonts w:ascii="Garamond" w:hAnsi="Garamond"/>
          <w:sz w:val="24"/>
          <w:szCs w:val="24"/>
        </w:rPr>
        <w:t>bilateral development assistance agencies, Chapter 18</w:t>
      </w:r>
      <w:r w:rsidR="00253CED">
        <w:rPr>
          <w:rFonts w:ascii="Garamond" w:hAnsi="Garamond"/>
          <w:sz w:val="24"/>
          <w:szCs w:val="24"/>
        </w:rPr>
        <w:t xml:space="preserve"> (</w:t>
      </w:r>
      <w:r w:rsidR="00253CED" w:rsidRPr="00253CED">
        <w:rPr>
          <w:rFonts w:ascii="Garamond" w:hAnsi="Garamond"/>
          <w:i/>
          <w:sz w:val="24"/>
          <w:szCs w:val="24"/>
        </w:rPr>
        <w:t xml:space="preserve">Hammonds and </w:t>
      </w:r>
      <w:proofErr w:type="spellStart"/>
      <w:r w:rsidR="00253CED" w:rsidRPr="00253CED">
        <w:rPr>
          <w:rFonts w:ascii="Garamond" w:hAnsi="Garamond"/>
          <w:i/>
          <w:sz w:val="24"/>
          <w:szCs w:val="24"/>
        </w:rPr>
        <w:t>Ooms</w:t>
      </w:r>
      <w:proofErr w:type="spellEnd"/>
      <w:r w:rsidR="00253CED">
        <w:rPr>
          <w:rFonts w:ascii="Garamond" w:hAnsi="Garamond"/>
          <w:sz w:val="24"/>
          <w:szCs w:val="24"/>
        </w:rPr>
        <w:t>)</w:t>
      </w:r>
      <w:r w:rsidR="009B2BDD" w:rsidRPr="002F5BE1">
        <w:rPr>
          <w:rFonts w:ascii="Garamond" w:hAnsi="Garamond"/>
          <w:sz w:val="24"/>
          <w:szCs w:val="24"/>
        </w:rPr>
        <w:t xml:space="preserve"> argues that</w:t>
      </w:r>
      <w:r w:rsidR="008F4594" w:rsidRPr="002F5BE1">
        <w:rPr>
          <w:rFonts w:ascii="Garamond" w:hAnsi="Garamond"/>
          <w:sz w:val="24"/>
          <w:szCs w:val="24"/>
        </w:rPr>
        <w:t xml:space="preserve"> thei</w:t>
      </w:r>
      <w:r w:rsidR="00DB4476">
        <w:rPr>
          <w:rFonts w:ascii="Garamond" w:hAnsi="Garamond"/>
          <w:sz w:val="24"/>
          <w:szCs w:val="24"/>
        </w:rPr>
        <w:t xml:space="preserve">r growing number is positive, </w:t>
      </w:r>
      <w:r w:rsidR="00707BD6">
        <w:rPr>
          <w:rFonts w:ascii="Garamond" w:hAnsi="Garamond"/>
          <w:sz w:val="24"/>
          <w:szCs w:val="24"/>
        </w:rPr>
        <w:t>but that it</w:t>
      </w:r>
      <w:r w:rsidR="008F4594" w:rsidRPr="002F5BE1">
        <w:rPr>
          <w:rFonts w:ascii="Garamond" w:hAnsi="Garamond"/>
          <w:sz w:val="24"/>
          <w:szCs w:val="24"/>
        </w:rPr>
        <w:t xml:space="preserve"> also increases the risk of fragmentatio</w:t>
      </w:r>
      <w:r w:rsidR="00DB4476">
        <w:rPr>
          <w:rFonts w:ascii="Garamond" w:hAnsi="Garamond"/>
          <w:sz w:val="24"/>
          <w:szCs w:val="24"/>
        </w:rPr>
        <w:t>n in global health governance</w:t>
      </w:r>
      <w:r w:rsidR="00707BD6">
        <w:rPr>
          <w:rFonts w:ascii="Garamond" w:hAnsi="Garamond"/>
          <w:sz w:val="24"/>
          <w:szCs w:val="24"/>
        </w:rPr>
        <w:t xml:space="preserve">, against which the harmonisation efforts of the </w:t>
      </w:r>
      <w:r w:rsidR="008F4594" w:rsidRPr="002F5BE1">
        <w:rPr>
          <w:rFonts w:ascii="Garamond" w:hAnsi="Garamond"/>
          <w:sz w:val="24"/>
          <w:szCs w:val="24"/>
        </w:rPr>
        <w:t xml:space="preserve">Organisation for Economic Co-operation and Development’s Development Assistance Committee </w:t>
      </w:r>
      <w:r w:rsidR="00675FBF" w:rsidRPr="002F5BE1">
        <w:rPr>
          <w:rFonts w:ascii="Garamond" w:hAnsi="Garamond"/>
          <w:sz w:val="24"/>
          <w:szCs w:val="24"/>
        </w:rPr>
        <w:t>ar</w:t>
      </w:r>
      <w:r w:rsidR="006E3FC8" w:rsidRPr="002F5BE1">
        <w:rPr>
          <w:rFonts w:ascii="Garamond" w:hAnsi="Garamond"/>
          <w:sz w:val="24"/>
          <w:szCs w:val="24"/>
        </w:rPr>
        <w:t xml:space="preserve">e insufficient. </w:t>
      </w:r>
      <w:r w:rsidR="00707BD6" w:rsidRPr="002F5BE1">
        <w:rPr>
          <w:rFonts w:ascii="Garamond" w:hAnsi="Garamond"/>
          <w:sz w:val="24"/>
          <w:szCs w:val="24"/>
        </w:rPr>
        <w:t>Finally, Chapter 20</w:t>
      </w:r>
      <w:r w:rsidR="00253CED">
        <w:rPr>
          <w:rFonts w:ascii="Garamond" w:hAnsi="Garamond"/>
          <w:sz w:val="24"/>
          <w:szCs w:val="24"/>
        </w:rPr>
        <w:t xml:space="preserve"> (</w:t>
      </w:r>
      <w:proofErr w:type="spellStart"/>
      <w:r w:rsidR="00253CED" w:rsidRPr="00253CED">
        <w:rPr>
          <w:rFonts w:ascii="Garamond" w:hAnsi="Garamond"/>
          <w:i/>
          <w:sz w:val="24"/>
          <w:szCs w:val="24"/>
        </w:rPr>
        <w:t>Ooms</w:t>
      </w:r>
      <w:proofErr w:type="spellEnd"/>
      <w:r w:rsidR="00253CED" w:rsidRPr="00253CED">
        <w:rPr>
          <w:rFonts w:ascii="Garamond" w:hAnsi="Garamond"/>
          <w:i/>
          <w:sz w:val="24"/>
          <w:szCs w:val="24"/>
        </w:rPr>
        <w:t xml:space="preserve"> and Hammonds</w:t>
      </w:r>
      <w:r w:rsidR="00253CED">
        <w:rPr>
          <w:rFonts w:ascii="Garamond" w:hAnsi="Garamond"/>
          <w:sz w:val="24"/>
          <w:szCs w:val="24"/>
        </w:rPr>
        <w:t>)</w:t>
      </w:r>
      <w:r w:rsidR="00707BD6" w:rsidRPr="002F5BE1">
        <w:rPr>
          <w:rFonts w:ascii="Garamond" w:hAnsi="Garamond"/>
          <w:sz w:val="24"/>
          <w:szCs w:val="24"/>
        </w:rPr>
        <w:t xml:space="preserve"> examines the future of multilateral funding to realise the right to health.</w:t>
      </w:r>
      <w:r w:rsidR="00707BD6">
        <w:rPr>
          <w:rFonts w:ascii="Garamond" w:hAnsi="Garamond"/>
          <w:sz w:val="24"/>
          <w:szCs w:val="24"/>
        </w:rPr>
        <w:t xml:space="preserve"> After having analysed all relevant </w:t>
      </w:r>
      <w:r w:rsidR="00707BD6" w:rsidRPr="002F5BE1">
        <w:rPr>
          <w:rFonts w:ascii="Garamond" w:hAnsi="Garamond"/>
          <w:sz w:val="24"/>
          <w:szCs w:val="24"/>
        </w:rPr>
        <w:t xml:space="preserve">human rights </w:t>
      </w:r>
      <w:r w:rsidR="00707BD6">
        <w:rPr>
          <w:rFonts w:ascii="Garamond" w:hAnsi="Garamond"/>
          <w:sz w:val="24"/>
          <w:szCs w:val="24"/>
        </w:rPr>
        <w:t>norms, as well as resources needs and capacities</w:t>
      </w:r>
      <w:r w:rsidR="005F6D89">
        <w:rPr>
          <w:rFonts w:ascii="Garamond" w:hAnsi="Garamond"/>
          <w:sz w:val="24"/>
          <w:szCs w:val="24"/>
        </w:rPr>
        <w:t xml:space="preserve"> from various states, this chapter</w:t>
      </w:r>
      <w:r w:rsidR="00707BD6">
        <w:rPr>
          <w:rFonts w:ascii="Garamond" w:hAnsi="Garamond"/>
          <w:sz w:val="24"/>
          <w:szCs w:val="24"/>
        </w:rPr>
        <w:t xml:space="preserve"> stresses that </w:t>
      </w:r>
      <w:r w:rsidR="005F6D89">
        <w:rPr>
          <w:rFonts w:ascii="Garamond" w:hAnsi="Garamond"/>
          <w:sz w:val="24"/>
          <w:szCs w:val="24"/>
        </w:rPr>
        <w:t>international assistance for health is significantly more likely to succeed through a hypothetical</w:t>
      </w:r>
      <w:r w:rsidR="005F6D89" w:rsidRPr="002F5BE1">
        <w:rPr>
          <w:rFonts w:ascii="Garamond" w:hAnsi="Garamond"/>
          <w:sz w:val="24"/>
          <w:szCs w:val="24"/>
        </w:rPr>
        <w:t xml:space="preserve"> Global Fund for Health</w:t>
      </w:r>
      <w:r w:rsidR="005F6D89">
        <w:rPr>
          <w:rFonts w:ascii="Garamond" w:hAnsi="Garamond"/>
          <w:sz w:val="24"/>
          <w:szCs w:val="24"/>
        </w:rPr>
        <w:t xml:space="preserve"> channelling all resources and processes</w:t>
      </w:r>
      <w:r w:rsidR="005F6D89" w:rsidRPr="002F5BE1">
        <w:rPr>
          <w:rFonts w:ascii="Garamond" w:hAnsi="Garamond"/>
          <w:sz w:val="24"/>
          <w:szCs w:val="24"/>
        </w:rPr>
        <w:t xml:space="preserve"> </w:t>
      </w:r>
      <w:r w:rsidR="005F6D89">
        <w:rPr>
          <w:rFonts w:ascii="Garamond" w:hAnsi="Garamond"/>
          <w:sz w:val="24"/>
          <w:szCs w:val="24"/>
        </w:rPr>
        <w:t>than through bilateral agreements.</w:t>
      </w:r>
      <w:r w:rsidR="00830855" w:rsidRPr="002F5BE1">
        <w:rPr>
          <w:rFonts w:ascii="Garamond" w:hAnsi="Garamond"/>
          <w:sz w:val="24"/>
          <w:szCs w:val="24"/>
        </w:rPr>
        <w:t xml:space="preserve"> </w:t>
      </w:r>
      <w:r w:rsidR="00DF4502" w:rsidRPr="002F5BE1">
        <w:rPr>
          <w:rFonts w:ascii="Garamond" w:hAnsi="Garamond"/>
          <w:sz w:val="24"/>
          <w:szCs w:val="24"/>
        </w:rPr>
        <w:t xml:space="preserve">Chapters 16, 17 and 19, however, focus on particular agencies such as </w:t>
      </w:r>
      <w:r w:rsidR="006D22F2" w:rsidRPr="002F5BE1">
        <w:rPr>
          <w:rFonts w:ascii="Garamond" w:hAnsi="Garamond"/>
          <w:sz w:val="24"/>
          <w:szCs w:val="24"/>
        </w:rPr>
        <w:t>the World Bank, the World Trade Organization,</w:t>
      </w:r>
      <w:r w:rsidR="00830855" w:rsidRPr="002F5BE1">
        <w:rPr>
          <w:rFonts w:ascii="Garamond" w:hAnsi="Garamond"/>
          <w:sz w:val="24"/>
          <w:szCs w:val="24"/>
        </w:rPr>
        <w:t xml:space="preserve"> and</w:t>
      </w:r>
      <w:r w:rsidR="006D22F2" w:rsidRPr="002F5BE1">
        <w:rPr>
          <w:rFonts w:ascii="Garamond" w:hAnsi="Garamond"/>
          <w:sz w:val="24"/>
          <w:szCs w:val="24"/>
        </w:rPr>
        <w:t xml:space="preserve"> the Global Fund to Fight AIDS, Tuberculosis and Malaria, </w:t>
      </w:r>
      <w:r w:rsidR="006251B3">
        <w:rPr>
          <w:rFonts w:ascii="Garamond" w:hAnsi="Garamond"/>
          <w:sz w:val="24"/>
          <w:szCs w:val="24"/>
        </w:rPr>
        <w:t xml:space="preserve">in order </w:t>
      </w:r>
      <w:r w:rsidR="006D22F2" w:rsidRPr="002F5BE1">
        <w:rPr>
          <w:rFonts w:ascii="Garamond" w:hAnsi="Garamond"/>
          <w:sz w:val="24"/>
          <w:szCs w:val="24"/>
        </w:rPr>
        <w:t>to analyse current and future opportunities for economic governance to promote global health through human rights.</w:t>
      </w:r>
      <w:r w:rsidR="00786E4D" w:rsidRPr="002F5BE1">
        <w:rPr>
          <w:rFonts w:ascii="Garamond" w:hAnsi="Garamond"/>
          <w:sz w:val="24"/>
          <w:szCs w:val="24"/>
        </w:rPr>
        <w:t xml:space="preserve"> The focus of the World Bank on reducing poverty in low and medium income countries</w:t>
      </w:r>
      <w:r w:rsidR="0039440E" w:rsidRPr="002F5BE1">
        <w:rPr>
          <w:rFonts w:ascii="Garamond" w:hAnsi="Garamond"/>
          <w:sz w:val="24"/>
          <w:szCs w:val="24"/>
        </w:rPr>
        <w:t xml:space="preserve"> and </w:t>
      </w:r>
      <w:r w:rsidR="00786E4D" w:rsidRPr="002F5BE1">
        <w:rPr>
          <w:rFonts w:ascii="Garamond" w:hAnsi="Garamond"/>
          <w:sz w:val="24"/>
          <w:szCs w:val="24"/>
        </w:rPr>
        <w:t>its considerable budget</w:t>
      </w:r>
      <w:r w:rsidR="006251B3">
        <w:rPr>
          <w:rFonts w:ascii="Garamond" w:hAnsi="Garamond"/>
          <w:sz w:val="24"/>
          <w:szCs w:val="24"/>
        </w:rPr>
        <w:t xml:space="preserve"> both</w:t>
      </w:r>
      <w:r w:rsidR="00786E4D" w:rsidRPr="002F5BE1">
        <w:rPr>
          <w:rFonts w:ascii="Garamond" w:hAnsi="Garamond"/>
          <w:sz w:val="24"/>
          <w:szCs w:val="24"/>
        </w:rPr>
        <w:t xml:space="preserve"> </w:t>
      </w:r>
      <w:r w:rsidR="006251B3">
        <w:rPr>
          <w:rFonts w:ascii="Garamond" w:hAnsi="Garamond"/>
          <w:sz w:val="24"/>
          <w:szCs w:val="24"/>
        </w:rPr>
        <w:t>indicate a strong role on</w:t>
      </w:r>
      <w:r w:rsidR="0039440E" w:rsidRPr="002F5BE1">
        <w:rPr>
          <w:rFonts w:ascii="Garamond" w:hAnsi="Garamond"/>
          <w:sz w:val="24"/>
          <w:szCs w:val="24"/>
        </w:rPr>
        <w:t xml:space="preserve"> </w:t>
      </w:r>
      <w:r w:rsidR="006251B3">
        <w:rPr>
          <w:rFonts w:ascii="Garamond" w:hAnsi="Garamond"/>
          <w:sz w:val="24"/>
          <w:szCs w:val="24"/>
        </w:rPr>
        <w:t>the</w:t>
      </w:r>
      <w:r w:rsidR="0039440E" w:rsidRPr="002F5BE1">
        <w:rPr>
          <w:rFonts w:ascii="Garamond" w:hAnsi="Garamond"/>
          <w:sz w:val="24"/>
          <w:szCs w:val="24"/>
        </w:rPr>
        <w:t xml:space="preserve"> global health governance</w:t>
      </w:r>
      <w:r w:rsidR="006251B3">
        <w:rPr>
          <w:rFonts w:ascii="Garamond" w:hAnsi="Garamond"/>
          <w:sz w:val="24"/>
          <w:szCs w:val="24"/>
        </w:rPr>
        <w:t xml:space="preserve"> arena</w:t>
      </w:r>
      <w:r w:rsidR="00253CED">
        <w:rPr>
          <w:rFonts w:ascii="Garamond" w:hAnsi="Garamond"/>
          <w:sz w:val="24"/>
          <w:szCs w:val="24"/>
        </w:rPr>
        <w:t>, discussed in Chapter 16 (</w:t>
      </w:r>
      <w:proofErr w:type="spellStart"/>
      <w:r w:rsidR="00253CED" w:rsidRPr="007B6288">
        <w:rPr>
          <w:rFonts w:ascii="Garamond" w:hAnsi="Garamond"/>
          <w:i/>
          <w:sz w:val="24"/>
          <w:szCs w:val="24"/>
        </w:rPr>
        <w:t>Ribhi</w:t>
      </w:r>
      <w:proofErr w:type="spellEnd"/>
      <w:r w:rsidR="00253CED" w:rsidRPr="007B6288">
        <w:rPr>
          <w:rFonts w:ascii="Garamond" w:hAnsi="Garamond"/>
          <w:i/>
          <w:sz w:val="24"/>
          <w:szCs w:val="24"/>
        </w:rPr>
        <w:t xml:space="preserve"> </w:t>
      </w:r>
      <w:proofErr w:type="spellStart"/>
      <w:r w:rsidR="00253CED" w:rsidRPr="007B6288">
        <w:rPr>
          <w:rFonts w:ascii="Garamond" w:hAnsi="Garamond"/>
          <w:i/>
          <w:sz w:val="24"/>
          <w:szCs w:val="24"/>
        </w:rPr>
        <w:t>Shawar</w:t>
      </w:r>
      <w:proofErr w:type="spellEnd"/>
      <w:r w:rsidR="00253CED" w:rsidRPr="007B6288">
        <w:rPr>
          <w:rFonts w:ascii="Garamond" w:hAnsi="Garamond"/>
          <w:i/>
          <w:sz w:val="24"/>
          <w:szCs w:val="24"/>
        </w:rPr>
        <w:t xml:space="preserve"> and </w:t>
      </w:r>
      <w:proofErr w:type="spellStart"/>
      <w:r w:rsidR="00253CED" w:rsidRPr="007B6288">
        <w:rPr>
          <w:rFonts w:ascii="Garamond" w:hAnsi="Garamond"/>
          <w:i/>
          <w:sz w:val="24"/>
          <w:szCs w:val="24"/>
        </w:rPr>
        <w:t>Prah</w:t>
      </w:r>
      <w:proofErr w:type="spellEnd"/>
      <w:r w:rsidR="00253CED" w:rsidRPr="007B6288">
        <w:rPr>
          <w:rFonts w:ascii="Garamond" w:hAnsi="Garamond"/>
          <w:i/>
          <w:sz w:val="24"/>
          <w:szCs w:val="24"/>
        </w:rPr>
        <w:t xml:space="preserve"> Ruger</w:t>
      </w:r>
      <w:r w:rsidR="00253CED">
        <w:rPr>
          <w:rFonts w:ascii="Garamond" w:hAnsi="Garamond"/>
          <w:sz w:val="24"/>
          <w:szCs w:val="24"/>
        </w:rPr>
        <w:t>)</w:t>
      </w:r>
      <w:r w:rsidR="006251B3">
        <w:rPr>
          <w:rFonts w:ascii="Garamond" w:hAnsi="Garamond"/>
          <w:sz w:val="24"/>
          <w:szCs w:val="24"/>
        </w:rPr>
        <w:t>. However, its shy use of the human rights language overshadows such a prospect, reflecting instead fears of becoming political.</w:t>
      </w:r>
      <w:r w:rsidR="008C7665">
        <w:rPr>
          <w:rFonts w:ascii="Garamond" w:hAnsi="Garamond"/>
          <w:sz w:val="24"/>
          <w:szCs w:val="24"/>
        </w:rPr>
        <w:t xml:space="preserve"> Like </w:t>
      </w:r>
      <w:r w:rsidR="0039440E" w:rsidRPr="002F5BE1">
        <w:rPr>
          <w:rFonts w:ascii="Garamond" w:hAnsi="Garamond"/>
          <w:sz w:val="24"/>
          <w:szCs w:val="24"/>
        </w:rPr>
        <w:t xml:space="preserve">Chapter 16, Chapter 17 </w:t>
      </w:r>
      <w:r w:rsidR="007B6288">
        <w:rPr>
          <w:rFonts w:ascii="Garamond" w:hAnsi="Garamond"/>
          <w:sz w:val="24"/>
          <w:szCs w:val="24"/>
        </w:rPr>
        <w:t>(</w:t>
      </w:r>
      <w:r w:rsidR="007B6288" w:rsidRPr="007B6288">
        <w:rPr>
          <w:rFonts w:ascii="Garamond" w:hAnsi="Garamond"/>
          <w:i/>
          <w:sz w:val="24"/>
          <w:szCs w:val="24"/>
        </w:rPr>
        <w:t xml:space="preserve">Moon and </w:t>
      </w:r>
      <w:proofErr w:type="spellStart"/>
      <w:r w:rsidR="007B6288" w:rsidRPr="007B6288">
        <w:rPr>
          <w:rFonts w:ascii="Garamond" w:hAnsi="Garamond"/>
          <w:i/>
          <w:sz w:val="24"/>
          <w:szCs w:val="24"/>
        </w:rPr>
        <w:t>Balasubramaniam</w:t>
      </w:r>
      <w:proofErr w:type="spellEnd"/>
      <w:r w:rsidR="007B6288">
        <w:rPr>
          <w:rFonts w:ascii="Garamond" w:hAnsi="Garamond"/>
          <w:sz w:val="24"/>
          <w:szCs w:val="24"/>
        </w:rPr>
        <w:t xml:space="preserve">) </w:t>
      </w:r>
      <w:r w:rsidR="00504E68" w:rsidRPr="002F5BE1">
        <w:rPr>
          <w:rFonts w:ascii="Garamond" w:hAnsi="Garamond"/>
          <w:sz w:val="24"/>
          <w:szCs w:val="24"/>
        </w:rPr>
        <w:t>draws</w:t>
      </w:r>
      <w:r w:rsidR="0039440E" w:rsidRPr="002F5BE1">
        <w:rPr>
          <w:rFonts w:ascii="Garamond" w:hAnsi="Garamond"/>
          <w:sz w:val="24"/>
          <w:szCs w:val="24"/>
        </w:rPr>
        <w:t xml:space="preserve"> a mixed review of</w:t>
      </w:r>
      <w:r w:rsidR="00504E68" w:rsidRPr="002F5BE1">
        <w:rPr>
          <w:rFonts w:ascii="Garamond" w:hAnsi="Garamond"/>
          <w:sz w:val="24"/>
          <w:szCs w:val="24"/>
        </w:rPr>
        <w:t xml:space="preserve"> how international economic institutions integrate the human rights framework to promote global health, but that time by focusing on the World Trade Organization. It highlights the success of human rights standards regarding access to medicines and tobacco control, but reminds us that respecting </w:t>
      </w:r>
      <w:r w:rsidR="009B2BDD" w:rsidRPr="002F5BE1">
        <w:rPr>
          <w:rFonts w:ascii="Garamond" w:hAnsi="Garamond"/>
          <w:sz w:val="24"/>
          <w:szCs w:val="24"/>
        </w:rPr>
        <w:t>rights such</w:t>
      </w:r>
      <w:r w:rsidR="00504E68" w:rsidRPr="002F5BE1">
        <w:rPr>
          <w:rFonts w:ascii="Garamond" w:hAnsi="Garamond"/>
          <w:sz w:val="24"/>
          <w:szCs w:val="24"/>
        </w:rPr>
        <w:t xml:space="preserve"> as the right to health remains an exception to trade rules rather than their purpose.</w:t>
      </w:r>
      <w:r w:rsidR="002F3643" w:rsidRPr="002F5BE1">
        <w:rPr>
          <w:rFonts w:ascii="Garamond" w:hAnsi="Garamond"/>
          <w:sz w:val="24"/>
          <w:szCs w:val="24"/>
        </w:rPr>
        <w:t xml:space="preserve"> Chapter 19</w:t>
      </w:r>
      <w:r w:rsidR="007B6288">
        <w:rPr>
          <w:rFonts w:ascii="Garamond" w:hAnsi="Garamond"/>
          <w:sz w:val="24"/>
          <w:szCs w:val="24"/>
        </w:rPr>
        <w:t xml:space="preserve"> (</w:t>
      </w:r>
      <w:proofErr w:type="spellStart"/>
      <w:r w:rsidR="007B6288" w:rsidRPr="007B6288">
        <w:rPr>
          <w:rFonts w:ascii="Garamond" w:hAnsi="Garamond"/>
          <w:i/>
          <w:sz w:val="24"/>
          <w:szCs w:val="24"/>
        </w:rPr>
        <w:t>Jürgens</w:t>
      </w:r>
      <w:proofErr w:type="spellEnd"/>
      <w:r w:rsidR="007B6288" w:rsidRPr="007B6288">
        <w:rPr>
          <w:rFonts w:ascii="Garamond" w:hAnsi="Garamond"/>
          <w:i/>
          <w:sz w:val="24"/>
          <w:szCs w:val="24"/>
        </w:rPr>
        <w:t xml:space="preserve">, </w:t>
      </w:r>
      <w:proofErr w:type="spellStart"/>
      <w:r w:rsidR="007B6288" w:rsidRPr="007B6288">
        <w:rPr>
          <w:rFonts w:ascii="Garamond" w:hAnsi="Garamond"/>
          <w:i/>
          <w:sz w:val="24"/>
          <w:szCs w:val="24"/>
        </w:rPr>
        <w:t>Csete</w:t>
      </w:r>
      <w:proofErr w:type="spellEnd"/>
      <w:r w:rsidR="007B6288" w:rsidRPr="007B6288">
        <w:rPr>
          <w:rFonts w:ascii="Garamond" w:hAnsi="Garamond"/>
          <w:i/>
          <w:sz w:val="24"/>
          <w:szCs w:val="24"/>
        </w:rPr>
        <w:t>, Lim, Timberlake, and Smith</w:t>
      </w:r>
      <w:r w:rsidR="007B6288">
        <w:rPr>
          <w:rFonts w:ascii="Garamond" w:hAnsi="Garamond"/>
          <w:sz w:val="24"/>
          <w:szCs w:val="24"/>
        </w:rPr>
        <w:t>)</w:t>
      </w:r>
      <w:r w:rsidR="002F3643" w:rsidRPr="002F5BE1">
        <w:rPr>
          <w:rFonts w:ascii="Garamond" w:hAnsi="Garamond"/>
          <w:sz w:val="24"/>
          <w:szCs w:val="24"/>
        </w:rPr>
        <w:t xml:space="preserve">, however, tells a more positive story about the Global Fund to Fight Aids, Tuberculosis and Malaria. While the diversity of actors on its board and its country-driven processes can </w:t>
      </w:r>
      <w:r w:rsidR="00DC06F7" w:rsidRPr="002F5BE1">
        <w:rPr>
          <w:rFonts w:ascii="Garamond" w:hAnsi="Garamond"/>
          <w:sz w:val="24"/>
          <w:szCs w:val="24"/>
        </w:rPr>
        <w:t>be challenging</w:t>
      </w:r>
      <w:r w:rsidR="002F3643" w:rsidRPr="002F5BE1">
        <w:rPr>
          <w:rFonts w:ascii="Garamond" w:hAnsi="Garamond"/>
          <w:sz w:val="24"/>
          <w:szCs w:val="24"/>
        </w:rPr>
        <w:t xml:space="preserve">, they have </w:t>
      </w:r>
      <w:r w:rsidR="0046455A" w:rsidRPr="002F5BE1">
        <w:rPr>
          <w:rFonts w:ascii="Garamond" w:hAnsi="Garamond"/>
          <w:sz w:val="24"/>
          <w:szCs w:val="24"/>
        </w:rPr>
        <w:t xml:space="preserve">significantly </w:t>
      </w:r>
      <w:r w:rsidR="002F3643" w:rsidRPr="002F5BE1">
        <w:rPr>
          <w:rFonts w:ascii="Garamond" w:hAnsi="Garamond"/>
          <w:sz w:val="24"/>
          <w:szCs w:val="24"/>
        </w:rPr>
        <w:t xml:space="preserve">contributed to </w:t>
      </w:r>
      <w:r w:rsidR="0046455A" w:rsidRPr="002F5BE1">
        <w:rPr>
          <w:rFonts w:ascii="Garamond" w:hAnsi="Garamond"/>
          <w:sz w:val="24"/>
          <w:szCs w:val="24"/>
        </w:rPr>
        <w:t>the Fund’s ability to operationalise human rights in its strategic objectives to advance global health.</w:t>
      </w:r>
    </w:p>
    <w:p w14:paraId="70C0966A" w14:textId="32B7FC34" w:rsidR="00517564" w:rsidRPr="002F5BE1" w:rsidRDefault="00577521" w:rsidP="001F62B1">
      <w:pPr>
        <w:jc w:val="both"/>
        <w:outlineLvl w:val="0"/>
        <w:rPr>
          <w:rFonts w:ascii="Garamond" w:hAnsi="Garamond"/>
          <w:sz w:val="24"/>
          <w:szCs w:val="24"/>
        </w:rPr>
      </w:pPr>
      <w:r>
        <w:rPr>
          <w:rFonts w:ascii="Garamond" w:hAnsi="Garamond"/>
          <w:sz w:val="24"/>
          <w:szCs w:val="24"/>
        </w:rPr>
        <w:t xml:space="preserve">After the study </w:t>
      </w:r>
      <w:r w:rsidRPr="00577521">
        <w:rPr>
          <w:rFonts w:ascii="Garamond" w:hAnsi="Garamond"/>
          <w:sz w:val="24"/>
          <w:szCs w:val="24"/>
        </w:rPr>
        <w:t>of a range of international i</w:t>
      </w:r>
      <w:r>
        <w:rPr>
          <w:rFonts w:ascii="Garamond" w:hAnsi="Garamond"/>
          <w:sz w:val="24"/>
          <w:szCs w:val="24"/>
        </w:rPr>
        <w:t>nstitutions in sections 2, 3 and 4</w:t>
      </w:r>
      <w:r w:rsidR="001F62B1">
        <w:rPr>
          <w:rFonts w:ascii="Garamond" w:hAnsi="Garamond"/>
          <w:sz w:val="24"/>
          <w:szCs w:val="24"/>
        </w:rPr>
        <w:t xml:space="preserve">, </w:t>
      </w:r>
      <w:r w:rsidR="001F62B1" w:rsidRPr="002F5BE1">
        <w:rPr>
          <w:rFonts w:ascii="Garamond" w:hAnsi="Garamond"/>
          <w:sz w:val="24"/>
          <w:szCs w:val="24"/>
        </w:rPr>
        <w:t xml:space="preserve">the last section of this volume brings back the focus </w:t>
      </w:r>
      <w:r w:rsidR="001F62B1">
        <w:rPr>
          <w:rFonts w:ascii="Garamond" w:hAnsi="Garamond"/>
          <w:sz w:val="24"/>
          <w:szCs w:val="24"/>
        </w:rPr>
        <w:t>to</w:t>
      </w:r>
      <w:r w:rsidR="001F62B1" w:rsidRPr="002F5BE1">
        <w:rPr>
          <w:rFonts w:ascii="Garamond" w:hAnsi="Garamond"/>
          <w:sz w:val="24"/>
          <w:szCs w:val="24"/>
        </w:rPr>
        <w:t xml:space="preserve"> who should be leading the way</w:t>
      </w:r>
      <w:r w:rsidR="001F62B1">
        <w:rPr>
          <w:rFonts w:ascii="Garamond" w:hAnsi="Garamond"/>
          <w:sz w:val="24"/>
          <w:szCs w:val="24"/>
        </w:rPr>
        <w:t xml:space="preserve"> in this field: </w:t>
      </w:r>
      <w:r w:rsidR="00D47BF6" w:rsidRPr="002F5BE1">
        <w:rPr>
          <w:rFonts w:ascii="Garamond" w:hAnsi="Garamond"/>
          <w:sz w:val="24"/>
          <w:szCs w:val="24"/>
        </w:rPr>
        <w:t>UN human rights institutions.</w:t>
      </w:r>
      <w:r w:rsidR="006C6F51" w:rsidRPr="002F5BE1">
        <w:rPr>
          <w:rFonts w:ascii="Garamond" w:hAnsi="Garamond"/>
          <w:sz w:val="24"/>
          <w:szCs w:val="24"/>
        </w:rPr>
        <w:t xml:space="preserve"> </w:t>
      </w:r>
      <w:r w:rsidR="003F69FA">
        <w:rPr>
          <w:rFonts w:ascii="Garamond" w:hAnsi="Garamond"/>
          <w:sz w:val="24"/>
          <w:szCs w:val="24"/>
        </w:rPr>
        <w:t xml:space="preserve">Chapter 21 </w:t>
      </w:r>
      <w:r w:rsidR="007B6288">
        <w:rPr>
          <w:rFonts w:ascii="Garamond" w:hAnsi="Garamond"/>
          <w:sz w:val="24"/>
          <w:szCs w:val="24"/>
        </w:rPr>
        <w:t>(</w:t>
      </w:r>
      <w:proofErr w:type="spellStart"/>
      <w:r w:rsidR="007B6288" w:rsidRPr="007B6288">
        <w:rPr>
          <w:rFonts w:ascii="Garamond" w:hAnsi="Garamond"/>
          <w:i/>
          <w:sz w:val="24"/>
          <w:szCs w:val="24"/>
        </w:rPr>
        <w:t>MacNaughton</w:t>
      </w:r>
      <w:proofErr w:type="spellEnd"/>
      <w:r w:rsidR="007B6288" w:rsidRPr="007B6288">
        <w:rPr>
          <w:rFonts w:ascii="Garamond" w:hAnsi="Garamond"/>
          <w:i/>
          <w:sz w:val="24"/>
          <w:szCs w:val="24"/>
        </w:rPr>
        <w:t xml:space="preserve"> and McGill</w:t>
      </w:r>
      <w:r w:rsidR="007B6288">
        <w:rPr>
          <w:rFonts w:ascii="Garamond" w:hAnsi="Garamond"/>
          <w:sz w:val="24"/>
          <w:szCs w:val="24"/>
        </w:rPr>
        <w:t xml:space="preserve">) </w:t>
      </w:r>
      <w:r w:rsidR="003F69FA">
        <w:rPr>
          <w:rFonts w:ascii="Garamond" w:hAnsi="Garamond"/>
          <w:sz w:val="24"/>
          <w:szCs w:val="24"/>
        </w:rPr>
        <w:t xml:space="preserve">starts by examining the central UN </w:t>
      </w:r>
      <w:r w:rsidR="001F62B1">
        <w:rPr>
          <w:rFonts w:ascii="Garamond" w:hAnsi="Garamond"/>
          <w:sz w:val="24"/>
          <w:szCs w:val="24"/>
        </w:rPr>
        <w:t>hum</w:t>
      </w:r>
      <w:r w:rsidR="003F69FA">
        <w:rPr>
          <w:rFonts w:ascii="Garamond" w:hAnsi="Garamond"/>
          <w:sz w:val="24"/>
          <w:szCs w:val="24"/>
        </w:rPr>
        <w:t xml:space="preserve">an rights player: </w:t>
      </w:r>
      <w:proofErr w:type="gramStart"/>
      <w:r w:rsidR="001F62B1">
        <w:rPr>
          <w:rFonts w:ascii="Garamond" w:hAnsi="Garamond"/>
          <w:sz w:val="24"/>
          <w:szCs w:val="24"/>
        </w:rPr>
        <w:t>the</w:t>
      </w:r>
      <w:proofErr w:type="gramEnd"/>
      <w:r w:rsidR="00274438" w:rsidRPr="002F5BE1">
        <w:rPr>
          <w:rFonts w:ascii="Garamond" w:hAnsi="Garamond"/>
          <w:sz w:val="24"/>
          <w:szCs w:val="24"/>
        </w:rPr>
        <w:t xml:space="preserve"> Office of the UN Hig</w:t>
      </w:r>
      <w:r w:rsidR="003F69FA">
        <w:rPr>
          <w:rFonts w:ascii="Garamond" w:hAnsi="Garamond"/>
          <w:sz w:val="24"/>
          <w:szCs w:val="24"/>
        </w:rPr>
        <w:t>h Commissioner for Human Rights.</w:t>
      </w:r>
      <w:r w:rsidR="00274438" w:rsidRPr="002F5BE1">
        <w:rPr>
          <w:rFonts w:ascii="Garamond" w:hAnsi="Garamond"/>
          <w:sz w:val="24"/>
          <w:szCs w:val="24"/>
        </w:rPr>
        <w:t xml:space="preserve"> </w:t>
      </w:r>
      <w:r w:rsidR="003F69FA">
        <w:rPr>
          <w:rFonts w:ascii="Garamond" w:hAnsi="Garamond"/>
          <w:sz w:val="24"/>
          <w:szCs w:val="24"/>
        </w:rPr>
        <w:t>It</w:t>
      </w:r>
      <w:r w:rsidR="00274438" w:rsidRPr="002F5BE1">
        <w:rPr>
          <w:rFonts w:ascii="Garamond" w:hAnsi="Garamond"/>
          <w:sz w:val="24"/>
          <w:szCs w:val="24"/>
        </w:rPr>
        <w:t xml:space="preserve"> highlights the positive influence that recent High Commissioners have had regarding the recognition of a right to health as a legal right. However, it also acknowledges that the operationalisation of this right requires an inter-disciplinary approach as well as a comprehensive understanding of public health, both limited by an issue common across the UN: insufficient staff and resources. </w:t>
      </w:r>
      <w:r w:rsidR="003F69FA">
        <w:rPr>
          <w:rFonts w:ascii="Garamond" w:hAnsi="Garamond"/>
          <w:sz w:val="24"/>
          <w:szCs w:val="24"/>
        </w:rPr>
        <w:t xml:space="preserve">The following chapters study more specific aspects of the UN human rights landscape. </w:t>
      </w:r>
      <w:r w:rsidR="00274438" w:rsidRPr="002F5BE1">
        <w:rPr>
          <w:rFonts w:ascii="Garamond" w:hAnsi="Garamond"/>
          <w:sz w:val="24"/>
          <w:szCs w:val="24"/>
        </w:rPr>
        <w:t>Chapter 22</w:t>
      </w:r>
      <w:r w:rsidR="007B6288">
        <w:rPr>
          <w:rFonts w:ascii="Garamond" w:hAnsi="Garamond"/>
          <w:sz w:val="24"/>
          <w:szCs w:val="24"/>
        </w:rPr>
        <w:t xml:space="preserve"> (</w:t>
      </w:r>
      <w:r w:rsidR="007B6288" w:rsidRPr="007B6288">
        <w:rPr>
          <w:rFonts w:ascii="Garamond" w:hAnsi="Garamond"/>
          <w:i/>
          <w:sz w:val="24"/>
          <w:szCs w:val="24"/>
        </w:rPr>
        <w:t>Murphy and Mueller</w:t>
      </w:r>
      <w:r w:rsidR="007B6288">
        <w:rPr>
          <w:rFonts w:ascii="Garamond" w:hAnsi="Garamond"/>
          <w:sz w:val="24"/>
          <w:szCs w:val="24"/>
        </w:rPr>
        <w:t>)</w:t>
      </w:r>
      <w:r w:rsidR="00A109EC" w:rsidRPr="002F5BE1">
        <w:rPr>
          <w:rFonts w:ascii="Garamond" w:hAnsi="Garamond"/>
          <w:sz w:val="24"/>
          <w:szCs w:val="24"/>
        </w:rPr>
        <w:t xml:space="preserve"> </w:t>
      </w:r>
      <w:r w:rsidR="00517564" w:rsidRPr="002F5BE1">
        <w:rPr>
          <w:rFonts w:ascii="Garamond" w:hAnsi="Garamond"/>
          <w:sz w:val="24"/>
          <w:szCs w:val="24"/>
        </w:rPr>
        <w:t>turns towards</w:t>
      </w:r>
      <w:r w:rsidR="003F69FA">
        <w:rPr>
          <w:rFonts w:ascii="Garamond" w:hAnsi="Garamond"/>
          <w:sz w:val="24"/>
          <w:szCs w:val="24"/>
        </w:rPr>
        <w:t xml:space="preserve"> </w:t>
      </w:r>
      <w:r w:rsidR="00517564" w:rsidRPr="002F5BE1">
        <w:rPr>
          <w:rFonts w:ascii="Garamond" w:hAnsi="Garamond"/>
          <w:sz w:val="24"/>
          <w:szCs w:val="24"/>
        </w:rPr>
        <w:t>UN Special Procedures, by assessing the use of human rights standards to promote global health by the Special Rapporteur on the right to health, and</w:t>
      </w:r>
      <w:r w:rsidR="001F62B1">
        <w:rPr>
          <w:rFonts w:ascii="Garamond" w:hAnsi="Garamond"/>
          <w:sz w:val="24"/>
          <w:szCs w:val="24"/>
        </w:rPr>
        <w:t xml:space="preserve"> by</w:t>
      </w:r>
      <w:r w:rsidR="00517564" w:rsidRPr="002F5BE1">
        <w:rPr>
          <w:rFonts w:ascii="Garamond" w:hAnsi="Garamond"/>
          <w:sz w:val="24"/>
          <w:szCs w:val="24"/>
        </w:rPr>
        <w:t xml:space="preserve"> Special Rapporteurs </w:t>
      </w:r>
      <w:r w:rsidR="00400DA4">
        <w:rPr>
          <w:rFonts w:ascii="Garamond" w:hAnsi="Garamond"/>
          <w:sz w:val="24"/>
          <w:szCs w:val="24"/>
        </w:rPr>
        <w:t>that have</w:t>
      </w:r>
      <w:r w:rsidR="00517564" w:rsidRPr="002F5BE1">
        <w:rPr>
          <w:rFonts w:ascii="Garamond" w:hAnsi="Garamond"/>
          <w:sz w:val="24"/>
          <w:szCs w:val="24"/>
        </w:rPr>
        <w:t xml:space="preserve"> mandates relevant to social determinants of health </w:t>
      </w:r>
      <w:r w:rsidR="001F62B1">
        <w:rPr>
          <w:rFonts w:ascii="Garamond" w:hAnsi="Garamond"/>
          <w:sz w:val="24"/>
          <w:szCs w:val="24"/>
        </w:rPr>
        <w:t>(e.g.</w:t>
      </w:r>
      <w:r w:rsidR="00517564" w:rsidRPr="002F5BE1">
        <w:rPr>
          <w:rFonts w:ascii="Garamond" w:hAnsi="Garamond"/>
          <w:sz w:val="24"/>
          <w:szCs w:val="24"/>
        </w:rPr>
        <w:t xml:space="preserve"> food, water and housing</w:t>
      </w:r>
      <w:r w:rsidR="001F62B1">
        <w:rPr>
          <w:rFonts w:ascii="Garamond" w:hAnsi="Garamond"/>
          <w:sz w:val="24"/>
          <w:szCs w:val="24"/>
        </w:rPr>
        <w:t>)</w:t>
      </w:r>
      <w:r w:rsidR="00517564" w:rsidRPr="002F5BE1">
        <w:rPr>
          <w:rFonts w:ascii="Garamond" w:hAnsi="Garamond"/>
          <w:sz w:val="24"/>
          <w:szCs w:val="24"/>
        </w:rPr>
        <w:t xml:space="preserve">. It </w:t>
      </w:r>
      <w:r w:rsidR="003F69FA">
        <w:rPr>
          <w:rFonts w:ascii="Garamond" w:hAnsi="Garamond"/>
          <w:sz w:val="24"/>
          <w:szCs w:val="24"/>
        </w:rPr>
        <w:t xml:space="preserve">calls for more data to follow-up on the effectiveness of their activities, more resources to be allocated to their </w:t>
      </w:r>
      <w:r w:rsidR="003F69FA">
        <w:rPr>
          <w:rFonts w:ascii="Garamond" w:hAnsi="Garamond"/>
          <w:sz w:val="24"/>
          <w:szCs w:val="24"/>
        </w:rPr>
        <w:lastRenderedPageBreak/>
        <w:t xml:space="preserve">departments, and more states’ cooperation with those experts. </w:t>
      </w:r>
      <w:r w:rsidR="00517564" w:rsidRPr="002F5BE1">
        <w:rPr>
          <w:rFonts w:ascii="Garamond" w:hAnsi="Garamond"/>
          <w:sz w:val="24"/>
          <w:szCs w:val="24"/>
        </w:rPr>
        <w:t xml:space="preserve">Chapter </w:t>
      </w:r>
      <w:r w:rsidR="00EE368D" w:rsidRPr="002F5BE1">
        <w:rPr>
          <w:rFonts w:ascii="Garamond" w:hAnsi="Garamond"/>
          <w:sz w:val="24"/>
          <w:szCs w:val="24"/>
        </w:rPr>
        <w:t>2</w:t>
      </w:r>
      <w:r w:rsidR="00517564" w:rsidRPr="002F5BE1">
        <w:rPr>
          <w:rFonts w:ascii="Garamond" w:hAnsi="Garamond"/>
          <w:sz w:val="24"/>
          <w:szCs w:val="24"/>
        </w:rPr>
        <w:t>3</w:t>
      </w:r>
      <w:r w:rsidR="007B6288">
        <w:rPr>
          <w:rFonts w:ascii="Garamond" w:hAnsi="Garamond"/>
          <w:sz w:val="24"/>
          <w:szCs w:val="24"/>
        </w:rPr>
        <w:t xml:space="preserve"> (</w:t>
      </w:r>
      <w:r w:rsidR="007B6288" w:rsidRPr="007B6288">
        <w:rPr>
          <w:rFonts w:ascii="Garamond" w:hAnsi="Garamond"/>
          <w:i/>
          <w:sz w:val="24"/>
          <w:szCs w:val="24"/>
        </w:rPr>
        <w:t xml:space="preserve">Mason Meier and </w:t>
      </w:r>
      <w:proofErr w:type="spellStart"/>
      <w:r w:rsidR="007B6288" w:rsidRPr="007B6288">
        <w:rPr>
          <w:rFonts w:ascii="Garamond" w:hAnsi="Garamond"/>
          <w:i/>
          <w:sz w:val="24"/>
          <w:szCs w:val="24"/>
        </w:rPr>
        <w:t>Brás</w:t>
      </w:r>
      <w:proofErr w:type="spellEnd"/>
      <w:r w:rsidR="007B6288" w:rsidRPr="007B6288">
        <w:rPr>
          <w:rFonts w:ascii="Garamond" w:hAnsi="Garamond"/>
          <w:i/>
          <w:sz w:val="24"/>
          <w:szCs w:val="24"/>
        </w:rPr>
        <w:t xml:space="preserve"> Gomes</w:t>
      </w:r>
      <w:r w:rsidR="007B6288">
        <w:rPr>
          <w:rFonts w:ascii="Garamond" w:hAnsi="Garamond"/>
          <w:sz w:val="24"/>
          <w:szCs w:val="24"/>
        </w:rPr>
        <w:t>)</w:t>
      </w:r>
      <w:r w:rsidR="00EE368D" w:rsidRPr="002F5BE1">
        <w:rPr>
          <w:rFonts w:ascii="Garamond" w:hAnsi="Garamond"/>
          <w:sz w:val="24"/>
          <w:szCs w:val="24"/>
        </w:rPr>
        <w:t xml:space="preserve"> </w:t>
      </w:r>
      <w:r w:rsidR="003F69FA">
        <w:rPr>
          <w:rFonts w:ascii="Garamond" w:hAnsi="Garamond"/>
          <w:sz w:val="24"/>
          <w:szCs w:val="24"/>
        </w:rPr>
        <w:t xml:space="preserve">then </w:t>
      </w:r>
      <w:r w:rsidR="00EE368D" w:rsidRPr="002F5BE1">
        <w:rPr>
          <w:rFonts w:ascii="Garamond" w:hAnsi="Garamond"/>
          <w:sz w:val="24"/>
          <w:szCs w:val="24"/>
        </w:rPr>
        <w:t>analyses the role of human rights treaty bodies in monitoring, interpreting and adjudicating</w:t>
      </w:r>
      <w:r w:rsidR="001F62B1">
        <w:rPr>
          <w:rFonts w:ascii="Garamond" w:hAnsi="Garamond"/>
          <w:sz w:val="24"/>
          <w:szCs w:val="24"/>
        </w:rPr>
        <w:t xml:space="preserve"> health-related obligations. It emphasises their key role in </w:t>
      </w:r>
      <w:r w:rsidR="001F62B1" w:rsidRPr="002F5BE1">
        <w:rPr>
          <w:rFonts w:ascii="Garamond" w:hAnsi="Garamond"/>
          <w:sz w:val="24"/>
          <w:szCs w:val="24"/>
        </w:rPr>
        <w:t>global health governance</w:t>
      </w:r>
      <w:r w:rsidR="001F62B1">
        <w:rPr>
          <w:rFonts w:ascii="Garamond" w:hAnsi="Garamond"/>
          <w:sz w:val="24"/>
          <w:szCs w:val="24"/>
        </w:rPr>
        <w:t xml:space="preserve">, </w:t>
      </w:r>
      <w:r w:rsidR="003F69FA">
        <w:rPr>
          <w:rFonts w:ascii="Garamond" w:hAnsi="Garamond"/>
          <w:sz w:val="24"/>
          <w:szCs w:val="24"/>
        </w:rPr>
        <w:t xml:space="preserve">as witnessed through their extensive interpretation of interdependent human rights, and their recent efforts to increase the effectiveness of their procedures. </w:t>
      </w:r>
      <w:r w:rsidR="00EE368D" w:rsidRPr="002F5BE1">
        <w:rPr>
          <w:rFonts w:ascii="Garamond" w:hAnsi="Garamond"/>
          <w:sz w:val="24"/>
          <w:szCs w:val="24"/>
        </w:rPr>
        <w:t>Finally, Chapter 24</w:t>
      </w:r>
      <w:r w:rsidR="007B6288">
        <w:rPr>
          <w:rFonts w:ascii="Garamond" w:hAnsi="Garamond"/>
          <w:sz w:val="24"/>
          <w:szCs w:val="24"/>
        </w:rPr>
        <w:t xml:space="preserve"> (</w:t>
      </w:r>
      <w:r w:rsidR="007B6288" w:rsidRPr="007B6288">
        <w:rPr>
          <w:rFonts w:ascii="Garamond" w:hAnsi="Garamond"/>
          <w:i/>
          <w:sz w:val="24"/>
          <w:szCs w:val="24"/>
        </w:rPr>
        <w:t xml:space="preserve">Bueno de </w:t>
      </w:r>
      <w:proofErr w:type="spellStart"/>
      <w:r w:rsidR="007B6288" w:rsidRPr="007B6288">
        <w:rPr>
          <w:rFonts w:ascii="Garamond" w:hAnsi="Garamond"/>
          <w:i/>
          <w:sz w:val="24"/>
          <w:szCs w:val="24"/>
        </w:rPr>
        <w:t>Mesquita</w:t>
      </w:r>
      <w:proofErr w:type="spellEnd"/>
      <w:r w:rsidR="007B6288" w:rsidRPr="007B6288">
        <w:rPr>
          <w:rFonts w:ascii="Garamond" w:hAnsi="Garamond"/>
          <w:i/>
          <w:sz w:val="24"/>
          <w:szCs w:val="24"/>
        </w:rPr>
        <w:t xml:space="preserve"> and Evans</w:t>
      </w:r>
      <w:r w:rsidR="007B6288">
        <w:rPr>
          <w:rFonts w:ascii="Garamond" w:hAnsi="Garamond"/>
          <w:sz w:val="24"/>
          <w:szCs w:val="24"/>
        </w:rPr>
        <w:t>)</w:t>
      </w:r>
      <w:r w:rsidR="0031540A" w:rsidRPr="002F5BE1">
        <w:rPr>
          <w:rFonts w:ascii="Garamond" w:hAnsi="Garamond"/>
          <w:sz w:val="24"/>
          <w:szCs w:val="24"/>
        </w:rPr>
        <w:t xml:space="preserve"> </w:t>
      </w:r>
      <w:r w:rsidR="00400DA4">
        <w:rPr>
          <w:rFonts w:ascii="Garamond" w:hAnsi="Garamond"/>
          <w:sz w:val="24"/>
          <w:szCs w:val="24"/>
        </w:rPr>
        <w:t>contemplates</w:t>
      </w:r>
      <w:r w:rsidR="0031540A" w:rsidRPr="002F5BE1">
        <w:rPr>
          <w:rFonts w:ascii="Garamond" w:hAnsi="Garamond"/>
          <w:sz w:val="24"/>
          <w:szCs w:val="24"/>
        </w:rPr>
        <w:t xml:space="preserve"> the future of human rights accountability for global health</w:t>
      </w:r>
      <w:r w:rsidR="00400DA4">
        <w:rPr>
          <w:rFonts w:ascii="Garamond" w:hAnsi="Garamond"/>
          <w:sz w:val="24"/>
          <w:szCs w:val="24"/>
        </w:rPr>
        <w:t>,</w:t>
      </w:r>
      <w:r w:rsidR="0031540A" w:rsidRPr="002F5BE1">
        <w:rPr>
          <w:rFonts w:ascii="Garamond" w:hAnsi="Garamond"/>
          <w:sz w:val="24"/>
          <w:szCs w:val="24"/>
        </w:rPr>
        <w:t xml:space="preserve"> by examining the Universal Periodic Review, a process held by the Human Rights Council to review states’ human rights records. It stresses that the notion of accountability is newer</w:t>
      </w:r>
      <w:r w:rsidR="00400DA4">
        <w:rPr>
          <w:rFonts w:ascii="Garamond" w:hAnsi="Garamond"/>
          <w:sz w:val="24"/>
          <w:szCs w:val="24"/>
        </w:rPr>
        <w:t xml:space="preserve"> in health</w:t>
      </w:r>
      <w:r w:rsidR="0031540A" w:rsidRPr="002F5BE1">
        <w:rPr>
          <w:rFonts w:ascii="Garamond" w:hAnsi="Garamond"/>
          <w:sz w:val="24"/>
          <w:szCs w:val="24"/>
        </w:rPr>
        <w:t xml:space="preserve"> than</w:t>
      </w:r>
      <w:r w:rsidR="00400DA4">
        <w:rPr>
          <w:rFonts w:ascii="Garamond" w:hAnsi="Garamond"/>
          <w:sz w:val="24"/>
          <w:szCs w:val="24"/>
        </w:rPr>
        <w:t xml:space="preserve"> it is</w:t>
      </w:r>
      <w:r w:rsidR="0031540A" w:rsidRPr="002F5BE1">
        <w:rPr>
          <w:rFonts w:ascii="Garamond" w:hAnsi="Garamond"/>
          <w:sz w:val="24"/>
          <w:szCs w:val="24"/>
        </w:rPr>
        <w:t xml:space="preserve"> in human rights law and </w:t>
      </w:r>
      <w:r w:rsidR="00400DA4">
        <w:rPr>
          <w:rFonts w:ascii="Garamond" w:hAnsi="Garamond"/>
          <w:sz w:val="24"/>
          <w:szCs w:val="24"/>
        </w:rPr>
        <w:t>that, therefore,</w:t>
      </w:r>
      <w:r w:rsidR="0031540A" w:rsidRPr="002F5BE1">
        <w:rPr>
          <w:rFonts w:ascii="Garamond" w:hAnsi="Garamond"/>
          <w:sz w:val="24"/>
          <w:szCs w:val="24"/>
        </w:rPr>
        <w:t xml:space="preserve"> the potential for the Universal Periodic Review to make a difference in global health relies on </w:t>
      </w:r>
      <w:r w:rsidR="00400DA4">
        <w:rPr>
          <w:rFonts w:ascii="Garamond" w:hAnsi="Garamond"/>
          <w:sz w:val="24"/>
          <w:szCs w:val="24"/>
        </w:rPr>
        <w:t>how engaged</w:t>
      </w:r>
      <w:r w:rsidR="0031540A" w:rsidRPr="002F5BE1">
        <w:rPr>
          <w:rFonts w:ascii="Garamond" w:hAnsi="Garamond"/>
          <w:sz w:val="24"/>
          <w:szCs w:val="24"/>
        </w:rPr>
        <w:t xml:space="preserve"> key actors</w:t>
      </w:r>
      <w:r w:rsidR="00400DA4">
        <w:rPr>
          <w:rFonts w:ascii="Garamond" w:hAnsi="Garamond"/>
          <w:sz w:val="24"/>
          <w:szCs w:val="24"/>
        </w:rPr>
        <w:t xml:space="preserve"> are</w:t>
      </w:r>
      <w:r w:rsidR="0031540A" w:rsidRPr="002F5BE1">
        <w:rPr>
          <w:rFonts w:ascii="Garamond" w:hAnsi="Garamond"/>
          <w:sz w:val="24"/>
          <w:szCs w:val="24"/>
        </w:rPr>
        <w:t>, as well as on</w:t>
      </w:r>
      <w:r w:rsidR="00400DA4">
        <w:rPr>
          <w:rFonts w:ascii="Garamond" w:hAnsi="Garamond"/>
          <w:sz w:val="24"/>
          <w:szCs w:val="24"/>
        </w:rPr>
        <w:t xml:space="preserve"> how</w:t>
      </w:r>
      <w:r w:rsidR="0031540A" w:rsidRPr="002F5BE1">
        <w:rPr>
          <w:rFonts w:ascii="Garamond" w:hAnsi="Garamond"/>
          <w:sz w:val="24"/>
          <w:szCs w:val="24"/>
        </w:rPr>
        <w:t xml:space="preserve"> good recommendations </w:t>
      </w:r>
      <w:r w:rsidR="00400DA4">
        <w:rPr>
          <w:rFonts w:ascii="Garamond" w:hAnsi="Garamond"/>
          <w:sz w:val="24"/>
          <w:szCs w:val="24"/>
        </w:rPr>
        <w:t>aim</w:t>
      </w:r>
      <w:r w:rsidR="0031540A" w:rsidRPr="002F5BE1">
        <w:rPr>
          <w:rFonts w:ascii="Garamond" w:hAnsi="Garamond"/>
          <w:sz w:val="24"/>
          <w:szCs w:val="24"/>
        </w:rPr>
        <w:t xml:space="preserve"> to be implemented.</w:t>
      </w:r>
    </w:p>
    <w:p w14:paraId="2DAD772A" w14:textId="77777777" w:rsidR="00BC230A" w:rsidRPr="002F5BE1" w:rsidRDefault="00BC230A" w:rsidP="005B5B3F">
      <w:pPr>
        <w:jc w:val="both"/>
        <w:rPr>
          <w:rFonts w:ascii="Garamond" w:hAnsi="Garamond"/>
          <w:sz w:val="24"/>
          <w:szCs w:val="24"/>
        </w:rPr>
      </w:pPr>
    </w:p>
    <w:p w14:paraId="64722368" w14:textId="13DD3875" w:rsidR="004F6A09" w:rsidRPr="002F5BE1" w:rsidRDefault="005569EF" w:rsidP="006F1775">
      <w:pPr>
        <w:jc w:val="both"/>
        <w:rPr>
          <w:rFonts w:ascii="Garamond" w:hAnsi="Garamond"/>
          <w:sz w:val="24"/>
          <w:szCs w:val="24"/>
        </w:rPr>
      </w:pPr>
      <w:r>
        <w:rPr>
          <w:rFonts w:ascii="Garamond" w:hAnsi="Garamond"/>
          <w:sz w:val="24"/>
          <w:szCs w:val="24"/>
        </w:rPr>
        <w:t>A number of important</w:t>
      </w:r>
      <w:r w:rsidR="00851284">
        <w:rPr>
          <w:rFonts w:ascii="Garamond" w:hAnsi="Garamond"/>
          <w:sz w:val="24"/>
          <w:szCs w:val="24"/>
        </w:rPr>
        <w:t xml:space="preserve"> themes arise</w:t>
      </w:r>
      <w:r w:rsidR="003B5043" w:rsidRPr="002F5BE1">
        <w:rPr>
          <w:rFonts w:ascii="Garamond" w:hAnsi="Garamond"/>
          <w:sz w:val="24"/>
          <w:szCs w:val="24"/>
        </w:rPr>
        <w:t xml:space="preserve"> from </w:t>
      </w:r>
      <w:r w:rsidR="00851284">
        <w:rPr>
          <w:rFonts w:ascii="Garamond" w:hAnsi="Garamond"/>
          <w:sz w:val="24"/>
          <w:szCs w:val="24"/>
        </w:rPr>
        <w:t>this volume, but three are particularly worth noting.</w:t>
      </w:r>
      <w:r w:rsidR="003B5043" w:rsidRPr="002F5BE1">
        <w:rPr>
          <w:rFonts w:ascii="Garamond" w:hAnsi="Garamond"/>
          <w:sz w:val="24"/>
          <w:szCs w:val="24"/>
        </w:rPr>
        <w:t xml:space="preserve"> Firstly, while the increasing number of actors in global health governance represents </w:t>
      </w:r>
      <w:r w:rsidR="00851284">
        <w:rPr>
          <w:rFonts w:ascii="Garamond" w:hAnsi="Garamond"/>
          <w:sz w:val="24"/>
          <w:szCs w:val="24"/>
        </w:rPr>
        <w:t>the</w:t>
      </w:r>
      <w:r w:rsidR="003B5043" w:rsidRPr="002F5BE1">
        <w:rPr>
          <w:rFonts w:ascii="Garamond" w:hAnsi="Garamond"/>
          <w:sz w:val="24"/>
          <w:szCs w:val="24"/>
        </w:rPr>
        <w:t xml:space="preserve"> opportunity </w:t>
      </w:r>
      <w:r w:rsidR="00772F0D" w:rsidRPr="002F5BE1">
        <w:rPr>
          <w:rFonts w:ascii="Garamond" w:hAnsi="Garamond"/>
          <w:sz w:val="24"/>
          <w:szCs w:val="24"/>
        </w:rPr>
        <w:t xml:space="preserve">for the </w:t>
      </w:r>
      <w:r w:rsidR="00ED2254" w:rsidRPr="002F5BE1">
        <w:rPr>
          <w:rFonts w:ascii="Garamond" w:hAnsi="Garamond"/>
          <w:sz w:val="24"/>
          <w:szCs w:val="24"/>
        </w:rPr>
        <w:t xml:space="preserve">human rights-based approach </w:t>
      </w:r>
      <w:r w:rsidR="00DA148C" w:rsidRPr="002F5BE1">
        <w:rPr>
          <w:rFonts w:ascii="Garamond" w:hAnsi="Garamond"/>
          <w:sz w:val="24"/>
          <w:szCs w:val="24"/>
        </w:rPr>
        <w:t>to be</w:t>
      </w:r>
      <w:r w:rsidR="00772F0D" w:rsidRPr="002F5BE1">
        <w:rPr>
          <w:rFonts w:ascii="Garamond" w:hAnsi="Garamond"/>
          <w:sz w:val="24"/>
          <w:szCs w:val="24"/>
        </w:rPr>
        <w:t xml:space="preserve"> </w:t>
      </w:r>
      <w:r w:rsidR="00ED2254" w:rsidRPr="002F5BE1">
        <w:rPr>
          <w:rFonts w:ascii="Garamond" w:hAnsi="Garamond"/>
          <w:sz w:val="24"/>
          <w:szCs w:val="24"/>
        </w:rPr>
        <w:t>further</w:t>
      </w:r>
      <w:r w:rsidR="00961CC5">
        <w:rPr>
          <w:rFonts w:ascii="Garamond" w:hAnsi="Garamond"/>
          <w:sz w:val="24"/>
          <w:szCs w:val="24"/>
        </w:rPr>
        <w:t xml:space="preserve"> advanced,</w:t>
      </w:r>
      <w:r w:rsidR="00ED2254" w:rsidRPr="002F5BE1">
        <w:rPr>
          <w:rFonts w:ascii="Garamond" w:hAnsi="Garamond"/>
          <w:sz w:val="24"/>
          <w:szCs w:val="24"/>
        </w:rPr>
        <w:t xml:space="preserve"> through a uniform discourse</w:t>
      </w:r>
      <w:r w:rsidR="00400AC2" w:rsidRPr="002F5BE1">
        <w:rPr>
          <w:rFonts w:ascii="Garamond" w:hAnsi="Garamond"/>
          <w:sz w:val="24"/>
          <w:szCs w:val="24"/>
        </w:rPr>
        <w:t xml:space="preserve"> on global health</w:t>
      </w:r>
      <w:r w:rsidR="00BD6385" w:rsidRPr="002F5BE1">
        <w:rPr>
          <w:rFonts w:ascii="Garamond" w:hAnsi="Garamond"/>
          <w:sz w:val="24"/>
          <w:szCs w:val="24"/>
        </w:rPr>
        <w:t>, it</w:t>
      </w:r>
      <w:r w:rsidR="00ED2254" w:rsidRPr="002F5BE1">
        <w:rPr>
          <w:rFonts w:ascii="Garamond" w:hAnsi="Garamond"/>
          <w:sz w:val="24"/>
          <w:szCs w:val="24"/>
        </w:rPr>
        <w:t xml:space="preserve"> also represents </w:t>
      </w:r>
      <w:r w:rsidR="00E06EA2" w:rsidRPr="002F5BE1">
        <w:rPr>
          <w:rFonts w:ascii="Garamond" w:hAnsi="Garamond"/>
          <w:sz w:val="24"/>
          <w:szCs w:val="24"/>
        </w:rPr>
        <w:t>the</w:t>
      </w:r>
      <w:r w:rsidR="00ED2254" w:rsidRPr="002F5BE1">
        <w:rPr>
          <w:rFonts w:ascii="Garamond" w:hAnsi="Garamond"/>
          <w:sz w:val="24"/>
          <w:szCs w:val="24"/>
        </w:rPr>
        <w:t xml:space="preserve"> </w:t>
      </w:r>
      <w:r w:rsidR="00E06EA2" w:rsidRPr="002F5BE1">
        <w:rPr>
          <w:rFonts w:ascii="Garamond" w:hAnsi="Garamond"/>
          <w:sz w:val="24"/>
          <w:szCs w:val="24"/>
        </w:rPr>
        <w:t>possibility for it to become</w:t>
      </w:r>
      <w:r w:rsidR="00ED2254" w:rsidRPr="002F5BE1">
        <w:rPr>
          <w:rFonts w:ascii="Garamond" w:hAnsi="Garamond"/>
          <w:sz w:val="24"/>
          <w:szCs w:val="24"/>
        </w:rPr>
        <w:t xml:space="preserve"> fragmented </w:t>
      </w:r>
      <w:r w:rsidR="00E06EA2" w:rsidRPr="002F5BE1">
        <w:rPr>
          <w:rFonts w:ascii="Garamond" w:hAnsi="Garamond"/>
          <w:sz w:val="24"/>
          <w:szCs w:val="24"/>
        </w:rPr>
        <w:t>and inconsistent</w:t>
      </w:r>
      <w:r w:rsidR="00BD6385" w:rsidRPr="002F5BE1">
        <w:rPr>
          <w:rFonts w:ascii="Garamond" w:hAnsi="Garamond"/>
          <w:sz w:val="24"/>
          <w:szCs w:val="24"/>
        </w:rPr>
        <w:t xml:space="preserve">. </w:t>
      </w:r>
      <w:r w:rsidR="00D36709" w:rsidRPr="002F5BE1">
        <w:rPr>
          <w:rFonts w:ascii="Garamond" w:hAnsi="Garamond"/>
          <w:sz w:val="24"/>
          <w:szCs w:val="24"/>
        </w:rPr>
        <w:t>Authors provide a relatively positive account</w:t>
      </w:r>
      <w:r w:rsidR="00D43C35" w:rsidRPr="002F5BE1">
        <w:rPr>
          <w:rFonts w:ascii="Garamond" w:hAnsi="Garamond"/>
          <w:sz w:val="24"/>
          <w:szCs w:val="24"/>
        </w:rPr>
        <w:t xml:space="preserve"> </w:t>
      </w:r>
      <w:r w:rsidR="00D36709" w:rsidRPr="002F5BE1">
        <w:rPr>
          <w:rFonts w:ascii="Garamond" w:hAnsi="Garamond"/>
          <w:sz w:val="24"/>
          <w:szCs w:val="24"/>
        </w:rPr>
        <w:t xml:space="preserve">with regard to the World Health Organization, the UN Children’s Fund, the UN Educational, Scientific and Cultural Organization, the UN Populations Fund, the UN Programme on HIV/AIDS, the Global Fund to Fight AIDS, Tuberculosis and Malaria, and UN human rights institutions. However, reviews range from mixed to pessimistic when it comes to </w:t>
      </w:r>
      <w:r w:rsidR="00784450" w:rsidRPr="002F5BE1">
        <w:rPr>
          <w:rFonts w:ascii="Garamond" w:hAnsi="Garamond"/>
          <w:sz w:val="24"/>
          <w:szCs w:val="24"/>
        </w:rPr>
        <w:t xml:space="preserve">the International Labour Organization, the UN Food and Agriculture Organization, inter-governmental partnerships for health and human rights, the World Bank, </w:t>
      </w:r>
      <w:r w:rsidR="00D36709" w:rsidRPr="002F5BE1">
        <w:rPr>
          <w:rFonts w:ascii="Garamond" w:hAnsi="Garamond"/>
          <w:sz w:val="24"/>
          <w:szCs w:val="24"/>
        </w:rPr>
        <w:t>the World Trade Organization,</w:t>
      </w:r>
      <w:r w:rsidR="00961CC5">
        <w:rPr>
          <w:rFonts w:ascii="Garamond" w:hAnsi="Garamond"/>
          <w:sz w:val="24"/>
          <w:szCs w:val="24"/>
        </w:rPr>
        <w:t xml:space="preserve"> and</w:t>
      </w:r>
      <w:r w:rsidR="00D36709" w:rsidRPr="002F5BE1">
        <w:rPr>
          <w:rFonts w:ascii="Garamond" w:hAnsi="Garamond"/>
          <w:sz w:val="24"/>
          <w:szCs w:val="24"/>
        </w:rPr>
        <w:t xml:space="preserve"> </w:t>
      </w:r>
      <w:r w:rsidR="00784450" w:rsidRPr="002F5BE1">
        <w:rPr>
          <w:rFonts w:ascii="Garamond" w:hAnsi="Garamond"/>
          <w:sz w:val="24"/>
          <w:szCs w:val="24"/>
        </w:rPr>
        <w:t>bilateral development assistance agencies.</w:t>
      </w:r>
      <w:r w:rsidR="00D43C35" w:rsidRPr="002F5BE1">
        <w:rPr>
          <w:rFonts w:ascii="Garamond" w:hAnsi="Garamond"/>
          <w:sz w:val="24"/>
          <w:szCs w:val="24"/>
        </w:rPr>
        <w:t xml:space="preserve"> The multi-sectoral analysis </w:t>
      </w:r>
      <w:r w:rsidR="0042160D" w:rsidRPr="002F5BE1">
        <w:rPr>
          <w:rFonts w:ascii="Garamond" w:hAnsi="Garamond"/>
          <w:sz w:val="24"/>
          <w:szCs w:val="24"/>
        </w:rPr>
        <w:t xml:space="preserve">painted in this volume </w:t>
      </w:r>
      <w:r w:rsidR="00961CC5">
        <w:rPr>
          <w:rFonts w:ascii="Garamond" w:hAnsi="Garamond"/>
          <w:sz w:val="24"/>
          <w:szCs w:val="24"/>
        </w:rPr>
        <w:t>shows</w:t>
      </w:r>
      <w:r w:rsidR="00D43C35" w:rsidRPr="002F5BE1">
        <w:rPr>
          <w:rFonts w:ascii="Garamond" w:hAnsi="Garamond"/>
          <w:sz w:val="24"/>
          <w:szCs w:val="24"/>
        </w:rPr>
        <w:t xml:space="preserve"> that </w:t>
      </w:r>
      <w:r w:rsidR="00961CC5">
        <w:rPr>
          <w:rFonts w:ascii="Garamond" w:hAnsi="Garamond"/>
          <w:sz w:val="24"/>
          <w:szCs w:val="24"/>
        </w:rPr>
        <w:t xml:space="preserve">not all </w:t>
      </w:r>
      <w:r w:rsidR="00D43C35" w:rsidRPr="002F5BE1">
        <w:rPr>
          <w:rFonts w:ascii="Garamond" w:hAnsi="Garamond"/>
          <w:sz w:val="24"/>
          <w:szCs w:val="24"/>
        </w:rPr>
        <w:t xml:space="preserve">international actors use </w:t>
      </w:r>
      <w:r w:rsidR="0042160D" w:rsidRPr="002F5BE1">
        <w:rPr>
          <w:rFonts w:ascii="Garamond" w:hAnsi="Garamond"/>
          <w:sz w:val="24"/>
          <w:szCs w:val="24"/>
        </w:rPr>
        <w:t xml:space="preserve">a </w:t>
      </w:r>
      <w:r w:rsidR="00D43C35" w:rsidRPr="002F5BE1">
        <w:rPr>
          <w:rFonts w:ascii="Garamond" w:hAnsi="Garamond"/>
          <w:sz w:val="24"/>
          <w:szCs w:val="24"/>
        </w:rPr>
        <w:t>human rights-based approach</w:t>
      </w:r>
      <w:r w:rsidR="0042160D" w:rsidRPr="002F5BE1">
        <w:rPr>
          <w:rFonts w:ascii="Garamond" w:hAnsi="Garamond"/>
          <w:sz w:val="24"/>
          <w:szCs w:val="24"/>
        </w:rPr>
        <w:t xml:space="preserve"> (or not sufficiently)</w:t>
      </w:r>
      <w:r w:rsidR="00D43C35" w:rsidRPr="002F5BE1">
        <w:rPr>
          <w:rFonts w:ascii="Garamond" w:hAnsi="Garamond"/>
          <w:sz w:val="24"/>
          <w:szCs w:val="24"/>
        </w:rPr>
        <w:t xml:space="preserve"> to promote global health </w:t>
      </w:r>
      <w:r w:rsidR="0042160D" w:rsidRPr="002F5BE1">
        <w:rPr>
          <w:rFonts w:ascii="Garamond" w:hAnsi="Garamond"/>
          <w:sz w:val="24"/>
          <w:szCs w:val="24"/>
        </w:rPr>
        <w:t>through</w:t>
      </w:r>
      <w:r w:rsidR="00D43C35" w:rsidRPr="002F5BE1">
        <w:rPr>
          <w:rFonts w:ascii="Garamond" w:hAnsi="Garamond"/>
          <w:sz w:val="24"/>
          <w:szCs w:val="24"/>
        </w:rPr>
        <w:t xml:space="preserve"> their strategies, policies and operations.</w:t>
      </w:r>
      <w:r w:rsidR="006F1775" w:rsidRPr="002F5BE1">
        <w:rPr>
          <w:rFonts w:ascii="Garamond" w:hAnsi="Garamond"/>
          <w:sz w:val="24"/>
          <w:szCs w:val="24"/>
        </w:rPr>
        <w:t xml:space="preserve"> The risk of fragmentation is real and must be taken seriously. </w:t>
      </w:r>
      <w:r w:rsidR="007D6AE6" w:rsidRPr="002F5BE1">
        <w:rPr>
          <w:rFonts w:ascii="Garamond" w:hAnsi="Garamond"/>
          <w:sz w:val="24"/>
          <w:szCs w:val="24"/>
        </w:rPr>
        <w:t>Furthermore, i</w:t>
      </w:r>
      <w:r w:rsidR="006F1775" w:rsidRPr="002F5BE1">
        <w:rPr>
          <w:rFonts w:ascii="Garamond" w:hAnsi="Garamond"/>
          <w:sz w:val="24"/>
          <w:szCs w:val="24"/>
        </w:rPr>
        <w:t xml:space="preserve">n a world where the number of influential non-state actors is growing, </w:t>
      </w:r>
      <w:r w:rsidR="00961CC5">
        <w:rPr>
          <w:rFonts w:ascii="Garamond" w:hAnsi="Garamond"/>
          <w:sz w:val="24"/>
          <w:szCs w:val="24"/>
        </w:rPr>
        <w:t>one wonders to what extent they will feel obliged to endorse a human rights-based approach to health when necessary. T</w:t>
      </w:r>
      <w:r w:rsidR="006F1775" w:rsidRPr="002F5BE1">
        <w:rPr>
          <w:rFonts w:ascii="Garamond" w:hAnsi="Garamond"/>
          <w:sz w:val="24"/>
          <w:szCs w:val="24"/>
        </w:rPr>
        <w:t>his volume outlines that</w:t>
      </w:r>
      <w:r w:rsidR="00961CC5">
        <w:rPr>
          <w:rFonts w:ascii="Garamond" w:hAnsi="Garamond"/>
          <w:sz w:val="24"/>
          <w:szCs w:val="24"/>
        </w:rPr>
        <w:t xml:space="preserve"> the success of</w:t>
      </w:r>
      <w:r w:rsidR="006F1775" w:rsidRPr="002F5BE1">
        <w:rPr>
          <w:rFonts w:ascii="Garamond" w:hAnsi="Garamond"/>
          <w:sz w:val="24"/>
          <w:szCs w:val="24"/>
        </w:rPr>
        <w:t xml:space="preserve"> international institutions in mainstreaming human rights to promote global health does not </w:t>
      </w:r>
      <w:r w:rsidR="00082ED6" w:rsidRPr="002F5BE1">
        <w:rPr>
          <w:rFonts w:ascii="Garamond" w:hAnsi="Garamond"/>
          <w:sz w:val="24"/>
          <w:szCs w:val="24"/>
        </w:rPr>
        <w:t xml:space="preserve">systematically </w:t>
      </w:r>
      <w:r w:rsidR="006F1775" w:rsidRPr="002F5BE1">
        <w:rPr>
          <w:rFonts w:ascii="Garamond" w:hAnsi="Garamond"/>
          <w:sz w:val="24"/>
          <w:szCs w:val="24"/>
        </w:rPr>
        <w:t xml:space="preserve">depend on their </w:t>
      </w:r>
      <w:r w:rsidR="004F6A09" w:rsidRPr="002F5BE1">
        <w:rPr>
          <w:rFonts w:ascii="Garamond" w:hAnsi="Garamond"/>
          <w:sz w:val="24"/>
          <w:szCs w:val="24"/>
        </w:rPr>
        <w:t>governmental nature.</w:t>
      </w:r>
      <w:r w:rsidR="006F1775" w:rsidRPr="002F5BE1">
        <w:rPr>
          <w:rFonts w:ascii="Garamond" w:hAnsi="Garamond"/>
          <w:sz w:val="24"/>
          <w:szCs w:val="24"/>
        </w:rPr>
        <w:t xml:space="preserve"> The Global Fund, for instance, </w:t>
      </w:r>
      <w:r w:rsidR="00FF5DEC" w:rsidRPr="002F5BE1">
        <w:rPr>
          <w:rFonts w:ascii="Garamond" w:hAnsi="Garamond"/>
          <w:sz w:val="24"/>
          <w:szCs w:val="24"/>
        </w:rPr>
        <w:t xml:space="preserve">is </w:t>
      </w:r>
      <w:r w:rsidR="006F1775" w:rsidRPr="002F5BE1">
        <w:rPr>
          <w:rFonts w:ascii="Garamond" w:hAnsi="Garamond"/>
          <w:sz w:val="24"/>
          <w:szCs w:val="24"/>
        </w:rPr>
        <w:t xml:space="preserve">a private-public partnership </w:t>
      </w:r>
      <w:r w:rsidR="00FF5DEC" w:rsidRPr="002F5BE1">
        <w:rPr>
          <w:rFonts w:ascii="Garamond" w:hAnsi="Garamond"/>
          <w:sz w:val="24"/>
          <w:szCs w:val="24"/>
        </w:rPr>
        <w:t>that often adopts</w:t>
      </w:r>
      <w:r w:rsidR="006F1775" w:rsidRPr="002F5BE1">
        <w:rPr>
          <w:rFonts w:ascii="Garamond" w:hAnsi="Garamond"/>
          <w:sz w:val="24"/>
          <w:szCs w:val="24"/>
        </w:rPr>
        <w:t xml:space="preserve"> </w:t>
      </w:r>
      <w:r w:rsidR="00FF5DEC" w:rsidRPr="002F5BE1">
        <w:rPr>
          <w:rFonts w:ascii="Garamond" w:hAnsi="Garamond"/>
          <w:sz w:val="24"/>
          <w:szCs w:val="24"/>
        </w:rPr>
        <w:t>a</w:t>
      </w:r>
      <w:r w:rsidR="006F1775" w:rsidRPr="002F5BE1">
        <w:rPr>
          <w:rFonts w:ascii="Garamond" w:hAnsi="Garamond"/>
          <w:sz w:val="24"/>
          <w:szCs w:val="24"/>
        </w:rPr>
        <w:t xml:space="preserve"> human rights </w:t>
      </w:r>
      <w:r w:rsidR="00FF5DEC" w:rsidRPr="002F5BE1">
        <w:rPr>
          <w:rFonts w:ascii="Garamond" w:hAnsi="Garamond"/>
          <w:sz w:val="24"/>
          <w:szCs w:val="24"/>
        </w:rPr>
        <w:t>language</w:t>
      </w:r>
      <w:r w:rsidR="006F1775" w:rsidRPr="002F5BE1">
        <w:rPr>
          <w:rFonts w:ascii="Garamond" w:hAnsi="Garamond"/>
          <w:sz w:val="24"/>
          <w:szCs w:val="24"/>
        </w:rPr>
        <w:t xml:space="preserve">, while the </w:t>
      </w:r>
      <w:r w:rsidR="00C472DD" w:rsidRPr="002F5BE1">
        <w:rPr>
          <w:rFonts w:ascii="Garamond" w:hAnsi="Garamond"/>
          <w:sz w:val="24"/>
          <w:szCs w:val="24"/>
        </w:rPr>
        <w:t xml:space="preserve">International Labour Organization, a UN agency, struggles in this endeavour. However, </w:t>
      </w:r>
      <w:r w:rsidR="00082ED6" w:rsidRPr="002F5BE1">
        <w:rPr>
          <w:rFonts w:ascii="Garamond" w:hAnsi="Garamond"/>
          <w:sz w:val="24"/>
          <w:szCs w:val="24"/>
        </w:rPr>
        <w:t xml:space="preserve">success </w:t>
      </w:r>
      <w:r w:rsidR="00961CC5">
        <w:rPr>
          <w:rFonts w:ascii="Garamond" w:hAnsi="Garamond"/>
          <w:sz w:val="24"/>
          <w:szCs w:val="24"/>
        </w:rPr>
        <w:t xml:space="preserve">in this respect </w:t>
      </w:r>
      <w:r w:rsidR="00082ED6" w:rsidRPr="002F5BE1">
        <w:rPr>
          <w:rFonts w:ascii="Garamond" w:hAnsi="Garamond"/>
          <w:sz w:val="24"/>
          <w:szCs w:val="24"/>
        </w:rPr>
        <w:t xml:space="preserve">seems </w:t>
      </w:r>
      <w:r w:rsidR="00961CC5">
        <w:rPr>
          <w:rFonts w:ascii="Garamond" w:hAnsi="Garamond"/>
          <w:sz w:val="24"/>
          <w:szCs w:val="24"/>
        </w:rPr>
        <w:t xml:space="preserve">more largely </w:t>
      </w:r>
      <w:r w:rsidR="00082ED6" w:rsidRPr="002F5BE1">
        <w:rPr>
          <w:rFonts w:ascii="Garamond" w:hAnsi="Garamond"/>
          <w:sz w:val="24"/>
          <w:szCs w:val="24"/>
        </w:rPr>
        <w:t xml:space="preserve">attributed to </w:t>
      </w:r>
      <w:r w:rsidR="00FF5DEC" w:rsidRPr="002F5BE1">
        <w:rPr>
          <w:rFonts w:ascii="Garamond" w:hAnsi="Garamond"/>
          <w:sz w:val="24"/>
          <w:szCs w:val="24"/>
        </w:rPr>
        <w:t xml:space="preserve">UN </w:t>
      </w:r>
      <w:r w:rsidR="00961CC5">
        <w:rPr>
          <w:rFonts w:ascii="Garamond" w:hAnsi="Garamond"/>
          <w:sz w:val="24"/>
          <w:szCs w:val="24"/>
        </w:rPr>
        <w:t>agencies, perhaps because of</w:t>
      </w:r>
      <w:r w:rsidR="002C7FF9" w:rsidRPr="002F5BE1">
        <w:rPr>
          <w:rFonts w:ascii="Garamond" w:hAnsi="Garamond"/>
          <w:sz w:val="24"/>
          <w:szCs w:val="24"/>
        </w:rPr>
        <w:t xml:space="preserve"> </w:t>
      </w:r>
      <w:r w:rsidR="00961CC5">
        <w:rPr>
          <w:rFonts w:ascii="Garamond" w:hAnsi="Garamond"/>
          <w:sz w:val="24"/>
          <w:szCs w:val="24"/>
        </w:rPr>
        <w:t>the legally-binding commitment</w:t>
      </w:r>
      <w:r w:rsidR="002C7FF9" w:rsidRPr="002F5BE1">
        <w:rPr>
          <w:rFonts w:ascii="Garamond" w:hAnsi="Garamond"/>
          <w:sz w:val="24"/>
          <w:szCs w:val="24"/>
        </w:rPr>
        <w:t xml:space="preserve"> to </w:t>
      </w:r>
      <w:r w:rsidR="00961CC5">
        <w:rPr>
          <w:rFonts w:ascii="Garamond" w:hAnsi="Garamond"/>
          <w:sz w:val="24"/>
          <w:szCs w:val="24"/>
        </w:rPr>
        <w:t>protect</w:t>
      </w:r>
      <w:r w:rsidR="00BB592A" w:rsidRPr="002F5BE1">
        <w:rPr>
          <w:rFonts w:ascii="Garamond" w:hAnsi="Garamond"/>
          <w:sz w:val="24"/>
          <w:szCs w:val="24"/>
        </w:rPr>
        <w:t xml:space="preserve"> human equality and dignity</w:t>
      </w:r>
      <w:r w:rsidR="004F402C" w:rsidRPr="002F5BE1">
        <w:rPr>
          <w:rFonts w:ascii="Garamond" w:hAnsi="Garamond"/>
          <w:sz w:val="24"/>
          <w:szCs w:val="24"/>
        </w:rPr>
        <w:t xml:space="preserve">, as </w:t>
      </w:r>
      <w:r w:rsidR="007D6AE6" w:rsidRPr="002F5BE1">
        <w:rPr>
          <w:rFonts w:ascii="Garamond" w:hAnsi="Garamond"/>
          <w:sz w:val="24"/>
          <w:szCs w:val="24"/>
        </w:rPr>
        <w:t>promised by</w:t>
      </w:r>
      <w:r w:rsidR="00961CC5">
        <w:rPr>
          <w:rFonts w:ascii="Garamond" w:hAnsi="Garamond"/>
          <w:sz w:val="24"/>
          <w:szCs w:val="24"/>
        </w:rPr>
        <w:t xml:space="preserve"> the UN Charter.</w:t>
      </w:r>
    </w:p>
    <w:p w14:paraId="20008516" w14:textId="7B263EE5" w:rsidR="002F5BE1" w:rsidRDefault="00961CC5" w:rsidP="00D43C35">
      <w:pPr>
        <w:jc w:val="both"/>
        <w:rPr>
          <w:rFonts w:ascii="Garamond" w:hAnsi="Garamond"/>
          <w:sz w:val="24"/>
          <w:szCs w:val="24"/>
        </w:rPr>
      </w:pPr>
      <w:r>
        <w:rPr>
          <w:rFonts w:ascii="Garamond" w:hAnsi="Garamond"/>
          <w:sz w:val="24"/>
          <w:szCs w:val="24"/>
        </w:rPr>
        <w:t xml:space="preserve">A second interesting theme that becomes apparent </w:t>
      </w:r>
      <w:r w:rsidR="009A48AF" w:rsidRPr="002F5BE1">
        <w:rPr>
          <w:rFonts w:ascii="Garamond" w:hAnsi="Garamond"/>
          <w:sz w:val="24"/>
          <w:szCs w:val="24"/>
        </w:rPr>
        <w:t>across</w:t>
      </w:r>
      <w:r w:rsidR="00310088" w:rsidRPr="002F5BE1">
        <w:rPr>
          <w:rFonts w:ascii="Garamond" w:hAnsi="Garamond"/>
          <w:sz w:val="24"/>
          <w:szCs w:val="24"/>
        </w:rPr>
        <w:t xml:space="preserve"> the five sections of this book</w:t>
      </w:r>
      <w:r>
        <w:rPr>
          <w:rFonts w:ascii="Garamond" w:hAnsi="Garamond"/>
          <w:sz w:val="24"/>
          <w:szCs w:val="24"/>
        </w:rPr>
        <w:t>, is</w:t>
      </w:r>
      <w:r w:rsidR="00641708" w:rsidRPr="002F5BE1">
        <w:rPr>
          <w:rFonts w:ascii="Garamond" w:hAnsi="Garamond"/>
          <w:sz w:val="24"/>
          <w:szCs w:val="24"/>
        </w:rPr>
        <w:t xml:space="preserve"> </w:t>
      </w:r>
      <w:r w:rsidR="00DC6866">
        <w:rPr>
          <w:rFonts w:ascii="Garamond" w:hAnsi="Garamond"/>
          <w:sz w:val="24"/>
          <w:szCs w:val="24"/>
        </w:rPr>
        <w:t xml:space="preserve">the commonality of factors that </w:t>
      </w:r>
      <w:r w:rsidR="00641708" w:rsidRPr="002F5BE1">
        <w:rPr>
          <w:rFonts w:ascii="Garamond" w:hAnsi="Garamond"/>
          <w:sz w:val="24"/>
          <w:szCs w:val="24"/>
        </w:rPr>
        <w:t>tend to either promote or hinder the use of a human rights-based approach</w:t>
      </w:r>
      <w:r>
        <w:rPr>
          <w:rFonts w:ascii="Garamond" w:hAnsi="Garamond"/>
          <w:sz w:val="24"/>
          <w:szCs w:val="24"/>
        </w:rPr>
        <w:t xml:space="preserve"> </w:t>
      </w:r>
      <w:r w:rsidRPr="002F5BE1">
        <w:rPr>
          <w:rFonts w:ascii="Garamond" w:hAnsi="Garamond"/>
          <w:sz w:val="24"/>
          <w:szCs w:val="24"/>
        </w:rPr>
        <w:t>by international institutions</w:t>
      </w:r>
      <w:r>
        <w:rPr>
          <w:rFonts w:ascii="Garamond" w:hAnsi="Garamond"/>
          <w:sz w:val="24"/>
          <w:szCs w:val="24"/>
        </w:rPr>
        <w:t xml:space="preserve"> wishing to</w:t>
      </w:r>
      <w:r w:rsidR="00641708" w:rsidRPr="002F5BE1">
        <w:rPr>
          <w:rFonts w:ascii="Garamond" w:hAnsi="Garamond"/>
          <w:sz w:val="24"/>
          <w:szCs w:val="24"/>
        </w:rPr>
        <w:t xml:space="preserve"> promote global health. </w:t>
      </w:r>
      <w:r w:rsidR="004F402C" w:rsidRPr="002F5BE1">
        <w:rPr>
          <w:rFonts w:ascii="Garamond" w:hAnsi="Garamond"/>
          <w:sz w:val="24"/>
          <w:szCs w:val="24"/>
        </w:rPr>
        <w:t>The</w:t>
      </w:r>
      <w:r w:rsidR="002B08E5">
        <w:rPr>
          <w:rFonts w:ascii="Garamond" w:hAnsi="Garamond"/>
          <w:sz w:val="24"/>
          <w:szCs w:val="24"/>
        </w:rPr>
        <w:t>se include the</w:t>
      </w:r>
      <w:r w:rsidR="004F402C" w:rsidRPr="002F5BE1">
        <w:rPr>
          <w:rFonts w:ascii="Garamond" w:hAnsi="Garamond"/>
          <w:sz w:val="24"/>
          <w:szCs w:val="24"/>
        </w:rPr>
        <w:t xml:space="preserve"> period of time during which </w:t>
      </w:r>
      <w:r w:rsidR="007A0BE4" w:rsidRPr="002F5BE1">
        <w:rPr>
          <w:rFonts w:ascii="Garamond" w:hAnsi="Garamond"/>
          <w:sz w:val="24"/>
          <w:szCs w:val="24"/>
        </w:rPr>
        <w:t>an</w:t>
      </w:r>
      <w:r w:rsidR="004F402C" w:rsidRPr="002F5BE1">
        <w:rPr>
          <w:rFonts w:ascii="Garamond" w:hAnsi="Garamond"/>
          <w:sz w:val="24"/>
          <w:szCs w:val="24"/>
        </w:rPr>
        <w:t xml:space="preserve"> </w:t>
      </w:r>
      <w:r w:rsidR="007A0BE4" w:rsidRPr="002F5BE1">
        <w:rPr>
          <w:rFonts w:ascii="Garamond" w:hAnsi="Garamond"/>
          <w:sz w:val="24"/>
          <w:szCs w:val="24"/>
        </w:rPr>
        <w:t>institution was</w:t>
      </w:r>
      <w:r w:rsidR="004F402C" w:rsidRPr="002F5BE1">
        <w:rPr>
          <w:rFonts w:ascii="Garamond" w:hAnsi="Garamond"/>
          <w:sz w:val="24"/>
          <w:szCs w:val="24"/>
        </w:rPr>
        <w:t xml:space="preserve"> created, the</w:t>
      </w:r>
      <w:r w:rsidR="002C7FF9" w:rsidRPr="002F5BE1">
        <w:rPr>
          <w:rFonts w:ascii="Garamond" w:hAnsi="Garamond"/>
          <w:sz w:val="24"/>
          <w:szCs w:val="24"/>
        </w:rPr>
        <w:t xml:space="preserve"> landmark documents </w:t>
      </w:r>
      <w:r w:rsidR="004F402C" w:rsidRPr="002F5BE1">
        <w:rPr>
          <w:rFonts w:ascii="Garamond" w:hAnsi="Garamond"/>
          <w:sz w:val="24"/>
          <w:szCs w:val="24"/>
        </w:rPr>
        <w:t xml:space="preserve">on which </w:t>
      </w:r>
      <w:r w:rsidR="007A0BE4" w:rsidRPr="002F5BE1">
        <w:rPr>
          <w:rFonts w:ascii="Garamond" w:hAnsi="Garamond"/>
          <w:sz w:val="24"/>
          <w:szCs w:val="24"/>
        </w:rPr>
        <w:t>it was</w:t>
      </w:r>
      <w:r w:rsidR="004F402C" w:rsidRPr="002F5BE1">
        <w:rPr>
          <w:rFonts w:ascii="Garamond" w:hAnsi="Garamond"/>
          <w:sz w:val="24"/>
          <w:szCs w:val="24"/>
        </w:rPr>
        <w:t xml:space="preserve"> founded, the mission at the core of </w:t>
      </w:r>
      <w:r w:rsidR="007A0BE4" w:rsidRPr="002F5BE1">
        <w:rPr>
          <w:rFonts w:ascii="Garamond" w:hAnsi="Garamond"/>
          <w:sz w:val="24"/>
          <w:szCs w:val="24"/>
        </w:rPr>
        <w:t>an institution’s</w:t>
      </w:r>
      <w:r w:rsidR="004F402C" w:rsidRPr="002F5BE1">
        <w:rPr>
          <w:rFonts w:ascii="Garamond" w:hAnsi="Garamond"/>
          <w:sz w:val="24"/>
          <w:szCs w:val="24"/>
        </w:rPr>
        <w:t xml:space="preserve"> operati</w:t>
      </w:r>
      <w:r w:rsidR="007A0BE4" w:rsidRPr="002F5BE1">
        <w:rPr>
          <w:rFonts w:ascii="Garamond" w:hAnsi="Garamond"/>
          <w:sz w:val="24"/>
          <w:szCs w:val="24"/>
        </w:rPr>
        <w:t>ons, or the individuals shaping its agenda</w:t>
      </w:r>
      <w:r w:rsidR="006D7999" w:rsidRPr="002F5BE1">
        <w:rPr>
          <w:rFonts w:ascii="Garamond" w:hAnsi="Garamond"/>
          <w:sz w:val="24"/>
          <w:szCs w:val="24"/>
        </w:rPr>
        <w:t xml:space="preserve">. The more interest </w:t>
      </w:r>
      <w:r w:rsidR="004F402C" w:rsidRPr="002F5BE1">
        <w:rPr>
          <w:rFonts w:ascii="Garamond" w:hAnsi="Garamond"/>
          <w:sz w:val="24"/>
          <w:szCs w:val="24"/>
        </w:rPr>
        <w:t xml:space="preserve">in human rights values the institution has at an early stage of its life, </w:t>
      </w:r>
      <w:r w:rsidR="006D7999" w:rsidRPr="002F5BE1">
        <w:rPr>
          <w:rFonts w:ascii="Garamond" w:hAnsi="Garamond"/>
          <w:sz w:val="24"/>
          <w:szCs w:val="24"/>
        </w:rPr>
        <w:t xml:space="preserve">the more likely it is to </w:t>
      </w:r>
      <w:r w:rsidR="004F402C" w:rsidRPr="002F5BE1">
        <w:rPr>
          <w:rFonts w:ascii="Garamond" w:hAnsi="Garamond"/>
          <w:sz w:val="24"/>
          <w:szCs w:val="24"/>
        </w:rPr>
        <w:t xml:space="preserve">currently </w:t>
      </w:r>
      <w:r w:rsidR="006D7999" w:rsidRPr="002F5BE1">
        <w:rPr>
          <w:rFonts w:ascii="Garamond" w:hAnsi="Garamond"/>
          <w:sz w:val="24"/>
          <w:szCs w:val="24"/>
        </w:rPr>
        <w:t xml:space="preserve">use </w:t>
      </w:r>
      <w:r w:rsidR="004F402C" w:rsidRPr="002F5BE1">
        <w:rPr>
          <w:rFonts w:ascii="Garamond" w:hAnsi="Garamond"/>
          <w:sz w:val="24"/>
          <w:szCs w:val="24"/>
        </w:rPr>
        <w:t>this</w:t>
      </w:r>
      <w:r w:rsidR="006D7999" w:rsidRPr="002F5BE1">
        <w:rPr>
          <w:rFonts w:ascii="Garamond" w:hAnsi="Garamond"/>
          <w:sz w:val="24"/>
          <w:szCs w:val="24"/>
        </w:rPr>
        <w:t xml:space="preserve"> discourse to promote health policies founded on equality and dignity. Similarly, the more </w:t>
      </w:r>
      <w:r w:rsidR="0021726F" w:rsidRPr="002F5BE1">
        <w:rPr>
          <w:rFonts w:ascii="Garamond" w:hAnsi="Garamond"/>
          <w:sz w:val="24"/>
          <w:szCs w:val="24"/>
        </w:rPr>
        <w:t>explicit</w:t>
      </w:r>
      <w:r w:rsidR="004F402C" w:rsidRPr="002F5BE1">
        <w:rPr>
          <w:rFonts w:ascii="Garamond" w:hAnsi="Garamond"/>
          <w:sz w:val="24"/>
          <w:szCs w:val="24"/>
        </w:rPr>
        <w:t xml:space="preserve"> human rights appear on</w:t>
      </w:r>
      <w:r w:rsidR="0021726F" w:rsidRPr="002F5BE1">
        <w:rPr>
          <w:rFonts w:ascii="Garamond" w:hAnsi="Garamond"/>
          <w:sz w:val="24"/>
          <w:szCs w:val="24"/>
        </w:rPr>
        <w:t xml:space="preserve"> </w:t>
      </w:r>
      <w:r w:rsidR="004F402C" w:rsidRPr="002F5BE1">
        <w:rPr>
          <w:rFonts w:ascii="Garamond" w:hAnsi="Garamond"/>
          <w:sz w:val="24"/>
          <w:szCs w:val="24"/>
        </w:rPr>
        <w:t xml:space="preserve">the institution’s founding document, </w:t>
      </w:r>
      <w:r w:rsidR="0021726F" w:rsidRPr="002F5BE1">
        <w:rPr>
          <w:rFonts w:ascii="Garamond" w:hAnsi="Garamond"/>
          <w:sz w:val="24"/>
          <w:szCs w:val="24"/>
        </w:rPr>
        <w:t xml:space="preserve">the more likely </w:t>
      </w:r>
      <w:r w:rsidR="00CC6B85" w:rsidRPr="002F5BE1">
        <w:rPr>
          <w:rFonts w:ascii="Garamond" w:hAnsi="Garamond"/>
          <w:sz w:val="24"/>
          <w:szCs w:val="24"/>
        </w:rPr>
        <w:t>it</w:t>
      </w:r>
      <w:r w:rsidR="0021726F" w:rsidRPr="002F5BE1">
        <w:rPr>
          <w:rFonts w:ascii="Garamond" w:hAnsi="Garamond"/>
          <w:sz w:val="24"/>
          <w:szCs w:val="24"/>
        </w:rPr>
        <w:t xml:space="preserve"> is to rely on a human rights-based approach to advance health at an international level. </w:t>
      </w:r>
      <w:r w:rsidR="00822C87">
        <w:rPr>
          <w:rFonts w:ascii="Garamond" w:hAnsi="Garamond"/>
          <w:sz w:val="24"/>
          <w:szCs w:val="24"/>
        </w:rPr>
        <w:t xml:space="preserve">For instance, the activities of the </w:t>
      </w:r>
      <w:r w:rsidR="00822C87" w:rsidRPr="002F5BE1">
        <w:rPr>
          <w:rFonts w:ascii="Garamond" w:hAnsi="Garamond"/>
          <w:sz w:val="24"/>
          <w:szCs w:val="24"/>
        </w:rPr>
        <w:t>UN Educational, Scientific and Cultural Organization</w:t>
      </w:r>
      <w:r w:rsidR="00822C87">
        <w:rPr>
          <w:rFonts w:ascii="Garamond" w:hAnsi="Garamond"/>
          <w:sz w:val="24"/>
          <w:szCs w:val="24"/>
        </w:rPr>
        <w:t xml:space="preserve"> and the World Health Organization (though the latter was a late bloomer) have both long integrated a human rights agenda throughout their activities, by relying on their respective constitutions, which refer </w:t>
      </w:r>
      <w:r w:rsidR="00822C87">
        <w:rPr>
          <w:rFonts w:ascii="Garamond" w:hAnsi="Garamond"/>
          <w:sz w:val="24"/>
          <w:szCs w:val="24"/>
        </w:rPr>
        <w:lastRenderedPageBreak/>
        <w:t xml:space="preserve">explicitly to human rights standards. However, agencies such as the International </w:t>
      </w:r>
      <w:proofErr w:type="spellStart"/>
      <w:r w:rsidR="00822C87">
        <w:rPr>
          <w:rFonts w:ascii="Garamond" w:hAnsi="Garamond"/>
          <w:sz w:val="24"/>
          <w:szCs w:val="24"/>
        </w:rPr>
        <w:t>Labor</w:t>
      </w:r>
      <w:proofErr w:type="spellEnd"/>
      <w:r w:rsidR="00822C87">
        <w:rPr>
          <w:rFonts w:ascii="Garamond" w:hAnsi="Garamond"/>
          <w:sz w:val="24"/>
          <w:szCs w:val="24"/>
        </w:rPr>
        <w:t xml:space="preserve"> Organization or the World Bank </w:t>
      </w:r>
      <w:r w:rsidR="00FC0EED">
        <w:rPr>
          <w:rFonts w:ascii="Garamond" w:hAnsi="Garamond"/>
          <w:sz w:val="24"/>
          <w:szCs w:val="24"/>
        </w:rPr>
        <w:t>keep</w:t>
      </w:r>
      <w:r w:rsidR="00822C87">
        <w:rPr>
          <w:rFonts w:ascii="Garamond" w:hAnsi="Garamond"/>
          <w:sz w:val="24"/>
          <w:szCs w:val="24"/>
        </w:rPr>
        <w:t xml:space="preserve"> </w:t>
      </w:r>
      <w:r w:rsidR="00FC0EED">
        <w:rPr>
          <w:rFonts w:ascii="Garamond" w:hAnsi="Garamond"/>
          <w:sz w:val="24"/>
          <w:szCs w:val="24"/>
        </w:rPr>
        <w:t>struggling</w:t>
      </w:r>
      <w:r w:rsidR="00822C87">
        <w:rPr>
          <w:rFonts w:ascii="Garamond" w:hAnsi="Garamond"/>
          <w:sz w:val="24"/>
          <w:szCs w:val="24"/>
        </w:rPr>
        <w:t xml:space="preserve"> to c</w:t>
      </w:r>
      <w:r w:rsidR="00822C87" w:rsidRPr="002F5BE1">
        <w:rPr>
          <w:rFonts w:ascii="Garamond" w:hAnsi="Garamond"/>
          <w:sz w:val="24"/>
          <w:szCs w:val="24"/>
        </w:rPr>
        <w:t xml:space="preserve">onceptualise these values in </w:t>
      </w:r>
      <w:r w:rsidR="00822C87">
        <w:rPr>
          <w:rFonts w:ascii="Garamond" w:hAnsi="Garamond"/>
          <w:sz w:val="24"/>
          <w:szCs w:val="24"/>
        </w:rPr>
        <w:t>their</w:t>
      </w:r>
      <w:r w:rsidR="00822C87" w:rsidRPr="002F5BE1">
        <w:rPr>
          <w:rFonts w:ascii="Garamond" w:hAnsi="Garamond"/>
          <w:sz w:val="24"/>
          <w:szCs w:val="24"/>
        </w:rPr>
        <w:t xml:space="preserve"> work</w:t>
      </w:r>
      <w:r w:rsidR="00822C87">
        <w:rPr>
          <w:rFonts w:ascii="Garamond" w:hAnsi="Garamond"/>
          <w:sz w:val="24"/>
          <w:szCs w:val="24"/>
        </w:rPr>
        <w:t>, the first having been created in 1919, before human rights were widely recognised, and the second relying on Articles of Agreement prohibiting it to intervene in countries’ internal political affairs.</w:t>
      </w:r>
    </w:p>
    <w:p w14:paraId="6A596A1D" w14:textId="76305358" w:rsidR="005F7DE4" w:rsidRDefault="00DC6866" w:rsidP="009C3084">
      <w:pPr>
        <w:jc w:val="both"/>
        <w:rPr>
          <w:rFonts w:ascii="Garamond" w:hAnsi="Garamond"/>
          <w:sz w:val="24"/>
          <w:szCs w:val="24"/>
        </w:rPr>
      </w:pPr>
      <w:r>
        <w:rPr>
          <w:rFonts w:ascii="Garamond" w:hAnsi="Garamond"/>
          <w:sz w:val="24"/>
          <w:szCs w:val="24"/>
        </w:rPr>
        <w:t>T</w:t>
      </w:r>
      <w:r w:rsidR="00FC0EED">
        <w:rPr>
          <w:rFonts w:ascii="Garamond" w:hAnsi="Garamond"/>
          <w:sz w:val="24"/>
          <w:szCs w:val="24"/>
        </w:rPr>
        <w:t xml:space="preserve">he future of global health governance is threatened by the fragmentation of </w:t>
      </w:r>
      <w:r w:rsidR="00B168A8">
        <w:rPr>
          <w:rFonts w:ascii="Garamond" w:hAnsi="Garamond"/>
          <w:sz w:val="24"/>
          <w:szCs w:val="24"/>
        </w:rPr>
        <w:t>its</w:t>
      </w:r>
      <w:r w:rsidR="00FC0EED">
        <w:rPr>
          <w:rFonts w:ascii="Garamond" w:hAnsi="Garamond"/>
          <w:sz w:val="24"/>
          <w:szCs w:val="24"/>
        </w:rPr>
        <w:t xml:space="preserve"> human rights discourse, given the number and diversity of institutions’ nature, mandate, agenda, resources, activities and interests</w:t>
      </w:r>
      <w:r>
        <w:rPr>
          <w:rFonts w:ascii="Garamond" w:hAnsi="Garamond"/>
          <w:sz w:val="24"/>
          <w:szCs w:val="24"/>
        </w:rPr>
        <w:t xml:space="preserve">. However, </w:t>
      </w:r>
      <w:r w:rsidR="00B168A8">
        <w:rPr>
          <w:rFonts w:ascii="Garamond" w:hAnsi="Garamond"/>
          <w:sz w:val="24"/>
          <w:szCs w:val="24"/>
        </w:rPr>
        <w:t xml:space="preserve">authors’ optimism </w:t>
      </w:r>
      <w:r w:rsidR="00D903F0">
        <w:rPr>
          <w:rFonts w:ascii="Garamond" w:hAnsi="Garamond"/>
          <w:sz w:val="24"/>
          <w:szCs w:val="24"/>
        </w:rPr>
        <w:t>se</w:t>
      </w:r>
      <w:r>
        <w:rPr>
          <w:rFonts w:ascii="Garamond" w:hAnsi="Garamond"/>
          <w:sz w:val="24"/>
          <w:szCs w:val="24"/>
        </w:rPr>
        <w:t xml:space="preserve">ems to lie within the same </w:t>
      </w:r>
      <w:r w:rsidR="005569EF">
        <w:rPr>
          <w:rFonts w:ascii="Garamond" w:hAnsi="Garamond"/>
          <w:sz w:val="24"/>
          <w:szCs w:val="24"/>
        </w:rPr>
        <w:t>idea:</w:t>
      </w:r>
      <w:r>
        <w:rPr>
          <w:rFonts w:ascii="Garamond" w:hAnsi="Garamond"/>
          <w:sz w:val="24"/>
          <w:szCs w:val="24"/>
        </w:rPr>
        <w:t xml:space="preserve"> </w:t>
      </w:r>
      <w:r w:rsidR="00B168A8">
        <w:rPr>
          <w:rFonts w:ascii="Garamond" w:hAnsi="Garamond"/>
          <w:sz w:val="24"/>
          <w:szCs w:val="24"/>
        </w:rPr>
        <w:t>the potential for the sustainable development agenda to glue global health and human rights law more solidly together. I</w:t>
      </w:r>
      <w:r>
        <w:rPr>
          <w:rFonts w:ascii="Garamond" w:hAnsi="Garamond"/>
          <w:sz w:val="24"/>
          <w:szCs w:val="24"/>
        </w:rPr>
        <w:t>nterestingly,</w:t>
      </w:r>
      <w:r w:rsidR="00FC0EED">
        <w:rPr>
          <w:rFonts w:ascii="Garamond" w:hAnsi="Garamond"/>
          <w:sz w:val="24"/>
          <w:szCs w:val="24"/>
        </w:rPr>
        <w:t xml:space="preserve"> </w:t>
      </w:r>
      <w:r>
        <w:rPr>
          <w:rFonts w:ascii="Garamond" w:hAnsi="Garamond"/>
          <w:sz w:val="24"/>
          <w:szCs w:val="24"/>
        </w:rPr>
        <w:t>when examining</w:t>
      </w:r>
      <w:r w:rsidR="001C118C">
        <w:rPr>
          <w:rFonts w:ascii="Garamond" w:hAnsi="Garamond"/>
          <w:sz w:val="24"/>
          <w:szCs w:val="24"/>
        </w:rPr>
        <w:t xml:space="preserve"> </w:t>
      </w:r>
      <w:r>
        <w:rPr>
          <w:rFonts w:ascii="Garamond" w:hAnsi="Garamond"/>
          <w:sz w:val="24"/>
          <w:szCs w:val="24"/>
        </w:rPr>
        <w:t xml:space="preserve">what </w:t>
      </w:r>
      <w:r w:rsidR="001C118C">
        <w:rPr>
          <w:rFonts w:ascii="Garamond" w:hAnsi="Garamond"/>
          <w:sz w:val="24"/>
          <w:szCs w:val="24"/>
        </w:rPr>
        <w:t xml:space="preserve">the future </w:t>
      </w:r>
      <w:r>
        <w:rPr>
          <w:rFonts w:ascii="Garamond" w:hAnsi="Garamond"/>
          <w:sz w:val="24"/>
          <w:szCs w:val="24"/>
        </w:rPr>
        <w:t>holds (whether regarding</w:t>
      </w:r>
      <w:r w:rsidR="001C118C">
        <w:rPr>
          <w:rFonts w:ascii="Garamond" w:hAnsi="Garamond"/>
          <w:sz w:val="24"/>
          <w:szCs w:val="24"/>
        </w:rPr>
        <w:t xml:space="preserve"> </w:t>
      </w:r>
      <w:r w:rsidR="000F7F60">
        <w:rPr>
          <w:rFonts w:ascii="Garamond" w:hAnsi="Garamond"/>
          <w:sz w:val="24"/>
          <w:szCs w:val="24"/>
        </w:rPr>
        <w:t xml:space="preserve">global governance for health, human rights in the WHO, inter-governmental organisation partnerships for health and human rights, </w:t>
      </w:r>
      <w:r w:rsidR="001C118C">
        <w:rPr>
          <w:rFonts w:ascii="Garamond" w:hAnsi="Garamond"/>
          <w:sz w:val="24"/>
          <w:szCs w:val="24"/>
        </w:rPr>
        <w:t>or human rights a</w:t>
      </w:r>
      <w:r>
        <w:rPr>
          <w:rFonts w:ascii="Garamond" w:hAnsi="Garamond"/>
          <w:sz w:val="24"/>
          <w:szCs w:val="24"/>
        </w:rPr>
        <w:t>ccountability for global health)</w:t>
      </w:r>
      <w:r w:rsidR="001C118C">
        <w:rPr>
          <w:rFonts w:ascii="Garamond" w:hAnsi="Garamond"/>
          <w:sz w:val="24"/>
          <w:szCs w:val="24"/>
        </w:rPr>
        <w:t xml:space="preserve">, </w:t>
      </w:r>
      <w:r>
        <w:rPr>
          <w:rFonts w:ascii="Garamond" w:hAnsi="Garamond"/>
          <w:sz w:val="24"/>
          <w:szCs w:val="24"/>
        </w:rPr>
        <w:t>authors all</w:t>
      </w:r>
      <w:r w:rsidR="001C118C">
        <w:rPr>
          <w:rFonts w:ascii="Garamond" w:hAnsi="Garamond"/>
          <w:sz w:val="24"/>
          <w:szCs w:val="24"/>
        </w:rPr>
        <w:t xml:space="preserve"> place the UN </w:t>
      </w:r>
      <w:r w:rsidR="001C118C" w:rsidRPr="001C118C">
        <w:rPr>
          <w:rFonts w:ascii="Garamond" w:hAnsi="Garamond"/>
          <w:sz w:val="24"/>
          <w:szCs w:val="24"/>
        </w:rPr>
        <w:t xml:space="preserve">2030 Agenda </w:t>
      </w:r>
      <w:r w:rsidR="00F158DA">
        <w:rPr>
          <w:rFonts w:ascii="Garamond" w:hAnsi="Garamond"/>
          <w:sz w:val="24"/>
          <w:szCs w:val="24"/>
        </w:rPr>
        <w:t xml:space="preserve">for Sustainable </w:t>
      </w:r>
      <w:r w:rsidR="00F158DA" w:rsidRPr="001C118C">
        <w:rPr>
          <w:rFonts w:ascii="Garamond" w:hAnsi="Garamond"/>
          <w:sz w:val="24"/>
          <w:szCs w:val="24"/>
        </w:rPr>
        <w:t xml:space="preserve">Development </w:t>
      </w:r>
      <w:r w:rsidR="001C118C" w:rsidRPr="001C118C">
        <w:rPr>
          <w:rFonts w:ascii="Garamond" w:hAnsi="Garamond"/>
          <w:sz w:val="24"/>
          <w:szCs w:val="24"/>
        </w:rPr>
        <w:t xml:space="preserve">and </w:t>
      </w:r>
      <w:r w:rsidR="001C118C">
        <w:rPr>
          <w:rFonts w:ascii="Garamond" w:hAnsi="Garamond"/>
          <w:sz w:val="24"/>
          <w:szCs w:val="24"/>
        </w:rPr>
        <w:t>its</w:t>
      </w:r>
      <w:r w:rsidR="003E09EC">
        <w:rPr>
          <w:rFonts w:ascii="Garamond" w:hAnsi="Garamond"/>
          <w:sz w:val="24"/>
          <w:szCs w:val="24"/>
        </w:rPr>
        <w:t xml:space="preserve"> 17</w:t>
      </w:r>
      <w:r w:rsidR="001C118C">
        <w:rPr>
          <w:rFonts w:ascii="Garamond" w:hAnsi="Garamond"/>
          <w:sz w:val="24"/>
          <w:szCs w:val="24"/>
        </w:rPr>
        <w:t xml:space="preserve"> Sustainable Development Goals at the core of their vision.</w:t>
      </w:r>
      <w:r w:rsidR="00456416">
        <w:rPr>
          <w:rFonts w:ascii="Garamond" w:hAnsi="Garamond"/>
          <w:sz w:val="24"/>
          <w:szCs w:val="24"/>
        </w:rPr>
        <w:t xml:space="preserve"> </w:t>
      </w:r>
      <w:r>
        <w:rPr>
          <w:rFonts w:ascii="Garamond" w:hAnsi="Garamond"/>
          <w:sz w:val="24"/>
          <w:szCs w:val="24"/>
        </w:rPr>
        <w:t>Authors repeatedly report on the potential and current influence of this agenda across the various institutions and schemes studied in this book.</w:t>
      </w:r>
      <w:r w:rsidR="00B55444">
        <w:rPr>
          <w:rFonts w:ascii="Garamond" w:hAnsi="Garamond"/>
          <w:sz w:val="24"/>
          <w:szCs w:val="24"/>
        </w:rPr>
        <w:t xml:space="preserve"> The push from the UN to implement the 2030 Agenda calls for stronger alignment between human rights norms and practice, and indirectly requires that any entity aspiring to </w:t>
      </w:r>
      <w:r w:rsidR="005569EF">
        <w:rPr>
          <w:rFonts w:ascii="Garamond" w:hAnsi="Garamond"/>
          <w:sz w:val="24"/>
          <w:szCs w:val="24"/>
        </w:rPr>
        <w:t xml:space="preserve">operate </w:t>
      </w:r>
      <w:r w:rsidR="00B55444">
        <w:rPr>
          <w:rFonts w:ascii="Garamond" w:hAnsi="Garamond"/>
          <w:sz w:val="24"/>
          <w:szCs w:val="24"/>
        </w:rPr>
        <w:t xml:space="preserve">in the international arena embrace this common strategy, including (and especially) those promoting global health. Evidence will be necessary to that effect, </w:t>
      </w:r>
      <w:r w:rsidR="005F7DE4">
        <w:rPr>
          <w:rFonts w:ascii="Garamond" w:hAnsi="Garamond"/>
          <w:sz w:val="24"/>
          <w:szCs w:val="24"/>
        </w:rPr>
        <w:t xml:space="preserve">which will encourage enhanced data collection. A task already at the core of the institutions discussed in this ambitious volume, many of which strive to collect reliable, disaggregated data to trace health inequities worldwide or conduct evidence-led advocacy, but who need further resources and staff to improve in this field. </w:t>
      </w:r>
    </w:p>
    <w:p w14:paraId="36FA56F2" w14:textId="77777777" w:rsidR="00854995" w:rsidRDefault="00854995" w:rsidP="009C3084">
      <w:pPr>
        <w:jc w:val="both"/>
        <w:rPr>
          <w:rFonts w:ascii="Garamond" w:hAnsi="Garamond"/>
          <w:sz w:val="24"/>
          <w:szCs w:val="24"/>
        </w:rPr>
      </w:pPr>
    </w:p>
    <w:p w14:paraId="5758273E" w14:textId="59E8866B" w:rsidR="000E1190" w:rsidRDefault="00AD4CC3" w:rsidP="008C4730">
      <w:pPr>
        <w:jc w:val="both"/>
        <w:rPr>
          <w:rFonts w:ascii="Garamond" w:hAnsi="Garamond"/>
          <w:sz w:val="24"/>
          <w:szCs w:val="24"/>
        </w:rPr>
      </w:pPr>
      <w:r>
        <w:rPr>
          <w:rFonts w:ascii="Garamond" w:hAnsi="Garamond"/>
          <w:sz w:val="24"/>
          <w:szCs w:val="24"/>
        </w:rPr>
        <w:t>T</w:t>
      </w:r>
      <w:r w:rsidR="00BE1811">
        <w:rPr>
          <w:rFonts w:ascii="Garamond" w:hAnsi="Garamond"/>
          <w:sz w:val="24"/>
          <w:szCs w:val="24"/>
        </w:rPr>
        <w:t xml:space="preserve">his volume brings together </w:t>
      </w:r>
      <w:r w:rsidR="00DD3BB2">
        <w:rPr>
          <w:rFonts w:ascii="Garamond" w:hAnsi="Garamond"/>
          <w:sz w:val="24"/>
          <w:szCs w:val="24"/>
        </w:rPr>
        <w:t xml:space="preserve">very </w:t>
      </w:r>
      <w:r w:rsidR="00BE1811">
        <w:rPr>
          <w:rFonts w:ascii="Garamond" w:hAnsi="Garamond"/>
          <w:sz w:val="24"/>
          <w:szCs w:val="24"/>
        </w:rPr>
        <w:t xml:space="preserve">rich discussions on the use of a human rights approach </w:t>
      </w:r>
      <w:r w:rsidR="00285E4A">
        <w:rPr>
          <w:rFonts w:ascii="Garamond" w:hAnsi="Garamond"/>
          <w:sz w:val="24"/>
          <w:szCs w:val="24"/>
        </w:rPr>
        <w:t>to promote</w:t>
      </w:r>
      <w:r w:rsidR="00BE1811">
        <w:rPr>
          <w:rFonts w:ascii="Garamond" w:hAnsi="Garamond"/>
          <w:sz w:val="24"/>
          <w:szCs w:val="24"/>
        </w:rPr>
        <w:t xml:space="preserve"> global health governance</w:t>
      </w:r>
      <w:r w:rsidR="00DD3BB2">
        <w:rPr>
          <w:rFonts w:ascii="Garamond" w:hAnsi="Garamond"/>
          <w:sz w:val="24"/>
          <w:szCs w:val="24"/>
        </w:rPr>
        <w:t xml:space="preserve">. </w:t>
      </w:r>
      <w:r w:rsidR="00577521">
        <w:rPr>
          <w:rFonts w:ascii="Garamond" w:hAnsi="Garamond"/>
          <w:sz w:val="24"/>
          <w:szCs w:val="24"/>
        </w:rPr>
        <w:t>Nevertheless</w:t>
      </w:r>
      <w:r w:rsidR="00BE1811">
        <w:rPr>
          <w:rFonts w:ascii="Garamond" w:hAnsi="Garamond"/>
          <w:sz w:val="24"/>
          <w:szCs w:val="24"/>
        </w:rPr>
        <w:t xml:space="preserve">, </w:t>
      </w:r>
      <w:r w:rsidR="00685664">
        <w:rPr>
          <w:rFonts w:ascii="Garamond" w:hAnsi="Garamond"/>
          <w:sz w:val="24"/>
          <w:szCs w:val="24"/>
        </w:rPr>
        <w:t xml:space="preserve">some challenges which emerge due to its nature as an </w:t>
      </w:r>
      <w:r w:rsidR="008C4730">
        <w:rPr>
          <w:rFonts w:ascii="Garamond" w:hAnsi="Garamond"/>
          <w:sz w:val="24"/>
          <w:szCs w:val="24"/>
        </w:rPr>
        <w:t>edited collection can be noted.</w:t>
      </w:r>
      <w:r w:rsidR="00BE1811">
        <w:rPr>
          <w:rFonts w:ascii="Garamond" w:hAnsi="Garamond"/>
          <w:sz w:val="24"/>
          <w:szCs w:val="24"/>
        </w:rPr>
        <w:t xml:space="preserve"> </w:t>
      </w:r>
    </w:p>
    <w:p w14:paraId="1696DC93" w14:textId="592DBDAB" w:rsidR="00D04328" w:rsidRDefault="00BE1811" w:rsidP="009C3084">
      <w:pPr>
        <w:jc w:val="both"/>
        <w:rPr>
          <w:rFonts w:ascii="Garamond" w:hAnsi="Garamond"/>
          <w:sz w:val="24"/>
          <w:szCs w:val="24"/>
        </w:rPr>
      </w:pPr>
      <w:r>
        <w:rPr>
          <w:rFonts w:ascii="Garamond" w:hAnsi="Garamond"/>
          <w:sz w:val="24"/>
          <w:szCs w:val="24"/>
        </w:rPr>
        <w:t>First</w:t>
      </w:r>
      <w:r w:rsidR="000E01D1">
        <w:rPr>
          <w:rFonts w:ascii="Garamond" w:hAnsi="Garamond"/>
          <w:sz w:val="24"/>
          <w:szCs w:val="24"/>
        </w:rPr>
        <w:t>ly</w:t>
      </w:r>
      <w:r>
        <w:rPr>
          <w:rFonts w:ascii="Garamond" w:hAnsi="Garamond"/>
          <w:sz w:val="24"/>
          <w:szCs w:val="24"/>
        </w:rPr>
        <w:t>,</w:t>
      </w:r>
      <w:r w:rsidR="005569EF">
        <w:rPr>
          <w:rFonts w:ascii="Garamond" w:hAnsi="Garamond"/>
          <w:sz w:val="24"/>
          <w:szCs w:val="24"/>
        </w:rPr>
        <w:t xml:space="preserve"> </w:t>
      </w:r>
      <w:r w:rsidR="00AD4CC3">
        <w:rPr>
          <w:rFonts w:ascii="Garamond" w:hAnsi="Garamond"/>
          <w:sz w:val="24"/>
          <w:szCs w:val="24"/>
        </w:rPr>
        <w:t xml:space="preserve">while </w:t>
      </w:r>
      <w:r w:rsidR="004159E7">
        <w:rPr>
          <w:rFonts w:ascii="Garamond" w:hAnsi="Garamond"/>
          <w:sz w:val="24"/>
          <w:szCs w:val="24"/>
        </w:rPr>
        <w:t xml:space="preserve">this volume provides a </w:t>
      </w:r>
      <w:r w:rsidR="00AD4CC3">
        <w:rPr>
          <w:rFonts w:ascii="Garamond" w:hAnsi="Garamond"/>
          <w:sz w:val="24"/>
          <w:szCs w:val="24"/>
        </w:rPr>
        <w:t xml:space="preserve">fascinating </w:t>
      </w:r>
      <w:r w:rsidR="004159E7">
        <w:rPr>
          <w:rFonts w:ascii="Garamond" w:hAnsi="Garamond"/>
          <w:sz w:val="24"/>
          <w:szCs w:val="24"/>
        </w:rPr>
        <w:t>account of how</w:t>
      </w:r>
      <w:r w:rsidR="00AD4CC3">
        <w:rPr>
          <w:rFonts w:ascii="Garamond" w:hAnsi="Garamond"/>
          <w:sz w:val="24"/>
          <w:szCs w:val="24"/>
        </w:rPr>
        <w:t xml:space="preserve"> </w:t>
      </w:r>
      <w:r w:rsidR="004159E7">
        <w:rPr>
          <w:rFonts w:ascii="Garamond" w:hAnsi="Garamond"/>
          <w:sz w:val="24"/>
          <w:szCs w:val="24"/>
        </w:rPr>
        <w:t>global economic governance and human rights governance institutions mainstream human rights to promote global health in sections 3 and 4</w:t>
      </w:r>
      <w:r w:rsidR="00AD4CC3">
        <w:rPr>
          <w:rFonts w:ascii="Garamond" w:hAnsi="Garamond"/>
          <w:sz w:val="24"/>
          <w:szCs w:val="24"/>
        </w:rPr>
        <w:t xml:space="preserve">, but </w:t>
      </w:r>
      <w:r w:rsidR="005569EF">
        <w:rPr>
          <w:rFonts w:ascii="Garamond" w:hAnsi="Garamond"/>
          <w:sz w:val="24"/>
          <w:szCs w:val="24"/>
        </w:rPr>
        <w:t>the reader wo</w:t>
      </w:r>
      <w:r w:rsidR="00D04328">
        <w:rPr>
          <w:rFonts w:ascii="Garamond" w:hAnsi="Garamond"/>
          <w:sz w:val="24"/>
          <w:szCs w:val="24"/>
        </w:rPr>
        <w:t xml:space="preserve">uld have benefited from a clearer explanation as to why specific institutions appear in </w:t>
      </w:r>
      <w:r w:rsidR="004159E7">
        <w:rPr>
          <w:rFonts w:ascii="Garamond" w:hAnsi="Garamond"/>
          <w:sz w:val="24"/>
          <w:szCs w:val="24"/>
        </w:rPr>
        <w:t>these sections</w:t>
      </w:r>
      <w:r w:rsidR="00D04328">
        <w:rPr>
          <w:rFonts w:ascii="Garamond" w:hAnsi="Garamond"/>
          <w:sz w:val="24"/>
          <w:szCs w:val="24"/>
        </w:rPr>
        <w:t xml:space="preserve"> and not others. For example, </w:t>
      </w:r>
      <w:r w:rsidR="003A6417">
        <w:rPr>
          <w:rFonts w:ascii="Garamond" w:hAnsi="Garamond"/>
          <w:sz w:val="24"/>
          <w:szCs w:val="24"/>
        </w:rPr>
        <w:t>it i</w:t>
      </w:r>
      <w:r w:rsidR="00D04328">
        <w:rPr>
          <w:rFonts w:ascii="Garamond" w:hAnsi="Garamond"/>
          <w:sz w:val="24"/>
          <w:szCs w:val="24"/>
        </w:rPr>
        <w:t xml:space="preserve">s not clear why the International Monetary Fund </w:t>
      </w:r>
      <w:r w:rsidR="003A6417">
        <w:rPr>
          <w:rFonts w:ascii="Garamond" w:hAnsi="Garamond"/>
          <w:sz w:val="24"/>
          <w:szCs w:val="24"/>
        </w:rPr>
        <w:t>i</w:t>
      </w:r>
      <w:r w:rsidR="00D04328">
        <w:rPr>
          <w:rFonts w:ascii="Garamond" w:hAnsi="Garamond"/>
          <w:sz w:val="24"/>
          <w:szCs w:val="24"/>
        </w:rPr>
        <w:t>s not discussed in section 4 on global economic governance, given this institution’s mandate include promoting sustainable economic growth</w:t>
      </w:r>
      <w:r w:rsidR="00D04328" w:rsidRPr="003A206A">
        <w:rPr>
          <w:rFonts w:ascii="Garamond" w:hAnsi="Garamond"/>
          <w:sz w:val="24"/>
          <w:szCs w:val="24"/>
        </w:rPr>
        <w:t xml:space="preserve"> and reduc</w:t>
      </w:r>
      <w:r w:rsidR="00D04328">
        <w:rPr>
          <w:rFonts w:ascii="Garamond" w:hAnsi="Garamond"/>
          <w:sz w:val="24"/>
          <w:szCs w:val="24"/>
        </w:rPr>
        <w:t>ing</w:t>
      </w:r>
      <w:r w:rsidR="00D04328" w:rsidRPr="003A206A">
        <w:rPr>
          <w:rFonts w:ascii="Garamond" w:hAnsi="Garamond"/>
          <w:sz w:val="24"/>
          <w:szCs w:val="24"/>
        </w:rPr>
        <w:t xml:space="preserve"> poverty</w:t>
      </w:r>
      <w:r w:rsidR="00D04328">
        <w:rPr>
          <w:rFonts w:ascii="Garamond" w:hAnsi="Garamond"/>
          <w:sz w:val="24"/>
          <w:szCs w:val="24"/>
        </w:rPr>
        <w:t xml:space="preserve">, key to global health. </w:t>
      </w:r>
      <w:r w:rsidR="004159E7">
        <w:rPr>
          <w:rFonts w:ascii="Garamond" w:hAnsi="Garamond"/>
          <w:sz w:val="24"/>
          <w:szCs w:val="24"/>
        </w:rPr>
        <w:t>S</w:t>
      </w:r>
      <w:r w:rsidR="00D04328">
        <w:rPr>
          <w:rFonts w:ascii="Garamond" w:hAnsi="Garamond"/>
          <w:sz w:val="24"/>
          <w:szCs w:val="24"/>
        </w:rPr>
        <w:t xml:space="preserve">uch an explanation would reduce the risk of a slightly segmented discussion </w:t>
      </w:r>
      <w:r w:rsidR="00401D9A">
        <w:rPr>
          <w:rFonts w:ascii="Garamond" w:hAnsi="Garamond"/>
          <w:sz w:val="24"/>
          <w:szCs w:val="24"/>
        </w:rPr>
        <w:t xml:space="preserve">at times, </w:t>
      </w:r>
      <w:r w:rsidR="003A6417">
        <w:rPr>
          <w:rFonts w:ascii="Garamond" w:hAnsi="Garamond"/>
          <w:sz w:val="24"/>
          <w:szCs w:val="24"/>
        </w:rPr>
        <w:t>in this part of the book.</w:t>
      </w:r>
    </w:p>
    <w:p w14:paraId="76239BFC" w14:textId="26DF526F" w:rsidR="007D154E" w:rsidRDefault="004159E7" w:rsidP="00B2485C">
      <w:pPr>
        <w:jc w:val="both"/>
        <w:rPr>
          <w:rFonts w:ascii="Garamond" w:hAnsi="Garamond"/>
          <w:sz w:val="24"/>
          <w:szCs w:val="24"/>
        </w:rPr>
      </w:pPr>
      <w:r>
        <w:rPr>
          <w:rFonts w:ascii="Garamond" w:hAnsi="Garamond"/>
          <w:sz w:val="24"/>
          <w:szCs w:val="24"/>
        </w:rPr>
        <w:t xml:space="preserve">Secondly, it would have been helpful for the reader to </w:t>
      </w:r>
      <w:r w:rsidR="00DD3BB2">
        <w:rPr>
          <w:rFonts w:ascii="Garamond" w:hAnsi="Garamond"/>
          <w:sz w:val="24"/>
          <w:szCs w:val="24"/>
        </w:rPr>
        <w:t>grasp</w:t>
      </w:r>
      <w:r>
        <w:rPr>
          <w:rFonts w:ascii="Garamond" w:hAnsi="Garamond"/>
          <w:sz w:val="24"/>
          <w:szCs w:val="24"/>
        </w:rPr>
        <w:t xml:space="preserve"> in more details a particular methodological aspect of th</w:t>
      </w:r>
      <w:r w:rsidR="00DD3BB2">
        <w:rPr>
          <w:rFonts w:ascii="Garamond" w:hAnsi="Garamond"/>
          <w:sz w:val="24"/>
          <w:szCs w:val="24"/>
        </w:rPr>
        <w:t xml:space="preserve">is ambitious empirical analysis, in order to understand </w:t>
      </w:r>
      <w:r w:rsidR="0008252A">
        <w:rPr>
          <w:rFonts w:ascii="Garamond" w:hAnsi="Garamond"/>
          <w:sz w:val="24"/>
          <w:szCs w:val="24"/>
        </w:rPr>
        <w:t xml:space="preserve">why some </w:t>
      </w:r>
      <w:proofErr w:type="gramStart"/>
      <w:r w:rsidR="0008252A">
        <w:rPr>
          <w:rFonts w:ascii="Garamond" w:hAnsi="Garamond"/>
          <w:sz w:val="24"/>
          <w:szCs w:val="24"/>
        </w:rPr>
        <w:t>chapters</w:t>
      </w:r>
      <w:proofErr w:type="gramEnd"/>
      <w:r w:rsidR="0008252A">
        <w:rPr>
          <w:rFonts w:ascii="Garamond" w:hAnsi="Garamond"/>
          <w:sz w:val="24"/>
          <w:szCs w:val="24"/>
        </w:rPr>
        <w:t xml:space="preserve"> present a mo</w:t>
      </w:r>
      <w:r w:rsidR="00DD3BB2">
        <w:rPr>
          <w:rFonts w:ascii="Garamond" w:hAnsi="Garamond"/>
          <w:sz w:val="24"/>
          <w:szCs w:val="24"/>
        </w:rPr>
        <w:t xml:space="preserve">re positive account than others in sections 3, 4 and 5. For instance, it is not always explicit whether some chapters aim at assessing the overall use of the human rights discourse across an institution’s activities, or to focus on particular examples where it is being used. </w:t>
      </w:r>
      <w:r w:rsidR="00401D9A">
        <w:rPr>
          <w:rFonts w:ascii="Garamond" w:hAnsi="Garamond"/>
          <w:sz w:val="24"/>
          <w:szCs w:val="24"/>
        </w:rPr>
        <w:t xml:space="preserve">Further clarification as to </w:t>
      </w:r>
      <w:r w:rsidR="00DD3BB2">
        <w:rPr>
          <w:rFonts w:ascii="Garamond" w:hAnsi="Garamond"/>
          <w:sz w:val="24"/>
          <w:szCs w:val="24"/>
        </w:rPr>
        <w:t>what extent the methodology used in each chapter differ</w:t>
      </w:r>
      <w:r w:rsidR="00401D9A">
        <w:rPr>
          <w:rFonts w:ascii="Garamond" w:hAnsi="Garamond"/>
          <w:sz w:val="24"/>
          <w:szCs w:val="24"/>
        </w:rPr>
        <w:t>s</w:t>
      </w:r>
      <w:r w:rsidR="00DD3BB2">
        <w:rPr>
          <w:rFonts w:ascii="Garamond" w:hAnsi="Garamond"/>
          <w:sz w:val="24"/>
          <w:szCs w:val="24"/>
        </w:rPr>
        <w:t xml:space="preserve"> from one another; and to what extent potential nuances in methodological approaches </w:t>
      </w:r>
      <w:r w:rsidR="00401D9A">
        <w:rPr>
          <w:rFonts w:ascii="Garamond" w:hAnsi="Garamond"/>
          <w:sz w:val="24"/>
          <w:szCs w:val="24"/>
        </w:rPr>
        <w:t>has le</w:t>
      </w:r>
      <w:r w:rsidR="00DD3BB2">
        <w:rPr>
          <w:rFonts w:ascii="Garamond" w:hAnsi="Garamond"/>
          <w:sz w:val="24"/>
          <w:szCs w:val="24"/>
        </w:rPr>
        <w:t>d to different types of</w:t>
      </w:r>
      <w:r w:rsidR="00401D9A">
        <w:rPr>
          <w:rFonts w:ascii="Garamond" w:hAnsi="Garamond"/>
          <w:sz w:val="24"/>
          <w:szCs w:val="24"/>
        </w:rPr>
        <w:t xml:space="preserve"> findings would feed </w:t>
      </w:r>
      <w:r w:rsidR="00854995">
        <w:rPr>
          <w:rFonts w:ascii="Garamond" w:hAnsi="Garamond"/>
          <w:sz w:val="24"/>
          <w:szCs w:val="24"/>
        </w:rPr>
        <w:t>the pa</w:t>
      </w:r>
      <w:r w:rsidR="00401D9A">
        <w:rPr>
          <w:rFonts w:ascii="Garamond" w:hAnsi="Garamond"/>
          <w:sz w:val="24"/>
          <w:szCs w:val="24"/>
        </w:rPr>
        <w:t>rticularly curious mind.</w:t>
      </w:r>
    </w:p>
    <w:p w14:paraId="39DA8807" w14:textId="1AC60F07" w:rsidR="003032F8" w:rsidRPr="002F5BE1" w:rsidRDefault="00B2485C" w:rsidP="005B5B3F">
      <w:pPr>
        <w:jc w:val="both"/>
        <w:rPr>
          <w:rFonts w:ascii="Garamond" w:hAnsi="Garamond"/>
          <w:sz w:val="24"/>
          <w:szCs w:val="24"/>
        </w:rPr>
      </w:pPr>
      <w:r>
        <w:rPr>
          <w:rFonts w:ascii="Garamond" w:hAnsi="Garamond"/>
          <w:sz w:val="24"/>
          <w:szCs w:val="24"/>
        </w:rPr>
        <w:t>However, the</w:t>
      </w:r>
      <w:r w:rsidR="00AB6E79">
        <w:rPr>
          <w:rFonts w:ascii="Garamond" w:hAnsi="Garamond"/>
          <w:sz w:val="24"/>
          <w:szCs w:val="24"/>
        </w:rPr>
        <w:t xml:space="preserve"> </w:t>
      </w:r>
      <w:r>
        <w:rPr>
          <w:rFonts w:ascii="Garamond" w:hAnsi="Garamond"/>
          <w:sz w:val="24"/>
          <w:szCs w:val="24"/>
        </w:rPr>
        <w:t xml:space="preserve">excellent </w:t>
      </w:r>
      <w:r w:rsidR="00AB6E79">
        <w:rPr>
          <w:rFonts w:ascii="Garamond" w:hAnsi="Garamond"/>
          <w:sz w:val="24"/>
          <w:szCs w:val="24"/>
        </w:rPr>
        <w:t xml:space="preserve">multi-sectoral </w:t>
      </w:r>
      <w:r>
        <w:rPr>
          <w:rFonts w:ascii="Garamond" w:hAnsi="Garamond"/>
          <w:sz w:val="24"/>
          <w:szCs w:val="24"/>
        </w:rPr>
        <w:t>study</w:t>
      </w:r>
      <w:r w:rsidR="00AB6E79">
        <w:rPr>
          <w:rFonts w:ascii="Garamond" w:hAnsi="Garamond"/>
          <w:sz w:val="24"/>
          <w:szCs w:val="24"/>
        </w:rPr>
        <w:t xml:space="preserve"> conducted in this edited collection </w:t>
      </w:r>
      <w:r w:rsidR="00E46D00">
        <w:rPr>
          <w:rFonts w:ascii="Garamond" w:hAnsi="Garamond"/>
          <w:sz w:val="24"/>
          <w:szCs w:val="24"/>
        </w:rPr>
        <w:t xml:space="preserve">should certainly </w:t>
      </w:r>
      <w:r>
        <w:rPr>
          <w:rFonts w:ascii="Garamond" w:hAnsi="Garamond"/>
          <w:sz w:val="24"/>
          <w:szCs w:val="24"/>
        </w:rPr>
        <w:t>stand out as an example of how crucial it is for research</w:t>
      </w:r>
      <w:r w:rsidR="00577521">
        <w:rPr>
          <w:rFonts w:ascii="Garamond" w:hAnsi="Garamond"/>
          <w:sz w:val="24"/>
          <w:szCs w:val="24"/>
        </w:rPr>
        <w:t>ers</w:t>
      </w:r>
      <w:r>
        <w:rPr>
          <w:rFonts w:ascii="Garamond" w:hAnsi="Garamond"/>
          <w:sz w:val="24"/>
          <w:szCs w:val="24"/>
        </w:rPr>
        <w:t xml:space="preserve"> to explore the </w:t>
      </w:r>
      <w:r w:rsidRPr="00B2485C">
        <w:rPr>
          <w:rFonts w:ascii="Garamond" w:hAnsi="Garamond"/>
          <w:sz w:val="24"/>
          <w:szCs w:val="24"/>
        </w:rPr>
        <w:t>incorporation of human rights in global health governance</w:t>
      </w:r>
      <w:r>
        <w:rPr>
          <w:rFonts w:ascii="Garamond" w:hAnsi="Garamond"/>
          <w:sz w:val="24"/>
          <w:szCs w:val="24"/>
        </w:rPr>
        <w:t xml:space="preserve">, for legal norms become irrelevant if not integrated to practice. </w:t>
      </w:r>
      <w:r>
        <w:rPr>
          <w:rFonts w:ascii="Garamond" w:hAnsi="Garamond"/>
          <w:sz w:val="24"/>
          <w:szCs w:val="24"/>
        </w:rPr>
        <w:lastRenderedPageBreak/>
        <w:t xml:space="preserve">With this book, Mason Meier and </w:t>
      </w:r>
      <w:proofErr w:type="spellStart"/>
      <w:r>
        <w:rPr>
          <w:rFonts w:ascii="Garamond" w:hAnsi="Garamond"/>
          <w:sz w:val="24"/>
          <w:szCs w:val="24"/>
        </w:rPr>
        <w:t>Gostin</w:t>
      </w:r>
      <w:proofErr w:type="spellEnd"/>
      <w:r w:rsidR="00577521">
        <w:rPr>
          <w:rFonts w:ascii="Garamond" w:hAnsi="Garamond"/>
          <w:sz w:val="24"/>
          <w:szCs w:val="24"/>
        </w:rPr>
        <w:t>,</w:t>
      </w:r>
      <w:r w:rsidR="007D154E">
        <w:rPr>
          <w:rFonts w:ascii="Garamond" w:hAnsi="Garamond"/>
          <w:sz w:val="24"/>
          <w:szCs w:val="24"/>
        </w:rPr>
        <w:t xml:space="preserve"> as well as a formidable number of well-respected scholars</w:t>
      </w:r>
      <w:r w:rsidR="00577521">
        <w:rPr>
          <w:rFonts w:ascii="Garamond" w:hAnsi="Garamond"/>
          <w:sz w:val="24"/>
          <w:szCs w:val="24"/>
        </w:rPr>
        <w:t>,</w:t>
      </w:r>
      <w:r w:rsidR="007D154E">
        <w:rPr>
          <w:rFonts w:ascii="Garamond" w:hAnsi="Garamond"/>
          <w:sz w:val="24"/>
          <w:szCs w:val="24"/>
        </w:rPr>
        <w:t xml:space="preserve"> bring together their expertise to build upon academic writings in </w:t>
      </w:r>
      <w:r w:rsidRPr="00B2485C">
        <w:rPr>
          <w:rFonts w:ascii="Garamond" w:hAnsi="Garamond"/>
          <w:sz w:val="24"/>
          <w:szCs w:val="24"/>
        </w:rPr>
        <w:t>global health, human rights law, right to health,</w:t>
      </w:r>
      <w:r w:rsidR="007D154E">
        <w:rPr>
          <w:rFonts w:ascii="Garamond" w:hAnsi="Garamond"/>
          <w:sz w:val="24"/>
          <w:szCs w:val="24"/>
        </w:rPr>
        <w:t xml:space="preserve"> </w:t>
      </w:r>
      <w:r w:rsidRPr="00B2485C">
        <w:rPr>
          <w:rFonts w:ascii="Garamond" w:hAnsi="Garamond"/>
          <w:sz w:val="24"/>
          <w:szCs w:val="24"/>
        </w:rPr>
        <w:t xml:space="preserve">public health, </w:t>
      </w:r>
      <w:r w:rsidR="007D154E">
        <w:rPr>
          <w:rFonts w:ascii="Garamond" w:hAnsi="Garamond"/>
          <w:sz w:val="24"/>
          <w:szCs w:val="24"/>
        </w:rPr>
        <w:t xml:space="preserve">ethics and </w:t>
      </w:r>
      <w:r w:rsidRPr="00B2485C">
        <w:rPr>
          <w:rFonts w:ascii="Garamond" w:hAnsi="Garamond"/>
          <w:sz w:val="24"/>
          <w:szCs w:val="24"/>
        </w:rPr>
        <w:t xml:space="preserve">development, </w:t>
      </w:r>
      <w:r w:rsidR="007D154E">
        <w:rPr>
          <w:rFonts w:ascii="Garamond" w:hAnsi="Garamond"/>
          <w:sz w:val="24"/>
          <w:szCs w:val="24"/>
        </w:rPr>
        <w:t>and</w:t>
      </w:r>
      <w:r w:rsidR="00CB5837">
        <w:rPr>
          <w:rFonts w:ascii="Garamond" w:hAnsi="Garamond"/>
          <w:sz w:val="24"/>
          <w:szCs w:val="24"/>
        </w:rPr>
        <w:t xml:space="preserve"> to</w:t>
      </w:r>
      <w:r w:rsidR="007D154E">
        <w:rPr>
          <w:rFonts w:ascii="Garamond" w:hAnsi="Garamond"/>
          <w:sz w:val="24"/>
          <w:szCs w:val="24"/>
        </w:rPr>
        <w:t xml:space="preserve"> share with us a new way to look at global health governance. </w:t>
      </w:r>
      <w:r w:rsidR="00577521">
        <w:rPr>
          <w:rFonts w:ascii="Garamond" w:hAnsi="Garamond"/>
          <w:sz w:val="24"/>
          <w:szCs w:val="24"/>
        </w:rPr>
        <w:t>How do key international actors use human rights law to promote health for all; and how can they improve their practice to contribute towards reducing health inequities across the globe? By answering these fundamental questions, t</w:t>
      </w:r>
      <w:r w:rsidR="007D154E">
        <w:rPr>
          <w:rFonts w:ascii="Garamond" w:hAnsi="Garamond"/>
          <w:sz w:val="24"/>
          <w:szCs w:val="24"/>
        </w:rPr>
        <w:t>his edited volume brings</w:t>
      </w:r>
      <w:r w:rsidR="00577521">
        <w:rPr>
          <w:rFonts w:ascii="Garamond" w:hAnsi="Garamond"/>
          <w:sz w:val="24"/>
          <w:szCs w:val="24"/>
        </w:rPr>
        <w:t xml:space="preserve"> a</w:t>
      </w:r>
      <w:r w:rsidR="007D154E">
        <w:rPr>
          <w:rFonts w:ascii="Garamond" w:hAnsi="Garamond"/>
          <w:sz w:val="24"/>
          <w:szCs w:val="24"/>
        </w:rPr>
        <w:t xml:space="preserve"> new perspective</w:t>
      </w:r>
      <w:r w:rsidR="00577521">
        <w:rPr>
          <w:rFonts w:ascii="Garamond" w:hAnsi="Garamond"/>
          <w:sz w:val="24"/>
          <w:szCs w:val="24"/>
        </w:rPr>
        <w:t xml:space="preserve"> on the relationship between </w:t>
      </w:r>
      <w:r w:rsidR="007D154E">
        <w:rPr>
          <w:rFonts w:ascii="Garamond" w:hAnsi="Garamond"/>
          <w:sz w:val="24"/>
          <w:szCs w:val="24"/>
        </w:rPr>
        <w:t>health and human rights, and stimulate</w:t>
      </w:r>
      <w:r w:rsidR="00577521">
        <w:rPr>
          <w:rFonts w:ascii="Garamond" w:hAnsi="Garamond"/>
          <w:sz w:val="24"/>
          <w:szCs w:val="24"/>
        </w:rPr>
        <w:t>s</w:t>
      </w:r>
      <w:r w:rsidR="007D154E">
        <w:rPr>
          <w:rFonts w:ascii="Garamond" w:hAnsi="Garamond"/>
          <w:sz w:val="24"/>
          <w:szCs w:val="24"/>
        </w:rPr>
        <w:t xml:space="preserve"> </w:t>
      </w:r>
      <w:r w:rsidR="00577521">
        <w:rPr>
          <w:rFonts w:ascii="Garamond" w:hAnsi="Garamond"/>
          <w:sz w:val="24"/>
          <w:szCs w:val="24"/>
        </w:rPr>
        <w:t xml:space="preserve">the need to conduct </w:t>
      </w:r>
      <w:r w:rsidR="007D154E">
        <w:rPr>
          <w:rFonts w:ascii="Garamond" w:hAnsi="Garamond"/>
          <w:sz w:val="24"/>
          <w:szCs w:val="24"/>
        </w:rPr>
        <w:t xml:space="preserve">further </w:t>
      </w:r>
      <w:r w:rsidR="00577521">
        <w:rPr>
          <w:rFonts w:ascii="Garamond" w:hAnsi="Garamond"/>
          <w:sz w:val="24"/>
          <w:szCs w:val="24"/>
        </w:rPr>
        <w:t>empirical and</w:t>
      </w:r>
      <w:r w:rsidR="007D154E">
        <w:rPr>
          <w:rFonts w:ascii="Garamond" w:hAnsi="Garamond"/>
          <w:sz w:val="24"/>
          <w:szCs w:val="24"/>
        </w:rPr>
        <w:t xml:space="preserve"> systematic research</w:t>
      </w:r>
      <w:r w:rsidR="00577521">
        <w:rPr>
          <w:rFonts w:ascii="Garamond" w:hAnsi="Garamond"/>
          <w:sz w:val="24"/>
          <w:szCs w:val="24"/>
        </w:rPr>
        <w:t xml:space="preserve"> in this developing field</w:t>
      </w:r>
      <w:r w:rsidR="007D154E">
        <w:rPr>
          <w:rFonts w:ascii="Garamond" w:hAnsi="Garamond"/>
          <w:sz w:val="24"/>
          <w:szCs w:val="24"/>
        </w:rPr>
        <w:t>.</w:t>
      </w:r>
    </w:p>
    <w:sectPr w:rsidR="003032F8" w:rsidRPr="002F5BE1">
      <w:footerReference w:type="even" r:id="rId7"/>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765F5B" w16cid:durableId="1F553F30"/>
  <w16cid:commentId w16cid:paraId="3CBF8607" w16cid:durableId="1F553F5A"/>
  <w16cid:commentId w16cid:paraId="342786F1" w16cid:durableId="1F554036"/>
  <w16cid:commentId w16cid:paraId="04E9C854" w16cid:durableId="1F5540AF"/>
  <w16cid:commentId w16cid:paraId="22D79C6E" w16cid:durableId="1F5541B1"/>
  <w16cid:commentId w16cid:paraId="1F1DF3AE" w16cid:durableId="1F5541D9"/>
  <w16cid:commentId w16cid:paraId="36A3F535" w16cid:durableId="1F55423F"/>
  <w16cid:commentId w16cid:paraId="72B948B4" w16cid:durableId="1F554342"/>
  <w16cid:commentId w16cid:paraId="24495695" w16cid:durableId="1F55437C"/>
  <w16cid:commentId w16cid:paraId="1CC9F8B7" w16cid:durableId="1F55441C"/>
  <w16cid:commentId w16cid:paraId="1C752991" w16cid:durableId="1F5544CC"/>
  <w16cid:commentId w16cid:paraId="002AFBC5" w16cid:durableId="1F5544E2"/>
  <w16cid:commentId w16cid:paraId="3A09AAFD" w16cid:durableId="1F55455C"/>
  <w16cid:commentId w16cid:paraId="0E74FF18" w16cid:durableId="1F55453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72D8B" w14:textId="77777777" w:rsidR="00EB56A0" w:rsidRDefault="00EB56A0" w:rsidP="00EA70E8">
      <w:pPr>
        <w:spacing w:after="0" w:line="240" w:lineRule="auto"/>
      </w:pPr>
      <w:r>
        <w:separator/>
      </w:r>
    </w:p>
  </w:endnote>
  <w:endnote w:type="continuationSeparator" w:id="0">
    <w:p w14:paraId="05C1A174" w14:textId="77777777" w:rsidR="00EB56A0" w:rsidRDefault="00EB56A0" w:rsidP="00EA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D06D4" w14:textId="77777777" w:rsidR="00EA70E8" w:rsidRDefault="00EA70E8" w:rsidP="00040AB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2E3BE7" w14:textId="77777777" w:rsidR="00EA70E8" w:rsidRDefault="00EA70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7CE0F" w14:textId="78F94E47" w:rsidR="00EA70E8" w:rsidRDefault="00EA70E8" w:rsidP="00040AB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30FD">
      <w:rPr>
        <w:rStyle w:val="PageNumber"/>
        <w:noProof/>
      </w:rPr>
      <w:t>2</w:t>
    </w:r>
    <w:r>
      <w:rPr>
        <w:rStyle w:val="PageNumber"/>
      </w:rPr>
      <w:fldChar w:fldCharType="end"/>
    </w:r>
  </w:p>
  <w:p w14:paraId="16FCDE45" w14:textId="77777777" w:rsidR="00EA70E8" w:rsidRDefault="00EA70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1778" w14:textId="77777777" w:rsidR="00EB56A0" w:rsidRDefault="00EB56A0" w:rsidP="00EA70E8">
      <w:pPr>
        <w:spacing w:after="0" w:line="240" w:lineRule="auto"/>
      </w:pPr>
      <w:r>
        <w:separator/>
      </w:r>
    </w:p>
  </w:footnote>
  <w:footnote w:type="continuationSeparator" w:id="0">
    <w:p w14:paraId="75AA308E" w14:textId="77777777" w:rsidR="00EB56A0" w:rsidRDefault="00EB56A0" w:rsidP="00EA70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33277"/>
    <w:multiLevelType w:val="hybridMultilevel"/>
    <w:tmpl w:val="E72C4B08"/>
    <w:lvl w:ilvl="0" w:tplc="B5F4DC82">
      <w:start w:val="7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59"/>
    <w:rsid w:val="000115BC"/>
    <w:rsid w:val="00012594"/>
    <w:rsid w:val="00022B83"/>
    <w:rsid w:val="0002538E"/>
    <w:rsid w:val="00025A93"/>
    <w:rsid w:val="000273DE"/>
    <w:rsid w:val="00027F74"/>
    <w:rsid w:val="00043F8B"/>
    <w:rsid w:val="000519D1"/>
    <w:rsid w:val="00055426"/>
    <w:rsid w:val="0005551E"/>
    <w:rsid w:val="000624AB"/>
    <w:rsid w:val="00063E60"/>
    <w:rsid w:val="000729F5"/>
    <w:rsid w:val="0008252A"/>
    <w:rsid w:val="00082ED6"/>
    <w:rsid w:val="000860B4"/>
    <w:rsid w:val="00087C67"/>
    <w:rsid w:val="000945D9"/>
    <w:rsid w:val="000951AF"/>
    <w:rsid w:val="00097440"/>
    <w:rsid w:val="000A4C8B"/>
    <w:rsid w:val="000B304C"/>
    <w:rsid w:val="000B3BD4"/>
    <w:rsid w:val="000D47D7"/>
    <w:rsid w:val="000D48C7"/>
    <w:rsid w:val="000D4AE3"/>
    <w:rsid w:val="000E01D1"/>
    <w:rsid w:val="000E1190"/>
    <w:rsid w:val="000E2DD7"/>
    <w:rsid w:val="000E3A12"/>
    <w:rsid w:val="000F5AD9"/>
    <w:rsid w:val="000F7F60"/>
    <w:rsid w:val="001129E5"/>
    <w:rsid w:val="001308C7"/>
    <w:rsid w:val="00163DEA"/>
    <w:rsid w:val="001744C5"/>
    <w:rsid w:val="001A052D"/>
    <w:rsid w:val="001A64C2"/>
    <w:rsid w:val="001B7D71"/>
    <w:rsid w:val="001C0DA7"/>
    <w:rsid w:val="001C118C"/>
    <w:rsid w:val="001D40A6"/>
    <w:rsid w:val="001D532D"/>
    <w:rsid w:val="001E33ED"/>
    <w:rsid w:val="001F62B1"/>
    <w:rsid w:val="0021726F"/>
    <w:rsid w:val="00217838"/>
    <w:rsid w:val="00227DD9"/>
    <w:rsid w:val="00232C12"/>
    <w:rsid w:val="00233143"/>
    <w:rsid w:val="00237C86"/>
    <w:rsid w:val="00252759"/>
    <w:rsid w:val="00253CED"/>
    <w:rsid w:val="00254E77"/>
    <w:rsid w:val="00274438"/>
    <w:rsid w:val="00281F30"/>
    <w:rsid w:val="00285E4A"/>
    <w:rsid w:val="00292151"/>
    <w:rsid w:val="002B08E5"/>
    <w:rsid w:val="002C10FC"/>
    <w:rsid w:val="002C5931"/>
    <w:rsid w:val="002C7FF9"/>
    <w:rsid w:val="002E398A"/>
    <w:rsid w:val="002E503E"/>
    <w:rsid w:val="002E60AA"/>
    <w:rsid w:val="002F0B4B"/>
    <w:rsid w:val="002F1FA4"/>
    <w:rsid w:val="002F3643"/>
    <w:rsid w:val="002F5BE1"/>
    <w:rsid w:val="003032F8"/>
    <w:rsid w:val="00310088"/>
    <w:rsid w:val="0031540A"/>
    <w:rsid w:val="00335CC2"/>
    <w:rsid w:val="003373AE"/>
    <w:rsid w:val="003473EC"/>
    <w:rsid w:val="00354244"/>
    <w:rsid w:val="0035436C"/>
    <w:rsid w:val="00357680"/>
    <w:rsid w:val="0036648A"/>
    <w:rsid w:val="00373447"/>
    <w:rsid w:val="00381D9C"/>
    <w:rsid w:val="00382791"/>
    <w:rsid w:val="00390962"/>
    <w:rsid w:val="003919C7"/>
    <w:rsid w:val="0039440E"/>
    <w:rsid w:val="003A206A"/>
    <w:rsid w:val="003A55A2"/>
    <w:rsid w:val="003A6417"/>
    <w:rsid w:val="003B31A4"/>
    <w:rsid w:val="003B3BC4"/>
    <w:rsid w:val="003B5043"/>
    <w:rsid w:val="003C3554"/>
    <w:rsid w:val="003C3E85"/>
    <w:rsid w:val="003C519B"/>
    <w:rsid w:val="003C6C7C"/>
    <w:rsid w:val="003D1310"/>
    <w:rsid w:val="003D4086"/>
    <w:rsid w:val="003D4CBF"/>
    <w:rsid w:val="003E09EC"/>
    <w:rsid w:val="003E1BAD"/>
    <w:rsid w:val="003E6222"/>
    <w:rsid w:val="003F69FA"/>
    <w:rsid w:val="00400AC2"/>
    <w:rsid w:val="00400DA4"/>
    <w:rsid w:val="00401D9A"/>
    <w:rsid w:val="00405572"/>
    <w:rsid w:val="00405F09"/>
    <w:rsid w:val="004159E7"/>
    <w:rsid w:val="0042141E"/>
    <w:rsid w:val="0042160D"/>
    <w:rsid w:val="00426335"/>
    <w:rsid w:val="0042656C"/>
    <w:rsid w:val="00427250"/>
    <w:rsid w:val="00427528"/>
    <w:rsid w:val="00441C5F"/>
    <w:rsid w:val="00446257"/>
    <w:rsid w:val="00455BDA"/>
    <w:rsid w:val="00456416"/>
    <w:rsid w:val="0046057C"/>
    <w:rsid w:val="0046455A"/>
    <w:rsid w:val="00465218"/>
    <w:rsid w:val="00472283"/>
    <w:rsid w:val="00477AC7"/>
    <w:rsid w:val="00485FA5"/>
    <w:rsid w:val="00492070"/>
    <w:rsid w:val="004A5EFE"/>
    <w:rsid w:val="004A78A5"/>
    <w:rsid w:val="004B30F8"/>
    <w:rsid w:val="004C1635"/>
    <w:rsid w:val="004F402C"/>
    <w:rsid w:val="004F6A09"/>
    <w:rsid w:val="004F6A2F"/>
    <w:rsid w:val="00504E68"/>
    <w:rsid w:val="00506E47"/>
    <w:rsid w:val="005102C9"/>
    <w:rsid w:val="00516F6F"/>
    <w:rsid w:val="00517564"/>
    <w:rsid w:val="00522476"/>
    <w:rsid w:val="005277DF"/>
    <w:rsid w:val="00530A1C"/>
    <w:rsid w:val="00531704"/>
    <w:rsid w:val="005444C2"/>
    <w:rsid w:val="005569EF"/>
    <w:rsid w:val="0056320F"/>
    <w:rsid w:val="005669D6"/>
    <w:rsid w:val="0057034E"/>
    <w:rsid w:val="005737CC"/>
    <w:rsid w:val="00577521"/>
    <w:rsid w:val="00580FE9"/>
    <w:rsid w:val="005930AB"/>
    <w:rsid w:val="005A5EAF"/>
    <w:rsid w:val="005B1098"/>
    <w:rsid w:val="005B2AB8"/>
    <w:rsid w:val="005B4E1A"/>
    <w:rsid w:val="005B5B3F"/>
    <w:rsid w:val="005B63CC"/>
    <w:rsid w:val="005D2B12"/>
    <w:rsid w:val="005D7DE1"/>
    <w:rsid w:val="005E55E3"/>
    <w:rsid w:val="005F1ED3"/>
    <w:rsid w:val="005F6D89"/>
    <w:rsid w:val="005F724C"/>
    <w:rsid w:val="005F7DE4"/>
    <w:rsid w:val="00614A71"/>
    <w:rsid w:val="00623CB6"/>
    <w:rsid w:val="006251B3"/>
    <w:rsid w:val="0062746A"/>
    <w:rsid w:val="00632C73"/>
    <w:rsid w:val="006334E1"/>
    <w:rsid w:val="006377A3"/>
    <w:rsid w:val="00641708"/>
    <w:rsid w:val="00644663"/>
    <w:rsid w:val="00647F19"/>
    <w:rsid w:val="00647FC0"/>
    <w:rsid w:val="006711FD"/>
    <w:rsid w:val="006756EC"/>
    <w:rsid w:val="00675FBF"/>
    <w:rsid w:val="00676689"/>
    <w:rsid w:val="00685664"/>
    <w:rsid w:val="00687683"/>
    <w:rsid w:val="006A3019"/>
    <w:rsid w:val="006A31E9"/>
    <w:rsid w:val="006A6F81"/>
    <w:rsid w:val="006B59A4"/>
    <w:rsid w:val="006B7E48"/>
    <w:rsid w:val="006C6ECF"/>
    <w:rsid w:val="006C6F51"/>
    <w:rsid w:val="006D0F2D"/>
    <w:rsid w:val="006D22F2"/>
    <w:rsid w:val="006D2AA3"/>
    <w:rsid w:val="006D6223"/>
    <w:rsid w:val="006D7999"/>
    <w:rsid w:val="006E3FC8"/>
    <w:rsid w:val="006F12E5"/>
    <w:rsid w:val="006F1775"/>
    <w:rsid w:val="007016D6"/>
    <w:rsid w:val="00704552"/>
    <w:rsid w:val="00707BD6"/>
    <w:rsid w:val="00710C6D"/>
    <w:rsid w:val="00711A4A"/>
    <w:rsid w:val="0071624C"/>
    <w:rsid w:val="007204D9"/>
    <w:rsid w:val="0072324F"/>
    <w:rsid w:val="00734069"/>
    <w:rsid w:val="007377F1"/>
    <w:rsid w:val="00753469"/>
    <w:rsid w:val="007536D8"/>
    <w:rsid w:val="00756F68"/>
    <w:rsid w:val="00757944"/>
    <w:rsid w:val="00772F0D"/>
    <w:rsid w:val="00784450"/>
    <w:rsid w:val="00786E4D"/>
    <w:rsid w:val="0078740C"/>
    <w:rsid w:val="0079208B"/>
    <w:rsid w:val="007A0BE4"/>
    <w:rsid w:val="007B2B1A"/>
    <w:rsid w:val="007B6288"/>
    <w:rsid w:val="007C77DD"/>
    <w:rsid w:val="007C7E59"/>
    <w:rsid w:val="007D154E"/>
    <w:rsid w:val="007D5C79"/>
    <w:rsid w:val="007D6AE6"/>
    <w:rsid w:val="007E3E83"/>
    <w:rsid w:val="007F3432"/>
    <w:rsid w:val="008041E3"/>
    <w:rsid w:val="008057BC"/>
    <w:rsid w:val="00812528"/>
    <w:rsid w:val="00822C87"/>
    <w:rsid w:val="00824B0A"/>
    <w:rsid w:val="0082681A"/>
    <w:rsid w:val="00830855"/>
    <w:rsid w:val="008353D9"/>
    <w:rsid w:val="008356B7"/>
    <w:rsid w:val="0083733E"/>
    <w:rsid w:val="0084320C"/>
    <w:rsid w:val="00843E6B"/>
    <w:rsid w:val="00851284"/>
    <w:rsid w:val="00851322"/>
    <w:rsid w:val="00854995"/>
    <w:rsid w:val="008572E4"/>
    <w:rsid w:val="008578E7"/>
    <w:rsid w:val="00860520"/>
    <w:rsid w:val="00866704"/>
    <w:rsid w:val="00870902"/>
    <w:rsid w:val="00887A94"/>
    <w:rsid w:val="00895713"/>
    <w:rsid w:val="008973B9"/>
    <w:rsid w:val="008A00AE"/>
    <w:rsid w:val="008A06A7"/>
    <w:rsid w:val="008A42B4"/>
    <w:rsid w:val="008A53C6"/>
    <w:rsid w:val="008A76D7"/>
    <w:rsid w:val="008C214A"/>
    <w:rsid w:val="008C2375"/>
    <w:rsid w:val="008C4730"/>
    <w:rsid w:val="008C7665"/>
    <w:rsid w:val="008D165D"/>
    <w:rsid w:val="008E3B13"/>
    <w:rsid w:val="008E3B9E"/>
    <w:rsid w:val="008E4F2A"/>
    <w:rsid w:val="008F4594"/>
    <w:rsid w:val="00926571"/>
    <w:rsid w:val="00931E47"/>
    <w:rsid w:val="0096012D"/>
    <w:rsid w:val="00961B83"/>
    <w:rsid w:val="00961CC5"/>
    <w:rsid w:val="0098713A"/>
    <w:rsid w:val="00990C11"/>
    <w:rsid w:val="009A18CB"/>
    <w:rsid w:val="009A3E0E"/>
    <w:rsid w:val="009A48AF"/>
    <w:rsid w:val="009B2BDD"/>
    <w:rsid w:val="009B4B07"/>
    <w:rsid w:val="009C3084"/>
    <w:rsid w:val="009D2459"/>
    <w:rsid w:val="009E0334"/>
    <w:rsid w:val="009E0D8B"/>
    <w:rsid w:val="009E6F5A"/>
    <w:rsid w:val="00A109EC"/>
    <w:rsid w:val="00A139A1"/>
    <w:rsid w:val="00A235B3"/>
    <w:rsid w:val="00A26CFD"/>
    <w:rsid w:val="00A3174D"/>
    <w:rsid w:val="00A46699"/>
    <w:rsid w:val="00A70E81"/>
    <w:rsid w:val="00A74ED7"/>
    <w:rsid w:val="00A774A5"/>
    <w:rsid w:val="00A77665"/>
    <w:rsid w:val="00A820BA"/>
    <w:rsid w:val="00A879AA"/>
    <w:rsid w:val="00A9592B"/>
    <w:rsid w:val="00A9598E"/>
    <w:rsid w:val="00A9651F"/>
    <w:rsid w:val="00AB2C98"/>
    <w:rsid w:val="00AB2EFD"/>
    <w:rsid w:val="00AB4DEF"/>
    <w:rsid w:val="00AB66A5"/>
    <w:rsid w:val="00AB6E79"/>
    <w:rsid w:val="00AD4CC3"/>
    <w:rsid w:val="00AD5C0C"/>
    <w:rsid w:val="00AE1781"/>
    <w:rsid w:val="00AE3F0B"/>
    <w:rsid w:val="00B06795"/>
    <w:rsid w:val="00B12BFC"/>
    <w:rsid w:val="00B168A8"/>
    <w:rsid w:val="00B2485C"/>
    <w:rsid w:val="00B47629"/>
    <w:rsid w:val="00B55444"/>
    <w:rsid w:val="00B615CB"/>
    <w:rsid w:val="00B72323"/>
    <w:rsid w:val="00B77ECC"/>
    <w:rsid w:val="00B83091"/>
    <w:rsid w:val="00B8657A"/>
    <w:rsid w:val="00B9239E"/>
    <w:rsid w:val="00B93274"/>
    <w:rsid w:val="00BA30D8"/>
    <w:rsid w:val="00BB592A"/>
    <w:rsid w:val="00BC03E1"/>
    <w:rsid w:val="00BC230A"/>
    <w:rsid w:val="00BC3034"/>
    <w:rsid w:val="00BD613C"/>
    <w:rsid w:val="00BD6385"/>
    <w:rsid w:val="00BE0538"/>
    <w:rsid w:val="00BE1811"/>
    <w:rsid w:val="00BF0286"/>
    <w:rsid w:val="00C02EF2"/>
    <w:rsid w:val="00C11221"/>
    <w:rsid w:val="00C43E9F"/>
    <w:rsid w:val="00C452A0"/>
    <w:rsid w:val="00C472DD"/>
    <w:rsid w:val="00C63DF1"/>
    <w:rsid w:val="00C6549C"/>
    <w:rsid w:val="00C65944"/>
    <w:rsid w:val="00C86051"/>
    <w:rsid w:val="00C92690"/>
    <w:rsid w:val="00CA0E6B"/>
    <w:rsid w:val="00CB5837"/>
    <w:rsid w:val="00CC3FEF"/>
    <w:rsid w:val="00CC6B85"/>
    <w:rsid w:val="00CD2A45"/>
    <w:rsid w:val="00CD454D"/>
    <w:rsid w:val="00CE2B4F"/>
    <w:rsid w:val="00CE7A9D"/>
    <w:rsid w:val="00CF30FD"/>
    <w:rsid w:val="00D007F5"/>
    <w:rsid w:val="00D01B6C"/>
    <w:rsid w:val="00D03457"/>
    <w:rsid w:val="00D03FB5"/>
    <w:rsid w:val="00D04328"/>
    <w:rsid w:val="00D12C9A"/>
    <w:rsid w:val="00D25900"/>
    <w:rsid w:val="00D36709"/>
    <w:rsid w:val="00D4200B"/>
    <w:rsid w:val="00D43C35"/>
    <w:rsid w:val="00D47BF6"/>
    <w:rsid w:val="00D5392B"/>
    <w:rsid w:val="00D53E0A"/>
    <w:rsid w:val="00D60846"/>
    <w:rsid w:val="00D6332A"/>
    <w:rsid w:val="00D71AF1"/>
    <w:rsid w:val="00D748AD"/>
    <w:rsid w:val="00D903F0"/>
    <w:rsid w:val="00D9247D"/>
    <w:rsid w:val="00D93AA5"/>
    <w:rsid w:val="00DA148C"/>
    <w:rsid w:val="00DA23EF"/>
    <w:rsid w:val="00DA5461"/>
    <w:rsid w:val="00DB4476"/>
    <w:rsid w:val="00DB6B41"/>
    <w:rsid w:val="00DC06F7"/>
    <w:rsid w:val="00DC6866"/>
    <w:rsid w:val="00DC6AEA"/>
    <w:rsid w:val="00DD046A"/>
    <w:rsid w:val="00DD1234"/>
    <w:rsid w:val="00DD198D"/>
    <w:rsid w:val="00DD3BB2"/>
    <w:rsid w:val="00DD74A0"/>
    <w:rsid w:val="00DF4502"/>
    <w:rsid w:val="00E06EA2"/>
    <w:rsid w:val="00E17D6A"/>
    <w:rsid w:val="00E303FA"/>
    <w:rsid w:val="00E30CC8"/>
    <w:rsid w:val="00E335B4"/>
    <w:rsid w:val="00E42A2E"/>
    <w:rsid w:val="00E46005"/>
    <w:rsid w:val="00E46AD7"/>
    <w:rsid w:val="00E46D00"/>
    <w:rsid w:val="00E53095"/>
    <w:rsid w:val="00E55A1F"/>
    <w:rsid w:val="00E614D5"/>
    <w:rsid w:val="00E64E6E"/>
    <w:rsid w:val="00E66164"/>
    <w:rsid w:val="00E66A2A"/>
    <w:rsid w:val="00E713BA"/>
    <w:rsid w:val="00E71DF7"/>
    <w:rsid w:val="00E75664"/>
    <w:rsid w:val="00E76A3B"/>
    <w:rsid w:val="00E91C22"/>
    <w:rsid w:val="00E9341A"/>
    <w:rsid w:val="00E952D3"/>
    <w:rsid w:val="00E96FA3"/>
    <w:rsid w:val="00EA1DFF"/>
    <w:rsid w:val="00EA70E8"/>
    <w:rsid w:val="00EB10ED"/>
    <w:rsid w:val="00EB56A0"/>
    <w:rsid w:val="00ED10C8"/>
    <w:rsid w:val="00ED2254"/>
    <w:rsid w:val="00ED66AA"/>
    <w:rsid w:val="00EE368D"/>
    <w:rsid w:val="00EE5BCE"/>
    <w:rsid w:val="00EF0F51"/>
    <w:rsid w:val="00EF6E66"/>
    <w:rsid w:val="00F10E8A"/>
    <w:rsid w:val="00F129EC"/>
    <w:rsid w:val="00F158DA"/>
    <w:rsid w:val="00F20995"/>
    <w:rsid w:val="00F221F6"/>
    <w:rsid w:val="00F35D92"/>
    <w:rsid w:val="00F401CB"/>
    <w:rsid w:val="00F411B2"/>
    <w:rsid w:val="00F47D4F"/>
    <w:rsid w:val="00F537C2"/>
    <w:rsid w:val="00F55567"/>
    <w:rsid w:val="00F56FA7"/>
    <w:rsid w:val="00F60703"/>
    <w:rsid w:val="00F61EE8"/>
    <w:rsid w:val="00F80AAE"/>
    <w:rsid w:val="00F80F4D"/>
    <w:rsid w:val="00F84DEB"/>
    <w:rsid w:val="00F91AF5"/>
    <w:rsid w:val="00F97DE3"/>
    <w:rsid w:val="00FB03D3"/>
    <w:rsid w:val="00FC0EED"/>
    <w:rsid w:val="00FC1A49"/>
    <w:rsid w:val="00FE7ACB"/>
    <w:rsid w:val="00FF38F0"/>
    <w:rsid w:val="00FF5DEC"/>
    <w:rsid w:val="00FF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D78E"/>
  <w15:chartTrackingRefBased/>
  <w15:docId w15:val="{CD70F49C-E5A1-4BCC-8C78-EA083698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221"/>
    <w:pPr>
      <w:ind w:left="720"/>
      <w:contextualSpacing/>
    </w:pPr>
  </w:style>
  <w:style w:type="paragraph" w:styleId="Footer">
    <w:name w:val="footer"/>
    <w:basedOn w:val="Normal"/>
    <w:link w:val="FooterChar"/>
    <w:uiPriority w:val="99"/>
    <w:unhideWhenUsed/>
    <w:rsid w:val="00EA7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0E8"/>
  </w:style>
  <w:style w:type="character" w:styleId="PageNumber">
    <w:name w:val="page number"/>
    <w:basedOn w:val="DefaultParagraphFont"/>
    <w:uiPriority w:val="99"/>
    <w:semiHidden/>
    <w:unhideWhenUsed/>
    <w:rsid w:val="00EA70E8"/>
  </w:style>
  <w:style w:type="character" w:styleId="CommentReference">
    <w:name w:val="annotation reference"/>
    <w:basedOn w:val="DefaultParagraphFont"/>
    <w:uiPriority w:val="99"/>
    <w:semiHidden/>
    <w:unhideWhenUsed/>
    <w:rsid w:val="0056320F"/>
    <w:rPr>
      <w:sz w:val="16"/>
      <w:szCs w:val="16"/>
    </w:rPr>
  </w:style>
  <w:style w:type="paragraph" w:styleId="CommentText">
    <w:name w:val="annotation text"/>
    <w:basedOn w:val="Normal"/>
    <w:link w:val="CommentTextChar"/>
    <w:uiPriority w:val="99"/>
    <w:semiHidden/>
    <w:unhideWhenUsed/>
    <w:rsid w:val="0056320F"/>
    <w:pPr>
      <w:spacing w:line="240" w:lineRule="auto"/>
    </w:pPr>
    <w:rPr>
      <w:sz w:val="20"/>
      <w:szCs w:val="20"/>
    </w:rPr>
  </w:style>
  <w:style w:type="character" w:customStyle="1" w:styleId="CommentTextChar">
    <w:name w:val="Comment Text Char"/>
    <w:basedOn w:val="DefaultParagraphFont"/>
    <w:link w:val="CommentText"/>
    <w:uiPriority w:val="99"/>
    <w:semiHidden/>
    <w:rsid w:val="0056320F"/>
    <w:rPr>
      <w:sz w:val="20"/>
      <w:szCs w:val="20"/>
    </w:rPr>
  </w:style>
  <w:style w:type="paragraph" w:styleId="CommentSubject">
    <w:name w:val="annotation subject"/>
    <w:basedOn w:val="CommentText"/>
    <w:next w:val="CommentText"/>
    <w:link w:val="CommentSubjectChar"/>
    <w:uiPriority w:val="99"/>
    <w:semiHidden/>
    <w:unhideWhenUsed/>
    <w:rsid w:val="0056320F"/>
    <w:rPr>
      <w:b/>
      <w:bCs/>
    </w:rPr>
  </w:style>
  <w:style w:type="character" w:customStyle="1" w:styleId="CommentSubjectChar">
    <w:name w:val="Comment Subject Char"/>
    <w:basedOn w:val="CommentTextChar"/>
    <w:link w:val="CommentSubject"/>
    <w:uiPriority w:val="99"/>
    <w:semiHidden/>
    <w:rsid w:val="0056320F"/>
    <w:rPr>
      <w:b/>
      <w:bCs/>
      <w:sz w:val="20"/>
      <w:szCs w:val="20"/>
    </w:rPr>
  </w:style>
  <w:style w:type="paragraph" w:styleId="BalloonText">
    <w:name w:val="Balloon Text"/>
    <w:basedOn w:val="Normal"/>
    <w:link w:val="BalloonTextChar"/>
    <w:uiPriority w:val="99"/>
    <w:semiHidden/>
    <w:unhideWhenUsed/>
    <w:rsid w:val="0056320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6320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8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3110</Words>
  <Characters>17727</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Lougarre C.</dc:creator>
  <cp:keywords/>
  <dc:description/>
  <cp:lastModifiedBy>Microsoft Office User</cp:lastModifiedBy>
  <cp:revision>4</cp:revision>
  <cp:lastPrinted>2018-08-01T14:24:00Z</cp:lastPrinted>
  <dcterms:created xsi:type="dcterms:W3CDTF">2018-10-01T10:07:00Z</dcterms:created>
  <dcterms:modified xsi:type="dcterms:W3CDTF">2018-10-01T10:23:00Z</dcterms:modified>
</cp:coreProperties>
</file>