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2BD08" w14:textId="77777777" w:rsidR="00004B6A" w:rsidRDefault="00CD4C95" w:rsidP="006908EB">
      <w:pPr>
        <w:spacing w:line="276" w:lineRule="auto"/>
        <w:ind w:right="-631" w:hanging="141"/>
        <w:jc w:val="center"/>
        <w:rPr>
          <w:b/>
          <w:color w:val="000000" w:themeColor="text1"/>
          <w:sz w:val="32"/>
          <w:szCs w:val="32"/>
          <w:u w:val="single"/>
          <w:lang w:val="en-GB"/>
        </w:rPr>
      </w:pPr>
      <w:r w:rsidRPr="00B43E8D">
        <w:rPr>
          <w:b/>
          <w:color w:val="000000" w:themeColor="text1"/>
          <w:sz w:val="32"/>
          <w:szCs w:val="32"/>
          <w:u w:val="single"/>
          <w:lang w:val="en-GB"/>
        </w:rPr>
        <w:t>The protection of</w:t>
      </w:r>
      <w:r w:rsidR="008225A9" w:rsidRPr="00B43E8D">
        <w:rPr>
          <w:b/>
          <w:color w:val="000000" w:themeColor="text1"/>
          <w:sz w:val="32"/>
          <w:szCs w:val="32"/>
          <w:u w:val="single"/>
          <w:lang w:val="en-GB"/>
        </w:rPr>
        <w:t xml:space="preserve"> sexual and reproductive health </w:t>
      </w:r>
    </w:p>
    <w:p w14:paraId="1DD24D2B" w14:textId="6D9AD7D6" w:rsidR="008225A9" w:rsidRPr="00B43E8D" w:rsidRDefault="008225A9" w:rsidP="006908EB">
      <w:pPr>
        <w:spacing w:line="276" w:lineRule="auto"/>
        <w:ind w:right="-631" w:hanging="141"/>
        <w:jc w:val="center"/>
        <w:rPr>
          <w:b/>
          <w:color w:val="000000" w:themeColor="text1"/>
          <w:sz w:val="32"/>
          <w:szCs w:val="32"/>
          <w:u w:val="single"/>
          <w:lang w:val="en-GB"/>
        </w:rPr>
      </w:pPr>
      <w:r w:rsidRPr="00B43E8D">
        <w:rPr>
          <w:b/>
          <w:color w:val="000000" w:themeColor="text1"/>
          <w:sz w:val="32"/>
          <w:szCs w:val="32"/>
          <w:u w:val="single"/>
          <w:lang w:val="en-GB"/>
        </w:rPr>
        <w:t xml:space="preserve">in </w:t>
      </w:r>
      <w:r w:rsidR="00CD4C95" w:rsidRPr="00B43E8D">
        <w:rPr>
          <w:b/>
          <w:color w:val="000000" w:themeColor="text1"/>
          <w:sz w:val="32"/>
          <w:szCs w:val="32"/>
          <w:u w:val="single"/>
          <w:lang w:val="en-GB"/>
        </w:rPr>
        <w:t xml:space="preserve">European </w:t>
      </w:r>
      <w:r w:rsidRPr="00B43E8D">
        <w:rPr>
          <w:b/>
          <w:color w:val="000000" w:themeColor="text1"/>
          <w:sz w:val="32"/>
          <w:szCs w:val="32"/>
          <w:u w:val="single"/>
          <w:lang w:val="en-GB"/>
        </w:rPr>
        <w:t>human rights law</w:t>
      </w:r>
      <w:r w:rsidR="00E113E6" w:rsidRPr="00B43E8D">
        <w:rPr>
          <w:b/>
          <w:color w:val="000000" w:themeColor="text1"/>
          <w:sz w:val="32"/>
          <w:szCs w:val="32"/>
          <w:u w:val="single"/>
          <w:lang w:val="en-GB"/>
        </w:rPr>
        <w:t>:</w:t>
      </w:r>
    </w:p>
    <w:p w14:paraId="093120A3" w14:textId="54B32DB3" w:rsidR="00BD0A06" w:rsidRPr="00B43E8D" w:rsidRDefault="00BD0A06" w:rsidP="006908EB">
      <w:pPr>
        <w:spacing w:line="276" w:lineRule="auto"/>
        <w:ind w:right="-631" w:hanging="141"/>
        <w:jc w:val="center"/>
        <w:rPr>
          <w:b/>
          <w:color w:val="000000" w:themeColor="text1"/>
          <w:sz w:val="32"/>
          <w:szCs w:val="32"/>
          <w:u w:val="single"/>
          <w:lang w:val="en-GB"/>
        </w:rPr>
      </w:pPr>
      <w:r w:rsidRPr="00B43E8D">
        <w:rPr>
          <w:b/>
          <w:color w:val="000000" w:themeColor="text1"/>
          <w:sz w:val="32"/>
          <w:szCs w:val="32"/>
          <w:u w:val="single"/>
          <w:lang w:val="en-GB"/>
        </w:rPr>
        <w:t>Perspectives from the Council of Europe</w:t>
      </w:r>
    </w:p>
    <w:p w14:paraId="78ED0736" w14:textId="77777777" w:rsidR="00BD0A06" w:rsidRPr="00004B6A" w:rsidRDefault="00BD0A06" w:rsidP="006908EB">
      <w:pPr>
        <w:spacing w:line="276" w:lineRule="auto"/>
        <w:ind w:right="-631" w:hanging="141"/>
        <w:jc w:val="center"/>
        <w:rPr>
          <w:color w:val="000000" w:themeColor="text1"/>
          <w:sz w:val="28"/>
          <w:szCs w:val="28"/>
          <w:lang w:val="en-GB"/>
        </w:rPr>
      </w:pPr>
    </w:p>
    <w:p w14:paraId="383523F1" w14:textId="3A3BC2B5" w:rsidR="00004B6A" w:rsidRDefault="00004B6A" w:rsidP="00004B6A">
      <w:pPr>
        <w:spacing w:line="276" w:lineRule="auto"/>
        <w:ind w:right="-631" w:hanging="141"/>
        <w:jc w:val="center"/>
        <w:rPr>
          <w:color w:val="000000" w:themeColor="text1"/>
          <w:sz w:val="28"/>
          <w:szCs w:val="28"/>
          <w:lang w:val="en-GB"/>
        </w:rPr>
      </w:pPr>
      <w:r>
        <w:rPr>
          <w:color w:val="000000" w:themeColor="text1"/>
          <w:sz w:val="28"/>
          <w:szCs w:val="28"/>
          <w:lang w:val="en-GB"/>
        </w:rPr>
        <w:t>Dr Claire Lougarre,</w:t>
      </w:r>
    </w:p>
    <w:p w14:paraId="6857175D" w14:textId="69B0AF23" w:rsidR="00004B6A" w:rsidRPr="00004B6A" w:rsidRDefault="00004B6A" w:rsidP="00004B6A">
      <w:pPr>
        <w:spacing w:line="276" w:lineRule="auto"/>
        <w:ind w:right="-631" w:hanging="141"/>
        <w:jc w:val="center"/>
        <w:rPr>
          <w:color w:val="000000" w:themeColor="text1"/>
          <w:sz w:val="28"/>
          <w:szCs w:val="28"/>
          <w:lang w:val="en-GB"/>
        </w:rPr>
      </w:pPr>
      <w:r>
        <w:rPr>
          <w:color w:val="000000" w:themeColor="text1"/>
          <w:sz w:val="28"/>
          <w:szCs w:val="28"/>
          <w:lang w:val="en-GB"/>
        </w:rPr>
        <w:t>Southampton Law School at University of Southampton</w:t>
      </w:r>
    </w:p>
    <w:p w14:paraId="05B9A5CB" w14:textId="4544EA16" w:rsidR="008225A9" w:rsidRPr="00004B6A" w:rsidRDefault="008225A9" w:rsidP="006908EB">
      <w:pPr>
        <w:spacing w:line="276" w:lineRule="auto"/>
        <w:jc w:val="both"/>
        <w:rPr>
          <w:color w:val="000000" w:themeColor="text1"/>
          <w:sz w:val="28"/>
          <w:szCs w:val="28"/>
          <w:lang w:val="en-GB"/>
        </w:rPr>
      </w:pPr>
    </w:p>
    <w:p w14:paraId="7AD6C66B" w14:textId="06C96746" w:rsidR="00115DD5" w:rsidRPr="0007754D" w:rsidRDefault="00115DD5" w:rsidP="006908EB">
      <w:pPr>
        <w:spacing w:line="276" w:lineRule="auto"/>
        <w:jc w:val="both"/>
        <w:rPr>
          <w:color w:val="000000" w:themeColor="text1"/>
          <w:lang w:val="en-GB"/>
        </w:rPr>
      </w:pPr>
      <w:r w:rsidRPr="0007754D">
        <w:rPr>
          <w:rStyle w:val="Heading1Char"/>
          <w:rFonts w:asciiTheme="minorHAnsi" w:hAnsiTheme="minorHAnsi"/>
          <w:color w:val="000000" w:themeColor="text1"/>
        </w:rPr>
        <w:t>Abstract</w:t>
      </w:r>
    </w:p>
    <w:p w14:paraId="1C86F3DB" w14:textId="77777777" w:rsidR="00115DD5" w:rsidRDefault="00115DD5" w:rsidP="006908EB">
      <w:pPr>
        <w:spacing w:line="276" w:lineRule="auto"/>
        <w:jc w:val="both"/>
        <w:rPr>
          <w:color w:val="000000" w:themeColor="text1"/>
          <w:lang w:val="en-GB"/>
        </w:rPr>
      </w:pPr>
    </w:p>
    <w:p w14:paraId="76E6D642" w14:textId="26A431F4" w:rsidR="00023837" w:rsidRDefault="00023837" w:rsidP="006908EB">
      <w:pPr>
        <w:spacing w:line="276" w:lineRule="auto"/>
        <w:jc w:val="both"/>
        <w:rPr>
          <w:color w:val="000000" w:themeColor="text1"/>
          <w:lang w:val="en-GB"/>
        </w:rPr>
      </w:pPr>
      <w:r>
        <w:rPr>
          <w:color w:val="000000" w:themeColor="text1"/>
          <w:lang w:val="en-GB"/>
        </w:rPr>
        <w:t>T</w:t>
      </w:r>
      <w:r w:rsidR="00004B6A">
        <w:rPr>
          <w:color w:val="000000" w:themeColor="text1"/>
          <w:lang w:val="en-GB"/>
        </w:rPr>
        <w:t>he recent recognition of a ‘right to sexual and reproductive health’</w:t>
      </w:r>
      <w:r w:rsidR="00935C42">
        <w:rPr>
          <w:color w:val="000000" w:themeColor="text1"/>
          <w:lang w:val="en-GB"/>
        </w:rPr>
        <w:t xml:space="preserve"> in human rights law</w:t>
      </w:r>
      <w:r w:rsidR="008109E3">
        <w:rPr>
          <w:color w:val="000000" w:themeColor="text1"/>
          <w:lang w:val="en-GB"/>
        </w:rPr>
        <w:t xml:space="preserve"> and </w:t>
      </w:r>
      <w:r w:rsidR="00881785">
        <w:rPr>
          <w:color w:val="000000" w:themeColor="text1"/>
          <w:lang w:val="en-GB"/>
        </w:rPr>
        <w:t xml:space="preserve">the </w:t>
      </w:r>
      <w:r w:rsidR="0027358F">
        <w:rPr>
          <w:color w:val="000000" w:themeColor="text1"/>
          <w:lang w:val="en-GB"/>
        </w:rPr>
        <w:t>volatility of national</w:t>
      </w:r>
      <w:r w:rsidR="00077B99">
        <w:rPr>
          <w:color w:val="000000" w:themeColor="text1"/>
          <w:lang w:val="en-GB"/>
        </w:rPr>
        <w:t xml:space="preserve"> legal</w:t>
      </w:r>
      <w:r w:rsidR="0027358F">
        <w:rPr>
          <w:color w:val="000000" w:themeColor="text1"/>
          <w:lang w:val="en-GB"/>
        </w:rPr>
        <w:t xml:space="preserve"> safeguards</w:t>
      </w:r>
      <w:r w:rsidR="00077B99">
        <w:rPr>
          <w:color w:val="000000" w:themeColor="text1"/>
          <w:lang w:val="en-GB"/>
        </w:rPr>
        <w:t xml:space="preserve"> on</w:t>
      </w:r>
      <w:r w:rsidR="007C4BF4">
        <w:rPr>
          <w:color w:val="000000" w:themeColor="text1"/>
          <w:lang w:val="en-GB"/>
        </w:rPr>
        <w:t xml:space="preserve"> </w:t>
      </w:r>
      <w:r w:rsidR="00881785">
        <w:rPr>
          <w:color w:val="000000" w:themeColor="text1"/>
          <w:lang w:val="en-GB"/>
        </w:rPr>
        <w:t>such issues</w:t>
      </w:r>
      <w:r w:rsidR="007C4BF4">
        <w:rPr>
          <w:color w:val="000000" w:themeColor="text1"/>
          <w:lang w:val="en-GB"/>
        </w:rPr>
        <w:t xml:space="preserve"> (</w:t>
      </w:r>
      <w:r>
        <w:rPr>
          <w:color w:val="000000" w:themeColor="text1"/>
          <w:lang w:val="en-GB"/>
        </w:rPr>
        <w:t xml:space="preserve">as highlighted by recent events </w:t>
      </w:r>
      <w:r w:rsidR="00881785">
        <w:rPr>
          <w:color w:val="000000" w:themeColor="text1"/>
          <w:lang w:val="en-GB"/>
        </w:rPr>
        <w:t>in Europe</w:t>
      </w:r>
      <w:r w:rsidR="007C4BF4">
        <w:rPr>
          <w:color w:val="000000" w:themeColor="text1"/>
          <w:lang w:val="en-GB"/>
        </w:rPr>
        <w:t>)</w:t>
      </w:r>
      <w:r w:rsidR="00881785">
        <w:rPr>
          <w:color w:val="000000" w:themeColor="text1"/>
          <w:lang w:val="en-GB"/>
        </w:rPr>
        <w:t>,</w:t>
      </w:r>
      <w:r>
        <w:rPr>
          <w:color w:val="000000" w:themeColor="text1"/>
          <w:lang w:val="en-GB"/>
        </w:rPr>
        <w:t xml:space="preserve"> </w:t>
      </w:r>
      <w:r w:rsidR="007C4BF4">
        <w:rPr>
          <w:color w:val="000000" w:themeColor="text1"/>
          <w:lang w:val="en-GB"/>
        </w:rPr>
        <w:t>call</w:t>
      </w:r>
      <w:r>
        <w:rPr>
          <w:color w:val="000000" w:themeColor="text1"/>
          <w:lang w:val="en-GB"/>
        </w:rPr>
        <w:t xml:space="preserve"> for a discussion on how sexual and reproductive health is currently protected in European human rights law. This article will thus, explore whether and how human rights bodies of the Council of Europe protect individuals’ sexual and reproductive health through their monitoring procedures</w:t>
      </w:r>
      <w:r w:rsidR="007C4BF4">
        <w:rPr>
          <w:color w:val="000000" w:themeColor="text1"/>
          <w:lang w:val="en-GB"/>
        </w:rPr>
        <w:t>. It will analyse</w:t>
      </w:r>
      <w:r w:rsidR="00935C42">
        <w:rPr>
          <w:color w:val="000000" w:themeColor="text1"/>
          <w:lang w:val="en-GB"/>
        </w:rPr>
        <w:t xml:space="preserve"> </w:t>
      </w:r>
      <w:r w:rsidR="007C4BF4">
        <w:rPr>
          <w:color w:val="000000" w:themeColor="text1"/>
          <w:lang w:val="en-GB"/>
        </w:rPr>
        <w:t>the</w:t>
      </w:r>
      <w:r w:rsidR="00935C42">
        <w:rPr>
          <w:color w:val="000000" w:themeColor="text1"/>
          <w:lang w:val="en-GB"/>
        </w:rPr>
        <w:t xml:space="preserve"> case-law of the European Court of Human Rights and </w:t>
      </w:r>
      <w:r w:rsidR="00C51694">
        <w:rPr>
          <w:color w:val="000000" w:themeColor="text1"/>
          <w:lang w:val="en-GB"/>
        </w:rPr>
        <w:t xml:space="preserve">that of </w:t>
      </w:r>
      <w:r w:rsidR="00935C42">
        <w:rPr>
          <w:color w:val="000000" w:themeColor="text1"/>
          <w:lang w:val="en-GB"/>
        </w:rPr>
        <w:t>the Euro</w:t>
      </w:r>
      <w:r w:rsidR="007C4BF4">
        <w:rPr>
          <w:color w:val="000000" w:themeColor="text1"/>
          <w:lang w:val="en-GB"/>
        </w:rPr>
        <w:t>pean Committee of Social Rights since 2000</w:t>
      </w:r>
      <w:r w:rsidR="0027358F">
        <w:rPr>
          <w:color w:val="000000" w:themeColor="text1"/>
          <w:lang w:val="en-GB"/>
        </w:rPr>
        <w:t>,</w:t>
      </w:r>
      <w:r w:rsidR="007C4BF4">
        <w:rPr>
          <w:color w:val="000000" w:themeColor="text1"/>
          <w:lang w:val="en-GB"/>
        </w:rPr>
        <w:t xml:space="preserve"> </w:t>
      </w:r>
      <w:r w:rsidR="00C51694">
        <w:rPr>
          <w:color w:val="000000" w:themeColor="text1"/>
          <w:lang w:val="en-GB"/>
        </w:rPr>
        <w:t>to finally</w:t>
      </w:r>
      <w:r w:rsidR="007C4BF4">
        <w:rPr>
          <w:color w:val="000000" w:themeColor="text1"/>
          <w:lang w:val="en-GB"/>
        </w:rPr>
        <w:t xml:space="preserve"> conclude</w:t>
      </w:r>
      <w:r w:rsidR="0027358F">
        <w:rPr>
          <w:color w:val="000000" w:themeColor="text1"/>
          <w:lang w:val="en-GB"/>
        </w:rPr>
        <w:t xml:space="preserve"> whether or not th</w:t>
      </w:r>
      <w:r w:rsidR="00C51694">
        <w:rPr>
          <w:color w:val="000000" w:themeColor="text1"/>
          <w:lang w:val="en-GB"/>
        </w:rPr>
        <w:t>ese</w:t>
      </w:r>
      <w:r w:rsidR="007C4BF4">
        <w:rPr>
          <w:color w:val="000000" w:themeColor="text1"/>
          <w:lang w:val="en-GB"/>
        </w:rPr>
        <w:t xml:space="preserve"> </w:t>
      </w:r>
      <w:r w:rsidR="007C4BF4" w:rsidRPr="0007754D">
        <w:rPr>
          <w:color w:val="000000" w:themeColor="text1"/>
          <w:lang w:val="en-GB"/>
        </w:rPr>
        <w:t xml:space="preserve">indirectly enable the recognition of a right to </w:t>
      </w:r>
      <w:r w:rsidR="0027358F">
        <w:rPr>
          <w:color w:val="000000" w:themeColor="text1"/>
          <w:lang w:val="en-GB"/>
        </w:rPr>
        <w:t xml:space="preserve">sexual and reproductive health </w:t>
      </w:r>
      <w:r w:rsidR="007C4BF4" w:rsidRPr="0007754D">
        <w:rPr>
          <w:color w:val="000000" w:themeColor="text1"/>
          <w:lang w:val="en-GB"/>
        </w:rPr>
        <w:t>in the future</w:t>
      </w:r>
      <w:r w:rsidR="00C51694">
        <w:rPr>
          <w:color w:val="000000" w:themeColor="text1"/>
          <w:lang w:val="en-GB"/>
        </w:rPr>
        <w:t xml:space="preserve"> of the Council of Europe</w:t>
      </w:r>
      <w:r w:rsidR="0027358F">
        <w:rPr>
          <w:color w:val="000000" w:themeColor="text1"/>
          <w:lang w:val="en-GB"/>
        </w:rPr>
        <w:t>.</w:t>
      </w:r>
    </w:p>
    <w:p w14:paraId="193FAD4B" w14:textId="77777777" w:rsidR="008109E3" w:rsidRDefault="008109E3" w:rsidP="006908EB">
      <w:pPr>
        <w:spacing w:line="276" w:lineRule="auto"/>
        <w:jc w:val="both"/>
        <w:rPr>
          <w:color w:val="000000" w:themeColor="text1"/>
          <w:lang w:val="en-GB"/>
        </w:rPr>
      </w:pPr>
    </w:p>
    <w:p w14:paraId="108EC87F" w14:textId="646EB8BD" w:rsidR="00115DD5" w:rsidRPr="0007754D" w:rsidRDefault="00935C42" w:rsidP="006908EB">
      <w:pPr>
        <w:spacing w:line="276" w:lineRule="auto"/>
        <w:jc w:val="both"/>
        <w:rPr>
          <w:color w:val="000000" w:themeColor="text1"/>
          <w:lang w:val="en-GB"/>
        </w:rPr>
      </w:pPr>
      <w:r w:rsidRPr="00935C42">
        <w:rPr>
          <w:b/>
          <w:color w:val="000000" w:themeColor="text1"/>
          <w:lang w:val="en-GB"/>
        </w:rPr>
        <w:t>Key words:</w:t>
      </w:r>
      <w:r>
        <w:rPr>
          <w:color w:val="000000" w:themeColor="text1"/>
          <w:lang w:val="en-GB"/>
        </w:rPr>
        <w:t xml:space="preserve"> sexual and reproductive health, human rights, right to health, Council of Europe, European Court of Human Rights, </w:t>
      </w:r>
      <w:r>
        <w:rPr>
          <w:color w:val="000000" w:themeColor="text1"/>
          <w:lang w:val="en-GB"/>
        </w:rPr>
        <w:t>European Committee of Social Rights</w:t>
      </w:r>
      <w:r>
        <w:rPr>
          <w:color w:val="000000" w:themeColor="text1"/>
          <w:lang w:val="en-GB"/>
        </w:rPr>
        <w:t>.</w:t>
      </w:r>
    </w:p>
    <w:p w14:paraId="241B6071" w14:textId="3D3A186F" w:rsidR="00B96B53" w:rsidRPr="0007754D" w:rsidRDefault="00B96B53" w:rsidP="006908EB">
      <w:pPr>
        <w:pStyle w:val="Heading1"/>
        <w:spacing w:line="276" w:lineRule="auto"/>
        <w:jc w:val="both"/>
        <w:rPr>
          <w:rFonts w:asciiTheme="minorHAnsi" w:hAnsiTheme="minorHAnsi"/>
          <w:color w:val="000000" w:themeColor="text1"/>
          <w:lang w:val="en-GB"/>
        </w:rPr>
      </w:pPr>
      <w:r w:rsidRPr="0007754D">
        <w:rPr>
          <w:rFonts w:asciiTheme="minorHAnsi" w:hAnsiTheme="minorHAnsi"/>
          <w:color w:val="000000" w:themeColor="text1"/>
          <w:lang w:val="en-GB"/>
        </w:rPr>
        <w:t>Introduction</w:t>
      </w:r>
      <w:r w:rsidR="0086084E" w:rsidRPr="0007754D">
        <w:rPr>
          <w:rFonts w:asciiTheme="minorHAnsi" w:hAnsiTheme="minorHAnsi"/>
          <w:color w:val="000000" w:themeColor="text1"/>
          <w:lang w:val="en-GB"/>
        </w:rPr>
        <w:t xml:space="preserve"> </w:t>
      </w:r>
    </w:p>
    <w:p w14:paraId="471FE471" w14:textId="77777777" w:rsidR="009808BD" w:rsidRPr="0007754D" w:rsidRDefault="009808BD" w:rsidP="006908EB">
      <w:pPr>
        <w:spacing w:line="276" w:lineRule="auto"/>
        <w:jc w:val="both"/>
        <w:rPr>
          <w:color w:val="000000" w:themeColor="text1"/>
          <w:lang w:val="en-GB"/>
        </w:rPr>
      </w:pPr>
    </w:p>
    <w:p w14:paraId="1ABFFA98" w14:textId="430D4F3A" w:rsidR="00A902AB" w:rsidRPr="0007754D" w:rsidRDefault="0022697C" w:rsidP="003E7AA7">
      <w:pPr>
        <w:spacing w:line="276" w:lineRule="auto"/>
        <w:jc w:val="both"/>
        <w:rPr>
          <w:color w:val="000000" w:themeColor="text1"/>
          <w:lang w:val="en-GB"/>
        </w:rPr>
      </w:pPr>
      <w:r w:rsidRPr="0007754D">
        <w:rPr>
          <w:color w:val="000000" w:themeColor="text1"/>
          <w:lang w:val="en-GB"/>
        </w:rPr>
        <w:t xml:space="preserve">In recent years, supranational human rights bodies have increasingly recognised a right </w:t>
      </w:r>
      <w:r w:rsidR="00934779" w:rsidRPr="0007754D">
        <w:rPr>
          <w:color w:val="000000" w:themeColor="text1"/>
          <w:lang w:val="en-GB"/>
        </w:rPr>
        <w:t xml:space="preserve">yet </w:t>
      </w:r>
      <w:r w:rsidRPr="0007754D">
        <w:rPr>
          <w:color w:val="000000" w:themeColor="text1"/>
          <w:lang w:val="en-GB"/>
        </w:rPr>
        <w:t>inexistent in treaty law: that to “sexual and reproductive health” (SRH). Whether at the international level in</w:t>
      </w:r>
      <w:r w:rsidR="00B72EC3" w:rsidRPr="0007754D">
        <w:rPr>
          <w:color w:val="000000" w:themeColor="text1"/>
          <w:lang w:val="en-GB"/>
        </w:rPr>
        <w:t xml:space="preserve"> the UN,</w:t>
      </w:r>
      <w:r w:rsidRPr="0007754D">
        <w:rPr>
          <w:rStyle w:val="FootnoteReference"/>
          <w:color w:val="000000" w:themeColor="text1"/>
        </w:rPr>
        <w:footnoteReference w:id="1"/>
      </w:r>
      <w:r w:rsidRPr="0007754D">
        <w:rPr>
          <w:color w:val="000000" w:themeColor="text1"/>
          <w:lang w:val="en-GB"/>
        </w:rPr>
        <w:t xml:space="preserve"> or at the regional level in Africa, the Americas or Europe,</w:t>
      </w:r>
      <w:r w:rsidR="00EA1C4B" w:rsidRPr="0007754D">
        <w:rPr>
          <w:rStyle w:val="FootnoteReference"/>
          <w:color w:val="000000" w:themeColor="text1"/>
        </w:rPr>
        <w:footnoteReference w:id="2"/>
      </w:r>
      <w:r w:rsidRPr="0007754D">
        <w:rPr>
          <w:color w:val="000000" w:themeColor="text1"/>
          <w:lang w:val="en-GB"/>
        </w:rPr>
        <w:t xml:space="preserve"> all </w:t>
      </w:r>
      <w:r w:rsidR="00BD22C0" w:rsidRPr="0007754D">
        <w:rPr>
          <w:color w:val="000000" w:themeColor="text1"/>
          <w:lang w:val="en-GB"/>
        </w:rPr>
        <w:t xml:space="preserve">human rights systems </w:t>
      </w:r>
      <w:r w:rsidR="0092404F" w:rsidRPr="0007754D">
        <w:rPr>
          <w:color w:val="000000" w:themeColor="text1"/>
          <w:lang w:val="en-GB"/>
        </w:rPr>
        <w:t xml:space="preserve">seem to </w:t>
      </w:r>
      <w:r w:rsidRPr="0007754D">
        <w:rPr>
          <w:color w:val="000000" w:themeColor="text1"/>
          <w:lang w:val="en-GB"/>
        </w:rPr>
        <w:t xml:space="preserve">recognise that individuals </w:t>
      </w:r>
      <w:r w:rsidRPr="0007754D">
        <w:rPr>
          <w:color w:val="000000" w:themeColor="text1"/>
          <w:lang w:val="en-GB"/>
        </w:rPr>
        <w:lastRenderedPageBreak/>
        <w:t>are entitled to a right to SRH</w:t>
      </w:r>
      <w:r w:rsidR="00D36EFB" w:rsidRPr="0007754D">
        <w:rPr>
          <w:color w:val="000000" w:themeColor="text1"/>
          <w:lang w:val="en-GB"/>
        </w:rPr>
        <w:t>,</w:t>
      </w:r>
      <w:r w:rsidRPr="0007754D">
        <w:rPr>
          <w:color w:val="000000" w:themeColor="text1"/>
          <w:lang w:val="en-GB"/>
        </w:rPr>
        <w:t xml:space="preserve"> which states ought to realise.</w:t>
      </w:r>
      <w:r w:rsidR="00A258EE" w:rsidRPr="0007754D">
        <w:rPr>
          <w:color w:val="000000" w:themeColor="text1"/>
          <w:lang w:val="en-GB"/>
        </w:rPr>
        <w:t xml:space="preserve"> </w:t>
      </w:r>
      <w:r w:rsidR="008D755E" w:rsidRPr="0007754D">
        <w:rPr>
          <w:color w:val="000000" w:themeColor="text1"/>
          <w:lang w:val="en-GB"/>
        </w:rPr>
        <w:t>The recognition of such a right in human rights law, and its</w:t>
      </w:r>
      <w:r w:rsidR="00A258EE" w:rsidRPr="0007754D">
        <w:rPr>
          <w:color w:val="000000" w:themeColor="text1"/>
          <w:lang w:val="en-GB"/>
        </w:rPr>
        <w:t xml:space="preserve"> consecration in 2016 by the UN Committee on Economic, Social and Cultural Rights, in General Comment No. 22,</w:t>
      </w:r>
      <w:r w:rsidR="008D755E" w:rsidRPr="0007754D">
        <w:rPr>
          <w:color w:val="000000" w:themeColor="text1"/>
          <w:lang w:val="en-GB"/>
        </w:rPr>
        <w:t xml:space="preserve"> comes as no surprise.</w:t>
      </w:r>
      <w:r w:rsidR="00A258EE" w:rsidRPr="0007754D">
        <w:rPr>
          <w:rStyle w:val="FootnoteReference"/>
          <w:color w:val="000000" w:themeColor="text1"/>
        </w:rPr>
        <w:footnoteReference w:id="3"/>
      </w:r>
      <w:r w:rsidR="00A258EE" w:rsidRPr="0007754D">
        <w:rPr>
          <w:color w:val="000000" w:themeColor="text1"/>
          <w:lang w:val="en-GB"/>
        </w:rPr>
        <w:t xml:space="preserve"> </w:t>
      </w:r>
      <w:r w:rsidR="008D755E" w:rsidRPr="0007754D">
        <w:rPr>
          <w:color w:val="000000" w:themeColor="text1"/>
          <w:lang w:val="en-GB"/>
        </w:rPr>
        <w:t>Not only does it</w:t>
      </w:r>
      <w:r w:rsidR="00E21825" w:rsidRPr="0007754D">
        <w:rPr>
          <w:color w:val="000000" w:themeColor="text1"/>
          <w:lang w:val="en-GB"/>
        </w:rPr>
        <w:t xml:space="preserve"> reflects the intersection of two growing sets of rights in this field: reproductive rights and the right to health</w:t>
      </w:r>
      <w:r w:rsidR="00B72EC3" w:rsidRPr="0007754D">
        <w:rPr>
          <w:color w:val="000000" w:themeColor="text1"/>
          <w:lang w:val="en-GB"/>
        </w:rPr>
        <w:t>,</w:t>
      </w:r>
      <w:r w:rsidR="00E21825" w:rsidRPr="0007754D">
        <w:rPr>
          <w:rStyle w:val="FootnoteReference"/>
          <w:color w:val="000000" w:themeColor="text1"/>
        </w:rPr>
        <w:footnoteReference w:id="4"/>
      </w:r>
      <w:r w:rsidR="00B72EC3" w:rsidRPr="0007754D">
        <w:rPr>
          <w:color w:val="000000" w:themeColor="text1"/>
          <w:lang w:val="en-GB"/>
        </w:rPr>
        <w:t xml:space="preserve"> it also</w:t>
      </w:r>
      <w:r w:rsidR="00C83413" w:rsidRPr="0007754D">
        <w:rPr>
          <w:color w:val="000000" w:themeColor="text1"/>
          <w:lang w:val="en-GB"/>
        </w:rPr>
        <w:t xml:space="preserve"> reflect</w:t>
      </w:r>
      <w:r w:rsidR="00B72EC3" w:rsidRPr="0007754D">
        <w:rPr>
          <w:color w:val="000000" w:themeColor="text1"/>
          <w:lang w:val="en-GB"/>
        </w:rPr>
        <w:t>s</w:t>
      </w:r>
      <w:r w:rsidR="00C83413" w:rsidRPr="0007754D">
        <w:rPr>
          <w:color w:val="000000" w:themeColor="text1"/>
          <w:lang w:val="en-GB"/>
        </w:rPr>
        <w:t xml:space="preserve"> the </w:t>
      </w:r>
      <w:r w:rsidR="00046CCC" w:rsidRPr="0007754D">
        <w:rPr>
          <w:color w:val="000000" w:themeColor="text1"/>
          <w:lang w:val="en-GB"/>
        </w:rPr>
        <w:t>importance</w:t>
      </w:r>
      <w:r w:rsidR="00C83413" w:rsidRPr="0007754D">
        <w:rPr>
          <w:color w:val="000000" w:themeColor="text1"/>
          <w:lang w:val="en-GB"/>
        </w:rPr>
        <w:t xml:space="preserve"> of SRH to real</w:t>
      </w:r>
      <w:r w:rsidR="000C1367" w:rsidRPr="0007754D">
        <w:rPr>
          <w:color w:val="000000" w:themeColor="text1"/>
          <w:lang w:val="en-GB"/>
        </w:rPr>
        <w:t>ise human dignity and equality (</w:t>
      </w:r>
      <w:r w:rsidR="00C83413" w:rsidRPr="0007754D">
        <w:rPr>
          <w:color w:val="000000" w:themeColor="text1"/>
          <w:lang w:val="en-GB"/>
        </w:rPr>
        <w:t>cornerstones of human rights law</w:t>
      </w:r>
      <w:r w:rsidR="000C1367" w:rsidRPr="0007754D">
        <w:rPr>
          <w:color w:val="000000" w:themeColor="text1"/>
          <w:lang w:val="en-GB"/>
        </w:rPr>
        <w:t>)</w:t>
      </w:r>
      <w:r w:rsidR="00B72EC3" w:rsidRPr="0007754D">
        <w:rPr>
          <w:color w:val="000000" w:themeColor="text1"/>
          <w:lang w:val="en-GB"/>
        </w:rPr>
        <w:t>.</w:t>
      </w:r>
      <w:r w:rsidR="003E7AA7" w:rsidRPr="0007754D">
        <w:rPr>
          <w:color w:val="000000" w:themeColor="text1"/>
          <w:lang w:val="en-GB"/>
        </w:rPr>
        <w:t xml:space="preserve"> </w:t>
      </w:r>
    </w:p>
    <w:p w14:paraId="49B59AAB" w14:textId="77777777" w:rsidR="00F61D4A" w:rsidRPr="0007754D" w:rsidRDefault="00F61D4A" w:rsidP="00F61D4A">
      <w:pPr>
        <w:spacing w:line="276" w:lineRule="auto"/>
        <w:jc w:val="both"/>
        <w:rPr>
          <w:color w:val="000000" w:themeColor="text1"/>
          <w:lang w:val="en-GB"/>
        </w:rPr>
      </w:pPr>
    </w:p>
    <w:p w14:paraId="4B9F1FB5" w14:textId="4E14B034" w:rsidR="008A45CC" w:rsidRPr="0007754D" w:rsidRDefault="001B3CE9" w:rsidP="00C50D81">
      <w:pPr>
        <w:spacing w:line="276" w:lineRule="auto"/>
        <w:jc w:val="both"/>
        <w:rPr>
          <w:color w:val="000000" w:themeColor="text1"/>
          <w:lang w:val="en-GB"/>
        </w:rPr>
      </w:pPr>
      <w:r w:rsidRPr="0007754D">
        <w:rPr>
          <w:color w:val="000000" w:themeColor="text1"/>
          <w:lang w:val="en-GB"/>
        </w:rPr>
        <w:t xml:space="preserve">However, the recent recognition of a right to SRH calls for closer examination of how SRH is currently protected in human rights </w:t>
      </w:r>
      <w:r w:rsidR="003068A7" w:rsidRPr="0007754D">
        <w:rPr>
          <w:color w:val="000000" w:themeColor="text1"/>
          <w:lang w:val="en-GB"/>
        </w:rPr>
        <w:t>case-</w:t>
      </w:r>
      <w:r w:rsidRPr="0007754D">
        <w:rPr>
          <w:color w:val="000000" w:themeColor="text1"/>
          <w:lang w:val="en-GB"/>
        </w:rPr>
        <w:t xml:space="preserve">law, for its interpretation on paper can only </w:t>
      </w:r>
      <w:r w:rsidR="003068A7" w:rsidRPr="0007754D">
        <w:rPr>
          <w:color w:val="000000" w:themeColor="text1"/>
          <w:lang w:val="en-GB"/>
        </w:rPr>
        <w:t>start becoming</w:t>
      </w:r>
      <w:r w:rsidRPr="0007754D">
        <w:rPr>
          <w:color w:val="000000" w:themeColor="text1"/>
          <w:lang w:val="en-GB"/>
        </w:rPr>
        <w:t xml:space="preserve"> meaningful through </w:t>
      </w:r>
      <w:r w:rsidR="003068A7" w:rsidRPr="0007754D">
        <w:rPr>
          <w:color w:val="000000" w:themeColor="text1"/>
          <w:lang w:val="en-GB"/>
        </w:rPr>
        <w:t>adjudication</w:t>
      </w:r>
      <w:r w:rsidRPr="0007754D">
        <w:rPr>
          <w:color w:val="000000" w:themeColor="text1"/>
          <w:lang w:val="en-GB"/>
        </w:rPr>
        <w:t>. While I will only use the right to SRH to contextualise the protection of SRH in human rights law, its content must first be clarified to delineate the scope of my paper.</w:t>
      </w:r>
      <w:r w:rsidR="00CA121D" w:rsidRPr="0007754D">
        <w:rPr>
          <w:color w:val="000000" w:themeColor="text1"/>
          <w:lang w:val="en-GB"/>
        </w:rPr>
        <w:t xml:space="preserve"> Such a content should be principled and evidence-led to ensure an adequate protection of individuals’ SRH, which necessitates </w:t>
      </w:r>
      <w:r w:rsidR="00F55157" w:rsidRPr="0007754D">
        <w:rPr>
          <w:color w:val="000000" w:themeColor="text1"/>
          <w:lang w:val="en-GB"/>
        </w:rPr>
        <w:t>using</w:t>
      </w:r>
      <w:r w:rsidR="00CA121D" w:rsidRPr="0007754D">
        <w:rPr>
          <w:color w:val="000000" w:themeColor="text1"/>
          <w:lang w:val="en-GB"/>
        </w:rPr>
        <w:t xml:space="preserve"> expertise </w:t>
      </w:r>
      <w:r w:rsidR="00C143CC" w:rsidRPr="0007754D">
        <w:rPr>
          <w:color w:val="000000" w:themeColor="text1"/>
          <w:lang w:val="en-GB"/>
        </w:rPr>
        <w:t xml:space="preserve">from </w:t>
      </w:r>
      <w:r w:rsidR="00CA121D" w:rsidRPr="0007754D">
        <w:rPr>
          <w:color w:val="000000" w:themeColor="text1"/>
          <w:lang w:val="en-GB"/>
        </w:rPr>
        <w:t xml:space="preserve">human rights law </w:t>
      </w:r>
      <w:r w:rsidR="00CA121D" w:rsidRPr="0007754D">
        <w:rPr>
          <w:i/>
          <w:color w:val="000000" w:themeColor="text1"/>
          <w:lang w:val="en-GB"/>
        </w:rPr>
        <w:t xml:space="preserve">and </w:t>
      </w:r>
      <w:r w:rsidR="00CA121D" w:rsidRPr="0007754D">
        <w:rPr>
          <w:color w:val="000000" w:themeColor="text1"/>
          <w:lang w:val="en-GB"/>
        </w:rPr>
        <w:t xml:space="preserve">public health. </w:t>
      </w:r>
      <w:r w:rsidR="00EC60D5" w:rsidRPr="0007754D">
        <w:rPr>
          <w:color w:val="000000" w:themeColor="text1"/>
          <w:lang w:val="en-GB"/>
        </w:rPr>
        <w:t xml:space="preserve">The content of the right to SRH </w:t>
      </w:r>
      <w:r w:rsidR="00CA121D" w:rsidRPr="0007754D">
        <w:rPr>
          <w:color w:val="000000" w:themeColor="text1"/>
          <w:lang w:val="en-GB"/>
        </w:rPr>
        <w:t xml:space="preserve">will thus, </w:t>
      </w:r>
      <w:r w:rsidR="00F55157" w:rsidRPr="0007754D">
        <w:rPr>
          <w:color w:val="000000" w:themeColor="text1"/>
          <w:lang w:val="en-GB"/>
        </w:rPr>
        <w:t xml:space="preserve">rely on concepts identified as key to SRH by </w:t>
      </w:r>
      <w:r w:rsidR="00AE209C" w:rsidRPr="0007754D">
        <w:rPr>
          <w:color w:val="000000" w:themeColor="text1"/>
          <w:lang w:val="en-GB"/>
        </w:rPr>
        <w:t xml:space="preserve">recent </w:t>
      </w:r>
      <w:r w:rsidR="00F55157" w:rsidRPr="0007754D">
        <w:rPr>
          <w:color w:val="000000" w:themeColor="text1"/>
          <w:lang w:val="en-GB"/>
        </w:rPr>
        <w:t xml:space="preserve">landmark documents in each discipline. </w:t>
      </w:r>
      <w:r w:rsidRPr="0007754D">
        <w:rPr>
          <w:color w:val="000000" w:themeColor="text1"/>
          <w:lang w:val="en-GB"/>
        </w:rPr>
        <w:t xml:space="preserve">These are: </w:t>
      </w:r>
      <w:r w:rsidR="00D877DA" w:rsidRPr="0007754D">
        <w:rPr>
          <w:color w:val="000000" w:themeColor="text1"/>
          <w:lang w:val="en-GB"/>
        </w:rPr>
        <w:t xml:space="preserve">the </w:t>
      </w:r>
      <w:r w:rsidR="00AE209C" w:rsidRPr="0007754D">
        <w:rPr>
          <w:color w:val="000000" w:themeColor="text1"/>
          <w:lang w:val="en-GB"/>
        </w:rPr>
        <w:t xml:space="preserve">2016 </w:t>
      </w:r>
      <w:r w:rsidRPr="0007754D">
        <w:rPr>
          <w:color w:val="000000" w:themeColor="text1"/>
          <w:lang w:val="en-GB"/>
        </w:rPr>
        <w:t>General Comment 22 on the right to SRH</w:t>
      </w:r>
      <w:r w:rsidR="00AE209C" w:rsidRPr="0007754D">
        <w:rPr>
          <w:color w:val="000000" w:themeColor="text1"/>
          <w:lang w:val="en-GB"/>
        </w:rPr>
        <w:t xml:space="preserve">, drafted </w:t>
      </w:r>
      <w:r w:rsidRPr="0007754D">
        <w:rPr>
          <w:color w:val="000000" w:themeColor="text1"/>
          <w:lang w:val="en-GB"/>
        </w:rPr>
        <w:t>the UN Committee on Economic, Social and Cultural Rights</w:t>
      </w:r>
      <w:r w:rsidR="00E4386B" w:rsidRPr="0007754D">
        <w:rPr>
          <w:color w:val="000000" w:themeColor="text1"/>
          <w:lang w:val="en-GB"/>
        </w:rPr>
        <w:t xml:space="preserve"> (UNCESCR GC22)</w:t>
      </w:r>
      <w:r w:rsidRPr="0007754D">
        <w:rPr>
          <w:color w:val="000000" w:themeColor="text1"/>
          <w:lang w:val="en-GB"/>
        </w:rPr>
        <w:t>;</w:t>
      </w:r>
      <w:r w:rsidR="00893D91" w:rsidRPr="0007754D">
        <w:rPr>
          <w:rStyle w:val="FootnoteReference"/>
          <w:color w:val="000000" w:themeColor="text1"/>
        </w:rPr>
        <w:footnoteReference w:id="5"/>
      </w:r>
      <w:r w:rsidRPr="0007754D">
        <w:rPr>
          <w:color w:val="000000" w:themeColor="text1"/>
          <w:lang w:val="en-GB"/>
        </w:rPr>
        <w:t xml:space="preserve"> and the</w:t>
      </w:r>
      <w:r w:rsidR="00AE209C" w:rsidRPr="0007754D">
        <w:rPr>
          <w:color w:val="000000" w:themeColor="text1"/>
          <w:lang w:val="en-GB"/>
        </w:rPr>
        <w:t xml:space="preserve"> 2004 </w:t>
      </w:r>
      <w:r w:rsidR="008F4EF6" w:rsidRPr="0007754D">
        <w:rPr>
          <w:color w:val="000000" w:themeColor="text1"/>
          <w:lang w:val="en-GB"/>
        </w:rPr>
        <w:t xml:space="preserve">Reproductive Health Strategy </w:t>
      </w:r>
      <w:r w:rsidRPr="0007754D">
        <w:rPr>
          <w:color w:val="000000" w:themeColor="text1"/>
          <w:lang w:val="en-GB"/>
        </w:rPr>
        <w:t>of the UN World Health Organization</w:t>
      </w:r>
      <w:r w:rsidR="009C5623" w:rsidRPr="0007754D">
        <w:rPr>
          <w:color w:val="000000" w:themeColor="text1"/>
          <w:lang w:val="en-GB"/>
        </w:rPr>
        <w:t>,</w:t>
      </w:r>
      <w:r w:rsidR="004974D6" w:rsidRPr="0007754D">
        <w:rPr>
          <w:rStyle w:val="FootnoteReference"/>
          <w:color w:val="000000" w:themeColor="text1"/>
        </w:rPr>
        <w:footnoteReference w:id="6"/>
      </w:r>
      <w:r w:rsidR="009C5623" w:rsidRPr="0007754D">
        <w:rPr>
          <w:color w:val="000000" w:themeColor="text1"/>
          <w:lang w:val="en-GB"/>
        </w:rPr>
        <w:t xml:space="preserve"> </w:t>
      </w:r>
      <w:r w:rsidR="00D877DA" w:rsidRPr="0007754D">
        <w:rPr>
          <w:color w:val="000000" w:themeColor="text1"/>
          <w:lang w:val="en-GB"/>
        </w:rPr>
        <w:t xml:space="preserve">recently </w:t>
      </w:r>
      <w:r w:rsidR="009C5623" w:rsidRPr="0007754D">
        <w:rPr>
          <w:color w:val="000000" w:themeColor="text1"/>
          <w:lang w:val="en-GB"/>
        </w:rPr>
        <w:t xml:space="preserve">updated by </w:t>
      </w:r>
      <w:r w:rsidR="00AE209C" w:rsidRPr="0007754D">
        <w:rPr>
          <w:color w:val="000000" w:themeColor="text1"/>
          <w:lang w:val="en-GB"/>
        </w:rPr>
        <w:t>the 2018</w:t>
      </w:r>
      <w:r w:rsidR="009C5623" w:rsidRPr="0007754D">
        <w:rPr>
          <w:color w:val="000000" w:themeColor="text1"/>
          <w:lang w:val="en-GB"/>
        </w:rPr>
        <w:t xml:space="preserve"> Guttmacher-Lancet Commission report</w:t>
      </w:r>
      <w:r w:rsidRPr="0007754D">
        <w:rPr>
          <w:color w:val="000000" w:themeColor="text1"/>
          <w:lang w:val="en-GB"/>
        </w:rPr>
        <w:t xml:space="preserve"> </w:t>
      </w:r>
      <w:r w:rsidR="009C5623" w:rsidRPr="0007754D">
        <w:rPr>
          <w:color w:val="000000" w:themeColor="text1"/>
          <w:lang w:val="en-GB"/>
        </w:rPr>
        <w:t xml:space="preserve">on SRH and rights </w:t>
      </w:r>
      <w:r w:rsidRPr="0007754D">
        <w:rPr>
          <w:color w:val="000000" w:themeColor="text1"/>
          <w:lang w:val="en-GB"/>
        </w:rPr>
        <w:t>(</w:t>
      </w:r>
      <w:r w:rsidR="00FC4340" w:rsidRPr="0007754D">
        <w:rPr>
          <w:color w:val="000000" w:themeColor="text1"/>
          <w:lang w:val="en-GB"/>
        </w:rPr>
        <w:t xml:space="preserve">altogether referred to as </w:t>
      </w:r>
      <w:r w:rsidR="00AE209C" w:rsidRPr="0007754D">
        <w:rPr>
          <w:color w:val="000000" w:themeColor="text1"/>
          <w:lang w:val="en-GB"/>
        </w:rPr>
        <w:t xml:space="preserve">‘the </w:t>
      </w:r>
      <w:r w:rsidRPr="0007754D">
        <w:rPr>
          <w:color w:val="000000" w:themeColor="text1"/>
          <w:lang w:val="en-GB"/>
        </w:rPr>
        <w:t>WHO</w:t>
      </w:r>
      <w:r w:rsidR="00E4386B" w:rsidRPr="0007754D">
        <w:rPr>
          <w:color w:val="000000" w:themeColor="text1"/>
          <w:lang w:val="en-GB"/>
        </w:rPr>
        <w:t xml:space="preserve"> strategy</w:t>
      </w:r>
      <w:r w:rsidR="00AE209C" w:rsidRPr="0007754D">
        <w:rPr>
          <w:color w:val="000000" w:themeColor="text1"/>
          <w:lang w:val="en-GB"/>
        </w:rPr>
        <w:t>’</w:t>
      </w:r>
      <w:r w:rsidRPr="0007754D">
        <w:rPr>
          <w:color w:val="000000" w:themeColor="text1"/>
          <w:lang w:val="en-GB"/>
        </w:rPr>
        <w:t>).</w:t>
      </w:r>
      <w:r w:rsidR="004974D6" w:rsidRPr="0007754D">
        <w:rPr>
          <w:rStyle w:val="FootnoteReference"/>
          <w:color w:val="000000" w:themeColor="text1"/>
        </w:rPr>
        <w:footnoteReference w:id="7"/>
      </w:r>
      <w:r w:rsidRPr="0007754D">
        <w:rPr>
          <w:color w:val="000000" w:themeColor="text1"/>
          <w:lang w:val="en-GB"/>
        </w:rPr>
        <w:t xml:space="preserve"> </w:t>
      </w:r>
      <w:r w:rsidR="00E4386B" w:rsidRPr="0007754D">
        <w:rPr>
          <w:color w:val="000000" w:themeColor="text1"/>
          <w:lang w:val="en-GB"/>
        </w:rPr>
        <w:t>UNCESCR GC</w:t>
      </w:r>
      <w:r w:rsidR="008A45CC" w:rsidRPr="0007754D">
        <w:rPr>
          <w:color w:val="000000" w:themeColor="text1"/>
          <w:lang w:val="en-GB"/>
        </w:rPr>
        <w:t xml:space="preserve">22 </w:t>
      </w:r>
      <w:r w:rsidR="00AE209C" w:rsidRPr="0007754D">
        <w:rPr>
          <w:color w:val="000000" w:themeColor="text1"/>
          <w:lang w:val="en-GB"/>
        </w:rPr>
        <w:t>particularly emphasises</w:t>
      </w:r>
      <w:r w:rsidR="006C305B" w:rsidRPr="0007754D">
        <w:rPr>
          <w:color w:val="000000" w:themeColor="text1"/>
          <w:lang w:val="en-GB"/>
        </w:rPr>
        <w:t xml:space="preserve"> the concepts of choice, vulnerability and access</w:t>
      </w:r>
      <w:r w:rsidR="00AE209C" w:rsidRPr="0007754D">
        <w:rPr>
          <w:color w:val="000000" w:themeColor="text1"/>
          <w:lang w:val="en-GB"/>
        </w:rPr>
        <w:t xml:space="preserve"> to care</w:t>
      </w:r>
      <w:r w:rsidR="00E4386B" w:rsidRPr="0007754D">
        <w:rPr>
          <w:color w:val="000000" w:themeColor="text1"/>
          <w:lang w:val="en-GB"/>
        </w:rPr>
        <w:t>,</w:t>
      </w:r>
      <w:r w:rsidR="006C305B" w:rsidRPr="0007754D">
        <w:rPr>
          <w:color w:val="000000" w:themeColor="text1"/>
          <w:lang w:val="en-GB"/>
        </w:rPr>
        <w:t xml:space="preserve"> when defining the right to SRH</w:t>
      </w:r>
      <w:r w:rsidR="00E4386B" w:rsidRPr="0007754D">
        <w:rPr>
          <w:color w:val="000000" w:themeColor="text1"/>
          <w:lang w:val="en-GB"/>
        </w:rPr>
        <w:t>.</w:t>
      </w:r>
      <w:r w:rsidR="00B9321F" w:rsidRPr="0007754D">
        <w:rPr>
          <w:rStyle w:val="FootnoteReference"/>
          <w:color w:val="000000" w:themeColor="text1"/>
        </w:rPr>
        <w:footnoteReference w:id="8"/>
      </w:r>
      <w:r w:rsidR="006C305B" w:rsidRPr="0007754D">
        <w:rPr>
          <w:color w:val="000000" w:themeColor="text1"/>
          <w:lang w:val="en-GB"/>
        </w:rPr>
        <w:t xml:space="preserve"> </w:t>
      </w:r>
      <w:r w:rsidR="008A45CC" w:rsidRPr="0007754D">
        <w:rPr>
          <w:color w:val="000000" w:themeColor="text1"/>
          <w:lang w:val="en-GB"/>
        </w:rPr>
        <w:t xml:space="preserve">Furthermore, the </w:t>
      </w:r>
      <w:r w:rsidR="009E14B5" w:rsidRPr="0007754D">
        <w:rPr>
          <w:color w:val="000000" w:themeColor="text1"/>
          <w:lang w:val="en-GB"/>
        </w:rPr>
        <w:t xml:space="preserve">WHO </w:t>
      </w:r>
      <w:r w:rsidR="00AE209C" w:rsidRPr="0007754D">
        <w:rPr>
          <w:color w:val="000000" w:themeColor="text1"/>
          <w:lang w:val="en-GB"/>
        </w:rPr>
        <w:t>s</w:t>
      </w:r>
      <w:r w:rsidR="00A902AB" w:rsidRPr="0007754D">
        <w:rPr>
          <w:color w:val="000000" w:themeColor="text1"/>
          <w:lang w:val="en-GB"/>
        </w:rPr>
        <w:t xml:space="preserve">trategy </w:t>
      </w:r>
      <w:r w:rsidR="008A45CC" w:rsidRPr="0007754D">
        <w:rPr>
          <w:color w:val="000000" w:themeColor="text1"/>
          <w:lang w:val="en-GB"/>
        </w:rPr>
        <w:t xml:space="preserve">identifies </w:t>
      </w:r>
      <w:r w:rsidR="004702CE" w:rsidRPr="0007754D">
        <w:rPr>
          <w:color w:val="000000" w:themeColor="text1"/>
          <w:lang w:val="en-GB"/>
        </w:rPr>
        <w:t>several</w:t>
      </w:r>
      <w:r w:rsidR="008A45CC" w:rsidRPr="0007754D">
        <w:rPr>
          <w:color w:val="000000" w:themeColor="text1"/>
          <w:lang w:val="en-GB"/>
        </w:rPr>
        <w:t xml:space="preserve"> </w:t>
      </w:r>
      <w:r w:rsidR="00720A9B" w:rsidRPr="0007754D">
        <w:rPr>
          <w:color w:val="000000" w:themeColor="text1"/>
          <w:lang w:val="en-GB"/>
        </w:rPr>
        <w:t>key</w:t>
      </w:r>
      <w:r w:rsidR="00C80449" w:rsidRPr="0007754D">
        <w:rPr>
          <w:color w:val="000000" w:themeColor="text1"/>
          <w:lang w:val="en-GB"/>
        </w:rPr>
        <w:t xml:space="preserve"> </w:t>
      </w:r>
      <w:r w:rsidR="00E4386B" w:rsidRPr="0007754D">
        <w:rPr>
          <w:color w:val="000000" w:themeColor="text1"/>
          <w:lang w:val="en-GB"/>
        </w:rPr>
        <w:t>components</w:t>
      </w:r>
      <w:r w:rsidR="00C80449" w:rsidRPr="0007754D">
        <w:rPr>
          <w:color w:val="000000" w:themeColor="text1"/>
          <w:lang w:val="en-GB"/>
        </w:rPr>
        <w:t xml:space="preserve"> of</w:t>
      </w:r>
      <w:r w:rsidRPr="0007754D">
        <w:rPr>
          <w:color w:val="000000" w:themeColor="text1"/>
          <w:lang w:val="en-GB"/>
        </w:rPr>
        <w:t xml:space="preserve"> SRH</w:t>
      </w:r>
      <w:r w:rsidR="00AE209C" w:rsidRPr="0007754D">
        <w:rPr>
          <w:color w:val="000000" w:themeColor="text1"/>
          <w:lang w:val="en-GB"/>
        </w:rPr>
        <w:t xml:space="preserve"> (in which such concepts may apply)</w:t>
      </w:r>
      <w:r w:rsidR="008A45CC" w:rsidRPr="0007754D">
        <w:rPr>
          <w:color w:val="000000" w:themeColor="text1"/>
          <w:lang w:val="en-GB"/>
        </w:rPr>
        <w:t xml:space="preserve">: </w:t>
      </w:r>
      <w:r w:rsidR="00AE209C" w:rsidRPr="0007754D">
        <w:rPr>
          <w:color w:val="000000" w:themeColor="text1"/>
          <w:lang w:val="en-GB"/>
        </w:rPr>
        <w:t>maternal and new-born</w:t>
      </w:r>
      <w:r w:rsidR="00874A06" w:rsidRPr="0007754D">
        <w:rPr>
          <w:color w:val="000000" w:themeColor="text1"/>
          <w:lang w:val="en-GB"/>
        </w:rPr>
        <w:t xml:space="preserve"> </w:t>
      </w:r>
      <w:r w:rsidR="005E1193" w:rsidRPr="0007754D">
        <w:rPr>
          <w:color w:val="000000" w:themeColor="text1"/>
          <w:lang w:val="en-GB"/>
        </w:rPr>
        <w:t>health services</w:t>
      </w:r>
      <w:r w:rsidR="00AE209C" w:rsidRPr="0007754D">
        <w:rPr>
          <w:color w:val="000000" w:themeColor="text1"/>
          <w:lang w:val="en-GB"/>
        </w:rPr>
        <w:t xml:space="preserve">; family planning services; </w:t>
      </w:r>
      <w:r w:rsidR="00874A06" w:rsidRPr="0007754D">
        <w:rPr>
          <w:color w:val="000000" w:themeColor="text1"/>
          <w:lang w:val="en-GB"/>
        </w:rPr>
        <w:t xml:space="preserve">safe abortion </w:t>
      </w:r>
      <w:r w:rsidR="0012074F" w:rsidRPr="0007754D">
        <w:rPr>
          <w:color w:val="000000" w:themeColor="text1"/>
          <w:lang w:val="en-GB"/>
        </w:rPr>
        <w:t>services; prevention and treatment of</w:t>
      </w:r>
      <w:r w:rsidR="00874A06" w:rsidRPr="0007754D">
        <w:rPr>
          <w:color w:val="000000" w:themeColor="text1"/>
          <w:lang w:val="en-GB"/>
        </w:rPr>
        <w:t xml:space="preserve"> sexually transmitted infections and reproductive cancers; </w:t>
      </w:r>
      <w:r w:rsidR="00AE209C" w:rsidRPr="0007754D">
        <w:rPr>
          <w:color w:val="000000" w:themeColor="text1"/>
          <w:lang w:val="en-GB"/>
        </w:rPr>
        <w:t xml:space="preserve">and </w:t>
      </w:r>
      <w:r w:rsidR="00874A06" w:rsidRPr="0007754D">
        <w:rPr>
          <w:color w:val="000000" w:themeColor="text1"/>
          <w:lang w:val="en-GB"/>
        </w:rPr>
        <w:t>promotion of sexual health</w:t>
      </w:r>
      <w:r w:rsidR="008A45CC" w:rsidRPr="0007754D">
        <w:rPr>
          <w:color w:val="000000" w:themeColor="text1"/>
          <w:lang w:val="en-GB"/>
        </w:rPr>
        <w:t>.</w:t>
      </w:r>
      <w:r w:rsidR="008A45CC" w:rsidRPr="0007754D">
        <w:rPr>
          <w:rStyle w:val="FootnoteReference"/>
          <w:color w:val="000000" w:themeColor="text1"/>
        </w:rPr>
        <w:footnoteReference w:id="9"/>
      </w:r>
      <w:r w:rsidR="00855508" w:rsidRPr="0007754D">
        <w:rPr>
          <w:color w:val="000000" w:themeColor="text1"/>
          <w:lang w:val="en-GB"/>
        </w:rPr>
        <w:t xml:space="preserve"> </w:t>
      </w:r>
      <w:r w:rsidR="0012074F" w:rsidRPr="0007754D">
        <w:rPr>
          <w:color w:val="000000" w:themeColor="text1"/>
          <w:lang w:val="en-GB"/>
        </w:rPr>
        <w:t>As a result, t</w:t>
      </w:r>
      <w:r w:rsidR="00855508" w:rsidRPr="0007754D">
        <w:rPr>
          <w:color w:val="000000" w:themeColor="text1"/>
          <w:lang w:val="en-GB"/>
        </w:rPr>
        <w:t xml:space="preserve">his article understands the right to SRH as </w:t>
      </w:r>
      <w:r w:rsidR="00A6336E" w:rsidRPr="0007754D">
        <w:rPr>
          <w:color w:val="000000" w:themeColor="text1"/>
          <w:lang w:val="en-GB"/>
        </w:rPr>
        <w:t>everyone</w:t>
      </w:r>
      <w:r w:rsidR="00855508" w:rsidRPr="0007754D">
        <w:rPr>
          <w:color w:val="000000" w:themeColor="text1"/>
          <w:lang w:val="en-GB"/>
        </w:rPr>
        <w:t>’</w:t>
      </w:r>
      <w:r w:rsidR="00A6336E" w:rsidRPr="0007754D">
        <w:rPr>
          <w:color w:val="000000" w:themeColor="text1"/>
          <w:lang w:val="en-GB"/>
        </w:rPr>
        <w:t>s</w:t>
      </w:r>
      <w:r w:rsidR="00855508" w:rsidRPr="0007754D">
        <w:rPr>
          <w:color w:val="000000" w:themeColor="text1"/>
          <w:lang w:val="en-GB"/>
        </w:rPr>
        <w:t xml:space="preserve"> right to access key SRH services and information </w:t>
      </w:r>
      <w:r w:rsidR="0012074F" w:rsidRPr="0007754D">
        <w:rPr>
          <w:color w:val="000000" w:themeColor="text1"/>
          <w:lang w:val="en-GB"/>
        </w:rPr>
        <w:t xml:space="preserve">that </w:t>
      </w:r>
      <w:r w:rsidR="00855508" w:rsidRPr="0007754D">
        <w:rPr>
          <w:color w:val="000000" w:themeColor="text1"/>
          <w:lang w:val="en-GB"/>
        </w:rPr>
        <w:t xml:space="preserve">facilitate </w:t>
      </w:r>
      <w:r w:rsidR="00A6336E" w:rsidRPr="0007754D">
        <w:rPr>
          <w:color w:val="000000" w:themeColor="text1"/>
          <w:lang w:val="en-GB"/>
        </w:rPr>
        <w:t>their</w:t>
      </w:r>
      <w:r w:rsidR="00855508" w:rsidRPr="0007754D">
        <w:rPr>
          <w:color w:val="000000" w:themeColor="text1"/>
          <w:lang w:val="en-GB"/>
        </w:rPr>
        <w:t xml:space="preserve"> </w:t>
      </w:r>
      <w:r w:rsidR="00A6336E" w:rsidRPr="0007754D">
        <w:rPr>
          <w:color w:val="000000" w:themeColor="text1"/>
          <w:lang w:val="en-GB"/>
        </w:rPr>
        <w:t>ability</w:t>
      </w:r>
      <w:r w:rsidR="00855508" w:rsidRPr="0007754D">
        <w:rPr>
          <w:color w:val="000000" w:themeColor="text1"/>
          <w:lang w:val="en-GB"/>
        </w:rPr>
        <w:t xml:space="preserve"> to make </w:t>
      </w:r>
      <w:r w:rsidR="005A1E31" w:rsidRPr="0007754D">
        <w:rPr>
          <w:color w:val="000000" w:themeColor="text1"/>
          <w:lang w:val="en-GB"/>
        </w:rPr>
        <w:t xml:space="preserve">free </w:t>
      </w:r>
      <w:r w:rsidR="00855508" w:rsidRPr="0007754D">
        <w:rPr>
          <w:color w:val="000000" w:themeColor="text1"/>
          <w:lang w:val="en-GB"/>
        </w:rPr>
        <w:t>choices over their SRH.</w:t>
      </w:r>
      <w:r w:rsidR="00C43A14" w:rsidRPr="0007754D">
        <w:rPr>
          <w:color w:val="000000" w:themeColor="text1"/>
          <w:lang w:val="en-GB"/>
        </w:rPr>
        <w:t xml:space="preserve"> Such</w:t>
      </w:r>
      <w:r w:rsidR="00E45D89" w:rsidRPr="0007754D">
        <w:rPr>
          <w:color w:val="000000" w:themeColor="text1"/>
          <w:lang w:val="en-GB"/>
        </w:rPr>
        <w:t xml:space="preserve"> a</w:t>
      </w:r>
      <w:r w:rsidR="00C43A14" w:rsidRPr="0007754D">
        <w:rPr>
          <w:color w:val="000000" w:themeColor="text1"/>
          <w:lang w:val="en-GB"/>
        </w:rPr>
        <w:t xml:space="preserve"> definition is </w:t>
      </w:r>
      <w:r w:rsidR="00C50D81" w:rsidRPr="0007754D">
        <w:rPr>
          <w:color w:val="000000" w:themeColor="text1"/>
          <w:lang w:val="en-GB"/>
        </w:rPr>
        <w:t xml:space="preserve">narrower </w:t>
      </w:r>
      <w:r w:rsidR="00C43A14" w:rsidRPr="0007754D">
        <w:rPr>
          <w:color w:val="000000" w:themeColor="text1"/>
          <w:lang w:val="en-GB"/>
        </w:rPr>
        <w:t xml:space="preserve">than that attributed to SRH rights, </w:t>
      </w:r>
      <w:r w:rsidR="00E45D89" w:rsidRPr="0007754D">
        <w:rPr>
          <w:color w:val="000000" w:themeColor="text1"/>
          <w:lang w:val="en-GB"/>
        </w:rPr>
        <w:t xml:space="preserve">since </w:t>
      </w:r>
      <w:r w:rsidR="009B1871" w:rsidRPr="0007754D">
        <w:rPr>
          <w:color w:val="000000" w:themeColor="text1"/>
          <w:lang w:val="en-GB"/>
        </w:rPr>
        <w:t>it focuses on</w:t>
      </w:r>
      <w:r w:rsidR="00E45D89" w:rsidRPr="0007754D">
        <w:rPr>
          <w:color w:val="000000" w:themeColor="text1"/>
          <w:lang w:val="en-GB"/>
        </w:rPr>
        <w:t xml:space="preserve"> </w:t>
      </w:r>
      <w:r w:rsidR="009679BF" w:rsidRPr="0007754D">
        <w:rPr>
          <w:color w:val="000000" w:themeColor="text1"/>
          <w:lang w:val="en-GB"/>
        </w:rPr>
        <w:t>access to healthcare, choices, and</w:t>
      </w:r>
      <w:r w:rsidR="00C75D00" w:rsidRPr="0007754D">
        <w:rPr>
          <w:color w:val="000000" w:themeColor="text1"/>
          <w:lang w:val="en-GB"/>
        </w:rPr>
        <w:t xml:space="preserve"> </w:t>
      </w:r>
      <w:r w:rsidR="00A6336E" w:rsidRPr="0007754D">
        <w:rPr>
          <w:color w:val="000000" w:themeColor="text1"/>
          <w:lang w:val="en-GB"/>
        </w:rPr>
        <w:t>vulnerability</w:t>
      </w:r>
      <w:r w:rsidR="00C75D00" w:rsidRPr="0007754D">
        <w:rPr>
          <w:color w:val="000000" w:themeColor="text1"/>
          <w:lang w:val="en-GB"/>
        </w:rPr>
        <w:t xml:space="preserve"> to coercion, violence and discrimination</w:t>
      </w:r>
      <w:r w:rsidR="00C50D81" w:rsidRPr="0007754D">
        <w:rPr>
          <w:color w:val="000000" w:themeColor="text1"/>
          <w:lang w:val="en-GB"/>
        </w:rPr>
        <w:t>. As a result, I will not discuss</w:t>
      </w:r>
      <w:r w:rsidR="009B1871" w:rsidRPr="0007754D">
        <w:rPr>
          <w:color w:val="000000" w:themeColor="text1"/>
          <w:lang w:val="en-GB"/>
        </w:rPr>
        <w:t xml:space="preserve"> discrimination based on</w:t>
      </w:r>
      <w:r w:rsidR="00E624C8" w:rsidRPr="0007754D">
        <w:rPr>
          <w:color w:val="000000" w:themeColor="text1"/>
          <w:lang w:val="en-GB"/>
        </w:rPr>
        <w:t xml:space="preserve"> gender or</w:t>
      </w:r>
      <w:r w:rsidR="009B1871" w:rsidRPr="0007754D">
        <w:rPr>
          <w:color w:val="000000" w:themeColor="text1"/>
          <w:lang w:val="en-GB"/>
        </w:rPr>
        <w:t xml:space="preserve"> sexual orientation </w:t>
      </w:r>
      <w:r w:rsidR="00E7316C" w:rsidRPr="0007754D">
        <w:rPr>
          <w:color w:val="000000" w:themeColor="text1"/>
          <w:lang w:val="en-GB"/>
        </w:rPr>
        <w:t>unless it</w:t>
      </w:r>
      <w:r w:rsidR="00E624C8" w:rsidRPr="0007754D">
        <w:rPr>
          <w:color w:val="000000" w:themeColor="text1"/>
          <w:lang w:val="en-GB"/>
        </w:rPr>
        <w:t xml:space="preserve"> explicitly involves access to healthcare. I will not discuss either </w:t>
      </w:r>
      <w:r w:rsidR="00F0620A" w:rsidRPr="0007754D">
        <w:rPr>
          <w:color w:val="000000" w:themeColor="text1"/>
          <w:lang w:val="en-GB"/>
        </w:rPr>
        <w:t>access to</w:t>
      </w:r>
      <w:r w:rsidR="009B1871" w:rsidRPr="0007754D">
        <w:rPr>
          <w:color w:val="000000" w:themeColor="text1"/>
          <w:lang w:val="en-GB"/>
        </w:rPr>
        <w:t xml:space="preserve"> assisted reproduction</w:t>
      </w:r>
      <w:r w:rsidR="00E7316C" w:rsidRPr="0007754D">
        <w:rPr>
          <w:color w:val="000000" w:themeColor="text1"/>
          <w:lang w:val="en-GB"/>
        </w:rPr>
        <w:t xml:space="preserve"> or surrogacy</w:t>
      </w:r>
      <w:r w:rsidR="009B1871" w:rsidRPr="0007754D">
        <w:rPr>
          <w:color w:val="000000" w:themeColor="text1"/>
          <w:lang w:val="en-GB"/>
        </w:rPr>
        <w:t xml:space="preserve">, </w:t>
      </w:r>
      <w:r w:rsidR="00BB3FA2" w:rsidRPr="0007754D">
        <w:rPr>
          <w:color w:val="000000" w:themeColor="text1"/>
          <w:lang w:val="en-GB"/>
        </w:rPr>
        <w:t>due to space constraints</w:t>
      </w:r>
      <w:r w:rsidR="00E7316C" w:rsidRPr="0007754D">
        <w:rPr>
          <w:color w:val="000000" w:themeColor="text1"/>
          <w:lang w:val="en-GB"/>
        </w:rPr>
        <w:t>.</w:t>
      </w:r>
    </w:p>
    <w:p w14:paraId="0DBA1F45" w14:textId="77777777" w:rsidR="008D755E" w:rsidRPr="0007754D" w:rsidRDefault="008D755E" w:rsidP="006908EB">
      <w:pPr>
        <w:spacing w:line="276" w:lineRule="auto"/>
        <w:jc w:val="both"/>
        <w:rPr>
          <w:color w:val="000000" w:themeColor="text1"/>
          <w:lang w:val="en-GB"/>
        </w:rPr>
      </w:pPr>
    </w:p>
    <w:p w14:paraId="43E38525" w14:textId="7C9053D3" w:rsidR="0017092C" w:rsidRPr="0007754D" w:rsidRDefault="003B42FA" w:rsidP="00B9321F">
      <w:pPr>
        <w:spacing w:line="276" w:lineRule="auto"/>
        <w:jc w:val="both"/>
        <w:rPr>
          <w:color w:val="000000" w:themeColor="text1"/>
          <w:lang w:val="en-GB"/>
        </w:rPr>
      </w:pPr>
      <w:r w:rsidRPr="0007754D">
        <w:rPr>
          <w:color w:val="000000" w:themeColor="text1"/>
          <w:lang w:val="en-GB"/>
        </w:rPr>
        <w:t xml:space="preserve">This research is particularly significant </w:t>
      </w:r>
      <w:r w:rsidR="00C50D81" w:rsidRPr="0007754D">
        <w:rPr>
          <w:color w:val="000000" w:themeColor="text1"/>
          <w:lang w:val="en-GB"/>
        </w:rPr>
        <w:t>because</w:t>
      </w:r>
      <w:r w:rsidRPr="0007754D">
        <w:rPr>
          <w:color w:val="000000" w:themeColor="text1"/>
          <w:lang w:val="en-GB"/>
        </w:rPr>
        <w:t xml:space="preserve"> it focuses on</w:t>
      </w:r>
      <w:r w:rsidR="005962A7" w:rsidRPr="0007754D">
        <w:rPr>
          <w:color w:val="000000" w:themeColor="text1"/>
          <w:lang w:val="en-GB"/>
        </w:rPr>
        <w:t xml:space="preserve"> Europe, where</w:t>
      </w:r>
      <w:r w:rsidR="0003417C" w:rsidRPr="0007754D">
        <w:rPr>
          <w:color w:val="000000" w:themeColor="text1"/>
          <w:lang w:val="en-GB"/>
        </w:rPr>
        <w:t xml:space="preserve"> state</w:t>
      </w:r>
      <w:r w:rsidR="00720A9B" w:rsidRPr="0007754D">
        <w:rPr>
          <w:color w:val="000000" w:themeColor="text1"/>
          <w:lang w:val="en-GB"/>
        </w:rPr>
        <w:t>s’</w:t>
      </w:r>
      <w:r w:rsidR="005962A7" w:rsidRPr="0007754D">
        <w:rPr>
          <w:color w:val="000000" w:themeColor="text1"/>
          <w:lang w:val="en-GB"/>
        </w:rPr>
        <w:t xml:space="preserve"> </w:t>
      </w:r>
      <w:r w:rsidR="009D1991" w:rsidRPr="0007754D">
        <w:rPr>
          <w:color w:val="000000" w:themeColor="text1"/>
          <w:lang w:val="en-GB"/>
        </w:rPr>
        <w:t>protection of individuals’ SRH</w:t>
      </w:r>
      <w:r w:rsidR="005962A7" w:rsidRPr="0007754D">
        <w:rPr>
          <w:color w:val="000000" w:themeColor="text1"/>
          <w:lang w:val="en-GB"/>
        </w:rPr>
        <w:t xml:space="preserve"> is often – wrongly – perceived as a given. </w:t>
      </w:r>
      <w:r w:rsidR="003068A7" w:rsidRPr="0007754D">
        <w:rPr>
          <w:color w:val="000000" w:themeColor="text1"/>
          <w:lang w:val="en-GB"/>
        </w:rPr>
        <w:t>On the contrary, r</w:t>
      </w:r>
      <w:r w:rsidR="005962A7" w:rsidRPr="0007754D">
        <w:rPr>
          <w:color w:val="000000" w:themeColor="text1"/>
          <w:lang w:val="en-GB"/>
        </w:rPr>
        <w:t xml:space="preserve">ecent events </w:t>
      </w:r>
      <w:r w:rsidR="00C50D81" w:rsidRPr="0007754D">
        <w:rPr>
          <w:color w:val="000000" w:themeColor="text1"/>
          <w:lang w:val="en-GB"/>
        </w:rPr>
        <w:t xml:space="preserve">such as the 2018 Irish referendum on abortion </w:t>
      </w:r>
      <w:r w:rsidR="005962A7" w:rsidRPr="0007754D">
        <w:rPr>
          <w:color w:val="000000" w:themeColor="text1"/>
          <w:lang w:val="en-GB"/>
        </w:rPr>
        <w:t>demonstrate that</w:t>
      </w:r>
      <w:r w:rsidR="000F0D17" w:rsidRPr="0007754D">
        <w:rPr>
          <w:color w:val="000000" w:themeColor="text1"/>
          <w:lang w:val="en-GB"/>
        </w:rPr>
        <w:t xml:space="preserve"> the protection of SRH through national policies is uncertain</w:t>
      </w:r>
      <w:r w:rsidR="008109E3">
        <w:rPr>
          <w:color w:val="000000" w:themeColor="text1"/>
          <w:lang w:val="en-GB"/>
        </w:rPr>
        <w:t>,</w:t>
      </w:r>
      <w:r w:rsidR="000F0D17" w:rsidRPr="0007754D">
        <w:rPr>
          <w:color w:val="000000" w:themeColor="text1"/>
          <w:lang w:val="en-GB"/>
        </w:rPr>
        <w:t xml:space="preserve"> in the face of</w:t>
      </w:r>
      <w:r w:rsidR="00855508" w:rsidRPr="0007754D">
        <w:rPr>
          <w:color w:val="000000" w:themeColor="text1"/>
          <w:lang w:val="en-GB"/>
        </w:rPr>
        <w:t xml:space="preserve"> </w:t>
      </w:r>
      <w:r w:rsidR="005962A7" w:rsidRPr="0007754D">
        <w:rPr>
          <w:color w:val="000000" w:themeColor="text1"/>
          <w:lang w:val="en-GB"/>
        </w:rPr>
        <w:t>conservative religious and political movements</w:t>
      </w:r>
      <w:r w:rsidR="009D1991" w:rsidRPr="0007754D">
        <w:rPr>
          <w:color w:val="000000" w:themeColor="text1"/>
          <w:lang w:val="en-GB"/>
        </w:rPr>
        <w:t xml:space="preserve"> in </w:t>
      </w:r>
      <w:r w:rsidR="005A1E31" w:rsidRPr="0007754D">
        <w:rPr>
          <w:color w:val="000000" w:themeColor="text1"/>
          <w:lang w:val="en-GB"/>
        </w:rPr>
        <w:t>power</w:t>
      </w:r>
      <w:r w:rsidR="00720A9B" w:rsidRPr="0007754D">
        <w:rPr>
          <w:color w:val="000000" w:themeColor="text1"/>
          <w:lang w:val="en-GB"/>
        </w:rPr>
        <w:t>.</w:t>
      </w:r>
      <w:r w:rsidR="00720A9B" w:rsidRPr="0007754D">
        <w:rPr>
          <w:rStyle w:val="FootnoteReference"/>
          <w:color w:val="000000" w:themeColor="text1"/>
        </w:rPr>
        <w:footnoteReference w:id="10"/>
      </w:r>
      <w:r w:rsidRPr="0007754D">
        <w:rPr>
          <w:color w:val="000000" w:themeColor="text1"/>
          <w:lang w:val="en-GB"/>
        </w:rPr>
        <w:t xml:space="preserve"> </w:t>
      </w:r>
      <w:r w:rsidR="005962A7" w:rsidRPr="0007754D">
        <w:rPr>
          <w:color w:val="000000" w:themeColor="text1"/>
          <w:lang w:val="en-GB"/>
        </w:rPr>
        <w:t>It is therefore crucial that</w:t>
      </w:r>
      <w:r w:rsidR="0003417C" w:rsidRPr="0007754D">
        <w:rPr>
          <w:color w:val="000000" w:themeColor="text1"/>
          <w:lang w:val="en-GB"/>
        </w:rPr>
        <w:t xml:space="preserve"> human rights law </w:t>
      </w:r>
      <w:r w:rsidR="00720A9B" w:rsidRPr="0007754D">
        <w:rPr>
          <w:color w:val="000000" w:themeColor="text1"/>
          <w:lang w:val="en-GB"/>
        </w:rPr>
        <w:t xml:space="preserve">minimises </w:t>
      </w:r>
      <w:r w:rsidR="0027476F" w:rsidRPr="0007754D">
        <w:rPr>
          <w:color w:val="000000" w:themeColor="text1"/>
          <w:lang w:val="en-GB"/>
        </w:rPr>
        <w:t xml:space="preserve">such </w:t>
      </w:r>
      <w:r w:rsidR="00720A9B" w:rsidRPr="0007754D">
        <w:rPr>
          <w:color w:val="000000" w:themeColor="text1"/>
          <w:lang w:val="en-GB"/>
        </w:rPr>
        <w:t>legal uncertainty, in order to protect everyone’s right to access key SRH services and information, as well as everyone’s autonomy to make free choices over their SRH.</w:t>
      </w:r>
      <w:r w:rsidR="0003417C" w:rsidRPr="0007754D">
        <w:rPr>
          <w:color w:val="000000" w:themeColor="text1"/>
          <w:lang w:val="en-GB"/>
        </w:rPr>
        <w:t xml:space="preserve"> </w:t>
      </w:r>
      <w:r w:rsidRPr="0007754D">
        <w:rPr>
          <w:color w:val="000000" w:themeColor="text1"/>
          <w:lang w:val="en-GB"/>
        </w:rPr>
        <w:t>By analysing to what extent</w:t>
      </w:r>
      <w:r w:rsidR="0003417C" w:rsidRPr="0007754D">
        <w:rPr>
          <w:color w:val="000000" w:themeColor="text1"/>
          <w:lang w:val="en-GB"/>
        </w:rPr>
        <w:t xml:space="preserve"> European human rights </w:t>
      </w:r>
      <w:r w:rsidR="0027476F" w:rsidRPr="0007754D">
        <w:rPr>
          <w:color w:val="000000" w:themeColor="text1"/>
          <w:lang w:val="en-GB"/>
        </w:rPr>
        <w:t>case-</w:t>
      </w:r>
      <w:r w:rsidR="0003417C" w:rsidRPr="0007754D">
        <w:rPr>
          <w:color w:val="000000" w:themeColor="text1"/>
          <w:lang w:val="en-GB"/>
        </w:rPr>
        <w:t>law protects individuals’ SRH</w:t>
      </w:r>
      <w:r w:rsidRPr="0007754D">
        <w:rPr>
          <w:color w:val="000000" w:themeColor="text1"/>
          <w:lang w:val="en-GB"/>
        </w:rPr>
        <w:t xml:space="preserve">, </w:t>
      </w:r>
      <w:r w:rsidR="00720A9B" w:rsidRPr="0007754D">
        <w:rPr>
          <w:color w:val="000000" w:themeColor="text1"/>
          <w:lang w:val="en-GB"/>
        </w:rPr>
        <w:t>this article direct</w:t>
      </w:r>
      <w:r w:rsidR="0027476F" w:rsidRPr="0007754D">
        <w:rPr>
          <w:color w:val="000000" w:themeColor="text1"/>
          <w:lang w:val="en-GB"/>
        </w:rPr>
        <w:t>s</w:t>
      </w:r>
      <w:r w:rsidR="00720A9B" w:rsidRPr="0007754D">
        <w:rPr>
          <w:color w:val="000000" w:themeColor="text1"/>
          <w:lang w:val="en-GB"/>
        </w:rPr>
        <w:t xml:space="preserve"> </w:t>
      </w:r>
      <w:r w:rsidRPr="0007754D">
        <w:rPr>
          <w:color w:val="000000" w:themeColor="text1"/>
          <w:lang w:val="en-GB"/>
        </w:rPr>
        <w:t xml:space="preserve">human rights bodies, </w:t>
      </w:r>
      <w:r w:rsidR="00720A9B" w:rsidRPr="0007754D">
        <w:rPr>
          <w:color w:val="000000" w:themeColor="text1"/>
          <w:lang w:val="en-GB"/>
        </w:rPr>
        <w:t>practitioners</w:t>
      </w:r>
      <w:r w:rsidR="009D46FD" w:rsidRPr="0007754D">
        <w:rPr>
          <w:color w:val="000000" w:themeColor="text1"/>
          <w:lang w:val="en-GB"/>
        </w:rPr>
        <w:t xml:space="preserve"> and victims</w:t>
      </w:r>
      <w:r w:rsidR="00720A9B" w:rsidRPr="0007754D">
        <w:rPr>
          <w:color w:val="000000" w:themeColor="text1"/>
          <w:lang w:val="en-GB"/>
        </w:rPr>
        <w:t xml:space="preserve"> towards </w:t>
      </w:r>
      <w:r w:rsidRPr="0007754D">
        <w:rPr>
          <w:color w:val="000000" w:themeColor="text1"/>
          <w:lang w:val="en-GB"/>
        </w:rPr>
        <w:t xml:space="preserve">avenues </w:t>
      </w:r>
      <w:r w:rsidR="00720A9B" w:rsidRPr="0007754D">
        <w:rPr>
          <w:color w:val="000000" w:themeColor="text1"/>
          <w:lang w:val="en-GB"/>
        </w:rPr>
        <w:t xml:space="preserve">worth considering (or improving on). </w:t>
      </w:r>
    </w:p>
    <w:p w14:paraId="2C3169FF" w14:textId="77777777" w:rsidR="0017092C" w:rsidRPr="0007754D" w:rsidRDefault="0017092C" w:rsidP="00B9321F">
      <w:pPr>
        <w:spacing w:line="276" w:lineRule="auto"/>
        <w:jc w:val="both"/>
        <w:rPr>
          <w:color w:val="000000" w:themeColor="text1"/>
          <w:lang w:val="en-GB"/>
        </w:rPr>
      </w:pPr>
    </w:p>
    <w:p w14:paraId="7C790B29" w14:textId="3583F1F8" w:rsidR="00B9321F" w:rsidRPr="0007754D" w:rsidRDefault="0017092C" w:rsidP="0027476F">
      <w:pPr>
        <w:spacing w:line="276" w:lineRule="auto"/>
        <w:jc w:val="both"/>
        <w:rPr>
          <w:color w:val="000000" w:themeColor="text1"/>
          <w:lang w:val="en-GB"/>
        </w:rPr>
      </w:pPr>
      <w:r w:rsidRPr="0007754D">
        <w:rPr>
          <w:color w:val="000000" w:themeColor="text1"/>
          <w:lang w:val="en-GB"/>
        </w:rPr>
        <w:t>This article</w:t>
      </w:r>
      <w:r w:rsidR="00720A9B" w:rsidRPr="0007754D">
        <w:rPr>
          <w:color w:val="000000" w:themeColor="text1"/>
          <w:lang w:val="en-GB"/>
        </w:rPr>
        <w:t xml:space="preserve"> will </w:t>
      </w:r>
      <w:r w:rsidR="00B9321F" w:rsidRPr="0007754D">
        <w:rPr>
          <w:color w:val="000000" w:themeColor="text1"/>
          <w:lang w:val="en-GB"/>
        </w:rPr>
        <w:t>focus on the key human rights system of the region, i.e. th</w:t>
      </w:r>
      <w:r w:rsidR="009D46FD" w:rsidRPr="0007754D">
        <w:rPr>
          <w:color w:val="000000" w:themeColor="text1"/>
          <w:lang w:val="en-GB"/>
        </w:rPr>
        <w:t>e Council of Europe</w:t>
      </w:r>
      <w:r w:rsidR="00B9321F" w:rsidRPr="0007754D">
        <w:rPr>
          <w:color w:val="000000" w:themeColor="text1"/>
          <w:lang w:val="en-GB"/>
        </w:rPr>
        <w:t xml:space="preserve">, and the two bodies before which SRH matters </w:t>
      </w:r>
      <w:r w:rsidR="00720A9B" w:rsidRPr="0007754D">
        <w:rPr>
          <w:color w:val="000000" w:themeColor="text1"/>
          <w:lang w:val="en-GB"/>
        </w:rPr>
        <w:t>can</w:t>
      </w:r>
      <w:r w:rsidR="00B9321F" w:rsidRPr="0007754D">
        <w:rPr>
          <w:color w:val="000000" w:themeColor="text1"/>
          <w:lang w:val="en-GB"/>
        </w:rPr>
        <w:t xml:space="preserve"> be adjudicated: the European Court of Human Rights (ECtHR) and the European Committee of Social Rights (ECoSR).</w:t>
      </w:r>
      <w:r w:rsidR="0027476F" w:rsidRPr="0007754D">
        <w:rPr>
          <w:color w:val="000000" w:themeColor="text1"/>
          <w:lang w:val="en-GB"/>
        </w:rPr>
        <w:t xml:space="preserve"> First, I</w:t>
      </w:r>
      <w:r w:rsidRPr="0007754D">
        <w:rPr>
          <w:color w:val="000000" w:themeColor="text1"/>
          <w:lang w:val="en-GB"/>
        </w:rPr>
        <w:t xml:space="preserve"> will rigorously assess how</w:t>
      </w:r>
      <w:r w:rsidR="00C43A14" w:rsidRPr="0007754D">
        <w:rPr>
          <w:color w:val="000000" w:themeColor="text1"/>
          <w:lang w:val="en-GB"/>
        </w:rPr>
        <w:t xml:space="preserve"> </w:t>
      </w:r>
      <w:r w:rsidR="00E45D89" w:rsidRPr="0007754D">
        <w:rPr>
          <w:color w:val="000000" w:themeColor="text1"/>
          <w:lang w:val="en-GB"/>
        </w:rPr>
        <w:t xml:space="preserve">individuals’ </w:t>
      </w:r>
      <w:r w:rsidRPr="0007754D">
        <w:rPr>
          <w:color w:val="000000" w:themeColor="text1"/>
          <w:lang w:val="en-GB"/>
        </w:rPr>
        <w:t xml:space="preserve">SRH </w:t>
      </w:r>
      <w:r w:rsidR="00E45D89" w:rsidRPr="0007754D">
        <w:rPr>
          <w:color w:val="000000" w:themeColor="text1"/>
          <w:lang w:val="en-GB"/>
        </w:rPr>
        <w:t xml:space="preserve">is </w:t>
      </w:r>
      <w:r w:rsidR="0027476F" w:rsidRPr="0007754D">
        <w:rPr>
          <w:color w:val="000000" w:themeColor="text1"/>
          <w:lang w:val="en-GB"/>
        </w:rPr>
        <w:t>protected through</w:t>
      </w:r>
      <w:r w:rsidRPr="0007754D">
        <w:rPr>
          <w:color w:val="000000" w:themeColor="text1"/>
          <w:lang w:val="en-GB"/>
        </w:rPr>
        <w:t xml:space="preserve"> the mon</w:t>
      </w:r>
      <w:r w:rsidR="0027476F" w:rsidRPr="0007754D">
        <w:rPr>
          <w:color w:val="000000" w:themeColor="text1"/>
          <w:lang w:val="en-GB"/>
        </w:rPr>
        <w:t>itoring procedure of the ECtHR, by analysing</w:t>
      </w:r>
      <w:r w:rsidR="004203C2" w:rsidRPr="0007754D">
        <w:rPr>
          <w:color w:val="000000" w:themeColor="text1"/>
          <w:lang w:val="en-GB"/>
        </w:rPr>
        <w:t xml:space="preserve"> all the </w:t>
      </w:r>
      <w:r w:rsidR="0027476F" w:rsidRPr="0007754D">
        <w:rPr>
          <w:color w:val="000000" w:themeColor="text1"/>
          <w:lang w:val="en-GB"/>
        </w:rPr>
        <w:t xml:space="preserve">SRH </w:t>
      </w:r>
      <w:r w:rsidR="00E45D89" w:rsidRPr="0007754D">
        <w:rPr>
          <w:color w:val="000000" w:themeColor="text1"/>
          <w:lang w:val="en-GB"/>
        </w:rPr>
        <w:t xml:space="preserve">Merits </w:t>
      </w:r>
      <w:r w:rsidR="003B0A03" w:rsidRPr="0007754D">
        <w:rPr>
          <w:color w:val="000000" w:themeColor="text1"/>
          <w:lang w:val="en-GB"/>
        </w:rPr>
        <w:t>Judgments</w:t>
      </w:r>
      <w:r w:rsidR="00E45D89" w:rsidRPr="0007754D">
        <w:rPr>
          <w:color w:val="000000" w:themeColor="text1"/>
          <w:lang w:val="en-GB"/>
        </w:rPr>
        <w:t xml:space="preserve"> held</w:t>
      </w:r>
      <w:r w:rsidR="004203C2" w:rsidRPr="0007754D">
        <w:rPr>
          <w:color w:val="000000" w:themeColor="text1"/>
          <w:lang w:val="en-GB"/>
        </w:rPr>
        <w:t xml:space="preserve"> by the ECtHR since 2000</w:t>
      </w:r>
      <w:r w:rsidR="00B63AF2" w:rsidRPr="0007754D">
        <w:rPr>
          <w:color w:val="000000" w:themeColor="text1"/>
          <w:lang w:val="en-GB"/>
        </w:rPr>
        <w:t>.</w:t>
      </w:r>
      <w:r w:rsidR="004203C2" w:rsidRPr="0007754D">
        <w:rPr>
          <w:color w:val="000000" w:themeColor="text1"/>
          <w:lang w:val="en-GB"/>
        </w:rPr>
        <w:t xml:space="preserve"> </w:t>
      </w:r>
      <w:r w:rsidR="0027476F" w:rsidRPr="0007754D">
        <w:rPr>
          <w:color w:val="000000" w:themeColor="text1"/>
          <w:lang w:val="en-GB"/>
        </w:rPr>
        <w:t>The</w:t>
      </w:r>
      <w:r w:rsidRPr="0007754D">
        <w:rPr>
          <w:color w:val="000000" w:themeColor="text1"/>
          <w:lang w:val="en-GB"/>
        </w:rPr>
        <w:t xml:space="preserve"> review build</w:t>
      </w:r>
      <w:r w:rsidR="0027476F" w:rsidRPr="0007754D">
        <w:rPr>
          <w:color w:val="000000" w:themeColor="text1"/>
          <w:lang w:val="en-GB"/>
        </w:rPr>
        <w:t>s</w:t>
      </w:r>
      <w:r w:rsidRPr="0007754D">
        <w:rPr>
          <w:color w:val="000000" w:themeColor="text1"/>
          <w:lang w:val="en-GB"/>
        </w:rPr>
        <w:t xml:space="preserve"> upon the</w:t>
      </w:r>
      <w:r w:rsidR="00B63AF2" w:rsidRPr="0007754D">
        <w:rPr>
          <w:color w:val="000000" w:themeColor="text1"/>
          <w:lang w:val="en-GB"/>
        </w:rPr>
        <w:t xml:space="preserve"> recent</w:t>
      </w:r>
      <w:r w:rsidRPr="0007754D">
        <w:rPr>
          <w:color w:val="000000" w:themeColor="text1"/>
          <w:lang w:val="en-GB"/>
        </w:rPr>
        <w:t xml:space="preserve"> findings of Oja and Yamin with regard to the </w:t>
      </w:r>
      <w:r w:rsidR="0027476F" w:rsidRPr="0007754D">
        <w:rPr>
          <w:color w:val="000000" w:themeColor="text1"/>
          <w:lang w:val="en-GB"/>
        </w:rPr>
        <w:t>case-law</w:t>
      </w:r>
      <w:r w:rsidRPr="0007754D">
        <w:rPr>
          <w:color w:val="000000" w:themeColor="text1"/>
          <w:lang w:val="en-GB"/>
        </w:rPr>
        <w:t xml:space="preserve"> of the ECtHR on reproductive rights.</w:t>
      </w:r>
      <w:r w:rsidRPr="0007754D">
        <w:rPr>
          <w:rStyle w:val="FootnoteReference"/>
          <w:color w:val="000000" w:themeColor="text1"/>
        </w:rPr>
        <w:footnoteReference w:id="11"/>
      </w:r>
      <w:r w:rsidR="004203C2" w:rsidRPr="0007754D">
        <w:rPr>
          <w:color w:val="000000" w:themeColor="text1"/>
          <w:lang w:val="en-GB"/>
        </w:rPr>
        <w:t xml:space="preserve"> </w:t>
      </w:r>
      <w:r w:rsidR="0027476F" w:rsidRPr="0007754D">
        <w:rPr>
          <w:color w:val="000000" w:themeColor="text1"/>
          <w:lang w:val="en-GB"/>
        </w:rPr>
        <w:t>Second, I</w:t>
      </w:r>
      <w:r w:rsidR="004203C2" w:rsidRPr="0007754D">
        <w:rPr>
          <w:color w:val="000000" w:themeColor="text1"/>
          <w:lang w:val="en-GB"/>
        </w:rPr>
        <w:t xml:space="preserve"> will analyse all the</w:t>
      </w:r>
      <w:r w:rsidR="00B63AF2" w:rsidRPr="0007754D">
        <w:rPr>
          <w:color w:val="000000" w:themeColor="text1"/>
          <w:lang w:val="en-GB"/>
        </w:rPr>
        <w:t xml:space="preserve"> Conclusions and Merits Decisions formulated</w:t>
      </w:r>
      <w:r w:rsidR="004203C2" w:rsidRPr="0007754D">
        <w:rPr>
          <w:color w:val="000000" w:themeColor="text1"/>
          <w:lang w:val="en-GB"/>
        </w:rPr>
        <w:t xml:space="preserve"> by the ECoSR since 2000</w:t>
      </w:r>
      <w:r w:rsidR="0057172B" w:rsidRPr="0007754D">
        <w:rPr>
          <w:color w:val="000000" w:themeColor="text1"/>
          <w:lang w:val="en-GB"/>
        </w:rPr>
        <w:t xml:space="preserve">. However, </w:t>
      </w:r>
      <w:r w:rsidR="0027476F" w:rsidRPr="0007754D">
        <w:rPr>
          <w:color w:val="000000" w:themeColor="text1"/>
          <w:lang w:val="en-GB"/>
        </w:rPr>
        <w:t>no prior literature is available regarding the SRH jurisprudence of the ECoSR, since this is a novel area of research.</w:t>
      </w:r>
    </w:p>
    <w:p w14:paraId="70ECEF9E" w14:textId="3C31BF91" w:rsidR="00A258EE" w:rsidRPr="0007754D" w:rsidRDefault="00A258EE" w:rsidP="006908EB">
      <w:pPr>
        <w:spacing w:line="276" w:lineRule="auto"/>
        <w:jc w:val="both"/>
        <w:rPr>
          <w:color w:val="000000" w:themeColor="text1"/>
          <w:lang w:val="en-GB"/>
        </w:rPr>
      </w:pPr>
    </w:p>
    <w:p w14:paraId="6F5400A3" w14:textId="3D0D69C3" w:rsidR="00FE4F88" w:rsidRPr="0007754D" w:rsidRDefault="005618B0" w:rsidP="007A3196">
      <w:pPr>
        <w:spacing w:line="276" w:lineRule="auto"/>
        <w:jc w:val="both"/>
        <w:rPr>
          <w:rFonts w:eastAsiaTheme="majorEastAsia" w:cstheme="majorBidi"/>
          <w:b/>
          <w:bCs/>
          <w:color w:val="000000" w:themeColor="text1"/>
          <w:sz w:val="32"/>
          <w:szCs w:val="32"/>
          <w:lang w:val="en-GB"/>
        </w:rPr>
      </w:pPr>
      <w:r w:rsidRPr="0007754D">
        <w:rPr>
          <w:color w:val="000000" w:themeColor="text1"/>
          <w:lang w:val="en-GB"/>
        </w:rPr>
        <w:t>This article</w:t>
      </w:r>
      <w:r w:rsidR="00770EA3" w:rsidRPr="0007754D">
        <w:rPr>
          <w:color w:val="000000" w:themeColor="text1"/>
          <w:lang w:val="en-GB"/>
        </w:rPr>
        <w:t xml:space="preserve"> will also fill</w:t>
      </w:r>
      <w:r w:rsidR="005D5E52" w:rsidRPr="0007754D">
        <w:rPr>
          <w:color w:val="000000" w:themeColor="text1"/>
          <w:lang w:val="en-GB"/>
        </w:rPr>
        <w:t xml:space="preserve"> important gaps left by legal scholarship regard</w:t>
      </w:r>
      <w:r w:rsidRPr="0007754D">
        <w:rPr>
          <w:color w:val="000000" w:themeColor="text1"/>
          <w:lang w:val="en-GB"/>
        </w:rPr>
        <w:t>ing the protection of SRH in European human rights law</w:t>
      </w:r>
      <w:r w:rsidR="007530BC" w:rsidRPr="0007754D">
        <w:rPr>
          <w:color w:val="000000" w:themeColor="text1"/>
          <w:lang w:val="en-GB"/>
        </w:rPr>
        <w:t>, especially in the light of the recent recognition of a</w:t>
      </w:r>
      <w:r w:rsidR="00770EA3" w:rsidRPr="0007754D">
        <w:rPr>
          <w:color w:val="000000" w:themeColor="text1"/>
          <w:lang w:val="en-GB"/>
        </w:rPr>
        <w:t xml:space="preserve"> comprehensive</w:t>
      </w:r>
      <w:r w:rsidR="007530BC" w:rsidRPr="0007754D">
        <w:rPr>
          <w:color w:val="000000" w:themeColor="text1"/>
          <w:lang w:val="en-GB"/>
        </w:rPr>
        <w:t xml:space="preserve"> ‘right to SRH’</w:t>
      </w:r>
      <w:r w:rsidR="005D5E52" w:rsidRPr="0007754D">
        <w:rPr>
          <w:color w:val="000000" w:themeColor="text1"/>
          <w:lang w:val="en-GB"/>
        </w:rPr>
        <w:t>.</w:t>
      </w:r>
      <w:r w:rsidR="00855EDF" w:rsidRPr="0007754D">
        <w:rPr>
          <w:color w:val="000000" w:themeColor="text1"/>
          <w:lang w:val="en-GB"/>
        </w:rPr>
        <w:t xml:space="preserve"> </w:t>
      </w:r>
      <w:r w:rsidR="0027476F" w:rsidRPr="0007754D">
        <w:rPr>
          <w:color w:val="000000" w:themeColor="text1"/>
          <w:lang w:val="en-GB"/>
        </w:rPr>
        <w:t>Research exploring the case-l</w:t>
      </w:r>
      <w:r w:rsidR="00855EDF" w:rsidRPr="0007754D">
        <w:rPr>
          <w:color w:val="000000" w:themeColor="text1"/>
          <w:lang w:val="en-GB"/>
        </w:rPr>
        <w:t>aw of the ECtHR regarding SRH matters tend</w:t>
      </w:r>
      <w:r w:rsidR="0027476F" w:rsidRPr="0007754D">
        <w:rPr>
          <w:color w:val="000000" w:themeColor="text1"/>
          <w:lang w:val="en-GB"/>
        </w:rPr>
        <w:t>s</w:t>
      </w:r>
      <w:r w:rsidR="00855EDF" w:rsidRPr="0007754D">
        <w:rPr>
          <w:color w:val="000000" w:themeColor="text1"/>
          <w:lang w:val="en-GB"/>
        </w:rPr>
        <w:t xml:space="preserve"> to vie</w:t>
      </w:r>
      <w:r w:rsidR="00461CEB" w:rsidRPr="0007754D">
        <w:rPr>
          <w:color w:val="000000" w:themeColor="text1"/>
          <w:lang w:val="en-GB"/>
        </w:rPr>
        <w:t>w each issue in isolation of each</w:t>
      </w:r>
      <w:r w:rsidR="00855EDF" w:rsidRPr="0007754D">
        <w:rPr>
          <w:color w:val="000000" w:themeColor="text1"/>
          <w:lang w:val="en-GB"/>
        </w:rPr>
        <w:t xml:space="preserve"> other</w:t>
      </w:r>
      <w:r w:rsidR="00461CEB" w:rsidRPr="0007754D">
        <w:rPr>
          <w:color w:val="000000" w:themeColor="text1"/>
          <w:lang w:val="en-GB"/>
        </w:rPr>
        <w:t>,</w:t>
      </w:r>
      <w:r w:rsidR="00855EDF" w:rsidRPr="0007754D">
        <w:rPr>
          <w:color w:val="000000" w:themeColor="text1"/>
          <w:lang w:val="en-GB"/>
        </w:rPr>
        <w:t xml:space="preserve"> </w:t>
      </w:r>
      <w:r w:rsidR="00770EA3" w:rsidRPr="0007754D">
        <w:rPr>
          <w:color w:val="000000" w:themeColor="text1"/>
          <w:lang w:val="en-GB"/>
        </w:rPr>
        <w:t>and to focus on abortion</w:t>
      </w:r>
      <w:r w:rsidR="00855EDF" w:rsidRPr="0007754D">
        <w:rPr>
          <w:color w:val="000000" w:themeColor="text1"/>
          <w:lang w:val="en-GB"/>
        </w:rPr>
        <w:t>.</w:t>
      </w:r>
      <w:r w:rsidR="007530BC" w:rsidRPr="0007754D">
        <w:rPr>
          <w:rStyle w:val="FootnoteReference"/>
          <w:color w:val="000000" w:themeColor="text1"/>
        </w:rPr>
        <w:footnoteReference w:id="12"/>
      </w:r>
      <w:r w:rsidR="00855EDF" w:rsidRPr="0007754D">
        <w:rPr>
          <w:color w:val="000000" w:themeColor="text1"/>
          <w:lang w:val="en-GB"/>
        </w:rPr>
        <w:t xml:space="preserve"> Furthermore, no research to date has discussed how the ECoSR protects SRH matters.</w:t>
      </w:r>
      <w:r w:rsidR="00770EA3" w:rsidRPr="0007754D">
        <w:rPr>
          <w:color w:val="000000" w:themeColor="text1"/>
          <w:lang w:val="en-GB"/>
        </w:rPr>
        <w:t xml:space="preserve"> Th</w:t>
      </w:r>
      <w:r w:rsidR="0027476F" w:rsidRPr="0007754D">
        <w:rPr>
          <w:color w:val="000000" w:themeColor="text1"/>
          <w:lang w:val="en-GB"/>
        </w:rPr>
        <w:t>erefore, th</w:t>
      </w:r>
      <w:r w:rsidR="00770EA3" w:rsidRPr="0007754D">
        <w:rPr>
          <w:color w:val="000000" w:themeColor="text1"/>
          <w:lang w:val="en-GB"/>
        </w:rPr>
        <w:t>is article</w:t>
      </w:r>
      <w:r w:rsidR="0027476F" w:rsidRPr="0007754D">
        <w:rPr>
          <w:color w:val="000000" w:themeColor="text1"/>
          <w:lang w:val="en-GB"/>
        </w:rPr>
        <w:t xml:space="preserve"> provides</w:t>
      </w:r>
      <w:r w:rsidR="00770EA3" w:rsidRPr="0007754D">
        <w:rPr>
          <w:color w:val="000000" w:themeColor="text1"/>
          <w:lang w:val="en-GB"/>
        </w:rPr>
        <w:t xml:space="preserve"> </w:t>
      </w:r>
      <w:r w:rsidR="0027476F" w:rsidRPr="0007754D">
        <w:rPr>
          <w:color w:val="000000" w:themeColor="text1"/>
          <w:lang w:val="en-GB"/>
        </w:rPr>
        <w:t>original contributions</w:t>
      </w:r>
      <w:r w:rsidR="00770EA3" w:rsidRPr="0007754D">
        <w:rPr>
          <w:color w:val="000000" w:themeColor="text1"/>
          <w:lang w:val="en-GB"/>
        </w:rPr>
        <w:t xml:space="preserve"> to the existing literature on SRH and human rights.</w:t>
      </w:r>
      <w:r w:rsidRPr="0007754D">
        <w:rPr>
          <w:color w:val="000000" w:themeColor="text1"/>
          <w:lang w:val="en-GB"/>
        </w:rPr>
        <w:t xml:space="preserve"> </w:t>
      </w:r>
      <w:r w:rsidR="004203C2" w:rsidRPr="0007754D">
        <w:rPr>
          <w:color w:val="000000" w:themeColor="text1"/>
          <w:lang w:val="en-GB"/>
        </w:rPr>
        <w:t>By</w:t>
      </w:r>
      <w:r w:rsidR="005B0444" w:rsidRPr="0007754D">
        <w:rPr>
          <w:color w:val="000000" w:themeColor="text1"/>
          <w:lang w:val="en-GB"/>
        </w:rPr>
        <w:t xml:space="preserve"> </w:t>
      </w:r>
      <w:r w:rsidR="005C6427" w:rsidRPr="0007754D">
        <w:rPr>
          <w:color w:val="000000" w:themeColor="text1"/>
          <w:lang w:val="en-GB"/>
        </w:rPr>
        <w:t>ask</w:t>
      </w:r>
      <w:r w:rsidR="004203C2" w:rsidRPr="0007754D">
        <w:rPr>
          <w:color w:val="000000" w:themeColor="text1"/>
          <w:lang w:val="en-GB"/>
        </w:rPr>
        <w:t>ing</w:t>
      </w:r>
      <w:r w:rsidR="005C6427" w:rsidRPr="0007754D">
        <w:rPr>
          <w:color w:val="000000" w:themeColor="text1"/>
          <w:lang w:val="en-GB"/>
        </w:rPr>
        <w:t xml:space="preserve"> whether </w:t>
      </w:r>
      <w:r w:rsidR="00855EDF" w:rsidRPr="0007754D">
        <w:rPr>
          <w:color w:val="000000" w:themeColor="text1"/>
          <w:lang w:val="en-GB"/>
        </w:rPr>
        <w:t xml:space="preserve">the </w:t>
      </w:r>
      <w:r w:rsidR="005C6427" w:rsidRPr="0007754D">
        <w:rPr>
          <w:color w:val="000000" w:themeColor="text1"/>
          <w:lang w:val="en-GB"/>
        </w:rPr>
        <w:t>human rights bodies of the Co</w:t>
      </w:r>
      <w:r w:rsidR="009D46FD" w:rsidRPr="0007754D">
        <w:rPr>
          <w:color w:val="000000" w:themeColor="text1"/>
          <w:lang w:val="en-GB"/>
        </w:rPr>
        <w:t>uncil of Europe</w:t>
      </w:r>
      <w:r w:rsidR="005C6427" w:rsidRPr="0007754D">
        <w:rPr>
          <w:color w:val="000000" w:themeColor="text1"/>
          <w:lang w:val="en-GB"/>
        </w:rPr>
        <w:t xml:space="preserve"> can protect individuals’ SRH adequately</w:t>
      </w:r>
      <w:r w:rsidR="004203C2" w:rsidRPr="0007754D">
        <w:rPr>
          <w:color w:val="000000" w:themeColor="text1"/>
          <w:lang w:val="en-GB"/>
        </w:rPr>
        <w:t xml:space="preserve"> </w:t>
      </w:r>
      <w:r w:rsidR="005C6427" w:rsidRPr="0007754D">
        <w:rPr>
          <w:color w:val="000000" w:themeColor="text1"/>
          <w:lang w:val="en-GB"/>
        </w:rPr>
        <w:t>thro</w:t>
      </w:r>
      <w:r w:rsidR="00855EDF" w:rsidRPr="0007754D">
        <w:rPr>
          <w:color w:val="000000" w:themeColor="text1"/>
          <w:lang w:val="en-GB"/>
        </w:rPr>
        <w:t>ugh their monitoring procedures</w:t>
      </w:r>
      <w:r w:rsidR="004203C2" w:rsidRPr="0007754D">
        <w:rPr>
          <w:color w:val="000000" w:themeColor="text1"/>
          <w:lang w:val="en-GB"/>
        </w:rPr>
        <w:t>, it</w:t>
      </w:r>
      <w:r w:rsidR="005C6427" w:rsidRPr="0007754D">
        <w:rPr>
          <w:color w:val="000000" w:themeColor="text1"/>
          <w:lang w:val="en-GB"/>
        </w:rPr>
        <w:t xml:space="preserve"> </w:t>
      </w:r>
      <w:r w:rsidR="004203C2" w:rsidRPr="0007754D">
        <w:rPr>
          <w:color w:val="000000" w:themeColor="text1"/>
          <w:lang w:val="en-GB"/>
        </w:rPr>
        <w:t xml:space="preserve">will </w:t>
      </w:r>
      <w:r w:rsidR="002C28B8" w:rsidRPr="0007754D">
        <w:rPr>
          <w:color w:val="000000" w:themeColor="text1"/>
          <w:lang w:val="en-GB"/>
        </w:rPr>
        <w:t>conclude</w:t>
      </w:r>
      <w:r w:rsidR="005C6427" w:rsidRPr="0007754D">
        <w:rPr>
          <w:color w:val="000000" w:themeColor="text1"/>
          <w:lang w:val="en-GB"/>
        </w:rPr>
        <w:t xml:space="preserve"> whether they can indirectly enable the recognition of a right to SRH in the future. </w:t>
      </w:r>
      <w:r w:rsidR="00FE4F88" w:rsidRPr="0007754D">
        <w:rPr>
          <w:color w:val="000000" w:themeColor="text1"/>
          <w:lang w:val="en-GB"/>
        </w:rPr>
        <w:br w:type="page"/>
      </w:r>
    </w:p>
    <w:p w14:paraId="1A02D809" w14:textId="6539A3F6" w:rsidR="00433184" w:rsidRPr="0007754D" w:rsidRDefault="00433184" w:rsidP="00433184">
      <w:pPr>
        <w:pStyle w:val="Heading1"/>
        <w:numPr>
          <w:ilvl w:val="0"/>
          <w:numId w:val="29"/>
        </w:numPr>
        <w:spacing w:line="276" w:lineRule="auto"/>
        <w:jc w:val="both"/>
        <w:rPr>
          <w:rFonts w:asciiTheme="minorHAnsi" w:hAnsiTheme="minorHAnsi"/>
          <w:color w:val="000000" w:themeColor="text1"/>
          <w:lang w:val="en-GB"/>
        </w:rPr>
      </w:pPr>
      <w:r w:rsidRPr="0007754D">
        <w:rPr>
          <w:rFonts w:asciiTheme="minorHAnsi" w:hAnsiTheme="minorHAnsi"/>
          <w:color w:val="000000" w:themeColor="text1"/>
          <w:lang w:val="en-GB"/>
        </w:rPr>
        <w:t xml:space="preserve">Attempts of the European Court of Human Rights to protect sexual and reproductive health </w:t>
      </w:r>
    </w:p>
    <w:p w14:paraId="7A2691A1" w14:textId="77777777" w:rsidR="00433184" w:rsidRPr="0007754D" w:rsidRDefault="00433184" w:rsidP="00433184">
      <w:pPr>
        <w:spacing w:line="276" w:lineRule="auto"/>
        <w:jc w:val="both"/>
        <w:rPr>
          <w:color w:val="000000" w:themeColor="text1"/>
          <w:lang w:val="en-GB"/>
        </w:rPr>
      </w:pPr>
    </w:p>
    <w:p w14:paraId="378B2A16" w14:textId="2FCAD534" w:rsidR="00F23216" w:rsidRPr="0007754D" w:rsidRDefault="005E5004" w:rsidP="00B66B91">
      <w:pPr>
        <w:spacing w:line="276" w:lineRule="auto"/>
        <w:jc w:val="both"/>
        <w:rPr>
          <w:color w:val="000000" w:themeColor="text1"/>
          <w:lang w:val="en-GB"/>
        </w:rPr>
      </w:pPr>
      <w:r w:rsidRPr="0007754D">
        <w:rPr>
          <w:color w:val="000000" w:themeColor="text1"/>
          <w:lang w:val="en-GB"/>
        </w:rPr>
        <w:t xml:space="preserve">This section </w:t>
      </w:r>
      <w:r w:rsidR="00F74CF6" w:rsidRPr="0007754D">
        <w:rPr>
          <w:color w:val="000000" w:themeColor="text1"/>
          <w:lang w:val="en-GB"/>
        </w:rPr>
        <w:t>start</w:t>
      </w:r>
      <w:r w:rsidR="00DB0066" w:rsidRPr="0007754D">
        <w:rPr>
          <w:color w:val="000000" w:themeColor="text1"/>
          <w:lang w:val="en-GB"/>
        </w:rPr>
        <w:t>s</w:t>
      </w:r>
      <w:r w:rsidR="00F74CF6" w:rsidRPr="0007754D">
        <w:rPr>
          <w:color w:val="000000" w:themeColor="text1"/>
          <w:lang w:val="en-GB"/>
        </w:rPr>
        <w:t xml:space="preserve"> </w:t>
      </w:r>
      <w:r w:rsidR="00F51987" w:rsidRPr="0007754D">
        <w:rPr>
          <w:color w:val="000000" w:themeColor="text1"/>
          <w:lang w:val="en-GB"/>
        </w:rPr>
        <w:t>to assess</w:t>
      </w:r>
      <w:r w:rsidR="00B66B91" w:rsidRPr="0007754D">
        <w:rPr>
          <w:color w:val="000000" w:themeColor="text1"/>
          <w:lang w:val="en-GB"/>
        </w:rPr>
        <w:t xml:space="preserve"> how European human rights law protects individuals’</w:t>
      </w:r>
      <w:r w:rsidR="00F51987" w:rsidRPr="0007754D">
        <w:rPr>
          <w:color w:val="000000" w:themeColor="text1"/>
          <w:lang w:val="en-GB"/>
        </w:rPr>
        <w:t xml:space="preserve"> SRH</w:t>
      </w:r>
      <w:r w:rsidR="00B66B91" w:rsidRPr="0007754D">
        <w:rPr>
          <w:color w:val="000000" w:themeColor="text1"/>
          <w:lang w:val="en-GB"/>
        </w:rPr>
        <w:t xml:space="preserve"> by studying the potential of the ECtHR to do so </w:t>
      </w:r>
      <w:r w:rsidR="00F51987" w:rsidRPr="0007754D">
        <w:rPr>
          <w:color w:val="000000" w:themeColor="text1"/>
          <w:lang w:val="en-GB"/>
        </w:rPr>
        <w:t>through</w:t>
      </w:r>
      <w:r w:rsidR="00B66B91" w:rsidRPr="0007754D">
        <w:rPr>
          <w:color w:val="000000" w:themeColor="text1"/>
          <w:lang w:val="en-GB"/>
        </w:rPr>
        <w:t xml:space="preserve"> its </w:t>
      </w:r>
      <w:r w:rsidR="002C28B8" w:rsidRPr="0007754D">
        <w:rPr>
          <w:color w:val="000000" w:themeColor="text1"/>
          <w:lang w:val="en-GB"/>
        </w:rPr>
        <w:t>monitoring procedure (i.e. the complaints procedure</w:t>
      </w:r>
      <w:r w:rsidR="00F74CF6" w:rsidRPr="0007754D">
        <w:rPr>
          <w:color w:val="000000" w:themeColor="text1"/>
          <w:lang w:val="en-GB"/>
        </w:rPr>
        <w:t>)</w:t>
      </w:r>
      <w:r w:rsidRPr="0007754D">
        <w:rPr>
          <w:color w:val="000000" w:themeColor="text1"/>
          <w:lang w:val="en-GB"/>
        </w:rPr>
        <w:t>.</w:t>
      </w:r>
      <w:r w:rsidR="007D1CDC" w:rsidRPr="0007754D">
        <w:rPr>
          <w:color w:val="000000" w:themeColor="text1"/>
          <w:lang w:val="en-GB"/>
        </w:rPr>
        <w:t xml:space="preserve"> </w:t>
      </w:r>
      <w:r w:rsidR="00EF3E32" w:rsidRPr="0007754D">
        <w:rPr>
          <w:color w:val="000000" w:themeColor="text1"/>
          <w:lang w:val="en-GB"/>
        </w:rPr>
        <w:t>It is worth noting that t</w:t>
      </w:r>
      <w:r w:rsidR="007D1CDC" w:rsidRPr="0007754D">
        <w:rPr>
          <w:color w:val="000000" w:themeColor="text1"/>
          <w:lang w:val="en-GB"/>
        </w:rPr>
        <w:t>he j</w:t>
      </w:r>
      <w:r w:rsidR="007D1CDC" w:rsidRPr="0007754D">
        <w:rPr>
          <w:rFonts w:hint="eastAsia"/>
          <w:color w:val="000000" w:themeColor="text1"/>
          <w:lang w:val="en-GB"/>
        </w:rPr>
        <w:t>udgments</w:t>
      </w:r>
      <w:r w:rsidR="007D1CDC" w:rsidRPr="0007754D">
        <w:rPr>
          <w:color w:val="000000" w:themeColor="text1"/>
          <w:lang w:val="en-GB"/>
        </w:rPr>
        <w:t xml:space="preserve"> of the ECtHR</w:t>
      </w:r>
      <w:r w:rsidR="007D1CDC" w:rsidRPr="0007754D">
        <w:rPr>
          <w:rFonts w:hint="eastAsia"/>
          <w:color w:val="000000" w:themeColor="text1"/>
          <w:lang w:val="en-GB"/>
        </w:rPr>
        <w:t xml:space="preserve"> are legally binding and</w:t>
      </w:r>
      <w:r w:rsidR="00EF3E32" w:rsidRPr="0007754D">
        <w:rPr>
          <w:color w:val="000000" w:themeColor="text1"/>
          <w:lang w:val="en-GB"/>
        </w:rPr>
        <w:t xml:space="preserve"> that</w:t>
      </w:r>
      <w:r w:rsidR="007D1CDC" w:rsidRPr="0007754D">
        <w:rPr>
          <w:rFonts w:hint="eastAsia"/>
          <w:color w:val="000000" w:themeColor="text1"/>
          <w:lang w:val="en-GB"/>
        </w:rPr>
        <w:t xml:space="preserve"> their execution is supervised by</w:t>
      </w:r>
      <w:r w:rsidR="007D1CDC" w:rsidRPr="0007754D">
        <w:rPr>
          <w:color w:val="000000" w:themeColor="text1"/>
          <w:lang w:val="en-GB"/>
        </w:rPr>
        <w:t xml:space="preserve"> the Committee of Mini</w:t>
      </w:r>
      <w:r w:rsidR="003247B9" w:rsidRPr="0007754D">
        <w:rPr>
          <w:color w:val="000000" w:themeColor="text1"/>
          <w:lang w:val="en-GB"/>
        </w:rPr>
        <w:t>sters of the Council of Europe</w:t>
      </w:r>
      <w:r w:rsidR="00EF3E32" w:rsidRPr="0007754D">
        <w:rPr>
          <w:color w:val="000000" w:themeColor="text1"/>
          <w:lang w:val="en-GB"/>
        </w:rPr>
        <w:t>,</w:t>
      </w:r>
      <w:r w:rsidR="005F4E9C" w:rsidRPr="0007754D">
        <w:rPr>
          <w:rStyle w:val="FootnoteReference"/>
          <w:color w:val="000000" w:themeColor="text1"/>
        </w:rPr>
        <w:footnoteReference w:id="13"/>
      </w:r>
      <w:r w:rsidR="005F4E9C" w:rsidRPr="0007754D">
        <w:rPr>
          <w:color w:val="000000" w:themeColor="text1"/>
          <w:lang w:val="en-GB"/>
        </w:rPr>
        <w:t xml:space="preserve"> who can use</w:t>
      </w:r>
      <w:r w:rsidR="00EF3E32" w:rsidRPr="0007754D">
        <w:rPr>
          <w:color w:val="000000" w:themeColor="text1"/>
          <w:lang w:val="en-GB"/>
        </w:rPr>
        <w:t xml:space="preserve"> various coercive measures to</w:t>
      </w:r>
      <w:r w:rsidR="005F4E9C" w:rsidRPr="0007754D">
        <w:rPr>
          <w:color w:val="000000" w:themeColor="text1"/>
          <w:lang w:val="en-GB"/>
        </w:rPr>
        <w:t xml:space="preserve"> ensure states’ compliance.</w:t>
      </w:r>
      <w:r w:rsidR="0095654A" w:rsidRPr="0007754D">
        <w:rPr>
          <w:rStyle w:val="FootnoteReference"/>
          <w:color w:val="000000" w:themeColor="text1"/>
        </w:rPr>
        <w:footnoteReference w:id="14"/>
      </w:r>
      <w:r w:rsidR="0095654A" w:rsidRPr="0007754D">
        <w:rPr>
          <w:color w:val="000000" w:themeColor="text1"/>
          <w:lang w:val="en-GB"/>
        </w:rPr>
        <w:t xml:space="preserve"> </w:t>
      </w:r>
      <w:r w:rsidR="005F4E9C" w:rsidRPr="0007754D">
        <w:rPr>
          <w:color w:val="000000" w:themeColor="text1"/>
          <w:lang w:val="en-GB"/>
        </w:rPr>
        <w:t>Therefore, this reinforces</w:t>
      </w:r>
      <w:r w:rsidR="0095654A" w:rsidRPr="0007754D">
        <w:rPr>
          <w:color w:val="000000" w:themeColor="text1"/>
          <w:lang w:val="en-GB"/>
        </w:rPr>
        <w:t xml:space="preserve"> </w:t>
      </w:r>
      <w:r w:rsidR="00A909E9" w:rsidRPr="0007754D">
        <w:rPr>
          <w:color w:val="000000" w:themeColor="text1"/>
          <w:lang w:val="en-GB"/>
        </w:rPr>
        <w:t>the Court’s</w:t>
      </w:r>
      <w:r w:rsidR="007D1CDC" w:rsidRPr="0007754D">
        <w:rPr>
          <w:color w:val="000000" w:themeColor="text1"/>
          <w:lang w:val="en-GB"/>
        </w:rPr>
        <w:t xml:space="preserve"> ability to protect individuals’ SRH in its </w:t>
      </w:r>
      <w:r w:rsidR="0095654A" w:rsidRPr="0007754D">
        <w:rPr>
          <w:color w:val="000000" w:themeColor="text1"/>
          <w:lang w:val="en-GB"/>
        </w:rPr>
        <w:t>complaints procedure</w:t>
      </w:r>
      <w:r w:rsidR="007D1CDC" w:rsidRPr="0007754D">
        <w:rPr>
          <w:color w:val="000000" w:themeColor="text1"/>
          <w:lang w:val="en-GB"/>
        </w:rPr>
        <w:t>.</w:t>
      </w:r>
      <w:r w:rsidRPr="0007754D">
        <w:rPr>
          <w:color w:val="000000" w:themeColor="text1"/>
          <w:lang w:val="en-GB"/>
        </w:rPr>
        <w:t xml:space="preserve"> In order to examine the case-law of the ECtHR on SRH, I used a key word search on the online case-law database of the Court (HUDOC),</w:t>
      </w:r>
      <w:r w:rsidR="007154DE" w:rsidRPr="0007754D">
        <w:rPr>
          <w:rStyle w:val="FootnoteReference"/>
          <w:color w:val="000000" w:themeColor="text1"/>
        </w:rPr>
        <w:footnoteReference w:id="15"/>
      </w:r>
      <w:r w:rsidRPr="0007754D">
        <w:rPr>
          <w:color w:val="000000" w:themeColor="text1"/>
          <w:lang w:val="en-GB"/>
        </w:rPr>
        <w:t xml:space="preserve"> selecting Merits </w:t>
      </w:r>
      <w:r w:rsidR="003B0A03" w:rsidRPr="0007754D">
        <w:rPr>
          <w:color w:val="000000" w:themeColor="text1"/>
          <w:lang w:val="en-GB"/>
        </w:rPr>
        <w:t xml:space="preserve">Judgments </w:t>
      </w:r>
      <w:r w:rsidR="00730211" w:rsidRPr="0007754D">
        <w:rPr>
          <w:color w:val="000000" w:themeColor="text1"/>
          <w:lang w:val="en-GB"/>
        </w:rPr>
        <w:t>in the English language. As of May 2018, t</w:t>
      </w:r>
      <w:r w:rsidRPr="0007754D">
        <w:rPr>
          <w:color w:val="000000" w:themeColor="text1"/>
          <w:lang w:val="en-GB"/>
        </w:rPr>
        <w:t xml:space="preserve">he words ‘reproductive health’ resulted in 39 entries. However, the words ‘sexual </w:t>
      </w:r>
      <w:r w:rsidR="00741545" w:rsidRPr="0007754D">
        <w:rPr>
          <w:color w:val="000000" w:themeColor="text1"/>
          <w:lang w:val="en-GB"/>
        </w:rPr>
        <w:t xml:space="preserve">health’ resulted in 560 entries, </w:t>
      </w:r>
      <w:r w:rsidRPr="0007754D">
        <w:rPr>
          <w:color w:val="000000" w:themeColor="text1"/>
          <w:lang w:val="en-GB"/>
        </w:rPr>
        <w:t xml:space="preserve">so I </w:t>
      </w:r>
      <w:r w:rsidR="00741545" w:rsidRPr="0007754D">
        <w:rPr>
          <w:color w:val="000000" w:themeColor="text1"/>
          <w:lang w:val="en-GB"/>
        </w:rPr>
        <w:t>narrowed the search to</w:t>
      </w:r>
      <w:r w:rsidRPr="0007754D">
        <w:rPr>
          <w:color w:val="000000" w:themeColor="text1"/>
          <w:lang w:val="en-GB"/>
        </w:rPr>
        <w:t xml:space="preserve"> ‘sexuality</w:t>
      </w:r>
      <w:r w:rsidR="00F74CF6" w:rsidRPr="0007754D">
        <w:rPr>
          <w:color w:val="000000" w:themeColor="text1"/>
          <w:lang w:val="en-GB"/>
        </w:rPr>
        <w:t>,</w:t>
      </w:r>
      <w:r w:rsidRPr="0007754D">
        <w:rPr>
          <w:color w:val="000000" w:themeColor="text1"/>
          <w:lang w:val="en-GB"/>
        </w:rPr>
        <w:t xml:space="preserve"> h</w:t>
      </w:r>
      <w:r w:rsidR="00F74CF6" w:rsidRPr="0007754D">
        <w:rPr>
          <w:color w:val="000000" w:themeColor="text1"/>
          <w:lang w:val="en-GB"/>
        </w:rPr>
        <w:t>ealth’, resulting in 28 entries</w:t>
      </w:r>
      <w:r w:rsidRPr="0007754D">
        <w:rPr>
          <w:color w:val="000000" w:themeColor="text1"/>
          <w:lang w:val="en-GB"/>
        </w:rPr>
        <w:t>. In order to guarantee a comprehensive account of the Court’s case-law, I also verified the relevance of cases listed in pertinent Court’s factsheets. Those are: ‘Reproductive rights’, ‘Health’, ‘Violence against women’, ‘Gender equality’, ‘Gender identity’, ‘Homosexuality: criminal aspects’, ‘Sexual orientation issues’, ‘Prisoners’ health-related rights’, and ‘Persons with disabilities and the ECHR’.</w:t>
      </w:r>
      <w:r w:rsidRPr="0007754D">
        <w:rPr>
          <w:rStyle w:val="FootnoteReference"/>
          <w:color w:val="000000" w:themeColor="text1"/>
        </w:rPr>
        <w:footnoteReference w:id="16"/>
      </w:r>
      <w:r w:rsidRPr="0007754D">
        <w:rPr>
          <w:color w:val="000000" w:themeColor="text1"/>
          <w:lang w:val="en-GB"/>
        </w:rPr>
        <w:t xml:space="preserve"> Finally, I chose to only discuss M</w:t>
      </w:r>
      <w:r w:rsidR="009B5D90" w:rsidRPr="0007754D">
        <w:rPr>
          <w:color w:val="000000" w:themeColor="text1"/>
          <w:lang w:val="en-GB"/>
        </w:rPr>
        <w:t xml:space="preserve">erits </w:t>
      </w:r>
      <w:r w:rsidR="003B0A03" w:rsidRPr="0007754D">
        <w:rPr>
          <w:color w:val="000000" w:themeColor="text1"/>
          <w:lang w:val="en-GB"/>
        </w:rPr>
        <w:t>Judgments</w:t>
      </w:r>
      <w:r w:rsidR="009B5D90" w:rsidRPr="0007754D">
        <w:rPr>
          <w:color w:val="000000" w:themeColor="text1"/>
          <w:lang w:val="en-GB"/>
        </w:rPr>
        <w:t xml:space="preserve"> since 2000,</w:t>
      </w:r>
      <w:r w:rsidRPr="0007754D">
        <w:rPr>
          <w:color w:val="000000" w:themeColor="text1"/>
          <w:lang w:val="en-GB"/>
        </w:rPr>
        <w:t xml:space="preserve"> to analyse recent development</w:t>
      </w:r>
      <w:r w:rsidR="009B5D90" w:rsidRPr="0007754D">
        <w:rPr>
          <w:color w:val="000000" w:themeColor="text1"/>
          <w:lang w:val="en-GB"/>
        </w:rPr>
        <w:t>s;</w:t>
      </w:r>
      <w:r w:rsidRPr="0007754D">
        <w:rPr>
          <w:color w:val="000000" w:themeColor="text1"/>
          <w:lang w:val="en-GB"/>
        </w:rPr>
        <w:t xml:space="preserve"> and</w:t>
      </w:r>
      <w:r w:rsidR="009B5D90" w:rsidRPr="0007754D">
        <w:rPr>
          <w:color w:val="000000" w:themeColor="text1"/>
          <w:lang w:val="en-GB"/>
        </w:rPr>
        <w:t xml:space="preserve"> </w:t>
      </w:r>
      <w:r w:rsidR="00F23216" w:rsidRPr="0007754D">
        <w:rPr>
          <w:color w:val="000000" w:themeColor="text1"/>
          <w:lang w:val="en-GB"/>
        </w:rPr>
        <w:t>cases</w:t>
      </w:r>
      <w:r w:rsidR="00DA0B1E" w:rsidRPr="0007754D">
        <w:rPr>
          <w:color w:val="000000" w:themeColor="text1"/>
          <w:lang w:val="en-GB"/>
        </w:rPr>
        <w:t xml:space="preserve"> fitting this paper</w:t>
      </w:r>
      <w:r w:rsidR="009B5D90" w:rsidRPr="0007754D">
        <w:rPr>
          <w:color w:val="000000" w:themeColor="text1"/>
          <w:lang w:val="en-GB"/>
        </w:rPr>
        <w:t>’s</w:t>
      </w:r>
      <w:r w:rsidRPr="0007754D">
        <w:rPr>
          <w:color w:val="000000" w:themeColor="text1"/>
          <w:lang w:val="en-GB"/>
        </w:rPr>
        <w:t xml:space="preserve"> definition of SRH</w:t>
      </w:r>
      <w:r w:rsidR="009B5D90" w:rsidRPr="0007754D">
        <w:rPr>
          <w:color w:val="000000" w:themeColor="text1"/>
          <w:lang w:val="en-GB"/>
        </w:rPr>
        <w:t>,</w:t>
      </w:r>
      <w:r w:rsidRPr="0007754D">
        <w:rPr>
          <w:color w:val="000000" w:themeColor="text1"/>
          <w:lang w:val="en-GB"/>
        </w:rPr>
        <w:t xml:space="preserve"> to contextualise the recent recognition of a ‘right to SRH’. </w:t>
      </w:r>
      <w:r w:rsidR="00F23216" w:rsidRPr="0007754D">
        <w:rPr>
          <w:color w:val="000000" w:themeColor="text1"/>
          <w:lang w:val="en-GB"/>
        </w:rPr>
        <w:t>It is worth reminding the reader that s</w:t>
      </w:r>
      <w:r w:rsidRPr="0007754D">
        <w:rPr>
          <w:color w:val="000000" w:themeColor="text1"/>
          <w:lang w:val="en-GB"/>
        </w:rPr>
        <w:t>uch a definition encapsulates rights to access key SRH services and information that facilitate everyone’s ability to make free choices over their SRH (especially those vulnerable to violence, coercion and discrimination).</w:t>
      </w:r>
      <w:r w:rsidRPr="0007754D">
        <w:rPr>
          <w:rStyle w:val="FootnoteReference"/>
          <w:color w:val="000000" w:themeColor="text1"/>
        </w:rPr>
        <w:footnoteReference w:id="17"/>
      </w:r>
      <w:r w:rsidRPr="0007754D">
        <w:rPr>
          <w:color w:val="000000" w:themeColor="text1"/>
          <w:lang w:val="en-GB"/>
        </w:rPr>
        <w:t xml:space="preserve"> Key services are understood as: </w:t>
      </w:r>
      <w:r w:rsidR="009B5D90" w:rsidRPr="0007754D">
        <w:rPr>
          <w:color w:val="000000" w:themeColor="text1"/>
          <w:lang w:val="en-GB"/>
        </w:rPr>
        <w:t xml:space="preserve">maternal and new-born </w:t>
      </w:r>
      <w:r w:rsidR="00997497" w:rsidRPr="0007754D">
        <w:rPr>
          <w:color w:val="000000" w:themeColor="text1"/>
          <w:lang w:val="en-GB"/>
        </w:rPr>
        <w:t>health services</w:t>
      </w:r>
      <w:r w:rsidR="009B5D90" w:rsidRPr="0007754D">
        <w:rPr>
          <w:color w:val="000000" w:themeColor="text1"/>
          <w:lang w:val="en-GB"/>
        </w:rPr>
        <w:t>; family planning services; safe abortion services; prevention and treatment of sexually transmitted infections and reproductive cancers; and promotion of sexual health.</w:t>
      </w:r>
      <w:r w:rsidR="009B5D90" w:rsidRPr="0007754D">
        <w:rPr>
          <w:rStyle w:val="FootnoteReference"/>
          <w:color w:val="000000" w:themeColor="text1"/>
        </w:rPr>
        <w:footnoteReference w:id="18"/>
      </w:r>
      <w:r w:rsidR="009B5D90" w:rsidRPr="0007754D">
        <w:rPr>
          <w:color w:val="000000" w:themeColor="text1"/>
          <w:lang w:val="en-GB"/>
        </w:rPr>
        <w:t xml:space="preserve"> </w:t>
      </w:r>
      <w:r w:rsidR="00F23216" w:rsidRPr="0007754D">
        <w:rPr>
          <w:color w:val="000000" w:themeColor="text1"/>
          <w:lang w:val="en-GB"/>
        </w:rPr>
        <w:t xml:space="preserve">The cases studied through that lens, therefore, shed a light on a rich jurisprudence of the ECtHR on SRH, emanating mainly </w:t>
      </w:r>
      <w:r w:rsidR="0057172B" w:rsidRPr="0007754D">
        <w:rPr>
          <w:color w:val="000000" w:themeColor="text1"/>
          <w:lang w:val="en-GB"/>
        </w:rPr>
        <w:t>from</w:t>
      </w:r>
      <w:r w:rsidR="00F23216" w:rsidRPr="0007754D">
        <w:rPr>
          <w:color w:val="000000" w:themeColor="text1"/>
          <w:lang w:val="en-GB"/>
        </w:rPr>
        <w:t xml:space="preserve"> Articles 3 and 8 of the E</w:t>
      </w:r>
      <w:r w:rsidR="002C28B8" w:rsidRPr="0007754D">
        <w:rPr>
          <w:color w:val="000000" w:themeColor="text1"/>
          <w:lang w:val="en-GB"/>
        </w:rPr>
        <w:t xml:space="preserve">uropean </w:t>
      </w:r>
      <w:r w:rsidR="00F23216" w:rsidRPr="0007754D">
        <w:rPr>
          <w:color w:val="000000" w:themeColor="text1"/>
          <w:lang w:val="en-GB"/>
        </w:rPr>
        <w:t>C</w:t>
      </w:r>
      <w:r w:rsidR="002C28B8" w:rsidRPr="0007754D">
        <w:rPr>
          <w:color w:val="000000" w:themeColor="text1"/>
          <w:lang w:val="en-GB"/>
        </w:rPr>
        <w:t xml:space="preserve">onvention on </w:t>
      </w:r>
      <w:r w:rsidR="00F23216" w:rsidRPr="0007754D">
        <w:rPr>
          <w:color w:val="000000" w:themeColor="text1"/>
          <w:lang w:val="en-GB"/>
        </w:rPr>
        <w:t>H</w:t>
      </w:r>
      <w:r w:rsidR="002C28B8" w:rsidRPr="0007754D">
        <w:rPr>
          <w:color w:val="000000" w:themeColor="text1"/>
          <w:lang w:val="en-GB"/>
        </w:rPr>
        <w:t xml:space="preserve">uman </w:t>
      </w:r>
      <w:r w:rsidR="00F23216" w:rsidRPr="0007754D">
        <w:rPr>
          <w:color w:val="000000" w:themeColor="text1"/>
          <w:lang w:val="en-GB"/>
        </w:rPr>
        <w:t>R</w:t>
      </w:r>
      <w:r w:rsidR="002C28B8" w:rsidRPr="0007754D">
        <w:rPr>
          <w:color w:val="000000" w:themeColor="text1"/>
          <w:lang w:val="en-GB"/>
        </w:rPr>
        <w:t xml:space="preserve">ights (ECHR) – </w:t>
      </w:r>
      <w:r w:rsidR="00972AE7" w:rsidRPr="0007754D">
        <w:rPr>
          <w:color w:val="000000" w:themeColor="text1"/>
          <w:lang w:val="en-GB"/>
        </w:rPr>
        <w:t xml:space="preserve">thus, </w:t>
      </w:r>
      <w:r w:rsidR="002C28B8" w:rsidRPr="0007754D">
        <w:rPr>
          <w:color w:val="000000" w:themeColor="text1"/>
          <w:lang w:val="en-GB"/>
        </w:rPr>
        <w:t>focus of this section</w:t>
      </w:r>
      <w:r w:rsidR="00F23216" w:rsidRPr="0007754D">
        <w:rPr>
          <w:color w:val="000000" w:themeColor="text1"/>
          <w:lang w:val="en-GB"/>
        </w:rPr>
        <w:t>.</w:t>
      </w:r>
      <w:r w:rsidR="00F74CF6" w:rsidRPr="0007754D">
        <w:rPr>
          <w:rStyle w:val="FootnoteReference"/>
          <w:color w:val="000000" w:themeColor="text1"/>
        </w:rPr>
        <w:footnoteReference w:id="19"/>
      </w:r>
    </w:p>
    <w:p w14:paraId="729D5AAC" w14:textId="77777777" w:rsidR="00F23216" w:rsidRPr="0007754D" w:rsidRDefault="00F23216" w:rsidP="005E5004">
      <w:pPr>
        <w:spacing w:line="276" w:lineRule="auto"/>
        <w:jc w:val="both"/>
        <w:rPr>
          <w:color w:val="000000" w:themeColor="text1"/>
          <w:lang w:val="en-GB"/>
        </w:rPr>
      </w:pPr>
    </w:p>
    <w:p w14:paraId="092D0EE2" w14:textId="6664F370" w:rsidR="00433184" w:rsidRPr="0007754D" w:rsidRDefault="00284A5B" w:rsidP="00E65110">
      <w:pPr>
        <w:pStyle w:val="Heading2"/>
        <w:numPr>
          <w:ilvl w:val="1"/>
          <w:numId w:val="31"/>
        </w:numPr>
        <w:spacing w:line="276" w:lineRule="auto"/>
        <w:rPr>
          <w:rFonts w:asciiTheme="minorHAnsi" w:hAnsiTheme="minorHAnsi"/>
          <w:color w:val="000000" w:themeColor="text1"/>
          <w:lang w:val="en-GB"/>
        </w:rPr>
      </w:pPr>
      <w:r w:rsidRPr="0007754D">
        <w:rPr>
          <w:rFonts w:asciiTheme="minorHAnsi" w:hAnsiTheme="minorHAnsi"/>
          <w:color w:val="000000" w:themeColor="text1"/>
          <w:lang w:val="en-GB"/>
        </w:rPr>
        <w:t xml:space="preserve">Article 3 ECHR: </w:t>
      </w:r>
      <w:r w:rsidR="00DF1CFA" w:rsidRPr="0007754D">
        <w:rPr>
          <w:rFonts w:asciiTheme="minorHAnsi" w:hAnsiTheme="minorHAnsi"/>
          <w:color w:val="000000" w:themeColor="text1"/>
          <w:lang w:val="en-GB"/>
        </w:rPr>
        <w:t>access to SRH and vulnerability</w:t>
      </w:r>
    </w:p>
    <w:p w14:paraId="25571455" w14:textId="77777777" w:rsidR="00284A5B" w:rsidRPr="0007754D" w:rsidRDefault="00284A5B" w:rsidP="00284A5B">
      <w:pPr>
        <w:rPr>
          <w:color w:val="000000" w:themeColor="text1"/>
          <w:lang w:val="en-GB"/>
        </w:rPr>
      </w:pPr>
    </w:p>
    <w:p w14:paraId="39C6FA32" w14:textId="4BE0A3E9" w:rsidR="00710E2F" w:rsidRPr="0007754D" w:rsidRDefault="00710E2F" w:rsidP="00433184">
      <w:pPr>
        <w:spacing w:line="276" w:lineRule="auto"/>
        <w:jc w:val="both"/>
        <w:rPr>
          <w:color w:val="000000" w:themeColor="text1"/>
          <w:lang w:val="en-GB"/>
        </w:rPr>
      </w:pPr>
      <w:r w:rsidRPr="0007754D">
        <w:rPr>
          <w:color w:val="000000" w:themeColor="text1"/>
          <w:lang w:val="en-GB"/>
        </w:rPr>
        <w:t>Fo</w:t>
      </w:r>
      <w:r w:rsidR="002632D4" w:rsidRPr="0007754D">
        <w:rPr>
          <w:color w:val="000000" w:themeColor="text1"/>
          <w:lang w:val="en-GB"/>
        </w:rPr>
        <w:t xml:space="preserve">llowing this methodology and this </w:t>
      </w:r>
      <w:r w:rsidR="00695D6A" w:rsidRPr="0007754D">
        <w:rPr>
          <w:color w:val="000000" w:themeColor="text1"/>
          <w:lang w:val="en-GB"/>
        </w:rPr>
        <w:t>pap</w:t>
      </w:r>
      <w:r w:rsidR="002632D4" w:rsidRPr="0007754D">
        <w:rPr>
          <w:color w:val="000000" w:themeColor="text1"/>
          <w:lang w:val="en-GB"/>
        </w:rPr>
        <w:t>e</w:t>
      </w:r>
      <w:r w:rsidR="00695D6A" w:rsidRPr="0007754D">
        <w:rPr>
          <w:color w:val="000000" w:themeColor="text1"/>
          <w:lang w:val="en-GB"/>
        </w:rPr>
        <w:t>r</w:t>
      </w:r>
      <w:r w:rsidR="002632D4" w:rsidRPr="0007754D">
        <w:rPr>
          <w:color w:val="000000" w:themeColor="text1"/>
          <w:lang w:val="en-GB"/>
        </w:rPr>
        <w:t>’s</w:t>
      </w:r>
      <w:r w:rsidRPr="0007754D">
        <w:rPr>
          <w:color w:val="000000" w:themeColor="text1"/>
          <w:lang w:val="en-GB"/>
        </w:rPr>
        <w:t xml:space="preserve"> definition of SRH, I have identified two types of cases emanating from Article 3 ECHR: forced sterilisations and abortion cases. </w:t>
      </w:r>
      <w:r w:rsidR="008125B9" w:rsidRPr="0007754D">
        <w:rPr>
          <w:color w:val="000000" w:themeColor="text1"/>
          <w:lang w:val="en-GB"/>
        </w:rPr>
        <w:t xml:space="preserve">Both categories shed an interesting light on the Court’s interpretation of individuals’ vulnerability in SRH, notably women. </w:t>
      </w:r>
      <w:r w:rsidR="00F23216" w:rsidRPr="0007754D">
        <w:rPr>
          <w:color w:val="000000" w:themeColor="text1"/>
          <w:lang w:val="en-GB"/>
        </w:rPr>
        <w:t xml:space="preserve">Article 3 ECHR recognises that </w:t>
      </w:r>
      <w:r w:rsidR="002D72E8" w:rsidRPr="0007754D">
        <w:rPr>
          <w:color w:val="000000" w:themeColor="text1"/>
          <w:lang w:val="en-GB"/>
        </w:rPr>
        <w:t>‘</w:t>
      </w:r>
      <w:r w:rsidR="002D72E8" w:rsidRPr="0007754D">
        <w:rPr>
          <w:i/>
          <w:color w:val="000000" w:themeColor="text1"/>
          <w:lang w:val="en-GB"/>
        </w:rPr>
        <w:t>No one shall be subjected to torture or to inhuman or degrading treatment or punishment</w:t>
      </w:r>
      <w:r w:rsidR="002D72E8" w:rsidRPr="0007754D">
        <w:rPr>
          <w:color w:val="000000" w:themeColor="text1"/>
          <w:lang w:val="en-GB"/>
        </w:rPr>
        <w:t>’</w:t>
      </w:r>
      <w:r w:rsidR="00F23216" w:rsidRPr="0007754D">
        <w:rPr>
          <w:color w:val="000000" w:themeColor="text1"/>
          <w:lang w:val="en-GB"/>
        </w:rPr>
        <w:t>.</w:t>
      </w:r>
      <w:r w:rsidR="00F23216" w:rsidRPr="0007754D">
        <w:rPr>
          <w:rStyle w:val="FootnoteReference"/>
          <w:color w:val="000000" w:themeColor="text1"/>
          <w:lang w:val="en-GB"/>
        </w:rPr>
        <w:t xml:space="preserve"> </w:t>
      </w:r>
      <w:r w:rsidR="00F23216" w:rsidRPr="0007754D">
        <w:rPr>
          <w:rStyle w:val="FootnoteReference"/>
          <w:color w:val="000000" w:themeColor="text1"/>
        </w:rPr>
        <w:footnoteReference w:id="20"/>
      </w:r>
      <w:r w:rsidR="002D72E8" w:rsidRPr="0007754D">
        <w:rPr>
          <w:color w:val="000000" w:themeColor="text1"/>
          <w:lang w:val="en-GB"/>
        </w:rPr>
        <w:t xml:space="preserve"> At a first glance, the non-derogable and absolute status of this provision in international law,</w:t>
      </w:r>
      <w:r w:rsidR="002D72E8" w:rsidRPr="0007754D">
        <w:rPr>
          <w:rStyle w:val="FootnoteReference"/>
          <w:color w:val="000000" w:themeColor="text1"/>
        </w:rPr>
        <w:footnoteReference w:id="21"/>
      </w:r>
      <w:r w:rsidR="002D72E8" w:rsidRPr="0007754D">
        <w:rPr>
          <w:color w:val="000000" w:themeColor="text1"/>
          <w:lang w:val="en-GB"/>
        </w:rPr>
        <w:t xml:space="preserve"> as well as the positive obligations it imposes on states, </w:t>
      </w:r>
      <w:r w:rsidR="0057172B" w:rsidRPr="0007754D">
        <w:rPr>
          <w:color w:val="000000" w:themeColor="text1"/>
          <w:lang w:val="en-GB"/>
        </w:rPr>
        <w:t>seem to</w:t>
      </w:r>
      <w:r w:rsidR="002D72E8" w:rsidRPr="0007754D">
        <w:rPr>
          <w:color w:val="000000" w:themeColor="text1"/>
          <w:lang w:val="en-GB"/>
        </w:rPr>
        <w:t xml:space="preserve"> provide a strong protection to applicants who</w:t>
      </w:r>
      <w:r w:rsidR="0057172B" w:rsidRPr="0007754D">
        <w:rPr>
          <w:color w:val="000000" w:themeColor="text1"/>
          <w:lang w:val="en-GB"/>
        </w:rPr>
        <w:t xml:space="preserve"> successfully</w:t>
      </w:r>
      <w:r w:rsidR="002D72E8" w:rsidRPr="0007754D">
        <w:rPr>
          <w:color w:val="000000" w:themeColor="text1"/>
          <w:lang w:val="en-GB"/>
        </w:rPr>
        <w:t xml:space="preserve"> allege a </w:t>
      </w:r>
      <w:r w:rsidR="0057172B" w:rsidRPr="0007754D">
        <w:rPr>
          <w:color w:val="000000" w:themeColor="text1"/>
          <w:lang w:val="en-GB"/>
        </w:rPr>
        <w:t>breach of this provision in SRH</w:t>
      </w:r>
      <w:r w:rsidR="002D72E8" w:rsidRPr="0007754D">
        <w:rPr>
          <w:color w:val="000000" w:themeColor="text1"/>
          <w:lang w:val="en-GB"/>
        </w:rPr>
        <w:t xml:space="preserve"> cases.</w:t>
      </w:r>
      <w:r w:rsidR="00725731" w:rsidRPr="0007754D">
        <w:rPr>
          <w:rStyle w:val="FootnoteReference"/>
          <w:color w:val="000000" w:themeColor="text1"/>
        </w:rPr>
        <w:footnoteReference w:id="22"/>
      </w:r>
      <w:r w:rsidR="00725731" w:rsidRPr="0007754D">
        <w:rPr>
          <w:color w:val="000000" w:themeColor="text1"/>
          <w:lang w:val="en-GB"/>
        </w:rPr>
        <w:t xml:space="preserve"> </w:t>
      </w:r>
      <w:r w:rsidR="0057172B" w:rsidRPr="0007754D">
        <w:rPr>
          <w:color w:val="000000" w:themeColor="text1"/>
          <w:lang w:val="en-GB"/>
        </w:rPr>
        <w:t xml:space="preserve">While this is true in the case-law of the Court relevant to forced sterilisations, it is unfortunately not </w:t>
      </w:r>
      <w:r w:rsidR="004E3F12" w:rsidRPr="0007754D">
        <w:rPr>
          <w:color w:val="000000" w:themeColor="text1"/>
          <w:lang w:val="en-GB"/>
        </w:rPr>
        <w:t>always true in</w:t>
      </w:r>
      <w:r w:rsidR="0057172B" w:rsidRPr="0007754D">
        <w:rPr>
          <w:color w:val="000000" w:themeColor="text1"/>
          <w:lang w:val="en-GB"/>
        </w:rPr>
        <w:t xml:space="preserve"> abortion cases</w:t>
      </w:r>
      <w:r w:rsidRPr="0007754D">
        <w:rPr>
          <w:color w:val="000000" w:themeColor="text1"/>
          <w:lang w:val="en-GB"/>
        </w:rPr>
        <w:t>.</w:t>
      </w:r>
    </w:p>
    <w:p w14:paraId="5A203087" w14:textId="77777777" w:rsidR="008125B9" w:rsidRPr="0007754D" w:rsidRDefault="008125B9" w:rsidP="00433184">
      <w:pPr>
        <w:spacing w:line="276" w:lineRule="auto"/>
        <w:jc w:val="both"/>
        <w:rPr>
          <w:color w:val="000000" w:themeColor="text1"/>
          <w:lang w:val="en-GB"/>
        </w:rPr>
      </w:pPr>
    </w:p>
    <w:p w14:paraId="37E4B6A9" w14:textId="68D324E9" w:rsidR="00433184" w:rsidRPr="0007754D" w:rsidRDefault="00433184" w:rsidP="00433184">
      <w:pPr>
        <w:pStyle w:val="Heading3"/>
        <w:numPr>
          <w:ilvl w:val="2"/>
          <w:numId w:val="31"/>
        </w:numPr>
        <w:spacing w:line="276" w:lineRule="auto"/>
        <w:rPr>
          <w:rFonts w:asciiTheme="minorHAnsi" w:hAnsiTheme="minorHAnsi"/>
          <w:b/>
          <w:i/>
          <w:color w:val="000000" w:themeColor="text1"/>
          <w:lang w:val="en-GB"/>
        </w:rPr>
      </w:pPr>
      <w:r w:rsidRPr="0007754D">
        <w:rPr>
          <w:rFonts w:asciiTheme="minorHAnsi" w:hAnsiTheme="minorHAnsi"/>
          <w:b/>
          <w:i/>
          <w:color w:val="000000" w:themeColor="text1"/>
          <w:lang w:val="en-GB"/>
        </w:rPr>
        <w:t xml:space="preserve">Protecting </w:t>
      </w:r>
      <w:r w:rsidR="00DF1CFA" w:rsidRPr="0007754D">
        <w:rPr>
          <w:rFonts w:asciiTheme="minorHAnsi" w:hAnsiTheme="minorHAnsi"/>
          <w:b/>
          <w:i/>
          <w:color w:val="000000" w:themeColor="text1"/>
          <w:lang w:val="en-GB"/>
        </w:rPr>
        <w:t xml:space="preserve">vulnerability </w:t>
      </w:r>
      <w:r w:rsidRPr="0007754D">
        <w:rPr>
          <w:rFonts w:asciiTheme="minorHAnsi" w:hAnsiTheme="minorHAnsi"/>
          <w:b/>
          <w:i/>
          <w:color w:val="000000" w:themeColor="text1"/>
          <w:lang w:val="en-GB"/>
        </w:rPr>
        <w:t>in forced sterilisations cases</w:t>
      </w:r>
      <w:r w:rsidR="00B901D4" w:rsidRPr="0007754D">
        <w:rPr>
          <w:rFonts w:asciiTheme="minorHAnsi" w:hAnsiTheme="minorHAnsi"/>
          <w:b/>
          <w:i/>
          <w:color w:val="000000" w:themeColor="text1"/>
          <w:lang w:val="en-GB"/>
        </w:rPr>
        <w:t>: integrity</w:t>
      </w:r>
      <w:r w:rsidRPr="0007754D">
        <w:rPr>
          <w:rFonts w:asciiTheme="minorHAnsi" w:hAnsiTheme="minorHAnsi"/>
          <w:b/>
          <w:i/>
          <w:color w:val="000000" w:themeColor="text1"/>
          <w:lang w:val="en-GB"/>
        </w:rPr>
        <w:t xml:space="preserve"> </w:t>
      </w:r>
    </w:p>
    <w:p w14:paraId="5C404E14" w14:textId="77777777" w:rsidR="00433184" w:rsidRPr="0007754D" w:rsidRDefault="00433184" w:rsidP="00433184">
      <w:pPr>
        <w:spacing w:line="276" w:lineRule="auto"/>
        <w:jc w:val="both"/>
        <w:rPr>
          <w:color w:val="000000" w:themeColor="text1"/>
          <w:lang w:val="en-GB"/>
        </w:rPr>
      </w:pPr>
    </w:p>
    <w:p w14:paraId="2E376C7A" w14:textId="03CFCECC" w:rsidR="00973E2F" w:rsidRPr="0007754D" w:rsidRDefault="00433184" w:rsidP="00973E2F">
      <w:pPr>
        <w:spacing w:line="276" w:lineRule="auto"/>
        <w:jc w:val="both"/>
        <w:rPr>
          <w:iCs/>
          <w:color w:val="000000" w:themeColor="text1"/>
          <w:lang w:val="en-GB"/>
        </w:rPr>
      </w:pPr>
      <w:r w:rsidRPr="0007754D">
        <w:rPr>
          <w:color w:val="000000" w:themeColor="text1"/>
          <w:lang w:val="en-GB"/>
        </w:rPr>
        <w:t xml:space="preserve">Since 2000, the Court held three Merits </w:t>
      </w:r>
      <w:r w:rsidR="003B0A03" w:rsidRPr="0007754D">
        <w:rPr>
          <w:color w:val="000000" w:themeColor="text1"/>
          <w:lang w:val="en-GB"/>
        </w:rPr>
        <w:t>Judgments</w:t>
      </w:r>
      <w:r w:rsidRPr="0007754D">
        <w:rPr>
          <w:color w:val="000000" w:themeColor="text1"/>
          <w:lang w:val="en-GB"/>
        </w:rPr>
        <w:t xml:space="preserve"> concerning allegations of forced sterilisation procedu</w:t>
      </w:r>
      <w:r w:rsidR="00710E2F" w:rsidRPr="0007754D">
        <w:rPr>
          <w:color w:val="000000" w:themeColor="text1"/>
          <w:lang w:val="en-GB"/>
        </w:rPr>
        <w:t>res on Romani women in Slovakia</w:t>
      </w:r>
      <w:r w:rsidR="00167AC7" w:rsidRPr="0007754D">
        <w:rPr>
          <w:color w:val="000000" w:themeColor="text1"/>
          <w:lang w:val="en-GB"/>
        </w:rPr>
        <w:t>, under Article 3 ECHR</w:t>
      </w:r>
      <w:r w:rsidR="00710E2F" w:rsidRPr="0007754D">
        <w:rPr>
          <w:color w:val="000000" w:themeColor="text1"/>
          <w:lang w:val="en-GB"/>
        </w:rPr>
        <w:t>. Such procedures were</w:t>
      </w:r>
      <w:r w:rsidRPr="0007754D">
        <w:rPr>
          <w:color w:val="000000" w:themeColor="text1"/>
          <w:lang w:val="en-GB"/>
        </w:rPr>
        <w:t xml:space="preserve"> carried out after </w:t>
      </w:r>
      <w:r w:rsidR="00710E2F" w:rsidRPr="0007754D">
        <w:rPr>
          <w:color w:val="000000" w:themeColor="text1"/>
          <w:lang w:val="en-GB"/>
        </w:rPr>
        <w:t>the applicants</w:t>
      </w:r>
      <w:r w:rsidRPr="0007754D">
        <w:rPr>
          <w:color w:val="000000" w:themeColor="text1"/>
          <w:lang w:val="en-GB"/>
        </w:rPr>
        <w:t xml:space="preserve"> had given birth and in the absence of consent or justifiable medical emergency.</w:t>
      </w:r>
      <w:r w:rsidRPr="0007754D">
        <w:rPr>
          <w:rStyle w:val="FootnoteReference"/>
          <w:color w:val="000000" w:themeColor="text1"/>
        </w:rPr>
        <w:footnoteReference w:id="23"/>
      </w:r>
      <w:r w:rsidRPr="0007754D">
        <w:rPr>
          <w:color w:val="000000" w:themeColor="text1"/>
          <w:lang w:val="en-GB"/>
        </w:rPr>
        <w:t xml:space="preserve"> In </w:t>
      </w:r>
      <w:r w:rsidR="00167AC7" w:rsidRPr="0007754D">
        <w:rPr>
          <w:color w:val="000000" w:themeColor="text1"/>
          <w:lang w:val="en-GB"/>
        </w:rPr>
        <w:t xml:space="preserve">all </w:t>
      </w:r>
      <w:r w:rsidRPr="0007754D">
        <w:rPr>
          <w:color w:val="000000" w:themeColor="text1"/>
          <w:lang w:val="en-GB"/>
        </w:rPr>
        <w:t xml:space="preserve">three cases, the ECtHR found a violation of </w:t>
      </w:r>
      <w:r w:rsidR="00167AC7" w:rsidRPr="0007754D">
        <w:rPr>
          <w:color w:val="000000" w:themeColor="text1"/>
          <w:lang w:val="en-GB"/>
        </w:rPr>
        <w:t>Article 3</w:t>
      </w:r>
      <w:r w:rsidRPr="0007754D">
        <w:rPr>
          <w:color w:val="000000" w:themeColor="text1"/>
          <w:lang w:val="en-GB"/>
        </w:rPr>
        <w:t>, on the basis that forced sterilisations procedures violated the applicants’ integrity, as well as their right to autonomy and choice as patients.</w:t>
      </w:r>
      <w:r w:rsidRPr="0007754D">
        <w:rPr>
          <w:rStyle w:val="FootnoteReference"/>
          <w:color w:val="000000" w:themeColor="text1"/>
        </w:rPr>
        <w:footnoteReference w:id="24"/>
      </w:r>
      <w:r w:rsidRPr="0007754D">
        <w:rPr>
          <w:color w:val="000000" w:themeColor="text1"/>
          <w:lang w:val="en-GB"/>
        </w:rPr>
        <w:t xml:space="preserve"> Notions of patients’ integrity, autonomy and choice do not appear in the text of </w:t>
      </w:r>
      <w:r w:rsidR="00167AC7" w:rsidRPr="0007754D">
        <w:rPr>
          <w:color w:val="000000" w:themeColor="text1"/>
          <w:lang w:val="en-GB"/>
        </w:rPr>
        <w:t>the ECHR but are crucial to SRH</w:t>
      </w:r>
      <w:r w:rsidRPr="0007754D">
        <w:rPr>
          <w:color w:val="000000" w:themeColor="text1"/>
          <w:lang w:val="en-GB"/>
        </w:rPr>
        <w:t>, as clearly asserted by UN</w:t>
      </w:r>
      <w:r w:rsidR="00400789" w:rsidRPr="0007754D">
        <w:rPr>
          <w:color w:val="000000" w:themeColor="text1"/>
          <w:lang w:val="en-GB"/>
        </w:rPr>
        <w:t>CESCR</w:t>
      </w:r>
      <w:r w:rsidRPr="0007754D">
        <w:rPr>
          <w:color w:val="000000" w:themeColor="text1"/>
          <w:lang w:val="en-GB"/>
        </w:rPr>
        <w:t xml:space="preserve"> G</w:t>
      </w:r>
      <w:r w:rsidR="00400789" w:rsidRPr="0007754D">
        <w:rPr>
          <w:color w:val="000000" w:themeColor="text1"/>
          <w:lang w:val="en-GB"/>
        </w:rPr>
        <w:t>C</w:t>
      </w:r>
      <w:r w:rsidRPr="0007754D">
        <w:rPr>
          <w:color w:val="000000" w:themeColor="text1"/>
          <w:lang w:val="en-GB"/>
        </w:rPr>
        <w:t>22</w:t>
      </w:r>
      <w:r w:rsidR="007A6195" w:rsidRPr="0007754D">
        <w:rPr>
          <w:color w:val="000000" w:themeColor="text1"/>
          <w:lang w:val="en-GB"/>
        </w:rPr>
        <w:t>.</w:t>
      </w:r>
      <w:r w:rsidRPr="0007754D">
        <w:rPr>
          <w:rStyle w:val="FootnoteReference"/>
          <w:color w:val="000000" w:themeColor="text1"/>
        </w:rPr>
        <w:footnoteReference w:id="25"/>
      </w:r>
      <w:r w:rsidRPr="0007754D">
        <w:rPr>
          <w:color w:val="000000" w:themeColor="text1"/>
          <w:lang w:val="en-GB"/>
        </w:rPr>
        <w:t xml:space="preserve"> </w:t>
      </w:r>
      <w:r w:rsidR="007A6195" w:rsidRPr="0007754D">
        <w:rPr>
          <w:color w:val="000000" w:themeColor="text1"/>
          <w:lang w:val="en-GB"/>
        </w:rPr>
        <w:t xml:space="preserve">This is particularly true in maternal </w:t>
      </w:r>
      <w:r w:rsidR="005E1193" w:rsidRPr="0007754D">
        <w:rPr>
          <w:color w:val="000000" w:themeColor="text1"/>
          <w:lang w:val="en-GB"/>
        </w:rPr>
        <w:t>health services</w:t>
      </w:r>
      <w:r w:rsidR="007A6195" w:rsidRPr="0007754D">
        <w:rPr>
          <w:color w:val="000000" w:themeColor="text1"/>
          <w:lang w:val="en-GB"/>
        </w:rPr>
        <w:t>, a key component to SRH according to the WHO</w:t>
      </w:r>
      <w:r w:rsidR="00400789" w:rsidRPr="0007754D">
        <w:rPr>
          <w:color w:val="000000" w:themeColor="text1"/>
          <w:lang w:val="en-GB"/>
        </w:rPr>
        <w:t xml:space="preserve"> strategy</w:t>
      </w:r>
      <w:r w:rsidR="007A6195" w:rsidRPr="0007754D">
        <w:rPr>
          <w:color w:val="000000" w:themeColor="text1"/>
          <w:lang w:val="en-GB"/>
        </w:rPr>
        <w:t>,</w:t>
      </w:r>
      <w:r w:rsidR="007A6195" w:rsidRPr="0007754D">
        <w:rPr>
          <w:rStyle w:val="FootnoteReference"/>
          <w:color w:val="000000" w:themeColor="text1"/>
        </w:rPr>
        <w:footnoteReference w:id="26"/>
      </w:r>
      <w:r w:rsidR="007A6195" w:rsidRPr="0007754D">
        <w:rPr>
          <w:color w:val="000000" w:themeColor="text1"/>
          <w:lang w:val="en-GB"/>
        </w:rPr>
        <w:t xml:space="preserve"> considering the fragility of women in the midst of labour. </w:t>
      </w:r>
      <w:r w:rsidRPr="0007754D">
        <w:rPr>
          <w:color w:val="000000" w:themeColor="text1"/>
          <w:lang w:val="en-GB"/>
        </w:rPr>
        <w:t>Therefore, the Court’s reference to such notions in relation to Article 3 ECHR is to be celebrated, since it contribut</w:t>
      </w:r>
      <w:r w:rsidR="007A6195" w:rsidRPr="0007754D">
        <w:rPr>
          <w:color w:val="000000" w:themeColor="text1"/>
          <w:lang w:val="en-GB"/>
        </w:rPr>
        <w:t>es to protecting vulnerable individuals in SRH care</w:t>
      </w:r>
      <w:r w:rsidRPr="0007754D">
        <w:rPr>
          <w:color w:val="000000" w:themeColor="text1"/>
          <w:lang w:val="en-GB"/>
        </w:rPr>
        <w:t>, and incorporates well-recognised elements of healthcare law.</w:t>
      </w:r>
      <w:r w:rsidRPr="0007754D">
        <w:rPr>
          <w:rStyle w:val="FootnoteReference"/>
          <w:color w:val="000000" w:themeColor="text1"/>
        </w:rPr>
        <w:footnoteReference w:id="27"/>
      </w:r>
      <w:r w:rsidRPr="0007754D">
        <w:rPr>
          <w:color w:val="000000" w:themeColor="text1"/>
          <w:lang w:val="en-GB"/>
        </w:rPr>
        <w:t xml:space="preserve"> Furthermore, the Court </w:t>
      </w:r>
      <w:r w:rsidR="007A6195" w:rsidRPr="0007754D">
        <w:rPr>
          <w:color w:val="000000" w:themeColor="text1"/>
          <w:lang w:val="en-GB"/>
        </w:rPr>
        <w:t xml:space="preserve">clearly </w:t>
      </w:r>
      <w:r w:rsidRPr="0007754D">
        <w:rPr>
          <w:color w:val="000000" w:themeColor="text1"/>
          <w:lang w:val="en-GB"/>
        </w:rPr>
        <w:t>recognised the victims’ suffering when justifying its findings of non-conformity, by highlighting their feelings of ‘</w:t>
      </w:r>
      <w:r w:rsidRPr="0007754D">
        <w:rPr>
          <w:i/>
          <w:color w:val="000000" w:themeColor="text1"/>
          <w:lang w:val="en-GB"/>
        </w:rPr>
        <w:t>fear, anguish and inferiority</w:t>
      </w:r>
      <w:r w:rsidRPr="0007754D">
        <w:rPr>
          <w:color w:val="000000" w:themeColor="text1"/>
          <w:lang w:val="en-GB"/>
        </w:rPr>
        <w:t>’, their ‘</w:t>
      </w:r>
      <w:r w:rsidRPr="0007754D">
        <w:rPr>
          <w:i/>
          <w:color w:val="000000" w:themeColor="text1"/>
          <w:lang w:val="en-GB"/>
        </w:rPr>
        <w:t>lasting suffering</w:t>
      </w:r>
      <w:r w:rsidRPr="0007754D">
        <w:rPr>
          <w:color w:val="000000" w:themeColor="text1"/>
          <w:lang w:val="en-GB"/>
        </w:rPr>
        <w:t>’,</w:t>
      </w:r>
      <w:r w:rsidRPr="0007754D">
        <w:rPr>
          <w:rStyle w:val="FootnoteReference"/>
          <w:color w:val="000000" w:themeColor="text1"/>
        </w:rPr>
        <w:footnoteReference w:id="28"/>
      </w:r>
      <w:r w:rsidRPr="0007754D">
        <w:rPr>
          <w:color w:val="000000" w:themeColor="text1"/>
          <w:lang w:val="en-GB"/>
        </w:rPr>
        <w:t xml:space="preserve"> or the fact they had been ‘</w:t>
      </w:r>
      <w:r w:rsidRPr="0007754D">
        <w:rPr>
          <w:i/>
          <w:color w:val="000000" w:themeColor="text1"/>
          <w:lang w:val="en-GB"/>
        </w:rPr>
        <w:t>debased and humiliated</w:t>
      </w:r>
      <w:r w:rsidRPr="0007754D">
        <w:rPr>
          <w:color w:val="000000" w:themeColor="text1"/>
          <w:lang w:val="en-GB"/>
        </w:rPr>
        <w:t>’.</w:t>
      </w:r>
      <w:r w:rsidRPr="0007754D">
        <w:rPr>
          <w:rStyle w:val="FootnoteReference"/>
          <w:color w:val="000000" w:themeColor="text1"/>
        </w:rPr>
        <w:footnoteReference w:id="29"/>
      </w:r>
      <w:r w:rsidRPr="0007754D">
        <w:rPr>
          <w:color w:val="000000" w:themeColor="text1"/>
          <w:lang w:val="en-GB"/>
        </w:rPr>
        <w:t xml:space="preserve"> However, </w:t>
      </w:r>
      <w:r w:rsidR="00973E2F" w:rsidRPr="0007754D">
        <w:rPr>
          <w:color w:val="000000" w:themeColor="text1"/>
          <w:lang w:val="en-GB"/>
        </w:rPr>
        <w:t xml:space="preserve">and </w:t>
      </w:r>
      <w:r w:rsidRPr="0007754D">
        <w:rPr>
          <w:color w:val="000000" w:themeColor="text1"/>
          <w:lang w:val="en-GB"/>
        </w:rPr>
        <w:t>as argued by Oja and Yamin</w:t>
      </w:r>
      <w:r w:rsidR="00DE718A" w:rsidRPr="0007754D">
        <w:rPr>
          <w:color w:val="000000" w:themeColor="text1"/>
          <w:lang w:val="en-GB"/>
        </w:rPr>
        <w:t xml:space="preserve"> </w:t>
      </w:r>
      <w:r w:rsidR="00DA5D79" w:rsidRPr="0007754D">
        <w:rPr>
          <w:color w:val="000000" w:themeColor="text1"/>
          <w:lang w:val="en-GB"/>
        </w:rPr>
        <w:t>or</w:t>
      </w:r>
      <w:r w:rsidR="00DE718A" w:rsidRPr="0007754D">
        <w:rPr>
          <w:color w:val="000000" w:themeColor="text1"/>
          <w:lang w:val="en-GB"/>
        </w:rPr>
        <w:t xml:space="preserve"> by Patel</w:t>
      </w:r>
      <w:r w:rsidRPr="0007754D">
        <w:rPr>
          <w:color w:val="000000" w:themeColor="text1"/>
          <w:lang w:val="en-GB"/>
        </w:rPr>
        <w:t>, the ECtHR failed to highlight the discriminatory aspect of such procedures</w:t>
      </w:r>
      <w:r w:rsidR="00912CA9" w:rsidRPr="0007754D">
        <w:rPr>
          <w:color w:val="000000" w:themeColor="text1"/>
          <w:lang w:val="en-GB"/>
        </w:rPr>
        <w:t xml:space="preserve"> against the applicants</w:t>
      </w:r>
      <w:r w:rsidRPr="0007754D">
        <w:rPr>
          <w:color w:val="000000" w:themeColor="text1"/>
          <w:lang w:val="en-GB"/>
        </w:rPr>
        <w:t>.</w:t>
      </w:r>
      <w:r w:rsidRPr="0007754D">
        <w:rPr>
          <w:rStyle w:val="FootnoteReference"/>
          <w:color w:val="000000" w:themeColor="text1"/>
        </w:rPr>
        <w:footnoteReference w:id="30"/>
      </w:r>
      <w:r w:rsidR="00973E2F" w:rsidRPr="0007754D">
        <w:rPr>
          <w:color w:val="000000" w:themeColor="text1"/>
          <w:lang w:val="en-GB"/>
        </w:rPr>
        <w:t xml:space="preserve"> </w:t>
      </w:r>
      <w:r w:rsidR="00DF309A" w:rsidRPr="0007754D">
        <w:rPr>
          <w:color w:val="000000" w:themeColor="text1"/>
          <w:lang w:val="en-GB"/>
        </w:rPr>
        <w:t xml:space="preserve">The Court </w:t>
      </w:r>
      <w:r w:rsidR="00912CA9" w:rsidRPr="0007754D">
        <w:rPr>
          <w:color w:val="000000" w:themeColor="text1"/>
          <w:lang w:val="en-GB"/>
        </w:rPr>
        <w:t>referred to international concerns regarding forced sterilisation procedures on Roma women in Slovakia.</w:t>
      </w:r>
      <w:r w:rsidR="00912CA9" w:rsidRPr="0007754D">
        <w:rPr>
          <w:rStyle w:val="FootnoteReference"/>
          <w:color w:val="000000" w:themeColor="text1"/>
        </w:rPr>
        <w:footnoteReference w:id="31"/>
      </w:r>
      <w:r w:rsidR="00912CA9" w:rsidRPr="0007754D">
        <w:rPr>
          <w:color w:val="000000" w:themeColor="text1"/>
          <w:lang w:val="en-GB"/>
        </w:rPr>
        <w:t xml:space="preserve"> </w:t>
      </w:r>
      <w:r w:rsidR="00DF309A" w:rsidRPr="0007754D">
        <w:rPr>
          <w:color w:val="000000" w:themeColor="text1"/>
          <w:lang w:val="en-GB"/>
        </w:rPr>
        <w:t xml:space="preserve">Nevertheless, </w:t>
      </w:r>
      <w:r w:rsidR="00912CA9" w:rsidRPr="0007754D">
        <w:rPr>
          <w:color w:val="000000" w:themeColor="text1"/>
          <w:lang w:val="en-GB"/>
        </w:rPr>
        <w:t xml:space="preserve">it held </w:t>
      </w:r>
      <w:r w:rsidR="00912CA9" w:rsidRPr="0007754D">
        <w:rPr>
          <w:iCs/>
          <w:color w:val="000000" w:themeColor="text1"/>
          <w:lang w:val="en-GB"/>
        </w:rPr>
        <w:t>that there was not enough evidence to prove that the medical professionals had acted in bad faith, as part of an organised policy, or with intentional racially-led motives.</w:t>
      </w:r>
      <w:r w:rsidR="00912CA9" w:rsidRPr="0007754D">
        <w:rPr>
          <w:rStyle w:val="FootnoteReference"/>
          <w:color w:val="000000" w:themeColor="text1"/>
        </w:rPr>
        <w:footnoteReference w:id="32"/>
      </w:r>
      <w:r w:rsidR="00912CA9" w:rsidRPr="0007754D">
        <w:rPr>
          <w:iCs/>
          <w:color w:val="000000" w:themeColor="text1"/>
          <w:lang w:val="en-GB"/>
        </w:rPr>
        <w:t xml:space="preserve"> Furthermore, </w:t>
      </w:r>
      <w:r w:rsidR="00912CA9" w:rsidRPr="0007754D">
        <w:rPr>
          <w:color w:val="000000" w:themeColor="text1"/>
          <w:lang w:val="en-GB"/>
        </w:rPr>
        <w:t>t</w:t>
      </w:r>
      <w:r w:rsidR="00973E2F" w:rsidRPr="0007754D">
        <w:rPr>
          <w:color w:val="000000" w:themeColor="text1"/>
          <w:lang w:val="en-GB"/>
        </w:rPr>
        <w:t>he Court consistently decided that there was ‘</w:t>
      </w:r>
      <w:r w:rsidR="00973E2F" w:rsidRPr="0007754D">
        <w:rPr>
          <w:i/>
          <w:color w:val="000000" w:themeColor="text1"/>
          <w:lang w:val="en-GB"/>
        </w:rPr>
        <w:t>no need to examine separately the complaint under Article 14 of the Convention</w:t>
      </w:r>
      <w:r w:rsidR="00973E2F" w:rsidRPr="0007754D">
        <w:rPr>
          <w:color w:val="000000" w:themeColor="text1"/>
          <w:lang w:val="en-GB"/>
        </w:rPr>
        <w:t>’ (which prohibits discrimination).</w:t>
      </w:r>
      <w:r w:rsidR="00973E2F" w:rsidRPr="0007754D">
        <w:rPr>
          <w:rStyle w:val="FootnoteReference"/>
          <w:color w:val="000000" w:themeColor="text1"/>
        </w:rPr>
        <w:footnoteReference w:id="33"/>
      </w:r>
      <w:r w:rsidR="00973E2F" w:rsidRPr="0007754D">
        <w:rPr>
          <w:color w:val="000000" w:themeColor="text1"/>
          <w:lang w:val="en-GB"/>
        </w:rPr>
        <w:t xml:space="preserve"> </w:t>
      </w:r>
      <w:r w:rsidR="00DF309A" w:rsidRPr="0007754D">
        <w:rPr>
          <w:color w:val="000000" w:themeColor="text1"/>
          <w:lang w:val="en-GB"/>
        </w:rPr>
        <w:t xml:space="preserve">These </w:t>
      </w:r>
      <w:r w:rsidR="001874BB" w:rsidRPr="0007754D">
        <w:rPr>
          <w:color w:val="000000" w:themeColor="text1"/>
          <w:lang w:val="en-GB"/>
        </w:rPr>
        <w:t>judgments</w:t>
      </w:r>
      <w:r w:rsidR="00DF309A" w:rsidRPr="0007754D">
        <w:rPr>
          <w:color w:val="000000" w:themeColor="text1"/>
          <w:lang w:val="en-GB"/>
        </w:rPr>
        <w:t xml:space="preserve"> fail to recognise the vulnerability of (Roma) </w:t>
      </w:r>
      <w:r w:rsidR="00DF309A" w:rsidRPr="0007754D">
        <w:rPr>
          <w:iCs/>
          <w:color w:val="000000" w:themeColor="text1"/>
          <w:lang w:val="en-GB"/>
        </w:rPr>
        <w:t>women</w:t>
      </w:r>
      <w:r w:rsidR="00973E2F" w:rsidRPr="0007754D">
        <w:rPr>
          <w:iCs/>
          <w:color w:val="000000" w:themeColor="text1"/>
          <w:lang w:val="en-GB"/>
        </w:rPr>
        <w:t xml:space="preserve"> to forced sterilisations, </w:t>
      </w:r>
      <w:r w:rsidR="00DF309A" w:rsidRPr="0007754D">
        <w:rPr>
          <w:iCs/>
          <w:color w:val="000000" w:themeColor="text1"/>
          <w:lang w:val="en-GB"/>
        </w:rPr>
        <w:t>contrarily to</w:t>
      </w:r>
      <w:r w:rsidR="00973E2F" w:rsidRPr="0007754D">
        <w:rPr>
          <w:color w:val="000000" w:themeColor="text1"/>
          <w:lang w:val="en-GB"/>
        </w:rPr>
        <w:t xml:space="preserve"> UNCESCR GC22, which </w:t>
      </w:r>
      <w:r w:rsidR="0075317B" w:rsidRPr="0007754D">
        <w:rPr>
          <w:color w:val="000000" w:themeColor="text1"/>
          <w:lang w:val="en-GB"/>
        </w:rPr>
        <w:t>declares that such procedures violate</w:t>
      </w:r>
      <w:r w:rsidR="00973E2F" w:rsidRPr="0007754D">
        <w:rPr>
          <w:iCs/>
          <w:color w:val="000000" w:themeColor="text1"/>
          <w:lang w:val="en-GB"/>
        </w:rPr>
        <w:t xml:space="preserve"> the right to SRH </w:t>
      </w:r>
      <w:r w:rsidR="0075317B" w:rsidRPr="0007754D">
        <w:rPr>
          <w:iCs/>
          <w:color w:val="000000" w:themeColor="text1"/>
          <w:lang w:val="en-GB"/>
        </w:rPr>
        <w:t>and</w:t>
      </w:r>
      <w:r w:rsidR="00973E2F" w:rsidRPr="0007754D">
        <w:rPr>
          <w:iCs/>
          <w:color w:val="000000" w:themeColor="text1"/>
          <w:lang w:val="en-GB"/>
        </w:rPr>
        <w:t xml:space="preserve"> often reflect intersectional discrimination.</w:t>
      </w:r>
      <w:r w:rsidR="00973E2F" w:rsidRPr="0007754D">
        <w:rPr>
          <w:rStyle w:val="FootnoteReference"/>
          <w:color w:val="000000" w:themeColor="text1"/>
        </w:rPr>
        <w:footnoteReference w:id="34"/>
      </w:r>
      <w:r w:rsidR="00CA053A" w:rsidRPr="0007754D">
        <w:rPr>
          <w:iCs/>
          <w:color w:val="000000" w:themeColor="text1"/>
          <w:lang w:val="en-GB"/>
        </w:rPr>
        <w:t xml:space="preserve"> The Court’s failure to identify and protect individuals vulnerable to SRH violence, coercion or discrimination by using Article 3, is even more apparent in abortion cases.</w:t>
      </w:r>
    </w:p>
    <w:p w14:paraId="4D231709" w14:textId="2ABAAF79" w:rsidR="0075317B" w:rsidRPr="0007754D" w:rsidRDefault="0075317B" w:rsidP="00433184">
      <w:pPr>
        <w:spacing w:line="276" w:lineRule="auto"/>
        <w:jc w:val="both"/>
        <w:rPr>
          <w:color w:val="000000" w:themeColor="text1"/>
          <w:lang w:val="en-GB"/>
        </w:rPr>
      </w:pPr>
    </w:p>
    <w:p w14:paraId="2DFD7B7B" w14:textId="475CAE1E" w:rsidR="00433184" w:rsidRPr="0007754D" w:rsidRDefault="00433184" w:rsidP="00433184">
      <w:pPr>
        <w:pStyle w:val="Heading3"/>
        <w:numPr>
          <w:ilvl w:val="2"/>
          <w:numId w:val="31"/>
        </w:numPr>
        <w:spacing w:line="276" w:lineRule="auto"/>
        <w:rPr>
          <w:rFonts w:asciiTheme="minorHAnsi" w:hAnsiTheme="minorHAnsi"/>
          <w:b/>
          <w:i/>
          <w:color w:val="000000" w:themeColor="text1"/>
          <w:lang w:val="en-GB"/>
        </w:rPr>
      </w:pPr>
      <w:r w:rsidRPr="0007754D">
        <w:rPr>
          <w:rFonts w:asciiTheme="minorHAnsi" w:hAnsiTheme="minorHAnsi"/>
          <w:b/>
          <w:i/>
          <w:color w:val="000000" w:themeColor="text1"/>
          <w:lang w:val="en-GB"/>
        </w:rPr>
        <w:t xml:space="preserve">Protecting </w:t>
      </w:r>
      <w:r w:rsidR="00DF1CFA" w:rsidRPr="0007754D">
        <w:rPr>
          <w:rFonts w:asciiTheme="minorHAnsi" w:hAnsiTheme="minorHAnsi"/>
          <w:b/>
          <w:i/>
          <w:color w:val="000000" w:themeColor="text1"/>
          <w:lang w:val="en-GB"/>
        </w:rPr>
        <w:t>vulnerability</w:t>
      </w:r>
      <w:r w:rsidR="00B901D4" w:rsidRPr="0007754D">
        <w:rPr>
          <w:rFonts w:asciiTheme="minorHAnsi" w:hAnsiTheme="minorHAnsi"/>
          <w:b/>
          <w:i/>
          <w:color w:val="000000" w:themeColor="text1"/>
          <w:lang w:val="en-GB"/>
        </w:rPr>
        <w:t xml:space="preserve"> in abortion cases: suffering</w:t>
      </w:r>
    </w:p>
    <w:p w14:paraId="7076D6B4" w14:textId="77777777" w:rsidR="00433184" w:rsidRPr="0007754D" w:rsidRDefault="00433184" w:rsidP="00433184">
      <w:pPr>
        <w:spacing w:line="276" w:lineRule="auto"/>
        <w:jc w:val="both"/>
        <w:rPr>
          <w:color w:val="000000" w:themeColor="text1"/>
          <w:lang w:val="en-GB"/>
        </w:rPr>
      </w:pPr>
    </w:p>
    <w:p w14:paraId="76CFCA16" w14:textId="24CBD894" w:rsidR="00E06C0B" w:rsidRPr="0007754D" w:rsidRDefault="00433184" w:rsidP="00433184">
      <w:pPr>
        <w:spacing w:line="276" w:lineRule="auto"/>
        <w:jc w:val="both"/>
        <w:rPr>
          <w:color w:val="000000" w:themeColor="text1"/>
          <w:lang w:val="en-GB"/>
        </w:rPr>
      </w:pPr>
      <w:r w:rsidRPr="0007754D">
        <w:rPr>
          <w:color w:val="000000" w:themeColor="text1"/>
          <w:lang w:val="en-GB"/>
        </w:rPr>
        <w:t xml:space="preserve">Since 2000, the Court held four Merits </w:t>
      </w:r>
      <w:r w:rsidR="003B0A03" w:rsidRPr="0007754D">
        <w:rPr>
          <w:color w:val="000000" w:themeColor="text1"/>
          <w:lang w:val="en-GB"/>
        </w:rPr>
        <w:t>Judgments</w:t>
      </w:r>
      <w:r w:rsidRPr="0007754D">
        <w:rPr>
          <w:color w:val="000000" w:themeColor="text1"/>
          <w:lang w:val="en-GB"/>
        </w:rPr>
        <w:t xml:space="preserve"> under Article 3 ECHR, concerning allegations of insufficient access to abortion services in Poland and in Ireland</w:t>
      </w:r>
      <w:r w:rsidR="00085DD9" w:rsidRPr="0007754D">
        <w:rPr>
          <w:color w:val="000000" w:themeColor="text1"/>
          <w:lang w:val="en-GB"/>
        </w:rPr>
        <w:t xml:space="preserve"> (</w:t>
      </w:r>
      <w:r w:rsidRPr="0007754D">
        <w:rPr>
          <w:color w:val="000000" w:themeColor="text1"/>
          <w:lang w:val="en-GB"/>
        </w:rPr>
        <w:t>the two states parties to the ECHR with the most restrictive abortion laws</w:t>
      </w:r>
      <w:r w:rsidR="00085DD9" w:rsidRPr="0007754D">
        <w:rPr>
          <w:color w:val="000000" w:themeColor="text1"/>
          <w:lang w:val="en-GB"/>
        </w:rPr>
        <w:t>)</w:t>
      </w:r>
      <w:r w:rsidRPr="0007754D">
        <w:rPr>
          <w:color w:val="000000" w:themeColor="text1"/>
          <w:lang w:val="en-GB"/>
        </w:rPr>
        <w:t>.</w:t>
      </w:r>
      <w:r w:rsidRPr="0007754D">
        <w:rPr>
          <w:rStyle w:val="FootnoteReference"/>
          <w:color w:val="000000" w:themeColor="text1"/>
        </w:rPr>
        <w:footnoteReference w:id="35"/>
      </w:r>
      <w:r w:rsidRPr="0007754D">
        <w:rPr>
          <w:color w:val="000000" w:themeColor="text1"/>
          <w:lang w:val="en-GB"/>
        </w:rPr>
        <w:t xml:space="preserve"> </w:t>
      </w:r>
    </w:p>
    <w:p w14:paraId="1B3C2479" w14:textId="77777777" w:rsidR="00E06C0B" w:rsidRPr="0007754D" w:rsidRDefault="00E06C0B" w:rsidP="00433184">
      <w:pPr>
        <w:spacing w:line="276" w:lineRule="auto"/>
        <w:jc w:val="both"/>
        <w:rPr>
          <w:color w:val="000000" w:themeColor="text1"/>
          <w:lang w:val="en-GB"/>
        </w:rPr>
      </w:pPr>
    </w:p>
    <w:p w14:paraId="1A179A00" w14:textId="35910221" w:rsidR="00433184" w:rsidRPr="0007754D" w:rsidRDefault="00433184" w:rsidP="00834AD8">
      <w:pPr>
        <w:spacing w:line="276" w:lineRule="auto"/>
        <w:jc w:val="both"/>
        <w:rPr>
          <w:color w:val="000000" w:themeColor="text1"/>
          <w:lang w:val="en-GB"/>
        </w:rPr>
      </w:pPr>
      <w:r w:rsidRPr="0007754D">
        <w:rPr>
          <w:color w:val="000000" w:themeColor="text1"/>
          <w:lang w:val="en-GB"/>
        </w:rPr>
        <w:t xml:space="preserve">In the two </w:t>
      </w:r>
      <w:r w:rsidR="00B8397D" w:rsidRPr="0007754D">
        <w:rPr>
          <w:color w:val="000000" w:themeColor="text1"/>
          <w:lang w:val="en-GB"/>
        </w:rPr>
        <w:t>earlier</w:t>
      </w:r>
      <w:r w:rsidRPr="0007754D">
        <w:rPr>
          <w:color w:val="000000" w:themeColor="text1"/>
          <w:lang w:val="en-GB"/>
        </w:rPr>
        <w:t xml:space="preserve"> abortion cases, the ECtHR found that there was no violation of </w:t>
      </w:r>
      <w:r w:rsidR="00085DD9" w:rsidRPr="0007754D">
        <w:rPr>
          <w:color w:val="000000" w:themeColor="text1"/>
          <w:lang w:val="en-GB"/>
        </w:rPr>
        <w:t>Article 3</w:t>
      </w:r>
      <w:r w:rsidRPr="0007754D">
        <w:rPr>
          <w:color w:val="000000" w:themeColor="text1"/>
          <w:lang w:val="en-GB"/>
        </w:rPr>
        <w:t>, even though severe suffering was reported</w:t>
      </w:r>
      <w:r w:rsidR="00085DD9" w:rsidRPr="0007754D">
        <w:rPr>
          <w:color w:val="000000" w:themeColor="text1"/>
          <w:lang w:val="en-GB"/>
        </w:rPr>
        <w:t xml:space="preserve"> by the applicants</w:t>
      </w:r>
      <w:r w:rsidRPr="0007754D">
        <w:rPr>
          <w:color w:val="000000" w:themeColor="text1"/>
          <w:lang w:val="en-GB"/>
        </w:rPr>
        <w:t xml:space="preserve">. In </w:t>
      </w:r>
      <w:r w:rsidRPr="0007754D">
        <w:rPr>
          <w:i/>
          <w:color w:val="000000" w:themeColor="text1"/>
          <w:lang w:val="en-GB"/>
        </w:rPr>
        <w:t xml:space="preserve">Tysiac v. Poland </w:t>
      </w:r>
      <w:r w:rsidRPr="0007754D">
        <w:rPr>
          <w:color w:val="000000" w:themeColor="text1"/>
          <w:lang w:val="en-GB"/>
        </w:rPr>
        <w:t>(2007)</w:t>
      </w:r>
      <w:r w:rsidRPr="0007754D">
        <w:rPr>
          <w:rStyle w:val="FootnoteReference"/>
          <w:color w:val="000000" w:themeColor="text1"/>
        </w:rPr>
        <w:footnoteReference w:id="36"/>
      </w:r>
      <w:r w:rsidRPr="0007754D">
        <w:rPr>
          <w:color w:val="000000" w:themeColor="text1"/>
          <w:lang w:val="en-GB"/>
        </w:rPr>
        <w:t xml:space="preserve"> the applicant had requested a therapeutic abortion on the ground that her pregnancy would worsen her severe myopia but she was refused access to this procedure and became severely disabled following the birth of her child. The Court incomprehensibly dismissed the applicant’s allegations of ill-treatment based on the anguish, distress and loss of eyesight she had suffered from, by succinctly declaring: </w:t>
      </w:r>
      <w:r w:rsidRPr="0007754D">
        <w:rPr>
          <w:i/>
          <w:color w:val="000000" w:themeColor="text1"/>
          <w:lang w:val="en-GB"/>
        </w:rPr>
        <w:t>‘</w:t>
      </w:r>
      <w:r w:rsidRPr="0007754D">
        <w:rPr>
          <w:i/>
          <w:color w:val="000000" w:themeColor="text1"/>
          <w:lang w:val="en-GB"/>
        </w:rPr>
        <w:sym w:font="Symbol" w:char="F05B"/>
      </w:r>
      <w:r w:rsidRPr="0007754D">
        <w:rPr>
          <w:i/>
          <w:color w:val="000000" w:themeColor="text1"/>
          <w:lang w:val="en-GB"/>
        </w:rPr>
        <w:t>i</w:t>
      </w:r>
      <w:r w:rsidRPr="0007754D">
        <w:rPr>
          <w:i/>
          <w:color w:val="000000" w:themeColor="text1"/>
          <w:lang w:val="en-GB"/>
        </w:rPr>
        <w:sym w:font="Symbol" w:char="F05D"/>
      </w:r>
      <w:r w:rsidRPr="0007754D">
        <w:rPr>
          <w:i/>
          <w:color w:val="000000" w:themeColor="text1"/>
          <w:lang w:val="en-GB"/>
        </w:rPr>
        <w:t>n the circumstances of the instant case, the Court finds that the facts alleged do not disclose a breach of Article 3’</w:t>
      </w:r>
      <w:r w:rsidRPr="0007754D">
        <w:rPr>
          <w:color w:val="000000" w:themeColor="text1"/>
          <w:lang w:val="en-GB"/>
        </w:rPr>
        <w:t>.</w:t>
      </w:r>
      <w:r w:rsidRPr="0007754D">
        <w:rPr>
          <w:rStyle w:val="FootnoteReference"/>
          <w:color w:val="000000" w:themeColor="text1"/>
        </w:rPr>
        <w:footnoteReference w:id="37"/>
      </w:r>
      <w:r w:rsidRPr="0007754D">
        <w:rPr>
          <w:color w:val="000000" w:themeColor="text1"/>
          <w:lang w:val="en-GB"/>
        </w:rPr>
        <w:t xml:space="preserve"> This is particularly surprising since the Court recognised, in that same assessment, that states’ failure to provide adequate medical treatment could lead to a violation of Article 3.</w:t>
      </w:r>
      <w:r w:rsidRPr="0007754D">
        <w:rPr>
          <w:rStyle w:val="FootnoteReference"/>
          <w:color w:val="000000" w:themeColor="text1"/>
        </w:rPr>
        <w:footnoteReference w:id="38"/>
      </w:r>
      <w:r w:rsidRPr="0007754D">
        <w:rPr>
          <w:color w:val="000000" w:themeColor="text1"/>
          <w:lang w:val="en-GB"/>
        </w:rPr>
        <w:t xml:space="preserve"> </w:t>
      </w:r>
      <w:r w:rsidR="00085DD9" w:rsidRPr="0007754D">
        <w:rPr>
          <w:color w:val="000000" w:themeColor="text1"/>
          <w:lang w:val="en-GB"/>
        </w:rPr>
        <w:t>T</w:t>
      </w:r>
      <w:r w:rsidRPr="0007754D">
        <w:rPr>
          <w:color w:val="000000" w:themeColor="text1"/>
          <w:lang w:val="en-GB"/>
        </w:rPr>
        <w:t xml:space="preserve">he Court </w:t>
      </w:r>
      <w:r w:rsidR="00085DD9" w:rsidRPr="0007754D">
        <w:rPr>
          <w:color w:val="000000" w:themeColor="text1"/>
          <w:lang w:val="en-GB"/>
        </w:rPr>
        <w:t xml:space="preserve">also </w:t>
      </w:r>
      <w:r w:rsidRPr="0007754D">
        <w:rPr>
          <w:color w:val="000000" w:themeColor="text1"/>
          <w:lang w:val="en-GB"/>
        </w:rPr>
        <w:t>dismissed applicants’ suffering in</w:t>
      </w:r>
      <w:r w:rsidR="00085DD9" w:rsidRPr="0007754D">
        <w:rPr>
          <w:color w:val="000000" w:themeColor="text1"/>
          <w:lang w:val="en-GB"/>
        </w:rPr>
        <w:t xml:space="preserve"> the case</w:t>
      </w:r>
      <w:r w:rsidRPr="0007754D">
        <w:rPr>
          <w:color w:val="000000" w:themeColor="text1"/>
          <w:lang w:val="en-GB"/>
        </w:rPr>
        <w:t xml:space="preserve"> </w:t>
      </w:r>
      <w:r w:rsidRPr="0007754D">
        <w:rPr>
          <w:i/>
          <w:color w:val="000000" w:themeColor="text1"/>
          <w:lang w:val="en-GB"/>
        </w:rPr>
        <w:t xml:space="preserve">A. B. C. v. Ireland </w:t>
      </w:r>
      <w:r w:rsidRPr="0007754D">
        <w:rPr>
          <w:color w:val="000000" w:themeColor="text1"/>
          <w:lang w:val="en-GB"/>
        </w:rPr>
        <w:t>(2010), in which three women who were unable to access legal abortion services in Ireland had to travel to the United Kingdom to terminate their pregnancies.</w:t>
      </w:r>
      <w:r w:rsidRPr="0007754D">
        <w:rPr>
          <w:rStyle w:val="FootnoteReference"/>
          <w:color w:val="000000" w:themeColor="text1"/>
        </w:rPr>
        <w:footnoteReference w:id="39"/>
      </w:r>
      <w:r w:rsidRPr="0007754D">
        <w:rPr>
          <w:color w:val="000000" w:themeColor="text1"/>
          <w:lang w:val="en-GB"/>
        </w:rPr>
        <w:t xml:space="preserve"> While the ECtHR recognised the arduous aspect of travelling abroad to obtain an abortion, it held that such circumstances did not reach the minimum level of severity necessary to trigger Article 3.</w:t>
      </w:r>
      <w:r w:rsidRPr="0007754D">
        <w:rPr>
          <w:rStyle w:val="FootnoteReference"/>
          <w:color w:val="000000" w:themeColor="text1"/>
        </w:rPr>
        <w:footnoteReference w:id="40"/>
      </w:r>
      <w:r w:rsidRPr="0007754D">
        <w:rPr>
          <w:color w:val="000000" w:themeColor="text1"/>
          <w:lang w:val="en-GB"/>
        </w:rPr>
        <w:t xml:space="preserve"> </w:t>
      </w:r>
      <w:r w:rsidR="00085DD9" w:rsidRPr="0007754D">
        <w:rPr>
          <w:color w:val="000000" w:themeColor="text1"/>
          <w:lang w:val="en-GB"/>
        </w:rPr>
        <w:t>S</w:t>
      </w:r>
      <w:r w:rsidRPr="0007754D">
        <w:rPr>
          <w:color w:val="000000" w:themeColor="text1"/>
          <w:lang w:val="en-GB"/>
        </w:rPr>
        <w:t>uch a position</w:t>
      </w:r>
      <w:r w:rsidR="006F7422" w:rsidRPr="0007754D">
        <w:rPr>
          <w:color w:val="000000" w:themeColor="text1"/>
          <w:lang w:val="en-GB"/>
        </w:rPr>
        <w:t xml:space="preserve"> denies </w:t>
      </w:r>
      <w:r w:rsidR="00085DD9" w:rsidRPr="0007754D">
        <w:rPr>
          <w:color w:val="000000" w:themeColor="text1"/>
          <w:lang w:val="en-GB"/>
        </w:rPr>
        <w:t xml:space="preserve">evidence </w:t>
      </w:r>
      <w:r w:rsidR="00BD3ABA" w:rsidRPr="0007754D">
        <w:rPr>
          <w:color w:val="000000" w:themeColor="text1"/>
          <w:lang w:val="en-GB"/>
        </w:rPr>
        <w:t>highlighting</w:t>
      </w:r>
      <w:r w:rsidR="00085DD9" w:rsidRPr="0007754D">
        <w:rPr>
          <w:color w:val="000000" w:themeColor="text1"/>
          <w:lang w:val="en-GB"/>
        </w:rPr>
        <w:t xml:space="preserve"> the</w:t>
      </w:r>
      <w:r w:rsidR="00D67D68" w:rsidRPr="0007754D">
        <w:rPr>
          <w:color w:val="000000" w:themeColor="text1"/>
          <w:lang w:val="en-GB"/>
        </w:rPr>
        <w:t xml:space="preserve"> significant</w:t>
      </w:r>
      <w:r w:rsidR="006F7422" w:rsidRPr="0007754D">
        <w:rPr>
          <w:color w:val="000000" w:themeColor="text1"/>
          <w:lang w:val="en-GB"/>
        </w:rPr>
        <w:t xml:space="preserve"> impact of </w:t>
      </w:r>
      <w:r w:rsidR="00BD3ABA" w:rsidRPr="0007754D">
        <w:rPr>
          <w:color w:val="000000" w:themeColor="text1"/>
          <w:lang w:val="en-GB"/>
        </w:rPr>
        <w:t>these</w:t>
      </w:r>
      <w:r w:rsidR="006F7422" w:rsidRPr="0007754D">
        <w:rPr>
          <w:color w:val="000000" w:themeColor="text1"/>
          <w:lang w:val="en-GB"/>
        </w:rPr>
        <w:t xml:space="preserve"> travels on</w:t>
      </w:r>
      <w:r w:rsidR="00085DD9" w:rsidRPr="0007754D">
        <w:rPr>
          <w:color w:val="000000" w:themeColor="text1"/>
          <w:lang w:val="en-GB"/>
        </w:rPr>
        <w:t xml:space="preserve"> women’s mental health</w:t>
      </w:r>
      <w:r w:rsidR="006F7422" w:rsidRPr="0007754D">
        <w:rPr>
          <w:color w:val="000000" w:themeColor="text1"/>
          <w:lang w:val="en-GB"/>
        </w:rPr>
        <w:t xml:space="preserve"> and on their access to post-abortion care</w:t>
      </w:r>
      <w:r w:rsidR="00BD3ABA" w:rsidRPr="0007754D">
        <w:rPr>
          <w:color w:val="000000" w:themeColor="text1"/>
          <w:lang w:val="en-GB"/>
        </w:rPr>
        <w:t>,</w:t>
      </w:r>
      <w:r w:rsidR="006F7422" w:rsidRPr="0007754D">
        <w:rPr>
          <w:color w:val="000000" w:themeColor="text1"/>
          <w:lang w:val="en-GB"/>
        </w:rPr>
        <w:t xml:space="preserve"> </w:t>
      </w:r>
      <w:r w:rsidR="00BD3ABA" w:rsidRPr="0007754D">
        <w:rPr>
          <w:color w:val="000000" w:themeColor="text1"/>
          <w:lang w:val="en-GB"/>
        </w:rPr>
        <w:t>aimed at</w:t>
      </w:r>
      <w:r w:rsidR="006F7422" w:rsidRPr="0007754D">
        <w:rPr>
          <w:color w:val="000000" w:themeColor="text1"/>
          <w:lang w:val="en-GB"/>
        </w:rPr>
        <w:t xml:space="preserve"> prevent</w:t>
      </w:r>
      <w:r w:rsidR="00BD3ABA" w:rsidRPr="0007754D">
        <w:rPr>
          <w:color w:val="000000" w:themeColor="text1"/>
          <w:lang w:val="en-GB"/>
        </w:rPr>
        <w:t>ing</w:t>
      </w:r>
      <w:r w:rsidR="006F7422" w:rsidRPr="0007754D">
        <w:rPr>
          <w:color w:val="000000" w:themeColor="text1"/>
          <w:lang w:val="en-GB"/>
        </w:rPr>
        <w:t xml:space="preserve"> complications.</w:t>
      </w:r>
      <w:r w:rsidR="00E771A2" w:rsidRPr="0007754D">
        <w:rPr>
          <w:rStyle w:val="FootnoteReference"/>
          <w:color w:val="000000" w:themeColor="text1"/>
        </w:rPr>
        <w:footnoteReference w:id="41"/>
      </w:r>
      <w:r w:rsidR="00D67D68" w:rsidRPr="0007754D">
        <w:rPr>
          <w:color w:val="000000" w:themeColor="text1"/>
          <w:lang w:val="en-GB"/>
        </w:rPr>
        <w:t xml:space="preserve"> </w:t>
      </w:r>
      <w:r w:rsidR="00BD3ABA" w:rsidRPr="0007754D">
        <w:rPr>
          <w:color w:val="000000" w:themeColor="text1"/>
          <w:lang w:val="en-GB"/>
        </w:rPr>
        <w:t>Furthermore, such a position</w:t>
      </w:r>
      <w:r w:rsidRPr="0007754D">
        <w:rPr>
          <w:color w:val="000000" w:themeColor="text1"/>
          <w:lang w:val="en-GB"/>
        </w:rPr>
        <w:t xml:space="preserve"> goes against a more recent decision </w:t>
      </w:r>
      <w:r w:rsidR="00474E1E" w:rsidRPr="0007754D">
        <w:rPr>
          <w:color w:val="000000" w:themeColor="text1"/>
          <w:lang w:val="en-GB"/>
        </w:rPr>
        <w:t>of</w:t>
      </w:r>
      <w:r w:rsidRPr="0007754D">
        <w:rPr>
          <w:color w:val="000000" w:themeColor="text1"/>
          <w:lang w:val="en-GB"/>
        </w:rPr>
        <w:t xml:space="preserve"> the UN Human Rights Committ</w:t>
      </w:r>
      <w:r w:rsidR="006F4CE3" w:rsidRPr="0007754D">
        <w:rPr>
          <w:color w:val="000000" w:themeColor="text1"/>
          <w:lang w:val="en-GB"/>
        </w:rPr>
        <w:t xml:space="preserve">ee, </w:t>
      </w:r>
      <w:r w:rsidR="00474E1E" w:rsidRPr="0007754D">
        <w:rPr>
          <w:color w:val="000000" w:themeColor="text1"/>
          <w:lang w:val="en-GB"/>
        </w:rPr>
        <w:t>which</w:t>
      </w:r>
      <w:r w:rsidR="006F4CE3" w:rsidRPr="0007754D">
        <w:rPr>
          <w:color w:val="000000" w:themeColor="text1"/>
          <w:lang w:val="en-GB"/>
        </w:rPr>
        <w:t xml:space="preserve"> </w:t>
      </w:r>
      <w:r w:rsidRPr="0007754D">
        <w:rPr>
          <w:color w:val="000000" w:themeColor="text1"/>
          <w:lang w:val="en-GB"/>
        </w:rPr>
        <w:t>held that women</w:t>
      </w:r>
      <w:r w:rsidR="00474E1E" w:rsidRPr="0007754D">
        <w:rPr>
          <w:color w:val="000000" w:themeColor="text1"/>
          <w:lang w:val="en-GB"/>
        </w:rPr>
        <w:t xml:space="preserve"> </w:t>
      </w:r>
      <w:r w:rsidRPr="0007754D">
        <w:rPr>
          <w:color w:val="000000" w:themeColor="text1"/>
          <w:lang w:val="en-GB"/>
        </w:rPr>
        <w:t xml:space="preserve">having to travel abroad </w:t>
      </w:r>
      <w:r w:rsidR="00115B5F" w:rsidRPr="0007754D">
        <w:rPr>
          <w:color w:val="000000" w:themeColor="text1"/>
          <w:lang w:val="en-GB"/>
        </w:rPr>
        <w:t xml:space="preserve">from Ireland </w:t>
      </w:r>
      <w:r w:rsidRPr="0007754D">
        <w:rPr>
          <w:color w:val="000000" w:themeColor="text1"/>
          <w:lang w:val="en-GB"/>
        </w:rPr>
        <w:t>to terminate their pregnancies were subject to ‘</w:t>
      </w:r>
      <w:r w:rsidRPr="0007754D">
        <w:rPr>
          <w:i/>
          <w:color w:val="000000" w:themeColor="text1"/>
          <w:lang w:val="en-GB"/>
        </w:rPr>
        <w:t>conditions of intense physical and mental suffering</w:t>
      </w:r>
      <w:r w:rsidRPr="0007754D">
        <w:rPr>
          <w:color w:val="000000" w:themeColor="text1"/>
          <w:lang w:val="en-GB"/>
        </w:rPr>
        <w:t>’ likely to contribute to a breach of their freedom from inhuman treatment.</w:t>
      </w:r>
      <w:r w:rsidRPr="0007754D">
        <w:rPr>
          <w:rStyle w:val="FootnoteReference"/>
          <w:color w:val="000000" w:themeColor="text1"/>
        </w:rPr>
        <w:footnoteReference w:id="42"/>
      </w:r>
      <w:r w:rsidRPr="0007754D">
        <w:rPr>
          <w:color w:val="000000" w:themeColor="text1"/>
          <w:lang w:val="en-GB"/>
        </w:rPr>
        <w:t xml:space="preserve"> </w:t>
      </w:r>
      <w:r w:rsidR="00115B5F" w:rsidRPr="0007754D">
        <w:rPr>
          <w:color w:val="000000" w:themeColor="text1"/>
          <w:lang w:val="en-GB"/>
        </w:rPr>
        <w:t>T</w:t>
      </w:r>
      <w:r w:rsidRPr="0007754D">
        <w:rPr>
          <w:color w:val="000000" w:themeColor="text1"/>
          <w:lang w:val="en-GB"/>
        </w:rPr>
        <w:t>he ECtHR’s desire to avoid controversial to</w:t>
      </w:r>
      <w:r w:rsidR="005C7648" w:rsidRPr="0007754D">
        <w:rPr>
          <w:color w:val="000000" w:themeColor="text1"/>
          <w:lang w:val="en-GB"/>
        </w:rPr>
        <w:t>pics such as abortion</w:t>
      </w:r>
      <w:r w:rsidR="00F06285" w:rsidRPr="0007754D">
        <w:rPr>
          <w:color w:val="000000" w:themeColor="text1"/>
          <w:lang w:val="en-GB"/>
        </w:rPr>
        <w:t xml:space="preserve"> </w:t>
      </w:r>
      <w:r w:rsidR="00FB4CE7" w:rsidRPr="0007754D">
        <w:rPr>
          <w:color w:val="000000" w:themeColor="text1"/>
          <w:lang w:val="en-GB"/>
        </w:rPr>
        <w:t xml:space="preserve">is a failure to recognise women’s particular vulnerability to SRH discrimination </w:t>
      </w:r>
      <w:r w:rsidR="006839E6" w:rsidRPr="0007754D">
        <w:rPr>
          <w:color w:val="000000" w:themeColor="text1"/>
          <w:lang w:val="en-GB"/>
        </w:rPr>
        <w:t xml:space="preserve">and </w:t>
      </w:r>
      <w:r w:rsidR="00FB4CE7" w:rsidRPr="0007754D">
        <w:rPr>
          <w:color w:val="000000" w:themeColor="text1"/>
          <w:lang w:val="en-GB"/>
        </w:rPr>
        <w:t>to protect them</w:t>
      </w:r>
      <w:r w:rsidR="007F36ED" w:rsidRPr="0007754D">
        <w:rPr>
          <w:color w:val="000000" w:themeColor="text1"/>
          <w:lang w:val="en-GB"/>
        </w:rPr>
        <w:t xml:space="preserve"> from suffering</w:t>
      </w:r>
      <w:r w:rsidR="002B7FAF" w:rsidRPr="0007754D">
        <w:rPr>
          <w:color w:val="000000" w:themeColor="text1"/>
          <w:lang w:val="en-GB"/>
        </w:rPr>
        <w:t>, including that caused by unsafe abortions</w:t>
      </w:r>
      <w:r w:rsidR="00FB4CE7" w:rsidRPr="0007754D">
        <w:rPr>
          <w:color w:val="000000" w:themeColor="text1"/>
          <w:lang w:val="en-GB"/>
        </w:rPr>
        <w:t xml:space="preserve">. This is all the more problematic since the Court also refused to assess applicants’ </w:t>
      </w:r>
      <w:r w:rsidR="00834AD8" w:rsidRPr="0007754D">
        <w:rPr>
          <w:color w:val="000000" w:themeColor="text1"/>
          <w:lang w:val="en-GB"/>
        </w:rPr>
        <w:t>allegations of Article 14 violation</w:t>
      </w:r>
      <w:r w:rsidR="00F06285" w:rsidRPr="0007754D">
        <w:rPr>
          <w:color w:val="000000" w:themeColor="text1"/>
          <w:lang w:val="en-GB"/>
        </w:rPr>
        <w:t>s</w:t>
      </w:r>
      <w:r w:rsidR="00FB4CE7" w:rsidRPr="0007754D">
        <w:rPr>
          <w:color w:val="000000" w:themeColor="text1"/>
          <w:lang w:val="en-GB"/>
        </w:rPr>
        <w:t xml:space="preserve">, </w:t>
      </w:r>
      <w:r w:rsidR="006839E6" w:rsidRPr="0007754D">
        <w:rPr>
          <w:color w:val="000000" w:themeColor="text1"/>
          <w:lang w:val="en-GB"/>
        </w:rPr>
        <w:t xml:space="preserve">by </w:t>
      </w:r>
      <w:r w:rsidR="00FB4CE7" w:rsidRPr="0007754D">
        <w:rPr>
          <w:color w:val="000000" w:themeColor="text1"/>
          <w:lang w:val="en-GB"/>
        </w:rPr>
        <w:t>declaring that this provision did not trigger</w:t>
      </w:r>
      <w:r w:rsidR="00834AD8" w:rsidRPr="0007754D">
        <w:rPr>
          <w:color w:val="000000" w:themeColor="text1"/>
          <w:lang w:val="en-GB"/>
        </w:rPr>
        <w:t xml:space="preserve"> separate issues</w:t>
      </w:r>
      <w:r w:rsidR="00F06285" w:rsidRPr="0007754D">
        <w:rPr>
          <w:color w:val="000000" w:themeColor="text1"/>
          <w:lang w:val="en-GB"/>
        </w:rPr>
        <w:t>,</w:t>
      </w:r>
      <w:r w:rsidR="006839E6" w:rsidRPr="0007754D">
        <w:rPr>
          <w:rStyle w:val="FootnoteReference"/>
          <w:color w:val="000000" w:themeColor="text1"/>
        </w:rPr>
        <w:footnoteReference w:id="43"/>
      </w:r>
      <w:r w:rsidR="00F06285" w:rsidRPr="0007754D">
        <w:rPr>
          <w:color w:val="000000" w:themeColor="text1"/>
          <w:lang w:val="en-GB"/>
        </w:rPr>
        <w:t xml:space="preserve"> which is incorrect</w:t>
      </w:r>
      <w:r w:rsidR="00834AD8" w:rsidRPr="0007754D">
        <w:rPr>
          <w:color w:val="000000" w:themeColor="text1"/>
          <w:lang w:val="en-GB"/>
        </w:rPr>
        <w:t>.</w:t>
      </w:r>
    </w:p>
    <w:p w14:paraId="2A365F70" w14:textId="6B2CB123" w:rsidR="00241EC0" w:rsidRPr="0007754D" w:rsidRDefault="00433184" w:rsidP="00241EC0">
      <w:pPr>
        <w:spacing w:before="240" w:line="276" w:lineRule="auto"/>
        <w:jc w:val="both"/>
        <w:rPr>
          <w:color w:val="000000" w:themeColor="text1"/>
          <w:lang w:val="en-GB"/>
        </w:rPr>
      </w:pPr>
      <w:r w:rsidRPr="0007754D">
        <w:rPr>
          <w:color w:val="000000" w:themeColor="text1"/>
          <w:lang w:val="en-GB"/>
        </w:rPr>
        <w:t xml:space="preserve">In the two </w:t>
      </w:r>
      <w:r w:rsidR="007F36ED" w:rsidRPr="0007754D">
        <w:rPr>
          <w:color w:val="000000" w:themeColor="text1"/>
          <w:lang w:val="en-GB"/>
        </w:rPr>
        <w:t>later</w:t>
      </w:r>
      <w:r w:rsidRPr="0007754D">
        <w:rPr>
          <w:color w:val="000000" w:themeColor="text1"/>
          <w:lang w:val="en-GB"/>
        </w:rPr>
        <w:t xml:space="preserve"> abortion cases involving an alleged breach of Article 3 ECHR, the ECtHR found a breach, but failed </w:t>
      </w:r>
      <w:r w:rsidR="006F4CE3" w:rsidRPr="0007754D">
        <w:rPr>
          <w:color w:val="000000" w:themeColor="text1"/>
          <w:lang w:val="en-GB"/>
        </w:rPr>
        <w:t>to strongly protect women’s SRH</w:t>
      </w:r>
      <w:r w:rsidRPr="0007754D">
        <w:rPr>
          <w:color w:val="000000" w:themeColor="text1"/>
          <w:lang w:val="en-GB"/>
        </w:rPr>
        <w:t xml:space="preserve">. In </w:t>
      </w:r>
      <w:r w:rsidRPr="0007754D">
        <w:rPr>
          <w:i/>
          <w:color w:val="000000" w:themeColor="text1"/>
          <w:lang w:val="en-GB"/>
        </w:rPr>
        <w:t xml:space="preserve">R. R. v. Poland </w:t>
      </w:r>
      <w:r w:rsidRPr="0007754D">
        <w:rPr>
          <w:color w:val="000000" w:themeColor="text1"/>
          <w:lang w:val="en-GB"/>
        </w:rPr>
        <w:t>(2011)</w:t>
      </w:r>
      <w:r w:rsidR="009B1B5F" w:rsidRPr="0007754D">
        <w:rPr>
          <w:color w:val="000000" w:themeColor="text1"/>
          <w:lang w:val="en-GB"/>
        </w:rPr>
        <w:t>,</w:t>
      </w:r>
      <w:r w:rsidRPr="0007754D">
        <w:rPr>
          <w:rStyle w:val="FootnoteReference"/>
          <w:color w:val="000000" w:themeColor="text1"/>
        </w:rPr>
        <w:footnoteReference w:id="44"/>
      </w:r>
      <w:r w:rsidRPr="0007754D">
        <w:rPr>
          <w:color w:val="000000" w:themeColor="text1"/>
          <w:lang w:val="en-GB"/>
        </w:rPr>
        <w:t xml:space="preserve"> a pregnant woman was told by health professionals that her foetus was likely to suffer from malformation, but she was denied access to genetic tests until it was too late for her to undergo an abortion; she gave birth to a severely-ill child.</w:t>
      </w:r>
      <w:r w:rsidRPr="0007754D">
        <w:rPr>
          <w:rStyle w:val="FootnoteReference"/>
          <w:color w:val="000000" w:themeColor="text1"/>
        </w:rPr>
        <w:footnoteReference w:id="45"/>
      </w:r>
      <w:r w:rsidRPr="0007754D">
        <w:rPr>
          <w:color w:val="000000" w:themeColor="text1"/>
          <w:lang w:val="en-GB"/>
        </w:rPr>
        <w:t xml:space="preserve"> The ECtHR held that the applicant’s suffering, before and after obtaining the results of genetic tests that were available all along, met the threshold set by Article 3.</w:t>
      </w:r>
      <w:r w:rsidRPr="0007754D">
        <w:rPr>
          <w:rStyle w:val="FootnoteReference"/>
          <w:color w:val="000000" w:themeColor="text1"/>
        </w:rPr>
        <w:footnoteReference w:id="46"/>
      </w:r>
      <w:r w:rsidRPr="0007754D">
        <w:rPr>
          <w:color w:val="000000" w:themeColor="text1"/>
          <w:lang w:val="en-GB"/>
        </w:rPr>
        <w:t xml:space="preserve"> It highlighted the applicant’s ‘</w:t>
      </w:r>
      <w:r w:rsidRPr="0007754D">
        <w:rPr>
          <w:i/>
          <w:color w:val="000000" w:themeColor="text1"/>
          <w:lang w:val="en-GB"/>
        </w:rPr>
        <w:t>great’</w:t>
      </w:r>
      <w:r w:rsidRPr="0007754D">
        <w:rPr>
          <w:color w:val="000000" w:themeColor="text1"/>
          <w:lang w:val="en-GB"/>
        </w:rPr>
        <w:t xml:space="preserve"> vulnerability, ‘</w:t>
      </w:r>
      <w:r w:rsidRPr="0007754D">
        <w:rPr>
          <w:i/>
          <w:color w:val="000000" w:themeColor="text1"/>
          <w:lang w:val="en-GB"/>
        </w:rPr>
        <w:t>deep</w:t>
      </w:r>
      <w:r w:rsidRPr="0007754D">
        <w:rPr>
          <w:color w:val="000000" w:themeColor="text1"/>
          <w:lang w:val="en-GB"/>
        </w:rPr>
        <w:t>’ distress and ‘</w:t>
      </w:r>
      <w:r w:rsidRPr="0007754D">
        <w:rPr>
          <w:i/>
          <w:color w:val="000000" w:themeColor="text1"/>
          <w:lang w:val="en-GB"/>
        </w:rPr>
        <w:t>acute</w:t>
      </w:r>
      <w:r w:rsidRPr="0007754D">
        <w:rPr>
          <w:color w:val="000000" w:themeColor="text1"/>
          <w:lang w:val="en-GB"/>
        </w:rPr>
        <w:t>’ anguish, caused by weeks of uncertainty and her inability to make an informed decision on the continuation or legal abortion of her pregnancy.</w:t>
      </w:r>
      <w:r w:rsidRPr="0007754D">
        <w:rPr>
          <w:rStyle w:val="FootnoteReference"/>
          <w:color w:val="000000" w:themeColor="text1"/>
        </w:rPr>
        <w:footnoteReference w:id="47"/>
      </w:r>
      <w:r w:rsidR="006F4CE3" w:rsidRPr="0007754D">
        <w:rPr>
          <w:color w:val="000000" w:themeColor="text1"/>
          <w:lang w:val="en-GB"/>
        </w:rPr>
        <w:t xml:space="preserve"> The protection of women’s SRH</w:t>
      </w:r>
      <w:r w:rsidRPr="0007754D">
        <w:rPr>
          <w:color w:val="000000" w:themeColor="text1"/>
          <w:lang w:val="en-GB"/>
        </w:rPr>
        <w:t xml:space="preserve"> through Article 3 in an abortion case is certainly a first for the ECtHR, which should be applauded on that basis. However, the Court’s recognition of the applicant’s suffering under Article 3 does not seem motivated by the fact that the applicant was</w:t>
      </w:r>
      <w:r w:rsidR="00613FC0" w:rsidRPr="0007754D">
        <w:rPr>
          <w:color w:val="000000" w:themeColor="text1"/>
          <w:lang w:val="en-GB"/>
        </w:rPr>
        <w:t xml:space="preserve"> </w:t>
      </w:r>
      <w:r w:rsidR="009B0F8E" w:rsidRPr="0007754D">
        <w:rPr>
          <w:i/>
          <w:color w:val="000000" w:themeColor="text1"/>
          <w:lang w:val="en-GB"/>
        </w:rPr>
        <w:t>de facto</w:t>
      </w:r>
      <w:r w:rsidRPr="0007754D">
        <w:rPr>
          <w:color w:val="000000" w:themeColor="text1"/>
          <w:lang w:val="en-GB"/>
        </w:rPr>
        <w:t xml:space="preserve"> forced to continue a pregnancy which she did not desire to pursue. Instead, it seems conditioned by the fact that the applicant was prevented from accessing a procedure she was </w:t>
      </w:r>
      <w:r w:rsidRPr="0007754D">
        <w:rPr>
          <w:i/>
          <w:color w:val="000000" w:themeColor="text1"/>
          <w:lang w:val="en-GB"/>
        </w:rPr>
        <w:t>legally</w:t>
      </w:r>
      <w:r w:rsidRPr="0007754D">
        <w:rPr>
          <w:color w:val="000000" w:themeColor="text1"/>
          <w:lang w:val="en-GB"/>
        </w:rPr>
        <w:t xml:space="preserve"> entitled to undergo, dependent upon genetic tests. (Her situation fell under one of the few exceptions to Pola</w:t>
      </w:r>
      <w:r w:rsidR="00A87376" w:rsidRPr="0007754D">
        <w:rPr>
          <w:color w:val="000000" w:themeColor="text1"/>
          <w:lang w:val="en-GB"/>
        </w:rPr>
        <w:t xml:space="preserve">nd’s abortion restrictive laws: </w:t>
      </w:r>
      <w:r w:rsidRPr="0007754D">
        <w:rPr>
          <w:color w:val="000000" w:themeColor="text1"/>
          <w:lang w:val="en-GB"/>
        </w:rPr>
        <w:t>her foetus was likely to develop incurable life-threatening ailment).</w:t>
      </w:r>
      <w:r w:rsidRPr="0007754D">
        <w:rPr>
          <w:rStyle w:val="FootnoteReference"/>
          <w:color w:val="000000" w:themeColor="text1"/>
        </w:rPr>
        <w:footnoteReference w:id="48"/>
      </w:r>
      <w:r w:rsidRPr="0007754D">
        <w:rPr>
          <w:color w:val="000000" w:themeColor="text1"/>
          <w:lang w:val="en-GB"/>
        </w:rPr>
        <w:t xml:space="preserve"> This distinction, nonetheless, is particularly important for</w:t>
      </w:r>
      <w:r w:rsidR="003F0A7E" w:rsidRPr="0007754D">
        <w:rPr>
          <w:color w:val="000000" w:themeColor="text1"/>
          <w:lang w:val="en-GB"/>
        </w:rPr>
        <w:t xml:space="preserve"> cases involving countries (such as Poland) </w:t>
      </w:r>
      <w:r w:rsidRPr="0007754D">
        <w:rPr>
          <w:color w:val="000000" w:themeColor="text1"/>
          <w:lang w:val="en-GB"/>
        </w:rPr>
        <w:t>which laws impede women’s access to abortion</w:t>
      </w:r>
      <w:r w:rsidR="006F4CE3" w:rsidRPr="0007754D">
        <w:rPr>
          <w:color w:val="000000" w:themeColor="text1"/>
          <w:lang w:val="en-GB"/>
        </w:rPr>
        <w:t>, since i</w:t>
      </w:r>
      <w:r w:rsidRPr="0007754D">
        <w:rPr>
          <w:color w:val="000000" w:themeColor="text1"/>
          <w:lang w:val="en-GB"/>
        </w:rPr>
        <w:t>t is unclear whether the ECtHR would have recognised a breach of Article 3 if the applicant had not been legally en</w:t>
      </w:r>
      <w:r w:rsidR="003F0A7E" w:rsidRPr="0007754D">
        <w:rPr>
          <w:color w:val="000000" w:themeColor="text1"/>
          <w:lang w:val="en-GB"/>
        </w:rPr>
        <w:t xml:space="preserve">titled to undergo an abortion. This concern </w:t>
      </w:r>
      <w:r w:rsidR="00BA74DD" w:rsidRPr="0007754D">
        <w:rPr>
          <w:color w:val="000000" w:themeColor="text1"/>
          <w:lang w:val="en-GB"/>
        </w:rPr>
        <w:t>remains present in</w:t>
      </w:r>
      <w:r w:rsidRPr="0007754D">
        <w:rPr>
          <w:color w:val="000000" w:themeColor="text1"/>
          <w:lang w:val="en-GB"/>
        </w:rPr>
        <w:t xml:space="preserve"> the case of </w:t>
      </w:r>
      <w:r w:rsidRPr="0007754D">
        <w:rPr>
          <w:i/>
          <w:color w:val="000000" w:themeColor="text1"/>
          <w:lang w:val="en-GB"/>
        </w:rPr>
        <w:t xml:space="preserve">P. and S. v. Poland </w:t>
      </w:r>
      <w:r w:rsidRPr="0007754D">
        <w:rPr>
          <w:color w:val="000000" w:themeColor="text1"/>
          <w:lang w:val="en-GB"/>
        </w:rPr>
        <w:t>(2012)</w:t>
      </w:r>
      <w:r w:rsidR="00BA74DD" w:rsidRPr="0007754D">
        <w:rPr>
          <w:color w:val="000000" w:themeColor="text1"/>
          <w:lang w:val="en-GB"/>
        </w:rPr>
        <w:t>.</w:t>
      </w:r>
      <w:r w:rsidRPr="0007754D">
        <w:rPr>
          <w:rStyle w:val="FootnoteReference"/>
          <w:color w:val="000000" w:themeColor="text1"/>
        </w:rPr>
        <w:footnoteReference w:id="49"/>
      </w:r>
      <w:r w:rsidRPr="0007754D">
        <w:rPr>
          <w:color w:val="000000" w:themeColor="text1"/>
          <w:lang w:val="en-GB"/>
        </w:rPr>
        <w:t xml:space="preserve"> </w:t>
      </w:r>
      <w:r w:rsidR="00BA74DD" w:rsidRPr="0007754D">
        <w:rPr>
          <w:color w:val="000000" w:themeColor="text1"/>
          <w:lang w:val="en-GB"/>
        </w:rPr>
        <w:t xml:space="preserve">In this case, </w:t>
      </w:r>
      <w:r w:rsidRPr="0007754D">
        <w:rPr>
          <w:color w:val="000000" w:themeColor="text1"/>
          <w:lang w:val="en-GB"/>
        </w:rPr>
        <w:t xml:space="preserve">a teenager who had become pregnant after being raped, was denied access to abortion services due to </w:t>
      </w:r>
      <w:r w:rsidR="006F4CE3" w:rsidRPr="0007754D">
        <w:rPr>
          <w:color w:val="000000" w:themeColor="text1"/>
          <w:lang w:val="en-GB"/>
        </w:rPr>
        <w:t>delays caused by</w:t>
      </w:r>
      <w:r w:rsidRPr="0007754D">
        <w:rPr>
          <w:color w:val="000000" w:themeColor="text1"/>
          <w:lang w:val="en-GB"/>
        </w:rPr>
        <w:t xml:space="preserve"> the medical staff. Furthermore, her and her mother were harassed by a priest (and anti-abortion activists) contacted by the medical staff; and they were denied assistance from the police. The ECtHR declared that the ‘</w:t>
      </w:r>
      <w:r w:rsidRPr="0007754D">
        <w:rPr>
          <w:i/>
          <w:color w:val="000000" w:themeColor="text1"/>
          <w:lang w:val="en-GB"/>
        </w:rPr>
        <w:t>deplorable manner</w:t>
      </w:r>
      <w:r w:rsidRPr="0007754D">
        <w:rPr>
          <w:color w:val="000000" w:themeColor="text1"/>
          <w:lang w:val="en-GB"/>
        </w:rPr>
        <w:t>’ with which the authorities treated the young applicant had caused her severe suffering, therefore breaching Article 3.</w:t>
      </w:r>
      <w:r w:rsidRPr="0007754D">
        <w:rPr>
          <w:rStyle w:val="FootnoteReference"/>
          <w:color w:val="000000" w:themeColor="text1"/>
        </w:rPr>
        <w:footnoteReference w:id="50"/>
      </w:r>
      <w:r w:rsidR="006F4CE3" w:rsidRPr="0007754D">
        <w:rPr>
          <w:color w:val="000000" w:themeColor="text1"/>
          <w:lang w:val="en-GB"/>
        </w:rPr>
        <w:t xml:space="preserve"> </w:t>
      </w:r>
      <w:r w:rsidR="00BA74DD" w:rsidRPr="0007754D">
        <w:rPr>
          <w:color w:val="000000" w:themeColor="text1"/>
          <w:lang w:val="en-GB"/>
        </w:rPr>
        <w:t>Furthermore, t</w:t>
      </w:r>
      <w:r w:rsidRPr="0007754D">
        <w:rPr>
          <w:color w:val="000000" w:themeColor="text1"/>
          <w:lang w:val="en-GB"/>
        </w:rPr>
        <w:t xml:space="preserve">he Court linked </w:t>
      </w:r>
      <w:r w:rsidR="00A86B29" w:rsidRPr="0007754D">
        <w:rPr>
          <w:color w:val="000000" w:themeColor="text1"/>
          <w:lang w:val="en-GB"/>
        </w:rPr>
        <w:t xml:space="preserve">explicitly </w:t>
      </w:r>
      <w:r w:rsidR="006F4CE3" w:rsidRPr="0007754D">
        <w:rPr>
          <w:color w:val="000000" w:themeColor="text1"/>
          <w:lang w:val="en-GB"/>
        </w:rPr>
        <w:t>the applicant’s</w:t>
      </w:r>
      <w:r w:rsidRPr="0007754D">
        <w:rPr>
          <w:color w:val="000000" w:themeColor="text1"/>
          <w:lang w:val="en-GB"/>
        </w:rPr>
        <w:t xml:space="preserve"> suffering </w:t>
      </w:r>
      <w:r w:rsidR="006F4CE3" w:rsidRPr="0007754D">
        <w:rPr>
          <w:color w:val="000000" w:themeColor="text1"/>
          <w:lang w:val="en-GB"/>
        </w:rPr>
        <w:t>to</w:t>
      </w:r>
      <w:r w:rsidRPr="0007754D">
        <w:rPr>
          <w:color w:val="000000" w:themeColor="text1"/>
          <w:lang w:val="en-GB"/>
        </w:rPr>
        <w:t xml:space="preserve"> </w:t>
      </w:r>
      <w:r w:rsidR="006F4CE3" w:rsidRPr="0007754D">
        <w:rPr>
          <w:color w:val="000000" w:themeColor="text1"/>
          <w:lang w:val="en-GB"/>
        </w:rPr>
        <w:t xml:space="preserve">the </w:t>
      </w:r>
      <w:r w:rsidRPr="0007754D">
        <w:rPr>
          <w:color w:val="000000" w:themeColor="text1"/>
          <w:lang w:val="en-GB"/>
        </w:rPr>
        <w:t>authorities’ obstruction</w:t>
      </w:r>
      <w:r w:rsidR="00BA74DD" w:rsidRPr="0007754D">
        <w:rPr>
          <w:color w:val="000000" w:themeColor="text1"/>
          <w:lang w:val="en-GB"/>
        </w:rPr>
        <w:t xml:space="preserve"> </w:t>
      </w:r>
      <w:r w:rsidR="006F4CE3" w:rsidRPr="0007754D">
        <w:rPr>
          <w:color w:val="000000" w:themeColor="text1"/>
          <w:lang w:val="en-GB"/>
        </w:rPr>
        <w:t>since</w:t>
      </w:r>
      <w:r w:rsidR="00BA74DD" w:rsidRPr="0007754D">
        <w:rPr>
          <w:color w:val="000000" w:themeColor="text1"/>
          <w:lang w:val="en-GB"/>
        </w:rPr>
        <w:t xml:space="preserve"> in this case,</w:t>
      </w:r>
      <w:r w:rsidR="00A86B29" w:rsidRPr="0007754D">
        <w:rPr>
          <w:color w:val="000000" w:themeColor="text1"/>
          <w:lang w:val="en-GB"/>
        </w:rPr>
        <w:t xml:space="preserve"> </w:t>
      </w:r>
      <w:r w:rsidR="006F4CE3" w:rsidRPr="0007754D">
        <w:rPr>
          <w:color w:val="000000" w:themeColor="text1"/>
          <w:lang w:val="en-GB"/>
        </w:rPr>
        <w:t>t</w:t>
      </w:r>
      <w:r w:rsidRPr="0007754D">
        <w:rPr>
          <w:color w:val="000000" w:themeColor="text1"/>
          <w:lang w:val="en-GB"/>
        </w:rPr>
        <w:t>he applicant</w:t>
      </w:r>
      <w:r w:rsidR="00BA74DD" w:rsidRPr="0007754D">
        <w:rPr>
          <w:color w:val="000000" w:themeColor="text1"/>
          <w:lang w:val="en-GB"/>
        </w:rPr>
        <w:t xml:space="preserve"> wished to undergo an abortion</w:t>
      </w:r>
      <w:r w:rsidR="00C70A53" w:rsidRPr="0007754D">
        <w:rPr>
          <w:color w:val="000000" w:themeColor="text1"/>
          <w:lang w:val="en-GB"/>
        </w:rPr>
        <w:t xml:space="preserve"> immediately (and no</w:t>
      </w:r>
      <w:r w:rsidR="005B6BB7" w:rsidRPr="0007754D">
        <w:rPr>
          <w:color w:val="000000" w:themeColor="text1"/>
          <w:lang w:val="en-GB"/>
        </w:rPr>
        <w:t>t</w:t>
      </w:r>
      <w:r w:rsidR="00C70A53" w:rsidRPr="0007754D">
        <w:rPr>
          <w:color w:val="000000" w:themeColor="text1"/>
          <w:lang w:val="en-GB"/>
        </w:rPr>
        <w:t xml:space="preserve"> dependent</w:t>
      </w:r>
      <w:r w:rsidR="00BA74DD" w:rsidRPr="0007754D">
        <w:rPr>
          <w:color w:val="000000" w:themeColor="text1"/>
          <w:lang w:val="en-GB"/>
        </w:rPr>
        <w:t xml:space="preserve"> on genetic tests).</w:t>
      </w:r>
      <w:r w:rsidRPr="0007754D">
        <w:rPr>
          <w:color w:val="000000" w:themeColor="text1"/>
          <w:lang w:val="en-GB"/>
        </w:rPr>
        <w:t xml:space="preserve"> However, like in </w:t>
      </w:r>
      <w:r w:rsidRPr="0007754D">
        <w:rPr>
          <w:i/>
          <w:color w:val="000000" w:themeColor="text1"/>
          <w:lang w:val="en-GB"/>
        </w:rPr>
        <w:t>R.R. v. Poland</w:t>
      </w:r>
      <w:r w:rsidRPr="0007754D">
        <w:rPr>
          <w:color w:val="000000" w:themeColor="text1"/>
          <w:lang w:val="en-GB"/>
        </w:rPr>
        <w:t>, the Court recognised the applicant’s suffering by focusing on the fact that she was unable to undergo an abortion she was legally entitled to,</w:t>
      </w:r>
      <w:r w:rsidRPr="0007754D">
        <w:rPr>
          <w:rStyle w:val="FootnoteReference"/>
          <w:color w:val="000000" w:themeColor="text1"/>
        </w:rPr>
        <w:footnoteReference w:id="51"/>
      </w:r>
      <w:r w:rsidR="00BA74DD" w:rsidRPr="0007754D">
        <w:rPr>
          <w:color w:val="000000" w:themeColor="text1"/>
          <w:lang w:val="en-GB"/>
        </w:rPr>
        <w:t xml:space="preserve"> rather than by focusing on the fact that </w:t>
      </w:r>
      <w:r w:rsidRPr="0007754D">
        <w:rPr>
          <w:color w:val="000000" w:themeColor="text1"/>
          <w:lang w:val="en-GB"/>
        </w:rPr>
        <w:t>she needed</w:t>
      </w:r>
      <w:r w:rsidR="00BA74DD" w:rsidRPr="0007754D">
        <w:rPr>
          <w:color w:val="000000" w:themeColor="text1"/>
          <w:lang w:val="en-GB"/>
        </w:rPr>
        <w:t xml:space="preserve"> it</w:t>
      </w:r>
      <w:r w:rsidRPr="0007754D">
        <w:rPr>
          <w:color w:val="000000" w:themeColor="text1"/>
          <w:lang w:val="en-GB"/>
        </w:rPr>
        <w:t xml:space="preserve"> to alleviate her suffering. Moreover,</w:t>
      </w:r>
      <w:r w:rsidR="00BA74DD" w:rsidRPr="0007754D">
        <w:rPr>
          <w:color w:val="000000" w:themeColor="text1"/>
          <w:lang w:val="en-GB"/>
        </w:rPr>
        <w:t xml:space="preserve"> the Court assessed the existenc</w:t>
      </w:r>
      <w:r w:rsidRPr="0007754D">
        <w:rPr>
          <w:color w:val="000000" w:themeColor="text1"/>
          <w:lang w:val="en-GB"/>
        </w:rPr>
        <w:t xml:space="preserve">e of an inhuman and degrading treatment based on the vulnerability of the victim (i.e. her young age and her status as rape victim), and on the deplorable manner with which authorities dealt with her.  Therefore, it is unclear whether the ECtHR </w:t>
      </w:r>
      <w:r w:rsidR="00BF25F8" w:rsidRPr="0007754D">
        <w:rPr>
          <w:color w:val="000000" w:themeColor="text1"/>
          <w:lang w:val="en-GB"/>
        </w:rPr>
        <w:t>consider</w:t>
      </w:r>
      <w:r w:rsidR="00432B4F" w:rsidRPr="0007754D">
        <w:rPr>
          <w:color w:val="000000" w:themeColor="text1"/>
          <w:lang w:val="en-GB"/>
        </w:rPr>
        <w:t>s</w:t>
      </w:r>
      <w:r w:rsidR="001C3D61" w:rsidRPr="0007754D">
        <w:rPr>
          <w:color w:val="000000" w:themeColor="text1"/>
          <w:lang w:val="en-GB"/>
        </w:rPr>
        <w:t xml:space="preserve"> </w:t>
      </w:r>
      <w:r w:rsidRPr="0007754D">
        <w:rPr>
          <w:color w:val="000000" w:themeColor="text1"/>
          <w:lang w:val="en-GB"/>
        </w:rPr>
        <w:t xml:space="preserve">that </w:t>
      </w:r>
      <w:r w:rsidR="001C3D61" w:rsidRPr="0007754D">
        <w:rPr>
          <w:color w:val="000000" w:themeColor="text1"/>
          <w:lang w:val="en-GB"/>
        </w:rPr>
        <w:t>denying women</w:t>
      </w:r>
      <w:r w:rsidRPr="0007754D">
        <w:rPr>
          <w:color w:val="000000" w:themeColor="text1"/>
          <w:lang w:val="en-GB"/>
        </w:rPr>
        <w:t xml:space="preserve"> </w:t>
      </w:r>
      <w:r w:rsidR="005B6BB7" w:rsidRPr="0007754D">
        <w:rPr>
          <w:color w:val="000000" w:themeColor="text1"/>
          <w:lang w:val="en-GB"/>
        </w:rPr>
        <w:t xml:space="preserve">legal </w:t>
      </w:r>
      <w:r w:rsidRPr="0007754D">
        <w:rPr>
          <w:color w:val="000000" w:themeColor="text1"/>
          <w:lang w:val="en-GB"/>
        </w:rPr>
        <w:t>access</w:t>
      </w:r>
      <w:r w:rsidR="00BF25F8" w:rsidRPr="0007754D">
        <w:rPr>
          <w:color w:val="000000" w:themeColor="text1"/>
          <w:lang w:val="en-GB"/>
        </w:rPr>
        <w:t xml:space="preserve"> to abortion services represents</w:t>
      </w:r>
      <w:r w:rsidRPr="0007754D">
        <w:rPr>
          <w:color w:val="000000" w:themeColor="text1"/>
          <w:lang w:val="en-GB"/>
        </w:rPr>
        <w:t xml:space="preserve"> an inhuman and degrading treatment </w:t>
      </w:r>
      <w:r w:rsidR="001C3D61" w:rsidRPr="0007754D">
        <w:rPr>
          <w:color w:val="000000" w:themeColor="text1"/>
          <w:lang w:val="en-GB"/>
        </w:rPr>
        <w:t xml:space="preserve">as such, regardless of </w:t>
      </w:r>
      <w:r w:rsidR="00BA74DD" w:rsidRPr="0007754D">
        <w:rPr>
          <w:color w:val="000000" w:themeColor="text1"/>
          <w:lang w:val="en-GB"/>
        </w:rPr>
        <w:t>these</w:t>
      </w:r>
      <w:r w:rsidR="00432B4F" w:rsidRPr="0007754D">
        <w:rPr>
          <w:color w:val="000000" w:themeColor="text1"/>
          <w:lang w:val="en-GB"/>
        </w:rPr>
        <w:t xml:space="preserve"> factors.</w:t>
      </w:r>
      <w:r w:rsidR="00A86B29" w:rsidRPr="0007754D">
        <w:rPr>
          <w:color w:val="000000" w:themeColor="text1"/>
          <w:lang w:val="en-GB"/>
        </w:rPr>
        <w:t xml:space="preserve"> </w:t>
      </w:r>
      <w:r w:rsidRPr="0007754D">
        <w:rPr>
          <w:color w:val="000000" w:themeColor="text1"/>
          <w:lang w:val="en-GB"/>
        </w:rPr>
        <w:t xml:space="preserve">The Court should, in the future, incorporate evidence-led reports </w:t>
      </w:r>
      <w:r w:rsidR="00BA74DD" w:rsidRPr="0007754D">
        <w:rPr>
          <w:color w:val="000000" w:themeColor="text1"/>
          <w:lang w:val="en-GB"/>
        </w:rPr>
        <w:t>stressing</w:t>
      </w:r>
      <w:r w:rsidRPr="0007754D">
        <w:rPr>
          <w:color w:val="000000" w:themeColor="text1"/>
          <w:lang w:val="en-GB"/>
        </w:rPr>
        <w:t xml:space="preserve"> the </w:t>
      </w:r>
      <w:r w:rsidR="00432B4F" w:rsidRPr="0007754D">
        <w:rPr>
          <w:color w:val="000000" w:themeColor="text1"/>
          <w:lang w:val="en-GB"/>
        </w:rPr>
        <w:t xml:space="preserve">significant </w:t>
      </w:r>
      <w:r w:rsidRPr="0007754D">
        <w:rPr>
          <w:color w:val="000000" w:themeColor="text1"/>
          <w:lang w:val="en-GB"/>
        </w:rPr>
        <w:t>vulnerability</w:t>
      </w:r>
      <w:r w:rsidR="00432B4F" w:rsidRPr="0007754D">
        <w:rPr>
          <w:color w:val="000000" w:themeColor="text1"/>
          <w:lang w:val="en-GB"/>
        </w:rPr>
        <w:t>,</w:t>
      </w:r>
      <w:r w:rsidRPr="0007754D">
        <w:rPr>
          <w:color w:val="000000" w:themeColor="text1"/>
          <w:lang w:val="en-GB"/>
        </w:rPr>
        <w:t xml:space="preserve"> suffering</w:t>
      </w:r>
      <w:r w:rsidR="00432B4F" w:rsidRPr="0007754D">
        <w:rPr>
          <w:color w:val="000000" w:themeColor="text1"/>
          <w:lang w:val="en-GB"/>
        </w:rPr>
        <w:t xml:space="preserve"> and discrimination</w:t>
      </w:r>
      <w:r w:rsidRPr="0007754D">
        <w:rPr>
          <w:color w:val="000000" w:themeColor="text1"/>
          <w:lang w:val="en-GB"/>
        </w:rPr>
        <w:t xml:space="preserve"> experienced by women </w:t>
      </w:r>
      <w:r w:rsidR="001B342E" w:rsidRPr="0007754D">
        <w:rPr>
          <w:color w:val="000000" w:themeColor="text1"/>
          <w:lang w:val="en-GB"/>
        </w:rPr>
        <w:t>denied legal access to abortion</w:t>
      </w:r>
      <w:r w:rsidRPr="0007754D">
        <w:rPr>
          <w:color w:val="000000" w:themeColor="text1"/>
          <w:lang w:val="en-GB"/>
        </w:rPr>
        <w:t>,</w:t>
      </w:r>
      <w:r w:rsidR="00E12A7D" w:rsidRPr="0007754D">
        <w:rPr>
          <w:rStyle w:val="FootnoteReference"/>
          <w:color w:val="000000" w:themeColor="text1"/>
        </w:rPr>
        <w:footnoteReference w:id="52"/>
      </w:r>
      <w:r w:rsidRPr="0007754D">
        <w:rPr>
          <w:color w:val="000000" w:themeColor="text1"/>
          <w:lang w:val="en-GB"/>
        </w:rPr>
        <w:t xml:space="preserve"> in order to interpret coherently Article 3.</w:t>
      </w:r>
      <w:r w:rsidR="00241EC0" w:rsidRPr="0007754D">
        <w:rPr>
          <w:color w:val="000000" w:themeColor="text1"/>
          <w:lang w:val="en-GB"/>
        </w:rPr>
        <w:t xml:space="preserve"> This would also align with recommendations formulated by both UNCESCR GC22 and the WHO strategy on the need to prevent unsafe abortions.</w:t>
      </w:r>
      <w:r w:rsidR="00241EC0" w:rsidRPr="0007754D">
        <w:rPr>
          <w:rStyle w:val="FootnoteReference"/>
          <w:color w:val="000000" w:themeColor="text1"/>
        </w:rPr>
        <w:footnoteReference w:id="53"/>
      </w:r>
    </w:p>
    <w:p w14:paraId="537195A0" w14:textId="558D5CC5" w:rsidR="00BE60B2" w:rsidRPr="0007754D" w:rsidRDefault="000F46E2" w:rsidP="00433184">
      <w:pPr>
        <w:spacing w:before="240" w:line="276" w:lineRule="auto"/>
        <w:jc w:val="both"/>
        <w:rPr>
          <w:color w:val="000000" w:themeColor="text1"/>
          <w:lang w:val="en-GB"/>
        </w:rPr>
      </w:pPr>
      <w:r w:rsidRPr="0007754D">
        <w:rPr>
          <w:color w:val="000000" w:themeColor="text1"/>
          <w:lang w:val="en-GB"/>
        </w:rPr>
        <w:t xml:space="preserve">The recent use of Article 3 ECHR in SRH cases is limited to cases involving women, giving the Court an opportunity to protect their particular vulnerability to violence, coercion and discrimination in SRH. </w:t>
      </w:r>
      <w:r w:rsidR="00433184" w:rsidRPr="0007754D">
        <w:rPr>
          <w:color w:val="000000" w:themeColor="text1"/>
          <w:lang w:val="en-GB"/>
        </w:rPr>
        <w:t xml:space="preserve">The ECtHR has consistently held a breach of </w:t>
      </w:r>
      <w:r w:rsidRPr="0007754D">
        <w:rPr>
          <w:color w:val="000000" w:themeColor="text1"/>
          <w:lang w:val="en-GB"/>
        </w:rPr>
        <w:t>their freedom from cruel and inhuman treatment</w:t>
      </w:r>
      <w:r w:rsidR="00433184" w:rsidRPr="0007754D">
        <w:rPr>
          <w:color w:val="000000" w:themeColor="text1"/>
          <w:lang w:val="en-GB"/>
        </w:rPr>
        <w:t xml:space="preserve"> in cases involving forced sterilisation procedures. Furthermore, it has been more willing to recognise applicant’s suffering in recent abortion cases, by reviewing thoroughly allegations of violations and by holding findings of non-conformity. However, </w:t>
      </w:r>
      <w:r w:rsidR="00BE60B2" w:rsidRPr="0007754D">
        <w:rPr>
          <w:color w:val="000000" w:themeColor="text1"/>
          <w:lang w:val="en-GB"/>
        </w:rPr>
        <w:t xml:space="preserve">the Court’s </w:t>
      </w:r>
      <w:r w:rsidR="003257B4" w:rsidRPr="0007754D">
        <w:rPr>
          <w:color w:val="000000" w:themeColor="text1"/>
          <w:lang w:val="en-GB"/>
        </w:rPr>
        <w:t xml:space="preserve">SRH </w:t>
      </w:r>
      <w:r w:rsidR="00BE60B2" w:rsidRPr="0007754D">
        <w:rPr>
          <w:color w:val="000000" w:themeColor="text1"/>
          <w:lang w:val="en-GB"/>
        </w:rPr>
        <w:t>case-law</w:t>
      </w:r>
      <w:r w:rsidR="00BA74DD" w:rsidRPr="0007754D">
        <w:rPr>
          <w:color w:val="000000" w:themeColor="text1"/>
          <w:lang w:val="en-GB"/>
        </w:rPr>
        <w:t xml:space="preserve"> under Article 3</w:t>
      </w:r>
      <w:r w:rsidR="00BE60B2" w:rsidRPr="0007754D">
        <w:rPr>
          <w:color w:val="000000" w:themeColor="text1"/>
          <w:lang w:val="en-GB"/>
        </w:rPr>
        <w:t xml:space="preserve"> highlight</w:t>
      </w:r>
      <w:r w:rsidR="00BA74DD" w:rsidRPr="0007754D">
        <w:rPr>
          <w:color w:val="000000" w:themeColor="text1"/>
          <w:lang w:val="en-GB"/>
        </w:rPr>
        <w:t>s</w:t>
      </w:r>
      <w:r w:rsidR="00BE60B2" w:rsidRPr="0007754D">
        <w:rPr>
          <w:color w:val="000000" w:themeColor="text1"/>
          <w:lang w:val="en-GB"/>
        </w:rPr>
        <w:t xml:space="preserve"> </w:t>
      </w:r>
      <w:r w:rsidR="00433184" w:rsidRPr="0007754D">
        <w:rPr>
          <w:color w:val="000000" w:themeColor="text1"/>
          <w:lang w:val="en-GB"/>
        </w:rPr>
        <w:t xml:space="preserve">a conservative position. </w:t>
      </w:r>
      <w:r w:rsidR="00FC2526" w:rsidRPr="0007754D">
        <w:rPr>
          <w:color w:val="000000" w:themeColor="text1"/>
          <w:lang w:val="en-GB"/>
        </w:rPr>
        <w:t>One that</w:t>
      </w:r>
      <w:r w:rsidR="00433184" w:rsidRPr="0007754D">
        <w:rPr>
          <w:color w:val="000000" w:themeColor="text1"/>
          <w:lang w:val="en-GB"/>
        </w:rPr>
        <w:t xml:space="preserve"> strongly protects women’s SRH in their decisions to reproduce; but weakly protects it in their decisions to </w:t>
      </w:r>
      <w:r w:rsidR="00433184" w:rsidRPr="0007754D">
        <w:rPr>
          <w:i/>
          <w:color w:val="000000" w:themeColor="text1"/>
          <w:lang w:val="en-GB"/>
        </w:rPr>
        <w:t xml:space="preserve">not </w:t>
      </w:r>
      <w:r w:rsidR="001815B6" w:rsidRPr="0007754D">
        <w:rPr>
          <w:color w:val="000000" w:themeColor="text1"/>
          <w:lang w:val="en-GB"/>
        </w:rPr>
        <w:t>reproduce</w:t>
      </w:r>
      <w:r w:rsidR="003257B4" w:rsidRPr="0007754D">
        <w:rPr>
          <w:color w:val="000000" w:themeColor="text1"/>
          <w:lang w:val="en-GB"/>
        </w:rPr>
        <w:t>, for it conditions the recognition of women’s suffering</w:t>
      </w:r>
      <w:r w:rsidR="00CB1E88" w:rsidRPr="0007754D">
        <w:rPr>
          <w:color w:val="000000" w:themeColor="text1"/>
          <w:lang w:val="en-GB"/>
        </w:rPr>
        <w:t xml:space="preserve"> </w:t>
      </w:r>
      <w:r w:rsidR="003257B4" w:rsidRPr="0007754D">
        <w:rPr>
          <w:color w:val="000000" w:themeColor="text1"/>
          <w:lang w:val="en-GB"/>
        </w:rPr>
        <w:t xml:space="preserve">to a political deference </w:t>
      </w:r>
      <w:r w:rsidR="00CB1E88" w:rsidRPr="0007754D">
        <w:rPr>
          <w:color w:val="000000" w:themeColor="text1"/>
          <w:lang w:val="en-GB"/>
        </w:rPr>
        <w:t>for</w:t>
      </w:r>
      <w:r w:rsidR="003257B4" w:rsidRPr="0007754D">
        <w:rPr>
          <w:color w:val="000000" w:themeColor="text1"/>
          <w:lang w:val="en-GB"/>
        </w:rPr>
        <w:t xml:space="preserve"> states’ </w:t>
      </w:r>
      <w:r w:rsidR="002E09F0" w:rsidRPr="0007754D">
        <w:rPr>
          <w:color w:val="000000" w:themeColor="text1"/>
          <w:lang w:val="en-GB"/>
        </w:rPr>
        <w:t xml:space="preserve">abortion </w:t>
      </w:r>
      <w:r w:rsidR="003257B4" w:rsidRPr="0007754D">
        <w:rPr>
          <w:color w:val="000000" w:themeColor="text1"/>
          <w:lang w:val="en-GB"/>
        </w:rPr>
        <w:t>laws</w:t>
      </w:r>
      <w:r w:rsidR="001815B6" w:rsidRPr="0007754D">
        <w:rPr>
          <w:color w:val="000000" w:themeColor="text1"/>
          <w:lang w:val="en-GB"/>
        </w:rPr>
        <w:t>.</w:t>
      </w:r>
    </w:p>
    <w:p w14:paraId="3B9AD17A" w14:textId="77777777" w:rsidR="00433184" w:rsidRPr="0007754D" w:rsidRDefault="00433184" w:rsidP="00433184">
      <w:pPr>
        <w:spacing w:line="276" w:lineRule="auto"/>
        <w:jc w:val="both"/>
        <w:rPr>
          <w:color w:val="000000" w:themeColor="text1"/>
          <w:lang w:val="en-GB"/>
        </w:rPr>
      </w:pPr>
    </w:p>
    <w:p w14:paraId="3D630B0A" w14:textId="7FC67FA1" w:rsidR="00433184" w:rsidRPr="0007754D" w:rsidRDefault="00433184" w:rsidP="00433184">
      <w:pPr>
        <w:pStyle w:val="Heading2"/>
        <w:numPr>
          <w:ilvl w:val="1"/>
          <w:numId w:val="31"/>
        </w:numPr>
        <w:spacing w:line="276" w:lineRule="auto"/>
        <w:rPr>
          <w:rFonts w:asciiTheme="minorHAnsi" w:hAnsiTheme="minorHAnsi"/>
          <w:color w:val="000000" w:themeColor="text1"/>
          <w:lang w:val="en-GB"/>
        </w:rPr>
      </w:pPr>
      <w:r w:rsidRPr="0007754D">
        <w:rPr>
          <w:rFonts w:asciiTheme="minorHAnsi" w:hAnsiTheme="minorHAnsi"/>
          <w:color w:val="000000" w:themeColor="text1"/>
          <w:lang w:val="en-GB"/>
        </w:rPr>
        <w:t>Article 8 ECHR</w:t>
      </w:r>
      <w:r w:rsidR="00284A5B" w:rsidRPr="0007754D">
        <w:rPr>
          <w:rFonts w:asciiTheme="minorHAnsi" w:hAnsiTheme="minorHAnsi"/>
          <w:color w:val="000000" w:themeColor="text1"/>
          <w:lang w:val="en-GB"/>
        </w:rPr>
        <w:t xml:space="preserve">: </w:t>
      </w:r>
      <w:r w:rsidR="00DF1CFA" w:rsidRPr="0007754D">
        <w:rPr>
          <w:rFonts w:asciiTheme="minorHAnsi" w:hAnsiTheme="minorHAnsi"/>
          <w:color w:val="000000" w:themeColor="text1"/>
          <w:lang w:val="en-GB"/>
        </w:rPr>
        <w:t xml:space="preserve">access to </w:t>
      </w:r>
      <w:r w:rsidR="00284A5B" w:rsidRPr="0007754D">
        <w:rPr>
          <w:rFonts w:asciiTheme="minorHAnsi" w:hAnsiTheme="minorHAnsi"/>
          <w:color w:val="000000" w:themeColor="text1"/>
          <w:lang w:val="en-GB"/>
        </w:rPr>
        <w:t xml:space="preserve">SRH and </w:t>
      </w:r>
      <w:r w:rsidR="00DF1CFA" w:rsidRPr="0007754D">
        <w:rPr>
          <w:rFonts w:asciiTheme="minorHAnsi" w:hAnsiTheme="minorHAnsi"/>
          <w:color w:val="000000" w:themeColor="text1"/>
          <w:lang w:val="en-GB"/>
        </w:rPr>
        <w:t>autonomy</w:t>
      </w:r>
    </w:p>
    <w:p w14:paraId="1BAB50AF" w14:textId="77777777" w:rsidR="00433184" w:rsidRPr="0007754D" w:rsidRDefault="00433184" w:rsidP="00433184">
      <w:pPr>
        <w:spacing w:line="276" w:lineRule="auto"/>
        <w:jc w:val="both"/>
        <w:rPr>
          <w:color w:val="000000" w:themeColor="text1"/>
          <w:lang w:val="en-GB"/>
        </w:rPr>
      </w:pPr>
    </w:p>
    <w:p w14:paraId="1642F915" w14:textId="4F27C2ED" w:rsidR="00433184" w:rsidRPr="0007754D" w:rsidRDefault="00FE7CBB" w:rsidP="003102B4">
      <w:pPr>
        <w:spacing w:line="276" w:lineRule="auto"/>
        <w:jc w:val="both"/>
        <w:rPr>
          <w:color w:val="000000" w:themeColor="text1"/>
          <w:lang w:val="en-GB"/>
        </w:rPr>
      </w:pPr>
      <w:r w:rsidRPr="0007754D">
        <w:rPr>
          <w:color w:val="000000" w:themeColor="text1"/>
          <w:lang w:val="en-GB"/>
        </w:rPr>
        <w:t>The</w:t>
      </w:r>
      <w:r w:rsidR="00CC606C" w:rsidRPr="0007754D">
        <w:rPr>
          <w:color w:val="000000" w:themeColor="text1"/>
          <w:lang w:val="en-GB"/>
        </w:rPr>
        <w:t xml:space="preserve"> most used provision of the ECHR regarding SRH cases is Article 8 on the right to priva</w:t>
      </w:r>
      <w:r w:rsidR="002E09F0" w:rsidRPr="0007754D">
        <w:rPr>
          <w:color w:val="000000" w:themeColor="text1"/>
          <w:lang w:val="en-GB"/>
        </w:rPr>
        <w:t>te (and family) life</w:t>
      </w:r>
      <w:r w:rsidR="00CC606C" w:rsidRPr="0007754D">
        <w:rPr>
          <w:color w:val="000000" w:themeColor="text1"/>
          <w:lang w:val="en-GB"/>
        </w:rPr>
        <w:t>. The</w:t>
      </w:r>
      <w:r w:rsidRPr="0007754D">
        <w:rPr>
          <w:color w:val="000000" w:themeColor="text1"/>
          <w:lang w:val="en-GB"/>
        </w:rPr>
        <w:t xml:space="preserve"> met</w:t>
      </w:r>
      <w:r w:rsidR="002E09F0" w:rsidRPr="0007754D">
        <w:rPr>
          <w:color w:val="000000" w:themeColor="text1"/>
          <w:lang w:val="en-GB"/>
        </w:rPr>
        <w:t xml:space="preserve">hodology discussed above and this </w:t>
      </w:r>
      <w:r w:rsidR="00695D6A" w:rsidRPr="0007754D">
        <w:rPr>
          <w:color w:val="000000" w:themeColor="text1"/>
          <w:lang w:val="en-GB"/>
        </w:rPr>
        <w:t>paper</w:t>
      </w:r>
      <w:r w:rsidR="002E09F0" w:rsidRPr="0007754D">
        <w:rPr>
          <w:color w:val="000000" w:themeColor="text1"/>
          <w:lang w:val="en-GB"/>
        </w:rPr>
        <w:t>’s</w:t>
      </w:r>
      <w:r w:rsidRPr="0007754D">
        <w:rPr>
          <w:color w:val="000000" w:themeColor="text1"/>
          <w:lang w:val="en-GB"/>
        </w:rPr>
        <w:t xml:space="preserve"> definition of SRH enabled me</w:t>
      </w:r>
      <w:r w:rsidR="00CC606C" w:rsidRPr="0007754D">
        <w:rPr>
          <w:color w:val="000000" w:themeColor="text1"/>
          <w:lang w:val="en-GB"/>
        </w:rPr>
        <w:t xml:space="preserve"> to identify </w:t>
      </w:r>
      <w:r w:rsidR="00F0016B" w:rsidRPr="0007754D">
        <w:rPr>
          <w:color w:val="000000" w:themeColor="text1"/>
          <w:lang w:val="en-GB"/>
        </w:rPr>
        <w:t xml:space="preserve">six </w:t>
      </w:r>
      <w:r w:rsidR="00CC606C" w:rsidRPr="0007754D">
        <w:rPr>
          <w:color w:val="000000" w:themeColor="text1"/>
          <w:lang w:val="en-GB"/>
        </w:rPr>
        <w:t xml:space="preserve">types of case reviewed under Article 8: </w:t>
      </w:r>
      <w:r w:rsidR="008318B2" w:rsidRPr="0007754D">
        <w:rPr>
          <w:color w:val="000000" w:themeColor="text1"/>
          <w:lang w:val="en-GB"/>
        </w:rPr>
        <w:t>forced</w:t>
      </w:r>
      <w:r w:rsidR="00CC606C" w:rsidRPr="0007754D">
        <w:rPr>
          <w:color w:val="000000" w:themeColor="text1"/>
          <w:lang w:val="en-GB"/>
        </w:rPr>
        <w:t xml:space="preserve"> sterilisations, </w:t>
      </w:r>
      <w:r w:rsidR="008318B2" w:rsidRPr="0007754D">
        <w:rPr>
          <w:color w:val="000000" w:themeColor="text1"/>
          <w:lang w:val="en-GB"/>
        </w:rPr>
        <w:t>obstetric and gynaecologic malpractice</w:t>
      </w:r>
      <w:r w:rsidR="00CC606C" w:rsidRPr="0007754D">
        <w:rPr>
          <w:color w:val="000000" w:themeColor="text1"/>
          <w:lang w:val="en-GB"/>
        </w:rPr>
        <w:t xml:space="preserve">, access to abortion, </w:t>
      </w:r>
      <w:r w:rsidR="008318B2" w:rsidRPr="0007754D">
        <w:rPr>
          <w:color w:val="000000" w:themeColor="text1"/>
          <w:lang w:val="en-GB"/>
        </w:rPr>
        <w:t>medical assistance</w:t>
      </w:r>
      <w:r w:rsidR="00F0016B" w:rsidRPr="0007754D">
        <w:rPr>
          <w:color w:val="000000" w:themeColor="text1"/>
          <w:lang w:val="en-GB"/>
        </w:rPr>
        <w:t xml:space="preserve"> in homebirths,</w:t>
      </w:r>
      <w:r w:rsidR="00CC606C" w:rsidRPr="0007754D">
        <w:rPr>
          <w:color w:val="000000" w:themeColor="text1"/>
          <w:lang w:val="en-GB"/>
        </w:rPr>
        <w:t xml:space="preserve"> access to gender reassignment surgery</w:t>
      </w:r>
      <w:r w:rsidR="00F0016B" w:rsidRPr="0007754D">
        <w:rPr>
          <w:color w:val="000000" w:themeColor="text1"/>
          <w:lang w:val="en-GB"/>
        </w:rPr>
        <w:t>, and rights over one’s own SRH medical data</w:t>
      </w:r>
      <w:r w:rsidR="00CC606C" w:rsidRPr="0007754D">
        <w:rPr>
          <w:color w:val="000000" w:themeColor="text1"/>
          <w:lang w:val="en-GB"/>
        </w:rPr>
        <w:t>.</w:t>
      </w:r>
      <w:r w:rsidR="00FD1F5A" w:rsidRPr="0007754D">
        <w:rPr>
          <w:color w:val="000000" w:themeColor="text1"/>
          <w:lang w:val="en-GB"/>
        </w:rPr>
        <w:t xml:space="preserve"> It is interesting to note that the ECtHR clearly protects rights over one’s own SRH medical data,</w:t>
      </w:r>
      <w:r w:rsidR="00FD1F5A" w:rsidRPr="0007754D">
        <w:rPr>
          <w:rStyle w:val="FootnoteReference"/>
          <w:color w:val="000000" w:themeColor="text1"/>
        </w:rPr>
        <w:footnoteReference w:id="54"/>
      </w:r>
      <w:r w:rsidR="00FD1F5A" w:rsidRPr="0007754D">
        <w:rPr>
          <w:color w:val="000000" w:themeColor="text1"/>
          <w:lang w:val="en-GB"/>
        </w:rPr>
        <w:t xml:space="preserve"> as well as transgender persons’ rights to access gender reassignment surgery.</w:t>
      </w:r>
      <w:r w:rsidR="00FD1F5A" w:rsidRPr="0007754D">
        <w:rPr>
          <w:rStyle w:val="FootnoteReference"/>
          <w:color w:val="000000" w:themeColor="text1"/>
        </w:rPr>
        <w:footnoteReference w:id="55"/>
      </w:r>
      <w:r w:rsidR="00FD1F5A" w:rsidRPr="0007754D">
        <w:rPr>
          <w:color w:val="000000" w:themeColor="text1"/>
          <w:lang w:val="en-GB"/>
        </w:rPr>
        <w:t xml:space="preserve"> Howev</w:t>
      </w:r>
      <w:r w:rsidR="008125B9" w:rsidRPr="0007754D">
        <w:rPr>
          <w:color w:val="000000" w:themeColor="text1"/>
          <w:lang w:val="en-GB"/>
        </w:rPr>
        <w:t>e</w:t>
      </w:r>
      <w:r w:rsidR="00FD1F5A" w:rsidRPr="0007754D">
        <w:rPr>
          <w:color w:val="000000" w:themeColor="text1"/>
          <w:lang w:val="en-GB"/>
        </w:rPr>
        <w:t>r, this article will focus on the former four categories, for they give a particularly interesting insight into the Court’s reading of individuals’ autonomy in SRH, focusing on women.</w:t>
      </w:r>
      <w:r w:rsidR="00CC606C" w:rsidRPr="0007754D">
        <w:rPr>
          <w:color w:val="000000" w:themeColor="text1"/>
          <w:lang w:val="en-GB"/>
        </w:rPr>
        <w:t xml:space="preserve"> Article 8 ECHR protects everyone’s ‘</w:t>
      </w:r>
      <w:r w:rsidR="00CC606C" w:rsidRPr="0007754D">
        <w:rPr>
          <w:i/>
          <w:color w:val="000000" w:themeColor="text1"/>
          <w:lang w:val="en-GB"/>
        </w:rPr>
        <w:t>right to respect for his private and family life, his home and his correspondence</w:t>
      </w:r>
      <w:r w:rsidR="00CC606C" w:rsidRPr="0007754D">
        <w:rPr>
          <w:color w:val="000000" w:themeColor="text1"/>
          <w:lang w:val="en-GB"/>
        </w:rPr>
        <w:t>’.</w:t>
      </w:r>
      <w:r w:rsidR="00CC606C" w:rsidRPr="0007754D">
        <w:rPr>
          <w:rStyle w:val="FootnoteReference"/>
          <w:color w:val="000000" w:themeColor="text1"/>
        </w:rPr>
        <w:footnoteReference w:id="56"/>
      </w:r>
      <w:r w:rsidR="003102B4" w:rsidRPr="0007754D">
        <w:rPr>
          <w:color w:val="000000" w:themeColor="text1"/>
          <w:lang w:val="en-GB"/>
        </w:rPr>
        <w:t xml:space="preserve"> Despite the possibility for states to legally restrict this right for reasons that traditionally interfere with individuals’ SRH (‘</w:t>
      </w:r>
      <w:r w:rsidR="003102B4" w:rsidRPr="0007754D">
        <w:rPr>
          <w:i/>
          <w:color w:val="000000" w:themeColor="text1"/>
          <w:lang w:val="en-GB"/>
        </w:rPr>
        <w:t xml:space="preserve">the protection of health or morals, or </w:t>
      </w:r>
      <w:r w:rsidR="003102B4" w:rsidRPr="0007754D">
        <w:rPr>
          <w:color w:val="000000" w:themeColor="text1"/>
          <w:lang w:val="en-GB"/>
        </w:rPr>
        <w:sym w:font="Symbol" w:char="F05B"/>
      </w:r>
      <w:r w:rsidR="003102B4" w:rsidRPr="0007754D">
        <w:rPr>
          <w:color w:val="000000" w:themeColor="text1"/>
          <w:lang w:val="en-GB"/>
        </w:rPr>
        <w:t>…</w:t>
      </w:r>
      <w:r w:rsidR="003102B4" w:rsidRPr="0007754D">
        <w:rPr>
          <w:color w:val="000000" w:themeColor="text1"/>
          <w:lang w:val="en-GB"/>
        </w:rPr>
        <w:sym w:font="Symbol" w:char="F05D"/>
      </w:r>
      <w:r w:rsidR="003102B4" w:rsidRPr="0007754D">
        <w:rPr>
          <w:i/>
          <w:color w:val="000000" w:themeColor="text1"/>
          <w:lang w:val="en-GB"/>
        </w:rPr>
        <w:t xml:space="preserve"> the protection of the rights and freedoms of others</w:t>
      </w:r>
      <w:r w:rsidR="003102B4" w:rsidRPr="0007754D">
        <w:rPr>
          <w:color w:val="000000" w:themeColor="text1"/>
          <w:lang w:val="en-GB"/>
        </w:rPr>
        <w:t>’</w:t>
      </w:r>
      <w:r w:rsidR="003102B4" w:rsidRPr="0007754D">
        <w:rPr>
          <w:rStyle w:val="FootnoteReference"/>
          <w:color w:val="000000" w:themeColor="text1"/>
        </w:rPr>
        <w:footnoteReference w:id="57"/>
      </w:r>
      <w:r w:rsidR="003102B4" w:rsidRPr="0007754D">
        <w:rPr>
          <w:color w:val="000000" w:themeColor="text1"/>
          <w:lang w:val="en-GB"/>
        </w:rPr>
        <w:t xml:space="preserve">), the jurisprudence of the ECtHR has been relatively protective </w:t>
      </w:r>
      <w:r w:rsidR="00B46BB9" w:rsidRPr="0007754D">
        <w:rPr>
          <w:color w:val="000000" w:themeColor="text1"/>
          <w:lang w:val="en-GB"/>
        </w:rPr>
        <w:t xml:space="preserve">of individuals’ SRH </w:t>
      </w:r>
      <w:r w:rsidR="003102B4" w:rsidRPr="0007754D">
        <w:rPr>
          <w:color w:val="000000" w:themeColor="text1"/>
          <w:lang w:val="en-GB"/>
        </w:rPr>
        <w:t>under this provision.</w:t>
      </w:r>
    </w:p>
    <w:p w14:paraId="225A5440" w14:textId="77777777" w:rsidR="00433184" w:rsidRPr="0007754D" w:rsidRDefault="00433184" w:rsidP="00433184">
      <w:pPr>
        <w:spacing w:line="276" w:lineRule="auto"/>
        <w:jc w:val="both"/>
        <w:rPr>
          <w:color w:val="000000" w:themeColor="text1"/>
          <w:lang w:val="en-GB"/>
        </w:rPr>
      </w:pPr>
    </w:p>
    <w:p w14:paraId="7E5EE8DF" w14:textId="7A95B2CB" w:rsidR="00433184" w:rsidRPr="0007754D" w:rsidRDefault="00DF1CFA" w:rsidP="008318B2">
      <w:pPr>
        <w:pStyle w:val="Heading3"/>
        <w:numPr>
          <w:ilvl w:val="2"/>
          <w:numId w:val="31"/>
        </w:numPr>
        <w:spacing w:line="276" w:lineRule="auto"/>
        <w:rPr>
          <w:rFonts w:asciiTheme="minorHAnsi" w:hAnsiTheme="minorHAnsi"/>
          <w:b/>
          <w:i/>
          <w:color w:val="000000" w:themeColor="text1"/>
          <w:lang w:val="en-GB"/>
        </w:rPr>
      </w:pPr>
      <w:r w:rsidRPr="0007754D">
        <w:rPr>
          <w:rFonts w:asciiTheme="minorHAnsi" w:hAnsiTheme="minorHAnsi"/>
          <w:b/>
          <w:i/>
          <w:color w:val="000000" w:themeColor="text1"/>
          <w:lang w:val="en-GB"/>
        </w:rPr>
        <w:t>Protecting</w:t>
      </w:r>
      <w:r w:rsidR="00433184" w:rsidRPr="0007754D">
        <w:rPr>
          <w:rFonts w:asciiTheme="minorHAnsi" w:hAnsiTheme="minorHAnsi"/>
          <w:b/>
          <w:i/>
          <w:color w:val="000000" w:themeColor="text1"/>
          <w:lang w:val="en-GB"/>
        </w:rPr>
        <w:t xml:space="preserve"> </w:t>
      </w:r>
      <w:r w:rsidRPr="0007754D">
        <w:rPr>
          <w:rFonts w:asciiTheme="minorHAnsi" w:hAnsiTheme="minorHAnsi"/>
          <w:b/>
          <w:i/>
          <w:color w:val="000000" w:themeColor="text1"/>
          <w:lang w:val="en-GB"/>
        </w:rPr>
        <w:t xml:space="preserve">autonomy </w:t>
      </w:r>
      <w:r w:rsidR="00433184" w:rsidRPr="0007754D">
        <w:rPr>
          <w:rFonts w:asciiTheme="minorHAnsi" w:hAnsiTheme="minorHAnsi"/>
          <w:b/>
          <w:i/>
          <w:color w:val="000000" w:themeColor="text1"/>
          <w:lang w:val="en-GB"/>
        </w:rPr>
        <w:t xml:space="preserve">in </w:t>
      </w:r>
      <w:r w:rsidR="008318B2" w:rsidRPr="0007754D">
        <w:rPr>
          <w:rFonts w:asciiTheme="minorHAnsi" w:hAnsiTheme="minorHAnsi"/>
          <w:b/>
          <w:i/>
          <w:color w:val="000000" w:themeColor="text1"/>
          <w:lang w:val="en-GB"/>
        </w:rPr>
        <w:t>forced sterilisation cases</w:t>
      </w:r>
      <w:r w:rsidR="001E6A08" w:rsidRPr="0007754D">
        <w:rPr>
          <w:rFonts w:asciiTheme="minorHAnsi" w:hAnsiTheme="minorHAnsi"/>
          <w:b/>
          <w:i/>
          <w:color w:val="000000" w:themeColor="text1"/>
          <w:lang w:val="en-GB"/>
        </w:rPr>
        <w:t>: informed consent</w:t>
      </w:r>
    </w:p>
    <w:p w14:paraId="1A18BA1C" w14:textId="77777777" w:rsidR="00433184" w:rsidRPr="0007754D" w:rsidRDefault="00433184" w:rsidP="00433184">
      <w:pPr>
        <w:spacing w:line="276" w:lineRule="auto"/>
        <w:jc w:val="both"/>
        <w:rPr>
          <w:color w:val="000000" w:themeColor="text1"/>
          <w:lang w:val="en-GB"/>
        </w:rPr>
      </w:pPr>
    </w:p>
    <w:p w14:paraId="7F19BAFD" w14:textId="2EE30EBD" w:rsidR="00365254" w:rsidRPr="0007754D" w:rsidRDefault="00433184" w:rsidP="007C701B">
      <w:pPr>
        <w:spacing w:line="276" w:lineRule="auto"/>
        <w:jc w:val="both"/>
        <w:rPr>
          <w:color w:val="000000" w:themeColor="text1"/>
          <w:lang w:val="en-GB"/>
        </w:rPr>
      </w:pPr>
      <w:r w:rsidRPr="0007754D">
        <w:rPr>
          <w:color w:val="000000" w:themeColor="text1"/>
          <w:lang w:val="en-GB"/>
        </w:rPr>
        <w:t xml:space="preserve">Since 2000, the Court held </w:t>
      </w:r>
      <w:r w:rsidR="00C74998" w:rsidRPr="0007754D">
        <w:rPr>
          <w:color w:val="000000" w:themeColor="text1"/>
          <w:lang w:val="en-GB"/>
        </w:rPr>
        <w:t>four</w:t>
      </w:r>
      <w:r w:rsidR="00777187" w:rsidRPr="0007754D">
        <w:rPr>
          <w:color w:val="000000" w:themeColor="text1"/>
          <w:lang w:val="en-GB"/>
        </w:rPr>
        <w:t xml:space="preserve"> </w:t>
      </w:r>
      <w:r w:rsidRPr="0007754D">
        <w:rPr>
          <w:color w:val="000000" w:themeColor="text1"/>
          <w:lang w:val="en-GB"/>
        </w:rPr>
        <w:t xml:space="preserve">Merits </w:t>
      </w:r>
      <w:r w:rsidR="003B0A03" w:rsidRPr="0007754D">
        <w:rPr>
          <w:color w:val="000000" w:themeColor="text1"/>
          <w:lang w:val="en-GB"/>
        </w:rPr>
        <w:t>Judgments</w:t>
      </w:r>
      <w:r w:rsidRPr="0007754D">
        <w:rPr>
          <w:color w:val="000000" w:themeColor="text1"/>
          <w:lang w:val="en-GB"/>
        </w:rPr>
        <w:t xml:space="preserve"> under Article 8 ECHR</w:t>
      </w:r>
      <w:r w:rsidR="00777187" w:rsidRPr="0007754D">
        <w:rPr>
          <w:color w:val="000000" w:themeColor="text1"/>
          <w:lang w:val="en-GB"/>
        </w:rPr>
        <w:t xml:space="preserve"> </w:t>
      </w:r>
      <w:r w:rsidR="00D12CDA" w:rsidRPr="0007754D">
        <w:rPr>
          <w:color w:val="000000" w:themeColor="text1"/>
          <w:lang w:val="en-GB"/>
        </w:rPr>
        <w:t>involving</w:t>
      </w:r>
      <w:r w:rsidRPr="0007754D">
        <w:rPr>
          <w:color w:val="000000" w:themeColor="text1"/>
          <w:lang w:val="en-GB"/>
        </w:rPr>
        <w:t xml:space="preserve"> </w:t>
      </w:r>
      <w:r w:rsidR="00E940A5" w:rsidRPr="0007754D">
        <w:rPr>
          <w:color w:val="000000" w:themeColor="text1"/>
          <w:lang w:val="en-GB"/>
        </w:rPr>
        <w:t>Roma</w:t>
      </w:r>
      <w:r w:rsidR="00C74998" w:rsidRPr="0007754D">
        <w:rPr>
          <w:color w:val="000000" w:themeColor="text1"/>
          <w:lang w:val="en-GB"/>
        </w:rPr>
        <w:t xml:space="preserve"> </w:t>
      </w:r>
      <w:r w:rsidRPr="0007754D">
        <w:rPr>
          <w:color w:val="000000" w:themeColor="text1"/>
          <w:lang w:val="en-GB"/>
        </w:rPr>
        <w:t xml:space="preserve">women </w:t>
      </w:r>
      <w:r w:rsidR="00D12CDA" w:rsidRPr="0007754D">
        <w:rPr>
          <w:color w:val="000000" w:themeColor="text1"/>
          <w:lang w:val="en-GB"/>
        </w:rPr>
        <w:t xml:space="preserve">who had been </w:t>
      </w:r>
      <w:r w:rsidRPr="0007754D">
        <w:rPr>
          <w:color w:val="000000" w:themeColor="text1"/>
          <w:lang w:val="en-GB"/>
        </w:rPr>
        <w:t xml:space="preserve">subject to </w:t>
      </w:r>
      <w:r w:rsidR="008318B2" w:rsidRPr="0007754D">
        <w:rPr>
          <w:color w:val="000000" w:themeColor="text1"/>
          <w:lang w:val="en-GB"/>
        </w:rPr>
        <w:t xml:space="preserve">forced </w:t>
      </w:r>
      <w:r w:rsidRPr="0007754D">
        <w:rPr>
          <w:color w:val="000000" w:themeColor="text1"/>
          <w:lang w:val="en-GB"/>
        </w:rPr>
        <w:t>sterilisation</w:t>
      </w:r>
      <w:r w:rsidR="008318B2" w:rsidRPr="0007754D">
        <w:rPr>
          <w:color w:val="000000" w:themeColor="text1"/>
          <w:lang w:val="en-GB"/>
        </w:rPr>
        <w:t>s</w:t>
      </w:r>
      <w:r w:rsidR="00D12CDA" w:rsidRPr="0007754D">
        <w:rPr>
          <w:color w:val="000000" w:themeColor="text1"/>
          <w:lang w:val="en-GB"/>
        </w:rPr>
        <w:t xml:space="preserve"> in Slovakia,</w:t>
      </w:r>
      <w:r w:rsidR="00F83DD9" w:rsidRPr="0007754D">
        <w:rPr>
          <w:color w:val="000000" w:themeColor="text1"/>
          <w:lang w:val="en-GB"/>
        </w:rPr>
        <w:t xml:space="preserve"> </w:t>
      </w:r>
      <w:r w:rsidR="00AF7B2A" w:rsidRPr="0007754D">
        <w:rPr>
          <w:color w:val="000000" w:themeColor="text1"/>
          <w:lang w:val="en-GB"/>
        </w:rPr>
        <w:t>following</w:t>
      </w:r>
      <w:r w:rsidR="00D12CDA" w:rsidRPr="0007754D">
        <w:rPr>
          <w:color w:val="000000" w:themeColor="text1"/>
          <w:lang w:val="en-GB"/>
        </w:rPr>
        <w:t xml:space="preserve"> a </w:t>
      </w:r>
      <w:r w:rsidR="00F83DD9" w:rsidRPr="0007754D">
        <w:rPr>
          <w:color w:val="000000" w:themeColor="text1"/>
          <w:lang w:val="en-GB"/>
        </w:rPr>
        <w:t>caesarean section</w:t>
      </w:r>
      <w:r w:rsidR="00633E90" w:rsidRPr="0007754D">
        <w:rPr>
          <w:color w:val="000000" w:themeColor="text1"/>
          <w:lang w:val="en-GB"/>
        </w:rPr>
        <w:t xml:space="preserve">. </w:t>
      </w:r>
      <w:r w:rsidR="00AF7B2A" w:rsidRPr="0007754D">
        <w:rPr>
          <w:color w:val="000000" w:themeColor="text1"/>
          <w:lang w:val="en-GB"/>
        </w:rPr>
        <w:t xml:space="preserve">However, this article will only study </w:t>
      </w:r>
      <w:r w:rsidR="00AF7B2A" w:rsidRPr="0007754D">
        <w:rPr>
          <w:i/>
          <w:color w:val="000000" w:themeColor="text1"/>
          <w:lang w:val="en-GB"/>
        </w:rPr>
        <w:t>V.C. v. Slovakia</w:t>
      </w:r>
      <w:r w:rsidR="00AF7B2A" w:rsidRPr="0007754D">
        <w:rPr>
          <w:color w:val="000000" w:themeColor="text1"/>
          <w:lang w:val="en-GB"/>
        </w:rPr>
        <w:t xml:space="preserve"> (2011), </w:t>
      </w:r>
      <w:r w:rsidR="00AF7B2A" w:rsidRPr="0007754D">
        <w:rPr>
          <w:i/>
          <w:color w:val="000000" w:themeColor="text1"/>
          <w:lang w:val="en-GB"/>
        </w:rPr>
        <w:t>N.B. v. Slovakia</w:t>
      </w:r>
      <w:r w:rsidR="00AF7B2A" w:rsidRPr="0007754D">
        <w:rPr>
          <w:color w:val="000000" w:themeColor="text1"/>
          <w:lang w:val="en-GB"/>
        </w:rPr>
        <w:t xml:space="preserve"> (2012), and</w:t>
      </w:r>
      <w:r w:rsidR="00AF7B2A" w:rsidRPr="0007754D">
        <w:rPr>
          <w:i/>
          <w:color w:val="000000" w:themeColor="text1"/>
          <w:lang w:val="en-GB"/>
        </w:rPr>
        <w:t xml:space="preserve"> I.G. and others v. Slovakia</w:t>
      </w:r>
      <w:r w:rsidR="00AF7B2A" w:rsidRPr="0007754D">
        <w:rPr>
          <w:color w:val="000000" w:themeColor="text1"/>
          <w:lang w:val="en-GB"/>
        </w:rPr>
        <w:t xml:space="preserve"> (2012),</w:t>
      </w:r>
      <w:r w:rsidR="00AF7B2A" w:rsidRPr="0007754D">
        <w:rPr>
          <w:rStyle w:val="FootnoteReference"/>
          <w:color w:val="000000" w:themeColor="text1"/>
        </w:rPr>
        <w:footnoteReference w:id="58"/>
      </w:r>
      <w:r w:rsidR="00AF7B2A" w:rsidRPr="0007754D">
        <w:rPr>
          <w:color w:val="000000" w:themeColor="text1"/>
          <w:lang w:val="en-GB"/>
        </w:rPr>
        <w:t xml:space="preserve"> for </w:t>
      </w:r>
      <w:r w:rsidR="00AF7B2A" w:rsidRPr="0007754D">
        <w:rPr>
          <w:i/>
          <w:color w:val="000000" w:themeColor="text1"/>
          <w:lang w:val="en-GB"/>
        </w:rPr>
        <w:t>K.H. and others v. Slovakia</w:t>
      </w:r>
      <w:r w:rsidR="00AF7B2A" w:rsidRPr="0007754D">
        <w:rPr>
          <w:color w:val="000000" w:themeColor="text1"/>
          <w:lang w:val="en-GB"/>
        </w:rPr>
        <w:t xml:space="preserve"> (2009) concerns a different aspect of SRH not discussed in this article: the right to access one’s medical records.</w:t>
      </w:r>
      <w:r w:rsidR="00AF7B2A" w:rsidRPr="0007754D">
        <w:rPr>
          <w:rStyle w:val="FootnoteReference"/>
          <w:color w:val="000000" w:themeColor="text1"/>
        </w:rPr>
        <w:footnoteReference w:id="59"/>
      </w:r>
      <w:r w:rsidR="00AF7B2A" w:rsidRPr="0007754D">
        <w:rPr>
          <w:color w:val="000000" w:themeColor="text1"/>
          <w:lang w:val="en-GB"/>
        </w:rPr>
        <w:t xml:space="preserve"> </w:t>
      </w:r>
      <w:r w:rsidR="0065030D" w:rsidRPr="0007754D">
        <w:rPr>
          <w:color w:val="000000" w:themeColor="text1"/>
          <w:lang w:val="en-GB"/>
        </w:rPr>
        <w:t>In t</w:t>
      </w:r>
      <w:r w:rsidR="00C74998" w:rsidRPr="0007754D">
        <w:rPr>
          <w:color w:val="000000" w:themeColor="text1"/>
          <w:lang w:val="en-GB"/>
        </w:rPr>
        <w:t>h</w:t>
      </w:r>
      <w:r w:rsidR="002F4F30" w:rsidRPr="0007754D">
        <w:rPr>
          <w:color w:val="000000" w:themeColor="text1"/>
          <w:lang w:val="en-GB"/>
        </w:rPr>
        <w:t>e first</w:t>
      </w:r>
      <w:r w:rsidR="00D84D09" w:rsidRPr="0007754D">
        <w:rPr>
          <w:color w:val="000000" w:themeColor="text1"/>
          <w:lang w:val="en-GB"/>
        </w:rPr>
        <w:t xml:space="preserve"> three</w:t>
      </w:r>
      <w:r w:rsidR="00E940A5" w:rsidRPr="0007754D">
        <w:rPr>
          <w:color w:val="000000" w:themeColor="text1"/>
          <w:lang w:val="en-GB"/>
        </w:rPr>
        <w:t xml:space="preserve"> cases (discussed in subsection 1.1.1)</w:t>
      </w:r>
      <w:r w:rsidR="00CC1F24" w:rsidRPr="0007754D">
        <w:rPr>
          <w:color w:val="000000" w:themeColor="text1"/>
          <w:lang w:val="en-GB"/>
        </w:rPr>
        <w:t xml:space="preserve">, </w:t>
      </w:r>
      <w:r w:rsidR="0065030D" w:rsidRPr="0007754D">
        <w:rPr>
          <w:color w:val="000000" w:themeColor="text1"/>
          <w:lang w:val="en-GB"/>
        </w:rPr>
        <w:t xml:space="preserve">the ECtHR held </w:t>
      </w:r>
      <w:r w:rsidR="00C74998" w:rsidRPr="0007754D">
        <w:rPr>
          <w:color w:val="000000" w:themeColor="text1"/>
          <w:lang w:val="en-GB"/>
        </w:rPr>
        <w:t xml:space="preserve">not only a breach of Article 3, but also a breach of </w:t>
      </w:r>
      <w:r w:rsidR="0096452A" w:rsidRPr="0007754D">
        <w:rPr>
          <w:color w:val="000000" w:themeColor="text1"/>
          <w:lang w:val="en-GB"/>
        </w:rPr>
        <w:t>Article 8</w:t>
      </w:r>
      <w:r w:rsidR="002969CC" w:rsidRPr="0007754D">
        <w:rPr>
          <w:color w:val="000000" w:themeColor="text1"/>
          <w:lang w:val="en-GB"/>
        </w:rPr>
        <w:t>. In these cases, the Court</w:t>
      </w:r>
      <w:r w:rsidR="005B7301" w:rsidRPr="0007754D">
        <w:rPr>
          <w:color w:val="000000" w:themeColor="text1"/>
          <w:lang w:val="en-GB"/>
        </w:rPr>
        <w:t xml:space="preserve"> </w:t>
      </w:r>
      <w:r w:rsidR="00365254" w:rsidRPr="0007754D">
        <w:rPr>
          <w:color w:val="000000" w:themeColor="text1"/>
          <w:lang w:val="en-GB"/>
        </w:rPr>
        <w:t>emphasised</w:t>
      </w:r>
      <w:r w:rsidR="0065030D" w:rsidRPr="0007754D">
        <w:rPr>
          <w:color w:val="000000" w:themeColor="text1"/>
          <w:lang w:val="en-GB"/>
        </w:rPr>
        <w:t xml:space="preserve"> the</w:t>
      </w:r>
      <w:r w:rsidR="005B7301" w:rsidRPr="0007754D">
        <w:rPr>
          <w:color w:val="000000" w:themeColor="text1"/>
          <w:lang w:val="en-GB"/>
        </w:rPr>
        <w:t xml:space="preserve"> importance of informed consent</w:t>
      </w:r>
      <w:r w:rsidR="00365254" w:rsidRPr="0007754D">
        <w:rPr>
          <w:color w:val="000000" w:themeColor="text1"/>
          <w:lang w:val="en-GB"/>
        </w:rPr>
        <w:t xml:space="preserve"> on two accounts</w:t>
      </w:r>
      <w:r w:rsidR="002F4F30" w:rsidRPr="0007754D">
        <w:rPr>
          <w:color w:val="000000" w:themeColor="text1"/>
          <w:lang w:val="en-GB"/>
        </w:rPr>
        <w:t xml:space="preserve">. </w:t>
      </w:r>
      <w:r w:rsidR="00365254" w:rsidRPr="0007754D">
        <w:rPr>
          <w:color w:val="000000" w:themeColor="text1"/>
          <w:lang w:val="en-GB"/>
        </w:rPr>
        <w:t xml:space="preserve">Firstly, </w:t>
      </w:r>
      <w:r w:rsidR="002969CC" w:rsidRPr="0007754D">
        <w:rPr>
          <w:color w:val="000000" w:themeColor="text1"/>
          <w:lang w:val="en-GB"/>
        </w:rPr>
        <w:t>it</w:t>
      </w:r>
      <w:r w:rsidR="002F4F30" w:rsidRPr="0007754D">
        <w:rPr>
          <w:color w:val="000000" w:themeColor="text1"/>
          <w:lang w:val="en-GB"/>
        </w:rPr>
        <w:t xml:space="preserve"> consistently justified its </w:t>
      </w:r>
      <w:r w:rsidR="005B7301" w:rsidRPr="0007754D">
        <w:rPr>
          <w:color w:val="000000" w:themeColor="text1"/>
          <w:lang w:val="en-GB"/>
        </w:rPr>
        <w:t>findings of non-conformity with Article 8</w:t>
      </w:r>
      <w:r w:rsidR="002F4F30" w:rsidRPr="0007754D">
        <w:rPr>
          <w:color w:val="000000" w:themeColor="text1"/>
          <w:lang w:val="en-GB"/>
        </w:rPr>
        <w:t xml:space="preserve"> by r</w:t>
      </w:r>
      <w:r w:rsidR="005B7301" w:rsidRPr="0007754D">
        <w:rPr>
          <w:color w:val="000000" w:themeColor="text1"/>
          <w:lang w:val="en-GB"/>
        </w:rPr>
        <w:t xml:space="preserve">eferring to the applicants’ </w:t>
      </w:r>
      <w:r w:rsidR="00061B7A" w:rsidRPr="0007754D">
        <w:rPr>
          <w:color w:val="000000" w:themeColor="text1"/>
          <w:lang w:val="en-GB"/>
        </w:rPr>
        <w:t xml:space="preserve">lack of </w:t>
      </w:r>
      <w:r w:rsidR="002F4F30" w:rsidRPr="0007754D">
        <w:rPr>
          <w:color w:val="000000" w:themeColor="text1"/>
          <w:lang w:val="en-GB"/>
        </w:rPr>
        <w:t>informed consent in medical decision</w:t>
      </w:r>
      <w:r w:rsidR="002969CC" w:rsidRPr="0007754D">
        <w:rPr>
          <w:color w:val="000000" w:themeColor="text1"/>
          <w:lang w:val="en-GB"/>
        </w:rPr>
        <w:t xml:space="preserve">s </w:t>
      </w:r>
      <w:r w:rsidR="002F4F30" w:rsidRPr="0007754D">
        <w:rPr>
          <w:color w:val="000000" w:themeColor="text1"/>
          <w:lang w:val="en-GB"/>
        </w:rPr>
        <w:t>affecting significantly their SRH.</w:t>
      </w:r>
      <w:r w:rsidR="00487C06" w:rsidRPr="0007754D">
        <w:rPr>
          <w:rStyle w:val="FootnoteReference"/>
          <w:color w:val="000000" w:themeColor="text1"/>
        </w:rPr>
        <w:footnoteReference w:id="60"/>
      </w:r>
      <w:r w:rsidR="00487C06" w:rsidRPr="0007754D">
        <w:rPr>
          <w:color w:val="000000" w:themeColor="text1"/>
          <w:lang w:val="en-GB"/>
        </w:rPr>
        <w:t xml:space="preserve"> The </w:t>
      </w:r>
      <w:r w:rsidR="00365254" w:rsidRPr="0007754D">
        <w:rPr>
          <w:color w:val="000000" w:themeColor="text1"/>
          <w:lang w:val="en-GB"/>
        </w:rPr>
        <w:t xml:space="preserve">clear </w:t>
      </w:r>
      <w:r w:rsidR="00487C06" w:rsidRPr="0007754D">
        <w:rPr>
          <w:color w:val="000000" w:themeColor="text1"/>
          <w:lang w:val="en-GB"/>
        </w:rPr>
        <w:t xml:space="preserve">protection of informed consent by the ECtHR is a welcome addition to its jurisprudence on SRH, for it indirectly upholds patients’ autonomy, </w:t>
      </w:r>
      <w:r w:rsidR="00391F0B" w:rsidRPr="0007754D">
        <w:rPr>
          <w:color w:val="000000" w:themeColor="text1"/>
          <w:lang w:val="en-GB"/>
        </w:rPr>
        <w:t xml:space="preserve">both </w:t>
      </w:r>
      <w:r w:rsidR="00487C06" w:rsidRPr="0007754D">
        <w:rPr>
          <w:color w:val="000000" w:themeColor="text1"/>
          <w:lang w:val="en-GB"/>
        </w:rPr>
        <w:t>key</w:t>
      </w:r>
      <w:r w:rsidR="00391F0B" w:rsidRPr="0007754D">
        <w:rPr>
          <w:color w:val="000000" w:themeColor="text1"/>
          <w:lang w:val="en-GB"/>
        </w:rPr>
        <w:t xml:space="preserve"> SRH principles </w:t>
      </w:r>
      <w:r w:rsidR="00487C06" w:rsidRPr="0007754D">
        <w:rPr>
          <w:color w:val="000000" w:themeColor="text1"/>
          <w:lang w:val="en-GB"/>
        </w:rPr>
        <w:t>recognised by UN</w:t>
      </w:r>
      <w:r w:rsidR="00400789" w:rsidRPr="0007754D">
        <w:rPr>
          <w:color w:val="000000" w:themeColor="text1"/>
          <w:lang w:val="en-GB"/>
        </w:rPr>
        <w:t>CESCR</w:t>
      </w:r>
      <w:r w:rsidR="00487C06" w:rsidRPr="0007754D">
        <w:rPr>
          <w:color w:val="000000" w:themeColor="text1"/>
          <w:lang w:val="en-GB"/>
        </w:rPr>
        <w:t xml:space="preserve"> G</w:t>
      </w:r>
      <w:r w:rsidR="00400789" w:rsidRPr="0007754D">
        <w:rPr>
          <w:color w:val="000000" w:themeColor="text1"/>
          <w:lang w:val="en-GB"/>
        </w:rPr>
        <w:t>C</w:t>
      </w:r>
      <w:r w:rsidR="00487C06" w:rsidRPr="0007754D">
        <w:rPr>
          <w:color w:val="000000" w:themeColor="text1"/>
          <w:lang w:val="en-GB"/>
        </w:rPr>
        <w:t>22.</w:t>
      </w:r>
      <w:r w:rsidR="00487C06" w:rsidRPr="0007754D">
        <w:rPr>
          <w:rStyle w:val="FootnoteReference"/>
          <w:color w:val="000000" w:themeColor="text1"/>
        </w:rPr>
        <w:footnoteReference w:id="61"/>
      </w:r>
      <w:r w:rsidR="00487C06" w:rsidRPr="0007754D">
        <w:rPr>
          <w:color w:val="000000" w:themeColor="text1"/>
          <w:lang w:val="en-GB"/>
        </w:rPr>
        <w:t xml:space="preserve"> </w:t>
      </w:r>
      <w:r w:rsidR="00365254" w:rsidRPr="0007754D">
        <w:rPr>
          <w:color w:val="000000" w:themeColor="text1"/>
          <w:lang w:val="en-GB"/>
        </w:rPr>
        <w:t>Secondly</w:t>
      </w:r>
      <w:r w:rsidR="005B7301" w:rsidRPr="0007754D">
        <w:rPr>
          <w:color w:val="000000" w:themeColor="text1"/>
          <w:lang w:val="en-GB"/>
        </w:rPr>
        <w:t xml:space="preserve">, the ECtHR </w:t>
      </w:r>
      <w:r w:rsidR="00365254" w:rsidRPr="0007754D">
        <w:rPr>
          <w:color w:val="000000" w:themeColor="text1"/>
          <w:lang w:val="en-GB"/>
        </w:rPr>
        <w:t>repeatedly recognised</w:t>
      </w:r>
      <w:r w:rsidR="00070C4C" w:rsidRPr="0007754D">
        <w:rPr>
          <w:color w:val="000000" w:themeColor="text1"/>
          <w:lang w:val="en-GB"/>
        </w:rPr>
        <w:t xml:space="preserve"> </w:t>
      </w:r>
      <w:r w:rsidR="002F4F30" w:rsidRPr="0007754D">
        <w:rPr>
          <w:color w:val="000000" w:themeColor="text1"/>
          <w:lang w:val="en-GB"/>
        </w:rPr>
        <w:t>a breach of Slovakia’s ‘</w:t>
      </w:r>
      <w:r w:rsidR="002F4F30" w:rsidRPr="0007754D">
        <w:rPr>
          <w:i/>
          <w:color w:val="000000" w:themeColor="text1"/>
          <w:lang w:val="en-GB"/>
        </w:rPr>
        <w:t>positive obligation</w:t>
      </w:r>
      <w:r w:rsidR="00F726E0" w:rsidRPr="0007754D">
        <w:rPr>
          <w:i/>
          <w:color w:val="000000" w:themeColor="text1"/>
          <w:lang w:val="en-GB"/>
        </w:rPr>
        <w:t>s</w:t>
      </w:r>
      <w:r w:rsidR="002F4F30" w:rsidRPr="0007754D">
        <w:rPr>
          <w:color w:val="000000" w:themeColor="text1"/>
          <w:lang w:val="en-GB"/>
        </w:rPr>
        <w:t>’</w:t>
      </w:r>
      <w:r w:rsidR="0010596F" w:rsidRPr="0007754D">
        <w:rPr>
          <w:color w:val="000000" w:themeColor="text1"/>
          <w:lang w:val="en-GB"/>
        </w:rPr>
        <w:t xml:space="preserve"> </w:t>
      </w:r>
      <w:r w:rsidR="00365254" w:rsidRPr="0007754D">
        <w:rPr>
          <w:color w:val="000000" w:themeColor="text1"/>
          <w:lang w:val="en-GB"/>
        </w:rPr>
        <w:t>on the ground that it had failed to take sufficient safeguards to protect applicants’ reproductive health (by combatting non-consensual sterilisations</w:t>
      </w:r>
      <w:r w:rsidR="00AA3874" w:rsidRPr="0007754D">
        <w:rPr>
          <w:color w:val="000000" w:themeColor="text1"/>
          <w:lang w:val="en-GB"/>
        </w:rPr>
        <w:t>).</w:t>
      </w:r>
      <w:r w:rsidR="00487C06" w:rsidRPr="0007754D">
        <w:rPr>
          <w:rStyle w:val="FootnoteReference"/>
          <w:color w:val="000000" w:themeColor="text1"/>
        </w:rPr>
        <w:footnoteReference w:id="62"/>
      </w:r>
      <w:r w:rsidR="0010596F" w:rsidRPr="0007754D">
        <w:rPr>
          <w:color w:val="000000" w:themeColor="text1"/>
          <w:lang w:val="en-GB"/>
        </w:rPr>
        <w:t xml:space="preserve"> </w:t>
      </w:r>
      <w:r w:rsidR="00487C06" w:rsidRPr="0007754D">
        <w:rPr>
          <w:color w:val="000000" w:themeColor="text1"/>
          <w:lang w:val="en-GB"/>
        </w:rPr>
        <w:t xml:space="preserve">It did so by </w:t>
      </w:r>
      <w:r w:rsidR="00391F0B" w:rsidRPr="0007754D">
        <w:rPr>
          <w:color w:val="000000" w:themeColor="text1"/>
          <w:lang w:val="en-GB"/>
        </w:rPr>
        <w:t>using</w:t>
      </w:r>
      <w:r w:rsidR="00487C06" w:rsidRPr="0007754D">
        <w:rPr>
          <w:color w:val="000000" w:themeColor="text1"/>
          <w:lang w:val="en-GB"/>
        </w:rPr>
        <w:t xml:space="preserve"> diverse sources</w:t>
      </w:r>
      <w:r w:rsidR="004D6A42" w:rsidRPr="0007754D">
        <w:rPr>
          <w:color w:val="000000" w:themeColor="text1"/>
          <w:lang w:val="en-GB"/>
        </w:rPr>
        <w:t xml:space="preserve"> </w:t>
      </w:r>
      <w:r w:rsidR="00391F0B" w:rsidRPr="0007754D">
        <w:rPr>
          <w:color w:val="000000" w:themeColor="text1"/>
          <w:lang w:val="en-GB"/>
        </w:rPr>
        <w:t>indic</w:t>
      </w:r>
      <w:r w:rsidR="004D6A42" w:rsidRPr="0007754D">
        <w:rPr>
          <w:color w:val="000000" w:themeColor="text1"/>
          <w:lang w:val="en-GB"/>
        </w:rPr>
        <w:t>ating</w:t>
      </w:r>
      <w:r w:rsidR="00391F0B" w:rsidRPr="0007754D">
        <w:rPr>
          <w:color w:val="000000" w:themeColor="text1"/>
          <w:lang w:val="en-GB"/>
        </w:rPr>
        <w:t xml:space="preserve"> the </w:t>
      </w:r>
      <w:r w:rsidR="004D6A42" w:rsidRPr="0007754D">
        <w:rPr>
          <w:color w:val="000000" w:themeColor="text1"/>
          <w:lang w:val="en-GB"/>
        </w:rPr>
        <w:t xml:space="preserve">particular </w:t>
      </w:r>
      <w:r w:rsidR="00391F0B" w:rsidRPr="0007754D">
        <w:rPr>
          <w:color w:val="000000" w:themeColor="text1"/>
          <w:lang w:val="en-GB"/>
        </w:rPr>
        <w:t>vulnerability of</w:t>
      </w:r>
      <w:r w:rsidR="00487C06" w:rsidRPr="0007754D">
        <w:rPr>
          <w:color w:val="000000" w:themeColor="text1"/>
          <w:lang w:val="en-GB"/>
        </w:rPr>
        <w:t xml:space="preserve"> Roma women </w:t>
      </w:r>
      <w:r w:rsidR="00391F0B" w:rsidRPr="0007754D">
        <w:rPr>
          <w:color w:val="000000" w:themeColor="text1"/>
          <w:lang w:val="en-GB"/>
        </w:rPr>
        <w:t>to</w:t>
      </w:r>
      <w:r w:rsidR="004D6A42" w:rsidRPr="0007754D">
        <w:rPr>
          <w:color w:val="000000" w:themeColor="text1"/>
          <w:lang w:val="en-GB"/>
        </w:rPr>
        <w:t xml:space="preserve"> non-consensual</w:t>
      </w:r>
      <w:r w:rsidR="00391F0B" w:rsidRPr="0007754D">
        <w:rPr>
          <w:color w:val="000000" w:themeColor="text1"/>
          <w:lang w:val="en-GB"/>
        </w:rPr>
        <w:t xml:space="preserve"> </w:t>
      </w:r>
      <w:r w:rsidR="004D6A42" w:rsidRPr="0007754D">
        <w:rPr>
          <w:color w:val="000000" w:themeColor="text1"/>
          <w:lang w:val="en-GB"/>
        </w:rPr>
        <w:t xml:space="preserve">sterilisation procedures, partly due to </w:t>
      </w:r>
      <w:r w:rsidR="00365254" w:rsidRPr="0007754D">
        <w:rPr>
          <w:color w:val="000000" w:themeColor="text1"/>
          <w:lang w:val="en-GB"/>
        </w:rPr>
        <w:t xml:space="preserve">public </w:t>
      </w:r>
      <w:r w:rsidR="004D6A42" w:rsidRPr="0007754D">
        <w:rPr>
          <w:color w:val="000000" w:themeColor="text1"/>
          <w:lang w:val="en-GB"/>
        </w:rPr>
        <w:t>negative perceptions towards birth rates among this community</w:t>
      </w:r>
      <w:r w:rsidR="00487C06" w:rsidRPr="0007754D">
        <w:rPr>
          <w:color w:val="000000" w:themeColor="text1"/>
          <w:lang w:val="en-GB"/>
        </w:rPr>
        <w:t>.</w:t>
      </w:r>
      <w:r w:rsidR="004D6A42" w:rsidRPr="0007754D">
        <w:rPr>
          <w:rStyle w:val="FootnoteReference"/>
          <w:color w:val="000000" w:themeColor="text1"/>
          <w:lang w:val="en-GB"/>
        </w:rPr>
        <w:t xml:space="preserve"> </w:t>
      </w:r>
      <w:r w:rsidR="004D6A42" w:rsidRPr="0007754D">
        <w:rPr>
          <w:rStyle w:val="FootnoteReference"/>
          <w:color w:val="000000" w:themeColor="text1"/>
        </w:rPr>
        <w:footnoteReference w:id="63"/>
      </w:r>
      <w:r w:rsidR="00487C06" w:rsidRPr="0007754D">
        <w:rPr>
          <w:color w:val="000000" w:themeColor="text1"/>
          <w:lang w:val="en-GB"/>
        </w:rPr>
        <w:t xml:space="preserve"> </w:t>
      </w:r>
      <w:r w:rsidRPr="0007754D">
        <w:rPr>
          <w:color w:val="000000" w:themeColor="text1"/>
          <w:lang w:val="en-GB"/>
        </w:rPr>
        <w:t xml:space="preserve">The </w:t>
      </w:r>
      <w:r w:rsidR="00487C06" w:rsidRPr="0007754D">
        <w:rPr>
          <w:color w:val="000000" w:themeColor="text1"/>
          <w:lang w:val="en-GB"/>
        </w:rPr>
        <w:t xml:space="preserve">Court’s </w:t>
      </w:r>
      <w:r w:rsidRPr="0007754D">
        <w:rPr>
          <w:color w:val="000000" w:themeColor="text1"/>
          <w:lang w:val="en-GB"/>
        </w:rPr>
        <w:t>recognition of states’ positive obligations under Article 8</w:t>
      </w:r>
      <w:r w:rsidR="00487C06" w:rsidRPr="0007754D">
        <w:rPr>
          <w:color w:val="000000" w:themeColor="text1"/>
          <w:lang w:val="en-GB"/>
        </w:rPr>
        <w:t xml:space="preserve"> through an evidence-led reasoning represents a</w:t>
      </w:r>
      <w:r w:rsidRPr="0007754D">
        <w:rPr>
          <w:color w:val="000000" w:themeColor="text1"/>
          <w:lang w:val="en-GB"/>
        </w:rPr>
        <w:t xml:space="preserve"> positive development in </w:t>
      </w:r>
      <w:r w:rsidR="00487C06" w:rsidRPr="0007754D">
        <w:rPr>
          <w:color w:val="000000" w:themeColor="text1"/>
          <w:lang w:val="en-GB"/>
        </w:rPr>
        <w:t>its SRH case-</w:t>
      </w:r>
      <w:r w:rsidRPr="0007754D">
        <w:rPr>
          <w:color w:val="000000" w:themeColor="text1"/>
          <w:lang w:val="en-GB"/>
        </w:rPr>
        <w:t>law</w:t>
      </w:r>
      <w:r w:rsidR="00487C06" w:rsidRPr="0007754D">
        <w:rPr>
          <w:color w:val="000000" w:themeColor="text1"/>
          <w:lang w:val="en-GB"/>
        </w:rPr>
        <w:t>.</w:t>
      </w:r>
      <w:r w:rsidR="002E4F2E" w:rsidRPr="0007754D">
        <w:rPr>
          <w:color w:val="000000" w:themeColor="text1"/>
          <w:lang w:val="en-GB"/>
        </w:rPr>
        <w:t xml:space="preserve"> Positive obligations highlight</w:t>
      </w:r>
      <w:r w:rsidR="001E6A08" w:rsidRPr="0007754D">
        <w:rPr>
          <w:color w:val="000000" w:themeColor="text1"/>
          <w:lang w:val="en-GB"/>
        </w:rPr>
        <w:t xml:space="preserve"> the construction of a better rights framework, guaranteeing effective rights, as </w:t>
      </w:r>
      <w:r w:rsidR="002E4F2E" w:rsidRPr="0007754D">
        <w:rPr>
          <w:color w:val="000000" w:themeColor="text1"/>
          <w:lang w:val="en-GB"/>
        </w:rPr>
        <w:t>argue</w:t>
      </w:r>
      <w:r w:rsidR="001E6A08" w:rsidRPr="0007754D">
        <w:rPr>
          <w:color w:val="000000" w:themeColor="text1"/>
          <w:lang w:val="en-GB"/>
        </w:rPr>
        <w:t>d by Dickson.</w:t>
      </w:r>
      <w:r w:rsidR="002969CC" w:rsidRPr="0007754D">
        <w:rPr>
          <w:rStyle w:val="FootnoteReference"/>
          <w:color w:val="000000" w:themeColor="text1"/>
        </w:rPr>
        <w:footnoteReference w:id="64"/>
      </w:r>
      <w:r w:rsidR="00487C06" w:rsidRPr="0007754D">
        <w:rPr>
          <w:color w:val="000000" w:themeColor="text1"/>
          <w:lang w:val="en-GB"/>
        </w:rPr>
        <w:t xml:space="preserve"> </w:t>
      </w:r>
      <w:r w:rsidR="002E4F2E" w:rsidRPr="0007754D">
        <w:rPr>
          <w:color w:val="000000" w:themeColor="text1"/>
          <w:lang w:val="en-GB"/>
        </w:rPr>
        <w:t>They enable the ECtHR to extend its</w:t>
      </w:r>
      <w:r w:rsidRPr="0007754D">
        <w:rPr>
          <w:color w:val="000000" w:themeColor="text1"/>
          <w:lang w:val="en-GB"/>
        </w:rPr>
        <w:t xml:space="preserve"> protection to instances where states should have actively protected individuals’ SRH, whether by granting them access to SRH information or by implementing measures taking into account the specific SRH needs of vulnerable groups. </w:t>
      </w:r>
      <w:r w:rsidR="000B54DA" w:rsidRPr="0007754D">
        <w:rPr>
          <w:color w:val="000000" w:themeColor="text1"/>
          <w:lang w:val="en-GB"/>
        </w:rPr>
        <w:t xml:space="preserve">Such needs, however, can only be known through data collection, making the Court’s evidence-led reasoning crucial. </w:t>
      </w:r>
      <w:r w:rsidR="00A06AF5" w:rsidRPr="0007754D">
        <w:rPr>
          <w:color w:val="000000" w:themeColor="text1"/>
          <w:lang w:val="en-GB"/>
        </w:rPr>
        <w:t xml:space="preserve">The use of Article 8 </w:t>
      </w:r>
      <w:r w:rsidR="00ED7449" w:rsidRPr="0007754D">
        <w:rPr>
          <w:color w:val="000000" w:themeColor="text1"/>
          <w:lang w:val="en-GB"/>
        </w:rPr>
        <w:t>to promote</w:t>
      </w:r>
      <w:r w:rsidR="00A06AF5" w:rsidRPr="0007754D">
        <w:rPr>
          <w:color w:val="000000" w:themeColor="text1"/>
          <w:lang w:val="en-GB"/>
        </w:rPr>
        <w:t xml:space="preserve"> autonomy </w:t>
      </w:r>
      <w:r w:rsidR="00ED7449" w:rsidRPr="0007754D">
        <w:rPr>
          <w:color w:val="000000" w:themeColor="text1"/>
          <w:lang w:val="en-GB"/>
        </w:rPr>
        <w:t>also</w:t>
      </w:r>
      <w:r w:rsidR="00A06AF5" w:rsidRPr="0007754D">
        <w:rPr>
          <w:color w:val="000000" w:themeColor="text1"/>
          <w:lang w:val="en-GB"/>
        </w:rPr>
        <w:t xml:space="preserve"> </w:t>
      </w:r>
      <w:r w:rsidR="00ED7449" w:rsidRPr="0007754D">
        <w:rPr>
          <w:color w:val="000000" w:themeColor="text1"/>
          <w:lang w:val="en-GB"/>
        </w:rPr>
        <w:t>protect</w:t>
      </w:r>
      <w:r w:rsidR="00CA053A" w:rsidRPr="0007754D">
        <w:rPr>
          <w:color w:val="000000" w:themeColor="text1"/>
          <w:lang w:val="en-GB"/>
        </w:rPr>
        <w:t>s</w:t>
      </w:r>
      <w:r w:rsidR="00ED7449" w:rsidRPr="0007754D">
        <w:rPr>
          <w:color w:val="000000" w:themeColor="text1"/>
          <w:lang w:val="en-GB"/>
        </w:rPr>
        <w:t xml:space="preserve"> individuals’ SRH in cases</w:t>
      </w:r>
      <w:r w:rsidR="00A06AF5" w:rsidRPr="0007754D">
        <w:rPr>
          <w:color w:val="000000" w:themeColor="text1"/>
          <w:lang w:val="en-GB"/>
        </w:rPr>
        <w:t xml:space="preserve"> involving obstetric and gynaecologic malpractice.</w:t>
      </w:r>
    </w:p>
    <w:p w14:paraId="64054245" w14:textId="34DD63B0" w:rsidR="00F726E0" w:rsidRPr="0007754D" w:rsidRDefault="00F726E0" w:rsidP="00F726E0">
      <w:pPr>
        <w:rPr>
          <w:color w:val="000000" w:themeColor="text1"/>
          <w:lang w:val="en-GB"/>
        </w:rPr>
      </w:pPr>
    </w:p>
    <w:p w14:paraId="6F4AADF5" w14:textId="5593D6AE" w:rsidR="008318B2" w:rsidRPr="0007754D" w:rsidRDefault="008318B2" w:rsidP="00C74998">
      <w:pPr>
        <w:pStyle w:val="Heading3"/>
        <w:numPr>
          <w:ilvl w:val="2"/>
          <w:numId w:val="31"/>
        </w:numPr>
        <w:rPr>
          <w:rFonts w:asciiTheme="minorHAnsi" w:hAnsiTheme="minorHAnsi"/>
          <w:b/>
          <w:i/>
          <w:color w:val="000000" w:themeColor="text1"/>
          <w:lang w:val="en-GB"/>
        </w:rPr>
      </w:pPr>
      <w:r w:rsidRPr="0007754D">
        <w:rPr>
          <w:rFonts w:asciiTheme="minorHAnsi" w:hAnsiTheme="minorHAnsi"/>
          <w:b/>
          <w:i/>
          <w:color w:val="000000" w:themeColor="text1"/>
          <w:lang w:val="en-GB"/>
        </w:rPr>
        <w:t xml:space="preserve">Protecting </w:t>
      </w:r>
      <w:r w:rsidR="00B755C7" w:rsidRPr="0007754D">
        <w:rPr>
          <w:rFonts w:asciiTheme="minorHAnsi" w:hAnsiTheme="minorHAnsi"/>
          <w:b/>
          <w:i/>
          <w:color w:val="000000" w:themeColor="text1"/>
          <w:lang w:val="en-GB"/>
        </w:rPr>
        <w:t>autonomy</w:t>
      </w:r>
      <w:r w:rsidRPr="0007754D">
        <w:rPr>
          <w:rFonts w:asciiTheme="minorHAnsi" w:hAnsiTheme="minorHAnsi"/>
          <w:b/>
          <w:i/>
          <w:color w:val="000000" w:themeColor="text1"/>
          <w:lang w:val="en-GB"/>
        </w:rPr>
        <w:t xml:space="preserve"> in obstetric and gynaecologic malpractice</w:t>
      </w:r>
      <w:r w:rsidR="001E7AAD" w:rsidRPr="0007754D">
        <w:rPr>
          <w:rFonts w:asciiTheme="minorHAnsi" w:hAnsiTheme="minorHAnsi"/>
          <w:b/>
          <w:i/>
          <w:color w:val="000000" w:themeColor="text1"/>
          <w:lang w:val="en-GB"/>
        </w:rPr>
        <w:t>: procedural guarantees</w:t>
      </w:r>
    </w:p>
    <w:p w14:paraId="6E1375D3" w14:textId="77777777" w:rsidR="00433184" w:rsidRPr="0007754D" w:rsidRDefault="00433184" w:rsidP="00433184">
      <w:pPr>
        <w:spacing w:line="276" w:lineRule="auto"/>
        <w:jc w:val="both"/>
        <w:rPr>
          <w:color w:val="000000" w:themeColor="text1"/>
          <w:lang w:val="en-GB"/>
        </w:rPr>
      </w:pPr>
    </w:p>
    <w:p w14:paraId="2957D8AE" w14:textId="78EB5DA9" w:rsidR="00543F1A" w:rsidRPr="0007754D" w:rsidRDefault="00831258" w:rsidP="00433184">
      <w:pPr>
        <w:spacing w:line="276" w:lineRule="auto"/>
        <w:jc w:val="both"/>
        <w:rPr>
          <w:color w:val="000000" w:themeColor="text1"/>
          <w:lang w:val="en-GB"/>
        </w:rPr>
      </w:pPr>
      <w:r w:rsidRPr="0007754D">
        <w:rPr>
          <w:color w:val="000000" w:themeColor="text1"/>
          <w:lang w:val="en-GB"/>
        </w:rPr>
        <w:t xml:space="preserve">Since 2000, the Court held </w:t>
      </w:r>
      <w:r w:rsidR="00C776EA" w:rsidRPr="0007754D">
        <w:rPr>
          <w:color w:val="000000" w:themeColor="text1"/>
          <w:lang w:val="en-GB"/>
        </w:rPr>
        <w:t>three</w:t>
      </w:r>
      <w:r w:rsidR="00C74998" w:rsidRPr="0007754D">
        <w:rPr>
          <w:color w:val="000000" w:themeColor="text1"/>
          <w:lang w:val="en-GB"/>
        </w:rPr>
        <w:t xml:space="preserve"> Merits </w:t>
      </w:r>
      <w:r w:rsidR="003B0A03" w:rsidRPr="0007754D">
        <w:rPr>
          <w:color w:val="000000" w:themeColor="text1"/>
          <w:lang w:val="en-GB"/>
        </w:rPr>
        <w:t xml:space="preserve">Judgments </w:t>
      </w:r>
      <w:r w:rsidR="00C74998" w:rsidRPr="0007754D">
        <w:rPr>
          <w:color w:val="000000" w:themeColor="text1"/>
          <w:lang w:val="en-GB"/>
        </w:rPr>
        <w:t xml:space="preserve">under Article 8 ECHR </w:t>
      </w:r>
      <w:r w:rsidRPr="0007754D">
        <w:rPr>
          <w:color w:val="000000" w:themeColor="text1"/>
          <w:lang w:val="en-GB"/>
        </w:rPr>
        <w:t>involving</w:t>
      </w:r>
      <w:r w:rsidR="00C74998" w:rsidRPr="0007754D">
        <w:rPr>
          <w:color w:val="000000" w:themeColor="text1"/>
          <w:lang w:val="en-GB"/>
        </w:rPr>
        <w:t xml:space="preserve"> women subject </w:t>
      </w:r>
      <w:r w:rsidRPr="0007754D">
        <w:rPr>
          <w:color w:val="000000" w:themeColor="text1"/>
          <w:lang w:val="en-GB"/>
        </w:rPr>
        <w:t>to obstetric and gynaecologic malpractice</w:t>
      </w:r>
      <w:r w:rsidR="00C74998" w:rsidRPr="0007754D">
        <w:rPr>
          <w:color w:val="000000" w:themeColor="text1"/>
          <w:lang w:val="en-GB"/>
        </w:rPr>
        <w:t>.</w:t>
      </w:r>
      <w:r w:rsidRPr="0007754D">
        <w:rPr>
          <w:color w:val="000000" w:themeColor="text1"/>
          <w:lang w:val="en-GB"/>
        </w:rPr>
        <w:t xml:space="preserve"> </w:t>
      </w:r>
      <w:r w:rsidR="00C74998" w:rsidRPr="0007754D">
        <w:rPr>
          <w:color w:val="000000" w:themeColor="text1"/>
          <w:lang w:val="en-GB"/>
        </w:rPr>
        <w:t>In all cases, the EC</w:t>
      </w:r>
      <w:r w:rsidR="001E7AAD" w:rsidRPr="0007754D">
        <w:rPr>
          <w:color w:val="000000" w:themeColor="text1"/>
          <w:lang w:val="en-GB"/>
        </w:rPr>
        <w:t>tHR held a breach of Article 8</w:t>
      </w:r>
      <w:r w:rsidR="00775731" w:rsidRPr="0007754D">
        <w:rPr>
          <w:color w:val="000000" w:themeColor="text1"/>
          <w:lang w:val="en-GB"/>
        </w:rPr>
        <w:t xml:space="preserve"> on the basis that procedural guarantees were inadequate</w:t>
      </w:r>
      <w:r w:rsidR="001E7AAD" w:rsidRPr="0007754D">
        <w:rPr>
          <w:color w:val="000000" w:themeColor="text1"/>
          <w:lang w:val="en-GB"/>
        </w:rPr>
        <w:t xml:space="preserve">, thus protecting women’s SRH. </w:t>
      </w:r>
      <w:r w:rsidR="00433184" w:rsidRPr="0007754D">
        <w:rPr>
          <w:color w:val="000000" w:themeColor="text1"/>
          <w:lang w:val="en-GB"/>
        </w:rPr>
        <w:t xml:space="preserve">In </w:t>
      </w:r>
      <w:r w:rsidR="00433184" w:rsidRPr="0007754D">
        <w:rPr>
          <w:i/>
          <w:color w:val="000000" w:themeColor="text1"/>
          <w:lang w:val="en-GB"/>
        </w:rPr>
        <w:t xml:space="preserve">G.B. and R.B. v. the Republic of Moldova </w:t>
      </w:r>
      <w:r w:rsidR="00433184" w:rsidRPr="0007754D">
        <w:rPr>
          <w:color w:val="000000" w:themeColor="text1"/>
          <w:lang w:val="en-GB"/>
        </w:rPr>
        <w:t xml:space="preserve">(2012) and </w:t>
      </w:r>
      <w:r w:rsidR="00433184" w:rsidRPr="0007754D">
        <w:rPr>
          <w:i/>
          <w:color w:val="000000" w:themeColor="text1"/>
          <w:lang w:val="en-GB"/>
        </w:rPr>
        <w:t>Csoma v Romania</w:t>
      </w:r>
      <w:r w:rsidR="00433184" w:rsidRPr="0007754D">
        <w:rPr>
          <w:color w:val="000000" w:themeColor="text1"/>
          <w:lang w:val="en-GB"/>
        </w:rPr>
        <w:t xml:space="preserve"> (2013), the applicants had been victims of medical errors due to doctors’ negligence, impeding their ability to reproduce (and creating long-term health issues, or endangering their life).</w:t>
      </w:r>
      <w:r w:rsidR="00433184" w:rsidRPr="0007754D">
        <w:rPr>
          <w:rStyle w:val="FootnoteReference"/>
          <w:color w:val="000000" w:themeColor="text1"/>
        </w:rPr>
        <w:footnoteReference w:id="65"/>
      </w:r>
      <w:r w:rsidR="00433184" w:rsidRPr="0007754D">
        <w:rPr>
          <w:color w:val="000000" w:themeColor="text1"/>
          <w:lang w:val="en-GB"/>
        </w:rPr>
        <w:t xml:space="preserve"> Not only did the Court recognise a serious interference with </w:t>
      </w:r>
      <w:r w:rsidR="002C4B6B" w:rsidRPr="0007754D">
        <w:rPr>
          <w:color w:val="000000" w:themeColor="text1"/>
          <w:lang w:val="en-GB"/>
        </w:rPr>
        <w:t>both</w:t>
      </w:r>
      <w:r w:rsidR="00433184" w:rsidRPr="0007754D">
        <w:rPr>
          <w:color w:val="000000" w:themeColor="text1"/>
          <w:lang w:val="en-GB"/>
        </w:rPr>
        <w:t xml:space="preserve"> applicants’ right to private life, it also protected procedural aspects of Article 8 fundamental to the protection of their SRH. In </w:t>
      </w:r>
      <w:r w:rsidR="00433184" w:rsidRPr="0007754D">
        <w:rPr>
          <w:i/>
          <w:color w:val="000000" w:themeColor="text1"/>
          <w:lang w:val="en-GB"/>
        </w:rPr>
        <w:t>Csoma v Romania</w:t>
      </w:r>
      <w:r w:rsidR="00433184" w:rsidRPr="0007754D">
        <w:rPr>
          <w:color w:val="000000" w:themeColor="text1"/>
          <w:lang w:val="en-GB"/>
        </w:rPr>
        <w:t>, the Court highlighted that the applicant’s inability to obtain redress, partially due to an inadequate case</w:t>
      </w:r>
      <w:r w:rsidR="002C4B6B" w:rsidRPr="0007754D">
        <w:rPr>
          <w:color w:val="000000" w:themeColor="text1"/>
          <w:lang w:val="en-GB"/>
        </w:rPr>
        <w:t>-</w:t>
      </w:r>
      <w:r w:rsidR="00433184" w:rsidRPr="0007754D">
        <w:rPr>
          <w:color w:val="000000" w:themeColor="text1"/>
          <w:lang w:val="en-GB"/>
        </w:rPr>
        <w:t>law on hospitals’ liability for medical acts, represented a breach of the state’s ‘</w:t>
      </w:r>
      <w:r w:rsidR="00433184" w:rsidRPr="0007754D">
        <w:rPr>
          <w:i/>
          <w:color w:val="000000" w:themeColor="text1"/>
          <w:lang w:val="en-GB"/>
        </w:rPr>
        <w:t>positive obligations</w:t>
      </w:r>
      <w:r w:rsidR="00433184" w:rsidRPr="0007754D">
        <w:rPr>
          <w:color w:val="000000" w:themeColor="text1"/>
          <w:lang w:val="en-GB"/>
        </w:rPr>
        <w:t>’ under Article 8.</w:t>
      </w:r>
      <w:r w:rsidR="00433184" w:rsidRPr="0007754D">
        <w:rPr>
          <w:rStyle w:val="FootnoteReference"/>
          <w:color w:val="000000" w:themeColor="text1"/>
        </w:rPr>
        <w:footnoteReference w:id="66"/>
      </w:r>
      <w:r w:rsidR="00433184" w:rsidRPr="0007754D">
        <w:rPr>
          <w:color w:val="000000" w:themeColor="text1"/>
          <w:lang w:val="en-GB"/>
        </w:rPr>
        <w:t xml:space="preserve"> In </w:t>
      </w:r>
      <w:r w:rsidR="00433184" w:rsidRPr="0007754D">
        <w:rPr>
          <w:i/>
          <w:color w:val="000000" w:themeColor="text1"/>
          <w:lang w:val="en-GB"/>
        </w:rPr>
        <w:t>G.B. and R.B. v. the Republic of Moldova</w:t>
      </w:r>
      <w:r w:rsidR="00433184" w:rsidRPr="0007754D">
        <w:rPr>
          <w:color w:val="000000" w:themeColor="text1"/>
          <w:lang w:val="en-GB"/>
        </w:rPr>
        <w:t xml:space="preserve">, the Court </w:t>
      </w:r>
      <w:r w:rsidR="00A232EE" w:rsidRPr="0007754D">
        <w:rPr>
          <w:color w:val="000000" w:themeColor="text1"/>
          <w:lang w:val="en-GB"/>
        </w:rPr>
        <w:t>stressed</w:t>
      </w:r>
      <w:r w:rsidR="00433184" w:rsidRPr="0007754D">
        <w:rPr>
          <w:color w:val="000000" w:themeColor="text1"/>
          <w:lang w:val="en-GB"/>
        </w:rPr>
        <w:t xml:space="preserve"> that the low compensation obtained by the applicant (700 euros) did not constitute sufficient just satisfaction, considering the ‘</w:t>
      </w:r>
      <w:r w:rsidR="00433184" w:rsidRPr="0007754D">
        <w:rPr>
          <w:i/>
          <w:color w:val="000000" w:themeColor="text1"/>
          <w:lang w:val="en-GB"/>
        </w:rPr>
        <w:t xml:space="preserve">devastating effect’ </w:t>
      </w:r>
      <w:r w:rsidR="00433184" w:rsidRPr="0007754D">
        <w:rPr>
          <w:color w:val="000000" w:themeColor="text1"/>
          <w:lang w:val="en-GB"/>
        </w:rPr>
        <w:t>of the medical error.</w:t>
      </w:r>
      <w:r w:rsidR="00433184" w:rsidRPr="0007754D">
        <w:rPr>
          <w:rStyle w:val="FootnoteReference"/>
          <w:color w:val="000000" w:themeColor="text1"/>
        </w:rPr>
        <w:footnoteReference w:id="67"/>
      </w:r>
      <w:r w:rsidR="00543F1A" w:rsidRPr="0007754D">
        <w:rPr>
          <w:color w:val="000000" w:themeColor="text1"/>
          <w:lang w:val="en-GB"/>
        </w:rPr>
        <w:t xml:space="preserve"> </w:t>
      </w:r>
      <w:r w:rsidR="00241EC0" w:rsidRPr="0007754D">
        <w:rPr>
          <w:color w:val="000000" w:themeColor="text1"/>
          <w:lang w:val="en-GB"/>
        </w:rPr>
        <w:t>In t</w:t>
      </w:r>
      <w:r w:rsidR="00345375" w:rsidRPr="0007754D">
        <w:rPr>
          <w:color w:val="000000" w:themeColor="text1"/>
          <w:lang w:val="en-GB"/>
        </w:rPr>
        <w:t>hese cases</w:t>
      </w:r>
      <w:r w:rsidR="00241EC0" w:rsidRPr="0007754D">
        <w:rPr>
          <w:color w:val="000000" w:themeColor="text1"/>
          <w:lang w:val="en-GB"/>
        </w:rPr>
        <w:t xml:space="preserve">, </w:t>
      </w:r>
      <w:r w:rsidR="00433184" w:rsidRPr="0007754D">
        <w:rPr>
          <w:color w:val="000000" w:themeColor="text1"/>
          <w:lang w:val="en-GB"/>
        </w:rPr>
        <w:t>the ECtHR expect</w:t>
      </w:r>
      <w:r w:rsidR="00345375" w:rsidRPr="0007754D">
        <w:rPr>
          <w:color w:val="000000" w:themeColor="text1"/>
          <w:lang w:val="en-GB"/>
        </w:rPr>
        <w:t>s</w:t>
      </w:r>
      <w:r w:rsidR="00433184" w:rsidRPr="0007754D">
        <w:rPr>
          <w:color w:val="000000" w:themeColor="text1"/>
          <w:lang w:val="en-GB"/>
        </w:rPr>
        <w:t xml:space="preserve"> national courts to protect </w:t>
      </w:r>
      <w:r w:rsidR="00A40D30" w:rsidRPr="0007754D">
        <w:rPr>
          <w:color w:val="000000" w:themeColor="text1"/>
          <w:lang w:val="en-GB"/>
        </w:rPr>
        <w:t xml:space="preserve">(women) </w:t>
      </w:r>
      <w:r w:rsidR="00433184" w:rsidRPr="0007754D">
        <w:rPr>
          <w:color w:val="000000" w:themeColor="text1"/>
          <w:lang w:val="en-GB"/>
        </w:rPr>
        <w:t xml:space="preserve">victims of </w:t>
      </w:r>
      <w:r w:rsidR="00A40D30" w:rsidRPr="0007754D">
        <w:rPr>
          <w:color w:val="000000" w:themeColor="text1"/>
          <w:lang w:val="en-GB"/>
        </w:rPr>
        <w:t>obstetric and gynaecologic malpractice</w:t>
      </w:r>
      <w:r w:rsidR="00345375" w:rsidRPr="0007754D">
        <w:rPr>
          <w:color w:val="000000" w:themeColor="text1"/>
          <w:lang w:val="en-GB"/>
        </w:rPr>
        <w:t>,</w:t>
      </w:r>
      <w:r w:rsidR="00A40D30" w:rsidRPr="0007754D">
        <w:rPr>
          <w:color w:val="000000" w:themeColor="text1"/>
          <w:lang w:val="en-GB"/>
        </w:rPr>
        <w:t xml:space="preserve"> through adequate</w:t>
      </w:r>
      <w:r w:rsidR="00433184" w:rsidRPr="0007754D">
        <w:rPr>
          <w:color w:val="000000" w:themeColor="text1"/>
          <w:lang w:val="en-GB"/>
        </w:rPr>
        <w:t xml:space="preserve"> remedy avenues</w:t>
      </w:r>
      <w:r w:rsidR="00345375" w:rsidRPr="0007754D">
        <w:rPr>
          <w:color w:val="000000" w:themeColor="text1"/>
          <w:lang w:val="en-GB"/>
        </w:rPr>
        <w:t xml:space="preserve"> and </w:t>
      </w:r>
      <w:r w:rsidR="00433184" w:rsidRPr="0007754D">
        <w:rPr>
          <w:color w:val="000000" w:themeColor="text1"/>
          <w:lang w:val="en-GB"/>
        </w:rPr>
        <w:t>compensation. Such expectations reflect those set by UN</w:t>
      </w:r>
      <w:r w:rsidR="00400789" w:rsidRPr="0007754D">
        <w:rPr>
          <w:color w:val="000000" w:themeColor="text1"/>
          <w:lang w:val="en-GB"/>
        </w:rPr>
        <w:t>CESCR</w:t>
      </w:r>
      <w:r w:rsidR="00433184" w:rsidRPr="0007754D">
        <w:rPr>
          <w:color w:val="000000" w:themeColor="text1"/>
          <w:lang w:val="en-GB"/>
        </w:rPr>
        <w:t xml:space="preserve"> </w:t>
      </w:r>
      <w:r w:rsidR="00400789" w:rsidRPr="0007754D">
        <w:rPr>
          <w:color w:val="000000" w:themeColor="text1"/>
          <w:lang w:val="en-GB"/>
        </w:rPr>
        <w:t>GC</w:t>
      </w:r>
      <w:r w:rsidR="00433184" w:rsidRPr="0007754D">
        <w:rPr>
          <w:color w:val="000000" w:themeColor="text1"/>
          <w:lang w:val="en-GB"/>
        </w:rPr>
        <w:t>22</w:t>
      </w:r>
      <w:r w:rsidR="00CD24F8" w:rsidRPr="0007754D">
        <w:rPr>
          <w:color w:val="000000" w:themeColor="text1"/>
          <w:lang w:val="en-GB"/>
        </w:rPr>
        <w:t>, which</w:t>
      </w:r>
      <w:r w:rsidR="00433184" w:rsidRPr="0007754D">
        <w:rPr>
          <w:color w:val="000000" w:themeColor="text1"/>
          <w:lang w:val="en-GB"/>
        </w:rPr>
        <w:t xml:space="preserve"> recognises that</w:t>
      </w:r>
      <w:r w:rsidR="00CD24F8" w:rsidRPr="0007754D">
        <w:rPr>
          <w:color w:val="000000" w:themeColor="text1"/>
          <w:lang w:val="en-GB"/>
        </w:rPr>
        <w:t xml:space="preserve"> the right to</w:t>
      </w:r>
      <w:r w:rsidR="00433184" w:rsidRPr="0007754D">
        <w:rPr>
          <w:color w:val="000000" w:themeColor="text1"/>
          <w:lang w:val="en-GB"/>
        </w:rPr>
        <w:t xml:space="preserve"> SRH must be </w:t>
      </w:r>
      <w:r w:rsidR="00433184" w:rsidRPr="0007754D">
        <w:rPr>
          <w:i/>
          <w:color w:val="000000" w:themeColor="text1"/>
          <w:lang w:val="en-GB"/>
        </w:rPr>
        <w:t>‘fully justiciable at the national level’</w:t>
      </w:r>
      <w:r w:rsidR="00433184" w:rsidRPr="0007754D">
        <w:rPr>
          <w:color w:val="000000" w:themeColor="text1"/>
          <w:lang w:val="en-GB"/>
        </w:rPr>
        <w:t>, and that victims must be able to access adequate remedies.</w:t>
      </w:r>
      <w:r w:rsidR="00433184" w:rsidRPr="0007754D">
        <w:rPr>
          <w:rStyle w:val="FootnoteReference"/>
          <w:color w:val="000000" w:themeColor="text1"/>
        </w:rPr>
        <w:footnoteReference w:id="68"/>
      </w:r>
      <w:r w:rsidR="00433184" w:rsidRPr="0007754D">
        <w:rPr>
          <w:color w:val="000000" w:themeColor="text1"/>
          <w:lang w:val="en-GB"/>
        </w:rPr>
        <w:t xml:space="preserve"> </w:t>
      </w:r>
      <w:r w:rsidR="00773FF9" w:rsidRPr="0007754D">
        <w:rPr>
          <w:color w:val="000000" w:themeColor="text1"/>
          <w:lang w:val="en-GB"/>
        </w:rPr>
        <w:t>While</w:t>
      </w:r>
      <w:r w:rsidR="0088513C" w:rsidRPr="0007754D">
        <w:rPr>
          <w:color w:val="000000" w:themeColor="text1"/>
          <w:lang w:val="en-GB"/>
        </w:rPr>
        <w:t xml:space="preserve"> neither case</w:t>
      </w:r>
      <w:r w:rsidR="00CD24F8" w:rsidRPr="0007754D">
        <w:rPr>
          <w:color w:val="000000" w:themeColor="text1"/>
          <w:lang w:val="en-GB"/>
        </w:rPr>
        <w:t xml:space="preserve"> refers explicitly to the notion of patients’ autonomy</w:t>
      </w:r>
      <w:r w:rsidR="00773FF9" w:rsidRPr="0007754D">
        <w:rPr>
          <w:color w:val="000000" w:themeColor="text1"/>
          <w:lang w:val="en-GB"/>
        </w:rPr>
        <w:t>, they both connect the notion of consent to that of integrity.</w:t>
      </w:r>
      <w:r w:rsidR="00773FF9" w:rsidRPr="0007754D">
        <w:rPr>
          <w:rStyle w:val="FootnoteReference"/>
          <w:color w:val="000000" w:themeColor="text1"/>
        </w:rPr>
        <w:footnoteReference w:id="69"/>
      </w:r>
      <w:r w:rsidR="00773FF9" w:rsidRPr="0007754D">
        <w:rPr>
          <w:color w:val="000000" w:themeColor="text1"/>
          <w:lang w:val="en-GB"/>
        </w:rPr>
        <w:t xml:space="preserve"> </w:t>
      </w:r>
    </w:p>
    <w:p w14:paraId="0E87E371" w14:textId="1BA7A8FC" w:rsidR="00543F1A" w:rsidRPr="0007754D" w:rsidRDefault="00543F1A" w:rsidP="00433184">
      <w:pPr>
        <w:spacing w:line="276" w:lineRule="auto"/>
        <w:jc w:val="both"/>
        <w:rPr>
          <w:color w:val="000000" w:themeColor="text1"/>
          <w:lang w:val="en-GB"/>
        </w:rPr>
      </w:pPr>
    </w:p>
    <w:p w14:paraId="1C8080CC" w14:textId="3ED8A923" w:rsidR="0099636F" w:rsidRPr="0007754D" w:rsidRDefault="009D33FD" w:rsidP="00AC1ECE">
      <w:pPr>
        <w:spacing w:line="276" w:lineRule="auto"/>
        <w:jc w:val="both"/>
        <w:rPr>
          <w:color w:val="000000" w:themeColor="text1"/>
          <w:lang w:val="en-GB"/>
        </w:rPr>
      </w:pPr>
      <w:r w:rsidRPr="0007754D">
        <w:rPr>
          <w:color w:val="000000" w:themeColor="text1"/>
          <w:lang w:val="en-GB"/>
        </w:rPr>
        <w:t>I</w:t>
      </w:r>
      <w:r w:rsidR="00543F1A" w:rsidRPr="0007754D">
        <w:rPr>
          <w:color w:val="000000" w:themeColor="text1"/>
          <w:lang w:val="en-GB"/>
        </w:rPr>
        <w:t>n</w:t>
      </w:r>
      <w:r w:rsidR="00AC2B8F" w:rsidRPr="0007754D">
        <w:rPr>
          <w:color w:val="000000" w:themeColor="text1"/>
          <w:lang w:val="en-GB"/>
        </w:rPr>
        <w:t xml:space="preserve"> </w:t>
      </w:r>
      <w:r w:rsidR="00AC2B8F" w:rsidRPr="0007754D">
        <w:rPr>
          <w:i/>
          <w:color w:val="000000" w:themeColor="text1"/>
          <w:lang w:val="en-GB"/>
        </w:rPr>
        <w:t>Carvalho Pinto de Sousa Morais v Portugal</w:t>
      </w:r>
      <w:r w:rsidR="00AC2B8F" w:rsidRPr="0007754D">
        <w:rPr>
          <w:color w:val="000000" w:themeColor="text1"/>
          <w:lang w:val="en-GB"/>
        </w:rPr>
        <w:t xml:space="preserve"> (2017)</w:t>
      </w:r>
      <w:r w:rsidR="006D2099" w:rsidRPr="0007754D">
        <w:rPr>
          <w:color w:val="000000" w:themeColor="text1"/>
          <w:lang w:val="en-GB"/>
        </w:rPr>
        <w:t>,</w:t>
      </w:r>
      <w:r w:rsidR="006D2099" w:rsidRPr="0007754D">
        <w:rPr>
          <w:rStyle w:val="FootnoteReference"/>
          <w:color w:val="000000" w:themeColor="text1"/>
        </w:rPr>
        <w:footnoteReference w:id="70"/>
      </w:r>
      <w:r w:rsidR="006D2099" w:rsidRPr="0007754D">
        <w:rPr>
          <w:color w:val="000000" w:themeColor="text1"/>
          <w:lang w:val="en-GB"/>
        </w:rPr>
        <w:t xml:space="preserve"> the </w:t>
      </w:r>
      <w:r w:rsidR="009A1BFC" w:rsidRPr="0007754D">
        <w:rPr>
          <w:color w:val="000000" w:themeColor="text1"/>
          <w:lang w:val="en-GB"/>
        </w:rPr>
        <w:t xml:space="preserve">Court </w:t>
      </w:r>
      <w:r w:rsidR="00DA11DC" w:rsidRPr="0007754D">
        <w:rPr>
          <w:color w:val="000000" w:themeColor="text1"/>
          <w:lang w:val="en-GB"/>
        </w:rPr>
        <w:t xml:space="preserve">extended its protection to women’s sexual health, a topic often </w:t>
      </w:r>
      <w:r w:rsidR="00FC1C4F" w:rsidRPr="0007754D">
        <w:rPr>
          <w:color w:val="000000" w:themeColor="text1"/>
          <w:lang w:val="en-GB"/>
        </w:rPr>
        <w:t>overshadowed by that of reproductive health.</w:t>
      </w:r>
      <w:r w:rsidR="00AC2B8F" w:rsidRPr="0007754D">
        <w:rPr>
          <w:color w:val="000000" w:themeColor="text1"/>
          <w:lang w:val="en-GB"/>
        </w:rPr>
        <w:t xml:space="preserve"> </w:t>
      </w:r>
      <w:r w:rsidR="00563A8F" w:rsidRPr="0007754D">
        <w:rPr>
          <w:color w:val="000000" w:themeColor="text1"/>
          <w:lang w:val="en-GB"/>
        </w:rPr>
        <w:t xml:space="preserve">In this case, the applicant had undergone a </w:t>
      </w:r>
      <w:r w:rsidR="00241EC0" w:rsidRPr="0007754D">
        <w:rPr>
          <w:color w:val="000000" w:themeColor="text1"/>
          <w:lang w:val="en-GB"/>
        </w:rPr>
        <w:t>gynaecological</w:t>
      </w:r>
      <w:r w:rsidR="00563A8F" w:rsidRPr="0007754D">
        <w:rPr>
          <w:color w:val="000000" w:themeColor="text1"/>
          <w:lang w:val="en-GB"/>
        </w:rPr>
        <w:t xml:space="preserve"> surgery during which a medical error occurred, leaving a nerve permanently damaged</w:t>
      </w:r>
      <w:r w:rsidR="006D2099" w:rsidRPr="0007754D">
        <w:rPr>
          <w:color w:val="000000" w:themeColor="text1"/>
          <w:lang w:val="en-GB"/>
        </w:rPr>
        <w:t>,</w:t>
      </w:r>
      <w:r w:rsidR="003D1D94" w:rsidRPr="0007754D">
        <w:rPr>
          <w:color w:val="000000" w:themeColor="text1"/>
          <w:lang w:val="en-GB"/>
        </w:rPr>
        <w:t xml:space="preserve"> which caused</w:t>
      </w:r>
      <w:r w:rsidR="00563A8F" w:rsidRPr="0007754D">
        <w:rPr>
          <w:color w:val="000000" w:themeColor="text1"/>
          <w:lang w:val="en-GB"/>
        </w:rPr>
        <w:t xml:space="preserve"> her pain, loss of sensation in the vagina, incontinence, as well as difficulty walking, sitting and in having sexual relations.</w:t>
      </w:r>
      <w:r w:rsidR="00563A8F" w:rsidRPr="0007754D">
        <w:rPr>
          <w:rStyle w:val="FootnoteReference"/>
          <w:color w:val="000000" w:themeColor="text1"/>
        </w:rPr>
        <w:footnoteReference w:id="71"/>
      </w:r>
      <w:r w:rsidRPr="0007754D">
        <w:rPr>
          <w:color w:val="000000" w:themeColor="text1"/>
          <w:lang w:val="en-GB"/>
        </w:rPr>
        <w:t xml:space="preserve"> The</w:t>
      </w:r>
      <w:r w:rsidR="00FA5149" w:rsidRPr="0007754D">
        <w:rPr>
          <w:color w:val="000000" w:themeColor="text1"/>
          <w:lang w:val="en-GB"/>
        </w:rPr>
        <w:t xml:space="preserve"> Portugese</w:t>
      </w:r>
      <w:r w:rsidRPr="0007754D">
        <w:rPr>
          <w:color w:val="000000" w:themeColor="text1"/>
          <w:lang w:val="en-GB"/>
        </w:rPr>
        <w:t xml:space="preserve"> </w:t>
      </w:r>
      <w:r w:rsidR="00A116E7" w:rsidRPr="0007754D">
        <w:rPr>
          <w:color w:val="000000" w:themeColor="text1"/>
          <w:lang w:val="en-GB"/>
        </w:rPr>
        <w:t xml:space="preserve">Supreme Administrative Court, however, </w:t>
      </w:r>
      <w:r w:rsidR="00775731" w:rsidRPr="0007754D">
        <w:rPr>
          <w:color w:val="000000" w:themeColor="text1"/>
          <w:lang w:val="en-GB"/>
        </w:rPr>
        <w:t xml:space="preserve">had </w:t>
      </w:r>
      <w:r w:rsidR="00A116E7" w:rsidRPr="0007754D">
        <w:rPr>
          <w:color w:val="000000" w:themeColor="text1"/>
          <w:lang w:val="en-GB"/>
        </w:rPr>
        <w:t xml:space="preserve">reduced </w:t>
      </w:r>
      <w:r w:rsidR="004760E4" w:rsidRPr="0007754D">
        <w:rPr>
          <w:color w:val="000000" w:themeColor="text1"/>
          <w:lang w:val="en-GB"/>
        </w:rPr>
        <w:t>the applicant’s</w:t>
      </w:r>
      <w:r w:rsidR="00A116E7" w:rsidRPr="0007754D">
        <w:rPr>
          <w:color w:val="000000" w:themeColor="text1"/>
          <w:lang w:val="en-GB"/>
        </w:rPr>
        <w:t xml:space="preserve"> compensation </w:t>
      </w:r>
      <w:r w:rsidR="004760E4" w:rsidRPr="0007754D">
        <w:rPr>
          <w:color w:val="000000" w:themeColor="text1"/>
          <w:lang w:val="en-GB"/>
        </w:rPr>
        <w:t>on the ground</w:t>
      </w:r>
      <w:r w:rsidR="00A116E7" w:rsidRPr="0007754D">
        <w:rPr>
          <w:color w:val="000000" w:themeColor="text1"/>
          <w:lang w:val="en-GB"/>
        </w:rPr>
        <w:t xml:space="preserve"> that </w:t>
      </w:r>
      <w:r w:rsidR="004760E4" w:rsidRPr="0007754D">
        <w:rPr>
          <w:color w:val="000000" w:themeColor="text1"/>
          <w:lang w:val="en-GB"/>
        </w:rPr>
        <w:t>her</w:t>
      </w:r>
      <w:r w:rsidR="00A116E7" w:rsidRPr="0007754D">
        <w:rPr>
          <w:color w:val="000000" w:themeColor="text1"/>
          <w:lang w:val="en-GB"/>
        </w:rPr>
        <w:t xml:space="preserve"> sexuality was ‘not as important’ because she was fifty years old and had two children.</w:t>
      </w:r>
      <w:r w:rsidR="00A116E7" w:rsidRPr="0007754D">
        <w:rPr>
          <w:rStyle w:val="FootnoteReference"/>
          <w:color w:val="000000" w:themeColor="text1"/>
        </w:rPr>
        <w:footnoteReference w:id="72"/>
      </w:r>
      <w:r w:rsidR="004760E4" w:rsidRPr="0007754D">
        <w:rPr>
          <w:color w:val="000000" w:themeColor="text1"/>
        </w:rPr>
        <w:t xml:space="preserve"> </w:t>
      </w:r>
      <w:r w:rsidR="00DD0AC7" w:rsidRPr="0007754D">
        <w:rPr>
          <w:color w:val="000000" w:themeColor="text1"/>
        </w:rPr>
        <w:t>The ECtHR stressed</w:t>
      </w:r>
      <w:r w:rsidR="00FD3042" w:rsidRPr="0007754D">
        <w:rPr>
          <w:color w:val="000000" w:themeColor="text1"/>
        </w:rPr>
        <w:t xml:space="preserve"> </w:t>
      </w:r>
      <w:r w:rsidR="00DD0AC7" w:rsidRPr="0007754D">
        <w:rPr>
          <w:color w:val="000000" w:themeColor="text1"/>
        </w:rPr>
        <w:t xml:space="preserve">the </w:t>
      </w:r>
      <w:r w:rsidR="00514054" w:rsidRPr="0007754D">
        <w:rPr>
          <w:color w:val="000000" w:themeColor="text1"/>
        </w:rPr>
        <w:t>sharp</w:t>
      </w:r>
      <w:r w:rsidR="00DD0AC7" w:rsidRPr="0007754D">
        <w:rPr>
          <w:color w:val="000000" w:themeColor="text1"/>
        </w:rPr>
        <w:t xml:space="preserve"> contrast </w:t>
      </w:r>
      <w:r w:rsidR="00514054" w:rsidRPr="0007754D">
        <w:rPr>
          <w:color w:val="000000" w:themeColor="text1"/>
        </w:rPr>
        <w:t xml:space="preserve">of this court’s jurisprudence </w:t>
      </w:r>
      <w:r w:rsidR="00DD0AC7" w:rsidRPr="0007754D">
        <w:rPr>
          <w:color w:val="000000" w:themeColor="text1"/>
        </w:rPr>
        <w:t>with similar</w:t>
      </w:r>
      <w:r w:rsidR="00514054" w:rsidRPr="0007754D">
        <w:rPr>
          <w:color w:val="000000" w:themeColor="text1"/>
        </w:rPr>
        <w:t xml:space="preserve"> cases</w:t>
      </w:r>
      <w:r w:rsidR="00DD0AC7" w:rsidRPr="0007754D">
        <w:rPr>
          <w:color w:val="000000" w:themeColor="text1"/>
        </w:rPr>
        <w:t xml:space="preserve"> involving men, and held in a strong statement: </w:t>
      </w:r>
      <w:r w:rsidR="004760E4" w:rsidRPr="0007754D">
        <w:rPr>
          <w:i/>
          <w:color w:val="000000" w:themeColor="text1"/>
        </w:rPr>
        <w:t>‘</w:t>
      </w:r>
      <w:r w:rsidR="00B91B20" w:rsidRPr="0007754D">
        <w:rPr>
          <w:i/>
          <w:color w:val="000000" w:themeColor="text1"/>
        </w:rPr>
        <w:t>[t]</w:t>
      </w:r>
      <w:r w:rsidR="004760E4" w:rsidRPr="0007754D">
        <w:rPr>
          <w:i/>
          <w:color w:val="000000" w:themeColor="text1"/>
        </w:rPr>
        <w:t>hat assumption reflects a traditional idea of female sexuality as being essentially linked to child-bearing purposes and thus ignores its physical and psychological relevance for the self-fulfilment of women as people’</w:t>
      </w:r>
      <w:r w:rsidR="004760E4" w:rsidRPr="0007754D">
        <w:rPr>
          <w:color w:val="000000" w:themeColor="text1"/>
        </w:rPr>
        <w:t>.</w:t>
      </w:r>
      <w:r w:rsidR="004760E4" w:rsidRPr="0007754D">
        <w:rPr>
          <w:rStyle w:val="FootnoteReference"/>
          <w:color w:val="000000" w:themeColor="text1"/>
        </w:rPr>
        <w:footnoteReference w:id="73"/>
      </w:r>
      <w:r w:rsidR="00B91B20" w:rsidRPr="0007754D">
        <w:rPr>
          <w:color w:val="000000" w:themeColor="text1"/>
        </w:rPr>
        <w:t xml:space="preserve"> </w:t>
      </w:r>
      <w:r w:rsidR="0099636F" w:rsidRPr="0007754D">
        <w:rPr>
          <w:color w:val="000000" w:themeColor="text1"/>
        </w:rPr>
        <w:t xml:space="preserve">The decision of the </w:t>
      </w:r>
      <w:r w:rsidR="00514054" w:rsidRPr="0007754D">
        <w:rPr>
          <w:color w:val="000000" w:themeColor="text1"/>
        </w:rPr>
        <w:t>ECtHR</w:t>
      </w:r>
      <w:r w:rsidR="0099636F" w:rsidRPr="0007754D">
        <w:rPr>
          <w:color w:val="000000" w:themeColor="text1"/>
        </w:rPr>
        <w:t xml:space="preserve"> to review and hold</w:t>
      </w:r>
      <w:r w:rsidR="00955D86" w:rsidRPr="0007754D">
        <w:rPr>
          <w:color w:val="000000" w:themeColor="text1"/>
        </w:rPr>
        <w:t xml:space="preserve"> a</w:t>
      </w:r>
      <w:r w:rsidR="0099636F" w:rsidRPr="0007754D">
        <w:rPr>
          <w:color w:val="000000" w:themeColor="text1"/>
        </w:rPr>
        <w:t xml:space="preserve"> breach of </w:t>
      </w:r>
      <w:r w:rsidR="0099636F" w:rsidRPr="0007754D">
        <w:rPr>
          <w:color w:val="000000" w:themeColor="text1"/>
          <w:lang w:val="en-GB"/>
        </w:rPr>
        <w:t xml:space="preserve">Article 14 (on non-discrimination) </w:t>
      </w:r>
      <w:r w:rsidR="001E08D6" w:rsidRPr="0007754D">
        <w:rPr>
          <w:color w:val="000000" w:themeColor="text1"/>
          <w:lang w:val="en-GB"/>
        </w:rPr>
        <w:t>in conjunctio</w:t>
      </w:r>
      <w:r w:rsidR="00955D86" w:rsidRPr="0007754D">
        <w:rPr>
          <w:color w:val="000000" w:themeColor="text1"/>
          <w:lang w:val="en-GB"/>
        </w:rPr>
        <w:t>n with</w:t>
      </w:r>
      <w:r w:rsidR="001E08D6" w:rsidRPr="0007754D">
        <w:rPr>
          <w:color w:val="000000" w:themeColor="text1"/>
          <w:lang w:val="en-GB"/>
        </w:rPr>
        <w:t xml:space="preserve"> Article 8 </w:t>
      </w:r>
      <w:r w:rsidR="00955D86" w:rsidRPr="0007754D">
        <w:rPr>
          <w:color w:val="000000" w:themeColor="text1"/>
          <w:lang w:val="en-GB"/>
        </w:rPr>
        <w:t>is a welcome addition to its jurisprudence on SRH.</w:t>
      </w:r>
      <w:r w:rsidR="0099636F" w:rsidRPr="0007754D">
        <w:rPr>
          <w:rStyle w:val="FootnoteReference"/>
          <w:color w:val="000000" w:themeColor="text1"/>
        </w:rPr>
        <w:footnoteReference w:id="74"/>
      </w:r>
      <w:r w:rsidR="00775731" w:rsidRPr="0007754D">
        <w:rPr>
          <w:color w:val="000000" w:themeColor="text1"/>
          <w:lang w:val="en-GB"/>
        </w:rPr>
        <w:t xml:space="preserve"> </w:t>
      </w:r>
      <w:r w:rsidR="004E4248" w:rsidRPr="0007754D">
        <w:rPr>
          <w:color w:val="000000" w:themeColor="text1"/>
          <w:lang w:val="en-GB"/>
        </w:rPr>
        <w:t>By combating stereotypes that perpetuate SRH discrimination and by promoting sexual health, the ECtHR incorporates elements considered fundamental to</w:t>
      </w:r>
      <w:r w:rsidR="00400789" w:rsidRPr="0007754D">
        <w:rPr>
          <w:color w:val="000000" w:themeColor="text1"/>
          <w:lang w:val="en-GB"/>
        </w:rPr>
        <w:t xml:space="preserve"> SRH by UNCESCR GC</w:t>
      </w:r>
      <w:r w:rsidR="004E4248" w:rsidRPr="0007754D">
        <w:rPr>
          <w:color w:val="000000" w:themeColor="text1"/>
          <w:lang w:val="en-GB"/>
        </w:rPr>
        <w:t xml:space="preserve">22 and the WHO </w:t>
      </w:r>
      <w:r w:rsidR="009B1BF2" w:rsidRPr="0007754D">
        <w:rPr>
          <w:color w:val="000000" w:themeColor="text1"/>
          <w:lang w:val="en-GB"/>
        </w:rPr>
        <w:t>s</w:t>
      </w:r>
      <w:r w:rsidR="004E4248" w:rsidRPr="0007754D">
        <w:rPr>
          <w:color w:val="000000" w:themeColor="text1"/>
          <w:lang w:val="en-GB"/>
        </w:rPr>
        <w:t>trategy.</w:t>
      </w:r>
      <w:r w:rsidR="004E4248" w:rsidRPr="0007754D">
        <w:rPr>
          <w:rStyle w:val="FootnoteReference"/>
          <w:color w:val="000000" w:themeColor="text1"/>
        </w:rPr>
        <w:footnoteReference w:id="75"/>
      </w:r>
      <w:r w:rsidR="004E4248" w:rsidRPr="0007754D">
        <w:rPr>
          <w:color w:val="000000" w:themeColor="text1"/>
          <w:lang w:val="en-GB"/>
        </w:rPr>
        <w:t xml:space="preserve"> </w:t>
      </w:r>
      <w:r w:rsidR="00433E26" w:rsidRPr="0007754D">
        <w:rPr>
          <w:color w:val="000000" w:themeColor="text1"/>
          <w:lang w:val="en-GB"/>
        </w:rPr>
        <w:t>T</w:t>
      </w:r>
      <w:r w:rsidR="004E4248" w:rsidRPr="0007754D">
        <w:rPr>
          <w:color w:val="000000" w:themeColor="text1"/>
          <w:lang w:val="en-GB"/>
        </w:rPr>
        <w:t xml:space="preserve">he use of the principle of non-discrimination </w:t>
      </w:r>
      <w:r w:rsidR="00015815" w:rsidRPr="0007754D">
        <w:rPr>
          <w:color w:val="000000" w:themeColor="text1"/>
          <w:lang w:val="en-GB"/>
        </w:rPr>
        <w:t>enables the Court to</w:t>
      </w:r>
      <w:r w:rsidR="004E4248" w:rsidRPr="0007754D">
        <w:rPr>
          <w:color w:val="000000" w:themeColor="text1"/>
          <w:lang w:val="en-GB"/>
        </w:rPr>
        <w:t xml:space="preserve"> assess women’s autonomy </w:t>
      </w:r>
      <w:r w:rsidR="00AC1ECE" w:rsidRPr="0007754D">
        <w:rPr>
          <w:color w:val="000000" w:themeColor="text1"/>
          <w:lang w:val="en-GB"/>
        </w:rPr>
        <w:t>more comprehensi</w:t>
      </w:r>
      <w:r w:rsidR="004E4248" w:rsidRPr="0007754D">
        <w:rPr>
          <w:color w:val="000000" w:themeColor="text1"/>
          <w:lang w:val="en-GB"/>
        </w:rPr>
        <w:t xml:space="preserve">vely </w:t>
      </w:r>
      <w:r w:rsidR="00AC1ECE" w:rsidRPr="0007754D">
        <w:rPr>
          <w:color w:val="000000" w:themeColor="text1"/>
          <w:lang w:val="en-GB"/>
        </w:rPr>
        <w:t xml:space="preserve">and thus, to protect </w:t>
      </w:r>
      <w:r w:rsidR="004E4248" w:rsidRPr="0007754D">
        <w:rPr>
          <w:color w:val="000000" w:themeColor="text1"/>
          <w:lang w:val="en-GB"/>
        </w:rPr>
        <w:t>their</w:t>
      </w:r>
      <w:r w:rsidR="00AC1ECE" w:rsidRPr="0007754D">
        <w:rPr>
          <w:color w:val="000000" w:themeColor="text1"/>
          <w:lang w:val="en-GB"/>
        </w:rPr>
        <w:t xml:space="preserve"> SRH more effectively.</w:t>
      </w:r>
      <w:r w:rsidR="004E4248" w:rsidRPr="0007754D">
        <w:rPr>
          <w:color w:val="000000" w:themeColor="text1"/>
          <w:lang w:val="en-GB"/>
        </w:rPr>
        <w:t xml:space="preserve"> </w:t>
      </w:r>
      <w:r w:rsidR="00A06AF5" w:rsidRPr="0007754D">
        <w:rPr>
          <w:color w:val="000000" w:themeColor="text1"/>
          <w:lang w:val="en-GB"/>
        </w:rPr>
        <w:t xml:space="preserve">However, </w:t>
      </w:r>
      <w:r w:rsidR="00433E26" w:rsidRPr="0007754D">
        <w:rPr>
          <w:color w:val="000000" w:themeColor="text1"/>
          <w:lang w:val="en-GB"/>
        </w:rPr>
        <w:t xml:space="preserve">as noted below, </w:t>
      </w:r>
      <w:r w:rsidR="003055DD" w:rsidRPr="0007754D">
        <w:rPr>
          <w:color w:val="000000" w:themeColor="text1"/>
          <w:lang w:val="en-GB"/>
        </w:rPr>
        <w:t>its</w:t>
      </w:r>
      <w:r w:rsidR="00A06AF5" w:rsidRPr="0007754D">
        <w:rPr>
          <w:color w:val="000000" w:themeColor="text1"/>
          <w:lang w:val="en-GB"/>
        </w:rPr>
        <w:t xml:space="preserve"> protection </w:t>
      </w:r>
      <w:r w:rsidR="00433E26" w:rsidRPr="0007754D">
        <w:rPr>
          <w:color w:val="000000" w:themeColor="text1"/>
          <w:lang w:val="en-GB"/>
        </w:rPr>
        <w:t>under Article 8 is</w:t>
      </w:r>
      <w:r w:rsidR="00955D86" w:rsidRPr="0007754D">
        <w:rPr>
          <w:color w:val="000000" w:themeColor="text1"/>
          <w:lang w:val="en-GB"/>
        </w:rPr>
        <w:t xml:space="preserve"> </w:t>
      </w:r>
      <w:r w:rsidR="003055DD" w:rsidRPr="0007754D">
        <w:rPr>
          <w:color w:val="000000" w:themeColor="text1"/>
          <w:lang w:val="en-GB"/>
        </w:rPr>
        <w:t>weaker</w:t>
      </w:r>
      <w:r w:rsidR="00015815" w:rsidRPr="0007754D">
        <w:rPr>
          <w:color w:val="000000" w:themeColor="text1"/>
          <w:lang w:val="en-GB"/>
        </w:rPr>
        <w:t xml:space="preserve"> in the presence of a foetus.</w:t>
      </w:r>
    </w:p>
    <w:p w14:paraId="2B8DF3A0" w14:textId="6EA1F221" w:rsidR="00433184" w:rsidRPr="0007754D" w:rsidRDefault="00433184" w:rsidP="00433184">
      <w:pPr>
        <w:spacing w:line="276" w:lineRule="auto"/>
        <w:jc w:val="both"/>
        <w:rPr>
          <w:color w:val="000000" w:themeColor="text1"/>
          <w:lang w:val="en-GB"/>
        </w:rPr>
      </w:pPr>
    </w:p>
    <w:p w14:paraId="4868752B" w14:textId="77777777" w:rsidR="00A06AF5" w:rsidRPr="0007754D" w:rsidRDefault="00A06AF5" w:rsidP="00A06AF5">
      <w:pPr>
        <w:pStyle w:val="Heading3"/>
        <w:numPr>
          <w:ilvl w:val="2"/>
          <w:numId w:val="31"/>
        </w:numPr>
        <w:rPr>
          <w:rFonts w:asciiTheme="minorHAnsi" w:hAnsiTheme="minorHAnsi"/>
          <w:b/>
          <w:i/>
          <w:color w:val="000000" w:themeColor="text1"/>
          <w:lang w:val="en-GB"/>
        </w:rPr>
      </w:pPr>
      <w:r w:rsidRPr="0007754D">
        <w:rPr>
          <w:rFonts w:asciiTheme="minorHAnsi" w:hAnsiTheme="minorHAnsi"/>
          <w:b/>
          <w:i/>
          <w:color w:val="000000" w:themeColor="text1"/>
          <w:lang w:val="en-GB"/>
        </w:rPr>
        <w:t>Protecting autonomy in abortions cases: positive obligations</w:t>
      </w:r>
    </w:p>
    <w:p w14:paraId="6A63BDEC" w14:textId="77777777" w:rsidR="00A06AF5" w:rsidRPr="0007754D" w:rsidRDefault="00A06AF5" w:rsidP="00A06AF5">
      <w:pPr>
        <w:rPr>
          <w:color w:val="000000" w:themeColor="text1"/>
          <w:lang w:val="en-GB"/>
        </w:rPr>
      </w:pPr>
    </w:p>
    <w:p w14:paraId="0F79F5A2" w14:textId="3F3312C7" w:rsidR="00A06AF5" w:rsidRPr="0007754D" w:rsidRDefault="00A06AF5" w:rsidP="00A06AF5">
      <w:pPr>
        <w:spacing w:line="276" w:lineRule="auto"/>
        <w:jc w:val="both"/>
        <w:rPr>
          <w:color w:val="000000" w:themeColor="text1"/>
          <w:lang w:val="en-GB"/>
        </w:rPr>
      </w:pPr>
      <w:r w:rsidRPr="0007754D">
        <w:rPr>
          <w:color w:val="000000" w:themeColor="text1"/>
          <w:lang w:val="en-GB"/>
        </w:rPr>
        <w:t xml:space="preserve">Since 2000, the ECtHR held four Merits </w:t>
      </w:r>
      <w:r w:rsidR="003B0A03" w:rsidRPr="0007754D">
        <w:rPr>
          <w:color w:val="000000" w:themeColor="text1"/>
          <w:lang w:val="en-GB"/>
        </w:rPr>
        <w:t>Judgments</w:t>
      </w:r>
      <w:r w:rsidRPr="0007754D">
        <w:rPr>
          <w:color w:val="000000" w:themeColor="text1"/>
          <w:lang w:val="en-GB"/>
        </w:rPr>
        <w:t xml:space="preserve"> concerning women’s access to abortion, all of which were discussed at length in subsection 1.1.2., in the context of Article 3. However, it is worth noting that</w:t>
      </w:r>
      <w:r w:rsidR="00DB15C6" w:rsidRPr="0007754D">
        <w:rPr>
          <w:color w:val="000000" w:themeColor="text1"/>
          <w:lang w:val="en-GB"/>
        </w:rPr>
        <w:t>, subject to two key criticisms,</w:t>
      </w:r>
      <w:r w:rsidRPr="0007754D">
        <w:rPr>
          <w:color w:val="000000" w:themeColor="text1"/>
          <w:lang w:val="en-GB"/>
        </w:rPr>
        <w:t xml:space="preserve"> the Court’s jurisprudence on this issue seems more protective under Article 8 than it is under Article 3.</w:t>
      </w:r>
    </w:p>
    <w:p w14:paraId="54D0F4BC" w14:textId="77777777" w:rsidR="00A06AF5" w:rsidRPr="0007754D" w:rsidRDefault="00A06AF5" w:rsidP="00A06AF5">
      <w:pPr>
        <w:spacing w:line="276" w:lineRule="auto"/>
        <w:jc w:val="both"/>
        <w:rPr>
          <w:color w:val="000000" w:themeColor="text1"/>
          <w:lang w:val="en-GB"/>
        </w:rPr>
      </w:pPr>
    </w:p>
    <w:p w14:paraId="6F49A291" w14:textId="264A4C07" w:rsidR="00A06AF5" w:rsidRPr="0007754D" w:rsidRDefault="00A06AF5" w:rsidP="00A06AF5">
      <w:pPr>
        <w:spacing w:line="276" w:lineRule="auto"/>
        <w:jc w:val="both"/>
        <w:rPr>
          <w:color w:val="000000" w:themeColor="text1"/>
          <w:lang w:val="en-GB"/>
        </w:rPr>
      </w:pPr>
      <w:r w:rsidRPr="0007754D">
        <w:rPr>
          <w:color w:val="000000" w:themeColor="text1"/>
          <w:lang w:val="en-GB"/>
        </w:rPr>
        <w:t xml:space="preserve">In </w:t>
      </w:r>
      <w:r w:rsidRPr="0007754D">
        <w:rPr>
          <w:i/>
          <w:color w:val="000000" w:themeColor="text1"/>
          <w:lang w:val="en-GB"/>
        </w:rPr>
        <w:t xml:space="preserve">Tysiac v. Poland </w:t>
      </w:r>
      <w:r w:rsidRPr="0007754D">
        <w:rPr>
          <w:color w:val="000000" w:themeColor="text1"/>
          <w:lang w:val="en-GB"/>
        </w:rPr>
        <w:t xml:space="preserve">(2007), </w:t>
      </w:r>
      <w:r w:rsidRPr="0007754D">
        <w:rPr>
          <w:i/>
          <w:color w:val="000000" w:themeColor="text1"/>
          <w:lang w:val="en-GB"/>
        </w:rPr>
        <w:t xml:space="preserve">R. R. v. Poland </w:t>
      </w:r>
      <w:r w:rsidRPr="0007754D">
        <w:rPr>
          <w:color w:val="000000" w:themeColor="text1"/>
          <w:lang w:val="en-GB"/>
        </w:rPr>
        <w:t xml:space="preserve">(2011), and </w:t>
      </w:r>
      <w:r w:rsidRPr="0007754D">
        <w:rPr>
          <w:i/>
          <w:color w:val="000000" w:themeColor="text1"/>
          <w:lang w:val="en-GB"/>
        </w:rPr>
        <w:t xml:space="preserve">P. and S. v. Poland </w:t>
      </w:r>
      <w:r w:rsidRPr="0007754D">
        <w:rPr>
          <w:color w:val="000000" w:themeColor="text1"/>
          <w:lang w:val="en-GB"/>
        </w:rPr>
        <w:t>(2012), the ECtHR found a violation of Article 8 on the ground that Polish authorities had failed to comply with their positive obligations to respect the applicants’ right to private life.</w:t>
      </w:r>
      <w:r w:rsidRPr="0007754D">
        <w:rPr>
          <w:rStyle w:val="FootnoteReference"/>
          <w:color w:val="000000" w:themeColor="text1"/>
        </w:rPr>
        <w:footnoteReference w:id="76"/>
      </w:r>
      <w:r w:rsidRPr="0007754D">
        <w:rPr>
          <w:color w:val="000000" w:themeColor="text1"/>
          <w:lang w:val="en-GB"/>
        </w:rPr>
        <w:t xml:space="preserve"> As discussed in the context of forced sterilisations, the development of positive obligations by the ECtHR is a step in the right direction, since it enables the Court to protect SRH rights effectively. In </w:t>
      </w:r>
      <w:r w:rsidRPr="0007754D">
        <w:rPr>
          <w:i/>
          <w:color w:val="000000" w:themeColor="text1"/>
          <w:lang w:val="en-GB"/>
        </w:rPr>
        <w:t>Tysiac v. Poland</w:t>
      </w:r>
      <w:r w:rsidRPr="0007754D">
        <w:rPr>
          <w:color w:val="000000" w:themeColor="text1"/>
          <w:lang w:val="en-GB"/>
        </w:rPr>
        <w:t>, the Court stressed that the state ought to allow timely access to abortion</w:t>
      </w:r>
      <w:r w:rsidR="00727D2E" w:rsidRPr="0007754D">
        <w:rPr>
          <w:color w:val="000000" w:themeColor="text1"/>
          <w:lang w:val="en-GB"/>
        </w:rPr>
        <w:t>s</w:t>
      </w:r>
      <w:r w:rsidRPr="0007754D">
        <w:rPr>
          <w:color w:val="000000" w:themeColor="text1"/>
          <w:lang w:val="en-GB"/>
        </w:rPr>
        <w:t xml:space="preserve"> </w:t>
      </w:r>
      <w:r w:rsidR="00727D2E" w:rsidRPr="0007754D">
        <w:rPr>
          <w:color w:val="000000" w:themeColor="text1"/>
          <w:lang w:val="en-GB"/>
        </w:rPr>
        <w:t>in order to protect women’s health (</w:t>
      </w:r>
      <w:r w:rsidRPr="0007754D">
        <w:rPr>
          <w:color w:val="000000" w:themeColor="text1"/>
          <w:lang w:val="en-GB"/>
        </w:rPr>
        <w:t>sometimes damaged by late abortions</w:t>
      </w:r>
      <w:r w:rsidR="00727D2E" w:rsidRPr="0007754D">
        <w:rPr>
          <w:color w:val="000000" w:themeColor="text1"/>
          <w:lang w:val="en-GB"/>
        </w:rPr>
        <w:t>)</w:t>
      </w:r>
      <w:r w:rsidRPr="0007754D">
        <w:rPr>
          <w:color w:val="000000" w:themeColor="text1"/>
          <w:lang w:val="en-GB"/>
        </w:rPr>
        <w:t>,</w:t>
      </w:r>
      <w:r w:rsidRPr="0007754D">
        <w:rPr>
          <w:rStyle w:val="FootnoteReference"/>
          <w:color w:val="000000" w:themeColor="text1"/>
        </w:rPr>
        <w:footnoteReference w:id="77"/>
      </w:r>
      <w:r w:rsidRPr="0007754D">
        <w:rPr>
          <w:color w:val="000000" w:themeColor="text1"/>
          <w:lang w:val="en-GB"/>
        </w:rPr>
        <w:t xml:space="preserve"> and that this included clarifying </w:t>
      </w:r>
      <w:r w:rsidR="00727D2E" w:rsidRPr="0007754D">
        <w:rPr>
          <w:color w:val="000000" w:themeColor="text1"/>
          <w:lang w:val="en-GB"/>
        </w:rPr>
        <w:t xml:space="preserve">the legal </w:t>
      </w:r>
      <w:r w:rsidRPr="0007754D">
        <w:rPr>
          <w:color w:val="000000" w:themeColor="text1"/>
          <w:lang w:val="en-GB"/>
        </w:rPr>
        <w:t>conditions governing access to abortion.</w:t>
      </w:r>
      <w:r w:rsidRPr="0007754D">
        <w:rPr>
          <w:rStyle w:val="FootnoteReference"/>
          <w:color w:val="000000" w:themeColor="text1"/>
        </w:rPr>
        <w:footnoteReference w:id="78"/>
      </w:r>
      <w:r w:rsidRPr="0007754D">
        <w:rPr>
          <w:color w:val="000000" w:themeColor="text1"/>
          <w:lang w:val="en-GB"/>
        </w:rPr>
        <w:t xml:space="preserve"> In other words, there is no point in having ‘theoretical or illusory’ rights to access abortion procedures if those rights are not ‘practical and effective’.</w:t>
      </w:r>
      <w:r w:rsidRPr="0007754D">
        <w:rPr>
          <w:rStyle w:val="FootnoteReference"/>
          <w:color w:val="000000" w:themeColor="text1"/>
        </w:rPr>
        <w:footnoteReference w:id="79"/>
      </w:r>
      <w:r w:rsidRPr="0007754D">
        <w:rPr>
          <w:color w:val="000000" w:themeColor="text1"/>
          <w:lang w:val="en-GB"/>
        </w:rPr>
        <w:t xml:space="preserve"> Therefore, the Court affirmed that the state was under a ‘</w:t>
      </w:r>
      <w:r w:rsidRPr="0007754D">
        <w:rPr>
          <w:i/>
          <w:color w:val="000000" w:themeColor="text1"/>
          <w:lang w:val="en-GB"/>
        </w:rPr>
        <w:t>positive obligation to create a procedural framework enabling a pregnant woman to effectively exercise her right of access to lawful abortion</w:t>
      </w:r>
      <w:r w:rsidRPr="0007754D">
        <w:rPr>
          <w:color w:val="000000" w:themeColor="text1"/>
          <w:lang w:val="en-GB"/>
        </w:rPr>
        <w:t>’;</w:t>
      </w:r>
      <w:r w:rsidRPr="0007754D">
        <w:rPr>
          <w:rStyle w:val="FootnoteReference"/>
          <w:color w:val="000000" w:themeColor="text1"/>
        </w:rPr>
        <w:footnoteReference w:id="80"/>
      </w:r>
      <w:r w:rsidRPr="0007754D">
        <w:rPr>
          <w:color w:val="000000" w:themeColor="text1"/>
          <w:lang w:val="en-GB"/>
        </w:rPr>
        <w:t xml:space="preserve"> and later in </w:t>
      </w:r>
      <w:r w:rsidRPr="0007754D">
        <w:rPr>
          <w:i/>
          <w:color w:val="000000" w:themeColor="text1"/>
          <w:lang w:val="en-GB"/>
        </w:rPr>
        <w:t>A.B.C. v. Ireland</w:t>
      </w:r>
      <w:r w:rsidRPr="0007754D">
        <w:rPr>
          <w:color w:val="000000" w:themeColor="text1"/>
          <w:lang w:val="en-GB"/>
        </w:rPr>
        <w:t xml:space="preserve"> (2010), that the latter should be ‘</w:t>
      </w:r>
      <w:r w:rsidRPr="0007754D">
        <w:rPr>
          <w:i/>
          <w:color w:val="000000" w:themeColor="text1"/>
          <w:lang w:val="en-GB"/>
        </w:rPr>
        <w:t>shaped in a coherent manner</w:t>
      </w:r>
      <w:r w:rsidRPr="0007754D">
        <w:rPr>
          <w:color w:val="000000" w:themeColor="text1"/>
          <w:lang w:val="en-GB"/>
        </w:rPr>
        <w:t>’.</w:t>
      </w:r>
      <w:r w:rsidRPr="0007754D">
        <w:rPr>
          <w:rStyle w:val="FootnoteReference"/>
          <w:color w:val="000000" w:themeColor="text1"/>
        </w:rPr>
        <w:footnoteReference w:id="81"/>
      </w:r>
      <w:r w:rsidRPr="0007754D">
        <w:rPr>
          <w:color w:val="000000" w:themeColor="text1"/>
          <w:lang w:val="en-GB"/>
        </w:rPr>
        <w:t xml:space="preserve"> </w:t>
      </w:r>
      <w:r w:rsidR="008A7E27" w:rsidRPr="0007754D">
        <w:rPr>
          <w:color w:val="000000" w:themeColor="text1"/>
          <w:lang w:val="en-GB"/>
        </w:rPr>
        <w:t xml:space="preserve">The doctrine of positive obligations has also enabled the ECtHR to recognise </w:t>
      </w:r>
      <w:r w:rsidR="000C2ABD" w:rsidRPr="0007754D">
        <w:rPr>
          <w:color w:val="000000" w:themeColor="text1"/>
          <w:lang w:val="en-GB"/>
        </w:rPr>
        <w:t xml:space="preserve">states’ accountability </w:t>
      </w:r>
      <w:r w:rsidR="008A7E27" w:rsidRPr="0007754D">
        <w:rPr>
          <w:color w:val="000000" w:themeColor="text1"/>
          <w:lang w:val="en-GB"/>
        </w:rPr>
        <w:t>when</w:t>
      </w:r>
      <w:r w:rsidR="000C2ABD" w:rsidRPr="0007754D">
        <w:rPr>
          <w:color w:val="000000" w:themeColor="text1"/>
          <w:lang w:val="en-GB"/>
        </w:rPr>
        <w:t xml:space="preserve"> health professionals’ conscientious objection prevented women from accessing lawful abortions, in </w:t>
      </w:r>
      <w:r w:rsidR="000C2ABD" w:rsidRPr="0007754D">
        <w:rPr>
          <w:i/>
          <w:color w:val="000000" w:themeColor="text1"/>
          <w:lang w:val="en-GB"/>
        </w:rPr>
        <w:t>R.R. v. Poland</w:t>
      </w:r>
      <w:r w:rsidR="000C2ABD" w:rsidRPr="0007754D">
        <w:rPr>
          <w:color w:val="000000" w:themeColor="text1"/>
          <w:lang w:val="en-GB"/>
        </w:rPr>
        <w:t xml:space="preserve"> and in </w:t>
      </w:r>
      <w:r w:rsidR="000C2ABD" w:rsidRPr="0007754D">
        <w:rPr>
          <w:i/>
          <w:color w:val="000000" w:themeColor="text1"/>
          <w:lang w:val="en-GB"/>
        </w:rPr>
        <w:t>P. and S. v. Poland</w:t>
      </w:r>
      <w:r w:rsidR="000C2ABD" w:rsidRPr="0007754D">
        <w:rPr>
          <w:color w:val="000000" w:themeColor="text1"/>
          <w:lang w:val="en-GB"/>
        </w:rPr>
        <w:t>.</w:t>
      </w:r>
      <w:r w:rsidR="000C2ABD" w:rsidRPr="0007754D">
        <w:rPr>
          <w:rStyle w:val="FootnoteReference"/>
          <w:color w:val="000000" w:themeColor="text1"/>
        </w:rPr>
        <w:footnoteReference w:id="82"/>
      </w:r>
      <w:r w:rsidR="008A7E27" w:rsidRPr="0007754D">
        <w:rPr>
          <w:color w:val="000000" w:themeColor="text1"/>
          <w:lang w:val="en-GB"/>
        </w:rPr>
        <w:t xml:space="preserve"> </w:t>
      </w:r>
      <w:r w:rsidR="00A6282B" w:rsidRPr="0007754D">
        <w:rPr>
          <w:color w:val="000000" w:themeColor="text1"/>
          <w:lang w:val="en-GB"/>
        </w:rPr>
        <w:t xml:space="preserve">Therefore, the use of </w:t>
      </w:r>
      <w:r w:rsidRPr="0007754D">
        <w:rPr>
          <w:color w:val="000000" w:themeColor="text1"/>
          <w:lang w:val="en-GB"/>
        </w:rPr>
        <w:t>positive obligations under Article 8 has increased the C</w:t>
      </w:r>
      <w:r w:rsidR="00F24EB2" w:rsidRPr="0007754D">
        <w:rPr>
          <w:color w:val="000000" w:themeColor="text1"/>
          <w:lang w:val="en-GB"/>
        </w:rPr>
        <w:t>ourt’s protection of women</w:t>
      </w:r>
      <w:r w:rsidRPr="0007754D">
        <w:rPr>
          <w:color w:val="000000" w:themeColor="text1"/>
          <w:lang w:val="en-GB"/>
        </w:rPr>
        <w:t>’</w:t>
      </w:r>
      <w:r w:rsidR="00F24EB2" w:rsidRPr="0007754D">
        <w:rPr>
          <w:color w:val="000000" w:themeColor="text1"/>
          <w:lang w:val="en-GB"/>
        </w:rPr>
        <w:t>s</w:t>
      </w:r>
      <w:r w:rsidRPr="0007754D">
        <w:rPr>
          <w:color w:val="000000" w:themeColor="text1"/>
          <w:lang w:val="en-GB"/>
        </w:rPr>
        <w:t xml:space="preserve"> ability to make meaningful decisions regarding their SRH</w:t>
      </w:r>
      <w:r w:rsidR="000C2ABD" w:rsidRPr="0007754D">
        <w:rPr>
          <w:color w:val="000000" w:themeColor="text1"/>
          <w:lang w:val="en-GB"/>
        </w:rPr>
        <w:t xml:space="preserve"> and thus,</w:t>
      </w:r>
      <w:r w:rsidR="00F24EB2" w:rsidRPr="0007754D">
        <w:rPr>
          <w:color w:val="000000" w:themeColor="text1"/>
          <w:lang w:val="en-GB"/>
        </w:rPr>
        <w:t xml:space="preserve"> </w:t>
      </w:r>
      <w:r w:rsidRPr="0007754D">
        <w:rPr>
          <w:color w:val="000000" w:themeColor="text1"/>
          <w:lang w:val="en-GB"/>
        </w:rPr>
        <w:t xml:space="preserve">their autonomy – which </w:t>
      </w:r>
      <w:r w:rsidR="00400789" w:rsidRPr="0007754D">
        <w:rPr>
          <w:color w:val="000000" w:themeColor="text1"/>
          <w:lang w:val="en-GB"/>
        </w:rPr>
        <w:t xml:space="preserve">UNCESCR GC22 </w:t>
      </w:r>
      <w:r w:rsidRPr="0007754D">
        <w:rPr>
          <w:color w:val="000000" w:themeColor="text1"/>
          <w:lang w:val="en-GB"/>
        </w:rPr>
        <w:t>consistently links with access to abortion.</w:t>
      </w:r>
      <w:r w:rsidRPr="0007754D">
        <w:rPr>
          <w:rStyle w:val="FootnoteReference"/>
          <w:color w:val="000000" w:themeColor="text1"/>
        </w:rPr>
        <w:footnoteReference w:id="83"/>
      </w:r>
    </w:p>
    <w:p w14:paraId="76EE7F72" w14:textId="77777777" w:rsidR="00A06AF5" w:rsidRPr="0007754D" w:rsidRDefault="00A06AF5" w:rsidP="00A06AF5">
      <w:pPr>
        <w:spacing w:line="276" w:lineRule="auto"/>
        <w:jc w:val="both"/>
        <w:rPr>
          <w:color w:val="000000" w:themeColor="text1"/>
          <w:lang w:val="en-GB"/>
        </w:rPr>
      </w:pPr>
    </w:p>
    <w:p w14:paraId="369C3279" w14:textId="5B3EE081" w:rsidR="00A06AF5" w:rsidRPr="0007754D" w:rsidRDefault="00A06AF5" w:rsidP="00A06AF5">
      <w:pPr>
        <w:spacing w:line="276" w:lineRule="auto"/>
        <w:jc w:val="both"/>
        <w:rPr>
          <w:color w:val="000000" w:themeColor="text1"/>
          <w:lang w:val="en-GB"/>
        </w:rPr>
      </w:pPr>
      <w:r w:rsidRPr="0007754D">
        <w:rPr>
          <w:color w:val="000000" w:themeColor="text1"/>
          <w:lang w:val="en-GB"/>
        </w:rPr>
        <w:t xml:space="preserve">However, two key criticisms should be expressed in this regard. Firstly, while the Court requires that states’ legal frameworks on access to abortion be coherent, it does not specify in what sense (a legal framework can be coherent whether it allows or prohibits abortion). </w:t>
      </w:r>
      <w:r w:rsidR="00141258" w:rsidRPr="0007754D">
        <w:rPr>
          <w:color w:val="000000" w:themeColor="text1"/>
          <w:lang w:val="en-GB"/>
        </w:rPr>
        <w:t>Could</w:t>
      </w:r>
      <w:r w:rsidRPr="0007754D">
        <w:rPr>
          <w:color w:val="000000" w:themeColor="text1"/>
          <w:lang w:val="en-GB"/>
        </w:rPr>
        <w:t xml:space="preserve"> total bans on abortion be considered</w:t>
      </w:r>
      <w:r w:rsidR="00141258" w:rsidRPr="0007754D">
        <w:rPr>
          <w:color w:val="000000" w:themeColor="text1"/>
          <w:lang w:val="en-GB"/>
        </w:rPr>
        <w:t xml:space="preserve"> compl</w:t>
      </w:r>
      <w:r w:rsidR="006E7A9E" w:rsidRPr="0007754D">
        <w:rPr>
          <w:color w:val="000000" w:themeColor="text1"/>
          <w:lang w:val="en-GB"/>
        </w:rPr>
        <w:t>iant</w:t>
      </w:r>
      <w:r w:rsidRPr="0007754D">
        <w:rPr>
          <w:color w:val="000000" w:themeColor="text1"/>
          <w:lang w:val="en-GB"/>
        </w:rPr>
        <w:t xml:space="preserve"> with Article 8 as long as </w:t>
      </w:r>
      <w:r w:rsidR="006E7A9E" w:rsidRPr="0007754D">
        <w:rPr>
          <w:color w:val="000000" w:themeColor="text1"/>
          <w:lang w:val="en-GB"/>
        </w:rPr>
        <w:t>their</w:t>
      </w:r>
      <w:r w:rsidRPr="0007754D">
        <w:rPr>
          <w:color w:val="000000" w:themeColor="text1"/>
          <w:lang w:val="en-GB"/>
        </w:rPr>
        <w:t xml:space="preserve"> legal frameworks are ‘coherent’? Similar concerns were formulated when reviewing this case-law through the prism of Article 3, since the Court conditioned its recognition of women’s suffering to their ability to lawfully access abortion. Secondly, the Court’s use of the test of proportionality in abortion cases is unsatisfactory on various aspects. On one hand, the ECtHR admits </w:t>
      </w:r>
      <w:r w:rsidR="00C11AA4" w:rsidRPr="0007754D">
        <w:rPr>
          <w:color w:val="000000" w:themeColor="text1"/>
          <w:lang w:val="en-GB"/>
        </w:rPr>
        <w:t xml:space="preserve">only </w:t>
      </w:r>
      <w:r w:rsidRPr="0007754D">
        <w:rPr>
          <w:color w:val="000000" w:themeColor="text1"/>
          <w:lang w:val="en-GB"/>
        </w:rPr>
        <w:t>using this test in abortion cases involving ‘negative obligations’ (</w:t>
      </w:r>
      <w:r w:rsidRPr="0007754D">
        <w:rPr>
          <w:i/>
          <w:color w:val="000000" w:themeColor="text1"/>
          <w:lang w:val="en-GB"/>
        </w:rPr>
        <w:t>A.B.C. v. Ireland</w:t>
      </w:r>
      <w:r w:rsidRPr="0007754D">
        <w:rPr>
          <w:color w:val="000000" w:themeColor="text1"/>
          <w:lang w:val="en-GB"/>
        </w:rPr>
        <w:t>),</w:t>
      </w:r>
      <w:r w:rsidRPr="0007754D">
        <w:rPr>
          <w:rStyle w:val="FootnoteReference"/>
          <w:color w:val="000000" w:themeColor="text1"/>
        </w:rPr>
        <w:footnoteReference w:id="84"/>
      </w:r>
      <w:r w:rsidRPr="0007754D">
        <w:rPr>
          <w:color w:val="000000" w:themeColor="text1"/>
          <w:lang w:val="en-GB"/>
        </w:rPr>
        <w:t xml:space="preserve"> but not in cases involving ‘positive obligations’ (</w:t>
      </w:r>
      <w:r w:rsidRPr="0007754D">
        <w:rPr>
          <w:i/>
          <w:color w:val="000000" w:themeColor="text1"/>
          <w:lang w:val="en-GB"/>
        </w:rPr>
        <w:t>Tysiac v Poland</w:t>
      </w:r>
      <w:r w:rsidRPr="0007754D">
        <w:rPr>
          <w:color w:val="000000" w:themeColor="text1"/>
          <w:lang w:val="en-GB"/>
        </w:rPr>
        <w:t xml:space="preserve">, </w:t>
      </w:r>
      <w:r w:rsidRPr="0007754D">
        <w:rPr>
          <w:i/>
          <w:color w:val="000000" w:themeColor="text1"/>
          <w:lang w:val="en-GB"/>
        </w:rPr>
        <w:t>R. R. v. Poland</w:t>
      </w:r>
      <w:r w:rsidRPr="0007754D">
        <w:rPr>
          <w:color w:val="000000" w:themeColor="text1"/>
          <w:lang w:val="en-GB"/>
        </w:rPr>
        <w:t xml:space="preserve">, and </w:t>
      </w:r>
      <w:r w:rsidRPr="0007754D">
        <w:rPr>
          <w:i/>
          <w:color w:val="000000" w:themeColor="text1"/>
          <w:lang w:val="en-GB"/>
        </w:rPr>
        <w:t>P. and S. v. Poland</w:t>
      </w:r>
      <w:r w:rsidRPr="0007754D">
        <w:rPr>
          <w:color w:val="000000" w:themeColor="text1"/>
          <w:lang w:val="en-GB"/>
        </w:rPr>
        <w:t>).</w:t>
      </w:r>
      <w:r w:rsidRPr="0007754D">
        <w:rPr>
          <w:rStyle w:val="FootnoteReference"/>
          <w:color w:val="000000" w:themeColor="text1"/>
        </w:rPr>
        <w:footnoteReference w:id="85"/>
      </w:r>
      <w:r w:rsidRPr="0007754D">
        <w:rPr>
          <w:color w:val="000000" w:themeColor="text1"/>
          <w:lang w:val="en-GB"/>
        </w:rPr>
        <w:t xml:space="preserve"> This dichotomy, however, does not encapsulate accurately or comprehensively states’ obligations.</w:t>
      </w:r>
      <w:r w:rsidRPr="0007754D">
        <w:rPr>
          <w:rStyle w:val="FootnoteReference"/>
          <w:color w:val="000000" w:themeColor="text1"/>
        </w:rPr>
        <w:footnoteReference w:id="86"/>
      </w:r>
      <w:r w:rsidRPr="0007754D">
        <w:rPr>
          <w:color w:val="000000" w:themeColor="text1"/>
          <w:lang w:val="en-GB"/>
        </w:rPr>
        <w:t xml:space="preserve"> In all the cases discussed in this sub-section, applicants complained that the state did not provide sufficient access to abortion, thus indicating a positive obligation. The difference lies instead in what applicants challenged: the law itself (</w:t>
      </w:r>
      <w:r w:rsidRPr="0007754D">
        <w:rPr>
          <w:i/>
          <w:color w:val="000000" w:themeColor="text1"/>
          <w:lang w:val="en-GB"/>
        </w:rPr>
        <w:t>A.B.C. v. Ireland</w:t>
      </w:r>
      <w:r w:rsidRPr="0007754D">
        <w:rPr>
          <w:color w:val="000000" w:themeColor="text1"/>
          <w:lang w:val="en-GB"/>
        </w:rPr>
        <w:t>); or its application (</w:t>
      </w:r>
      <w:r w:rsidRPr="0007754D">
        <w:rPr>
          <w:i/>
          <w:color w:val="000000" w:themeColor="text1"/>
          <w:lang w:val="en-GB"/>
        </w:rPr>
        <w:t>Tysiac v Poland</w:t>
      </w:r>
      <w:r w:rsidRPr="0007754D">
        <w:rPr>
          <w:color w:val="000000" w:themeColor="text1"/>
          <w:lang w:val="en-GB"/>
        </w:rPr>
        <w:t xml:space="preserve">, </w:t>
      </w:r>
      <w:r w:rsidRPr="0007754D">
        <w:rPr>
          <w:i/>
          <w:color w:val="000000" w:themeColor="text1"/>
          <w:lang w:val="en-GB"/>
        </w:rPr>
        <w:t>R. R. v. Poland</w:t>
      </w:r>
      <w:r w:rsidRPr="0007754D">
        <w:rPr>
          <w:color w:val="000000" w:themeColor="text1"/>
          <w:lang w:val="en-GB"/>
        </w:rPr>
        <w:t xml:space="preserve">, and </w:t>
      </w:r>
      <w:r w:rsidRPr="0007754D">
        <w:rPr>
          <w:i/>
          <w:color w:val="000000" w:themeColor="text1"/>
          <w:lang w:val="en-GB"/>
        </w:rPr>
        <w:t>P. and S. v. Poland</w:t>
      </w:r>
      <w:r w:rsidRPr="0007754D">
        <w:rPr>
          <w:color w:val="000000" w:themeColor="text1"/>
          <w:lang w:val="en-GB"/>
        </w:rPr>
        <w:t xml:space="preserve">), the former requiring more audacity to criticise than the latter. On the other hand, </w:t>
      </w:r>
      <w:r w:rsidR="00C11AA4" w:rsidRPr="0007754D">
        <w:rPr>
          <w:color w:val="000000" w:themeColor="text1"/>
          <w:lang w:val="en-GB"/>
        </w:rPr>
        <w:t xml:space="preserve">the ECtHR applies the test of proportionality incoherently. </w:t>
      </w:r>
      <w:r w:rsidRPr="0007754D">
        <w:rPr>
          <w:color w:val="000000" w:themeColor="text1"/>
          <w:lang w:val="en-GB"/>
        </w:rPr>
        <w:t xml:space="preserve">In </w:t>
      </w:r>
      <w:r w:rsidRPr="0007754D">
        <w:rPr>
          <w:i/>
          <w:color w:val="000000" w:themeColor="text1"/>
          <w:lang w:val="en-GB"/>
        </w:rPr>
        <w:t>A.B.C. v. Ireland</w:t>
      </w:r>
      <w:r w:rsidRPr="0007754D">
        <w:rPr>
          <w:color w:val="000000" w:themeColor="text1"/>
          <w:lang w:val="en-GB"/>
        </w:rPr>
        <w:t>, the Court recognised that prohibiting abortion for reasons of health or well-being represented an interference with women’s right to private life.</w:t>
      </w:r>
      <w:r w:rsidRPr="0007754D">
        <w:rPr>
          <w:rStyle w:val="FootnoteReference"/>
          <w:color w:val="000000" w:themeColor="text1"/>
        </w:rPr>
        <w:footnoteReference w:id="87"/>
      </w:r>
      <w:r w:rsidRPr="0007754D">
        <w:rPr>
          <w:color w:val="000000" w:themeColor="text1"/>
          <w:lang w:val="en-GB"/>
        </w:rPr>
        <w:t xml:space="preserve"> Therefore, it considered that such interference could only be lawful if it was prescribed by law (here, the Irish Constitution),</w:t>
      </w:r>
      <w:r w:rsidRPr="0007754D">
        <w:rPr>
          <w:rStyle w:val="FootnoteReference"/>
          <w:color w:val="000000" w:themeColor="text1"/>
        </w:rPr>
        <w:footnoteReference w:id="88"/>
      </w:r>
      <w:r w:rsidRPr="0007754D">
        <w:rPr>
          <w:color w:val="000000" w:themeColor="text1"/>
          <w:lang w:val="en-GB"/>
        </w:rPr>
        <w:t xml:space="preserve"> pursued legitimate aims (here, ‘the protection of morals’),</w:t>
      </w:r>
      <w:r w:rsidRPr="0007754D">
        <w:rPr>
          <w:rStyle w:val="FootnoteReference"/>
          <w:color w:val="000000" w:themeColor="text1"/>
        </w:rPr>
        <w:footnoteReference w:id="89"/>
      </w:r>
      <w:r w:rsidRPr="0007754D">
        <w:rPr>
          <w:color w:val="000000" w:themeColor="text1"/>
          <w:lang w:val="en-GB"/>
        </w:rPr>
        <w:t xml:space="preserve"> and was necessary in a democratic society. When assessing this last criterion, not only did the Court examine the European consensus on access to abortion,</w:t>
      </w:r>
      <w:r w:rsidR="00A1012C" w:rsidRPr="0007754D">
        <w:rPr>
          <w:rStyle w:val="FootnoteReference"/>
          <w:color w:val="000000" w:themeColor="text1"/>
        </w:rPr>
        <w:footnoteReference w:id="90"/>
      </w:r>
      <w:r w:rsidRPr="0007754D">
        <w:rPr>
          <w:color w:val="000000" w:themeColor="text1"/>
          <w:lang w:val="en-GB"/>
        </w:rPr>
        <w:t xml:space="preserve"> thus relying on cultural relativist arguments rather than protecting women’s autonomy, it also contradicted itself. It started by stating that states’ margin of appreciation was normally restricted when a </w:t>
      </w:r>
      <w:r w:rsidRPr="0007754D">
        <w:rPr>
          <w:i/>
          <w:color w:val="000000" w:themeColor="text1"/>
          <w:lang w:val="en-GB"/>
        </w:rPr>
        <w:t>‘particularly important facet of an individual’s existence’</w:t>
      </w:r>
      <w:r w:rsidRPr="0007754D">
        <w:rPr>
          <w:color w:val="000000" w:themeColor="text1"/>
          <w:lang w:val="en-GB"/>
        </w:rPr>
        <w:t xml:space="preserve"> was at stake,</w:t>
      </w:r>
      <w:r w:rsidRPr="0007754D">
        <w:rPr>
          <w:rStyle w:val="FootnoteReference"/>
          <w:color w:val="000000" w:themeColor="text1"/>
        </w:rPr>
        <w:footnoteReference w:id="91"/>
      </w:r>
      <w:r w:rsidRPr="0007754D">
        <w:rPr>
          <w:color w:val="000000" w:themeColor="text1"/>
          <w:lang w:val="en-GB"/>
        </w:rPr>
        <w:t xml:space="preserve"> which is clearly relevant to decisions</w:t>
      </w:r>
      <w:r w:rsidR="008F0353" w:rsidRPr="0007754D">
        <w:rPr>
          <w:color w:val="000000" w:themeColor="text1"/>
          <w:lang w:val="en-GB"/>
        </w:rPr>
        <w:t xml:space="preserve"> whether</w:t>
      </w:r>
      <w:r w:rsidRPr="0007754D">
        <w:rPr>
          <w:color w:val="000000" w:themeColor="text1"/>
          <w:lang w:val="en-GB"/>
        </w:rPr>
        <w:t xml:space="preserve"> to pursue a pregnancy. The ECtHR, nevertheless, noted that if there was no European consensus on how to protect important facets of individuals’ existence, states’ margin of appreciation would be wider.</w:t>
      </w:r>
      <w:r w:rsidRPr="0007754D">
        <w:rPr>
          <w:rStyle w:val="FootnoteReference"/>
          <w:color w:val="000000" w:themeColor="text1"/>
        </w:rPr>
        <w:footnoteReference w:id="92"/>
      </w:r>
      <w:r w:rsidRPr="0007754D">
        <w:rPr>
          <w:color w:val="000000" w:themeColor="text1"/>
          <w:lang w:val="en-GB"/>
        </w:rPr>
        <w:t xml:space="preserve"> It is unclear why a human rights body mandated to supervise a treaty </w:t>
      </w:r>
      <w:r w:rsidR="006E7A9E" w:rsidRPr="0007754D">
        <w:rPr>
          <w:color w:val="000000" w:themeColor="text1"/>
          <w:lang w:val="en-GB"/>
        </w:rPr>
        <w:t>to which states have consented</w:t>
      </w:r>
      <w:r w:rsidRPr="0007754D">
        <w:rPr>
          <w:color w:val="000000" w:themeColor="text1"/>
          <w:lang w:val="en-GB"/>
        </w:rPr>
        <w:t xml:space="preserve">, should prioritise states’ consensus over the protection of individuals’ rights. The Court </w:t>
      </w:r>
      <w:r w:rsidR="006E7A9E" w:rsidRPr="0007754D">
        <w:rPr>
          <w:color w:val="000000" w:themeColor="text1"/>
          <w:lang w:val="en-GB"/>
        </w:rPr>
        <w:t>yet</w:t>
      </w:r>
      <w:r w:rsidRPr="0007754D">
        <w:rPr>
          <w:color w:val="000000" w:themeColor="text1"/>
          <w:lang w:val="en-GB"/>
        </w:rPr>
        <w:t xml:space="preserve"> recognised that there was, indeed, a wide European consensus towards allowing abortion on broader grounds than under Irish law, but it incomprehensibly decided to dismiss it.</w:t>
      </w:r>
      <w:r w:rsidRPr="0007754D">
        <w:rPr>
          <w:rStyle w:val="FootnoteReference"/>
          <w:color w:val="000000" w:themeColor="text1"/>
        </w:rPr>
        <w:footnoteReference w:id="93"/>
      </w:r>
      <w:r w:rsidRPr="0007754D">
        <w:rPr>
          <w:color w:val="000000" w:themeColor="text1"/>
          <w:lang w:val="en-GB"/>
        </w:rPr>
        <w:t xml:space="preserve"> </w:t>
      </w:r>
      <w:r w:rsidR="0017474C" w:rsidRPr="0007754D">
        <w:rPr>
          <w:color w:val="000000" w:themeColor="text1"/>
          <w:lang w:val="en-GB"/>
        </w:rPr>
        <w:t>It favoured, instead,</w:t>
      </w:r>
      <w:r w:rsidR="006E7A9E" w:rsidRPr="0007754D">
        <w:rPr>
          <w:color w:val="000000" w:themeColor="text1"/>
          <w:lang w:val="en-GB"/>
        </w:rPr>
        <w:t xml:space="preserve"> ‘</w:t>
      </w:r>
      <w:r w:rsidR="006E7A9E" w:rsidRPr="0007754D">
        <w:rPr>
          <w:i/>
          <w:color w:val="000000" w:themeColor="text1"/>
          <w:lang w:val="en-GB"/>
        </w:rPr>
        <w:t>the profound moral views of the Irish people as to the nature of life</w:t>
      </w:r>
      <w:r w:rsidR="006E7A9E" w:rsidRPr="0007754D">
        <w:rPr>
          <w:color w:val="000000" w:themeColor="text1"/>
          <w:lang w:val="en-GB"/>
        </w:rPr>
        <w:t xml:space="preserve">’; </w:t>
      </w:r>
      <w:r w:rsidR="0017474C" w:rsidRPr="0007754D">
        <w:rPr>
          <w:color w:val="000000" w:themeColor="text1"/>
          <w:lang w:val="en-GB"/>
        </w:rPr>
        <w:t>by highlighting</w:t>
      </w:r>
      <w:r w:rsidR="006E7A9E" w:rsidRPr="0007754D">
        <w:rPr>
          <w:color w:val="000000" w:themeColor="text1"/>
          <w:lang w:val="en-GB"/>
        </w:rPr>
        <w:t xml:space="preserve"> the importance of striking a balance between applicants’ right to private life and the ‘</w:t>
      </w:r>
      <w:r w:rsidR="006E7A9E" w:rsidRPr="0007754D">
        <w:rPr>
          <w:i/>
          <w:color w:val="000000" w:themeColor="text1"/>
          <w:lang w:val="en-GB"/>
        </w:rPr>
        <w:t xml:space="preserve">rights </w:t>
      </w:r>
      <w:r w:rsidR="0017474C" w:rsidRPr="0007754D">
        <w:rPr>
          <w:i/>
          <w:color w:val="000000" w:themeColor="text1"/>
          <w:lang w:val="en-GB"/>
        </w:rPr>
        <w:t xml:space="preserve">invoked on behalf </w:t>
      </w:r>
      <w:r w:rsidR="006E7A9E" w:rsidRPr="0007754D">
        <w:rPr>
          <w:i/>
          <w:color w:val="000000" w:themeColor="text1"/>
          <w:lang w:val="en-GB"/>
        </w:rPr>
        <w:t>of the unborn</w:t>
      </w:r>
      <w:r w:rsidR="006E7A9E" w:rsidRPr="0007754D">
        <w:rPr>
          <w:color w:val="000000" w:themeColor="text1"/>
          <w:lang w:val="en-GB"/>
        </w:rPr>
        <w:t>’.</w:t>
      </w:r>
      <w:r w:rsidR="006E7A9E" w:rsidRPr="0007754D">
        <w:rPr>
          <w:rStyle w:val="FootnoteReference"/>
          <w:color w:val="000000" w:themeColor="text1"/>
        </w:rPr>
        <w:footnoteReference w:id="94"/>
      </w:r>
      <w:r w:rsidR="0017474C" w:rsidRPr="0007754D">
        <w:rPr>
          <w:color w:val="000000" w:themeColor="text1"/>
          <w:lang w:val="en-GB"/>
        </w:rPr>
        <w:t xml:space="preserve"> Therefore, the ECtHR found that Ireland had</w:t>
      </w:r>
      <w:r w:rsidRPr="0007754D">
        <w:rPr>
          <w:color w:val="000000" w:themeColor="text1"/>
          <w:lang w:val="en-GB"/>
        </w:rPr>
        <w:t xml:space="preserve"> not exceed</w:t>
      </w:r>
      <w:r w:rsidR="0017474C" w:rsidRPr="0007754D">
        <w:rPr>
          <w:color w:val="000000" w:themeColor="text1"/>
          <w:lang w:val="en-GB"/>
        </w:rPr>
        <w:t>ed</w:t>
      </w:r>
      <w:r w:rsidRPr="0007754D">
        <w:rPr>
          <w:color w:val="000000" w:themeColor="text1"/>
          <w:lang w:val="en-GB"/>
        </w:rPr>
        <w:t xml:space="preserve"> its margin of appreciation (except for the applicant whose pregnancy was jeopardising her health and life, for whom a violation of Article 8 was reached).</w:t>
      </w:r>
      <w:r w:rsidRPr="0007754D">
        <w:rPr>
          <w:rStyle w:val="FootnoteReference"/>
          <w:color w:val="000000" w:themeColor="text1"/>
        </w:rPr>
        <w:footnoteReference w:id="95"/>
      </w:r>
      <w:r w:rsidR="00F2664F" w:rsidRPr="0007754D">
        <w:rPr>
          <w:color w:val="000000" w:themeColor="text1"/>
          <w:lang w:val="en-GB"/>
        </w:rPr>
        <w:t xml:space="preserve"> </w:t>
      </w:r>
      <w:r w:rsidRPr="0007754D">
        <w:rPr>
          <w:color w:val="000000" w:themeColor="text1"/>
          <w:lang w:val="en-GB"/>
        </w:rPr>
        <w:t xml:space="preserve">This </w:t>
      </w:r>
      <w:r w:rsidR="0017474C" w:rsidRPr="0007754D">
        <w:rPr>
          <w:color w:val="000000" w:themeColor="text1"/>
          <w:lang w:val="en-GB"/>
        </w:rPr>
        <w:t xml:space="preserve">(political) </w:t>
      </w:r>
      <w:r w:rsidRPr="0007754D">
        <w:rPr>
          <w:color w:val="000000" w:themeColor="text1"/>
          <w:lang w:val="en-GB"/>
        </w:rPr>
        <w:t xml:space="preserve">decision </w:t>
      </w:r>
      <w:r w:rsidR="0017474C" w:rsidRPr="0007754D">
        <w:rPr>
          <w:color w:val="000000" w:themeColor="text1"/>
          <w:lang w:val="en-GB"/>
        </w:rPr>
        <w:t>disregards</w:t>
      </w:r>
      <w:r w:rsidRPr="0007754D">
        <w:rPr>
          <w:color w:val="000000" w:themeColor="text1"/>
          <w:lang w:val="en-GB"/>
        </w:rPr>
        <w:t xml:space="preserve"> principles upheld by UN</w:t>
      </w:r>
      <w:r w:rsidR="00400789" w:rsidRPr="0007754D">
        <w:rPr>
          <w:color w:val="000000" w:themeColor="text1"/>
          <w:lang w:val="en-GB"/>
        </w:rPr>
        <w:t>CESCR</w:t>
      </w:r>
      <w:r w:rsidRPr="0007754D">
        <w:rPr>
          <w:color w:val="000000" w:themeColor="text1"/>
          <w:lang w:val="en-GB"/>
        </w:rPr>
        <w:t xml:space="preserve"> </w:t>
      </w:r>
      <w:r w:rsidR="00400789" w:rsidRPr="0007754D">
        <w:rPr>
          <w:color w:val="000000" w:themeColor="text1"/>
          <w:lang w:val="en-GB"/>
        </w:rPr>
        <w:t>GC</w:t>
      </w:r>
      <w:r w:rsidR="0017474C" w:rsidRPr="0007754D">
        <w:rPr>
          <w:color w:val="000000" w:themeColor="text1"/>
          <w:lang w:val="en-GB"/>
        </w:rPr>
        <w:t xml:space="preserve">22 such as </w:t>
      </w:r>
      <w:r w:rsidRPr="0007754D">
        <w:rPr>
          <w:color w:val="000000" w:themeColor="text1"/>
          <w:lang w:val="en-GB"/>
        </w:rPr>
        <w:t>the promotion of choice and the prohibition of coercion, violence and discrimination</w:t>
      </w:r>
      <w:r w:rsidR="0017474C" w:rsidRPr="0007754D">
        <w:rPr>
          <w:color w:val="000000" w:themeColor="text1"/>
          <w:lang w:val="en-GB"/>
        </w:rPr>
        <w:t>.</w:t>
      </w:r>
      <w:r w:rsidRPr="0007754D">
        <w:rPr>
          <w:rStyle w:val="FootnoteReference"/>
          <w:color w:val="000000" w:themeColor="text1"/>
        </w:rPr>
        <w:footnoteReference w:id="96"/>
      </w:r>
      <w:r w:rsidRPr="0007754D">
        <w:rPr>
          <w:color w:val="000000" w:themeColor="text1"/>
          <w:lang w:val="en-GB"/>
        </w:rPr>
        <w:t xml:space="preserve"> </w:t>
      </w:r>
      <w:r w:rsidR="0017474C" w:rsidRPr="0007754D">
        <w:rPr>
          <w:color w:val="000000" w:themeColor="text1"/>
          <w:lang w:val="en-GB"/>
        </w:rPr>
        <w:t>Furthermore, it</w:t>
      </w:r>
      <w:r w:rsidRPr="0007754D">
        <w:rPr>
          <w:color w:val="000000" w:themeColor="text1"/>
          <w:lang w:val="en-GB"/>
        </w:rPr>
        <w:t xml:space="preserve"> does not contribute to preventing the risk of unsafe abort</w:t>
      </w:r>
      <w:r w:rsidR="0017474C" w:rsidRPr="0007754D">
        <w:rPr>
          <w:color w:val="000000" w:themeColor="text1"/>
          <w:lang w:val="en-GB"/>
        </w:rPr>
        <w:t>ions, which the WHO considers</w:t>
      </w:r>
      <w:r w:rsidRPr="0007754D">
        <w:rPr>
          <w:color w:val="000000" w:themeColor="text1"/>
          <w:lang w:val="en-GB"/>
        </w:rPr>
        <w:t xml:space="preserve"> key to SRH.</w:t>
      </w:r>
      <w:r w:rsidRPr="0007754D">
        <w:rPr>
          <w:rStyle w:val="FootnoteReference"/>
          <w:color w:val="000000" w:themeColor="text1"/>
        </w:rPr>
        <w:footnoteReference w:id="97"/>
      </w:r>
      <w:r w:rsidRPr="0007754D">
        <w:rPr>
          <w:color w:val="000000" w:themeColor="text1"/>
          <w:lang w:val="en-GB"/>
        </w:rPr>
        <w:t xml:space="preserve"> </w:t>
      </w:r>
      <w:r w:rsidR="00CC1297" w:rsidRPr="0007754D">
        <w:rPr>
          <w:color w:val="000000" w:themeColor="text1"/>
          <w:lang w:val="en-GB"/>
        </w:rPr>
        <w:t xml:space="preserve">It will be interesting, nonetheless, to assess future case-law in the light of the 2018 Irish referendum. </w:t>
      </w:r>
      <w:r w:rsidRPr="0007754D">
        <w:rPr>
          <w:color w:val="000000" w:themeColor="text1"/>
          <w:lang w:val="en-GB"/>
        </w:rPr>
        <w:t>To conclude, while the ECtHR is willing to protect women’s autonomy in cases where the implementation of abo</w:t>
      </w:r>
      <w:r w:rsidR="00CC1297" w:rsidRPr="0007754D">
        <w:rPr>
          <w:color w:val="000000" w:themeColor="text1"/>
          <w:lang w:val="en-GB"/>
        </w:rPr>
        <w:t>rtion laws is restrictive, its courage</w:t>
      </w:r>
      <w:r w:rsidRPr="0007754D">
        <w:rPr>
          <w:color w:val="000000" w:themeColor="text1"/>
          <w:lang w:val="en-GB"/>
        </w:rPr>
        <w:t xml:space="preserve"> does not stretch to cases where the law itself is being challenged. </w:t>
      </w:r>
      <w:r w:rsidR="00CC1297" w:rsidRPr="0007754D">
        <w:rPr>
          <w:color w:val="000000" w:themeColor="text1"/>
          <w:lang w:val="en-GB"/>
        </w:rPr>
        <w:t>Interestingly, homebirth cases also reflect the shyness of the Court in protecting women’s SRH autonomy when a foetus is at stake.</w:t>
      </w:r>
    </w:p>
    <w:p w14:paraId="55D2CBEE" w14:textId="77777777" w:rsidR="00A06AF5" w:rsidRPr="0007754D" w:rsidRDefault="00A06AF5" w:rsidP="00433184">
      <w:pPr>
        <w:spacing w:line="276" w:lineRule="auto"/>
        <w:jc w:val="both"/>
        <w:rPr>
          <w:color w:val="000000" w:themeColor="text1"/>
          <w:lang w:val="en-GB"/>
        </w:rPr>
      </w:pPr>
    </w:p>
    <w:p w14:paraId="062D02FF" w14:textId="489BBCC0" w:rsidR="00777187" w:rsidRPr="0007754D" w:rsidRDefault="00777187" w:rsidP="00777187">
      <w:pPr>
        <w:pStyle w:val="Heading3"/>
        <w:numPr>
          <w:ilvl w:val="2"/>
          <w:numId w:val="31"/>
        </w:numPr>
        <w:spacing w:line="276" w:lineRule="auto"/>
        <w:rPr>
          <w:rFonts w:asciiTheme="minorHAnsi" w:hAnsiTheme="minorHAnsi"/>
          <w:b/>
          <w:i/>
          <w:color w:val="000000" w:themeColor="text1"/>
          <w:lang w:val="en-GB"/>
        </w:rPr>
      </w:pPr>
      <w:r w:rsidRPr="0007754D">
        <w:rPr>
          <w:rFonts w:asciiTheme="minorHAnsi" w:hAnsiTheme="minorHAnsi"/>
          <w:b/>
          <w:i/>
          <w:color w:val="000000" w:themeColor="text1"/>
          <w:lang w:val="en-GB"/>
        </w:rPr>
        <w:t>Protect</w:t>
      </w:r>
      <w:r w:rsidR="004A419C" w:rsidRPr="0007754D">
        <w:rPr>
          <w:rFonts w:asciiTheme="minorHAnsi" w:hAnsiTheme="minorHAnsi"/>
          <w:b/>
          <w:i/>
          <w:color w:val="000000" w:themeColor="text1"/>
          <w:lang w:val="en-GB"/>
        </w:rPr>
        <w:t>ing autonomy in homebirth cases: choice</w:t>
      </w:r>
    </w:p>
    <w:p w14:paraId="4CB166B8" w14:textId="77777777" w:rsidR="00777187" w:rsidRPr="0007754D" w:rsidRDefault="00777187" w:rsidP="00433184">
      <w:pPr>
        <w:spacing w:line="276" w:lineRule="auto"/>
        <w:jc w:val="both"/>
        <w:rPr>
          <w:color w:val="000000" w:themeColor="text1"/>
          <w:lang w:val="en-GB"/>
        </w:rPr>
      </w:pPr>
    </w:p>
    <w:p w14:paraId="082E3419" w14:textId="0D7B2AB0" w:rsidR="009C773A" w:rsidRPr="0007754D" w:rsidRDefault="00777187" w:rsidP="00433184">
      <w:pPr>
        <w:spacing w:line="276" w:lineRule="auto"/>
        <w:jc w:val="both"/>
        <w:rPr>
          <w:color w:val="000000" w:themeColor="text1"/>
          <w:lang w:val="en-GB"/>
        </w:rPr>
      </w:pPr>
      <w:r w:rsidRPr="0007754D">
        <w:rPr>
          <w:color w:val="000000" w:themeColor="text1"/>
          <w:lang w:val="en-GB"/>
        </w:rPr>
        <w:t xml:space="preserve">Since 2000, the Court held two Merits </w:t>
      </w:r>
      <w:r w:rsidR="003B0A03" w:rsidRPr="0007754D">
        <w:rPr>
          <w:color w:val="000000" w:themeColor="text1"/>
          <w:lang w:val="en-GB"/>
        </w:rPr>
        <w:t>Judgments</w:t>
      </w:r>
      <w:r w:rsidRPr="0007754D">
        <w:rPr>
          <w:color w:val="000000" w:themeColor="text1"/>
          <w:lang w:val="en-GB"/>
        </w:rPr>
        <w:t xml:space="preserve"> under Article 8 ECHR involving women planning to give birth at home who could not obtain medical assistance. In those cases, t</w:t>
      </w:r>
      <w:r w:rsidR="00433184" w:rsidRPr="0007754D">
        <w:rPr>
          <w:color w:val="000000" w:themeColor="text1"/>
          <w:lang w:val="en-GB"/>
        </w:rPr>
        <w:t>he ECtHR</w:t>
      </w:r>
      <w:r w:rsidRPr="0007754D">
        <w:rPr>
          <w:color w:val="000000" w:themeColor="text1"/>
          <w:lang w:val="en-GB"/>
        </w:rPr>
        <w:t xml:space="preserve"> </w:t>
      </w:r>
      <w:r w:rsidR="00433184" w:rsidRPr="0007754D">
        <w:rPr>
          <w:color w:val="000000" w:themeColor="text1"/>
          <w:lang w:val="en-GB"/>
        </w:rPr>
        <w:t>uph</w:t>
      </w:r>
      <w:r w:rsidRPr="0007754D">
        <w:rPr>
          <w:color w:val="000000" w:themeColor="text1"/>
          <w:lang w:val="en-GB"/>
        </w:rPr>
        <w:t>e</w:t>
      </w:r>
      <w:r w:rsidR="00154E40" w:rsidRPr="0007754D">
        <w:rPr>
          <w:color w:val="000000" w:themeColor="text1"/>
          <w:lang w:val="en-GB"/>
        </w:rPr>
        <w:t>ld women’s</w:t>
      </w:r>
      <w:r w:rsidR="00433184" w:rsidRPr="0007754D">
        <w:rPr>
          <w:color w:val="000000" w:themeColor="text1"/>
          <w:lang w:val="en-GB"/>
        </w:rPr>
        <w:t xml:space="preserve"> autonomy </w:t>
      </w:r>
      <w:r w:rsidR="00154E40" w:rsidRPr="0007754D">
        <w:rPr>
          <w:color w:val="000000" w:themeColor="text1"/>
          <w:lang w:val="en-GB"/>
        </w:rPr>
        <w:t>unevenly, by shifting</w:t>
      </w:r>
      <w:r w:rsidR="00433184" w:rsidRPr="0007754D">
        <w:rPr>
          <w:color w:val="000000" w:themeColor="text1"/>
          <w:lang w:val="en-GB"/>
        </w:rPr>
        <w:t xml:space="preserve"> its jurisprudence to favour states’ margin of appreciation over women’s choices. In the case of </w:t>
      </w:r>
      <w:r w:rsidR="00433184" w:rsidRPr="0007754D">
        <w:rPr>
          <w:i/>
          <w:color w:val="000000" w:themeColor="text1"/>
          <w:lang w:val="en-GB"/>
        </w:rPr>
        <w:t>Ternovszky v. Hungary</w:t>
      </w:r>
      <w:r w:rsidR="00433184" w:rsidRPr="0007754D">
        <w:rPr>
          <w:color w:val="000000" w:themeColor="text1"/>
          <w:lang w:val="en-GB"/>
        </w:rPr>
        <w:t xml:space="preserve"> (2010), the applicant alleged a breach of </w:t>
      </w:r>
      <w:r w:rsidR="007B0EFB" w:rsidRPr="0007754D">
        <w:rPr>
          <w:color w:val="000000" w:themeColor="text1"/>
          <w:lang w:val="en-GB"/>
        </w:rPr>
        <w:t>Article 8</w:t>
      </w:r>
      <w:r w:rsidR="00433184" w:rsidRPr="0007754D">
        <w:rPr>
          <w:color w:val="000000" w:themeColor="text1"/>
          <w:lang w:val="en-GB"/>
        </w:rPr>
        <w:t xml:space="preserve"> because</w:t>
      </w:r>
      <w:r w:rsidR="00567F75" w:rsidRPr="0007754D">
        <w:rPr>
          <w:color w:val="000000" w:themeColor="text1"/>
          <w:lang w:val="en-GB"/>
        </w:rPr>
        <w:t xml:space="preserve"> the uncertainty of</w:t>
      </w:r>
      <w:r w:rsidR="00433184" w:rsidRPr="0007754D">
        <w:rPr>
          <w:color w:val="000000" w:themeColor="text1"/>
          <w:lang w:val="en-GB"/>
        </w:rPr>
        <w:t xml:space="preserve"> Hungarian </w:t>
      </w:r>
      <w:r w:rsidR="007B0EFB" w:rsidRPr="0007754D">
        <w:rPr>
          <w:color w:val="000000" w:themeColor="text1"/>
          <w:lang w:val="en-GB"/>
        </w:rPr>
        <w:t>law</w:t>
      </w:r>
      <w:r w:rsidR="00433184" w:rsidRPr="0007754D">
        <w:rPr>
          <w:color w:val="000000" w:themeColor="text1"/>
          <w:lang w:val="en-GB"/>
        </w:rPr>
        <w:t xml:space="preserve"> dissuaded health prof</w:t>
      </w:r>
      <w:r w:rsidR="007B0EFB" w:rsidRPr="0007754D">
        <w:rPr>
          <w:color w:val="000000" w:themeColor="text1"/>
          <w:lang w:val="en-GB"/>
        </w:rPr>
        <w:t>essionals from assisting her in giving birth at home</w:t>
      </w:r>
      <w:r w:rsidR="00433184" w:rsidRPr="0007754D">
        <w:rPr>
          <w:color w:val="000000" w:themeColor="text1"/>
          <w:lang w:val="en-GB"/>
        </w:rPr>
        <w:t>.</w:t>
      </w:r>
      <w:r w:rsidR="00433184" w:rsidRPr="0007754D">
        <w:rPr>
          <w:rStyle w:val="FootnoteReference"/>
          <w:color w:val="000000" w:themeColor="text1"/>
        </w:rPr>
        <w:footnoteReference w:id="98"/>
      </w:r>
      <w:r w:rsidR="00433184" w:rsidRPr="0007754D">
        <w:rPr>
          <w:color w:val="000000" w:themeColor="text1"/>
          <w:lang w:val="en-GB"/>
        </w:rPr>
        <w:t xml:space="preserve"> Upon study of WHO guidelines highlighting that low-risk pregnant women can give birth at home,</w:t>
      </w:r>
      <w:r w:rsidR="00433184" w:rsidRPr="0007754D">
        <w:rPr>
          <w:rStyle w:val="FootnoteReference"/>
          <w:color w:val="000000" w:themeColor="text1"/>
        </w:rPr>
        <w:footnoteReference w:id="99"/>
      </w:r>
      <w:r w:rsidR="00433184" w:rsidRPr="0007754D">
        <w:rPr>
          <w:color w:val="000000" w:themeColor="text1"/>
          <w:lang w:val="en-GB"/>
        </w:rPr>
        <w:t xml:space="preserve"> </w:t>
      </w:r>
      <w:r w:rsidR="007B0EFB" w:rsidRPr="0007754D">
        <w:rPr>
          <w:color w:val="000000" w:themeColor="text1"/>
          <w:lang w:val="en-GB"/>
        </w:rPr>
        <w:t>the ECtHR concluded that Article 8 had been infringed, referring to the applicant’s ‘</w:t>
      </w:r>
      <w:r w:rsidR="007B0EFB" w:rsidRPr="0007754D">
        <w:rPr>
          <w:i/>
          <w:color w:val="000000" w:themeColor="text1"/>
          <w:lang w:val="en-GB"/>
        </w:rPr>
        <w:t>right to choice in matters of child delivery</w:t>
      </w:r>
      <w:r w:rsidR="007B0EFB" w:rsidRPr="0007754D">
        <w:rPr>
          <w:color w:val="000000" w:themeColor="text1"/>
          <w:lang w:val="en-GB"/>
        </w:rPr>
        <w:t>’</w:t>
      </w:r>
      <w:r w:rsidR="00433184" w:rsidRPr="0007754D">
        <w:rPr>
          <w:color w:val="000000" w:themeColor="text1"/>
          <w:lang w:val="en-GB"/>
        </w:rPr>
        <w:t>.</w:t>
      </w:r>
      <w:r w:rsidR="00433184" w:rsidRPr="0007754D">
        <w:rPr>
          <w:rStyle w:val="FootnoteReference"/>
          <w:color w:val="000000" w:themeColor="text1"/>
        </w:rPr>
        <w:footnoteReference w:id="100"/>
      </w:r>
      <w:r w:rsidR="00433184" w:rsidRPr="0007754D">
        <w:rPr>
          <w:color w:val="000000" w:themeColor="text1"/>
          <w:lang w:val="en-GB"/>
        </w:rPr>
        <w:t xml:space="preserve"> The Court thus, clearly protected pregnant women’s </w:t>
      </w:r>
      <w:r w:rsidR="00567F75" w:rsidRPr="0007754D">
        <w:rPr>
          <w:color w:val="000000" w:themeColor="text1"/>
          <w:lang w:val="en-GB"/>
        </w:rPr>
        <w:t>autonomy</w:t>
      </w:r>
      <w:r w:rsidR="00F724C9" w:rsidRPr="0007754D">
        <w:rPr>
          <w:color w:val="000000" w:themeColor="text1"/>
          <w:lang w:val="en-GB"/>
        </w:rPr>
        <w:t xml:space="preserve"> (</w:t>
      </w:r>
      <w:r w:rsidR="000A464A" w:rsidRPr="0007754D">
        <w:rPr>
          <w:color w:val="000000" w:themeColor="text1"/>
          <w:lang w:val="en-GB"/>
        </w:rPr>
        <w:t>recognising it as a ‘</w:t>
      </w:r>
      <w:r w:rsidR="000A464A" w:rsidRPr="0007754D">
        <w:rPr>
          <w:i/>
          <w:color w:val="000000" w:themeColor="text1"/>
          <w:lang w:val="en-GB"/>
        </w:rPr>
        <w:t>fundamental principle</w:t>
      </w:r>
      <w:r w:rsidR="000A464A" w:rsidRPr="0007754D">
        <w:rPr>
          <w:color w:val="000000" w:themeColor="text1"/>
          <w:lang w:val="en-GB"/>
        </w:rPr>
        <w:t>’</w:t>
      </w:r>
      <w:r w:rsidR="00F724C9" w:rsidRPr="0007754D">
        <w:rPr>
          <w:color w:val="000000" w:themeColor="text1"/>
          <w:lang w:val="en-GB"/>
        </w:rPr>
        <w:t xml:space="preserve"> under Article 8),</w:t>
      </w:r>
      <w:r w:rsidR="000A464A" w:rsidRPr="0007754D">
        <w:rPr>
          <w:rStyle w:val="FootnoteReference"/>
          <w:color w:val="000000" w:themeColor="text1"/>
        </w:rPr>
        <w:footnoteReference w:id="101"/>
      </w:r>
      <w:r w:rsidR="000A464A" w:rsidRPr="0007754D">
        <w:rPr>
          <w:color w:val="000000" w:themeColor="text1"/>
          <w:lang w:val="en-GB"/>
        </w:rPr>
        <w:t xml:space="preserve"> </w:t>
      </w:r>
      <w:r w:rsidR="00966BDD" w:rsidRPr="0007754D">
        <w:rPr>
          <w:color w:val="000000" w:themeColor="text1"/>
          <w:lang w:val="en-GB"/>
        </w:rPr>
        <w:t xml:space="preserve">and </w:t>
      </w:r>
      <w:r w:rsidR="000A464A" w:rsidRPr="0007754D">
        <w:rPr>
          <w:color w:val="000000" w:themeColor="text1"/>
          <w:lang w:val="en-GB"/>
        </w:rPr>
        <w:t>guided its reasoning with</w:t>
      </w:r>
      <w:r w:rsidR="00433184" w:rsidRPr="0007754D">
        <w:rPr>
          <w:color w:val="000000" w:themeColor="text1"/>
          <w:lang w:val="en-GB"/>
        </w:rPr>
        <w:t xml:space="preserve"> evidence-led findings. However, in the similar case of </w:t>
      </w:r>
      <w:r w:rsidR="00433184" w:rsidRPr="0007754D">
        <w:rPr>
          <w:i/>
          <w:color w:val="000000" w:themeColor="text1"/>
          <w:lang w:val="en-GB"/>
        </w:rPr>
        <w:t xml:space="preserve">Dubská and Krejzová v the Czech Republic </w:t>
      </w:r>
      <w:r w:rsidR="00433184" w:rsidRPr="0007754D">
        <w:rPr>
          <w:color w:val="000000" w:themeColor="text1"/>
          <w:lang w:val="en-GB"/>
        </w:rPr>
        <w:t>(2016),</w:t>
      </w:r>
      <w:r w:rsidR="00567F75" w:rsidRPr="0007754D">
        <w:rPr>
          <w:rStyle w:val="FootnoteReference"/>
          <w:color w:val="000000" w:themeColor="text1"/>
        </w:rPr>
        <w:footnoteReference w:id="102"/>
      </w:r>
      <w:r w:rsidR="00567F75" w:rsidRPr="0007754D">
        <w:rPr>
          <w:color w:val="000000" w:themeColor="text1"/>
          <w:lang w:val="en-GB"/>
        </w:rPr>
        <w:t xml:space="preserve"> </w:t>
      </w:r>
      <w:r w:rsidR="00433184" w:rsidRPr="0007754D">
        <w:rPr>
          <w:color w:val="000000" w:themeColor="text1"/>
          <w:lang w:val="en-GB"/>
        </w:rPr>
        <w:t xml:space="preserve">the ECtHR ruled differently. In this case, the applicants also claimed that the domestic legislation dissuaded health professionals from assisting them in giving birth at home, </w:t>
      </w:r>
      <w:r w:rsidR="00F724C9" w:rsidRPr="0007754D">
        <w:rPr>
          <w:color w:val="000000" w:themeColor="text1"/>
          <w:lang w:val="en-GB"/>
        </w:rPr>
        <w:t xml:space="preserve">resulting in a breach of Article 8. </w:t>
      </w:r>
      <w:r w:rsidR="00433184" w:rsidRPr="0007754D">
        <w:rPr>
          <w:color w:val="000000" w:themeColor="text1"/>
          <w:lang w:val="en-GB"/>
        </w:rPr>
        <w:t>However, the ECtHR did n</w:t>
      </w:r>
      <w:r w:rsidR="00876D17" w:rsidRPr="0007754D">
        <w:rPr>
          <w:color w:val="000000" w:themeColor="text1"/>
          <w:lang w:val="en-GB"/>
        </w:rPr>
        <w:t>ot hold a violation of their</w:t>
      </w:r>
      <w:r w:rsidR="00433184" w:rsidRPr="0007754D">
        <w:rPr>
          <w:color w:val="000000" w:themeColor="text1"/>
          <w:lang w:val="en-GB"/>
        </w:rPr>
        <w:t xml:space="preserve"> right</w:t>
      </w:r>
      <w:r w:rsidR="00876D17" w:rsidRPr="0007754D">
        <w:rPr>
          <w:color w:val="000000" w:themeColor="text1"/>
          <w:lang w:val="en-GB"/>
        </w:rPr>
        <w:t xml:space="preserve"> to private life</w:t>
      </w:r>
      <w:r w:rsidR="00433184" w:rsidRPr="0007754D">
        <w:rPr>
          <w:i/>
          <w:color w:val="000000" w:themeColor="text1"/>
          <w:lang w:val="en-GB"/>
        </w:rPr>
        <w:t>.</w:t>
      </w:r>
      <w:r w:rsidR="009E2DCA" w:rsidRPr="0007754D">
        <w:rPr>
          <w:rStyle w:val="FootnoteReference"/>
          <w:color w:val="000000" w:themeColor="text1"/>
        </w:rPr>
        <w:footnoteReference w:id="103"/>
      </w:r>
      <w:r w:rsidR="00433184" w:rsidRPr="0007754D">
        <w:rPr>
          <w:i/>
          <w:color w:val="000000" w:themeColor="text1"/>
          <w:lang w:val="en-GB"/>
        </w:rPr>
        <w:t xml:space="preserve"> </w:t>
      </w:r>
      <w:r w:rsidR="00433184" w:rsidRPr="0007754D">
        <w:rPr>
          <w:color w:val="000000" w:themeColor="text1"/>
          <w:lang w:val="en-GB"/>
        </w:rPr>
        <w:t>The Court studied the findings of the International Study Group of the World</w:t>
      </w:r>
      <w:r w:rsidR="00876D17" w:rsidRPr="0007754D">
        <w:rPr>
          <w:color w:val="000000" w:themeColor="text1"/>
          <w:lang w:val="en-GB"/>
        </w:rPr>
        <w:t xml:space="preserve"> Association of Perinatal Medici</w:t>
      </w:r>
      <w:r w:rsidR="00433184" w:rsidRPr="0007754D">
        <w:rPr>
          <w:color w:val="000000" w:themeColor="text1"/>
          <w:lang w:val="en-GB"/>
        </w:rPr>
        <w:t xml:space="preserve">ne, </w:t>
      </w:r>
      <w:r w:rsidR="00876D17" w:rsidRPr="0007754D">
        <w:rPr>
          <w:color w:val="000000" w:themeColor="text1"/>
          <w:lang w:val="en-GB"/>
        </w:rPr>
        <w:t>which stressed that homebirths involved ‘</w:t>
      </w:r>
      <w:r w:rsidR="00433184" w:rsidRPr="0007754D">
        <w:rPr>
          <w:i/>
          <w:color w:val="000000" w:themeColor="text1"/>
          <w:lang w:val="en-GB"/>
        </w:rPr>
        <w:t>unnecessary, preventable increased risks to the newborn and the mother</w:t>
      </w:r>
      <w:r w:rsidR="00876D17" w:rsidRPr="0007754D">
        <w:rPr>
          <w:color w:val="000000" w:themeColor="text1"/>
          <w:lang w:val="en-GB"/>
        </w:rPr>
        <w:t xml:space="preserve">’, </w:t>
      </w:r>
      <w:r w:rsidR="00433184" w:rsidRPr="0007754D">
        <w:rPr>
          <w:color w:val="000000" w:themeColor="text1"/>
          <w:lang w:val="en-GB"/>
        </w:rPr>
        <w:t>and were often coupled with transportation to the nearest hospital.</w:t>
      </w:r>
      <w:r w:rsidR="00433184" w:rsidRPr="0007754D">
        <w:rPr>
          <w:rStyle w:val="FootnoteReference"/>
          <w:color w:val="000000" w:themeColor="text1"/>
        </w:rPr>
        <w:footnoteReference w:id="104"/>
      </w:r>
      <w:r w:rsidR="00433184" w:rsidRPr="0007754D">
        <w:rPr>
          <w:color w:val="000000" w:themeColor="text1"/>
          <w:lang w:val="en-GB"/>
        </w:rPr>
        <w:t xml:space="preserve"> </w:t>
      </w:r>
      <w:r w:rsidR="00A45B49" w:rsidRPr="0007754D">
        <w:rPr>
          <w:color w:val="000000" w:themeColor="text1"/>
          <w:lang w:val="en-GB"/>
        </w:rPr>
        <w:t>By doing so, the Court legitimately attempted to assess whether the interference with applicants’ right to private life was proportionate to the aim pursued, i.e. the protection of their health.</w:t>
      </w:r>
      <w:r w:rsidR="00A45B49" w:rsidRPr="0007754D">
        <w:rPr>
          <w:rStyle w:val="FootnoteReference"/>
          <w:color w:val="000000" w:themeColor="text1"/>
        </w:rPr>
        <w:footnoteReference w:id="105"/>
      </w:r>
      <w:r w:rsidR="00A45B49" w:rsidRPr="0007754D">
        <w:rPr>
          <w:color w:val="000000" w:themeColor="text1"/>
          <w:lang w:val="en-GB"/>
        </w:rPr>
        <w:t xml:space="preserve"> While this article does not necessarily criticise the outcome of this decision, it highlights various deficiencies in the Court’s rationale. </w:t>
      </w:r>
      <w:r w:rsidR="00433184" w:rsidRPr="0007754D">
        <w:rPr>
          <w:color w:val="000000" w:themeColor="text1"/>
          <w:lang w:val="en-GB"/>
        </w:rPr>
        <w:t>Firstly, the ECtHR</w:t>
      </w:r>
      <w:r w:rsidR="00AD557A" w:rsidRPr="0007754D">
        <w:rPr>
          <w:color w:val="000000" w:themeColor="text1"/>
          <w:lang w:val="en-GB"/>
        </w:rPr>
        <w:t xml:space="preserve"> regularly refers</w:t>
      </w:r>
      <w:r w:rsidR="00433184" w:rsidRPr="0007754D">
        <w:rPr>
          <w:color w:val="000000" w:themeColor="text1"/>
          <w:lang w:val="en-GB"/>
        </w:rPr>
        <w:t xml:space="preserve"> to the ‘child’ </w:t>
      </w:r>
      <w:r w:rsidR="00AD557A" w:rsidRPr="0007754D">
        <w:rPr>
          <w:color w:val="000000" w:themeColor="text1"/>
          <w:lang w:val="en-GB"/>
        </w:rPr>
        <w:t>in its decision, and even assesses</w:t>
      </w:r>
      <w:r w:rsidR="00433184" w:rsidRPr="0007754D">
        <w:rPr>
          <w:color w:val="000000" w:themeColor="text1"/>
          <w:lang w:val="en-GB"/>
        </w:rPr>
        <w:t xml:space="preserve"> provisions</w:t>
      </w:r>
      <w:r w:rsidR="00AD557A" w:rsidRPr="0007754D">
        <w:rPr>
          <w:color w:val="000000" w:themeColor="text1"/>
          <w:lang w:val="en-GB"/>
        </w:rPr>
        <w:t xml:space="preserve"> of the</w:t>
      </w:r>
      <w:r w:rsidR="00433184" w:rsidRPr="0007754D">
        <w:rPr>
          <w:color w:val="000000" w:themeColor="text1"/>
          <w:lang w:val="en-GB"/>
        </w:rPr>
        <w:t xml:space="preserve"> </w:t>
      </w:r>
      <w:r w:rsidR="00AD557A" w:rsidRPr="0007754D">
        <w:rPr>
          <w:color w:val="000000" w:themeColor="text1"/>
          <w:lang w:val="en-GB"/>
        </w:rPr>
        <w:t>UN Convention on the Rights of the Child regarding</w:t>
      </w:r>
      <w:r w:rsidR="00433184" w:rsidRPr="0007754D">
        <w:rPr>
          <w:color w:val="000000" w:themeColor="text1"/>
          <w:lang w:val="en-GB"/>
        </w:rPr>
        <w:t xml:space="preserve"> children’s best interests and</w:t>
      </w:r>
      <w:r w:rsidR="00AD557A" w:rsidRPr="0007754D">
        <w:rPr>
          <w:color w:val="000000" w:themeColor="text1"/>
          <w:lang w:val="en-GB"/>
        </w:rPr>
        <w:t xml:space="preserve"> </w:t>
      </w:r>
      <w:r w:rsidR="00433184" w:rsidRPr="0007754D">
        <w:rPr>
          <w:color w:val="000000" w:themeColor="text1"/>
          <w:lang w:val="en-GB"/>
        </w:rPr>
        <w:t>right to health.</w:t>
      </w:r>
      <w:r w:rsidR="00433184" w:rsidRPr="0007754D">
        <w:rPr>
          <w:rStyle w:val="FootnoteReference"/>
          <w:color w:val="000000" w:themeColor="text1"/>
        </w:rPr>
        <w:footnoteReference w:id="106"/>
      </w:r>
      <w:r w:rsidR="00433184" w:rsidRPr="0007754D">
        <w:rPr>
          <w:color w:val="000000" w:themeColor="text1"/>
          <w:lang w:val="en-GB"/>
        </w:rPr>
        <w:t xml:space="preserve"> While labour is the crucial moment following which the unborn </w:t>
      </w:r>
      <w:r w:rsidR="00AD557A" w:rsidRPr="0007754D">
        <w:rPr>
          <w:color w:val="000000" w:themeColor="text1"/>
          <w:lang w:val="en-GB"/>
        </w:rPr>
        <w:t xml:space="preserve">becomes </w:t>
      </w:r>
      <w:r w:rsidR="00433184" w:rsidRPr="0007754D">
        <w:rPr>
          <w:color w:val="000000" w:themeColor="text1"/>
          <w:lang w:val="en-GB"/>
        </w:rPr>
        <w:t>the new-bor</w:t>
      </w:r>
      <w:r w:rsidR="00AD557A" w:rsidRPr="0007754D">
        <w:rPr>
          <w:color w:val="000000" w:themeColor="text1"/>
          <w:lang w:val="en-GB"/>
        </w:rPr>
        <w:t>n, it is unclear at which stage</w:t>
      </w:r>
      <w:r w:rsidR="000E4915" w:rsidRPr="0007754D">
        <w:rPr>
          <w:color w:val="000000" w:themeColor="text1"/>
          <w:lang w:val="en-GB"/>
        </w:rPr>
        <w:t xml:space="preserve"> the ECtHR considers human rights to be relevant</w:t>
      </w:r>
      <w:r w:rsidR="00AD557A" w:rsidRPr="0007754D">
        <w:rPr>
          <w:color w:val="000000" w:themeColor="text1"/>
          <w:lang w:val="en-GB"/>
        </w:rPr>
        <w:t>.</w:t>
      </w:r>
      <w:r w:rsidR="000E4915" w:rsidRPr="0007754D">
        <w:rPr>
          <w:color w:val="000000" w:themeColor="text1"/>
          <w:lang w:val="en-GB"/>
        </w:rPr>
        <w:t xml:space="preserve"> </w:t>
      </w:r>
      <w:r w:rsidR="00433184" w:rsidRPr="0007754D">
        <w:rPr>
          <w:color w:val="000000" w:themeColor="text1"/>
          <w:lang w:val="en-GB"/>
        </w:rPr>
        <w:t xml:space="preserve">Secondly, </w:t>
      </w:r>
      <w:r w:rsidR="000E4915" w:rsidRPr="0007754D">
        <w:rPr>
          <w:color w:val="000000" w:themeColor="text1"/>
          <w:lang w:val="en-GB"/>
        </w:rPr>
        <w:t xml:space="preserve">the </w:t>
      </w:r>
      <w:r w:rsidR="00554E44" w:rsidRPr="0007754D">
        <w:rPr>
          <w:color w:val="000000" w:themeColor="text1"/>
          <w:lang w:val="en-GB"/>
        </w:rPr>
        <w:t xml:space="preserve">Court </w:t>
      </w:r>
      <w:r w:rsidR="00433184" w:rsidRPr="0007754D">
        <w:rPr>
          <w:color w:val="000000" w:themeColor="text1"/>
          <w:lang w:val="en-GB"/>
        </w:rPr>
        <w:t>uses health considerations and</w:t>
      </w:r>
      <w:r w:rsidR="00554E44" w:rsidRPr="0007754D">
        <w:rPr>
          <w:color w:val="000000" w:themeColor="text1"/>
          <w:lang w:val="en-GB"/>
        </w:rPr>
        <w:t xml:space="preserve"> health</w:t>
      </w:r>
      <w:r w:rsidR="00433184" w:rsidRPr="0007754D">
        <w:rPr>
          <w:color w:val="000000" w:themeColor="text1"/>
          <w:lang w:val="en-GB"/>
        </w:rPr>
        <w:t xml:space="preserve"> rights to prioritise women’s and the unborn’s health, over women’s choices regarding their own SRH.</w:t>
      </w:r>
      <w:r w:rsidR="00433184" w:rsidRPr="0007754D">
        <w:rPr>
          <w:rStyle w:val="FootnoteReference"/>
          <w:color w:val="000000" w:themeColor="text1"/>
        </w:rPr>
        <w:footnoteReference w:id="107"/>
      </w:r>
      <w:r w:rsidR="00433184" w:rsidRPr="0007754D">
        <w:rPr>
          <w:color w:val="000000" w:themeColor="text1"/>
          <w:lang w:val="en-GB"/>
        </w:rPr>
        <w:t xml:space="preserve"> C</w:t>
      </w:r>
      <w:r w:rsidR="00FD71F3" w:rsidRPr="0007754D">
        <w:rPr>
          <w:color w:val="000000" w:themeColor="text1"/>
          <w:lang w:val="en-GB"/>
        </w:rPr>
        <w:t xml:space="preserve">onsidering that SRH encompasses maternal </w:t>
      </w:r>
      <w:r w:rsidR="00433184" w:rsidRPr="0007754D">
        <w:rPr>
          <w:color w:val="000000" w:themeColor="text1"/>
          <w:lang w:val="en-GB"/>
        </w:rPr>
        <w:t xml:space="preserve">and </w:t>
      </w:r>
      <w:r w:rsidR="00FD71F3" w:rsidRPr="0007754D">
        <w:rPr>
          <w:color w:val="000000" w:themeColor="text1"/>
          <w:lang w:val="en-GB"/>
        </w:rPr>
        <w:t>new-born</w:t>
      </w:r>
      <w:r w:rsidR="00433184" w:rsidRPr="0007754D">
        <w:rPr>
          <w:color w:val="000000" w:themeColor="text1"/>
          <w:lang w:val="en-GB"/>
        </w:rPr>
        <w:t xml:space="preserve"> care according to the WHO</w:t>
      </w:r>
      <w:r w:rsidR="00FD71F3" w:rsidRPr="0007754D">
        <w:rPr>
          <w:color w:val="000000" w:themeColor="text1"/>
          <w:lang w:val="en-GB"/>
        </w:rPr>
        <w:t xml:space="preserve"> strategy</w:t>
      </w:r>
      <w:r w:rsidR="00433184" w:rsidRPr="0007754D">
        <w:rPr>
          <w:color w:val="000000" w:themeColor="text1"/>
          <w:lang w:val="en-GB"/>
        </w:rPr>
        <w:t>,</w:t>
      </w:r>
      <w:r w:rsidR="00433184" w:rsidRPr="0007754D">
        <w:rPr>
          <w:rStyle w:val="FootnoteReference"/>
          <w:color w:val="000000" w:themeColor="text1"/>
        </w:rPr>
        <w:footnoteReference w:id="108"/>
      </w:r>
      <w:r w:rsidR="00433184" w:rsidRPr="0007754D">
        <w:rPr>
          <w:color w:val="000000" w:themeColor="text1"/>
          <w:lang w:val="en-GB"/>
        </w:rPr>
        <w:t xml:space="preserve"> this raises a fundamental question: to what extent should</w:t>
      </w:r>
      <w:r w:rsidR="00FD71F3" w:rsidRPr="0007754D">
        <w:rPr>
          <w:color w:val="000000" w:themeColor="text1"/>
          <w:lang w:val="en-GB"/>
        </w:rPr>
        <w:t xml:space="preserve"> </w:t>
      </w:r>
      <w:r w:rsidR="00C84423" w:rsidRPr="0007754D">
        <w:rPr>
          <w:color w:val="000000" w:themeColor="text1"/>
          <w:lang w:val="en-GB"/>
        </w:rPr>
        <w:t>maternal health</w:t>
      </w:r>
      <w:r w:rsidR="00433184" w:rsidRPr="0007754D">
        <w:rPr>
          <w:color w:val="000000" w:themeColor="text1"/>
          <w:lang w:val="en-GB"/>
        </w:rPr>
        <w:t xml:space="preserve"> prevail over </w:t>
      </w:r>
      <w:r w:rsidR="00C84423" w:rsidRPr="0007754D">
        <w:rPr>
          <w:color w:val="000000" w:themeColor="text1"/>
          <w:lang w:val="en-GB"/>
        </w:rPr>
        <w:t>women</w:t>
      </w:r>
      <w:r w:rsidR="00FD71F3" w:rsidRPr="0007754D">
        <w:rPr>
          <w:color w:val="000000" w:themeColor="text1"/>
          <w:lang w:val="en-GB"/>
        </w:rPr>
        <w:t>’</w:t>
      </w:r>
      <w:r w:rsidR="00C84423" w:rsidRPr="0007754D">
        <w:rPr>
          <w:color w:val="000000" w:themeColor="text1"/>
          <w:lang w:val="en-GB"/>
        </w:rPr>
        <w:t>s</w:t>
      </w:r>
      <w:r w:rsidR="00FD71F3" w:rsidRPr="0007754D">
        <w:rPr>
          <w:color w:val="000000" w:themeColor="text1"/>
          <w:lang w:val="en-GB"/>
        </w:rPr>
        <w:t xml:space="preserve"> </w:t>
      </w:r>
      <w:r w:rsidR="00433184" w:rsidRPr="0007754D">
        <w:rPr>
          <w:color w:val="000000" w:themeColor="text1"/>
          <w:lang w:val="en-GB"/>
        </w:rPr>
        <w:t>choice</w:t>
      </w:r>
      <w:r w:rsidR="00FD71F3" w:rsidRPr="0007754D">
        <w:rPr>
          <w:color w:val="000000" w:themeColor="text1"/>
          <w:lang w:val="en-GB"/>
        </w:rPr>
        <w:t>s</w:t>
      </w:r>
      <w:r w:rsidR="00433184" w:rsidRPr="0007754D">
        <w:rPr>
          <w:color w:val="000000" w:themeColor="text1"/>
          <w:lang w:val="en-GB"/>
        </w:rPr>
        <w:t xml:space="preserve">? Finally, the ECtHR refers to the absence of a European consensus in order to justify </w:t>
      </w:r>
      <w:r w:rsidR="00C84423" w:rsidRPr="0007754D">
        <w:rPr>
          <w:color w:val="000000" w:themeColor="text1"/>
          <w:lang w:val="en-GB"/>
        </w:rPr>
        <w:t xml:space="preserve">its decision to grant the authorities </w:t>
      </w:r>
      <w:r w:rsidR="00433184" w:rsidRPr="0007754D">
        <w:rPr>
          <w:color w:val="000000" w:themeColor="text1"/>
          <w:lang w:val="en-GB"/>
        </w:rPr>
        <w:t>a wider margin of appreciation.</w:t>
      </w:r>
      <w:r w:rsidR="00433184" w:rsidRPr="0007754D">
        <w:rPr>
          <w:rStyle w:val="FootnoteReference"/>
          <w:color w:val="000000" w:themeColor="text1"/>
        </w:rPr>
        <w:footnoteReference w:id="109"/>
      </w:r>
      <w:r w:rsidR="00433184" w:rsidRPr="0007754D">
        <w:rPr>
          <w:color w:val="000000" w:themeColor="text1"/>
          <w:lang w:val="en-GB"/>
        </w:rPr>
        <w:t xml:space="preserve"> The Court’s reliance on a cultural relativist approach is deeply problematic in the light of its capacity as human rights body and protector. This particularly calls into question its ability to protect SRH</w:t>
      </w:r>
      <w:r w:rsidR="00F16A09" w:rsidRPr="0007754D">
        <w:rPr>
          <w:color w:val="000000" w:themeColor="text1"/>
          <w:lang w:val="en-GB"/>
        </w:rPr>
        <w:t>,</w:t>
      </w:r>
      <w:r w:rsidR="00433184" w:rsidRPr="0007754D">
        <w:rPr>
          <w:color w:val="000000" w:themeColor="text1"/>
          <w:lang w:val="en-GB"/>
        </w:rPr>
        <w:t xml:space="preserve"> an aspect of health often fac</w:t>
      </w:r>
      <w:r w:rsidR="00F16A09" w:rsidRPr="0007754D">
        <w:rPr>
          <w:color w:val="000000" w:themeColor="text1"/>
          <w:lang w:val="en-GB"/>
        </w:rPr>
        <w:t>ing</w:t>
      </w:r>
      <w:r w:rsidR="00433184" w:rsidRPr="0007754D">
        <w:rPr>
          <w:color w:val="000000" w:themeColor="text1"/>
          <w:lang w:val="en-GB"/>
        </w:rPr>
        <w:t xml:space="preserve"> challenges embedded in religious, cultural and societal values. However, it is worth noting that neither the WHO </w:t>
      </w:r>
      <w:r w:rsidR="00400789" w:rsidRPr="0007754D">
        <w:rPr>
          <w:color w:val="000000" w:themeColor="text1"/>
          <w:lang w:val="en-GB"/>
        </w:rPr>
        <w:t>strategy</w:t>
      </w:r>
      <w:r w:rsidR="00433184" w:rsidRPr="0007754D">
        <w:rPr>
          <w:color w:val="000000" w:themeColor="text1"/>
          <w:lang w:val="en-GB"/>
        </w:rPr>
        <w:t xml:space="preserve"> nor UN</w:t>
      </w:r>
      <w:r w:rsidR="00400789" w:rsidRPr="0007754D">
        <w:rPr>
          <w:color w:val="000000" w:themeColor="text1"/>
          <w:lang w:val="en-GB"/>
        </w:rPr>
        <w:t>CESCR GC22</w:t>
      </w:r>
      <w:r w:rsidR="00433184" w:rsidRPr="0007754D">
        <w:rPr>
          <w:color w:val="000000" w:themeColor="text1"/>
          <w:lang w:val="en-GB"/>
        </w:rPr>
        <w:t xml:space="preserve"> consider that women’s choice to give</w:t>
      </w:r>
      <w:r w:rsidR="00713304" w:rsidRPr="0007754D">
        <w:rPr>
          <w:color w:val="000000" w:themeColor="text1"/>
          <w:lang w:val="en-GB"/>
        </w:rPr>
        <w:t xml:space="preserve"> birth at home is core to SRH. </w:t>
      </w:r>
    </w:p>
    <w:p w14:paraId="13E085F6" w14:textId="4B825EDC" w:rsidR="003257B4" w:rsidRPr="0007754D" w:rsidRDefault="003257B4" w:rsidP="006838D0">
      <w:pPr>
        <w:spacing w:before="240" w:line="276" w:lineRule="auto"/>
        <w:jc w:val="both"/>
        <w:rPr>
          <w:color w:val="000000" w:themeColor="text1"/>
          <w:lang w:val="en-GB"/>
        </w:rPr>
      </w:pPr>
      <w:r w:rsidRPr="0007754D">
        <w:rPr>
          <w:color w:val="000000" w:themeColor="text1"/>
          <w:lang w:val="en-GB"/>
        </w:rPr>
        <w:t xml:space="preserve">Most of the Court’s SRH case-law under Article 8 ECHR involves </w:t>
      </w:r>
      <w:r w:rsidR="00C84423" w:rsidRPr="0007754D">
        <w:rPr>
          <w:color w:val="000000" w:themeColor="text1"/>
          <w:lang w:val="en-GB"/>
        </w:rPr>
        <w:t xml:space="preserve">(cis) </w:t>
      </w:r>
      <w:r w:rsidRPr="0007754D">
        <w:rPr>
          <w:color w:val="000000" w:themeColor="text1"/>
          <w:lang w:val="en-GB"/>
        </w:rPr>
        <w:t xml:space="preserve">women, </w:t>
      </w:r>
      <w:r w:rsidR="00C84423" w:rsidRPr="0007754D">
        <w:rPr>
          <w:color w:val="000000" w:themeColor="text1"/>
          <w:lang w:val="en-GB"/>
        </w:rPr>
        <w:t>with</w:t>
      </w:r>
      <w:r w:rsidRPr="0007754D">
        <w:rPr>
          <w:color w:val="000000" w:themeColor="text1"/>
          <w:lang w:val="en-GB"/>
        </w:rPr>
        <w:t xml:space="preserve"> the exception of </w:t>
      </w:r>
      <w:r w:rsidR="00CE054E" w:rsidRPr="0007754D">
        <w:rPr>
          <w:color w:val="000000" w:themeColor="text1"/>
          <w:lang w:val="en-GB"/>
        </w:rPr>
        <w:t xml:space="preserve">several </w:t>
      </w:r>
      <w:r w:rsidRPr="0007754D">
        <w:rPr>
          <w:color w:val="000000" w:themeColor="text1"/>
          <w:lang w:val="en-GB"/>
        </w:rPr>
        <w:t>cases involving transgender persons’ rights to ac</w:t>
      </w:r>
      <w:r w:rsidR="00C84423" w:rsidRPr="0007754D">
        <w:rPr>
          <w:color w:val="000000" w:themeColor="text1"/>
          <w:lang w:val="en-GB"/>
        </w:rPr>
        <w:t>cess gender reassignment surger</w:t>
      </w:r>
      <w:r w:rsidR="004A419C" w:rsidRPr="0007754D">
        <w:rPr>
          <w:color w:val="000000" w:themeColor="text1"/>
          <w:lang w:val="en-GB"/>
        </w:rPr>
        <w:t>y</w:t>
      </w:r>
      <w:r w:rsidRPr="0007754D">
        <w:rPr>
          <w:color w:val="000000" w:themeColor="text1"/>
          <w:lang w:val="en-GB"/>
        </w:rPr>
        <w:t>. This has given the ECtHR an opportunity to protect w</w:t>
      </w:r>
      <w:r w:rsidR="00EE061B" w:rsidRPr="0007754D">
        <w:rPr>
          <w:color w:val="000000" w:themeColor="text1"/>
          <w:lang w:val="en-GB"/>
        </w:rPr>
        <w:t xml:space="preserve">omen’s particular needs regarding their SRH autonomy. </w:t>
      </w:r>
      <w:r w:rsidR="00CE054E" w:rsidRPr="0007754D">
        <w:rPr>
          <w:color w:val="000000" w:themeColor="text1"/>
          <w:lang w:val="en-GB"/>
        </w:rPr>
        <w:t xml:space="preserve">The ECtHR has consistently held a breach of their right to private life in cases </w:t>
      </w:r>
      <w:r w:rsidR="00DB0066" w:rsidRPr="0007754D">
        <w:rPr>
          <w:color w:val="000000" w:themeColor="text1"/>
          <w:lang w:val="en-GB"/>
        </w:rPr>
        <w:t>involving forced sterilisations</w:t>
      </w:r>
      <w:r w:rsidR="00CE054E" w:rsidRPr="0007754D">
        <w:rPr>
          <w:color w:val="000000" w:themeColor="text1"/>
          <w:lang w:val="en-GB"/>
        </w:rPr>
        <w:t xml:space="preserve"> </w:t>
      </w:r>
      <w:r w:rsidR="00DB0066" w:rsidRPr="0007754D">
        <w:rPr>
          <w:color w:val="000000" w:themeColor="text1"/>
          <w:lang w:val="en-GB"/>
        </w:rPr>
        <w:t xml:space="preserve">or </w:t>
      </w:r>
      <w:r w:rsidR="00CE054E" w:rsidRPr="0007754D">
        <w:rPr>
          <w:color w:val="000000" w:themeColor="text1"/>
          <w:lang w:val="en-GB"/>
        </w:rPr>
        <w:t xml:space="preserve">obstetric and gynaecological malpractice. However, it has been more hesitant in cases involving abortions and homebirths, by prioritising states’ margin of appreciation and European consensus over women’s </w:t>
      </w:r>
      <w:r w:rsidR="00EE061B" w:rsidRPr="0007754D">
        <w:rPr>
          <w:color w:val="000000" w:themeColor="text1"/>
          <w:lang w:val="en-GB"/>
        </w:rPr>
        <w:t>choices</w:t>
      </w:r>
      <w:r w:rsidR="00CE054E" w:rsidRPr="0007754D">
        <w:rPr>
          <w:color w:val="000000" w:themeColor="text1"/>
          <w:lang w:val="en-GB"/>
        </w:rPr>
        <w:t>. Therefore and alike the Court’</w:t>
      </w:r>
      <w:r w:rsidR="00F74CF6" w:rsidRPr="0007754D">
        <w:rPr>
          <w:color w:val="000000" w:themeColor="text1"/>
          <w:lang w:val="en-GB"/>
        </w:rPr>
        <w:t>s SRH case-law under Article 3,</w:t>
      </w:r>
      <w:r w:rsidR="00CE054E" w:rsidRPr="0007754D">
        <w:rPr>
          <w:color w:val="000000" w:themeColor="text1"/>
          <w:lang w:val="en-GB"/>
        </w:rPr>
        <w:t xml:space="preserve"> the</w:t>
      </w:r>
      <w:r w:rsidR="00F74CF6" w:rsidRPr="0007754D">
        <w:rPr>
          <w:color w:val="000000" w:themeColor="text1"/>
          <w:lang w:val="en-GB"/>
        </w:rPr>
        <w:t xml:space="preserve"> jurisprudence of the</w:t>
      </w:r>
      <w:r w:rsidR="00CE054E" w:rsidRPr="0007754D">
        <w:rPr>
          <w:color w:val="000000" w:themeColor="text1"/>
          <w:lang w:val="en-GB"/>
        </w:rPr>
        <w:t xml:space="preserve"> Court under Article 8 remains conservative. It strongly protects women’s SRH in their decisions to reproduce, but is more hesitant when a foetus is at stake.</w:t>
      </w:r>
    </w:p>
    <w:p w14:paraId="6FC1AC69" w14:textId="38B61155" w:rsidR="006838D0" w:rsidRPr="0007754D" w:rsidRDefault="006838D0" w:rsidP="00433184">
      <w:pPr>
        <w:spacing w:line="276" w:lineRule="auto"/>
        <w:jc w:val="both"/>
        <w:rPr>
          <w:color w:val="000000" w:themeColor="text1"/>
          <w:lang w:val="en-GB"/>
        </w:rPr>
      </w:pPr>
    </w:p>
    <w:p w14:paraId="599BD5FD" w14:textId="77777777" w:rsidR="00745B61" w:rsidRPr="0007754D" w:rsidRDefault="00745B61" w:rsidP="00AD6748">
      <w:pPr>
        <w:spacing w:line="276" w:lineRule="auto"/>
        <w:jc w:val="both"/>
        <w:rPr>
          <w:b/>
          <w:color w:val="000000" w:themeColor="text1"/>
          <w:lang w:val="en-GB"/>
        </w:rPr>
        <w:sectPr w:rsidR="00745B61" w:rsidRPr="0007754D" w:rsidSect="00EE2993">
          <w:footerReference w:type="even" r:id="rId8"/>
          <w:footerReference w:type="default" r:id="rId9"/>
          <w:pgSz w:w="11900" w:h="16840"/>
          <w:pgMar w:top="1440" w:right="1800" w:bottom="1440" w:left="1800" w:header="708" w:footer="708" w:gutter="0"/>
          <w:cols w:space="708"/>
          <w:docGrid w:linePitch="360"/>
        </w:sectPr>
      </w:pPr>
    </w:p>
    <w:p w14:paraId="3EE16B8A" w14:textId="7C4F056B" w:rsidR="00840E75" w:rsidRPr="0007754D" w:rsidRDefault="00745B61" w:rsidP="001A3BE7">
      <w:pPr>
        <w:pStyle w:val="Heading1"/>
        <w:numPr>
          <w:ilvl w:val="0"/>
          <w:numId w:val="31"/>
        </w:numPr>
        <w:spacing w:line="276" w:lineRule="auto"/>
        <w:jc w:val="both"/>
        <w:rPr>
          <w:rFonts w:asciiTheme="minorHAnsi" w:hAnsiTheme="minorHAnsi"/>
          <w:color w:val="000000" w:themeColor="text1"/>
          <w:lang w:val="en-GB"/>
        </w:rPr>
      </w:pPr>
      <w:r w:rsidRPr="0007754D">
        <w:rPr>
          <w:rFonts w:asciiTheme="minorHAnsi" w:hAnsiTheme="minorHAnsi"/>
          <w:color w:val="000000" w:themeColor="text1"/>
          <w:lang w:val="en-GB"/>
        </w:rPr>
        <w:t xml:space="preserve">Attempts </w:t>
      </w:r>
      <w:r w:rsidR="003971AF" w:rsidRPr="0007754D">
        <w:rPr>
          <w:rFonts w:asciiTheme="minorHAnsi" w:hAnsiTheme="minorHAnsi"/>
          <w:color w:val="000000" w:themeColor="text1"/>
          <w:lang w:val="en-GB"/>
        </w:rPr>
        <w:t xml:space="preserve">of </w:t>
      </w:r>
      <w:r w:rsidRPr="0007754D">
        <w:rPr>
          <w:rFonts w:asciiTheme="minorHAnsi" w:hAnsiTheme="minorHAnsi"/>
          <w:color w:val="000000" w:themeColor="text1"/>
          <w:lang w:val="en-GB"/>
        </w:rPr>
        <w:t>the European Committee of Social Rights</w:t>
      </w:r>
      <w:r w:rsidR="00142205" w:rsidRPr="0007754D">
        <w:rPr>
          <w:rFonts w:asciiTheme="minorHAnsi" w:hAnsiTheme="minorHAnsi"/>
          <w:color w:val="000000" w:themeColor="text1"/>
          <w:lang w:val="en-GB"/>
        </w:rPr>
        <w:t xml:space="preserve"> to </w:t>
      </w:r>
      <w:r w:rsidR="00AB398B" w:rsidRPr="0007754D">
        <w:rPr>
          <w:rFonts w:asciiTheme="minorHAnsi" w:hAnsiTheme="minorHAnsi"/>
          <w:color w:val="000000" w:themeColor="text1"/>
          <w:lang w:val="en-GB"/>
        </w:rPr>
        <w:t>protect</w:t>
      </w:r>
      <w:r w:rsidR="00142205" w:rsidRPr="0007754D">
        <w:rPr>
          <w:rFonts w:asciiTheme="minorHAnsi" w:hAnsiTheme="minorHAnsi"/>
          <w:color w:val="000000" w:themeColor="text1"/>
          <w:lang w:val="en-GB"/>
        </w:rPr>
        <w:t xml:space="preserve"> sexual and reproductive health</w:t>
      </w:r>
      <w:r w:rsidR="00A9408D" w:rsidRPr="0007754D">
        <w:rPr>
          <w:rFonts w:asciiTheme="minorHAnsi" w:hAnsiTheme="minorHAnsi"/>
          <w:color w:val="000000" w:themeColor="text1"/>
          <w:lang w:val="en-GB"/>
        </w:rPr>
        <w:t xml:space="preserve"> </w:t>
      </w:r>
    </w:p>
    <w:p w14:paraId="3E264A0B" w14:textId="77777777" w:rsidR="00AD5CEB" w:rsidRPr="0007754D" w:rsidRDefault="00AD5CEB" w:rsidP="006908EB">
      <w:pPr>
        <w:spacing w:line="276" w:lineRule="auto"/>
        <w:jc w:val="both"/>
        <w:rPr>
          <w:b/>
          <w:color w:val="000000" w:themeColor="text1"/>
          <w:lang w:val="en-GB"/>
        </w:rPr>
      </w:pPr>
    </w:p>
    <w:p w14:paraId="095D9AAA" w14:textId="4B3F2270" w:rsidR="00FE4F88" w:rsidRPr="0007754D" w:rsidRDefault="00FE4F88" w:rsidP="000A0141">
      <w:pPr>
        <w:spacing w:line="276" w:lineRule="auto"/>
        <w:jc w:val="both"/>
        <w:rPr>
          <w:color w:val="000000" w:themeColor="text1"/>
          <w:lang w:val="en-GB"/>
        </w:rPr>
      </w:pPr>
      <w:r w:rsidRPr="0007754D">
        <w:rPr>
          <w:color w:val="000000" w:themeColor="text1"/>
          <w:lang w:val="en-GB"/>
        </w:rPr>
        <w:t>This section</w:t>
      </w:r>
      <w:r w:rsidR="00DB0066" w:rsidRPr="0007754D">
        <w:rPr>
          <w:color w:val="000000" w:themeColor="text1"/>
          <w:lang w:val="en-GB"/>
        </w:rPr>
        <w:t xml:space="preserve"> continues to</w:t>
      </w:r>
      <w:r w:rsidRPr="0007754D">
        <w:rPr>
          <w:color w:val="000000" w:themeColor="text1"/>
          <w:lang w:val="en-GB"/>
        </w:rPr>
        <w:t xml:space="preserve"> assess how European human rights law protects individuals’ SRH</w:t>
      </w:r>
      <w:r w:rsidR="00DB0066" w:rsidRPr="0007754D">
        <w:rPr>
          <w:color w:val="000000" w:themeColor="text1"/>
          <w:lang w:val="en-GB"/>
        </w:rPr>
        <w:t>,</w:t>
      </w:r>
      <w:r w:rsidRPr="0007754D">
        <w:rPr>
          <w:color w:val="000000" w:themeColor="text1"/>
          <w:lang w:val="en-GB"/>
        </w:rPr>
        <w:t xml:space="preserve"> by examining the potential of the ECoSR to do so in its monitoring procedures (i.e. reporting and collective complaints procedures</w:t>
      </w:r>
      <w:r w:rsidR="00DB0066" w:rsidRPr="0007754D">
        <w:rPr>
          <w:color w:val="000000" w:themeColor="text1"/>
          <w:lang w:val="en-GB"/>
        </w:rPr>
        <w:t>)</w:t>
      </w:r>
      <w:r w:rsidRPr="0007754D">
        <w:rPr>
          <w:color w:val="000000" w:themeColor="text1"/>
          <w:lang w:val="en-GB"/>
        </w:rPr>
        <w:t xml:space="preserve">. </w:t>
      </w:r>
      <w:r w:rsidR="005F4E9C" w:rsidRPr="0007754D">
        <w:rPr>
          <w:color w:val="000000" w:themeColor="text1"/>
          <w:lang w:val="en-GB"/>
        </w:rPr>
        <w:t>It is worth noting that the comments formulated by the Committee through both procedures are not legally binding.</w:t>
      </w:r>
      <w:r w:rsidR="00B519E6" w:rsidRPr="0007754D">
        <w:rPr>
          <w:color w:val="000000" w:themeColor="text1"/>
          <w:lang w:val="en-GB"/>
        </w:rPr>
        <w:t xml:space="preserve"> The Committee of Ministers of the Council of Europe can take recommendations when states do not comply with the ECoSR’s Conclusions (reporting procedure)</w:t>
      </w:r>
      <w:r w:rsidR="00BB4BA4" w:rsidRPr="0007754D">
        <w:rPr>
          <w:color w:val="000000" w:themeColor="text1"/>
          <w:lang w:val="en-GB"/>
        </w:rPr>
        <w:t>,</w:t>
      </w:r>
      <w:r w:rsidR="00BB4BA4" w:rsidRPr="0007754D">
        <w:rPr>
          <w:rStyle w:val="FootnoteReference"/>
          <w:color w:val="000000" w:themeColor="text1"/>
        </w:rPr>
        <w:footnoteReference w:id="110"/>
      </w:r>
      <w:r w:rsidR="00B519E6" w:rsidRPr="0007754D">
        <w:rPr>
          <w:color w:val="000000" w:themeColor="text1"/>
          <w:lang w:val="en-GB"/>
        </w:rPr>
        <w:t xml:space="preserve"> </w:t>
      </w:r>
      <w:r w:rsidR="0006603C" w:rsidRPr="0007754D">
        <w:rPr>
          <w:color w:val="000000" w:themeColor="text1"/>
          <w:lang w:val="en-GB"/>
        </w:rPr>
        <w:t xml:space="preserve">or </w:t>
      </w:r>
      <w:r w:rsidR="00BB4BA4" w:rsidRPr="0007754D">
        <w:rPr>
          <w:color w:val="000000" w:themeColor="text1"/>
          <w:lang w:val="en-GB"/>
        </w:rPr>
        <w:t xml:space="preserve">with the ECoSR’s </w:t>
      </w:r>
      <w:r w:rsidR="0006603C" w:rsidRPr="0007754D">
        <w:rPr>
          <w:color w:val="000000" w:themeColor="text1"/>
          <w:lang w:val="en-GB"/>
        </w:rPr>
        <w:t>Merits Decisions (c</w:t>
      </w:r>
      <w:r w:rsidR="00BB4BA4" w:rsidRPr="0007754D">
        <w:rPr>
          <w:color w:val="000000" w:themeColor="text1"/>
          <w:lang w:val="en-GB"/>
        </w:rPr>
        <w:t>ollective complaints procedure).</w:t>
      </w:r>
      <w:r w:rsidR="000A0141" w:rsidRPr="0007754D">
        <w:rPr>
          <w:rStyle w:val="FootnoteReference"/>
          <w:color w:val="000000" w:themeColor="text1"/>
        </w:rPr>
        <w:footnoteReference w:id="111"/>
      </w:r>
      <w:r w:rsidR="000A0141" w:rsidRPr="0007754D">
        <w:rPr>
          <w:color w:val="000000" w:themeColor="text1"/>
          <w:lang w:val="en-GB"/>
        </w:rPr>
        <w:t xml:space="preserve"> </w:t>
      </w:r>
      <w:r w:rsidR="00BB4BA4" w:rsidRPr="0007754D">
        <w:rPr>
          <w:color w:val="000000" w:themeColor="text1"/>
          <w:lang w:val="en-GB"/>
        </w:rPr>
        <w:t>However,</w:t>
      </w:r>
      <w:r w:rsidR="0006603C" w:rsidRPr="0007754D">
        <w:rPr>
          <w:color w:val="000000" w:themeColor="text1"/>
          <w:lang w:val="en-GB"/>
        </w:rPr>
        <w:t xml:space="preserve"> no </w:t>
      </w:r>
      <w:r w:rsidR="00BB4BA4" w:rsidRPr="0007754D">
        <w:rPr>
          <w:color w:val="000000" w:themeColor="text1"/>
          <w:lang w:val="en-GB"/>
        </w:rPr>
        <w:t>coercive measures seems available to ensure states’ compliance</w:t>
      </w:r>
      <w:r w:rsidR="0006603C" w:rsidRPr="0007754D">
        <w:rPr>
          <w:color w:val="000000" w:themeColor="text1"/>
          <w:lang w:val="en-GB"/>
        </w:rPr>
        <w:t>.</w:t>
      </w:r>
      <w:r w:rsidR="000A0141" w:rsidRPr="0007754D">
        <w:rPr>
          <w:color w:val="000000" w:themeColor="text1"/>
          <w:lang w:val="en-GB"/>
        </w:rPr>
        <w:t xml:space="preserve"> These element </w:t>
      </w:r>
      <w:r w:rsidR="007D1CDC" w:rsidRPr="0007754D">
        <w:rPr>
          <w:color w:val="000000" w:themeColor="text1"/>
          <w:lang w:val="en-GB"/>
        </w:rPr>
        <w:t>weaken</w:t>
      </w:r>
      <w:r w:rsidR="000A0141" w:rsidRPr="0007754D">
        <w:rPr>
          <w:color w:val="000000" w:themeColor="text1"/>
          <w:lang w:val="en-GB"/>
        </w:rPr>
        <w:t xml:space="preserve"> </w:t>
      </w:r>
      <w:r w:rsidR="007D1CDC" w:rsidRPr="0007754D">
        <w:rPr>
          <w:color w:val="000000" w:themeColor="text1"/>
          <w:lang w:val="en-GB"/>
        </w:rPr>
        <w:t xml:space="preserve">the Committee’s ability to protect individuals’ </w:t>
      </w:r>
      <w:r w:rsidR="000A0141" w:rsidRPr="0007754D">
        <w:rPr>
          <w:color w:val="000000" w:themeColor="text1"/>
          <w:lang w:val="en-GB"/>
        </w:rPr>
        <w:t>SRH in its case-law, but they also</w:t>
      </w:r>
      <w:r w:rsidR="007D1CDC" w:rsidRPr="0007754D">
        <w:rPr>
          <w:color w:val="000000" w:themeColor="text1"/>
          <w:lang w:val="en-GB"/>
        </w:rPr>
        <w:t xml:space="preserve"> strengthen its ability to conduct a constructive dialogue with states.</w:t>
      </w:r>
      <w:r w:rsidR="00C45BDA" w:rsidRPr="0007754D">
        <w:rPr>
          <w:color w:val="000000" w:themeColor="text1"/>
          <w:lang w:val="en-GB"/>
        </w:rPr>
        <w:t xml:space="preserve"> </w:t>
      </w:r>
      <w:r w:rsidRPr="0007754D">
        <w:rPr>
          <w:color w:val="000000" w:themeColor="text1"/>
          <w:lang w:val="en-GB"/>
        </w:rPr>
        <w:t>In order to examine the jurisprudence of the ECoSR on SRH, I focus</w:t>
      </w:r>
      <w:r w:rsidR="007154DE" w:rsidRPr="0007754D">
        <w:rPr>
          <w:color w:val="000000" w:themeColor="text1"/>
          <w:lang w:val="en-GB"/>
        </w:rPr>
        <w:t>ed</w:t>
      </w:r>
      <w:r w:rsidRPr="0007754D">
        <w:rPr>
          <w:color w:val="000000" w:themeColor="text1"/>
          <w:lang w:val="en-GB"/>
        </w:rPr>
        <w:t xml:space="preserve"> on its interpretation of Article 11 of the European Social Charter (ESC) on the right to health,</w:t>
      </w:r>
      <w:r w:rsidR="007C75CB" w:rsidRPr="0007754D">
        <w:rPr>
          <w:rStyle w:val="FootnoteReference"/>
          <w:color w:val="000000" w:themeColor="text1"/>
        </w:rPr>
        <w:footnoteReference w:id="112"/>
      </w:r>
      <w:r w:rsidRPr="0007754D">
        <w:rPr>
          <w:color w:val="000000" w:themeColor="text1"/>
          <w:lang w:val="en-GB"/>
        </w:rPr>
        <w:t xml:space="preserve"> for it is a key right in SRH,</w:t>
      </w:r>
      <w:r w:rsidRPr="0007754D">
        <w:rPr>
          <w:rStyle w:val="FootnoteReference"/>
          <w:color w:val="000000" w:themeColor="text1"/>
        </w:rPr>
        <w:footnoteReference w:id="113"/>
      </w:r>
      <w:r w:rsidRPr="0007754D">
        <w:rPr>
          <w:color w:val="000000" w:themeColor="text1"/>
          <w:lang w:val="en-GB"/>
        </w:rPr>
        <w:t xml:space="preserve"> and the most informative provision in this regard. In order to carry</w:t>
      </w:r>
      <w:r w:rsidR="007154DE" w:rsidRPr="0007754D">
        <w:rPr>
          <w:color w:val="000000" w:themeColor="text1"/>
          <w:lang w:val="en-GB"/>
        </w:rPr>
        <w:t xml:space="preserve"> out</w:t>
      </w:r>
      <w:r w:rsidRPr="0007754D">
        <w:rPr>
          <w:color w:val="000000" w:themeColor="text1"/>
          <w:lang w:val="en-GB"/>
        </w:rPr>
        <w:t xml:space="preserve"> this analysis, I examined all the Committee’s Conclusions formulated through its reporting procedure</w:t>
      </w:r>
      <w:r w:rsidR="007154DE" w:rsidRPr="0007754D">
        <w:rPr>
          <w:color w:val="000000" w:themeColor="text1"/>
          <w:lang w:val="en-GB"/>
        </w:rPr>
        <w:t xml:space="preserve"> on Article 11</w:t>
      </w:r>
      <w:r w:rsidRPr="0007754D">
        <w:rPr>
          <w:color w:val="000000" w:themeColor="text1"/>
          <w:lang w:val="en-GB"/>
        </w:rPr>
        <w:t>, in the English language and since the procedure began in 1969. As of May 2018, this represented 1,003 entries on</w:t>
      </w:r>
      <w:r w:rsidR="00900C9D" w:rsidRPr="0007754D">
        <w:rPr>
          <w:color w:val="000000" w:themeColor="text1"/>
          <w:lang w:val="en-GB"/>
        </w:rPr>
        <w:t xml:space="preserve"> HUDOC,</w:t>
      </w:r>
      <w:r w:rsidRPr="0007754D">
        <w:rPr>
          <w:color w:val="000000" w:themeColor="text1"/>
          <w:lang w:val="en-GB"/>
        </w:rPr>
        <w:t xml:space="preserve"> the online case-law database of the </w:t>
      </w:r>
      <w:r w:rsidR="00900C9D" w:rsidRPr="0007754D">
        <w:rPr>
          <w:color w:val="000000" w:themeColor="text1"/>
          <w:lang w:val="en-GB"/>
        </w:rPr>
        <w:t>Committee</w:t>
      </w:r>
      <w:r w:rsidRPr="0007754D">
        <w:rPr>
          <w:color w:val="000000" w:themeColor="text1"/>
          <w:lang w:val="en-GB"/>
        </w:rPr>
        <w:t>.</w:t>
      </w:r>
      <w:r w:rsidR="006701DB" w:rsidRPr="0007754D">
        <w:rPr>
          <w:rStyle w:val="FootnoteReference"/>
          <w:color w:val="000000" w:themeColor="text1"/>
        </w:rPr>
        <w:footnoteReference w:id="114"/>
      </w:r>
      <w:r w:rsidRPr="0007754D">
        <w:rPr>
          <w:color w:val="000000" w:themeColor="text1"/>
          <w:lang w:val="en-GB"/>
        </w:rPr>
        <w:t xml:space="preserve"> I then focused on comments relevant to </w:t>
      </w:r>
      <w:r w:rsidR="00DA0B1E" w:rsidRPr="0007754D">
        <w:rPr>
          <w:color w:val="000000" w:themeColor="text1"/>
          <w:lang w:val="en-GB"/>
        </w:rPr>
        <w:t xml:space="preserve">this paper’s definition of </w:t>
      </w:r>
      <w:r w:rsidRPr="0007754D">
        <w:rPr>
          <w:color w:val="000000" w:themeColor="text1"/>
          <w:lang w:val="en-GB"/>
        </w:rPr>
        <w:t>SRH, to contextualise the recent recognition of a ‘right to SRH’. While this article focuses on findings post 2000, previous research has allowed me to study the ECoSR’s Conclusions from 1969 to 2015,</w:t>
      </w:r>
      <w:r w:rsidRPr="0007754D">
        <w:rPr>
          <w:rStyle w:val="FootnoteReference"/>
          <w:color w:val="000000" w:themeColor="text1"/>
        </w:rPr>
        <w:footnoteReference w:id="115"/>
      </w:r>
      <w:r w:rsidRPr="0007754D">
        <w:rPr>
          <w:color w:val="000000" w:themeColor="text1"/>
          <w:lang w:val="en-GB"/>
        </w:rPr>
        <w:t xml:space="preserve"> thus </w:t>
      </w:r>
      <w:r w:rsidR="00941348" w:rsidRPr="0007754D">
        <w:rPr>
          <w:color w:val="000000" w:themeColor="text1"/>
          <w:lang w:val="en-GB"/>
        </w:rPr>
        <w:t>bring</w:t>
      </w:r>
      <w:r w:rsidRPr="0007754D">
        <w:rPr>
          <w:color w:val="000000" w:themeColor="text1"/>
          <w:lang w:val="en-GB"/>
        </w:rPr>
        <w:t xml:space="preserve">ing an interesting historical perspective on its review of SRH. I also examined all the Committee’s Merits Decisions held through its collective complaints procedure on Article 11, in the English language. As of May 2018, this corresponded to 12 entries on HUDOC, all dated post 2000. </w:t>
      </w:r>
      <w:r w:rsidR="00941348" w:rsidRPr="0007754D">
        <w:rPr>
          <w:color w:val="000000" w:themeColor="text1"/>
          <w:lang w:val="en-GB"/>
        </w:rPr>
        <w:t>However,</w:t>
      </w:r>
      <w:r w:rsidRPr="0007754D">
        <w:rPr>
          <w:color w:val="000000" w:themeColor="text1"/>
          <w:lang w:val="en-GB"/>
        </w:rPr>
        <w:t xml:space="preserve"> </w:t>
      </w:r>
      <w:r w:rsidR="00FA609B" w:rsidRPr="0007754D">
        <w:rPr>
          <w:color w:val="000000" w:themeColor="text1"/>
          <w:lang w:val="en-GB"/>
        </w:rPr>
        <w:t>only four</w:t>
      </w:r>
      <w:r w:rsidRPr="0007754D">
        <w:rPr>
          <w:color w:val="000000" w:themeColor="text1"/>
          <w:lang w:val="en-GB"/>
        </w:rPr>
        <w:t xml:space="preserve"> </w:t>
      </w:r>
      <w:r w:rsidR="00941348" w:rsidRPr="0007754D">
        <w:rPr>
          <w:color w:val="000000" w:themeColor="text1"/>
          <w:lang w:val="en-GB"/>
        </w:rPr>
        <w:t>a</w:t>
      </w:r>
      <w:r w:rsidRPr="0007754D">
        <w:rPr>
          <w:color w:val="000000" w:themeColor="text1"/>
          <w:lang w:val="en-GB"/>
        </w:rPr>
        <w:t xml:space="preserve">re relevant to SRH as defined in this paper. </w:t>
      </w:r>
      <w:r w:rsidR="00941348" w:rsidRPr="0007754D">
        <w:rPr>
          <w:color w:val="000000" w:themeColor="text1"/>
          <w:lang w:val="en-GB"/>
        </w:rPr>
        <w:t xml:space="preserve">Such a definition encompasses </w:t>
      </w:r>
      <w:r w:rsidRPr="0007754D">
        <w:rPr>
          <w:color w:val="000000" w:themeColor="text1"/>
          <w:lang w:val="en-GB"/>
        </w:rPr>
        <w:t>rights to access key SRH services and information that facilitate everyone’s ability to make free choices over their SRH (especially those vulnerable to violence, coercion and discrimination).</w:t>
      </w:r>
      <w:r w:rsidRPr="0007754D">
        <w:rPr>
          <w:rStyle w:val="FootnoteReference"/>
          <w:color w:val="000000" w:themeColor="text1"/>
        </w:rPr>
        <w:footnoteReference w:id="116"/>
      </w:r>
      <w:r w:rsidRPr="0007754D">
        <w:rPr>
          <w:color w:val="000000" w:themeColor="text1"/>
          <w:lang w:val="en-GB"/>
        </w:rPr>
        <w:t xml:space="preserve"> Key services are understood as: </w:t>
      </w:r>
      <w:r w:rsidR="00941348" w:rsidRPr="0007754D">
        <w:rPr>
          <w:color w:val="000000" w:themeColor="text1"/>
          <w:lang w:val="en-GB"/>
        </w:rPr>
        <w:t xml:space="preserve">maternal and new-born </w:t>
      </w:r>
      <w:r w:rsidR="00997497" w:rsidRPr="0007754D">
        <w:rPr>
          <w:color w:val="000000" w:themeColor="text1"/>
          <w:lang w:val="en-GB"/>
        </w:rPr>
        <w:t>health services</w:t>
      </w:r>
      <w:r w:rsidR="00941348" w:rsidRPr="0007754D">
        <w:rPr>
          <w:color w:val="000000" w:themeColor="text1"/>
          <w:lang w:val="en-GB"/>
        </w:rPr>
        <w:t>; family planning services; safe abortion services; prevention and treatment of sexually transmitted infections and reproductive cancers; and promotion of sexual health</w:t>
      </w:r>
      <w:r w:rsidRPr="0007754D">
        <w:rPr>
          <w:color w:val="000000" w:themeColor="text1"/>
          <w:lang w:val="en-GB"/>
        </w:rPr>
        <w:t>.</w:t>
      </w:r>
      <w:r w:rsidRPr="0007754D">
        <w:rPr>
          <w:rStyle w:val="FootnoteReference"/>
          <w:color w:val="000000" w:themeColor="text1"/>
        </w:rPr>
        <w:footnoteReference w:id="117"/>
      </w:r>
      <w:r w:rsidRPr="0007754D">
        <w:rPr>
          <w:color w:val="000000" w:themeColor="text1"/>
          <w:lang w:val="en-GB"/>
        </w:rPr>
        <w:t xml:space="preserve"> The findings studied through the dual monitoring system of the Committee on Article 11 ESC stress </w:t>
      </w:r>
      <w:r w:rsidR="00554B3F" w:rsidRPr="0007754D">
        <w:rPr>
          <w:color w:val="000000" w:themeColor="text1"/>
          <w:lang w:val="en-GB"/>
        </w:rPr>
        <w:t>a richer approach to SRH in the reporting procedure, due to the nature of this mechanism</w:t>
      </w:r>
      <w:r w:rsidRPr="0007754D">
        <w:rPr>
          <w:color w:val="000000" w:themeColor="text1"/>
          <w:lang w:val="en-GB"/>
        </w:rPr>
        <w:t>.</w:t>
      </w:r>
    </w:p>
    <w:p w14:paraId="7B233F51" w14:textId="77777777" w:rsidR="009D4DCC" w:rsidRPr="0007754D" w:rsidRDefault="009D4DCC" w:rsidP="006908EB">
      <w:pPr>
        <w:spacing w:line="276" w:lineRule="auto"/>
        <w:jc w:val="both"/>
        <w:rPr>
          <w:color w:val="000000" w:themeColor="text1"/>
          <w:lang w:val="en-GB"/>
        </w:rPr>
      </w:pPr>
    </w:p>
    <w:p w14:paraId="11207E29" w14:textId="07990925" w:rsidR="0086084E" w:rsidRPr="0007754D" w:rsidRDefault="003971AF" w:rsidP="001A3BE7">
      <w:pPr>
        <w:pStyle w:val="Heading2"/>
        <w:numPr>
          <w:ilvl w:val="1"/>
          <w:numId w:val="31"/>
        </w:numPr>
        <w:spacing w:line="276" w:lineRule="auto"/>
        <w:jc w:val="both"/>
        <w:rPr>
          <w:rFonts w:asciiTheme="minorHAnsi" w:hAnsiTheme="minorHAnsi"/>
          <w:color w:val="000000" w:themeColor="text1"/>
          <w:lang w:val="en-GB"/>
        </w:rPr>
      </w:pPr>
      <w:r w:rsidRPr="0007754D">
        <w:rPr>
          <w:rFonts w:asciiTheme="minorHAnsi" w:hAnsiTheme="minorHAnsi"/>
          <w:color w:val="000000" w:themeColor="text1"/>
          <w:lang w:val="en-GB"/>
        </w:rPr>
        <w:t>Protection of</w:t>
      </w:r>
      <w:r w:rsidR="00FD1BAE" w:rsidRPr="0007754D">
        <w:rPr>
          <w:rFonts w:asciiTheme="minorHAnsi" w:hAnsiTheme="minorHAnsi"/>
          <w:color w:val="000000" w:themeColor="text1"/>
          <w:lang w:val="en-GB"/>
        </w:rPr>
        <w:t xml:space="preserve"> SRH</w:t>
      </w:r>
      <w:r w:rsidR="0018642A" w:rsidRPr="0007754D">
        <w:rPr>
          <w:rFonts w:asciiTheme="minorHAnsi" w:hAnsiTheme="minorHAnsi"/>
          <w:color w:val="000000" w:themeColor="text1"/>
          <w:lang w:val="en-GB"/>
        </w:rPr>
        <w:t xml:space="preserve"> in the r</w:t>
      </w:r>
      <w:r w:rsidR="0086084E" w:rsidRPr="0007754D">
        <w:rPr>
          <w:rFonts w:asciiTheme="minorHAnsi" w:hAnsiTheme="minorHAnsi"/>
          <w:color w:val="000000" w:themeColor="text1"/>
          <w:lang w:val="en-GB"/>
        </w:rPr>
        <w:t xml:space="preserve">eporting procedure </w:t>
      </w:r>
    </w:p>
    <w:p w14:paraId="6CEFB68E" w14:textId="77777777" w:rsidR="0086084E" w:rsidRPr="0007754D" w:rsidRDefault="0086084E" w:rsidP="006908EB">
      <w:pPr>
        <w:spacing w:line="276" w:lineRule="auto"/>
        <w:jc w:val="both"/>
        <w:rPr>
          <w:color w:val="000000" w:themeColor="text1"/>
          <w:lang w:val="en-GB"/>
        </w:rPr>
      </w:pPr>
    </w:p>
    <w:p w14:paraId="379754C2" w14:textId="79A5967E" w:rsidR="00900C9D" w:rsidRPr="0007754D" w:rsidRDefault="0018642A" w:rsidP="00900C9D">
      <w:pPr>
        <w:spacing w:line="276" w:lineRule="auto"/>
        <w:jc w:val="both"/>
        <w:rPr>
          <w:color w:val="000000" w:themeColor="text1"/>
          <w:lang w:val="en-GB"/>
        </w:rPr>
      </w:pPr>
      <w:r w:rsidRPr="0007754D">
        <w:rPr>
          <w:color w:val="000000" w:themeColor="text1"/>
          <w:lang w:val="en-GB"/>
        </w:rPr>
        <w:t xml:space="preserve">The </w:t>
      </w:r>
      <w:r w:rsidR="00865C17" w:rsidRPr="0007754D">
        <w:rPr>
          <w:color w:val="000000" w:themeColor="text1"/>
          <w:lang w:val="en-GB"/>
        </w:rPr>
        <w:t>ECoSR</w:t>
      </w:r>
      <w:r w:rsidRPr="0007754D">
        <w:rPr>
          <w:color w:val="000000" w:themeColor="text1"/>
          <w:lang w:val="en-GB"/>
        </w:rPr>
        <w:t xml:space="preserve"> reviews the implementation of the ESC through two monitoring procedures: the reporting procedure and the collective complaints procedure. In the reporting procedure, the </w:t>
      </w:r>
      <w:r w:rsidR="0006710E" w:rsidRPr="0007754D">
        <w:rPr>
          <w:color w:val="000000" w:themeColor="text1"/>
          <w:lang w:val="en-GB"/>
        </w:rPr>
        <w:t xml:space="preserve">Committee </w:t>
      </w:r>
      <w:r w:rsidRPr="0007754D">
        <w:rPr>
          <w:color w:val="000000" w:themeColor="text1"/>
          <w:lang w:val="en-GB"/>
        </w:rPr>
        <w:t xml:space="preserve">periodically receives states reports (as well as NGOs reports) describing the implementation of the </w:t>
      </w:r>
      <w:r w:rsidR="005C6193" w:rsidRPr="0007754D">
        <w:rPr>
          <w:color w:val="000000" w:themeColor="text1"/>
          <w:lang w:val="en-GB"/>
        </w:rPr>
        <w:t>Charter</w:t>
      </w:r>
      <w:r w:rsidRPr="0007754D">
        <w:rPr>
          <w:color w:val="000000" w:themeColor="text1"/>
          <w:lang w:val="en-GB"/>
        </w:rPr>
        <w:t xml:space="preserve"> in a given state party.</w:t>
      </w:r>
      <w:r w:rsidRPr="0007754D">
        <w:rPr>
          <w:rStyle w:val="FootnoteReference"/>
          <w:color w:val="000000" w:themeColor="text1"/>
        </w:rPr>
        <w:footnoteReference w:id="118"/>
      </w:r>
      <w:r w:rsidRPr="0007754D">
        <w:rPr>
          <w:color w:val="000000" w:themeColor="text1"/>
          <w:lang w:val="en-GB"/>
        </w:rPr>
        <w:t xml:space="preserve"> </w:t>
      </w:r>
      <w:r w:rsidR="00900C9D" w:rsidRPr="0007754D">
        <w:rPr>
          <w:color w:val="000000" w:themeColor="text1"/>
          <w:lang w:val="en-GB"/>
        </w:rPr>
        <w:t>After having examined</w:t>
      </w:r>
      <w:r w:rsidRPr="0007754D">
        <w:rPr>
          <w:color w:val="000000" w:themeColor="text1"/>
          <w:lang w:val="en-GB"/>
        </w:rPr>
        <w:t xml:space="preserve"> these reports, the </w:t>
      </w:r>
      <w:r w:rsidR="0006710E" w:rsidRPr="0007754D">
        <w:rPr>
          <w:color w:val="000000" w:themeColor="text1"/>
          <w:lang w:val="en-GB"/>
        </w:rPr>
        <w:t>ECoSR</w:t>
      </w:r>
      <w:r w:rsidRPr="0007754D">
        <w:rPr>
          <w:color w:val="000000" w:themeColor="text1"/>
          <w:lang w:val="en-GB"/>
        </w:rPr>
        <w:t xml:space="preserve"> declares in documents called ‘Conclusions’ whether such a description complies or not with each article of the </w:t>
      </w:r>
      <w:r w:rsidR="00793155" w:rsidRPr="0007754D">
        <w:rPr>
          <w:color w:val="000000" w:themeColor="text1"/>
          <w:lang w:val="en-GB"/>
        </w:rPr>
        <w:t>Charter</w:t>
      </w:r>
      <w:r w:rsidRPr="0007754D">
        <w:rPr>
          <w:color w:val="000000" w:themeColor="text1"/>
          <w:lang w:val="en-GB"/>
        </w:rPr>
        <w:t>, and justifies why. This also applies to the right to health, enshrined in Article 11 ESC.</w:t>
      </w:r>
      <w:r w:rsidRPr="0007754D">
        <w:rPr>
          <w:rStyle w:val="FootnoteReference"/>
          <w:color w:val="000000" w:themeColor="text1"/>
        </w:rPr>
        <w:footnoteReference w:id="119"/>
      </w:r>
      <w:r w:rsidRPr="0007754D">
        <w:rPr>
          <w:color w:val="000000" w:themeColor="text1"/>
          <w:lang w:val="en-GB"/>
        </w:rPr>
        <w:t xml:space="preserve"> </w:t>
      </w:r>
      <w:r w:rsidR="00900C9D" w:rsidRPr="0007754D">
        <w:rPr>
          <w:color w:val="000000" w:themeColor="text1"/>
          <w:lang w:val="en-GB"/>
        </w:rPr>
        <w:t>The</w:t>
      </w:r>
      <w:r w:rsidR="0001368A" w:rsidRPr="0007754D">
        <w:rPr>
          <w:color w:val="000000" w:themeColor="text1"/>
          <w:lang w:val="en-GB"/>
        </w:rPr>
        <w:t xml:space="preserve"> methodology and this paper’s</w:t>
      </w:r>
      <w:r w:rsidR="00900C9D" w:rsidRPr="0007754D">
        <w:rPr>
          <w:color w:val="000000" w:themeColor="text1"/>
          <w:lang w:val="en-GB"/>
        </w:rPr>
        <w:t xml:space="preserve"> definition of SRH enabled me to identify a change over the years in how the ECoSR reviewed SRH under Article 11, and how this </w:t>
      </w:r>
      <w:r w:rsidR="008F6884" w:rsidRPr="0007754D">
        <w:rPr>
          <w:color w:val="000000" w:themeColor="text1"/>
          <w:lang w:val="en-GB"/>
        </w:rPr>
        <w:t>affected</w:t>
      </w:r>
      <w:r w:rsidR="00900C9D" w:rsidRPr="0007754D">
        <w:rPr>
          <w:color w:val="000000" w:themeColor="text1"/>
          <w:lang w:val="en-GB"/>
        </w:rPr>
        <w:t xml:space="preserve"> its protection.</w:t>
      </w:r>
    </w:p>
    <w:p w14:paraId="47D893AB" w14:textId="715CFC26" w:rsidR="004C1324" w:rsidRPr="0007754D" w:rsidRDefault="004C1324" w:rsidP="0018642A">
      <w:pPr>
        <w:spacing w:line="276" w:lineRule="auto"/>
        <w:jc w:val="both"/>
        <w:rPr>
          <w:color w:val="000000" w:themeColor="text1"/>
          <w:lang w:val="en-GB"/>
        </w:rPr>
      </w:pPr>
    </w:p>
    <w:p w14:paraId="15009574" w14:textId="0A01A5F4" w:rsidR="00FC5BED" w:rsidRPr="0007754D" w:rsidRDefault="00882C8F" w:rsidP="001A3BE7">
      <w:pPr>
        <w:pStyle w:val="Heading3"/>
        <w:numPr>
          <w:ilvl w:val="2"/>
          <w:numId w:val="31"/>
        </w:numPr>
        <w:rPr>
          <w:rFonts w:asciiTheme="minorHAnsi" w:hAnsiTheme="minorHAnsi"/>
          <w:color w:val="000000" w:themeColor="text1"/>
          <w:lang w:val="en-GB"/>
        </w:rPr>
      </w:pPr>
      <w:r w:rsidRPr="0007754D">
        <w:rPr>
          <w:rFonts w:asciiTheme="minorHAnsi" w:hAnsiTheme="minorHAnsi"/>
          <w:color w:val="000000" w:themeColor="text1"/>
          <w:lang w:val="en-GB"/>
        </w:rPr>
        <w:t>1969-2000: little to no</w:t>
      </w:r>
      <w:r w:rsidR="00FC5BED" w:rsidRPr="0007754D">
        <w:rPr>
          <w:rFonts w:asciiTheme="minorHAnsi" w:hAnsiTheme="minorHAnsi"/>
          <w:color w:val="000000" w:themeColor="text1"/>
          <w:lang w:val="en-GB"/>
        </w:rPr>
        <w:t xml:space="preserve"> monitoring of SRH </w:t>
      </w:r>
      <w:r w:rsidRPr="0007754D">
        <w:rPr>
          <w:rFonts w:asciiTheme="minorHAnsi" w:hAnsiTheme="minorHAnsi"/>
          <w:color w:val="000000" w:themeColor="text1"/>
          <w:lang w:val="en-GB"/>
        </w:rPr>
        <w:t>matters</w:t>
      </w:r>
    </w:p>
    <w:p w14:paraId="2BA499D8" w14:textId="77777777" w:rsidR="00882C8F" w:rsidRPr="0007754D" w:rsidRDefault="00882C8F" w:rsidP="00882C8F">
      <w:pPr>
        <w:rPr>
          <w:color w:val="000000" w:themeColor="text1"/>
          <w:lang w:val="en-GB"/>
        </w:rPr>
      </w:pPr>
    </w:p>
    <w:p w14:paraId="386F2914" w14:textId="2D74E9E3" w:rsidR="0018642A" w:rsidRPr="0007754D" w:rsidRDefault="0018642A" w:rsidP="004A2821">
      <w:pPr>
        <w:spacing w:line="276" w:lineRule="auto"/>
        <w:jc w:val="both"/>
        <w:rPr>
          <w:color w:val="000000" w:themeColor="text1"/>
          <w:lang w:val="en-GB"/>
        </w:rPr>
      </w:pPr>
      <w:r w:rsidRPr="0007754D">
        <w:rPr>
          <w:color w:val="000000" w:themeColor="text1"/>
          <w:lang w:val="en-GB"/>
        </w:rPr>
        <w:t>From 1969 to 200</w:t>
      </w:r>
      <w:r w:rsidR="006E466D" w:rsidRPr="0007754D">
        <w:rPr>
          <w:color w:val="000000" w:themeColor="text1"/>
          <w:lang w:val="en-GB"/>
        </w:rPr>
        <w:t>0</w:t>
      </w:r>
      <w:r w:rsidRPr="0007754D">
        <w:rPr>
          <w:color w:val="000000" w:themeColor="text1"/>
          <w:lang w:val="en-GB"/>
        </w:rPr>
        <w:t xml:space="preserve">, the </w:t>
      </w:r>
      <w:r w:rsidR="0006710E" w:rsidRPr="0007754D">
        <w:rPr>
          <w:color w:val="000000" w:themeColor="text1"/>
          <w:lang w:val="en-GB"/>
        </w:rPr>
        <w:t>ECoSR</w:t>
      </w:r>
      <w:r w:rsidR="009A3903" w:rsidRPr="0007754D">
        <w:rPr>
          <w:color w:val="000000" w:themeColor="text1"/>
          <w:lang w:val="en-GB"/>
        </w:rPr>
        <w:t xml:space="preserve"> reviewed</w:t>
      </w:r>
      <w:r w:rsidRPr="0007754D">
        <w:rPr>
          <w:color w:val="000000" w:themeColor="text1"/>
          <w:lang w:val="en-GB"/>
        </w:rPr>
        <w:t xml:space="preserve"> states’ compliance with Article 11</w:t>
      </w:r>
      <w:r w:rsidR="0006710E" w:rsidRPr="0007754D">
        <w:rPr>
          <w:color w:val="000000" w:themeColor="text1"/>
          <w:lang w:val="en-GB"/>
        </w:rPr>
        <w:t xml:space="preserve"> </w:t>
      </w:r>
      <w:r w:rsidRPr="0007754D">
        <w:rPr>
          <w:color w:val="000000" w:themeColor="text1"/>
          <w:lang w:val="en-GB"/>
        </w:rPr>
        <w:t xml:space="preserve">ESC </w:t>
      </w:r>
      <w:r w:rsidR="00D20C09" w:rsidRPr="0007754D">
        <w:rPr>
          <w:color w:val="000000" w:themeColor="text1"/>
          <w:lang w:val="en-GB"/>
        </w:rPr>
        <w:t xml:space="preserve">relatively </w:t>
      </w:r>
      <w:r w:rsidRPr="0007754D">
        <w:rPr>
          <w:color w:val="000000" w:themeColor="text1"/>
          <w:lang w:val="en-GB"/>
        </w:rPr>
        <w:t>randomly</w:t>
      </w:r>
      <w:r w:rsidR="00CA638A" w:rsidRPr="0007754D">
        <w:rPr>
          <w:color w:val="000000" w:themeColor="text1"/>
          <w:lang w:val="en-GB"/>
        </w:rPr>
        <w:t xml:space="preserve"> in its reporting procedure</w:t>
      </w:r>
      <w:r w:rsidRPr="0007754D">
        <w:rPr>
          <w:color w:val="000000" w:themeColor="text1"/>
          <w:lang w:val="en-GB"/>
        </w:rPr>
        <w:t xml:space="preserve">, </w:t>
      </w:r>
      <w:r w:rsidR="00D20C09" w:rsidRPr="0007754D">
        <w:rPr>
          <w:color w:val="000000" w:themeColor="text1"/>
          <w:lang w:val="en-GB"/>
        </w:rPr>
        <w:t xml:space="preserve">thus </w:t>
      </w:r>
      <w:r w:rsidRPr="0007754D">
        <w:rPr>
          <w:color w:val="000000" w:themeColor="text1"/>
          <w:lang w:val="en-GB"/>
        </w:rPr>
        <w:t xml:space="preserve">leaving the </w:t>
      </w:r>
      <w:r w:rsidR="00134FE5" w:rsidRPr="0007754D">
        <w:rPr>
          <w:color w:val="000000" w:themeColor="text1"/>
          <w:lang w:val="en-GB"/>
        </w:rPr>
        <w:t>monitoring</w:t>
      </w:r>
      <w:r w:rsidRPr="0007754D">
        <w:rPr>
          <w:color w:val="000000" w:themeColor="text1"/>
          <w:lang w:val="en-GB"/>
        </w:rPr>
        <w:t xml:space="preserve"> of SRH</w:t>
      </w:r>
      <w:r w:rsidR="00FF439C" w:rsidRPr="0007754D">
        <w:rPr>
          <w:color w:val="000000" w:themeColor="text1"/>
          <w:lang w:val="en-GB"/>
        </w:rPr>
        <w:t xml:space="preserve"> issues</w:t>
      </w:r>
      <w:r w:rsidRPr="0007754D">
        <w:rPr>
          <w:color w:val="000000" w:themeColor="text1"/>
          <w:lang w:val="en-GB"/>
        </w:rPr>
        <w:t xml:space="preserve"> to chance. For instance</w:t>
      </w:r>
      <w:r w:rsidR="00FF439C" w:rsidRPr="0007754D">
        <w:rPr>
          <w:color w:val="000000" w:themeColor="text1"/>
          <w:lang w:val="en-GB"/>
        </w:rPr>
        <w:t>,</w:t>
      </w:r>
      <w:r w:rsidR="00D20C09" w:rsidRPr="0007754D">
        <w:rPr>
          <w:color w:val="000000" w:themeColor="text1"/>
          <w:lang w:val="en-GB"/>
        </w:rPr>
        <w:t xml:space="preserve"> </w:t>
      </w:r>
      <w:r w:rsidR="00134FE5" w:rsidRPr="0007754D">
        <w:rPr>
          <w:color w:val="000000" w:themeColor="text1"/>
          <w:lang w:val="en-GB"/>
        </w:rPr>
        <w:t xml:space="preserve">when discussing Norway’s </w:t>
      </w:r>
      <w:r w:rsidR="00187161" w:rsidRPr="0007754D">
        <w:rPr>
          <w:color w:val="000000" w:themeColor="text1"/>
          <w:lang w:val="en-GB"/>
        </w:rPr>
        <w:t>compliance with the right to health</w:t>
      </w:r>
      <w:r w:rsidR="00134FE5" w:rsidRPr="0007754D">
        <w:rPr>
          <w:color w:val="000000" w:themeColor="text1"/>
          <w:lang w:val="en-GB"/>
        </w:rPr>
        <w:t xml:space="preserve"> </w:t>
      </w:r>
      <w:r w:rsidR="00D20C09" w:rsidRPr="0007754D">
        <w:rPr>
          <w:color w:val="000000" w:themeColor="text1"/>
          <w:lang w:val="en-GB"/>
        </w:rPr>
        <w:t>in 1981</w:t>
      </w:r>
      <w:r w:rsidR="00134FE5" w:rsidRPr="0007754D">
        <w:rPr>
          <w:color w:val="000000" w:themeColor="text1"/>
          <w:lang w:val="en-GB"/>
        </w:rPr>
        <w:t>,</w:t>
      </w:r>
      <w:r w:rsidR="00FF439C" w:rsidRPr="0007754D">
        <w:rPr>
          <w:color w:val="000000" w:themeColor="text1"/>
          <w:lang w:val="en-GB"/>
        </w:rPr>
        <w:t xml:space="preserve"> the </w:t>
      </w:r>
      <w:r w:rsidR="00484670" w:rsidRPr="0007754D">
        <w:rPr>
          <w:color w:val="000000" w:themeColor="text1"/>
          <w:lang w:val="en-GB"/>
        </w:rPr>
        <w:t>Committee</w:t>
      </w:r>
      <w:r w:rsidR="00FF439C" w:rsidRPr="0007754D">
        <w:rPr>
          <w:color w:val="000000" w:themeColor="text1"/>
          <w:lang w:val="en-GB"/>
        </w:rPr>
        <w:t xml:space="preserve"> </w:t>
      </w:r>
      <w:r w:rsidR="00881269" w:rsidRPr="0007754D">
        <w:rPr>
          <w:color w:val="000000" w:themeColor="text1"/>
          <w:lang w:val="en-GB"/>
        </w:rPr>
        <w:t>highlight</w:t>
      </w:r>
      <w:r w:rsidR="00D20C09" w:rsidRPr="0007754D">
        <w:rPr>
          <w:color w:val="000000" w:themeColor="text1"/>
          <w:lang w:val="en-GB"/>
        </w:rPr>
        <w:t>ed</w:t>
      </w:r>
      <w:r w:rsidR="00881269" w:rsidRPr="0007754D">
        <w:rPr>
          <w:color w:val="000000" w:themeColor="text1"/>
          <w:lang w:val="en-GB"/>
        </w:rPr>
        <w:t xml:space="preserve"> the availability of </w:t>
      </w:r>
      <w:r w:rsidR="005E1193" w:rsidRPr="0007754D">
        <w:rPr>
          <w:color w:val="000000" w:themeColor="text1"/>
          <w:lang w:val="en-GB"/>
        </w:rPr>
        <w:t>maternal health services</w:t>
      </w:r>
      <w:r w:rsidR="00881269" w:rsidRPr="0007754D">
        <w:rPr>
          <w:color w:val="000000" w:themeColor="text1"/>
          <w:lang w:val="en-GB"/>
        </w:rPr>
        <w:t xml:space="preserve"> </w:t>
      </w:r>
      <w:r w:rsidR="00134FE5" w:rsidRPr="0007754D">
        <w:rPr>
          <w:color w:val="000000" w:themeColor="text1"/>
          <w:lang w:val="en-GB"/>
        </w:rPr>
        <w:t xml:space="preserve">and </w:t>
      </w:r>
      <w:r w:rsidR="00FF439C" w:rsidRPr="0007754D">
        <w:rPr>
          <w:color w:val="000000" w:themeColor="text1"/>
          <w:lang w:val="en-GB"/>
        </w:rPr>
        <w:t>that of family planning</w:t>
      </w:r>
      <w:r w:rsidR="00D20C09" w:rsidRPr="0007754D">
        <w:rPr>
          <w:color w:val="000000" w:themeColor="text1"/>
          <w:lang w:val="en-GB"/>
        </w:rPr>
        <w:t xml:space="preserve"> courses for health personnel.</w:t>
      </w:r>
      <w:r w:rsidR="00D20C09" w:rsidRPr="0007754D">
        <w:rPr>
          <w:rStyle w:val="FootnoteReference"/>
          <w:color w:val="000000" w:themeColor="text1"/>
        </w:rPr>
        <w:footnoteReference w:id="120"/>
      </w:r>
      <w:r w:rsidR="00D20C09" w:rsidRPr="0007754D">
        <w:rPr>
          <w:color w:val="000000" w:themeColor="text1"/>
          <w:lang w:val="en-GB"/>
        </w:rPr>
        <w:t xml:space="preserve"> However, it did </w:t>
      </w:r>
      <w:r w:rsidR="00881269" w:rsidRPr="0007754D">
        <w:rPr>
          <w:color w:val="000000" w:themeColor="text1"/>
          <w:lang w:val="en-GB"/>
        </w:rPr>
        <w:t xml:space="preserve">not </w:t>
      </w:r>
      <w:r w:rsidR="00FF439C" w:rsidRPr="0007754D">
        <w:rPr>
          <w:color w:val="000000" w:themeColor="text1"/>
          <w:lang w:val="en-GB"/>
        </w:rPr>
        <w:t xml:space="preserve">monitor </w:t>
      </w:r>
      <w:r w:rsidR="00D20C09" w:rsidRPr="0007754D">
        <w:rPr>
          <w:color w:val="000000" w:themeColor="text1"/>
          <w:lang w:val="en-GB"/>
        </w:rPr>
        <w:t xml:space="preserve">the availability of these services </w:t>
      </w:r>
      <w:r w:rsidR="003F109D" w:rsidRPr="0007754D">
        <w:rPr>
          <w:color w:val="000000" w:themeColor="text1"/>
          <w:lang w:val="en-GB"/>
        </w:rPr>
        <w:t>for</w:t>
      </w:r>
      <w:r w:rsidR="00FF439C" w:rsidRPr="0007754D">
        <w:rPr>
          <w:color w:val="000000" w:themeColor="text1"/>
          <w:lang w:val="en-GB"/>
        </w:rPr>
        <w:t xml:space="preserve"> </w:t>
      </w:r>
      <w:r w:rsidR="00D20C09" w:rsidRPr="0007754D">
        <w:rPr>
          <w:color w:val="000000" w:themeColor="text1"/>
          <w:lang w:val="en-GB"/>
        </w:rPr>
        <w:t xml:space="preserve">any </w:t>
      </w:r>
      <w:r w:rsidR="00881269" w:rsidRPr="0007754D">
        <w:rPr>
          <w:color w:val="000000" w:themeColor="text1"/>
          <w:lang w:val="en-GB"/>
        </w:rPr>
        <w:t>other</w:t>
      </w:r>
      <w:r w:rsidR="00D20C09" w:rsidRPr="0007754D">
        <w:rPr>
          <w:color w:val="000000" w:themeColor="text1"/>
          <w:lang w:val="en-GB"/>
        </w:rPr>
        <w:t xml:space="preserve"> country that same year</w:t>
      </w:r>
      <w:r w:rsidR="00134FE5" w:rsidRPr="0007754D">
        <w:rPr>
          <w:color w:val="000000" w:themeColor="text1"/>
          <w:lang w:val="en-GB"/>
        </w:rPr>
        <w:t xml:space="preserve">, </w:t>
      </w:r>
      <w:r w:rsidR="00187161" w:rsidRPr="0007754D">
        <w:rPr>
          <w:color w:val="000000" w:themeColor="text1"/>
          <w:lang w:val="en-GB"/>
        </w:rPr>
        <w:t xml:space="preserve">thus </w:t>
      </w:r>
      <w:r w:rsidR="00134FE5" w:rsidRPr="0007754D">
        <w:rPr>
          <w:color w:val="000000" w:themeColor="text1"/>
          <w:lang w:val="en-GB"/>
        </w:rPr>
        <w:t>failing to establish consistent standards and expectations under Article 11</w:t>
      </w:r>
      <w:r w:rsidR="00881269" w:rsidRPr="0007754D">
        <w:rPr>
          <w:color w:val="000000" w:themeColor="text1"/>
          <w:lang w:val="en-GB"/>
        </w:rPr>
        <w:t>.</w:t>
      </w:r>
      <w:r w:rsidR="00881269" w:rsidRPr="0007754D">
        <w:rPr>
          <w:rStyle w:val="FootnoteReference"/>
          <w:color w:val="000000" w:themeColor="text1"/>
        </w:rPr>
        <w:footnoteReference w:id="121"/>
      </w:r>
      <w:r w:rsidR="00FF439C" w:rsidRPr="0007754D">
        <w:rPr>
          <w:color w:val="000000" w:themeColor="text1"/>
          <w:lang w:val="en-GB"/>
        </w:rPr>
        <w:t xml:space="preserve"> </w:t>
      </w:r>
      <w:r w:rsidR="00134FE5" w:rsidRPr="0007754D">
        <w:rPr>
          <w:color w:val="000000" w:themeColor="text1"/>
          <w:lang w:val="en-GB"/>
        </w:rPr>
        <w:t>Furthermore</w:t>
      </w:r>
      <w:r w:rsidR="00FF439C" w:rsidRPr="0007754D">
        <w:rPr>
          <w:color w:val="000000" w:themeColor="text1"/>
          <w:lang w:val="en-GB"/>
        </w:rPr>
        <w:t xml:space="preserve">, </w:t>
      </w:r>
      <w:r w:rsidR="00134FE5" w:rsidRPr="0007754D">
        <w:rPr>
          <w:color w:val="000000" w:themeColor="text1"/>
          <w:lang w:val="en-GB"/>
        </w:rPr>
        <w:t xml:space="preserve">when discussing </w:t>
      </w:r>
      <w:r w:rsidR="00ED66FD" w:rsidRPr="0007754D">
        <w:rPr>
          <w:color w:val="000000" w:themeColor="text1"/>
          <w:lang w:val="en-GB"/>
        </w:rPr>
        <w:t xml:space="preserve">Norway’s </w:t>
      </w:r>
      <w:r w:rsidR="003F109D" w:rsidRPr="0007754D">
        <w:rPr>
          <w:color w:val="000000" w:themeColor="text1"/>
          <w:lang w:val="en-GB"/>
        </w:rPr>
        <w:t xml:space="preserve">next </w:t>
      </w:r>
      <w:r w:rsidR="00134FE5" w:rsidRPr="0007754D">
        <w:rPr>
          <w:color w:val="000000" w:themeColor="text1"/>
          <w:lang w:val="en-GB"/>
        </w:rPr>
        <w:t xml:space="preserve">report during the </w:t>
      </w:r>
      <w:r w:rsidR="003F109D" w:rsidRPr="0007754D">
        <w:rPr>
          <w:color w:val="000000" w:themeColor="text1"/>
          <w:lang w:val="en-GB"/>
        </w:rPr>
        <w:t>1984</w:t>
      </w:r>
      <w:r w:rsidR="00134FE5" w:rsidRPr="0007754D">
        <w:rPr>
          <w:color w:val="000000" w:themeColor="text1"/>
          <w:lang w:val="en-GB"/>
        </w:rPr>
        <w:t xml:space="preserve"> reporting cycle, </w:t>
      </w:r>
      <w:r w:rsidR="00FF439C" w:rsidRPr="0007754D">
        <w:rPr>
          <w:color w:val="000000" w:themeColor="text1"/>
          <w:lang w:val="en-GB"/>
        </w:rPr>
        <w:t xml:space="preserve">the </w:t>
      </w:r>
      <w:r w:rsidR="0006710E" w:rsidRPr="0007754D">
        <w:rPr>
          <w:color w:val="000000" w:themeColor="text1"/>
          <w:lang w:val="en-GB"/>
        </w:rPr>
        <w:t xml:space="preserve">Committee </w:t>
      </w:r>
      <w:r w:rsidR="004B3E14" w:rsidRPr="0007754D">
        <w:rPr>
          <w:color w:val="000000" w:themeColor="text1"/>
          <w:lang w:val="en-GB"/>
        </w:rPr>
        <w:t xml:space="preserve">did not </w:t>
      </w:r>
      <w:r w:rsidR="00134FE5" w:rsidRPr="0007754D">
        <w:rPr>
          <w:color w:val="000000" w:themeColor="text1"/>
          <w:lang w:val="en-GB"/>
        </w:rPr>
        <w:t>refer again to</w:t>
      </w:r>
      <w:r w:rsidR="004B3E14" w:rsidRPr="0007754D">
        <w:rPr>
          <w:color w:val="000000" w:themeColor="text1"/>
          <w:lang w:val="en-GB"/>
        </w:rPr>
        <w:t xml:space="preserve"> these services</w:t>
      </w:r>
      <w:r w:rsidR="00134FE5" w:rsidRPr="0007754D">
        <w:rPr>
          <w:color w:val="000000" w:themeColor="text1"/>
          <w:lang w:val="en-GB"/>
        </w:rPr>
        <w:t xml:space="preserve">, thus failing to monitor </w:t>
      </w:r>
      <w:r w:rsidR="00BE7E83" w:rsidRPr="0007754D">
        <w:rPr>
          <w:color w:val="000000" w:themeColor="text1"/>
          <w:lang w:val="en-GB"/>
        </w:rPr>
        <w:t>Norway</w:t>
      </w:r>
      <w:r w:rsidR="0096244D" w:rsidRPr="0007754D">
        <w:rPr>
          <w:color w:val="000000" w:themeColor="text1"/>
          <w:lang w:val="en-GB"/>
        </w:rPr>
        <w:t>’s progress</w:t>
      </w:r>
      <w:r w:rsidR="00FF439C" w:rsidRPr="0007754D">
        <w:rPr>
          <w:color w:val="000000" w:themeColor="text1"/>
          <w:lang w:val="en-GB"/>
        </w:rPr>
        <w:t>.</w:t>
      </w:r>
      <w:r w:rsidR="00FF439C" w:rsidRPr="0007754D">
        <w:rPr>
          <w:rStyle w:val="FootnoteReference"/>
          <w:color w:val="000000" w:themeColor="text1"/>
        </w:rPr>
        <w:footnoteReference w:id="122"/>
      </w:r>
      <w:r w:rsidR="00134FE5" w:rsidRPr="0007754D">
        <w:rPr>
          <w:color w:val="000000" w:themeColor="text1"/>
          <w:lang w:val="en-GB"/>
        </w:rPr>
        <w:t xml:space="preserve"> </w:t>
      </w:r>
      <w:r w:rsidR="004A2821" w:rsidRPr="0007754D">
        <w:rPr>
          <w:color w:val="000000" w:themeColor="text1"/>
          <w:lang w:val="en-GB"/>
        </w:rPr>
        <w:t xml:space="preserve">What must also be </w:t>
      </w:r>
      <w:r w:rsidR="00ED66FD" w:rsidRPr="0007754D">
        <w:rPr>
          <w:color w:val="000000" w:themeColor="text1"/>
          <w:lang w:val="en-GB"/>
        </w:rPr>
        <w:t xml:space="preserve">outlined </w:t>
      </w:r>
      <w:r w:rsidR="004A2821" w:rsidRPr="0007754D">
        <w:rPr>
          <w:color w:val="000000" w:themeColor="text1"/>
          <w:lang w:val="en-GB"/>
        </w:rPr>
        <w:t>with regard to the reporting procedure of the ECoSR from 1969 to 2000, is how rarely it referred to SRH issues when monitoring states’ compliance with the right to health.</w:t>
      </w:r>
      <w:r w:rsidR="00CA638A" w:rsidRPr="0007754D">
        <w:rPr>
          <w:color w:val="000000" w:themeColor="text1"/>
          <w:lang w:val="en-GB"/>
        </w:rPr>
        <w:t xml:space="preserve"> </w:t>
      </w:r>
      <w:r w:rsidR="004A2821" w:rsidRPr="0007754D">
        <w:rPr>
          <w:color w:val="000000" w:themeColor="text1"/>
          <w:lang w:val="en-GB"/>
        </w:rPr>
        <w:t>Aside from a couple of comments regarding</w:t>
      </w:r>
      <w:r w:rsidR="00CA638A" w:rsidRPr="0007754D">
        <w:rPr>
          <w:color w:val="000000" w:themeColor="text1"/>
          <w:lang w:val="en-GB"/>
        </w:rPr>
        <w:t xml:space="preserve"> </w:t>
      </w:r>
      <w:r w:rsidR="006E0FBD" w:rsidRPr="0007754D">
        <w:rPr>
          <w:color w:val="000000" w:themeColor="text1"/>
          <w:lang w:val="en-GB"/>
        </w:rPr>
        <w:t xml:space="preserve">states’ efforts to provide </w:t>
      </w:r>
      <w:r w:rsidR="006E466D" w:rsidRPr="0007754D">
        <w:rPr>
          <w:color w:val="000000" w:themeColor="text1"/>
          <w:lang w:val="en-GB"/>
        </w:rPr>
        <w:t>medical check-ups for pregnant women</w:t>
      </w:r>
      <w:r w:rsidR="00CE584C" w:rsidRPr="0007754D">
        <w:rPr>
          <w:color w:val="000000" w:themeColor="text1"/>
          <w:lang w:val="en-GB"/>
        </w:rPr>
        <w:t>,</w:t>
      </w:r>
      <w:r w:rsidR="00CE584C" w:rsidRPr="0007754D">
        <w:rPr>
          <w:rStyle w:val="FootnoteReference"/>
          <w:color w:val="000000" w:themeColor="text1"/>
        </w:rPr>
        <w:footnoteReference w:id="123"/>
      </w:r>
      <w:r w:rsidR="006E466D" w:rsidRPr="0007754D">
        <w:rPr>
          <w:color w:val="000000" w:themeColor="text1"/>
          <w:lang w:val="en-GB"/>
        </w:rPr>
        <w:t xml:space="preserve"> and </w:t>
      </w:r>
      <w:r w:rsidR="00CA638A" w:rsidRPr="0007754D">
        <w:rPr>
          <w:color w:val="000000" w:themeColor="text1"/>
          <w:lang w:val="en-GB"/>
        </w:rPr>
        <w:t>to combat</w:t>
      </w:r>
      <w:r w:rsidR="006E466D" w:rsidRPr="0007754D">
        <w:rPr>
          <w:color w:val="000000" w:themeColor="text1"/>
          <w:lang w:val="en-GB"/>
        </w:rPr>
        <w:t xml:space="preserve"> sexually transmitted diseases</w:t>
      </w:r>
      <w:r w:rsidR="004A2821" w:rsidRPr="0007754D">
        <w:rPr>
          <w:color w:val="000000" w:themeColor="text1"/>
          <w:lang w:val="en-GB"/>
        </w:rPr>
        <w:t>,</w:t>
      </w:r>
      <w:r w:rsidR="00CE584C" w:rsidRPr="0007754D">
        <w:rPr>
          <w:rStyle w:val="FootnoteReference"/>
          <w:color w:val="000000" w:themeColor="text1"/>
        </w:rPr>
        <w:footnoteReference w:id="124"/>
      </w:r>
      <w:r w:rsidR="004A2821" w:rsidRPr="0007754D">
        <w:rPr>
          <w:color w:val="000000" w:themeColor="text1"/>
          <w:lang w:val="en-GB"/>
        </w:rPr>
        <w:t xml:space="preserve"> </w:t>
      </w:r>
      <w:r w:rsidR="00C221F4" w:rsidRPr="0007754D">
        <w:rPr>
          <w:color w:val="000000" w:themeColor="text1"/>
          <w:lang w:val="en-GB"/>
        </w:rPr>
        <w:t>it</w:t>
      </w:r>
      <w:r w:rsidR="004A2821" w:rsidRPr="0007754D">
        <w:rPr>
          <w:color w:val="000000" w:themeColor="text1"/>
          <w:lang w:val="en-GB"/>
        </w:rPr>
        <w:t xml:space="preserve"> </w:t>
      </w:r>
      <w:r w:rsidR="000D7C48" w:rsidRPr="0007754D">
        <w:rPr>
          <w:color w:val="000000" w:themeColor="text1"/>
          <w:lang w:val="en-GB"/>
        </w:rPr>
        <w:t>almost never monitored SRH</w:t>
      </w:r>
      <w:r w:rsidR="006E0FBD" w:rsidRPr="0007754D">
        <w:rPr>
          <w:color w:val="000000" w:themeColor="text1"/>
          <w:lang w:val="en-GB"/>
        </w:rPr>
        <w:t xml:space="preserve"> under Article 11 of the </w:t>
      </w:r>
      <w:r w:rsidR="005766D4" w:rsidRPr="0007754D">
        <w:rPr>
          <w:color w:val="000000" w:themeColor="text1"/>
          <w:lang w:val="en-GB"/>
        </w:rPr>
        <w:t>Charter</w:t>
      </w:r>
      <w:r w:rsidR="000D7C48" w:rsidRPr="0007754D">
        <w:rPr>
          <w:color w:val="000000" w:themeColor="text1"/>
          <w:lang w:val="en-GB"/>
        </w:rPr>
        <w:t>.</w:t>
      </w:r>
      <w:r w:rsidR="00DD14EC" w:rsidRPr="0007754D">
        <w:rPr>
          <w:color w:val="000000" w:themeColor="text1"/>
          <w:lang w:val="en-GB"/>
        </w:rPr>
        <w:t xml:space="preserve"> Therefore, </w:t>
      </w:r>
      <w:r w:rsidR="00187161" w:rsidRPr="0007754D">
        <w:rPr>
          <w:color w:val="000000" w:themeColor="text1"/>
          <w:lang w:val="en-GB"/>
        </w:rPr>
        <w:t xml:space="preserve">the </w:t>
      </w:r>
      <w:r w:rsidR="00C221F4" w:rsidRPr="0007754D">
        <w:rPr>
          <w:color w:val="000000" w:themeColor="text1"/>
          <w:lang w:val="en-GB"/>
        </w:rPr>
        <w:t>ECoSR</w:t>
      </w:r>
      <w:r w:rsidR="00187161" w:rsidRPr="0007754D">
        <w:rPr>
          <w:color w:val="000000" w:themeColor="text1"/>
          <w:lang w:val="en-GB"/>
        </w:rPr>
        <w:t xml:space="preserve"> did not protect individuals’ SRH adequately during that period of time.</w:t>
      </w:r>
    </w:p>
    <w:p w14:paraId="0FFADB43" w14:textId="77777777" w:rsidR="0096244D" w:rsidRPr="0007754D" w:rsidRDefault="0096244D" w:rsidP="0018642A">
      <w:pPr>
        <w:spacing w:line="276" w:lineRule="auto"/>
        <w:jc w:val="both"/>
        <w:rPr>
          <w:color w:val="000000" w:themeColor="text1"/>
          <w:lang w:val="en-GB"/>
        </w:rPr>
      </w:pPr>
    </w:p>
    <w:p w14:paraId="64AEBA6D" w14:textId="5E96BF8F" w:rsidR="00882C8F" w:rsidRPr="0007754D" w:rsidRDefault="00882C8F" w:rsidP="001A3BE7">
      <w:pPr>
        <w:pStyle w:val="Heading3"/>
        <w:numPr>
          <w:ilvl w:val="2"/>
          <w:numId w:val="31"/>
        </w:numPr>
        <w:rPr>
          <w:rFonts w:asciiTheme="minorHAnsi" w:hAnsiTheme="minorHAnsi"/>
          <w:color w:val="000000" w:themeColor="text1"/>
          <w:lang w:val="en-GB"/>
        </w:rPr>
      </w:pPr>
      <w:r w:rsidRPr="0007754D">
        <w:rPr>
          <w:rFonts w:asciiTheme="minorHAnsi" w:hAnsiTheme="minorHAnsi"/>
          <w:color w:val="000000" w:themeColor="text1"/>
          <w:lang w:val="en-GB"/>
        </w:rPr>
        <w:t>2001-2009: consistent monitoring of SRH matters</w:t>
      </w:r>
    </w:p>
    <w:p w14:paraId="583FCAB5" w14:textId="77777777" w:rsidR="00882C8F" w:rsidRPr="0007754D" w:rsidRDefault="00882C8F" w:rsidP="00882C8F">
      <w:pPr>
        <w:rPr>
          <w:color w:val="000000" w:themeColor="text1"/>
          <w:lang w:val="en-GB"/>
        </w:rPr>
      </w:pPr>
    </w:p>
    <w:p w14:paraId="01FEAB31" w14:textId="35A55CCD" w:rsidR="00544E74" w:rsidRPr="0007754D" w:rsidRDefault="000053E9" w:rsidP="00544E74">
      <w:pPr>
        <w:spacing w:line="276" w:lineRule="auto"/>
        <w:jc w:val="both"/>
        <w:rPr>
          <w:color w:val="000000" w:themeColor="text1"/>
        </w:rPr>
      </w:pPr>
      <w:r w:rsidRPr="0007754D">
        <w:rPr>
          <w:color w:val="000000" w:themeColor="text1"/>
          <w:lang w:val="en-GB"/>
        </w:rPr>
        <w:t>F</w:t>
      </w:r>
      <w:r w:rsidR="00544E74" w:rsidRPr="0007754D">
        <w:rPr>
          <w:color w:val="000000" w:themeColor="text1"/>
          <w:lang w:val="en-GB"/>
        </w:rPr>
        <w:t>rom</w:t>
      </w:r>
      <w:r w:rsidR="0096244D" w:rsidRPr="0007754D">
        <w:rPr>
          <w:color w:val="000000" w:themeColor="text1"/>
          <w:lang w:val="en-GB"/>
        </w:rPr>
        <w:t xml:space="preserve"> 2001</w:t>
      </w:r>
      <w:r w:rsidR="00E52DBE" w:rsidRPr="0007754D">
        <w:rPr>
          <w:color w:val="000000" w:themeColor="text1"/>
          <w:lang w:val="en-GB"/>
        </w:rPr>
        <w:t xml:space="preserve"> </w:t>
      </w:r>
      <w:r w:rsidR="00544E74" w:rsidRPr="0007754D">
        <w:rPr>
          <w:color w:val="000000" w:themeColor="text1"/>
          <w:lang w:val="en-GB"/>
        </w:rPr>
        <w:t xml:space="preserve">to 2009, </w:t>
      </w:r>
      <w:r w:rsidR="0018642A" w:rsidRPr="0007754D">
        <w:rPr>
          <w:color w:val="000000" w:themeColor="text1"/>
          <w:lang w:val="en-GB"/>
        </w:rPr>
        <w:t>the</w:t>
      </w:r>
      <w:r w:rsidR="00E52DBE" w:rsidRPr="0007754D">
        <w:rPr>
          <w:color w:val="000000" w:themeColor="text1"/>
          <w:lang w:val="en-GB"/>
        </w:rPr>
        <w:t xml:space="preserve"> ECoSR started </w:t>
      </w:r>
      <w:r w:rsidR="0034705A" w:rsidRPr="0007754D">
        <w:rPr>
          <w:color w:val="000000" w:themeColor="text1"/>
          <w:lang w:val="en-GB"/>
        </w:rPr>
        <w:t>using</w:t>
      </w:r>
      <w:r w:rsidR="00E52DBE" w:rsidRPr="0007754D">
        <w:rPr>
          <w:color w:val="000000" w:themeColor="text1"/>
          <w:lang w:val="en-GB"/>
        </w:rPr>
        <w:t xml:space="preserve"> the same</w:t>
      </w:r>
      <w:r w:rsidR="0018642A" w:rsidRPr="0007754D">
        <w:rPr>
          <w:color w:val="000000" w:themeColor="text1"/>
          <w:lang w:val="en-GB"/>
        </w:rPr>
        <w:t xml:space="preserve"> thematic health indicators </w:t>
      </w:r>
      <w:r w:rsidR="00E52DBE" w:rsidRPr="0007754D">
        <w:rPr>
          <w:color w:val="000000" w:themeColor="text1"/>
          <w:lang w:val="en-GB"/>
        </w:rPr>
        <w:t xml:space="preserve">for every state and in </w:t>
      </w:r>
      <w:r w:rsidR="000D223B" w:rsidRPr="0007754D">
        <w:rPr>
          <w:color w:val="000000" w:themeColor="text1"/>
          <w:lang w:val="en-GB"/>
        </w:rPr>
        <w:t>every</w:t>
      </w:r>
      <w:r w:rsidR="00E52DBE" w:rsidRPr="0007754D">
        <w:rPr>
          <w:color w:val="000000" w:themeColor="text1"/>
          <w:lang w:val="en-GB"/>
        </w:rPr>
        <w:t xml:space="preserve"> reporting cycle</w:t>
      </w:r>
      <w:r w:rsidR="00CF5ED6" w:rsidRPr="0007754D">
        <w:rPr>
          <w:color w:val="000000" w:themeColor="text1"/>
          <w:lang w:val="en-GB"/>
        </w:rPr>
        <w:t>. These</w:t>
      </w:r>
      <w:r w:rsidR="00E52DBE" w:rsidRPr="0007754D">
        <w:rPr>
          <w:color w:val="000000" w:themeColor="text1"/>
          <w:lang w:val="en-GB"/>
        </w:rPr>
        <w:t xml:space="preserve"> </w:t>
      </w:r>
      <w:r w:rsidR="00544E74" w:rsidRPr="0007754D">
        <w:rPr>
          <w:color w:val="000000" w:themeColor="text1"/>
          <w:lang w:val="en-GB"/>
        </w:rPr>
        <w:t>enabled</w:t>
      </w:r>
      <w:r w:rsidR="00CF5ED6" w:rsidRPr="0007754D">
        <w:rPr>
          <w:color w:val="000000" w:themeColor="text1"/>
          <w:lang w:val="en-GB"/>
        </w:rPr>
        <w:t xml:space="preserve"> the </w:t>
      </w:r>
      <w:r w:rsidR="0006710E" w:rsidRPr="0007754D">
        <w:rPr>
          <w:color w:val="000000" w:themeColor="text1"/>
          <w:lang w:val="en-GB"/>
        </w:rPr>
        <w:t xml:space="preserve">Committee </w:t>
      </w:r>
      <w:r w:rsidR="00E52DBE" w:rsidRPr="0007754D">
        <w:rPr>
          <w:color w:val="000000" w:themeColor="text1"/>
          <w:lang w:val="en-GB"/>
        </w:rPr>
        <w:t>to develop</w:t>
      </w:r>
      <w:r w:rsidR="0018642A" w:rsidRPr="0007754D">
        <w:rPr>
          <w:color w:val="000000" w:themeColor="text1"/>
          <w:lang w:val="en-GB"/>
        </w:rPr>
        <w:t xml:space="preserve"> more specific legal standards</w:t>
      </w:r>
      <w:r w:rsidR="0034705A" w:rsidRPr="0007754D">
        <w:rPr>
          <w:color w:val="000000" w:themeColor="text1"/>
          <w:lang w:val="en-GB"/>
        </w:rPr>
        <w:t xml:space="preserve"> under Article 11</w:t>
      </w:r>
      <w:r w:rsidR="0006710E" w:rsidRPr="0007754D">
        <w:rPr>
          <w:color w:val="000000" w:themeColor="text1"/>
          <w:lang w:val="en-GB"/>
        </w:rPr>
        <w:t xml:space="preserve"> of the</w:t>
      </w:r>
      <w:r w:rsidR="0034705A" w:rsidRPr="0007754D">
        <w:rPr>
          <w:color w:val="000000" w:themeColor="text1"/>
          <w:lang w:val="en-GB"/>
        </w:rPr>
        <w:t xml:space="preserve"> ESC,</w:t>
      </w:r>
      <w:r w:rsidR="0034705A" w:rsidRPr="0007754D">
        <w:rPr>
          <w:rStyle w:val="FootnoteReference"/>
          <w:color w:val="000000" w:themeColor="text1"/>
        </w:rPr>
        <w:footnoteReference w:id="125"/>
      </w:r>
      <w:r w:rsidR="0034705A" w:rsidRPr="0007754D">
        <w:rPr>
          <w:color w:val="000000" w:themeColor="text1"/>
          <w:lang w:val="en-GB"/>
        </w:rPr>
        <w:t xml:space="preserve"> including on SRH matters</w:t>
      </w:r>
      <w:r w:rsidR="0018642A" w:rsidRPr="0007754D">
        <w:rPr>
          <w:color w:val="000000" w:themeColor="text1"/>
          <w:lang w:val="en-GB"/>
        </w:rPr>
        <w:t>.</w:t>
      </w:r>
      <w:r w:rsidR="0034705A" w:rsidRPr="0007754D">
        <w:rPr>
          <w:color w:val="000000" w:themeColor="text1"/>
          <w:lang w:val="en-GB"/>
        </w:rPr>
        <w:t xml:space="preserve"> </w:t>
      </w:r>
      <w:r w:rsidR="00544E74" w:rsidRPr="0007754D">
        <w:rPr>
          <w:color w:val="000000" w:themeColor="text1"/>
          <w:lang w:val="en-GB"/>
        </w:rPr>
        <w:t xml:space="preserve">Thanks to indicators such as </w:t>
      </w:r>
      <w:r w:rsidR="00D77B71" w:rsidRPr="0007754D">
        <w:rPr>
          <w:color w:val="000000" w:themeColor="text1"/>
          <w:lang w:val="en-GB"/>
        </w:rPr>
        <w:t>‘</w:t>
      </w:r>
      <w:r w:rsidR="00D77B71" w:rsidRPr="0007754D">
        <w:rPr>
          <w:i/>
          <w:color w:val="000000" w:themeColor="text1"/>
          <w:lang w:val="en-GB"/>
        </w:rPr>
        <w:t xml:space="preserve">infant and maternal mortality’, </w:t>
      </w:r>
      <w:r w:rsidR="00544E74" w:rsidRPr="0007754D">
        <w:rPr>
          <w:i/>
          <w:color w:val="000000" w:themeColor="text1"/>
          <w:lang w:val="en-GB"/>
        </w:rPr>
        <w:t>‘health education in schoo</w:t>
      </w:r>
      <w:r w:rsidR="001475F1" w:rsidRPr="0007754D">
        <w:rPr>
          <w:i/>
          <w:color w:val="000000" w:themeColor="text1"/>
          <w:lang w:val="en-GB"/>
        </w:rPr>
        <w:t>ls’,</w:t>
      </w:r>
      <w:r w:rsidR="00544E74" w:rsidRPr="0007754D">
        <w:rPr>
          <w:i/>
          <w:color w:val="000000" w:themeColor="text1"/>
          <w:lang w:val="en-GB"/>
        </w:rPr>
        <w:t xml:space="preserve"> ‘counselling and screening for pregnant women, children and adolescents’</w:t>
      </w:r>
      <w:r w:rsidR="00D77B71" w:rsidRPr="0007754D">
        <w:rPr>
          <w:i/>
          <w:color w:val="000000" w:themeColor="text1"/>
          <w:lang w:val="en-GB"/>
        </w:rPr>
        <w:t>,</w:t>
      </w:r>
      <w:r w:rsidR="001475F1" w:rsidRPr="0007754D">
        <w:rPr>
          <w:i/>
          <w:color w:val="000000" w:themeColor="text1"/>
          <w:lang w:val="en-GB"/>
        </w:rPr>
        <w:t xml:space="preserve"> and ‘</w:t>
      </w:r>
      <w:r w:rsidR="00D77B71" w:rsidRPr="0007754D">
        <w:rPr>
          <w:i/>
          <w:color w:val="000000" w:themeColor="text1"/>
          <w:lang w:val="en-GB"/>
        </w:rPr>
        <w:t xml:space="preserve">counselling and screening </w:t>
      </w:r>
      <w:r w:rsidR="001475F1" w:rsidRPr="0007754D">
        <w:rPr>
          <w:i/>
          <w:color w:val="000000" w:themeColor="text1"/>
          <w:lang w:val="en-GB"/>
        </w:rPr>
        <w:t>for the rest of the population’</w:t>
      </w:r>
      <w:r w:rsidR="001475F1" w:rsidRPr="0007754D">
        <w:rPr>
          <w:color w:val="000000" w:themeColor="text1"/>
          <w:lang w:val="en-GB"/>
        </w:rPr>
        <w:t>,</w:t>
      </w:r>
      <w:r w:rsidR="00544E74" w:rsidRPr="0007754D">
        <w:rPr>
          <w:color w:val="000000" w:themeColor="text1"/>
          <w:lang w:val="en-GB"/>
        </w:rPr>
        <w:t xml:space="preserve"> the ECoSR systematically monitored the</w:t>
      </w:r>
      <w:r w:rsidR="005E1193" w:rsidRPr="0007754D">
        <w:rPr>
          <w:color w:val="000000" w:themeColor="text1"/>
          <w:lang w:val="en-GB"/>
        </w:rPr>
        <w:t xml:space="preserve"> availability of maternal health services</w:t>
      </w:r>
      <w:r w:rsidR="00544E74" w:rsidRPr="0007754D">
        <w:rPr>
          <w:color w:val="000000" w:themeColor="text1"/>
          <w:lang w:val="en-GB"/>
        </w:rPr>
        <w:t>, as well as that of sex education and measures to combat diseases affecting the reproductive system</w:t>
      </w:r>
      <w:r w:rsidR="00CF5ED6" w:rsidRPr="0007754D">
        <w:rPr>
          <w:color w:val="000000" w:themeColor="text1"/>
          <w:lang w:val="en-GB"/>
        </w:rPr>
        <w:t>, during that period of time</w:t>
      </w:r>
      <w:r w:rsidR="00544E74" w:rsidRPr="0007754D">
        <w:rPr>
          <w:color w:val="000000" w:themeColor="text1"/>
          <w:lang w:val="en-GB"/>
        </w:rPr>
        <w:t>.</w:t>
      </w:r>
      <w:r w:rsidR="00B95740" w:rsidRPr="0007754D">
        <w:rPr>
          <w:rStyle w:val="FootnoteReference"/>
          <w:color w:val="000000" w:themeColor="text1"/>
        </w:rPr>
        <w:footnoteReference w:id="126"/>
      </w:r>
      <w:r w:rsidR="000D223B" w:rsidRPr="0007754D">
        <w:rPr>
          <w:color w:val="000000" w:themeColor="text1"/>
          <w:lang w:val="en-GB"/>
        </w:rPr>
        <w:t xml:space="preserve"> </w:t>
      </w:r>
      <w:r w:rsidR="008407F7" w:rsidRPr="0007754D">
        <w:rPr>
          <w:color w:val="000000" w:themeColor="text1"/>
          <w:lang w:val="en-GB"/>
        </w:rPr>
        <w:t>Both the WHO</w:t>
      </w:r>
      <w:r w:rsidR="00400789" w:rsidRPr="0007754D">
        <w:rPr>
          <w:color w:val="000000" w:themeColor="text1"/>
          <w:lang w:val="en-GB"/>
        </w:rPr>
        <w:t xml:space="preserve"> strategy</w:t>
      </w:r>
      <w:r w:rsidR="008407F7" w:rsidRPr="0007754D">
        <w:rPr>
          <w:color w:val="000000" w:themeColor="text1"/>
          <w:lang w:val="en-GB"/>
        </w:rPr>
        <w:t xml:space="preserve"> and UN</w:t>
      </w:r>
      <w:r w:rsidR="00400789" w:rsidRPr="0007754D">
        <w:rPr>
          <w:color w:val="000000" w:themeColor="text1"/>
          <w:lang w:val="en-GB"/>
        </w:rPr>
        <w:t>CE</w:t>
      </w:r>
      <w:r w:rsidR="001E60AA" w:rsidRPr="0007754D">
        <w:rPr>
          <w:color w:val="000000" w:themeColor="text1"/>
          <w:lang w:val="en-GB"/>
        </w:rPr>
        <w:t>S</w:t>
      </w:r>
      <w:r w:rsidR="00400789" w:rsidRPr="0007754D">
        <w:rPr>
          <w:color w:val="000000" w:themeColor="text1"/>
          <w:lang w:val="en-GB"/>
        </w:rPr>
        <w:t>CR</w:t>
      </w:r>
      <w:r w:rsidR="008407F7" w:rsidRPr="0007754D">
        <w:rPr>
          <w:color w:val="000000" w:themeColor="text1"/>
          <w:lang w:val="en-GB"/>
        </w:rPr>
        <w:t xml:space="preserve"> </w:t>
      </w:r>
      <w:r w:rsidR="00400789" w:rsidRPr="0007754D">
        <w:rPr>
          <w:color w:val="000000" w:themeColor="text1"/>
          <w:lang w:val="en-GB"/>
        </w:rPr>
        <w:t>GC</w:t>
      </w:r>
      <w:r w:rsidR="008407F7" w:rsidRPr="0007754D">
        <w:rPr>
          <w:color w:val="000000" w:themeColor="text1"/>
          <w:lang w:val="en-GB"/>
        </w:rPr>
        <w:t>22 consider that s</w:t>
      </w:r>
      <w:r w:rsidR="000D223B" w:rsidRPr="0007754D">
        <w:rPr>
          <w:color w:val="000000" w:themeColor="text1"/>
          <w:lang w:val="en-GB"/>
        </w:rPr>
        <w:t xml:space="preserve">uch issues are </w:t>
      </w:r>
      <w:r w:rsidR="008407F7" w:rsidRPr="0007754D">
        <w:rPr>
          <w:color w:val="000000" w:themeColor="text1"/>
          <w:lang w:val="en-GB"/>
        </w:rPr>
        <w:t>fundamental to SRH</w:t>
      </w:r>
      <w:r w:rsidR="006319B5" w:rsidRPr="0007754D">
        <w:rPr>
          <w:color w:val="000000" w:themeColor="text1"/>
          <w:lang w:val="en-GB"/>
        </w:rPr>
        <w:t>,</w:t>
      </w:r>
      <w:r w:rsidR="008407F7" w:rsidRPr="0007754D">
        <w:rPr>
          <w:rStyle w:val="FootnoteReference"/>
          <w:color w:val="000000" w:themeColor="text1"/>
        </w:rPr>
        <w:footnoteReference w:id="127"/>
      </w:r>
      <w:r w:rsidR="006319B5" w:rsidRPr="0007754D">
        <w:rPr>
          <w:color w:val="000000" w:themeColor="text1"/>
        </w:rPr>
        <w:t xml:space="preserve"> highlighting the importance of them being reviewed regularly.</w:t>
      </w:r>
    </w:p>
    <w:p w14:paraId="707A71F4" w14:textId="77777777" w:rsidR="00B90E30" w:rsidRPr="0007754D" w:rsidRDefault="00B90E30" w:rsidP="00544E74">
      <w:pPr>
        <w:spacing w:line="276" w:lineRule="auto"/>
        <w:jc w:val="both"/>
        <w:rPr>
          <w:color w:val="000000" w:themeColor="text1"/>
          <w:lang w:val="en-GB"/>
        </w:rPr>
      </w:pPr>
    </w:p>
    <w:p w14:paraId="0D877ACA" w14:textId="620DFCD1" w:rsidR="008A7021" w:rsidRPr="0007754D" w:rsidRDefault="008A7021" w:rsidP="00544E74">
      <w:pPr>
        <w:spacing w:line="276" w:lineRule="auto"/>
        <w:jc w:val="both"/>
        <w:rPr>
          <w:color w:val="000000" w:themeColor="text1"/>
          <w:lang w:val="en-GB"/>
        </w:rPr>
      </w:pPr>
      <w:r w:rsidRPr="0007754D">
        <w:rPr>
          <w:color w:val="000000" w:themeColor="text1"/>
          <w:lang w:val="en-GB"/>
        </w:rPr>
        <w:t xml:space="preserve">From 2001 to 2009, the </w:t>
      </w:r>
      <w:r w:rsidR="00793155" w:rsidRPr="0007754D">
        <w:rPr>
          <w:color w:val="000000" w:themeColor="text1"/>
          <w:lang w:val="en-GB"/>
        </w:rPr>
        <w:t>Committee</w:t>
      </w:r>
      <w:r w:rsidRPr="0007754D">
        <w:rPr>
          <w:color w:val="000000" w:themeColor="text1"/>
          <w:lang w:val="en-GB"/>
        </w:rPr>
        <w:t xml:space="preserve"> monitored the</w:t>
      </w:r>
      <w:r w:rsidR="00BE3972" w:rsidRPr="0007754D">
        <w:rPr>
          <w:color w:val="000000" w:themeColor="text1"/>
          <w:lang w:val="en-GB"/>
        </w:rPr>
        <w:t xml:space="preserve"> availability of maternal </w:t>
      </w:r>
      <w:r w:rsidR="005E1193" w:rsidRPr="0007754D">
        <w:rPr>
          <w:color w:val="000000" w:themeColor="text1"/>
          <w:lang w:val="en-GB"/>
        </w:rPr>
        <w:t>health services</w:t>
      </w:r>
      <w:r w:rsidRPr="0007754D">
        <w:rPr>
          <w:color w:val="000000" w:themeColor="text1"/>
          <w:lang w:val="en-GB"/>
        </w:rPr>
        <w:t xml:space="preserve"> in all states parties to the </w:t>
      </w:r>
      <w:r w:rsidR="005766D4" w:rsidRPr="0007754D">
        <w:rPr>
          <w:color w:val="000000" w:themeColor="text1"/>
          <w:lang w:val="en-GB"/>
        </w:rPr>
        <w:t>Charter</w:t>
      </w:r>
      <w:r w:rsidRPr="0007754D">
        <w:rPr>
          <w:color w:val="000000" w:themeColor="text1"/>
          <w:lang w:val="en-GB"/>
        </w:rPr>
        <w:t xml:space="preserve"> by systematically reviewing maternal mortality rates and the availability of screening services for pregnant women. More specifically, the ECoSR</w:t>
      </w:r>
      <w:r w:rsidR="00F42E67" w:rsidRPr="0007754D">
        <w:rPr>
          <w:color w:val="000000" w:themeColor="text1"/>
          <w:lang w:val="en-GB"/>
        </w:rPr>
        <w:t xml:space="preserve"> kept</w:t>
      </w:r>
      <w:r w:rsidRPr="0007754D">
        <w:rPr>
          <w:color w:val="000000" w:themeColor="text1"/>
          <w:lang w:val="en-GB"/>
        </w:rPr>
        <w:t xml:space="preserve"> </w:t>
      </w:r>
      <w:r w:rsidR="00775F2A" w:rsidRPr="0007754D">
        <w:rPr>
          <w:color w:val="000000" w:themeColor="text1"/>
          <w:lang w:val="en-GB"/>
        </w:rPr>
        <w:t>outlining</w:t>
      </w:r>
      <w:r w:rsidR="008207D4" w:rsidRPr="0007754D">
        <w:rPr>
          <w:color w:val="000000" w:themeColor="text1"/>
          <w:lang w:val="en-GB"/>
        </w:rPr>
        <w:t xml:space="preserve"> </w:t>
      </w:r>
      <w:r w:rsidRPr="0007754D">
        <w:rPr>
          <w:color w:val="000000" w:themeColor="text1"/>
          <w:lang w:val="en-GB"/>
        </w:rPr>
        <w:t>that states should take measures to bring maternal deaths down to zero risk,</w:t>
      </w:r>
      <w:r w:rsidRPr="0007754D">
        <w:rPr>
          <w:rStyle w:val="FootnoteReference"/>
          <w:color w:val="000000" w:themeColor="text1"/>
        </w:rPr>
        <w:footnoteReference w:id="128"/>
      </w:r>
      <w:r w:rsidRPr="0007754D">
        <w:rPr>
          <w:color w:val="000000" w:themeColor="text1"/>
          <w:lang w:val="en-GB"/>
        </w:rPr>
        <w:t xml:space="preserve"> especially countries with highly developed healthcare systems.</w:t>
      </w:r>
      <w:r w:rsidRPr="0007754D">
        <w:rPr>
          <w:rStyle w:val="FootnoteReference"/>
          <w:color w:val="000000" w:themeColor="text1"/>
        </w:rPr>
        <w:footnoteReference w:id="129"/>
      </w:r>
      <w:r w:rsidRPr="0007754D">
        <w:rPr>
          <w:color w:val="000000" w:themeColor="text1"/>
          <w:lang w:val="en-GB"/>
        </w:rPr>
        <w:t xml:space="preserve"> It also</w:t>
      </w:r>
      <w:r w:rsidR="00F42E67" w:rsidRPr="0007754D">
        <w:rPr>
          <w:color w:val="000000" w:themeColor="text1"/>
          <w:lang w:val="en-GB"/>
        </w:rPr>
        <w:t xml:space="preserve"> repeatedly</w:t>
      </w:r>
      <w:r w:rsidRPr="0007754D">
        <w:rPr>
          <w:color w:val="000000" w:themeColor="text1"/>
          <w:lang w:val="en-GB"/>
        </w:rPr>
        <w:t xml:space="preserve"> declared that c</w:t>
      </w:r>
      <w:r w:rsidRPr="0007754D">
        <w:rPr>
          <w:iCs/>
          <w:color w:val="000000" w:themeColor="text1"/>
          <w:lang w:val="en-GB"/>
        </w:rPr>
        <w:t>ounselling and screening</w:t>
      </w:r>
      <w:r w:rsidRPr="0007754D">
        <w:rPr>
          <w:b/>
          <w:iCs/>
          <w:color w:val="000000" w:themeColor="text1"/>
          <w:lang w:val="en-GB"/>
        </w:rPr>
        <w:t xml:space="preserve"> </w:t>
      </w:r>
      <w:r w:rsidR="005766D4" w:rsidRPr="0007754D">
        <w:rPr>
          <w:iCs/>
          <w:color w:val="000000" w:themeColor="text1"/>
          <w:lang w:val="en-GB"/>
        </w:rPr>
        <w:t>services for pregnant women</w:t>
      </w:r>
      <w:r w:rsidR="00F3384E" w:rsidRPr="0007754D">
        <w:rPr>
          <w:iCs/>
          <w:color w:val="000000" w:themeColor="text1"/>
          <w:lang w:val="en-GB"/>
        </w:rPr>
        <w:t xml:space="preserve"> should </w:t>
      </w:r>
      <w:r w:rsidRPr="0007754D">
        <w:rPr>
          <w:iCs/>
          <w:color w:val="000000" w:themeColor="text1"/>
          <w:lang w:val="en-GB"/>
        </w:rPr>
        <w:t>be provided free of charge, regularly</w:t>
      </w:r>
      <w:r w:rsidRPr="0007754D">
        <w:rPr>
          <w:color w:val="000000" w:themeColor="text1"/>
          <w:vertAlign w:val="superscript"/>
          <w:lang w:val="en-GB"/>
        </w:rPr>
        <w:t xml:space="preserve"> </w:t>
      </w:r>
      <w:r w:rsidRPr="0007754D">
        <w:rPr>
          <w:iCs/>
          <w:color w:val="000000" w:themeColor="text1"/>
          <w:lang w:val="en-GB"/>
        </w:rPr>
        <w:t>and throughout the country.</w:t>
      </w:r>
      <w:r w:rsidRPr="0007754D">
        <w:rPr>
          <w:rStyle w:val="FootnoteReference"/>
          <w:color w:val="000000" w:themeColor="text1"/>
        </w:rPr>
        <w:footnoteReference w:id="130"/>
      </w:r>
      <w:r w:rsidRPr="0007754D">
        <w:rPr>
          <w:iCs/>
          <w:color w:val="000000" w:themeColor="text1"/>
          <w:lang w:val="en-GB"/>
        </w:rPr>
        <w:t xml:space="preserve"> </w:t>
      </w:r>
      <w:r w:rsidRPr="0007754D">
        <w:rPr>
          <w:color w:val="000000" w:themeColor="text1"/>
          <w:lang w:val="en-GB"/>
        </w:rPr>
        <w:t xml:space="preserve">As a result, the reporting procedure of the </w:t>
      </w:r>
      <w:r w:rsidR="00536EBA" w:rsidRPr="0007754D">
        <w:rPr>
          <w:color w:val="000000" w:themeColor="text1"/>
          <w:lang w:val="en-GB"/>
        </w:rPr>
        <w:t>Committee</w:t>
      </w:r>
      <w:r w:rsidRPr="0007754D">
        <w:rPr>
          <w:color w:val="000000" w:themeColor="text1"/>
          <w:lang w:val="en-GB"/>
        </w:rPr>
        <w:t xml:space="preserve"> explicitly protected acce</w:t>
      </w:r>
      <w:r w:rsidR="00E36265" w:rsidRPr="0007754D">
        <w:rPr>
          <w:color w:val="000000" w:themeColor="text1"/>
          <w:lang w:val="en-GB"/>
        </w:rPr>
        <w:t xml:space="preserve">ss to adequate maternal </w:t>
      </w:r>
      <w:r w:rsidR="005E1193" w:rsidRPr="0007754D">
        <w:rPr>
          <w:color w:val="000000" w:themeColor="text1"/>
          <w:lang w:val="en-GB"/>
        </w:rPr>
        <w:t>health services</w:t>
      </w:r>
      <w:r w:rsidRPr="0007754D">
        <w:rPr>
          <w:color w:val="000000" w:themeColor="text1"/>
          <w:lang w:val="en-GB"/>
        </w:rPr>
        <w:t xml:space="preserve"> at the time, </w:t>
      </w:r>
      <w:r w:rsidR="0085498E" w:rsidRPr="0007754D">
        <w:rPr>
          <w:color w:val="000000" w:themeColor="text1"/>
          <w:lang w:val="en-GB"/>
        </w:rPr>
        <w:t xml:space="preserve">through </w:t>
      </w:r>
      <w:r w:rsidRPr="0007754D">
        <w:rPr>
          <w:color w:val="000000" w:themeColor="text1"/>
          <w:lang w:val="en-GB"/>
        </w:rPr>
        <w:t xml:space="preserve">the right to health </w:t>
      </w:r>
      <w:r w:rsidR="00536EBA" w:rsidRPr="0007754D">
        <w:rPr>
          <w:color w:val="000000" w:themeColor="text1"/>
          <w:lang w:val="en-GB"/>
        </w:rPr>
        <w:t xml:space="preserve">as </w:t>
      </w:r>
      <w:r w:rsidRPr="0007754D">
        <w:rPr>
          <w:color w:val="000000" w:themeColor="text1"/>
          <w:lang w:val="en-GB"/>
        </w:rPr>
        <w:t>enshrined in Article 11 ESC.</w:t>
      </w:r>
      <w:r w:rsidR="00757A3D" w:rsidRPr="0007754D">
        <w:rPr>
          <w:color w:val="000000" w:themeColor="text1"/>
          <w:lang w:val="en-GB"/>
        </w:rPr>
        <w:t xml:space="preserve"> </w:t>
      </w:r>
      <w:r w:rsidR="00775F2A" w:rsidRPr="0007754D">
        <w:rPr>
          <w:color w:val="000000" w:themeColor="text1"/>
          <w:lang w:val="en-GB"/>
        </w:rPr>
        <w:t>This</w:t>
      </w:r>
      <w:r w:rsidR="009C2309" w:rsidRPr="0007754D">
        <w:rPr>
          <w:color w:val="000000" w:themeColor="text1"/>
          <w:lang w:val="en-GB"/>
        </w:rPr>
        <w:t xml:space="preserve"> position</w:t>
      </w:r>
      <w:r w:rsidR="00775F2A" w:rsidRPr="0007754D">
        <w:rPr>
          <w:color w:val="000000" w:themeColor="text1"/>
          <w:lang w:val="en-GB"/>
        </w:rPr>
        <w:t xml:space="preserve"> </w:t>
      </w:r>
      <w:r w:rsidR="00536EBA" w:rsidRPr="0007754D">
        <w:rPr>
          <w:color w:val="000000" w:themeColor="text1"/>
          <w:lang w:val="en-GB"/>
        </w:rPr>
        <w:t>clearly aligns with</w:t>
      </w:r>
      <w:r w:rsidR="006C7D50" w:rsidRPr="0007754D">
        <w:rPr>
          <w:color w:val="000000" w:themeColor="text1"/>
          <w:lang w:val="en-GB"/>
        </w:rPr>
        <w:t xml:space="preserve"> the</w:t>
      </w:r>
      <w:r w:rsidR="00536EBA" w:rsidRPr="0007754D">
        <w:rPr>
          <w:color w:val="000000" w:themeColor="text1"/>
          <w:lang w:val="en-GB"/>
        </w:rPr>
        <w:t xml:space="preserve"> recommendations </w:t>
      </w:r>
      <w:r w:rsidR="006C7D50" w:rsidRPr="0007754D">
        <w:rPr>
          <w:color w:val="000000" w:themeColor="text1"/>
          <w:lang w:val="en-GB"/>
        </w:rPr>
        <w:t>formulated by</w:t>
      </w:r>
      <w:r w:rsidR="009C2309" w:rsidRPr="0007754D">
        <w:rPr>
          <w:color w:val="000000" w:themeColor="text1"/>
          <w:lang w:val="en-GB"/>
        </w:rPr>
        <w:t xml:space="preserve"> the</w:t>
      </w:r>
      <w:r w:rsidR="00536EBA" w:rsidRPr="0007754D">
        <w:rPr>
          <w:color w:val="000000" w:themeColor="text1"/>
          <w:lang w:val="en-GB"/>
        </w:rPr>
        <w:t xml:space="preserve"> WHO</w:t>
      </w:r>
      <w:r w:rsidR="00400789" w:rsidRPr="0007754D">
        <w:rPr>
          <w:color w:val="000000" w:themeColor="text1"/>
          <w:lang w:val="en-GB"/>
        </w:rPr>
        <w:t xml:space="preserve"> strategy</w:t>
      </w:r>
      <w:r w:rsidR="00536EBA" w:rsidRPr="0007754D">
        <w:rPr>
          <w:color w:val="000000" w:themeColor="text1"/>
          <w:lang w:val="en-GB"/>
        </w:rPr>
        <w:t xml:space="preserve"> and</w:t>
      </w:r>
      <w:r w:rsidR="009C2309" w:rsidRPr="0007754D">
        <w:rPr>
          <w:color w:val="000000" w:themeColor="text1"/>
          <w:lang w:val="en-GB"/>
        </w:rPr>
        <w:t xml:space="preserve"> UN</w:t>
      </w:r>
      <w:r w:rsidR="00400789" w:rsidRPr="0007754D">
        <w:rPr>
          <w:color w:val="000000" w:themeColor="text1"/>
          <w:lang w:val="en-GB"/>
        </w:rPr>
        <w:t>CESCR GC22</w:t>
      </w:r>
      <w:r w:rsidR="00775F2A" w:rsidRPr="0007754D">
        <w:rPr>
          <w:color w:val="000000" w:themeColor="text1"/>
          <w:lang w:val="en-GB"/>
        </w:rPr>
        <w:t xml:space="preserve">, </w:t>
      </w:r>
      <w:r w:rsidR="006C7D50" w:rsidRPr="0007754D">
        <w:rPr>
          <w:color w:val="000000" w:themeColor="text1"/>
          <w:lang w:val="en-GB"/>
        </w:rPr>
        <w:t>since both</w:t>
      </w:r>
      <w:r w:rsidR="00536EBA" w:rsidRPr="0007754D">
        <w:rPr>
          <w:color w:val="000000" w:themeColor="text1"/>
          <w:lang w:val="en-GB"/>
        </w:rPr>
        <w:t xml:space="preserve"> consider that</w:t>
      </w:r>
      <w:r w:rsidR="00775F2A" w:rsidRPr="0007754D">
        <w:rPr>
          <w:color w:val="000000" w:themeColor="text1"/>
          <w:lang w:val="en-GB"/>
        </w:rPr>
        <w:t xml:space="preserve"> states’ efforts to improve maternal </w:t>
      </w:r>
      <w:r w:rsidR="005E1193" w:rsidRPr="0007754D">
        <w:rPr>
          <w:color w:val="000000" w:themeColor="text1"/>
          <w:lang w:val="en-GB"/>
        </w:rPr>
        <w:t>health services</w:t>
      </w:r>
      <w:r w:rsidR="004B4EC5" w:rsidRPr="0007754D">
        <w:rPr>
          <w:color w:val="000000" w:themeColor="text1"/>
          <w:lang w:val="en-GB"/>
        </w:rPr>
        <w:t xml:space="preserve"> </w:t>
      </w:r>
      <w:r w:rsidR="009C2309" w:rsidRPr="0007754D">
        <w:rPr>
          <w:color w:val="000000" w:themeColor="text1"/>
          <w:lang w:val="en-GB"/>
        </w:rPr>
        <w:t xml:space="preserve">are </w:t>
      </w:r>
      <w:r w:rsidR="0085498E" w:rsidRPr="0007754D">
        <w:rPr>
          <w:color w:val="000000" w:themeColor="text1"/>
          <w:lang w:val="en-GB"/>
        </w:rPr>
        <w:t>crucial</w:t>
      </w:r>
      <w:r w:rsidR="00775F2A" w:rsidRPr="0007754D">
        <w:rPr>
          <w:color w:val="000000" w:themeColor="text1"/>
          <w:lang w:val="en-GB"/>
        </w:rPr>
        <w:t xml:space="preserve"> </w:t>
      </w:r>
      <w:r w:rsidR="009C2309" w:rsidRPr="0007754D">
        <w:rPr>
          <w:color w:val="000000" w:themeColor="text1"/>
          <w:lang w:val="en-GB"/>
        </w:rPr>
        <w:t>for</w:t>
      </w:r>
      <w:r w:rsidR="00536EBA" w:rsidRPr="0007754D">
        <w:rPr>
          <w:color w:val="000000" w:themeColor="text1"/>
          <w:lang w:val="en-GB"/>
        </w:rPr>
        <w:t xml:space="preserve"> </w:t>
      </w:r>
      <w:r w:rsidR="00775F2A" w:rsidRPr="0007754D">
        <w:rPr>
          <w:color w:val="000000" w:themeColor="text1"/>
          <w:lang w:val="en-GB"/>
        </w:rPr>
        <w:t>SRH.</w:t>
      </w:r>
      <w:r w:rsidR="00775F2A" w:rsidRPr="0007754D">
        <w:rPr>
          <w:rStyle w:val="FootnoteReference"/>
          <w:color w:val="000000" w:themeColor="text1"/>
        </w:rPr>
        <w:footnoteReference w:id="131"/>
      </w:r>
      <w:r w:rsidR="00775F2A" w:rsidRPr="0007754D">
        <w:rPr>
          <w:color w:val="000000" w:themeColor="text1"/>
          <w:lang w:val="en-GB"/>
        </w:rPr>
        <w:t xml:space="preserve"> </w:t>
      </w:r>
      <w:r w:rsidR="00080E81" w:rsidRPr="0007754D">
        <w:rPr>
          <w:color w:val="000000" w:themeColor="text1"/>
          <w:lang w:val="en-GB"/>
        </w:rPr>
        <w:t xml:space="preserve">It also goes beyond the review operated by the ECtHR regarding obstetric care, as the latter is restricted to rulings against </w:t>
      </w:r>
      <w:r w:rsidR="00F94BC6" w:rsidRPr="0007754D">
        <w:rPr>
          <w:color w:val="000000" w:themeColor="text1"/>
          <w:lang w:val="en-GB"/>
        </w:rPr>
        <w:t>forced sterilisations, obstetric and gynaecological malpractice</w:t>
      </w:r>
      <w:r w:rsidR="00080E81" w:rsidRPr="0007754D">
        <w:rPr>
          <w:color w:val="000000" w:themeColor="text1"/>
          <w:lang w:val="en-GB"/>
        </w:rPr>
        <w:t>,</w:t>
      </w:r>
      <w:r w:rsidR="00C668F0" w:rsidRPr="0007754D">
        <w:rPr>
          <w:color w:val="000000" w:themeColor="text1"/>
          <w:lang w:val="en-GB"/>
        </w:rPr>
        <w:t xml:space="preserve"> </w:t>
      </w:r>
      <w:r w:rsidR="00F94BC6" w:rsidRPr="0007754D">
        <w:rPr>
          <w:color w:val="000000" w:themeColor="text1"/>
          <w:lang w:val="en-GB"/>
        </w:rPr>
        <w:t>homebirths</w:t>
      </w:r>
      <w:r w:rsidR="00C668F0" w:rsidRPr="0007754D">
        <w:rPr>
          <w:color w:val="000000" w:themeColor="text1"/>
          <w:lang w:val="en-GB"/>
        </w:rPr>
        <w:t>, and rights over one’s own SRH medical data.</w:t>
      </w:r>
    </w:p>
    <w:p w14:paraId="2BDF15B6" w14:textId="77777777" w:rsidR="000062E5" w:rsidRPr="0007754D" w:rsidRDefault="000062E5" w:rsidP="00544E74">
      <w:pPr>
        <w:spacing w:line="276" w:lineRule="auto"/>
        <w:jc w:val="both"/>
        <w:rPr>
          <w:color w:val="000000" w:themeColor="text1"/>
          <w:lang w:val="en-GB"/>
        </w:rPr>
      </w:pPr>
    </w:p>
    <w:p w14:paraId="2850AB28" w14:textId="24AE7582" w:rsidR="000062E5" w:rsidRPr="0007754D" w:rsidRDefault="0074494C" w:rsidP="00544E74">
      <w:pPr>
        <w:spacing w:line="276" w:lineRule="auto"/>
        <w:jc w:val="both"/>
        <w:rPr>
          <w:iCs/>
          <w:color w:val="000000" w:themeColor="text1"/>
          <w:lang w:val="en-GB"/>
        </w:rPr>
      </w:pPr>
      <w:r w:rsidRPr="0007754D">
        <w:rPr>
          <w:color w:val="000000" w:themeColor="text1"/>
          <w:lang w:val="en-GB"/>
        </w:rPr>
        <w:t>Another SRH matter consistently monitored under the right to health from 2001 to 2009 was that of sex education</w:t>
      </w:r>
      <w:r w:rsidR="00354CD8" w:rsidRPr="0007754D">
        <w:rPr>
          <w:color w:val="000000" w:themeColor="text1"/>
          <w:lang w:val="en-GB"/>
        </w:rPr>
        <w:t xml:space="preserve"> to school pupils (and, </w:t>
      </w:r>
      <w:r w:rsidR="00775F2A" w:rsidRPr="0007754D">
        <w:rPr>
          <w:color w:val="000000" w:themeColor="text1"/>
          <w:lang w:val="en-GB"/>
        </w:rPr>
        <w:t>some</w:t>
      </w:r>
      <w:r w:rsidR="00354CD8" w:rsidRPr="0007754D">
        <w:rPr>
          <w:color w:val="000000" w:themeColor="text1"/>
          <w:lang w:val="en-GB"/>
        </w:rPr>
        <w:t xml:space="preserve">times, </w:t>
      </w:r>
      <w:r w:rsidR="00BE1281" w:rsidRPr="0007754D">
        <w:rPr>
          <w:color w:val="000000" w:themeColor="text1"/>
          <w:lang w:val="en-GB"/>
        </w:rPr>
        <w:t xml:space="preserve">sex education </w:t>
      </w:r>
      <w:r w:rsidR="00354CD8" w:rsidRPr="0007754D">
        <w:rPr>
          <w:color w:val="000000" w:themeColor="text1"/>
          <w:lang w:val="en-GB"/>
        </w:rPr>
        <w:t>to the overall population).</w:t>
      </w:r>
      <w:r w:rsidR="00F42E67" w:rsidRPr="0007754D">
        <w:rPr>
          <w:color w:val="000000" w:themeColor="text1"/>
          <w:lang w:val="en-GB"/>
        </w:rPr>
        <w:t xml:space="preserve"> In its reporting procedure at the time, the ECoSR </w:t>
      </w:r>
      <w:r w:rsidR="00F42E67" w:rsidRPr="0007754D">
        <w:rPr>
          <w:iCs/>
          <w:color w:val="000000" w:themeColor="text1"/>
          <w:lang w:val="en-GB"/>
        </w:rPr>
        <w:t xml:space="preserve">repeatedly requested that </w:t>
      </w:r>
      <w:r w:rsidR="00F42E67" w:rsidRPr="0007754D">
        <w:rPr>
          <w:color w:val="000000" w:themeColor="text1"/>
          <w:lang w:val="en-GB"/>
        </w:rPr>
        <w:t xml:space="preserve">health education be included in school curricula, that it be provided during the entire period of schooling, and that it covered </w:t>
      </w:r>
      <w:r w:rsidR="00F42E67" w:rsidRPr="0007754D">
        <w:rPr>
          <w:iCs/>
          <w:color w:val="000000" w:themeColor="text1"/>
          <w:lang w:val="en-GB"/>
        </w:rPr>
        <w:t>sexual and reproductive education.</w:t>
      </w:r>
      <w:r w:rsidR="00F42E67" w:rsidRPr="0007754D">
        <w:rPr>
          <w:rStyle w:val="FootnoteReference"/>
          <w:color w:val="000000" w:themeColor="text1"/>
        </w:rPr>
        <w:footnoteReference w:id="132"/>
      </w:r>
      <w:r w:rsidR="00F42E67" w:rsidRPr="0007754D">
        <w:rPr>
          <w:iCs/>
          <w:color w:val="000000" w:themeColor="text1"/>
          <w:lang w:val="en-GB"/>
        </w:rPr>
        <w:t xml:space="preserve"> </w:t>
      </w:r>
      <w:r w:rsidR="00265F5B" w:rsidRPr="0007754D">
        <w:rPr>
          <w:iCs/>
          <w:color w:val="000000" w:themeColor="text1"/>
          <w:lang w:val="en-GB"/>
        </w:rPr>
        <w:t xml:space="preserve">The </w:t>
      </w:r>
      <w:r w:rsidR="006C7D50" w:rsidRPr="0007754D">
        <w:rPr>
          <w:iCs/>
          <w:color w:val="000000" w:themeColor="text1"/>
          <w:lang w:val="en-GB"/>
        </w:rPr>
        <w:t>Committee</w:t>
      </w:r>
      <w:r w:rsidR="00265F5B" w:rsidRPr="0007754D">
        <w:rPr>
          <w:iCs/>
          <w:color w:val="000000" w:themeColor="text1"/>
          <w:lang w:val="en-GB"/>
        </w:rPr>
        <w:t xml:space="preserve"> also consistently require</w:t>
      </w:r>
      <w:r w:rsidR="003B6237" w:rsidRPr="0007754D">
        <w:rPr>
          <w:iCs/>
          <w:color w:val="000000" w:themeColor="text1"/>
          <w:lang w:val="en-GB"/>
        </w:rPr>
        <w:t>d</w:t>
      </w:r>
      <w:r w:rsidR="00265F5B" w:rsidRPr="0007754D">
        <w:rPr>
          <w:iCs/>
          <w:color w:val="000000" w:themeColor="text1"/>
          <w:lang w:val="en-GB"/>
        </w:rPr>
        <w:t xml:space="preserve"> that </w:t>
      </w:r>
      <w:r w:rsidR="00265F5B" w:rsidRPr="0007754D">
        <w:rPr>
          <w:color w:val="000000" w:themeColor="text1"/>
          <w:lang w:val="en-GB"/>
        </w:rPr>
        <w:t>awareness-raising campaigns targeted at the general population address</w:t>
      </w:r>
      <w:r w:rsidR="00767AEB" w:rsidRPr="0007754D">
        <w:rPr>
          <w:color w:val="000000" w:themeColor="text1"/>
          <w:lang w:val="en-GB"/>
        </w:rPr>
        <w:t>ed</w:t>
      </w:r>
      <w:r w:rsidR="00265F5B" w:rsidRPr="0007754D">
        <w:rPr>
          <w:color w:val="000000" w:themeColor="text1"/>
          <w:lang w:val="en-GB"/>
        </w:rPr>
        <w:t xml:space="preserve"> public health priorities, including sex education.</w:t>
      </w:r>
      <w:r w:rsidR="00265F5B" w:rsidRPr="0007754D">
        <w:rPr>
          <w:rStyle w:val="FootnoteReference"/>
          <w:color w:val="000000" w:themeColor="text1"/>
        </w:rPr>
        <w:footnoteReference w:id="133"/>
      </w:r>
      <w:r w:rsidR="003B6237" w:rsidRPr="0007754D">
        <w:rPr>
          <w:iCs/>
          <w:color w:val="000000" w:themeColor="text1"/>
          <w:lang w:val="en-GB"/>
        </w:rPr>
        <w:t xml:space="preserve"> </w:t>
      </w:r>
      <w:r w:rsidR="001E1185" w:rsidRPr="0007754D">
        <w:rPr>
          <w:iCs/>
          <w:color w:val="000000" w:themeColor="text1"/>
          <w:lang w:val="en-GB"/>
        </w:rPr>
        <w:t xml:space="preserve">Therefore, the </w:t>
      </w:r>
      <w:r w:rsidR="00775F2A" w:rsidRPr="0007754D">
        <w:rPr>
          <w:color w:val="000000" w:themeColor="text1"/>
          <w:lang w:val="en-GB"/>
        </w:rPr>
        <w:t xml:space="preserve">Committee </w:t>
      </w:r>
      <w:r w:rsidR="001E1185" w:rsidRPr="0007754D">
        <w:rPr>
          <w:color w:val="000000" w:themeColor="text1"/>
          <w:lang w:val="en-GB"/>
        </w:rPr>
        <w:t xml:space="preserve">did not simply focus on the ‘curative’ aspect of SRH </w:t>
      </w:r>
      <w:r w:rsidR="00775F2A" w:rsidRPr="0007754D">
        <w:rPr>
          <w:color w:val="000000" w:themeColor="text1"/>
          <w:lang w:val="en-GB"/>
        </w:rPr>
        <w:t>from 2001 to 2009</w:t>
      </w:r>
      <w:r w:rsidR="001E1185" w:rsidRPr="0007754D">
        <w:rPr>
          <w:color w:val="000000" w:themeColor="text1"/>
          <w:lang w:val="en-GB"/>
        </w:rPr>
        <w:t>, but it also addressed its ‘promotional’ aspect.</w:t>
      </w:r>
      <w:r w:rsidR="00775F2A" w:rsidRPr="0007754D">
        <w:rPr>
          <w:color w:val="000000" w:themeColor="text1"/>
          <w:lang w:val="en-GB"/>
        </w:rPr>
        <w:t xml:space="preserve"> This</w:t>
      </w:r>
      <w:r w:rsidR="00F21F68" w:rsidRPr="0007754D">
        <w:rPr>
          <w:color w:val="000000" w:themeColor="text1"/>
          <w:lang w:val="en-GB"/>
        </w:rPr>
        <w:t xml:space="preserve"> position</w:t>
      </w:r>
      <w:r w:rsidR="00775F2A" w:rsidRPr="0007754D">
        <w:rPr>
          <w:color w:val="000000" w:themeColor="text1"/>
          <w:lang w:val="en-GB"/>
        </w:rPr>
        <w:t xml:space="preserve">, again, </w:t>
      </w:r>
      <w:r w:rsidR="00C668F0" w:rsidRPr="0007754D">
        <w:rPr>
          <w:color w:val="000000" w:themeColor="text1"/>
          <w:lang w:val="en-GB"/>
        </w:rPr>
        <w:t>echoes</w:t>
      </w:r>
      <w:r w:rsidR="00775F2A" w:rsidRPr="0007754D">
        <w:rPr>
          <w:color w:val="000000" w:themeColor="text1"/>
          <w:lang w:val="en-GB"/>
        </w:rPr>
        <w:t xml:space="preserve"> recommendations </w:t>
      </w:r>
      <w:r w:rsidR="006C7D50" w:rsidRPr="0007754D">
        <w:rPr>
          <w:color w:val="000000" w:themeColor="text1"/>
          <w:lang w:val="en-GB"/>
        </w:rPr>
        <w:t>formulated by</w:t>
      </w:r>
      <w:r w:rsidR="00775F2A" w:rsidRPr="0007754D">
        <w:rPr>
          <w:color w:val="000000" w:themeColor="text1"/>
          <w:lang w:val="en-GB"/>
        </w:rPr>
        <w:t xml:space="preserve"> the </w:t>
      </w:r>
      <w:r w:rsidR="006C7D50" w:rsidRPr="0007754D">
        <w:rPr>
          <w:color w:val="000000" w:themeColor="text1"/>
          <w:lang w:val="en-GB"/>
        </w:rPr>
        <w:t xml:space="preserve">WHO </w:t>
      </w:r>
      <w:r w:rsidR="00400789" w:rsidRPr="0007754D">
        <w:rPr>
          <w:color w:val="000000" w:themeColor="text1"/>
          <w:lang w:val="en-GB"/>
        </w:rPr>
        <w:t>strategy and UNCESCR GC</w:t>
      </w:r>
      <w:r w:rsidR="006C7D50" w:rsidRPr="0007754D">
        <w:rPr>
          <w:color w:val="000000" w:themeColor="text1"/>
          <w:lang w:val="en-GB"/>
        </w:rPr>
        <w:t>22, since both stress the importance of high quality family planning services</w:t>
      </w:r>
      <w:r w:rsidR="00997497" w:rsidRPr="0007754D">
        <w:rPr>
          <w:color w:val="000000" w:themeColor="text1"/>
        </w:rPr>
        <w:t xml:space="preserve"> and sexual health promotion</w:t>
      </w:r>
      <w:r w:rsidR="006C7D50" w:rsidRPr="0007754D">
        <w:rPr>
          <w:color w:val="000000" w:themeColor="text1"/>
          <w:lang w:val="en-GB"/>
        </w:rPr>
        <w:t xml:space="preserve">, </w:t>
      </w:r>
      <w:r w:rsidR="00997497" w:rsidRPr="0007754D">
        <w:rPr>
          <w:color w:val="000000" w:themeColor="text1"/>
          <w:lang w:val="en-GB"/>
        </w:rPr>
        <w:t>including SRH education for all</w:t>
      </w:r>
      <w:r w:rsidR="00997497" w:rsidRPr="0007754D">
        <w:rPr>
          <w:color w:val="000000" w:themeColor="text1"/>
        </w:rPr>
        <w:t>.</w:t>
      </w:r>
      <w:r w:rsidR="00997497" w:rsidRPr="0007754D">
        <w:rPr>
          <w:rStyle w:val="FootnoteReference"/>
          <w:color w:val="000000" w:themeColor="text1"/>
        </w:rPr>
        <w:footnoteReference w:id="134"/>
      </w:r>
      <w:r w:rsidR="00080E81" w:rsidRPr="0007754D">
        <w:rPr>
          <w:color w:val="000000" w:themeColor="text1"/>
          <w:lang w:val="en-GB"/>
        </w:rPr>
        <w:t xml:space="preserve"> It also corresponds to the approach dev</w:t>
      </w:r>
      <w:r w:rsidR="00B75F10" w:rsidRPr="0007754D">
        <w:rPr>
          <w:color w:val="000000" w:themeColor="text1"/>
          <w:lang w:val="en-GB"/>
        </w:rPr>
        <w:t>eloped by the ECtHR in its case-</w:t>
      </w:r>
      <w:r w:rsidR="00080E81" w:rsidRPr="0007754D">
        <w:rPr>
          <w:color w:val="000000" w:themeColor="text1"/>
          <w:lang w:val="en-GB"/>
        </w:rPr>
        <w:t>law on</w:t>
      </w:r>
      <w:r w:rsidR="00563868" w:rsidRPr="0007754D">
        <w:rPr>
          <w:color w:val="000000" w:themeColor="text1"/>
          <w:lang w:val="en-GB"/>
        </w:rPr>
        <w:t xml:space="preserve"> SRH education under Article 2 of Protocol 1 of the ECHR</w:t>
      </w:r>
      <w:r w:rsidR="00767AEB" w:rsidRPr="0007754D">
        <w:rPr>
          <w:color w:val="000000" w:themeColor="text1"/>
          <w:lang w:val="en-GB"/>
        </w:rPr>
        <w:t xml:space="preserve">, </w:t>
      </w:r>
      <w:r w:rsidR="00997497" w:rsidRPr="0007754D">
        <w:rPr>
          <w:color w:val="000000" w:themeColor="text1"/>
          <w:lang w:val="en-GB"/>
        </w:rPr>
        <w:t>despite it not being</w:t>
      </w:r>
      <w:r w:rsidR="00767AEB" w:rsidRPr="0007754D">
        <w:rPr>
          <w:color w:val="000000" w:themeColor="text1"/>
          <w:lang w:val="en-GB"/>
        </w:rPr>
        <w:t xml:space="preserve"> studied in this paper</w:t>
      </w:r>
      <w:r w:rsidR="00080E81" w:rsidRPr="0007754D">
        <w:rPr>
          <w:color w:val="000000" w:themeColor="text1"/>
          <w:lang w:val="en-GB"/>
        </w:rPr>
        <w:t>.</w:t>
      </w:r>
      <w:r w:rsidR="00767AEB" w:rsidRPr="0007754D">
        <w:rPr>
          <w:rStyle w:val="FootnoteReference"/>
          <w:color w:val="000000" w:themeColor="text1"/>
        </w:rPr>
        <w:footnoteReference w:id="135"/>
      </w:r>
    </w:p>
    <w:p w14:paraId="7E4260FB" w14:textId="77777777" w:rsidR="00757A3D" w:rsidRPr="0007754D" w:rsidRDefault="00757A3D" w:rsidP="00544E74">
      <w:pPr>
        <w:spacing w:line="276" w:lineRule="auto"/>
        <w:jc w:val="both"/>
        <w:rPr>
          <w:color w:val="000000" w:themeColor="text1"/>
          <w:lang w:val="en-GB"/>
        </w:rPr>
      </w:pPr>
    </w:p>
    <w:p w14:paraId="63B0B698" w14:textId="13C855B1" w:rsidR="0090788E" w:rsidRPr="0007754D" w:rsidRDefault="00667EC3" w:rsidP="0090788E">
      <w:pPr>
        <w:spacing w:line="276" w:lineRule="auto"/>
        <w:jc w:val="both"/>
        <w:rPr>
          <w:color w:val="000000" w:themeColor="text1"/>
          <w:lang w:val="en-GB"/>
        </w:rPr>
      </w:pPr>
      <w:r w:rsidRPr="0007754D">
        <w:rPr>
          <w:color w:val="000000" w:themeColor="text1"/>
          <w:lang w:val="en-GB"/>
        </w:rPr>
        <w:t xml:space="preserve">Finally, when monitoring states’ compliance with Article 11 ESC in its reporting procedure from 2001 to 2009, </w:t>
      </w:r>
      <w:r w:rsidR="0090788E" w:rsidRPr="0007754D">
        <w:rPr>
          <w:color w:val="000000" w:themeColor="text1"/>
          <w:lang w:val="en-GB"/>
        </w:rPr>
        <w:t>the ECoSR</w:t>
      </w:r>
      <w:r w:rsidR="001E1185" w:rsidRPr="0007754D">
        <w:rPr>
          <w:color w:val="000000" w:themeColor="text1"/>
          <w:lang w:val="en-GB"/>
        </w:rPr>
        <w:t xml:space="preserve"> also </w:t>
      </w:r>
      <w:r w:rsidR="003221BF" w:rsidRPr="0007754D">
        <w:rPr>
          <w:color w:val="000000" w:themeColor="text1"/>
          <w:lang w:val="en-GB"/>
        </w:rPr>
        <w:t>reviewed</w:t>
      </w:r>
      <w:r w:rsidR="001E1185" w:rsidRPr="0007754D">
        <w:rPr>
          <w:color w:val="000000" w:themeColor="text1"/>
          <w:lang w:val="en-GB"/>
        </w:rPr>
        <w:t xml:space="preserve"> SRH by regularly expecting</w:t>
      </w:r>
      <w:r w:rsidR="00062351" w:rsidRPr="0007754D">
        <w:rPr>
          <w:color w:val="000000" w:themeColor="text1"/>
          <w:lang w:val="en-GB"/>
        </w:rPr>
        <w:t xml:space="preserve"> states to </w:t>
      </w:r>
      <w:r w:rsidR="00340320" w:rsidRPr="0007754D">
        <w:rPr>
          <w:color w:val="000000" w:themeColor="text1"/>
          <w:lang w:val="en-GB"/>
        </w:rPr>
        <w:t>combat</w:t>
      </w:r>
      <w:r w:rsidR="00062351" w:rsidRPr="0007754D">
        <w:rPr>
          <w:color w:val="000000" w:themeColor="text1"/>
          <w:lang w:val="en-GB"/>
        </w:rPr>
        <w:t xml:space="preserve"> diseases af</w:t>
      </w:r>
      <w:r w:rsidRPr="0007754D">
        <w:rPr>
          <w:color w:val="000000" w:themeColor="text1"/>
          <w:lang w:val="en-GB"/>
        </w:rPr>
        <w:t xml:space="preserve">fecting the reproductive system. </w:t>
      </w:r>
      <w:r w:rsidR="009E5A60" w:rsidRPr="0007754D">
        <w:rPr>
          <w:color w:val="000000" w:themeColor="text1"/>
          <w:lang w:val="en-GB"/>
        </w:rPr>
        <w:t xml:space="preserve"> The </w:t>
      </w:r>
      <w:r w:rsidR="00775F2A" w:rsidRPr="0007754D">
        <w:rPr>
          <w:color w:val="000000" w:themeColor="text1"/>
          <w:lang w:val="en-GB"/>
        </w:rPr>
        <w:t xml:space="preserve">Committee </w:t>
      </w:r>
      <w:r w:rsidRPr="0007754D">
        <w:rPr>
          <w:color w:val="000000" w:themeColor="text1"/>
          <w:lang w:val="en-GB"/>
        </w:rPr>
        <w:t>kept requiring</w:t>
      </w:r>
      <w:r w:rsidR="0090788E" w:rsidRPr="0007754D">
        <w:rPr>
          <w:color w:val="000000" w:themeColor="text1"/>
          <w:lang w:val="en-GB"/>
        </w:rPr>
        <w:t>, in particular, that states demonstrate their ability to cope with infectio</w:t>
      </w:r>
      <w:r w:rsidR="009E5A60" w:rsidRPr="0007754D">
        <w:rPr>
          <w:color w:val="000000" w:themeColor="text1"/>
          <w:lang w:val="en-GB"/>
        </w:rPr>
        <w:t>u</w:t>
      </w:r>
      <w:r w:rsidR="0090788E" w:rsidRPr="0007754D">
        <w:rPr>
          <w:color w:val="000000" w:themeColor="text1"/>
          <w:lang w:val="en-GB"/>
        </w:rPr>
        <w:t xml:space="preserve">s diseases via prophylactic measures, including special treatment for </w:t>
      </w:r>
      <w:r w:rsidR="002153F3" w:rsidRPr="0007754D">
        <w:rPr>
          <w:color w:val="000000" w:themeColor="text1"/>
          <w:lang w:val="en-GB"/>
        </w:rPr>
        <w:t xml:space="preserve">patients suffering from </w:t>
      </w:r>
      <w:r w:rsidR="0090788E" w:rsidRPr="0007754D">
        <w:rPr>
          <w:color w:val="000000" w:themeColor="text1"/>
          <w:lang w:val="en-GB"/>
        </w:rPr>
        <w:t>AIDS.</w:t>
      </w:r>
      <w:r w:rsidR="0090788E" w:rsidRPr="0007754D">
        <w:rPr>
          <w:rStyle w:val="FootnoteReference"/>
          <w:color w:val="000000" w:themeColor="text1"/>
        </w:rPr>
        <w:footnoteReference w:id="136"/>
      </w:r>
      <w:r w:rsidR="009E5A60" w:rsidRPr="0007754D">
        <w:rPr>
          <w:color w:val="000000" w:themeColor="text1"/>
          <w:lang w:val="en-GB"/>
        </w:rPr>
        <w:t xml:space="preserve"> </w:t>
      </w:r>
      <w:r w:rsidR="00384A42" w:rsidRPr="0007754D">
        <w:rPr>
          <w:color w:val="000000" w:themeColor="text1"/>
          <w:lang w:val="en-GB"/>
        </w:rPr>
        <w:t>T</w:t>
      </w:r>
      <w:r w:rsidR="00955611" w:rsidRPr="0007754D">
        <w:rPr>
          <w:color w:val="000000" w:themeColor="text1"/>
          <w:lang w:val="en-GB"/>
        </w:rPr>
        <w:t>he ECoSR also monitored the availability of screening services regarding breast</w:t>
      </w:r>
      <w:r w:rsidR="003834AC" w:rsidRPr="0007754D">
        <w:rPr>
          <w:color w:val="000000" w:themeColor="text1"/>
          <w:lang w:val="en-GB"/>
        </w:rPr>
        <w:t>, cervical</w:t>
      </w:r>
      <w:r w:rsidR="00955611" w:rsidRPr="0007754D">
        <w:rPr>
          <w:color w:val="000000" w:themeColor="text1"/>
          <w:lang w:val="en-GB"/>
        </w:rPr>
        <w:t xml:space="preserve"> or prostate cancer</w:t>
      </w:r>
      <w:r w:rsidR="00384A42" w:rsidRPr="0007754D">
        <w:rPr>
          <w:color w:val="000000" w:themeColor="text1"/>
          <w:lang w:val="en-GB"/>
        </w:rPr>
        <w:t>, though irregularly</w:t>
      </w:r>
      <w:r w:rsidR="00955611" w:rsidRPr="0007754D">
        <w:rPr>
          <w:color w:val="000000" w:themeColor="text1"/>
          <w:lang w:val="en-GB"/>
        </w:rPr>
        <w:t>.</w:t>
      </w:r>
      <w:r w:rsidR="007B4050" w:rsidRPr="0007754D">
        <w:rPr>
          <w:rStyle w:val="FootnoteReference"/>
          <w:color w:val="000000" w:themeColor="text1"/>
        </w:rPr>
        <w:footnoteReference w:id="137"/>
      </w:r>
      <w:r w:rsidR="00955611" w:rsidRPr="0007754D">
        <w:rPr>
          <w:color w:val="000000" w:themeColor="text1"/>
          <w:lang w:val="en-GB"/>
        </w:rPr>
        <w:t xml:space="preserve"> </w:t>
      </w:r>
      <w:r w:rsidR="003221BF" w:rsidRPr="0007754D">
        <w:rPr>
          <w:color w:val="000000" w:themeColor="text1"/>
          <w:lang w:val="en-GB"/>
        </w:rPr>
        <w:t>However, no further monitoring was developed on this aspect.</w:t>
      </w:r>
      <w:r w:rsidR="00775F2A" w:rsidRPr="0007754D">
        <w:rPr>
          <w:color w:val="000000" w:themeColor="text1"/>
          <w:lang w:val="en-GB"/>
        </w:rPr>
        <w:t xml:space="preserve"> Therefore, the Committee’s </w:t>
      </w:r>
      <w:r w:rsidR="007226F6" w:rsidRPr="0007754D">
        <w:rPr>
          <w:color w:val="000000" w:themeColor="text1"/>
          <w:lang w:val="en-GB"/>
        </w:rPr>
        <w:t>review is</w:t>
      </w:r>
      <w:r w:rsidR="00412925" w:rsidRPr="0007754D">
        <w:rPr>
          <w:color w:val="000000" w:themeColor="text1"/>
          <w:lang w:val="en-GB"/>
        </w:rPr>
        <w:t xml:space="preserve"> </w:t>
      </w:r>
      <w:r w:rsidR="0098512D" w:rsidRPr="0007754D">
        <w:rPr>
          <w:color w:val="000000" w:themeColor="text1"/>
          <w:lang w:val="en-GB"/>
        </w:rPr>
        <w:t>mainly</w:t>
      </w:r>
      <w:r w:rsidR="00865CBB" w:rsidRPr="0007754D">
        <w:rPr>
          <w:color w:val="000000" w:themeColor="text1"/>
          <w:lang w:val="en-GB"/>
        </w:rPr>
        <w:t xml:space="preserve"> </w:t>
      </w:r>
      <w:r w:rsidR="007226F6" w:rsidRPr="0007754D">
        <w:rPr>
          <w:color w:val="000000" w:themeColor="text1"/>
          <w:lang w:val="en-GB"/>
        </w:rPr>
        <w:t>in line with recommendation</w:t>
      </w:r>
      <w:r w:rsidR="00865CBB" w:rsidRPr="0007754D">
        <w:rPr>
          <w:color w:val="000000" w:themeColor="text1"/>
          <w:lang w:val="en-GB"/>
        </w:rPr>
        <w:t>s</w:t>
      </w:r>
      <w:r w:rsidR="007226F6" w:rsidRPr="0007754D">
        <w:rPr>
          <w:color w:val="000000" w:themeColor="text1"/>
          <w:lang w:val="en-GB"/>
        </w:rPr>
        <w:t xml:space="preserve"> of</w:t>
      </w:r>
      <w:r w:rsidR="00775F2A" w:rsidRPr="0007754D">
        <w:rPr>
          <w:color w:val="000000" w:themeColor="text1"/>
          <w:lang w:val="en-GB"/>
        </w:rPr>
        <w:t xml:space="preserve"> </w:t>
      </w:r>
      <w:r w:rsidR="00865CBB" w:rsidRPr="0007754D">
        <w:rPr>
          <w:color w:val="000000" w:themeColor="text1"/>
          <w:lang w:val="en-GB"/>
        </w:rPr>
        <w:t>the WHO</w:t>
      </w:r>
      <w:r w:rsidR="00400789" w:rsidRPr="0007754D">
        <w:rPr>
          <w:color w:val="000000" w:themeColor="text1"/>
          <w:lang w:val="en-GB"/>
        </w:rPr>
        <w:t xml:space="preserve"> strategy</w:t>
      </w:r>
      <w:r w:rsidR="00865CBB" w:rsidRPr="0007754D">
        <w:rPr>
          <w:color w:val="000000" w:themeColor="text1"/>
          <w:lang w:val="en-GB"/>
        </w:rPr>
        <w:t xml:space="preserve"> and </w:t>
      </w:r>
      <w:r w:rsidR="00400789" w:rsidRPr="0007754D">
        <w:rPr>
          <w:color w:val="000000" w:themeColor="text1"/>
          <w:lang w:val="en-GB"/>
        </w:rPr>
        <w:t>UNCESCR GC</w:t>
      </w:r>
      <w:r w:rsidR="00865CBB" w:rsidRPr="0007754D">
        <w:rPr>
          <w:color w:val="000000" w:themeColor="text1"/>
          <w:lang w:val="en-GB"/>
        </w:rPr>
        <w:t>22</w:t>
      </w:r>
      <w:r w:rsidR="00F57859" w:rsidRPr="0007754D">
        <w:rPr>
          <w:color w:val="000000" w:themeColor="text1"/>
          <w:lang w:val="en-GB"/>
        </w:rPr>
        <w:t xml:space="preserve">, </w:t>
      </w:r>
      <w:r w:rsidR="0098512D" w:rsidRPr="0007754D">
        <w:rPr>
          <w:color w:val="000000" w:themeColor="text1"/>
          <w:lang w:val="en-GB"/>
        </w:rPr>
        <w:t xml:space="preserve">which </w:t>
      </w:r>
      <w:r w:rsidR="00F57859" w:rsidRPr="0007754D">
        <w:rPr>
          <w:color w:val="000000" w:themeColor="text1"/>
          <w:lang w:val="en-GB"/>
        </w:rPr>
        <w:t>emphasis</w:t>
      </w:r>
      <w:r w:rsidR="00A26BC8" w:rsidRPr="0007754D">
        <w:rPr>
          <w:color w:val="000000" w:themeColor="text1"/>
          <w:lang w:val="en-GB"/>
        </w:rPr>
        <w:t>e</w:t>
      </w:r>
      <w:r w:rsidR="00F57859" w:rsidRPr="0007754D">
        <w:rPr>
          <w:color w:val="000000" w:themeColor="text1"/>
          <w:lang w:val="en-GB"/>
        </w:rPr>
        <w:t xml:space="preserve"> </w:t>
      </w:r>
      <w:r w:rsidR="007226F6" w:rsidRPr="0007754D">
        <w:rPr>
          <w:color w:val="000000" w:themeColor="text1"/>
          <w:lang w:val="en-GB"/>
        </w:rPr>
        <w:t xml:space="preserve">the necessity for states to take </w:t>
      </w:r>
      <w:r w:rsidR="00775F2A" w:rsidRPr="0007754D">
        <w:rPr>
          <w:color w:val="000000" w:themeColor="text1"/>
          <w:lang w:val="en-GB"/>
        </w:rPr>
        <w:t>measures combatting sexually transmitted infections</w:t>
      </w:r>
      <w:r w:rsidR="00997497" w:rsidRPr="0007754D">
        <w:rPr>
          <w:color w:val="000000" w:themeColor="text1"/>
          <w:lang w:val="en-GB"/>
        </w:rPr>
        <w:t xml:space="preserve"> and reproductive cancers</w:t>
      </w:r>
      <w:r w:rsidR="00775F2A" w:rsidRPr="0007754D">
        <w:rPr>
          <w:color w:val="000000" w:themeColor="text1"/>
          <w:lang w:val="en-GB"/>
        </w:rPr>
        <w:t>.</w:t>
      </w:r>
      <w:r w:rsidR="00775F2A" w:rsidRPr="0007754D">
        <w:rPr>
          <w:rStyle w:val="FootnoteReference"/>
          <w:color w:val="000000" w:themeColor="text1"/>
        </w:rPr>
        <w:footnoteReference w:id="138"/>
      </w:r>
      <w:r w:rsidR="00983B00" w:rsidRPr="0007754D">
        <w:rPr>
          <w:color w:val="000000" w:themeColor="text1"/>
          <w:lang w:val="en-GB"/>
        </w:rPr>
        <w:t xml:space="preserve"> It also goes beyond the ECtHR’s review since the la</w:t>
      </w:r>
      <w:r w:rsidR="00F57859" w:rsidRPr="0007754D">
        <w:rPr>
          <w:color w:val="000000" w:themeColor="text1"/>
          <w:lang w:val="en-GB"/>
        </w:rPr>
        <w:t>tter has not developed any case-</w:t>
      </w:r>
      <w:r w:rsidR="00983B00" w:rsidRPr="0007754D">
        <w:rPr>
          <w:color w:val="000000" w:themeColor="text1"/>
          <w:lang w:val="en-GB"/>
        </w:rPr>
        <w:t>law</w:t>
      </w:r>
      <w:r w:rsidR="00A26BC8" w:rsidRPr="0007754D">
        <w:rPr>
          <w:color w:val="000000" w:themeColor="text1"/>
          <w:lang w:val="en-GB"/>
        </w:rPr>
        <w:t xml:space="preserve"> yet</w:t>
      </w:r>
      <w:r w:rsidR="00983B00" w:rsidRPr="0007754D">
        <w:rPr>
          <w:color w:val="000000" w:themeColor="text1"/>
          <w:lang w:val="en-GB"/>
        </w:rPr>
        <w:t xml:space="preserve"> in that respect.</w:t>
      </w:r>
    </w:p>
    <w:p w14:paraId="321CB27B" w14:textId="77777777" w:rsidR="001475F1" w:rsidRPr="0007754D" w:rsidRDefault="001475F1" w:rsidP="0018642A">
      <w:pPr>
        <w:spacing w:line="276" w:lineRule="auto"/>
        <w:jc w:val="both"/>
        <w:rPr>
          <w:color w:val="000000" w:themeColor="text1"/>
          <w:lang w:val="en-GB"/>
        </w:rPr>
      </w:pPr>
    </w:p>
    <w:p w14:paraId="6B8326F5" w14:textId="136E7D1A" w:rsidR="00ED1259" w:rsidRPr="0007754D" w:rsidRDefault="009B514C" w:rsidP="00563868">
      <w:pPr>
        <w:spacing w:line="276" w:lineRule="auto"/>
        <w:jc w:val="both"/>
        <w:rPr>
          <w:iCs/>
          <w:color w:val="000000" w:themeColor="text1"/>
          <w:lang w:val="en-GB"/>
        </w:rPr>
      </w:pPr>
      <w:r w:rsidRPr="0007754D">
        <w:rPr>
          <w:color w:val="000000" w:themeColor="text1"/>
          <w:lang w:val="en-GB"/>
        </w:rPr>
        <w:t xml:space="preserve">Nevertheless, various limits should be highlighted regarding the monitoring and thus, protection of SRH from 2001 to 2009 by the ECoSR. </w:t>
      </w:r>
      <w:r w:rsidR="00BE1BAF" w:rsidRPr="0007754D">
        <w:rPr>
          <w:color w:val="000000" w:themeColor="text1"/>
          <w:lang w:val="en-GB"/>
        </w:rPr>
        <w:t xml:space="preserve">Firstly, </w:t>
      </w:r>
      <w:r w:rsidR="00ED36DD" w:rsidRPr="0007754D">
        <w:rPr>
          <w:color w:val="000000" w:themeColor="text1"/>
          <w:lang w:val="en-GB"/>
        </w:rPr>
        <w:t>the use of indic</w:t>
      </w:r>
      <w:r w:rsidR="00A85D8C" w:rsidRPr="0007754D">
        <w:rPr>
          <w:color w:val="000000" w:themeColor="text1"/>
          <w:lang w:val="en-GB"/>
        </w:rPr>
        <w:t>a</w:t>
      </w:r>
      <w:r w:rsidR="00ED36DD" w:rsidRPr="0007754D">
        <w:rPr>
          <w:color w:val="000000" w:themeColor="text1"/>
          <w:lang w:val="en-GB"/>
        </w:rPr>
        <w:t>tors to monitor human rights such as the right t</w:t>
      </w:r>
      <w:r w:rsidR="00865CBB" w:rsidRPr="0007754D">
        <w:rPr>
          <w:color w:val="000000" w:themeColor="text1"/>
          <w:lang w:val="en-GB"/>
        </w:rPr>
        <w:t>o health can be controversial. H</w:t>
      </w:r>
      <w:r w:rsidR="00ED36DD" w:rsidRPr="0007754D">
        <w:rPr>
          <w:color w:val="000000" w:themeColor="text1"/>
          <w:lang w:val="en-GB"/>
        </w:rPr>
        <w:t xml:space="preserve">ow many indicators should </w:t>
      </w:r>
      <w:r w:rsidR="00A85D8C" w:rsidRPr="0007754D">
        <w:rPr>
          <w:color w:val="000000" w:themeColor="text1"/>
          <w:lang w:val="en-GB"/>
        </w:rPr>
        <w:t>be</w:t>
      </w:r>
      <w:r w:rsidR="00ED36DD" w:rsidRPr="0007754D">
        <w:rPr>
          <w:color w:val="000000" w:themeColor="text1"/>
          <w:lang w:val="en-GB"/>
        </w:rPr>
        <w:t xml:space="preserve"> use</w:t>
      </w:r>
      <w:r w:rsidR="00A85D8C" w:rsidRPr="0007754D">
        <w:rPr>
          <w:color w:val="000000" w:themeColor="text1"/>
          <w:lang w:val="en-GB"/>
        </w:rPr>
        <w:t>d</w:t>
      </w:r>
      <w:r w:rsidR="00ED36DD" w:rsidRPr="0007754D">
        <w:rPr>
          <w:color w:val="000000" w:themeColor="text1"/>
          <w:lang w:val="en-GB"/>
        </w:rPr>
        <w:t>, and who should design them</w:t>
      </w:r>
      <w:r w:rsidR="00A85D8C" w:rsidRPr="0007754D">
        <w:rPr>
          <w:color w:val="000000" w:themeColor="text1"/>
          <w:lang w:val="en-GB"/>
        </w:rPr>
        <w:t>,</w:t>
      </w:r>
      <w:r w:rsidR="00ED36DD" w:rsidRPr="0007754D">
        <w:rPr>
          <w:color w:val="000000" w:themeColor="text1"/>
          <w:lang w:val="en-GB"/>
        </w:rPr>
        <w:t xml:space="preserve"> </w:t>
      </w:r>
      <w:r w:rsidR="00865CBB" w:rsidRPr="0007754D">
        <w:rPr>
          <w:color w:val="000000" w:themeColor="text1"/>
          <w:lang w:val="en-GB"/>
        </w:rPr>
        <w:t>considering</w:t>
      </w:r>
      <w:r w:rsidR="00ED36DD" w:rsidRPr="0007754D">
        <w:rPr>
          <w:color w:val="000000" w:themeColor="text1"/>
          <w:lang w:val="en-GB"/>
        </w:rPr>
        <w:t xml:space="preserve"> these</w:t>
      </w:r>
      <w:r w:rsidR="00865CBB" w:rsidRPr="0007754D">
        <w:rPr>
          <w:color w:val="000000" w:themeColor="text1"/>
          <w:lang w:val="en-GB"/>
        </w:rPr>
        <w:t xml:space="preserve"> tend to</w:t>
      </w:r>
      <w:r w:rsidR="00ED36DD" w:rsidRPr="0007754D">
        <w:rPr>
          <w:color w:val="000000" w:themeColor="text1"/>
          <w:lang w:val="en-GB"/>
        </w:rPr>
        <w:t xml:space="preserve"> delineate the legal content of the right in question?</w:t>
      </w:r>
      <w:r w:rsidR="00ED36DD" w:rsidRPr="0007754D">
        <w:rPr>
          <w:rStyle w:val="FootnoteReference"/>
          <w:color w:val="000000" w:themeColor="text1"/>
        </w:rPr>
        <w:footnoteReference w:id="139"/>
      </w:r>
      <w:r w:rsidR="00ED36DD" w:rsidRPr="0007754D">
        <w:rPr>
          <w:color w:val="000000" w:themeColor="text1"/>
          <w:lang w:val="en-GB"/>
        </w:rPr>
        <w:t xml:space="preserve"> </w:t>
      </w:r>
      <w:r w:rsidR="00A85D8C" w:rsidRPr="0007754D">
        <w:rPr>
          <w:color w:val="000000" w:themeColor="text1"/>
          <w:lang w:val="en-GB"/>
        </w:rPr>
        <w:t>Secondly</w:t>
      </w:r>
      <w:r w:rsidR="00563868" w:rsidRPr="0007754D">
        <w:rPr>
          <w:color w:val="000000" w:themeColor="text1"/>
          <w:lang w:val="en-GB"/>
        </w:rPr>
        <w:t>, the</w:t>
      </w:r>
      <w:r w:rsidR="00ED36DD" w:rsidRPr="0007754D">
        <w:rPr>
          <w:color w:val="000000" w:themeColor="text1"/>
          <w:lang w:val="en-GB"/>
        </w:rPr>
        <w:t xml:space="preserve"> </w:t>
      </w:r>
      <w:r w:rsidR="00563868" w:rsidRPr="0007754D">
        <w:rPr>
          <w:color w:val="000000" w:themeColor="text1"/>
          <w:lang w:val="en-GB"/>
        </w:rPr>
        <w:t xml:space="preserve">Committee’s </w:t>
      </w:r>
      <w:r w:rsidR="00ED36DD" w:rsidRPr="0007754D">
        <w:rPr>
          <w:color w:val="000000" w:themeColor="text1"/>
          <w:lang w:val="en-GB"/>
        </w:rPr>
        <w:t>use</w:t>
      </w:r>
      <w:r w:rsidR="00265F5B" w:rsidRPr="0007754D">
        <w:rPr>
          <w:color w:val="000000" w:themeColor="text1"/>
          <w:lang w:val="en-GB"/>
        </w:rPr>
        <w:t xml:space="preserve"> </w:t>
      </w:r>
      <w:r w:rsidR="00563868" w:rsidRPr="0007754D">
        <w:rPr>
          <w:color w:val="000000" w:themeColor="text1"/>
          <w:lang w:val="en-GB"/>
        </w:rPr>
        <w:t xml:space="preserve">of indicators under Article 11 ESC </w:t>
      </w:r>
      <w:r w:rsidR="00A85D8C" w:rsidRPr="0007754D">
        <w:rPr>
          <w:color w:val="000000" w:themeColor="text1"/>
          <w:lang w:val="en-GB"/>
        </w:rPr>
        <w:t>i</w:t>
      </w:r>
      <w:r w:rsidR="00ED36DD" w:rsidRPr="0007754D">
        <w:rPr>
          <w:color w:val="000000" w:themeColor="text1"/>
          <w:lang w:val="en-GB"/>
        </w:rPr>
        <w:t>s not entirely satisfactory</w:t>
      </w:r>
      <w:r w:rsidR="00563868" w:rsidRPr="0007754D">
        <w:rPr>
          <w:color w:val="000000" w:themeColor="text1"/>
          <w:lang w:val="en-GB"/>
        </w:rPr>
        <w:t xml:space="preserve"> in the context of SRH</w:t>
      </w:r>
      <w:r w:rsidR="00865CBB" w:rsidRPr="0007754D">
        <w:rPr>
          <w:color w:val="000000" w:themeColor="text1"/>
          <w:lang w:val="en-GB"/>
        </w:rPr>
        <w:t>,</w:t>
      </w:r>
      <w:r w:rsidR="00A9107A" w:rsidRPr="0007754D">
        <w:rPr>
          <w:color w:val="000000" w:themeColor="text1"/>
          <w:lang w:val="en-GB"/>
        </w:rPr>
        <w:t xml:space="preserve"> since</w:t>
      </w:r>
      <w:r w:rsidR="00563868" w:rsidRPr="0007754D">
        <w:rPr>
          <w:color w:val="000000" w:themeColor="text1"/>
          <w:lang w:val="en-GB"/>
        </w:rPr>
        <w:t xml:space="preserve"> they do not facilitate the review of important topics such as the </w:t>
      </w:r>
      <w:r w:rsidR="00ED1259" w:rsidRPr="0007754D">
        <w:rPr>
          <w:color w:val="000000" w:themeColor="text1"/>
          <w:lang w:val="en-GB"/>
        </w:rPr>
        <w:t xml:space="preserve">availability of contraception and abortion services. </w:t>
      </w:r>
      <w:r w:rsidR="00865CBB" w:rsidRPr="0007754D">
        <w:rPr>
          <w:iCs/>
          <w:color w:val="000000" w:themeColor="text1"/>
          <w:lang w:val="en-GB"/>
        </w:rPr>
        <w:t>Both t</w:t>
      </w:r>
      <w:r w:rsidR="00ED1259" w:rsidRPr="0007754D">
        <w:rPr>
          <w:iCs/>
          <w:color w:val="000000" w:themeColor="text1"/>
          <w:lang w:val="en-GB"/>
        </w:rPr>
        <w:t xml:space="preserve">he </w:t>
      </w:r>
      <w:r w:rsidR="00865CBB" w:rsidRPr="0007754D">
        <w:rPr>
          <w:color w:val="000000" w:themeColor="text1"/>
          <w:lang w:val="en-GB"/>
        </w:rPr>
        <w:t>WHO</w:t>
      </w:r>
      <w:r w:rsidR="00400789" w:rsidRPr="0007754D">
        <w:rPr>
          <w:color w:val="000000" w:themeColor="text1"/>
          <w:lang w:val="en-GB"/>
        </w:rPr>
        <w:t xml:space="preserve"> strategy</w:t>
      </w:r>
      <w:r w:rsidR="00865CBB" w:rsidRPr="0007754D">
        <w:rPr>
          <w:color w:val="000000" w:themeColor="text1"/>
          <w:lang w:val="en-GB"/>
        </w:rPr>
        <w:t xml:space="preserve"> and </w:t>
      </w:r>
      <w:r w:rsidR="00400789" w:rsidRPr="0007754D">
        <w:rPr>
          <w:color w:val="000000" w:themeColor="text1"/>
          <w:lang w:val="en-GB"/>
        </w:rPr>
        <w:t>UNCESCR GC</w:t>
      </w:r>
      <w:r w:rsidR="00865CBB" w:rsidRPr="0007754D">
        <w:rPr>
          <w:color w:val="000000" w:themeColor="text1"/>
          <w:lang w:val="en-GB"/>
        </w:rPr>
        <w:t>22 consider</w:t>
      </w:r>
      <w:r w:rsidR="00A85D8C" w:rsidRPr="0007754D">
        <w:rPr>
          <w:color w:val="000000" w:themeColor="text1"/>
          <w:lang w:val="en-GB"/>
        </w:rPr>
        <w:t xml:space="preserve"> </w:t>
      </w:r>
      <w:r w:rsidR="00415C68" w:rsidRPr="0007754D">
        <w:rPr>
          <w:color w:val="000000" w:themeColor="text1"/>
          <w:lang w:val="en-GB"/>
        </w:rPr>
        <w:t xml:space="preserve">that </w:t>
      </w:r>
      <w:r w:rsidR="00C720F3" w:rsidRPr="0007754D">
        <w:rPr>
          <w:color w:val="000000" w:themeColor="text1"/>
          <w:lang w:val="en-GB"/>
        </w:rPr>
        <w:t>high q</w:t>
      </w:r>
      <w:r w:rsidR="00ED1259" w:rsidRPr="0007754D">
        <w:rPr>
          <w:color w:val="000000" w:themeColor="text1"/>
          <w:lang w:val="en-GB"/>
        </w:rPr>
        <w:t>uality family planning services and</w:t>
      </w:r>
      <w:r w:rsidR="00185EAD" w:rsidRPr="0007754D">
        <w:rPr>
          <w:color w:val="000000" w:themeColor="text1"/>
          <w:lang w:val="en-GB"/>
        </w:rPr>
        <w:t xml:space="preserve"> </w:t>
      </w:r>
      <w:r w:rsidR="00C720F3" w:rsidRPr="0007754D">
        <w:rPr>
          <w:color w:val="000000" w:themeColor="text1"/>
          <w:lang w:val="en-GB"/>
        </w:rPr>
        <w:t>measures combating unsafe abortion</w:t>
      </w:r>
      <w:r w:rsidR="00563868" w:rsidRPr="0007754D">
        <w:rPr>
          <w:color w:val="000000" w:themeColor="text1"/>
          <w:lang w:val="en-GB"/>
        </w:rPr>
        <w:t xml:space="preserve"> are crucial to individuals’ SRH</w:t>
      </w:r>
      <w:r w:rsidR="00C720F3" w:rsidRPr="0007754D">
        <w:rPr>
          <w:color w:val="000000" w:themeColor="text1"/>
          <w:lang w:val="en-GB"/>
        </w:rPr>
        <w:t>.</w:t>
      </w:r>
      <w:r w:rsidR="00C720F3" w:rsidRPr="0007754D">
        <w:rPr>
          <w:rStyle w:val="FootnoteReference"/>
          <w:color w:val="000000" w:themeColor="text1"/>
        </w:rPr>
        <w:footnoteReference w:id="140"/>
      </w:r>
      <w:r w:rsidR="00ED1259" w:rsidRPr="0007754D">
        <w:rPr>
          <w:color w:val="000000" w:themeColor="text1"/>
          <w:lang w:val="en-GB"/>
        </w:rPr>
        <w:t xml:space="preserve"> </w:t>
      </w:r>
      <w:r w:rsidR="005756D5" w:rsidRPr="0007754D">
        <w:rPr>
          <w:color w:val="000000" w:themeColor="text1"/>
          <w:lang w:val="en-GB"/>
        </w:rPr>
        <w:t>S</w:t>
      </w:r>
      <w:r w:rsidR="00ED1259" w:rsidRPr="0007754D">
        <w:rPr>
          <w:iCs/>
          <w:color w:val="000000" w:themeColor="text1"/>
          <w:lang w:val="en-GB"/>
        </w:rPr>
        <w:t>tudies</w:t>
      </w:r>
      <w:r w:rsidR="001A3AAC" w:rsidRPr="0007754D">
        <w:rPr>
          <w:iCs/>
          <w:color w:val="000000" w:themeColor="text1"/>
          <w:lang w:val="en-GB"/>
        </w:rPr>
        <w:t xml:space="preserve"> </w:t>
      </w:r>
      <w:r w:rsidR="00A9107A" w:rsidRPr="0007754D">
        <w:rPr>
          <w:iCs/>
          <w:color w:val="000000" w:themeColor="text1"/>
          <w:lang w:val="en-GB"/>
        </w:rPr>
        <w:t xml:space="preserve">explicitly </w:t>
      </w:r>
      <w:r w:rsidR="00ED1259" w:rsidRPr="0007754D">
        <w:rPr>
          <w:iCs/>
          <w:color w:val="000000" w:themeColor="text1"/>
          <w:lang w:val="en-GB"/>
        </w:rPr>
        <w:t>reveal that the use of contracept</w:t>
      </w:r>
      <w:r w:rsidR="000544AE" w:rsidRPr="0007754D">
        <w:rPr>
          <w:iCs/>
          <w:color w:val="000000" w:themeColor="text1"/>
          <w:lang w:val="en-GB"/>
        </w:rPr>
        <w:t>ion lowers abortion prevalence (</w:t>
      </w:r>
      <w:r w:rsidR="00ED1259" w:rsidRPr="0007754D">
        <w:rPr>
          <w:iCs/>
          <w:color w:val="000000" w:themeColor="text1"/>
          <w:lang w:val="en-GB"/>
        </w:rPr>
        <w:t>including that of unsafe abortion procedures</w:t>
      </w:r>
      <w:r w:rsidR="000544AE" w:rsidRPr="0007754D">
        <w:rPr>
          <w:iCs/>
          <w:color w:val="000000" w:themeColor="text1"/>
          <w:lang w:val="en-GB"/>
        </w:rPr>
        <w:t>)</w:t>
      </w:r>
      <w:r w:rsidR="00ED1259" w:rsidRPr="0007754D">
        <w:rPr>
          <w:iCs/>
          <w:color w:val="000000" w:themeColor="text1"/>
          <w:lang w:val="en-GB"/>
        </w:rPr>
        <w:t>.</w:t>
      </w:r>
      <w:r w:rsidR="00ED1259" w:rsidRPr="0007754D">
        <w:rPr>
          <w:rStyle w:val="FootnoteReference"/>
          <w:color w:val="000000" w:themeColor="text1"/>
        </w:rPr>
        <w:footnoteReference w:id="141"/>
      </w:r>
      <w:r w:rsidR="00816591" w:rsidRPr="0007754D">
        <w:rPr>
          <w:iCs/>
          <w:color w:val="000000" w:themeColor="text1"/>
          <w:lang w:val="en-GB"/>
        </w:rPr>
        <w:t xml:space="preserve"> S</w:t>
      </w:r>
      <w:r w:rsidR="00ED1259" w:rsidRPr="0007754D">
        <w:rPr>
          <w:iCs/>
          <w:color w:val="000000" w:themeColor="text1"/>
          <w:lang w:val="en-GB"/>
        </w:rPr>
        <w:t>i</w:t>
      </w:r>
      <w:r w:rsidR="000544AE" w:rsidRPr="0007754D">
        <w:rPr>
          <w:iCs/>
          <w:color w:val="000000" w:themeColor="text1"/>
          <w:lang w:val="en-GB"/>
        </w:rPr>
        <w:t>milarly, the lack of access to safe</w:t>
      </w:r>
      <w:r w:rsidR="00ED1259" w:rsidRPr="0007754D">
        <w:rPr>
          <w:iCs/>
          <w:color w:val="000000" w:themeColor="text1"/>
          <w:lang w:val="en-GB"/>
        </w:rPr>
        <w:t xml:space="preserve"> abortion services is often coupled with high rates of clandestine abortions, a procedure threatening women’s health and lives.</w:t>
      </w:r>
      <w:r w:rsidR="00ED1259" w:rsidRPr="0007754D">
        <w:rPr>
          <w:rStyle w:val="FootnoteReference"/>
          <w:color w:val="000000" w:themeColor="text1"/>
        </w:rPr>
        <w:footnoteReference w:id="142"/>
      </w:r>
      <w:r w:rsidR="00ED1259" w:rsidRPr="0007754D">
        <w:rPr>
          <w:iCs/>
          <w:color w:val="000000" w:themeColor="text1"/>
          <w:lang w:val="en-GB"/>
        </w:rPr>
        <w:t xml:space="preserve"> Therefore, the focus of the ECoSR on maternal health</w:t>
      </w:r>
      <w:r w:rsidR="00A85D8C" w:rsidRPr="0007754D">
        <w:rPr>
          <w:iCs/>
          <w:color w:val="000000" w:themeColor="text1"/>
          <w:lang w:val="en-GB"/>
        </w:rPr>
        <w:t xml:space="preserve"> </w:t>
      </w:r>
      <w:r w:rsidR="005756D5" w:rsidRPr="0007754D">
        <w:rPr>
          <w:iCs/>
          <w:color w:val="000000" w:themeColor="text1"/>
          <w:lang w:val="en-GB"/>
        </w:rPr>
        <w:t xml:space="preserve">services </w:t>
      </w:r>
      <w:r w:rsidR="00ED1259" w:rsidRPr="0007754D">
        <w:rPr>
          <w:iCs/>
          <w:color w:val="000000" w:themeColor="text1"/>
          <w:lang w:val="en-GB"/>
        </w:rPr>
        <w:t>embraces a conservative approach to women’s SRH</w:t>
      </w:r>
      <w:r w:rsidR="000C6C4C" w:rsidRPr="0007754D">
        <w:rPr>
          <w:iCs/>
          <w:color w:val="000000" w:themeColor="text1"/>
          <w:lang w:val="en-GB"/>
        </w:rPr>
        <w:t>, despite efforts to monitor sex education</w:t>
      </w:r>
      <w:r w:rsidR="00ED1259" w:rsidRPr="0007754D">
        <w:rPr>
          <w:iCs/>
          <w:color w:val="000000" w:themeColor="text1"/>
          <w:lang w:val="en-GB"/>
        </w:rPr>
        <w:t xml:space="preserve">: one associated with maternity rather than </w:t>
      </w:r>
      <w:r w:rsidR="00A9107A" w:rsidRPr="0007754D">
        <w:rPr>
          <w:iCs/>
          <w:color w:val="000000" w:themeColor="text1"/>
          <w:lang w:val="en-GB"/>
        </w:rPr>
        <w:t xml:space="preserve">with </w:t>
      </w:r>
      <w:r w:rsidR="0073620B" w:rsidRPr="0007754D">
        <w:rPr>
          <w:iCs/>
          <w:color w:val="000000" w:themeColor="text1"/>
          <w:lang w:val="en-GB"/>
        </w:rPr>
        <w:t>women</w:t>
      </w:r>
      <w:r w:rsidR="00A9107A" w:rsidRPr="0007754D">
        <w:rPr>
          <w:iCs/>
          <w:color w:val="000000" w:themeColor="text1"/>
          <w:lang w:val="en-GB"/>
        </w:rPr>
        <w:t>’s autonomy</w:t>
      </w:r>
      <w:r w:rsidR="00ED1259" w:rsidRPr="0007754D">
        <w:rPr>
          <w:iCs/>
          <w:color w:val="000000" w:themeColor="text1"/>
          <w:lang w:val="en-GB"/>
        </w:rPr>
        <w:t>.</w:t>
      </w:r>
      <w:r w:rsidR="00660763" w:rsidRPr="0007754D">
        <w:rPr>
          <w:iCs/>
          <w:color w:val="000000" w:themeColor="text1"/>
          <w:lang w:val="en-GB"/>
        </w:rPr>
        <w:t xml:space="preserve"> </w:t>
      </w:r>
      <w:r w:rsidR="000673E5" w:rsidRPr="0007754D">
        <w:rPr>
          <w:iCs/>
          <w:color w:val="000000" w:themeColor="text1"/>
          <w:lang w:val="en-GB"/>
        </w:rPr>
        <w:t>These comments, regrettably, resemble those</w:t>
      </w:r>
      <w:r w:rsidR="00983B00" w:rsidRPr="0007754D">
        <w:rPr>
          <w:iCs/>
          <w:color w:val="000000" w:themeColor="text1"/>
          <w:lang w:val="en-GB"/>
        </w:rPr>
        <w:t xml:space="preserve"> made </w:t>
      </w:r>
      <w:r w:rsidR="00185EAD" w:rsidRPr="0007754D">
        <w:rPr>
          <w:iCs/>
          <w:color w:val="000000" w:themeColor="text1"/>
          <w:lang w:val="en-GB"/>
        </w:rPr>
        <w:t xml:space="preserve">when analysing the ECtHR’s </w:t>
      </w:r>
      <w:r w:rsidR="005756D5" w:rsidRPr="0007754D">
        <w:rPr>
          <w:iCs/>
          <w:color w:val="000000" w:themeColor="text1"/>
          <w:lang w:val="en-GB"/>
        </w:rPr>
        <w:t xml:space="preserve">SRH </w:t>
      </w:r>
      <w:r w:rsidR="00185EAD" w:rsidRPr="0007754D">
        <w:rPr>
          <w:iCs/>
          <w:color w:val="000000" w:themeColor="text1"/>
          <w:lang w:val="en-GB"/>
        </w:rPr>
        <w:t>case-</w:t>
      </w:r>
      <w:r w:rsidR="00983B00" w:rsidRPr="0007754D">
        <w:rPr>
          <w:iCs/>
          <w:color w:val="000000" w:themeColor="text1"/>
          <w:lang w:val="en-GB"/>
        </w:rPr>
        <w:t xml:space="preserve">law </w:t>
      </w:r>
      <w:r w:rsidR="00773528" w:rsidRPr="0007754D">
        <w:rPr>
          <w:iCs/>
          <w:color w:val="000000" w:themeColor="text1"/>
          <w:lang w:val="en-GB"/>
        </w:rPr>
        <w:t>in section 1</w:t>
      </w:r>
      <w:r w:rsidR="00983B00" w:rsidRPr="0007754D">
        <w:rPr>
          <w:iCs/>
          <w:color w:val="000000" w:themeColor="text1"/>
          <w:lang w:val="en-GB"/>
        </w:rPr>
        <w:t>.</w:t>
      </w:r>
    </w:p>
    <w:p w14:paraId="6305BDFB" w14:textId="77777777" w:rsidR="009B514C" w:rsidRPr="0007754D" w:rsidRDefault="009B514C" w:rsidP="0018642A">
      <w:pPr>
        <w:spacing w:line="276" w:lineRule="auto"/>
        <w:jc w:val="both"/>
        <w:rPr>
          <w:color w:val="000000" w:themeColor="text1"/>
          <w:lang w:val="en-GB"/>
        </w:rPr>
      </w:pPr>
    </w:p>
    <w:p w14:paraId="225061F7" w14:textId="750A0F88" w:rsidR="00882C8F" w:rsidRPr="0007754D" w:rsidRDefault="00E964DC" w:rsidP="001A3BE7">
      <w:pPr>
        <w:pStyle w:val="Heading3"/>
        <w:numPr>
          <w:ilvl w:val="2"/>
          <w:numId w:val="31"/>
        </w:numPr>
        <w:rPr>
          <w:rFonts w:asciiTheme="minorHAnsi" w:hAnsiTheme="minorHAnsi"/>
          <w:color w:val="000000" w:themeColor="text1"/>
          <w:lang w:val="en-GB"/>
        </w:rPr>
      </w:pPr>
      <w:r w:rsidRPr="0007754D">
        <w:rPr>
          <w:rFonts w:asciiTheme="minorHAnsi" w:hAnsiTheme="minorHAnsi"/>
          <w:color w:val="000000" w:themeColor="text1"/>
          <w:lang w:val="en-GB"/>
        </w:rPr>
        <w:t>Since 2010</w:t>
      </w:r>
      <w:r w:rsidR="00882C8F" w:rsidRPr="0007754D">
        <w:rPr>
          <w:rFonts w:asciiTheme="minorHAnsi" w:hAnsiTheme="minorHAnsi"/>
          <w:color w:val="000000" w:themeColor="text1"/>
          <w:lang w:val="en-GB"/>
        </w:rPr>
        <w:t xml:space="preserve">: </w:t>
      </w:r>
      <w:r w:rsidR="002120CC" w:rsidRPr="0007754D">
        <w:rPr>
          <w:rFonts w:asciiTheme="minorHAnsi" w:hAnsiTheme="minorHAnsi"/>
          <w:color w:val="000000" w:themeColor="text1"/>
          <w:lang w:val="en-GB"/>
        </w:rPr>
        <w:t>ups and downs in the</w:t>
      </w:r>
      <w:r w:rsidRPr="0007754D">
        <w:rPr>
          <w:rFonts w:asciiTheme="minorHAnsi" w:hAnsiTheme="minorHAnsi"/>
          <w:color w:val="000000" w:themeColor="text1"/>
          <w:lang w:val="en-GB"/>
        </w:rPr>
        <w:t xml:space="preserve"> </w:t>
      </w:r>
      <w:r w:rsidR="00882C8F" w:rsidRPr="0007754D">
        <w:rPr>
          <w:rFonts w:asciiTheme="minorHAnsi" w:hAnsiTheme="minorHAnsi"/>
          <w:color w:val="000000" w:themeColor="text1"/>
          <w:lang w:val="en-GB"/>
        </w:rPr>
        <w:t>monitoring of SRH matters</w:t>
      </w:r>
      <w:r w:rsidRPr="0007754D">
        <w:rPr>
          <w:rFonts w:asciiTheme="minorHAnsi" w:hAnsiTheme="minorHAnsi"/>
          <w:color w:val="000000" w:themeColor="text1"/>
          <w:lang w:val="en-GB"/>
        </w:rPr>
        <w:t xml:space="preserve"> </w:t>
      </w:r>
    </w:p>
    <w:p w14:paraId="2B30CBA8" w14:textId="77777777" w:rsidR="00882C8F" w:rsidRPr="0007754D" w:rsidRDefault="00882C8F" w:rsidP="00882C8F">
      <w:pPr>
        <w:rPr>
          <w:color w:val="000000" w:themeColor="text1"/>
          <w:lang w:val="en-GB"/>
        </w:rPr>
      </w:pPr>
    </w:p>
    <w:p w14:paraId="2BEFDF32" w14:textId="2124B7DF" w:rsidR="004F5C92" w:rsidRPr="0007754D" w:rsidRDefault="00054EA5" w:rsidP="00DC69E6">
      <w:pPr>
        <w:spacing w:line="276" w:lineRule="auto"/>
        <w:jc w:val="both"/>
        <w:rPr>
          <w:color w:val="000000" w:themeColor="text1"/>
          <w:lang w:val="en-GB"/>
        </w:rPr>
      </w:pPr>
      <w:r w:rsidRPr="0007754D">
        <w:rPr>
          <w:color w:val="000000" w:themeColor="text1"/>
          <w:lang w:val="en-GB"/>
        </w:rPr>
        <w:t xml:space="preserve">Since 2010, the ECoSR </w:t>
      </w:r>
      <w:r w:rsidR="007B33DD" w:rsidRPr="0007754D">
        <w:rPr>
          <w:color w:val="000000" w:themeColor="text1"/>
          <w:lang w:val="en-GB"/>
        </w:rPr>
        <w:t xml:space="preserve">has </w:t>
      </w:r>
      <w:r w:rsidRPr="0007754D">
        <w:rPr>
          <w:color w:val="000000" w:themeColor="text1"/>
          <w:lang w:val="en-GB"/>
        </w:rPr>
        <w:t xml:space="preserve">bundled the </w:t>
      </w:r>
      <w:r w:rsidR="0019542E" w:rsidRPr="0007754D">
        <w:rPr>
          <w:color w:val="000000" w:themeColor="text1"/>
          <w:lang w:val="en-GB"/>
        </w:rPr>
        <w:t xml:space="preserve">thematic </w:t>
      </w:r>
      <w:r w:rsidR="00A07A5E" w:rsidRPr="0007754D">
        <w:rPr>
          <w:color w:val="000000" w:themeColor="text1"/>
          <w:lang w:val="en-GB"/>
        </w:rPr>
        <w:t xml:space="preserve">health </w:t>
      </w:r>
      <w:r w:rsidRPr="0007754D">
        <w:rPr>
          <w:color w:val="000000" w:themeColor="text1"/>
          <w:lang w:val="en-GB"/>
        </w:rPr>
        <w:t xml:space="preserve">indicators </w:t>
      </w:r>
      <w:r w:rsidR="0019542E" w:rsidRPr="0007754D">
        <w:rPr>
          <w:color w:val="000000" w:themeColor="text1"/>
          <w:lang w:val="en-GB"/>
        </w:rPr>
        <w:t xml:space="preserve">developed between 2001 and 2009 into </w:t>
      </w:r>
      <w:r w:rsidR="0098512D" w:rsidRPr="0007754D">
        <w:rPr>
          <w:color w:val="000000" w:themeColor="text1"/>
          <w:lang w:val="en-GB"/>
        </w:rPr>
        <w:t xml:space="preserve">fewer </w:t>
      </w:r>
      <w:r w:rsidR="006710FA" w:rsidRPr="0007754D">
        <w:rPr>
          <w:color w:val="000000" w:themeColor="text1"/>
          <w:lang w:val="en-GB"/>
        </w:rPr>
        <w:t xml:space="preserve">indicators. </w:t>
      </w:r>
      <w:r w:rsidR="007B33DD" w:rsidRPr="0007754D">
        <w:rPr>
          <w:color w:val="000000" w:themeColor="text1"/>
          <w:lang w:val="en-GB"/>
        </w:rPr>
        <w:t>These</w:t>
      </w:r>
      <w:r w:rsidR="0098512D" w:rsidRPr="0007754D">
        <w:rPr>
          <w:color w:val="000000" w:themeColor="text1"/>
          <w:lang w:val="en-GB"/>
        </w:rPr>
        <w:t xml:space="preserve"> new</w:t>
      </w:r>
      <w:r w:rsidR="006710FA" w:rsidRPr="0007754D">
        <w:rPr>
          <w:color w:val="000000" w:themeColor="text1"/>
          <w:lang w:val="en-GB"/>
        </w:rPr>
        <w:t xml:space="preserve"> indicators</w:t>
      </w:r>
      <w:r w:rsidR="0098512D" w:rsidRPr="0007754D">
        <w:rPr>
          <w:color w:val="000000" w:themeColor="text1"/>
          <w:lang w:val="en-GB"/>
        </w:rPr>
        <w:t>, nonetheless,</w:t>
      </w:r>
      <w:r w:rsidR="00A07A5E" w:rsidRPr="0007754D">
        <w:rPr>
          <w:color w:val="000000" w:themeColor="text1"/>
          <w:lang w:val="en-GB"/>
        </w:rPr>
        <w:t xml:space="preserve"> maintai</w:t>
      </w:r>
      <w:r w:rsidR="006710FA" w:rsidRPr="0007754D">
        <w:rPr>
          <w:color w:val="000000" w:themeColor="text1"/>
          <w:lang w:val="en-GB"/>
        </w:rPr>
        <w:t>n</w:t>
      </w:r>
      <w:r w:rsidR="00A07A5E" w:rsidRPr="0007754D">
        <w:rPr>
          <w:color w:val="000000" w:themeColor="text1"/>
          <w:lang w:val="en-GB"/>
        </w:rPr>
        <w:t xml:space="preserve"> </w:t>
      </w:r>
      <w:r w:rsidR="006710FA" w:rsidRPr="0007754D">
        <w:rPr>
          <w:color w:val="000000" w:themeColor="text1"/>
          <w:lang w:val="en-GB"/>
        </w:rPr>
        <w:t>the same</w:t>
      </w:r>
      <w:r w:rsidR="00A07A5E" w:rsidRPr="0007754D">
        <w:rPr>
          <w:color w:val="000000" w:themeColor="text1"/>
          <w:lang w:val="en-GB"/>
        </w:rPr>
        <w:t xml:space="preserve"> coherence across the themes reviewed under Article 11 ESC</w:t>
      </w:r>
      <w:r w:rsidR="006710FA" w:rsidRPr="0007754D">
        <w:rPr>
          <w:color w:val="000000" w:themeColor="text1"/>
          <w:lang w:val="en-GB"/>
        </w:rPr>
        <w:t xml:space="preserve"> and make little to no difference </w:t>
      </w:r>
      <w:r w:rsidR="007B33DD" w:rsidRPr="0007754D">
        <w:rPr>
          <w:color w:val="000000" w:themeColor="text1"/>
          <w:lang w:val="en-GB"/>
        </w:rPr>
        <w:t>in how the Committee reviews</w:t>
      </w:r>
      <w:r w:rsidR="006710FA" w:rsidRPr="0007754D">
        <w:rPr>
          <w:color w:val="000000" w:themeColor="text1"/>
          <w:lang w:val="en-GB"/>
        </w:rPr>
        <w:t xml:space="preserve"> SRH</w:t>
      </w:r>
      <w:r w:rsidR="00A07A5E" w:rsidRPr="0007754D">
        <w:rPr>
          <w:color w:val="000000" w:themeColor="text1"/>
          <w:lang w:val="en-GB"/>
        </w:rPr>
        <w:t>.</w:t>
      </w:r>
      <w:r w:rsidR="0004788C" w:rsidRPr="0007754D">
        <w:rPr>
          <w:color w:val="000000" w:themeColor="text1"/>
          <w:lang w:val="en-GB"/>
        </w:rPr>
        <w:t xml:space="preserve"> </w:t>
      </w:r>
      <w:r w:rsidR="00A26BC8" w:rsidRPr="0007754D">
        <w:rPr>
          <w:color w:val="000000" w:themeColor="text1"/>
          <w:lang w:val="en-GB"/>
        </w:rPr>
        <w:t>T</w:t>
      </w:r>
      <w:r w:rsidR="0004788C" w:rsidRPr="0007754D">
        <w:rPr>
          <w:color w:val="000000" w:themeColor="text1"/>
          <w:lang w:val="en-GB"/>
        </w:rPr>
        <w:t>he Conclusions of the ECoSR</w:t>
      </w:r>
      <w:r w:rsidR="00A26BC8" w:rsidRPr="0007754D">
        <w:rPr>
          <w:color w:val="000000" w:themeColor="text1"/>
          <w:lang w:val="en-GB"/>
        </w:rPr>
        <w:t xml:space="preserve"> </w:t>
      </w:r>
      <w:r w:rsidR="0004788C" w:rsidRPr="0007754D">
        <w:rPr>
          <w:color w:val="000000" w:themeColor="text1"/>
          <w:lang w:val="en-GB"/>
        </w:rPr>
        <w:t>in its 2013 and 201</w:t>
      </w:r>
      <w:r w:rsidR="0098512D" w:rsidRPr="0007754D">
        <w:rPr>
          <w:color w:val="000000" w:themeColor="text1"/>
          <w:lang w:val="en-GB"/>
        </w:rPr>
        <w:t>7</w:t>
      </w:r>
      <w:r w:rsidR="00A26BC8" w:rsidRPr="0007754D">
        <w:rPr>
          <w:color w:val="000000" w:themeColor="text1"/>
          <w:lang w:val="en-GB"/>
        </w:rPr>
        <w:t xml:space="preserve"> reporting procedures on Article 11 </w:t>
      </w:r>
      <w:r w:rsidR="004F5C92" w:rsidRPr="0007754D">
        <w:rPr>
          <w:color w:val="000000" w:themeColor="text1"/>
          <w:lang w:val="en-GB"/>
        </w:rPr>
        <w:t>highlight that s</w:t>
      </w:r>
      <w:r w:rsidR="0098512D" w:rsidRPr="0007754D">
        <w:rPr>
          <w:color w:val="000000" w:themeColor="text1"/>
          <w:lang w:val="en-GB"/>
        </w:rPr>
        <w:t>imilar</w:t>
      </w:r>
      <w:r w:rsidR="00DC69E6" w:rsidRPr="0007754D">
        <w:rPr>
          <w:color w:val="000000" w:themeColor="text1"/>
          <w:lang w:val="en-GB"/>
        </w:rPr>
        <w:t xml:space="preserve"> issues are </w:t>
      </w:r>
      <w:r w:rsidR="0004788C" w:rsidRPr="0007754D">
        <w:rPr>
          <w:color w:val="000000" w:themeColor="text1"/>
          <w:lang w:val="en-GB"/>
        </w:rPr>
        <w:t>reviewed</w:t>
      </w:r>
      <w:r w:rsidR="007B33DD" w:rsidRPr="0007754D">
        <w:rPr>
          <w:color w:val="000000" w:themeColor="text1"/>
          <w:lang w:val="en-GB"/>
        </w:rPr>
        <w:t>, similar standards are applied</w:t>
      </w:r>
      <w:r w:rsidR="0004788C" w:rsidRPr="0007754D">
        <w:rPr>
          <w:color w:val="000000" w:themeColor="text1"/>
          <w:lang w:val="en-GB"/>
        </w:rPr>
        <w:t xml:space="preserve"> and similar protection is </w:t>
      </w:r>
      <w:r w:rsidR="004F5C92" w:rsidRPr="0007754D">
        <w:rPr>
          <w:color w:val="000000" w:themeColor="text1"/>
          <w:lang w:val="en-GB"/>
        </w:rPr>
        <w:t>provided</w:t>
      </w:r>
      <w:r w:rsidR="00DC69E6" w:rsidRPr="0007754D">
        <w:rPr>
          <w:color w:val="000000" w:themeColor="text1"/>
          <w:lang w:val="en-GB"/>
        </w:rPr>
        <w:t xml:space="preserve">, with regard to SRH. The difference mainly lies in the name of </w:t>
      </w:r>
      <w:r w:rsidR="001C352B" w:rsidRPr="0007754D">
        <w:rPr>
          <w:color w:val="000000" w:themeColor="text1"/>
          <w:lang w:val="en-GB"/>
        </w:rPr>
        <w:t>the</w:t>
      </w:r>
      <w:r w:rsidR="00DC69E6" w:rsidRPr="0007754D">
        <w:rPr>
          <w:color w:val="000000" w:themeColor="text1"/>
          <w:lang w:val="en-GB"/>
        </w:rPr>
        <w:t xml:space="preserve"> new indicators, those relevant to SRH being: ‘measures to ensure the highest possible standard of health’, ‘counselling and screening’, ‘education and awareness raising’, as well as ‘immunisation and epidemiological monitoring’.</w:t>
      </w:r>
    </w:p>
    <w:p w14:paraId="6CD38519" w14:textId="6FEF4B55" w:rsidR="0019542E" w:rsidRPr="0007754D" w:rsidRDefault="006007FB" w:rsidP="00B70779">
      <w:pPr>
        <w:spacing w:line="276" w:lineRule="auto"/>
        <w:jc w:val="both"/>
        <w:rPr>
          <w:color w:val="000000" w:themeColor="text1"/>
          <w:lang w:val="en-GB"/>
        </w:rPr>
      </w:pPr>
      <w:r w:rsidRPr="0007754D">
        <w:rPr>
          <w:color w:val="000000" w:themeColor="text1"/>
          <w:lang w:val="en-GB"/>
        </w:rPr>
        <w:br/>
      </w:r>
      <w:r w:rsidR="00D21A61" w:rsidRPr="0007754D">
        <w:rPr>
          <w:color w:val="000000" w:themeColor="text1"/>
          <w:lang w:val="en-GB"/>
        </w:rPr>
        <w:t>It is worth noting that</w:t>
      </w:r>
      <w:r w:rsidRPr="0007754D">
        <w:rPr>
          <w:color w:val="000000" w:themeColor="text1"/>
          <w:lang w:val="en-GB"/>
        </w:rPr>
        <w:t xml:space="preserve"> d</w:t>
      </w:r>
      <w:r w:rsidR="00262D80" w:rsidRPr="0007754D">
        <w:rPr>
          <w:color w:val="000000" w:themeColor="text1"/>
          <w:lang w:val="en-GB"/>
        </w:rPr>
        <w:t>uring its (short) 2015 reporting cycle,</w:t>
      </w:r>
      <w:r w:rsidR="00A26BC8" w:rsidRPr="0007754D">
        <w:rPr>
          <w:color w:val="000000" w:themeColor="text1"/>
          <w:lang w:val="en-GB"/>
        </w:rPr>
        <w:t xml:space="preserve"> </w:t>
      </w:r>
      <w:r w:rsidR="006710FA" w:rsidRPr="0007754D">
        <w:rPr>
          <w:color w:val="000000" w:themeColor="text1"/>
          <w:lang w:val="en-GB"/>
        </w:rPr>
        <w:t>the ECoSR</w:t>
      </w:r>
      <w:r w:rsidR="00DC69E6" w:rsidRPr="0007754D">
        <w:rPr>
          <w:color w:val="000000" w:themeColor="text1"/>
          <w:lang w:val="en-GB"/>
        </w:rPr>
        <w:t xml:space="preserve"> </w:t>
      </w:r>
      <w:r w:rsidR="00AE2324" w:rsidRPr="0007754D">
        <w:rPr>
          <w:color w:val="000000" w:themeColor="text1"/>
          <w:lang w:val="en-GB"/>
        </w:rPr>
        <w:t>incomprehensibly stopped using</w:t>
      </w:r>
      <w:r w:rsidR="006710FA" w:rsidRPr="0007754D">
        <w:rPr>
          <w:color w:val="000000" w:themeColor="text1"/>
          <w:lang w:val="en-GB"/>
        </w:rPr>
        <w:t xml:space="preserve"> </w:t>
      </w:r>
      <w:r w:rsidR="00DC69E6" w:rsidRPr="0007754D">
        <w:rPr>
          <w:color w:val="000000" w:themeColor="text1"/>
          <w:lang w:val="en-GB"/>
        </w:rPr>
        <w:t xml:space="preserve">thematic health </w:t>
      </w:r>
      <w:r w:rsidR="006710FA" w:rsidRPr="0007754D">
        <w:rPr>
          <w:color w:val="000000" w:themeColor="text1"/>
          <w:lang w:val="en-GB"/>
        </w:rPr>
        <w:t>indicat</w:t>
      </w:r>
      <w:r w:rsidR="004F5C92" w:rsidRPr="0007754D">
        <w:rPr>
          <w:color w:val="000000" w:themeColor="text1"/>
          <w:lang w:val="en-GB"/>
        </w:rPr>
        <w:t>ors</w:t>
      </w:r>
      <w:r w:rsidR="00AE2324" w:rsidRPr="0007754D">
        <w:rPr>
          <w:color w:val="000000" w:themeColor="text1"/>
          <w:lang w:val="en-GB"/>
        </w:rPr>
        <w:t xml:space="preserve">. </w:t>
      </w:r>
      <w:r w:rsidRPr="0007754D">
        <w:rPr>
          <w:color w:val="000000" w:themeColor="text1"/>
          <w:lang w:val="en-GB"/>
        </w:rPr>
        <w:t>W</w:t>
      </w:r>
      <w:r w:rsidR="004F5C92" w:rsidRPr="0007754D">
        <w:rPr>
          <w:color w:val="000000" w:themeColor="text1"/>
          <w:lang w:val="en-GB"/>
        </w:rPr>
        <w:t xml:space="preserve">hen reviewing states’ compliance with Article 11 ESC, </w:t>
      </w:r>
      <w:r w:rsidR="00D21A61" w:rsidRPr="0007754D">
        <w:rPr>
          <w:color w:val="000000" w:themeColor="text1"/>
          <w:lang w:val="en-GB"/>
        </w:rPr>
        <w:t>the Committee</w:t>
      </w:r>
      <w:r w:rsidRPr="0007754D">
        <w:rPr>
          <w:color w:val="000000" w:themeColor="text1"/>
          <w:lang w:val="en-GB"/>
        </w:rPr>
        <w:t xml:space="preserve"> consequently</w:t>
      </w:r>
      <w:r w:rsidR="00A26BC8" w:rsidRPr="0007754D">
        <w:rPr>
          <w:color w:val="000000" w:themeColor="text1"/>
          <w:lang w:val="en-GB"/>
        </w:rPr>
        <w:t xml:space="preserve"> failed to monitor </w:t>
      </w:r>
      <w:r w:rsidR="00DC69E6" w:rsidRPr="0007754D">
        <w:rPr>
          <w:color w:val="000000" w:themeColor="text1"/>
          <w:lang w:val="en-GB"/>
        </w:rPr>
        <w:t xml:space="preserve">SRH systematically, coherently </w:t>
      </w:r>
      <w:r w:rsidR="00AE2324" w:rsidRPr="0007754D">
        <w:rPr>
          <w:color w:val="000000" w:themeColor="text1"/>
          <w:lang w:val="en-GB"/>
        </w:rPr>
        <w:t>or</w:t>
      </w:r>
      <w:r w:rsidR="00DC69E6" w:rsidRPr="0007754D">
        <w:rPr>
          <w:color w:val="000000" w:themeColor="text1"/>
          <w:lang w:val="en-GB"/>
        </w:rPr>
        <w:t xml:space="preserve"> in depth</w:t>
      </w:r>
      <w:r w:rsidR="00A26BC8" w:rsidRPr="0007754D">
        <w:rPr>
          <w:color w:val="000000" w:themeColor="text1"/>
          <w:lang w:val="en-GB"/>
        </w:rPr>
        <w:t>.</w:t>
      </w:r>
      <w:r w:rsidR="00D21A61" w:rsidRPr="0007754D">
        <w:rPr>
          <w:color w:val="000000" w:themeColor="text1"/>
          <w:lang w:val="en-GB"/>
        </w:rPr>
        <w:t xml:space="preserve"> It reviewed the</w:t>
      </w:r>
      <w:r w:rsidR="004F5C92" w:rsidRPr="0007754D">
        <w:rPr>
          <w:color w:val="000000" w:themeColor="text1"/>
          <w:lang w:val="en-GB"/>
        </w:rPr>
        <w:t xml:space="preserve"> availability of maternal </w:t>
      </w:r>
      <w:r w:rsidR="005E1193" w:rsidRPr="0007754D">
        <w:rPr>
          <w:color w:val="000000" w:themeColor="text1"/>
          <w:lang w:val="en-GB"/>
        </w:rPr>
        <w:t>health services</w:t>
      </w:r>
      <w:r w:rsidR="004F5C92" w:rsidRPr="0007754D">
        <w:rPr>
          <w:color w:val="000000" w:themeColor="text1"/>
          <w:lang w:val="en-GB"/>
        </w:rPr>
        <w:t xml:space="preserve"> only t</w:t>
      </w:r>
      <w:r w:rsidR="003A605D" w:rsidRPr="0007754D">
        <w:rPr>
          <w:color w:val="000000" w:themeColor="text1"/>
          <w:lang w:val="en-GB"/>
        </w:rPr>
        <w:t>hree times</w:t>
      </w:r>
      <w:r w:rsidR="004F5C92" w:rsidRPr="0007754D">
        <w:rPr>
          <w:color w:val="000000" w:themeColor="text1"/>
          <w:lang w:val="en-GB"/>
        </w:rPr>
        <w:t>;</w:t>
      </w:r>
      <w:r w:rsidR="00AE2324" w:rsidRPr="0007754D">
        <w:rPr>
          <w:rStyle w:val="FootnoteReference"/>
          <w:color w:val="000000" w:themeColor="text1"/>
        </w:rPr>
        <w:footnoteReference w:id="143"/>
      </w:r>
      <w:r w:rsidR="00D21A61" w:rsidRPr="0007754D">
        <w:rPr>
          <w:color w:val="000000" w:themeColor="text1"/>
          <w:lang w:val="en-GB"/>
        </w:rPr>
        <w:t xml:space="preserve"> the </w:t>
      </w:r>
      <w:r w:rsidR="001C352B" w:rsidRPr="0007754D">
        <w:rPr>
          <w:color w:val="000000" w:themeColor="text1"/>
          <w:lang w:val="en-GB"/>
        </w:rPr>
        <w:t>teaching</w:t>
      </w:r>
      <w:r w:rsidR="00D21A61" w:rsidRPr="0007754D">
        <w:rPr>
          <w:color w:val="000000" w:themeColor="text1"/>
          <w:lang w:val="en-GB"/>
        </w:rPr>
        <w:t xml:space="preserve"> of sex education, </w:t>
      </w:r>
      <w:r w:rsidR="00AE2324" w:rsidRPr="0007754D">
        <w:rPr>
          <w:color w:val="000000" w:themeColor="text1"/>
          <w:lang w:val="en-GB"/>
        </w:rPr>
        <w:t>only once;</w:t>
      </w:r>
      <w:r w:rsidR="003A605D" w:rsidRPr="0007754D">
        <w:rPr>
          <w:rStyle w:val="FootnoteReference"/>
          <w:color w:val="000000" w:themeColor="text1"/>
        </w:rPr>
        <w:footnoteReference w:id="144"/>
      </w:r>
      <w:r w:rsidR="003A605D" w:rsidRPr="0007754D">
        <w:rPr>
          <w:color w:val="000000" w:themeColor="text1"/>
          <w:lang w:val="en-GB"/>
        </w:rPr>
        <w:t xml:space="preserve"> </w:t>
      </w:r>
      <w:r w:rsidR="00DC69E6" w:rsidRPr="0007754D">
        <w:rPr>
          <w:color w:val="000000" w:themeColor="text1"/>
          <w:lang w:val="en-GB"/>
        </w:rPr>
        <w:t>and the availability of measures combatting diseases affecting the reproductive system</w:t>
      </w:r>
      <w:r w:rsidR="00D21A61" w:rsidRPr="0007754D">
        <w:rPr>
          <w:color w:val="000000" w:themeColor="text1"/>
          <w:lang w:val="en-GB"/>
        </w:rPr>
        <w:t xml:space="preserve">, </w:t>
      </w:r>
      <w:r w:rsidR="003A605D" w:rsidRPr="0007754D">
        <w:rPr>
          <w:color w:val="000000" w:themeColor="text1"/>
          <w:lang w:val="en-GB"/>
        </w:rPr>
        <w:t>six</w:t>
      </w:r>
      <w:r w:rsidR="00DC69E6" w:rsidRPr="0007754D">
        <w:rPr>
          <w:color w:val="000000" w:themeColor="text1"/>
          <w:lang w:val="en-GB"/>
        </w:rPr>
        <w:t xml:space="preserve"> times.</w:t>
      </w:r>
      <w:r w:rsidR="00672F4E" w:rsidRPr="0007754D">
        <w:rPr>
          <w:rStyle w:val="FootnoteReference"/>
          <w:color w:val="000000" w:themeColor="text1"/>
        </w:rPr>
        <w:footnoteReference w:id="145"/>
      </w:r>
      <w:r w:rsidR="00672F4E" w:rsidRPr="0007754D">
        <w:rPr>
          <w:color w:val="000000" w:themeColor="text1"/>
          <w:lang w:val="en-GB"/>
        </w:rPr>
        <w:t xml:space="preserve"> </w:t>
      </w:r>
      <w:r w:rsidR="00AE2324" w:rsidRPr="0007754D">
        <w:rPr>
          <w:color w:val="000000" w:themeColor="text1"/>
          <w:lang w:val="en-GB"/>
        </w:rPr>
        <w:t>It becomes now apparent that w</w:t>
      </w:r>
      <w:r w:rsidR="00DC69E6" w:rsidRPr="0007754D">
        <w:rPr>
          <w:color w:val="000000" w:themeColor="text1"/>
          <w:lang w:val="en-GB"/>
        </w:rPr>
        <w:t xml:space="preserve">ithout any indicators, whether </w:t>
      </w:r>
      <w:r w:rsidR="00AE2324" w:rsidRPr="0007754D">
        <w:rPr>
          <w:color w:val="000000" w:themeColor="text1"/>
          <w:lang w:val="en-GB"/>
        </w:rPr>
        <w:t xml:space="preserve">between 1969 and 2000 </w:t>
      </w:r>
      <w:r w:rsidR="00DC69E6" w:rsidRPr="0007754D">
        <w:rPr>
          <w:color w:val="000000" w:themeColor="text1"/>
          <w:lang w:val="en-GB"/>
        </w:rPr>
        <w:t xml:space="preserve">or in 2015, </w:t>
      </w:r>
      <w:r w:rsidR="00AE2324" w:rsidRPr="0007754D">
        <w:rPr>
          <w:color w:val="000000" w:themeColor="text1"/>
          <w:lang w:val="en-GB"/>
        </w:rPr>
        <w:t>the Committee’s protection of individuals’ SRH drops significantly.</w:t>
      </w:r>
      <w:r w:rsidR="00672F4E" w:rsidRPr="0007754D">
        <w:rPr>
          <w:color w:val="000000" w:themeColor="text1"/>
          <w:lang w:val="en-GB"/>
        </w:rPr>
        <w:t xml:space="preserve"> Therefore, to maintain a consistent</w:t>
      </w:r>
      <w:r w:rsidR="00066598" w:rsidRPr="0007754D">
        <w:rPr>
          <w:color w:val="000000" w:themeColor="text1"/>
          <w:lang w:val="en-GB"/>
        </w:rPr>
        <w:t xml:space="preserve">, in-depth </w:t>
      </w:r>
      <w:r w:rsidR="00672F4E" w:rsidRPr="0007754D">
        <w:rPr>
          <w:color w:val="000000" w:themeColor="text1"/>
          <w:lang w:val="en-GB"/>
        </w:rPr>
        <w:t xml:space="preserve">monitoring and thus, protection of SRH, the ECoSR should review Article 11 through thematic health indicators </w:t>
      </w:r>
      <w:r w:rsidRPr="0007754D">
        <w:rPr>
          <w:color w:val="000000" w:themeColor="text1"/>
          <w:lang w:val="en-GB"/>
        </w:rPr>
        <w:t>(</w:t>
      </w:r>
      <w:r w:rsidR="00672F4E" w:rsidRPr="0007754D">
        <w:rPr>
          <w:color w:val="000000" w:themeColor="text1"/>
          <w:lang w:val="en-GB"/>
        </w:rPr>
        <w:t>relevant to key SRH issues</w:t>
      </w:r>
      <w:r w:rsidRPr="0007754D">
        <w:rPr>
          <w:color w:val="000000" w:themeColor="text1"/>
          <w:lang w:val="en-GB"/>
        </w:rPr>
        <w:t>)</w:t>
      </w:r>
      <w:r w:rsidR="00672F4E" w:rsidRPr="0007754D">
        <w:rPr>
          <w:color w:val="000000" w:themeColor="text1"/>
          <w:lang w:val="en-GB"/>
        </w:rPr>
        <w:t>.</w:t>
      </w:r>
    </w:p>
    <w:p w14:paraId="5D10372D" w14:textId="0061E8C5" w:rsidR="00DC69E6" w:rsidRPr="0007754D" w:rsidRDefault="00DC69E6" w:rsidP="00B70779">
      <w:pPr>
        <w:spacing w:line="276" w:lineRule="auto"/>
        <w:jc w:val="both"/>
        <w:rPr>
          <w:color w:val="000000" w:themeColor="text1"/>
          <w:lang w:val="en-GB"/>
        </w:rPr>
      </w:pPr>
    </w:p>
    <w:p w14:paraId="2BFA6BE8" w14:textId="3CC1B4E9" w:rsidR="00F02C77" w:rsidRPr="0007754D" w:rsidRDefault="006007FB" w:rsidP="00D012DF">
      <w:pPr>
        <w:spacing w:line="276" w:lineRule="auto"/>
        <w:jc w:val="both"/>
        <w:rPr>
          <w:color w:val="000000" w:themeColor="text1"/>
          <w:lang w:val="en-GB"/>
        </w:rPr>
      </w:pPr>
      <w:r w:rsidRPr="0007754D">
        <w:rPr>
          <w:color w:val="000000" w:themeColor="text1"/>
          <w:lang w:val="en-GB"/>
        </w:rPr>
        <w:t>Despite this ‘glitch’,</w:t>
      </w:r>
      <w:r w:rsidR="00D012DF" w:rsidRPr="0007754D">
        <w:rPr>
          <w:color w:val="000000" w:themeColor="text1"/>
          <w:lang w:val="en-GB"/>
        </w:rPr>
        <w:t xml:space="preserve"> the Committee’s protection of SRH </w:t>
      </w:r>
      <w:r w:rsidR="00D21A61" w:rsidRPr="0007754D">
        <w:rPr>
          <w:color w:val="000000" w:themeColor="text1"/>
          <w:lang w:val="en-GB"/>
        </w:rPr>
        <w:t xml:space="preserve">has progressed </w:t>
      </w:r>
      <w:r w:rsidR="00D012DF" w:rsidRPr="0007754D">
        <w:rPr>
          <w:color w:val="000000" w:themeColor="text1"/>
          <w:lang w:val="en-GB"/>
        </w:rPr>
        <w:t xml:space="preserve">since 2010, for it started reviewing an additional SRH issue in its 2013 and 2017 </w:t>
      </w:r>
      <w:r w:rsidRPr="0007754D">
        <w:rPr>
          <w:color w:val="000000" w:themeColor="text1"/>
          <w:lang w:val="en-GB"/>
        </w:rPr>
        <w:t>reporting cycles</w:t>
      </w:r>
      <w:r w:rsidR="00D012DF" w:rsidRPr="0007754D">
        <w:rPr>
          <w:color w:val="000000" w:themeColor="text1"/>
          <w:lang w:val="en-GB"/>
        </w:rPr>
        <w:t xml:space="preserve"> on Article 11 ESC</w:t>
      </w:r>
      <w:r w:rsidRPr="0007754D">
        <w:rPr>
          <w:color w:val="000000" w:themeColor="text1"/>
          <w:lang w:val="en-GB"/>
        </w:rPr>
        <w:t>: transgender persons’ SRH</w:t>
      </w:r>
      <w:r w:rsidR="00AB3858" w:rsidRPr="0007754D">
        <w:rPr>
          <w:color w:val="000000" w:themeColor="text1"/>
          <w:lang w:val="en-GB"/>
        </w:rPr>
        <w:t xml:space="preserve">. </w:t>
      </w:r>
      <w:r w:rsidR="00D21A61" w:rsidRPr="0007754D">
        <w:rPr>
          <w:color w:val="000000" w:themeColor="text1"/>
          <w:lang w:val="en-GB"/>
        </w:rPr>
        <w:t>The ECoSR</w:t>
      </w:r>
      <w:r w:rsidRPr="0007754D">
        <w:rPr>
          <w:color w:val="000000" w:themeColor="text1"/>
          <w:lang w:val="en-GB"/>
        </w:rPr>
        <w:t xml:space="preserve"> regularly verifies that states provide</w:t>
      </w:r>
      <w:r w:rsidR="00D21A61" w:rsidRPr="0007754D">
        <w:rPr>
          <w:color w:val="000000" w:themeColor="text1"/>
          <w:lang w:val="en-GB"/>
        </w:rPr>
        <w:t xml:space="preserve"> </w:t>
      </w:r>
      <w:r w:rsidRPr="0007754D">
        <w:rPr>
          <w:color w:val="000000" w:themeColor="text1"/>
          <w:lang w:val="en-GB"/>
        </w:rPr>
        <w:t>access to gender reassignment surgery</w:t>
      </w:r>
      <w:r w:rsidR="00D21A61" w:rsidRPr="0007754D">
        <w:rPr>
          <w:color w:val="000000" w:themeColor="text1"/>
          <w:lang w:val="en-GB"/>
        </w:rPr>
        <w:t xml:space="preserve"> when needed</w:t>
      </w:r>
      <w:r w:rsidR="00066598" w:rsidRPr="0007754D">
        <w:rPr>
          <w:color w:val="000000" w:themeColor="text1"/>
          <w:lang w:val="en-GB"/>
        </w:rPr>
        <w:t xml:space="preserve">, and that they do not require </w:t>
      </w:r>
      <w:r w:rsidRPr="0007754D">
        <w:rPr>
          <w:color w:val="000000" w:themeColor="text1"/>
          <w:lang w:val="en-GB"/>
        </w:rPr>
        <w:t>sterilisation</w:t>
      </w:r>
      <w:r w:rsidR="00066598" w:rsidRPr="0007754D">
        <w:rPr>
          <w:color w:val="000000" w:themeColor="text1"/>
          <w:lang w:val="en-GB"/>
        </w:rPr>
        <w:t xml:space="preserve"> procedures to recognise a new gender identity.</w:t>
      </w:r>
      <w:r w:rsidRPr="0007754D">
        <w:rPr>
          <w:color w:val="000000" w:themeColor="text1"/>
          <w:lang w:val="en-GB"/>
        </w:rPr>
        <w:t xml:space="preserve"> While such review was ad hoc in 2013,</w:t>
      </w:r>
      <w:r w:rsidR="001125FB" w:rsidRPr="0007754D">
        <w:rPr>
          <w:rStyle w:val="FootnoteReference"/>
          <w:color w:val="000000" w:themeColor="text1"/>
        </w:rPr>
        <w:footnoteReference w:id="146"/>
      </w:r>
      <w:r w:rsidR="001125FB" w:rsidRPr="0007754D">
        <w:rPr>
          <w:color w:val="000000" w:themeColor="text1"/>
          <w:lang w:val="en-GB"/>
        </w:rPr>
        <w:t xml:space="preserve"> </w:t>
      </w:r>
      <w:r w:rsidRPr="0007754D">
        <w:rPr>
          <w:color w:val="000000" w:themeColor="text1"/>
          <w:lang w:val="en-GB"/>
        </w:rPr>
        <w:t>it has become almost systematic in 2017,</w:t>
      </w:r>
      <w:r w:rsidR="001125FB" w:rsidRPr="0007754D">
        <w:rPr>
          <w:rStyle w:val="FootnoteReference"/>
          <w:color w:val="000000" w:themeColor="text1"/>
        </w:rPr>
        <w:footnoteReference w:id="147"/>
      </w:r>
      <w:r w:rsidRPr="0007754D">
        <w:rPr>
          <w:color w:val="000000" w:themeColor="text1"/>
          <w:lang w:val="en-GB"/>
        </w:rPr>
        <w:t xml:space="preserve"> thanks to the </w:t>
      </w:r>
      <w:r w:rsidR="001125FB" w:rsidRPr="0007754D">
        <w:rPr>
          <w:color w:val="000000" w:themeColor="text1"/>
          <w:lang w:val="en-GB"/>
        </w:rPr>
        <w:t>NGO International Lesbian and Gay Association</w:t>
      </w:r>
      <w:r w:rsidR="00D21A61" w:rsidRPr="0007754D">
        <w:rPr>
          <w:color w:val="000000" w:themeColor="text1"/>
          <w:lang w:val="en-GB"/>
        </w:rPr>
        <w:t xml:space="preserve"> </w:t>
      </w:r>
      <w:r w:rsidR="003A2B50" w:rsidRPr="0007754D">
        <w:rPr>
          <w:color w:val="000000" w:themeColor="text1"/>
          <w:lang w:val="en-GB"/>
        </w:rPr>
        <w:t xml:space="preserve">seemingly </w:t>
      </w:r>
      <w:r w:rsidR="001125FB" w:rsidRPr="0007754D">
        <w:rPr>
          <w:color w:val="000000" w:themeColor="text1"/>
          <w:lang w:val="en-GB"/>
        </w:rPr>
        <w:t>providing regular shadow reports.</w:t>
      </w:r>
      <w:r w:rsidR="003A2B50" w:rsidRPr="0007754D">
        <w:rPr>
          <w:rStyle w:val="FootnoteReference"/>
          <w:color w:val="000000" w:themeColor="text1"/>
        </w:rPr>
        <w:footnoteReference w:id="148"/>
      </w:r>
      <w:r w:rsidR="001125FB" w:rsidRPr="0007754D">
        <w:rPr>
          <w:color w:val="000000" w:themeColor="text1"/>
          <w:lang w:val="en-GB"/>
        </w:rPr>
        <w:t xml:space="preserve"> For instance</w:t>
      </w:r>
      <w:r w:rsidR="00D21A61" w:rsidRPr="0007754D">
        <w:rPr>
          <w:color w:val="000000" w:themeColor="text1"/>
          <w:lang w:val="en-GB"/>
        </w:rPr>
        <w:t>, the Committee</w:t>
      </w:r>
      <w:r w:rsidR="001125FB" w:rsidRPr="0007754D">
        <w:rPr>
          <w:color w:val="000000" w:themeColor="text1"/>
          <w:lang w:val="en-GB"/>
        </w:rPr>
        <w:t xml:space="preserve"> criticised Turkey for the stringent criteria</w:t>
      </w:r>
      <w:r w:rsidR="00D012DF" w:rsidRPr="0007754D">
        <w:rPr>
          <w:color w:val="000000" w:themeColor="text1"/>
          <w:lang w:val="en-GB"/>
        </w:rPr>
        <w:t xml:space="preserve"> imposed upon</w:t>
      </w:r>
      <w:r w:rsidR="001125FB" w:rsidRPr="0007754D">
        <w:rPr>
          <w:color w:val="000000" w:themeColor="text1"/>
          <w:lang w:val="en-GB"/>
        </w:rPr>
        <w:t xml:space="preserve"> transgender persons to access gender reassignment surgeries, </w:t>
      </w:r>
      <w:r w:rsidR="003C3606" w:rsidRPr="0007754D">
        <w:rPr>
          <w:color w:val="000000" w:themeColor="text1"/>
          <w:lang w:val="en-GB"/>
        </w:rPr>
        <w:t xml:space="preserve">by </w:t>
      </w:r>
      <w:r w:rsidR="001125FB" w:rsidRPr="0007754D">
        <w:rPr>
          <w:color w:val="000000" w:themeColor="text1"/>
          <w:lang w:val="en-GB"/>
        </w:rPr>
        <w:t xml:space="preserve">referring to the case </w:t>
      </w:r>
      <w:r w:rsidR="001125FB" w:rsidRPr="0007754D">
        <w:rPr>
          <w:i/>
          <w:color w:val="000000" w:themeColor="text1"/>
          <w:lang w:val="en-GB"/>
        </w:rPr>
        <w:t>Y.Y. v. Turkey</w:t>
      </w:r>
      <w:r w:rsidR="001125FB" w:rsidRPr="0007754D">
        <w:rPr>
          <w:color w:val="000000" w:themeColor="text1"/>
          <w:lang w:val="en-GB"/>
        </w:rPr>
        <w:t xml:space="preserve"> held by the ECtHR on the same matter.</w:t>
      </w:r>
      <w:r w:rsidR="001125FB" w:rsidRPr="0007754D">
        <w:rPr>
          <w:rStyle w:val="FootnoteReference"/>
          <w:color w:val="000000" w:themeColor="text1"/>
        </w:rPr>
        <w:footnoteReference w:id="149"/>
      </w:r>
      <w:r w:rsidR="00D012DF" w:rsidRPr="0007754D">
        <w:rPr>
          <w:color w:val="000000" w:themeColor="text1"/>
          <w:lang w:val="en-GB"/>
        </w:rPr>
        <w:t xml:space="preserve"> </w:t>
      </w:r>
      <w:r w:rsidR="00F1715F" w:rsidRPr="0007754D">
        <w:rPr>
          <w:color w:val="000000" w:themeColor="text1"/>
          <w:lang w:val="en-GB"/>
        </w:rPr>
        <w:t xml:space="preserve">Such monitoring </w:t>
      </w:r>
      <w:r w:rsidR="00E362D4" w:rsidRPr="0007754D">
        <w:rPr>
          <w:color w:val="000000" w:themeColor="text1"/>
          <w:lang w:val="en-GB"/>
        </w:rPr>
        <w:t>thus</w:t>
      </w:r>
      <w:r w:rsidR="00F1715F" w:rsidRPr="0007754D">
        <w:rPr>
          <w:color w:val="000000" w:themeColor="text1"/>
          <w:lang w:val="en-GB"/>
        </w:rPr>
        <w:t>,</w:t>
      </w:r>
      <w:r w:rsidR="00B659E2" w:rsidRPr="0007754D">
        <w:rPr>
          <w:color w:val="000000" w:themeColor="text1"/>
          <w:lang w:val="en-GB"/>
        </w:rPr>
        <w:t xml:space="preserve"> clearly protect</w:t>
      </w:r>
      <w:r w:rsidR="00F1715F" w:rsidRPr="0007754D">
        <w:rPr>
          <w:color w:val="000000" w:themeColor="text1"/>
          <w:lang w:val="en-GB"/>
        </w:rPr>
        <w:t>s</w:t>
      </w:r>
      <w:r w:rsidR="00B659E2" w:rsidRPr="0007754D">
        <w:rPr>
          <w:color w:val="000000" w:themeColor="text1"/>
          <w:lang w:val="en-GB"/>
        </w:rPr>
        <w:t xml:space="preserve"> transgender persons’ access to healthcare supporting key aspects of </w:t>
      </w:r>
      <w:r w:rsidR="00D012DF" w:rsidRPr="0007754D">
        <w:rPr>
          <w:color w:val="000000" w:themeColor="text1"/>
          <w:lang w:val="en-GB"/>
        </w:rPr>
        <w:t xml:space="preserve">their </w:t>
      </w:r>
      <w:r w:rsidR="00B659E2" w:rsidRPr="0007754D">
        <w:rPr>
          <w:color w:val="000000" w:themeColor="text1"/>
          <w:lang w:val="en-GB"/>
        </w:rPr>
        <w:t>sexuality</w:t>
      </w:r>
      <w:r w:rsidR="00F1715F" w:rsidRPr="0007754D">
        <w:rPr>
          <w:color w:val="000000" w:themeColor="text1"/>
          <w:lang w:val="en-GB"/>
        </w:rPr>
        <w:t xml:space="preserve">, as </w:t>
      </w:r>
      <w:r w:rsidR="00E6047F" w:rsidRPr="0007754D">
        <w:rPr>
          <w:color w:val="000000" w:themeColor="text1"/>
          <w:lang w:val="en-GB"/>
        </w:rPr>
        <w:t xml:space="preserve">it is </w:t>
      </w:r>
      <w:r w:rsidR="00D21A61" w:rsidRPr="0007754D">
        <w:rPr>
          <w:color w:val="000000" w:themeColor="text1"/>
          <w:lang w:val="en-GB"/>
        </w:rPr>
        <w:t xml:space="preserve">partially </w:t>
      </w:r>
      <w:r w:rsidR="00E6047F" w:rsidRPr="0007754D">
        <w:rPr>
          <w:color w:val="000000" w:themeColor="text1"/>
          <w:lang w:val="en-GB"/>
        </w:rPr>
        <w:t xml:space="preserve">the case in </w:t>
      </w:r>
      <w:r w:rsidR="00B75F10" w:rsidRPr="0007754D">
        <w:rPr>
          <w:color w:val="000000" w:themeColor="text1"/>
          <w:lang w:val="en-GB"/>
        </w:rPr>
        <w:t>the ECtHR’s case-</w:t>
      </w:r>
      <w:r w:rsidR="00F1715F" w:rsidRPr="0007754D">
        <w:rPr>
          <w:color w:val="000000" w:themeColor="text1"/>
          <w:lang w:val="en-GB"/>
        </w:rPr>
        <w:t>law. However, neither the WHO</w:t>
      </w:r>
      <w:r w:rsidR="00400789" w:rsidRPr="0007754D">
        <w:rPr>
          <w:color w:val="000000" w:themeColor="text1"/>
          <w:lang w:val="en-GB"/>
        </w:rPr>
        <w:t xml:space="preserve"> strategy</w:t>
      </w:r>
      <w:r w:rsidR="00F1715F" w:rsidRPr="0007754D">
        <w:rPr>
          <w:color w:val="000000" w:themeColor="text1"/>
          <w:lang w:val="en-GB"/>
        </w:rPr>
        <w:t xml:space="preserve"> nor </w:t>
      </w:r>
      <w:r w:rsidR="00400789" w:rsidRPr="0007754D">
        <w:rPr>
          <w:color w:val="000000" w:themeColor="text1"/>
          <w:lang w:val="en-GB"/>
        </w:rPr>
        <w:t>UNCESCR GC</w:t>
      </w:r>
      <w:r w:rsidR="00F1715F" w:rsidRPr="0007754D">
        <w:rPr>
          <w:color w:val="000000" w:themeColor="text1"/>
          <w:lang w:val="en-GB"/>
        </w:rPr>
        <w:t xml:space="preserve">22 consider </w:t>
      </w:r>
      <w:r w:rsidR="00E6047F" w:rsidRPr="0007754D">
        <w:rPr>
          <w:color w:val="000000" w:themeColor="text1"/>
          <w:lang w:val="en-GB"/>
        </w:rPr>
        <w:t>gender reassignment surgeries (or even hormone therapies)</w:t>
      </w:r>
      <w:r w:rsidR="00F1715F" w:rsidRPr="0007754D">
        <w:rPr>
          <w:color w:val="000000" w:themeColor="text1"/>
          <w:lang w:val="en-GB"/>
        </w:rPr>
        <w:t xml:space="preserve"> </w:t>
      </w:r>
      <w:r w:rsidR="00D012DF" w:rsidRPr="0007754D">
        <w:rPr>
          <w:color w:val="000000" w:themeColor="text1"/>
          <w:lang w:val="en-GB"/>
        </w:rPr>
        <w:t>as</w:t>
      </w:r>
      <w:r w:rsidR="00F1715F" w:rsidRPr="0007754D">
        <w:rPr>
          <w:color w:val="000000" w:themeColor="text1"/>
          <w:lang w:val="en-GB"/>
        </w:rPr>
        <w:t xml:space="preserve"> key aspect</w:t>
      </w:r>
      <w:r w:rsidR="00E6047F" w:rsidRPr="0007754D">
        <w:rPr>
          <w:color w:val="000000" w:themeColor="text1"/>
          <w:lang w:val="en-GB"/>
        </w:rPr>
        <w:t>s</w:t>
      </w:r>
      <w:r w:rsidR="00F1715F" w:rsidRPr="0007754D">
        <w:rPr>
          <w:color w:val="000000" w:themeColor="text1"/>
          <w:lang w:val="en-GB"/>
        </w:rPr>
        <w:t xml:space="preserve"> of SRH</w:t>
      </w:r>
      <w:r w:rsidR="00E6047F" w:rsidRPr="0007754D">
        <w:rPr>
          <w:color w:val="000000" w:themeColor="text1"/>
          <w:lang w:val="en-GB"/>
        </w:rPr>
        <w:t>.</w:t>
      </w:r>
      <w:r w:rsidR="00F35832" w:rsidRPr="0007754D">
        <w:rPr>
          <w:rStyle w:val="FootnoteReference"/>
          <w:color w:val="000000" w:themeColor="text1"/>
        </w:rPr>
        <w:footnoteReference w:id="150"/>
      </w:r>
      <w:r w:rsidR="001F325C" w:rsidRPr="0007754D">
        <w:rPr>
          <w:color w:val="000000" w:themeColor="text1"/>
          <w:lang w:val="en-GB"/>
        </w:rPr>
        <w:t xml:space="preserve"> </w:t>
      </w:r>
      <w:r w:rsidR="00E6047F" w:rsidRPr="0007754D">
        <w:rPr>
          <w:color w:val="000000" w:themeColor="text1"/>
          <w:lang w:val="en-GB"/>
        </w:rPr>
        <w:t>The absence of recommendations in that respect</w:t>
      </w:r>
      <w:r w:rsidR="00235609" w:rsidRPr="0007754D">
        <w:rPr>
          <w:color w:val="000000" w:themeColor="text1"/>
          <w:lang w:val="en-GB"/>
        </w:rPr>
        <w:t xml:space="preserve"> </w:t>
      </w:r>
      <w:r w:rsidR="00E6047F" w:rsidRPr="0007754D">
        <w:rPr>
          <w:color w:val="000000" w:themeColor="text1"/>
          <w:lang w:val="en-GB"/>
        </w:rPr>
        <w:t>ignores</w:t>
      </w:r>
      <w:r w:rsidR="00C27A59" w:rsidRPr="0007754D">
        <w:rPr>
          <w:color w:val="000000" w:themeColor="text1"/>
          <w:lang w:val="en-GB"/>
        </w:rPr>
        <w:t xml:space="preserve"> the evidence </w:t>
      </w:r>
      <w:r w:rsidR="00E6047F" w:rsidRPr="0007754D">
        <w:rPr>
          <w:color w:val="000000" w:themeColor="text1"/>
          <w:lang w:val="en-GB"/>
        </w:rPr>
        <w:t>highlighting the</w:t>
      </w:r>
      <w:r w:rsidR="00FC618F" w:rsidRPr="0007754D">
        <w:rPr>
          <w:color w:val="000000" w:themeColor="text1"/>
          <w:lang w:val="en-GB"/>
        </w:rPr>
        <w:t xml:space="preserve"> significant</w:t>
      </w:r>
      <w:r w:rsidR="00E6047F" w:rsidRPr="0007754D">
        <w:rPr>
          <w:color w:val="000000" w:themeColor="text1"/>
          <w:lang w:val="en-GB"/>
        </w:rPr>
        <w:t xml:space="preserve"> relief these procedures provide to individuals suffering from gender dysphoria, and the improvement they </w:t>
      </w:r>
      <w:r w:rsidR="00AB47B1" w:rsidRPr="0007754D">
        <w:rPr>
          <w:color w:val="000000" w:themeColor="text1"/>
          <w:lang w:val="en-GB"/>
        </w:rPr>
        <w:t>make to</w:t>
      </w:r>
      <w:r w:rsidR="00E6047F" w:rsidRPr="0007754D">
        <w:rPr>
          <w:color w:val="000000" w:themeColor="text1"/>
          <w:lang w:val="en-GB"/>
        </w:rPr>
        <w:t xml:space="preserve"> transgender persons’ sexual health</w:t>
      </w:r>
      <w:r w:rsidR="00F1715F" w:rsidRPr="0007754D">
        <w:rPr>
          <w:color w:val="000000" w:themeColor="text1"/>
          <w:lang w:val="en-GB"/>
        </w:rPr>
        <w:t>.</w:t>
      </w:r>
      <w:r w:rsidR="00FC618F" w:rsidRPr="0007754D">
        <w:rPr>
          <w:rStyle w:val="FootnoteReference"/>
          <w:color w:val="000000" w:themeColor="text1"/>
        </w:rPr>
        <w:footnoteReference w:id="151"/>
      </w:r>
      <w:r w:rsidR="00D21A61" w:rsidRPr="0007754D">
        <w:rPr>
          <w:color w:val="000000" w:themeColor="text1"/>
          <w:lang w:val="en-GB"/>
        </w:rPr>
        <w:t xml:space="preserve"> However, </w:t>
      </w:r>
      <w:r w:rsidR="00C439BD" w:rsidRPr="0007754D">
        <w:rPr>
          <w:color w:val="000000" w:themeColor="text1"/>
          <w:lang w:val="en-GB"/>
        </w:rPr>
        <w:t xml:space="preserve">significant </w:t>
      </w:r>
      <w:r w:rsidR="00D21A61" w:rsidRPr="0007754D">
        <w:rPr>
          <w:color w:val="000000" w:themeColor="text1"/>
          <w:lang w:val="en-GB"/>
        </w:rPr>
        <w:t xml:space="preserve">progress remains to be made </w:t>
      </w:r>
      <w:r w:rsidR="00C439BD" w:rsidRPr="0007754D">
        <w:rPr>
          <w:color w:val="000000" w:themeColor="text1"/>
          <w:lang w:val="en-GB"/>
        </w:rPr>
        <w:t>in</w:t>
      </w:r>
      <w:r w:rsidR="00D21A61" w:rsidRPr="0007754D">
        <w:rPr>
          <w:color w:val="000000" w:themeColor="text1"/>
          <w:lang w:val="en-GB"/>
        </w:rPr>
        <w:t xml:space="preserve"> the Committee’s review and thus, </w:t>
      </w:r>
      <w:r w:rsidR="00A24837" w:rsidRPr="0007754D">
        <w:rPr>
          <w:color w:val="000000" w:themeColor="text1"/>
          <w:lang w:val="en-GB"/>
        </w:rPr>
        <w:t>protection of (cis) women</w:t>
      </w:r>
      <w:r w:rsidR="00D21A61" w:rsidRPr="0007754D">
        <w:rPr>
          <w:color w:val="000000" w:themeColor="text1"/>
          <w:lang w:val="en-GB"/>
        </w:rPr>
        <w:t>’</w:t>
      </w:r>
      <w:r w:rsidR="00A24837" w:rsidRPr="0007754D">
        <w:rPr>
          <w:color w:val="000000" w:themeColor="text1"/>
          <w:lang w:val="en-GB"/>
        </w:rPr>
        <w:t xml:space="preserve">s SRH. Its Conclusions remain largely silent on </w:t>
      </w:r>
      <w:r w:rsidR="00D21A61" w:rsidRPr="0007754D">
        <w:rPr>
          <w:color w:val="000000" w:themeColor="text1"/>
          <w:lang w:val="en-GB"/>
        </w:rPr>
        <w:t>access to contraception and abortion</w:t>
      </w:r>
      <w:r w:rsidR="00A24837" w:rsidRPr="0007754D">
        <w:rPr>
          <w:color w:val="000000" w:themeColor="text1"/>
          <w:lang w:val="en-GB"/>
        </w:rPr>
        <w:t>, and no relevant legal standards have therefore emanated from its reporting procedure</w:t>
      </w:r>
      <w:r w:rsidR="00D21A61" w:rsidRPr="0007754D">
        <w:rPr>
          <w:iCs/>
          <w:color w:val="000000" w:themeColor="text1"/>
          <w:lang w:val="en-GB"/>
        </w:rPr>
        <w:t>.</w:t>
      </w:r>
      <w:r w:rsidR="00C439BD" w:rsidRPr="0007754D">
        <w:rPr>
          <w:iCs/>
          <w:color w:val="000000" w:themeColor="text1"/>
          <w:lang w:val="en-GB"/>
        </w:rPr>
        <w:t xml:space="preserve"> For instance, in its </w:t>
      </w:r>
      <w:r w:rsidR="00AE20AA" w:rsidRPr="0007754D">
        <w:rPr>
          <w:iCs/>
          <w:color w:val="000000" w:themeColor="text1"/>
          <w:lang w:val="en-GB"/>
        </w:rPr>
        <w:t xml:space="preserve">2017 </w:t>
      </w:r>
      <w:r w:rsidR="00C439BD" w:rsidRPr="0007754D">
        <w:rPr>
          <w:iCs/>
          <w:color w:val="000000" w:themeColor="text1"/>
          <w:lang w:val="en-GB"/>
        </w:rPr>
        <w:t>reporting procedure</w:t>
      </w:r>
      <w:r w:rsidR="00AE20AA" w:rsidRPr="0007754D">
        <w:rPr>
          <w:iCs/>
          <w:color w:val="000000" w:themeColor="text1"/>
          <w:lang w:val="en-GB"/>
        </w:rPr>
        <w:t xml:space="preserve"> on Article 11, the ECoSR</w:t>
      </w:r>
      <w:r w:rsidR="00C439BD" w:rsidRPr="0007754D">
        <w:rPr>
          <w:iCs/>
          <w:color w:val="000000" w:themeColor="text1"/>
          <w:lang w:val="en-GB"/>
        </w:rPr>
        <w:t xml:space="preserve"> never reviewed </w:t>
      </w:r>
      <w:r w:rsidR="00A24837" w:rsidRPr="0007754D">
        <w:rPr>
          <w:iCs/>
          <w:color w:val="000000" w:themeColor="text1"/>
          <w:lang w:val="en-GB"/>
        </w:rPr>
        <w:t>individuals</w:t>
      </w:r>
      <w:r w:rsidR="00C439BD" w:rsidRPr="0007754D">
        <w:rPr>
          <w:iCs/>
          <w:color w:val="000000" w:themeColor="text1"/>
          <w:lang w:val="en-GB"/>
        </w:rPr>
        <w:t>’ access to contraceptives and</w:t>
      </w:r>
      <w:r w:rsidR="00A24837" w:rsidRPr="0007754D">
        <w:rPr>
          <w:iCs/>
          <w:color w:val="000000" w:themeColor="text1"/>
          <w:lang w:val="en-GB"/>
        </w:rPr>
        <w:t xml:space="preserve"> it</w:t>
      </w:r>
      <w:r w:rsidR="00C439BD" w:rsidRPr="0007754D">
        <w:rPr>
          <w:iCs/>
          <w:color w:val="000000" w:themeColor="text1"/>
          <w:lang w:val="en-GB"/>
        </w:rPr>
        <w:t xml:space="preserve"> only monitored once </w:t>
      </w:r>
      <w:r w:rsidR="00A24837" w:rsidRPr="0007754D">
        <w:rPr>
          <w:iCs/>
          <w:color w:val="000000" w:themeColor="text1"/>
          <w:lang w:val="en-GB"/>
        </w:rPr>
        <w:t xml:space="preserve">women’s </w:t>
      </w:r>
      <w:r w:rsidR="00C439BD" w:rsidRPr="0007754D">
        <w:rPr>
          <w:iCs/>
          <w:color w:val="000000" w:themeColor="text1"/>
          <w:lang w:val="en-GB"/>
        </w:rPr>
        <w:t>ability to access abortion services</w:t>
      </w:r>
      <w:r w:rsidR="00AE20AA" w:rsidRPr="0007754D">
        <w:rPr>
          <w:iCs/>
          <w:color w:val="000000" w:themeColor="text1"/>
          <w:lang w:val="en-GB"/>
        </w:rPr>
        <w:t>, across 35 states</w:t>
      </w:r>
      <w:r w:rsidR="00C439BD" w:rsidRPr="0007754D">
        <w:rPr>
          <w:iCs/>
          <w:color w:val="000000" w:themeColor="text1"/>
          <w:lang w:val="en-GB"/>
        </w:rPr>
        <w:t>.</w:t>
      </w:r>
      <w:r w:rsidR="00C439BD" w:rsidRPr="0007754D">
        <w:rPr>
          <w:rStyle w:val="FootnoteReference"/>
          <w:color w:val="000000" w:themeColor="text1"/>
        </w:rPr>
        <w:footnoteReference w:id="152"/>
      </w:r>
      <w:r w:rsidR="00C439BD" w:rsidRPr="0007754D">
        <w:rPr>
          <w:color w:val="000000" w:themeColor="text1"/>
          <w:lang w:val="en-GB"/>
        </w:rPr>
        <w:t xml:space="preserve"> </w:t>
      </w:r>
      <w:r w:rsidR="00C439BD" w:rsidRPr="0007754D">
        <w:rPr>
          <w:iCs/>
          <w:color w:val="000000" w:themeColor="text1"/>
          <w:lang w:val="en-GB"/>
        </w:rPr>
        <w:t xml:space="preserve">As a result, </w:t>
      </w:r>
      <w:r w:rsidR="002120CC" w:rsidRPr="0007754D">
        <w:rPr>
          <w:color w:val="000000" w:themeColor="text1"/>
          <w:lang w:val="en-GB"/>
        </w:rPr>
        <w:t xml:space="preserve">the Conclusions of the ECoSR, alike the </w:t>
      </w:r>
      <w:r w:rsidR="001874BB" w:rsidRPr="0007754D">
        <w:rPr>
          <w:color w:val="000000" w:themeColor="text1"/>
          <w:lang w:val="en-GB"/>
        </w:rPr>
        <w:t>judgments</w:t>
      </w:r>
      <w:r w:rsidR="002120CC" w:rsidRPr="0007754D">
        <w:rPr>
          <w:color w:val="000000" w:themeColor="text1"/>
          <w:lang w:val="en-GB"/>
        </w:rPr>
        <w:t xml:space="preserve"> of the ECtHR, fail to fully </w:t>
      </w:r>
      <w:r w:rsidR="002120CC" w:rsidRPr="0007754D">
        <w:rPr>
          <w:iCs/>
          <w:color w:val="000000" w:themeColor="text1"/>
          <w:lang w:val="en-GB"/>
        </w:rPr>
        <w:t>align</w:t>
      </w:r>
      <w:r w:rsidR="00F02C77" w:rsidRPr="0007754D">
        <w:rPr>
          <w:iCs/>
          <w:color w:val="000000" w:themeColor="text1"/>
          <w:lang w:val="en-GB"/>
        </w:rPr>
        <w:t xml:space="preserve"> with recommendations formulated by the WHO</w:t>
      </w:r>
      <w:r w:rsidR="00400789" w:rsidRPr="0007754D">
        <w:rPr>
          <w:iCs/>
          <w:color w:val="000000" w:themeColor="text1"/>
          <w:lang w:val="en-GB"/>
        </w:rPr>
        <w:t xml:space="preserve"> strategy</w:t>
      </w:r>
      <w:r w:rsidR="00F02C77" w:rsidRPr="0007754D">
        <w:rPr>
          <w:iCs/>
          <w:color w:val="000000" w:themeColor="text1"/>
          <w:lang w:val="en-GB"/>
        </w:rPr>
        <w:t xml:space="preserve"> or </w:t>
      </w:r>
      <w:r w:rsidR="00400789" w:rsidRPr="0007754D">
        <w:rPr>
          <w:iCs/>
          <w:color w:val="000000" w:themeColor="text1"/>
          <w:lang w:val="en-GB"/>
        </w:rPr>
        <w:t>UNCESCR GC</w:t>
      </w:r>
      <w:r w:rsidR="00F02C77" w:rsidRPr="0007754D">
        <w:rPr>
          <w:iCs/>
          <w:color w:val="000000" w:themeColor="text1"/>
          <w:lang w:val="en-GB"/>
        </w:rPr>
        <w:t xml:space="preserve">22 </w:t>
      </w:r>
      <w:r w:rsidR="008B20F1" w:rsidRPr="0007754D">
        <w:rPr>
          <w:iCs/>
          <w:color w:val="000000" w:themeColor="text1"/>
          <w:lang w:val="en-GB"/>
        </w:rPr>
        <w:t>in that respect</w:t>
      </w:r>
      <w:r w:rsidR="00F02C77" w:rsidRPr="0007754D">
        <w:rPr>
          <w:iCs/>
          <w:color w:val="000000" w:themeColor="text1"/>
          <w:lang w:val="en-GB"/>
        </w:rPr>
        <w:t>.</w:t>
      </w:r>
      <w:r w:rsidR="00F02C77" w:rsidRPr="0007754D">
        <w:rPr>
          <w:rStyle w:val="FootnoteReference"/>
          <w:color w:val="000000" w:themeColor="text1"/>
        </w:rPr>
        <w:footnoteReference w:id="153"/>
      </w:r>
    </w:p>
    <w:p w14:paraId="0EAFF93C" w14:textId="0E486335" w:rsidR="00927325" w:rsidRPr="0007754D" w:rsidRDefault="00927325" w:rsidP="0018642A">
      <w:pPr>
        <w:spacing w:line="276" w:lineRule="auto"/>
        <w:jc w:val="both"/>
        <w:rPr>
          <w:iCs/>
          <w:color w:val="000000" w:themeColor="text1"/>
          <w:lang w:val="en-GB"/>
        </w:rPr>
      </w:pPr>
    </w:p>
    <w:p w14:paraId="0A1291EB" w14:textId="0330238C" w:rsidR="00927325" w:rsidRPr="0007754D" w:rsidRDefault="00927325" w:rsidP="0018642A">
      <w:pPr>
        <w:spacing w:line="276" w:lineRule="auto"/>
        <w:jc w:val="both"/>
        <w:rPr>
          <w:color w:val="000000" w:themeColor="text1"/>
          <w:lang w:val="en-GB"/>
        </w:rPr>
      </w:pPr>
      <w:r w:rsidRPr="0007754D">
        <w:rPr>
          <w:iCs/>
          <w:color w:val="000000" w:themeColor="text1"/>
          <w:lang w:val="en-GB"/>
        </w:rPr>
        <w:t xml:space="preserve">To conclude, the use of indicators by the ECoSR to monitor states’ realisation of the right to health </w:t>
      </w:r>
      <w:r w:rsidR="00110F1A" w:rsidRPr="0007754D">
        <w:rPr>
          <w:iCs/>
          <w:color w:val="000000" w:themeColor="text1"/>
          <w:lang w:val="en-GB"/>
        </w:rPr>
        <w:t xml:space="preserve">in its reporting procedure, </w:t>
      </w:r>
      <w:r w:rsidRPr="0007754D">
        <w:rPr>
          <w:iCs/>
          <w:color w:val="000000" w:themeColor="text1"/>
          <w:lang w:val="en-GB"/>
        </w:rPr>
        <w:t xml:space="preserve">has clearly enabled it to consistently </w:t>
      </w:r>
      <w:r w:rsidR="002120CC" w:rsidRPr="0007754D">
        <w:rPr>
          <w:iCs/>
          <w:color w:val="000000" w:themeColor="text1"/>
          <w:lang w:val="en-GB"/>
        </w:rPr>
        <w:t>monitor</w:t>
      </w:r>
      <w:r w:rsidRPr="0007754D">
        <w:rPr>
          <w:iCs/>
          <w:color w:val="000000" w:themeColor="text1"/>
          <w:lang w:val="en-GB"/>
        </w:rPr>
        <w:t xml:space="preserve"> and follow up</w:t>
      </w:r>
      <w:r w:rsidR="00C22198" w:rsidRPr="0007754D">
        <w:rPr>
          <w:iCs/>
          <w:color w:val="000000" w:themeColor="text1"/>
          <w:lang w:val="en-GB"/>
        </w:rPr>
        <w:t xml:space="preserve"> key</w:t>
      </w:r>
      <w:r w:rsidRPr="0007754D">
        <w:rPr>
          <w:iCs/>
          <w:color w:val="000000" w:themeColor="text1"/>
          <w:lang w:val="en-GB"/>
        </w:rPr>
        <w:t xml:space="preserve"> aspects</w:t>
      </w:r>
      <w:r w:rsidR="00B53AF6" w:rsidRPr="0007754D">
        <w:rPr>
          <w:iCs/>
          <w:color w:val="000000" w:themeColor="text1"/>
          <w:lang w:val="en-GB"/>
        </w:rPr>
        <w:t xml:space="preserve"> </w:t>
      </w:r>
      <w:r w:rsidR="00C22198" w:rsidRPr="0007754D">
        <w:rPr>
          <w:iCs/>
          <w:color w:val="000000" w:themeColor="text1"/>
          <w:lang w:val="en-GB"/>
        </w:rPr>
        <w:t>of</w:t>
      </w:r>
      <w:r w:rsidR="00110F1A" w:rsidRPr="0007754D">
        <w:rPr>
          <w:iCs/>
          <w:color w:val="000000" w:themeColor="text1"/>
          <w:lang w:val="en-GB"/>
        </w:rPr>
        <w:t xml:space="preserve"> SRH</w:t>
      </w:r>
      <w:r w:rsidR="006A7129" w:rsidRPr="0007754D">
        <w:rPr>
          <w:iCs/>
          <w:color w:val="000000" w:themeColor="text1"/>
          <w:lang w:val="en-GB"/>
        </w:rPr>
        <w:t xml:space="preserve">, as defined by the WHO </w:t>
      </w:r>
      <w:r w:rsidR="005A68A2" w:rsidRPr="0007754D">
        <w:rPr>
          <w:iCs/>
          <w:color w:val="000000" w:themeColor="text1"/>
          <w:lang w:val="en-GB"/>
        </w:rPr>
        <w:t xml:space="preserve">strategy </w:t>
      </w:r>
      <w:r w:rsidR="006A7129" w:rsidRPr="0007754D">
        <w:rPr>
          <w:iCs/>
          <w:color w:val="000000" w:themeColor="text1"/>
          <w:lang w:val="en-GB"/>
        </w:rPr>
        <w:t>and</w:t>
      </w:r>
      <w:r w:rsidR="002120CC" w:rsidRPr="0007754D">
        <w:rPr>
          <w:iCs/>
          <w:color w:val="000000" w:themeColor="text1"/>
          <w:lang w:val="en-GB"/>
        </w:rPr>
        <w:t xml:space="preserve"> UN</w:t>
      </w:r>
      <w:r w:rsidR="005A68A2" w:rsidRPr="0007754D">
        <w:rPr>
          <w:iCs/>
          <w:color w:val="000000" w:themeColor="text1"/>
          <w:lang w:val="en-GB"/>
        </w:rPr>
        <w:t>CESCR GC22</w:t>
      </w:r>
      <w:r w:rsidRPr="0007754D">
        <w:rPr>
          <w:iCs/>
          <w:color w:val="000000" w:themeColor="text1"/>
          <w:lang w:val="en-GB"/>
        </w:rPr>
        <w:t>.</w:t>
      </w:r>
      <w:r w:rsidR="006A7129" w:rsidRPr="0007754D">
        <w:rPr>
          <w:rStyle w:val="FootnoteReference"/>
          <w:color w:val="000000" w:themeColor="text1"/>
        </w:rPr>
        <w:footnoteReference w:id="154"/>
      </w:r>
      <w:r w:rsidRPr="0007754D">
        <w:rPr>
          <w:iCs/>
          <w:color w:val="000000" w:themeColor="text1"/>
          <w:lang w:val="en-GB"/>
        </w:rPr>
        <w:t xml:space="preserve"> These </w:t>
      </w:r>
      <w:r w:rsidR="003851DA" w:rsidRPr="0007754D">
        <w:rPr>
          <w:iCs/>
          <w:color w:val="000000" w:themeColor="text1"/>
          <w:lang w:val="en-GB"/>
        </w:rPr>
        <w:t>include</w:t>
      </w:r>
      <w:r w:rsidR="006A7129" w:rsidRPr="0007754D">
        <w:rPr>
          <w:iCs/>
          <w:color w:val="000000" w:themeColor="text1"/>
          <w:lang w:val="en-GB"/>
        </w:rPr>
        <w:t xml:space="preserve">: </w:t>
      </w:r>
      <w:r w:rsidRPr="0007754D">
        <w:rPr>
          <w:color w:val="000000" w:themeColor="text1"/>
          <w:lang w:val="en-GB"/>
        </w:rPr>
        <w:t>the ava</w:t>
      </w:r>
      <w:r w:rsidR="005E1193" w:rsidRPr="0007754D">
        <w:rPr>
          <w:color w:val="000000" w:themeColor="text1"/>
          <w:lang w:val="en-GB"/>
        </w:rPr>
        <w:t>ilability of maternal health services</w:t>
      </w:r>
      <w:r w:rsidRPr="0007754D">
        <w:rPr>
          <w:color w:val="000000" w:themeColor="text1"/>
          <w:lang w:val="en-GB"/>
        </w:rPr>
        <w:t xml:space="preserve">, </w:t>
      </w:r>
      <w:r w:rsidR="006A7129" w:rsidRPr="0007754D">
        <w:rPr>
          <w:color w:val="000000" w:themeColor="text1"/>
          <w:lang w:val="en-GB"/>
        </w:rPr>
        <w:t>the teaching of</w:t>
      </w:r>
      <w:r w:rsidRPr="0007754D">
        <w:rPr>
          <w:color w:val="000000" w:themeColor="text1"/>
          <w:lang w:val="en-GB"/>
        </w:rPr>
        <w:t xml:space="preserve"> sex education</w:t>
      </w:r>
      <w:r w:rsidR="006A7129" w:rsidRPr="0007754D">
        <w:rPr>
          <w:color w:val="000000" w:themeColor="text1"/>
          <w:lang w:val="en-GB"/>
        </w:rPr>
        <w:t>, and the implementation of</w:t>
      </w:r>
      <w:r w:rsidRPr="0007754D">
        <w:rPr>
          <w:color w:val="000000" w:themeColor="text1"/>
          <w:lang w:val="en-GB"/>
        </w:rPr>
        <w:t xml:space="preserve"> </w:t>
      </w:r>
      <w:r w:rsidR="006A7129" w:rsidRPr="0007754D">
        <w:rPr>
          <w:color w:val="000000" w:themeColor="text1"/>
          <w:lang w:val="en-GB"/>
        </w:rPr>
        <w:t xml:space="preserve">measures </w:t>
      </w:r>
      <w:r w:rsidR="009C67E2" w:rsidRPr="0007754D">
        <w:rPr>
          <w:color w:val="000000" w:themeColor="text1"/>
          <w:lang w:val="en-GB"/>
        </w:rPr>
        <w:t xml:space="preserve">to </w:t>
      </w:r>
      <w:r w:rsidRPr="0007754D">
        <w:rPr>
          <w:color w:val="000000" w:themeColor="text1"/>
          <w:lang w:val="en-GB"/>
        </w:rPr>
        <w:t>combat diseases affecting the reproductive system. However, the same indicators</w:t>
      </w:r>
      <w:r w:rsidR="006A7129" w:rsidRPr="0007754D">
        <w:rPr>
          <w:color w:val="000000" w:themeColor="text1"/>
          <w:lang w:val="en-GB"/>
        </w:rPr>
        <w:t xml:space="preserve"> have</w:t>
      </w:r>
      <w:r w:rsidRPr="0007754D">
        <w:rPr>
          <w:color w:val="000000" w:themeColor="text1"/>
          <w:lang w:val="en-GB"/>
        </w:rPr>
        <w:t xml:space="preserve"> also restricted the ECoSR to a rigid understanding of SRH, </w:t>
      </w:r>
      <w:r w:rsidR="006A7129" w:rsidRPr="0007754D">
        <w:rPr>
          <w:color w:val="000000" w:themeColor="text1"/>
          <w:lang w:val="en-GB"/>
        </w:rPr>
        <w:t>one that fails</w:t>
      </w:r>
      <w:r w:rsidRPr="0007754D">
        <w:rPr>
          <w:color w:val="000000" w:themeColor="text1"/>
          <w:lang w:val="en-GB"/>
        </w:rPr>
        <w:t xml:space="preserve"> to embrace more con</w:t>
      </w:r>
      <w:r w:rsidR="000B6490" w:rsidRPr="0007754D">
        <w:rPr>
          <w:color w:val="000000" w:themeColor="text1"/>
          <w:lang w:val="en-GB"/>
        </w:rPr>
        <w:t xml:space="preserve">tentious </w:t>
      </w:r>
      <w:r w:rsidR="006A7129" w:rsidRPr="0007754D">
        <w:rPr>
          <w:color w:val="000000" w:themeColor="text1"/>
          <w:lang w:val="en-GB"/>
        </w:rPr>
        <w:t>questions such as access to abortion and to</w:t>
      </w:r>
      <w:r w:rsidR="000B6490" w:rsidRPr="0007754D">
        <w:rPr>
          <w:color w:val="000000" w:themeColor="text1"/>
          <w:lang w:val="en-GB"/>
        </w:rPr>
        <w:t xml:space="preserve"> family planning services.</w:t>
      </w:r>
    </w:p>
    <w:p w14:paraId="5C5670AB" w14:textId="77777777" w:rsidR="0086084E" w:rsidRPr="0007754D" w:rsidRDefault="0086084E" w:rsidP="006908EB">
      <w:pPr>
        <w:spacing w:line="276" w:lineRule="auto"/>
        <w:jc w:val="both"/>
        <w:rPr>
          <w:color w:val="000000" w:themeColor="text1"/>
          <w:lang w:val="en-GB"/>
        </w:rPr>
      </w:pPr>
    </w:p>
    <w:p w14:paraId="154E39F2" w14:textId="7B83568A" w:rsidR="0086084E" w:rsidRPr="0007754D" w:rsidRDefault="003971AF" w:rsidP="001A3BE7">
      <w:pPr>
        <w:pStyle w:val="Heading2"/>
        <w:numPr>
          <w:ilvl w:val="1"/>
          <w:numId w:val="31"/>
        </w:numPr>
        <w:spacing w:line="276" w:lineRule="auto"/>
        <w:jc w:val="both"/>
        <w:rPr>
          <w:rFonts w:asciiTheme="minorHAnsi" w:hAnsiTheme="minorHAnsi"/>
          <w:color w:val="000000" w:themeColor="text1"/>
          <w:lang w:val="en-GB"/>
        </w:rPr>
      </w:pPr>
      <w:r w:rsidRPr="0007754D">
        <w:rPr>
          <w:rFonts w:asciiTheme="minorHAnsi" w:hAnsiTheme="minorHAnsi"/>
          <w:color w:val="000000" w:themeColor="text1"/>
          <w:lang w:val="en-GB"/>
        </w:rPr>
        <w:t>Protection of</w:t>
      </w:r>
      <w:r w:rsidR="00FD1BAE" w:rsidRPr="0007754D">
        <w:rPr>
          <w:rFonts w:asciiTheme="minorHAnsi" w:hAnsiTheme="minorHAnsi"/>
          <w:color w:val="000000" w:themeColor="text1"/>
          <w:lang w:val="en-GB"/>
        </w:rPr>
        <w:t xml:space="preserve"> SRH in the c</w:t>
      </w:r>
      <w:r w:rsidR="0086084E" w:rsidRPr="0007754D">
        <w:rPr>
          <w:rFonts w:asciiTheme="minorHAnsi" w:hAnsiTheme="minorHAnsi"/>
          <w:color w:val="000000" w:themeColor="text1"/>
          <w:lang w:val="en-GB"/>
        </w:rPr>
        <w:t xml:space="preserve">omplaints procedure </w:t>
      </w:r>
    </w:p>
    <w:p w14:paraId="2694B36D" w14:textId="77777777" w:rsidR="0086084E" w:rsidRPr="0007754D" w:rsidRDefault="0086084E" w:rsidP="006908EB">
      <w:pPr>
        <w:spacing w:line="276" w:lineRule="auto"/>
        <w:jc w:val="both"/>
        <w:rPr>
          <w:color w:val="000000" w:themeColor="text1"/>
          <w:lang w:val="en-GB"/>
        </w:rPr>
      </w:pPr>
    </w:p>
    <w:p w14:paraId="7191F01D" w14:textId="42C65747" w:rsidR="00DB7AC6" w:rsidRPr="0007754D" w:rsidRDefault="00BA2741" w:rsidP="00DB7AC6">
      <w:pPr>
        <w:spacing w:line="276" w:lineRule="auto"/>
        <w:jc w:val="both"/>
        <w:rPr>
          <w:color w:val="000000" w:themeColor="text1"/>
          <w:lang w:val="en-GB"/>
        </w:rPr>
      </w:pPr>
      <w:r w:rsidRPr="0007754D">
        <w:rPr>
          <w:color w:val="000000" w:themeColor="text1"/>
          <w:lang w:val="en-GB"/>
        </w:rPr>
        <w:t xml:space="preserve">The ECoSR reviews the implementation of the </w:t>
      </w:r>
      <w:r w:rsidR="009D68BC" w:rsidRPr="0007754D">
        <w:rPr>
          <w:color w:val="000000" w:themeColor="text1"/>
          <w:lang w:val="en-GB"/>
        </w:rPr>
        <w:t>European Social Charter</w:t>
      </w:r>
      <w:r w:rsidRPr="0007754D">
        <w:rPr>
          <w:color w:val="000000" w:themeColor="text1"/>
          <w:lang w:val="en-GB"/>
        </w:rPr>
        <w:t xml:space="preserve"> through a dual monitoring system: the reporting procedure and the collective complaints procedure. In the collective complaints procedure,</w:t>
      </w:r>
      <w:r w:rsidR="007E0435" w:rsidRPr="0007754D">
        <w:rPr>
          <w:color w:val="000000" w:themeColor="text1"/>
          <w:lang w:val="en-GB"/>
        </w:rPr>
        <w:t xml:space="preserve"> created in 1995,</w:t>
      </w:r>
      <w:r w:rsidRPr="0007754D">
        <w:rPr>
          <w:color w:val="000000" w:themeColor="text1"/>
          <w:lang w:val="en-GB"/>
        </w:rPr>
        <w:t xml:space="preserve"> the Committee receives complaints from NGOs or trade unions alleging a violation of the ESC by a given state party.</w:t>
      </w:r>
      <w:r w:rsidRPr="0007754D">
        <w:rPr>
          <w:rStyle w:val="FootnoteReference"/>
          <w:color w:val="000000" w:themeColor="text1"/>
        </w:rPr>
        <w:footnoteReference w:id="155"/>
      </w:r>
      <w:r w:rsidRPr="0007754D">
        <w:rPr>
          <w:color w:val="000000" w:themeColor="text1"/>
          <w:lang w:val="en-GB"/>
        </w:rPr>
        <w:t xml:space="preserve"> After having examined the arguments of both parties, the ECoSR</w:t>
      </w:r>
      <w:r w:rsidR="007E0435" w:rsidRPr="0007754D">
        <w:rPr>
          <w:color w:val="000000" w:themeColor="text1"/>
          <w:lang w:val="en-GB"/>
        </w:rPr>
        <w:t xml:space="preserve"> declares in a</w:t>
      </w:r>
      <w:r w:rsidR="005B0D5C" w:rsidRPr="0007754D">
        <w:rPr>
          <w:color w:val="000000" w:themeColor="text1"/>
          <w:lang w:val="en-GB"/>
        </w:rPr>
        <w:t xml:space="preserve"> Merits</w:t>
      </w:r>
      <w:r w:rsidRPr="0007754D">
        <w:rPr>
          <w:color w:val="000000" w:themeColor="text1"/>
          <w:lang w:val="en-GB"/>
        </w:rPr>
        <w:t xml:space="preserve"> Decision whether or not the state has complied with the ESC, and why.</w:t>
      </w:r>
      <w:r w:rsidR="007E0435" w:rsidRPr="0007754D">
        <w:rPr>
          <w:color w:val="000000" w:themeColor="text1"/>
          <w:lang w:val="en-GB"/>
        </w:rPr>
        <w:t xml:space="preserve"> While this procedure favours the review of specific situations rather than general states of affairs</w:t>
      </w:r>
      <w:r w:rsidR="00D31A73" w:rsidRPr="0007754D">
        <w:rPr>
          <w:color w:val="000000" w:themeColor="text1"/>
          <w:lang w:val="en-GB"/>
        </w:rPr>
        <w:t>, which is the role of</w:t>
      </w:r>
      <w:r w:rsidR="007E0435" w:rsidRPr="0007754D">
        <w:rPr>
          <w:color w:val="000000" w:themeColor="text1"/>
          <w:lang w:val="en-GB"/>
        </w:rPr>
        <w:t xml:space="preserve"> the r</w:t>
      </w:r>
      <w:r w:rsidR="00D31A73" w:rsidRPr="0007754D">
        <w:rPr>
          <w:color w:val="000000" w:themeColor="text1"/>
          <w:lang w:val="en-GB"/>
        </w:rPr>
        <w:t>eporting procedure</w:t>
      </w:r>
      <w:r w:rsidR="007E0435" w:rsidRPr="0007754D">
        <w:rPr>
          <w:color w:val="000000" w:themeColor="text1"/>
          <w:lang w:val="en-GB"/>
        </w:rPr>
        <w:t>, both often feed into eac</w:t>
      </w:r>
      <w:r w:rsidR="00F779FA" w:rsidRPr="0007754D">
        <w:rPr>
          <w:color w:val="000000" w:themeColor="text1"/>
          <w:lang w:val="en-GB"/>
        </w:rPr>
        <w:t>h other. The methodology and this paper’s</w:t>
      </w:r>
      <w:r w:rsidR="007E0435" w:rsidRPr="0007754D">
        <w:rPr>
          <w:color w:val="000000" w:themeColor="text1"/>
          <w:lang w:val="en-GB"/>
        </w:rPr>
        <w:t xml:space="preserve"> definition of SRH have narrowed down the number of relevant Decisions held under Article 11 ESC to four. </w:t>
      </w:r>
      <w:r w:rsidR="00F779FA" w:rsidRPr="0007754D">
        <w:rPr>
          <w:color w:val="000000" w:themeColor="text1"/>
          <w:lang w:val="en-GB"/>
        </w:rPr>
        <w:t>One of them concerns the teaching of sex education; and t</w:t>
      </w:r>
      <w:r w:rsidR="007E0435" w:rsidRPr="0007754D">
        <w:rPr>
          <w:color w:val="000000" w:themeColor="text1"/>
          <w:lang w:val="en-GB"/>
        </w:rPr>
        <w:t>hree concern access to abortion in the context of conscientious objection.</w:t>
      </w:r>
    </w:p>
    <w:p w14:paraId="6C787261" w14:textId="5E860008" w:rsidR="00A109B1" w:rsidRPr="0007754D" w:rsidRDefault="00A109B1" w:rsidP="00DB7AC6">
      <w:pPr>
        <w:spacing w:line="276" w:lineRule="auto"/>
        <w:jc w:val="both"/>
        <w:rPr>
          <w:color w:val="000000" w:themeColor="text1"/>
          <w:lang w:val="en-GB"/>
        </w:rPr>
      </w:pPr>
    </w:p>
    <w:p w14:paraId="06B5770F" w14:textId="77777777" w:rsidR="00DB7AC6" w:rsidRPr="0007754D" w:rsidRDefault="00DB7AC6" w:rsidP="001A3BE7">
      <w:pPr>
        <w:pStyle w:val="Heading3"/>
        <w:numPr>
          <w:ilvl w:val="2"/>
          <w:numId w:val="31"/>
        </w:numPr>
        <w:rPr>
          <w:rFonts w:asciiTheme="minorHAnsi" w:hAnsiTheme="minorHAnsi"/>
          <w:color w:val="000000" w:themeColor="text1"/>
          <w:lang w:val="en-GB"/>
        </w:rPr>
      </w:pPr>
      <w:r w:rsidRPr="0007754D">
        <w:rPr>
          <w:rFonts w:asciiTheme="minorHAnsi" w:hAnsiTheme="minorHAnsi"/>
          <w:color w:val="000000" w:themeColor="text1"/>
          <w:lang w:val="en-GB"/>
        </w:rPr>
        <w:t>Sex education case</w:t>
      </w:r>
    </w:p>
    <w:p w14:paraId="7AA52AED" w14:textId="77777777" w:rsidR="00DB7AC6" w:rsidRPr="0007754D" w:rsidRDefault="00DB7AC6" w:rsidP="00DB7AC6">
      <w:pPr>
        <w:spacing w:line="276" w:lineRule="auto"/>
        <w:jc w:val="both"/>
        <w:rPr>
          <w:color w:val="000000" w:themeColor="text1"/>
          <w:lang w:val="en-GB"/>
        </w:rPr>
      </w:pPr>
    </w:p>
    <w:p w14:paraId="3B504FCA" w14:textId="5B8FAAEE" w:rsidR="00A82CD9" w:rsidRPr="0007754D" w:rsidRDefault="00DB7AC6" w:rsidP="00BB276B">
      <w:pPr>
        <w:spacing w:line="276" w:lineRule="auto"/>
        <w:jc w:val="both"/>
        <w:rPr>
          <w:color w:val="000000" w:themeColor="text1"/>
          <w:lang w:val="en-GB"/>
        </w:rPr>
      </w:pPr>
      <w:r w:rsidRPr="0007754D">
        <w:rPr>
          <w:color w:val="000000" w:themeColor="text1"/>
          <w:lang w:val="en-GB"/>
        </w:rPr>
        <w:t xml:space="preserve">In </w:t>
      </w:r>
      <w:r w:rsidR="00695D6A" w:rsidRPr="0007754D">
        <w:rPr>
          <w:i/>
          <w:color w:val="000000" w:themeColor="text1"/>
          <w:lang w:val="en-GB"/>
        </w:rPr>
        <w:t>Inter</w:t>
      </w:r>
      <w:r w:rsidRPr="0007754D">
        <w:rPr>
          <w:i/>
          <w:color w:val="000000" w:themeColor="text1"/>
          <w:lang w:val="en-GB"/>
        </w:rPr>
        <w:t>ights v</w:t>
      </w:r>
      <w:r w:rsidR="003B53E0" w:rsidRPr="0007754D">
        <w:rPr>
          <w:i/>
          <w:color w:val="000000" w:themeColor="text1"/>
          <w:lang w:val="en-GB"/>
        </w:rPr>
        <w:t>.</w:t>
      </w:r>
      <w:r w:rsidRPr="0007754D">
        <w:rPr>
          <w:i/>
          <w:color w:val="000000" w:themeColor="text1"/>
          <w:lang w:val="en-GB"/>
        </w:rPr>
        <w:t xml:space="preserve"> Croatia </w:t>
      </w:r>
      <w:r w:rsidRPr="0007754D">
        <w:rPr>
          <w:color w:val="000000" w:themeColor="text1"/>
          <w:lang w:val="en-GB"/>
        </w:rPr>
        <w:t xml:space="preserve">(2009), the ECoSR received a complaint from a human rights NGO </w:t>
      </w:r>
      <w:r w:rsidR="00F24EE0" w:rsidRPr="0007754D">
        <w:rPr>
          <w:color w:val="000000" w:themeColor="text1"/>
          <w:lang w:val="en-GB"/>
        </w:rPr>
        <w:t xml:space="preserve">alleging </w:t>
      </w:r>
      <w:r w:rsidRPr="0007754D">
        <w:rPr>
          <w:color w:val="000000" w:themeColor="text1"/>
          <w:lang w:val="en-GB"/>
        </w:rPr>
        <w:t>a breach of Article 11 ESC on the right to health.</w:t>
      </w:r>
      <w:r w:rsidRPr="0007754D">
        <w:rPr>
          <w:rStyle w:val="FootnoteReference"/>
          <w:color w:val="000000" w:themeColor="text1"/>
        </w:rPr>
        <w:footnoteReference w:id="156"/>
      </w:r>
      <w:r w:rsidR="0074756F" w:rsidRPr="0007754D">
        <w:rPr>
          <w:color w:val="000000" w:themeColor="text1"/>
          <w:lang w:val="en-GB"/>
        </w:rPr>
        <w:t xml:space="preserve"> In its complaint, Inter</w:t>
      </w:r>
      <w:r w:rsidRPr="0007754D">
        <w:rPr>
          <w:color w:val="000000" w:themeColor="text1"/>
          <w:lang w:val="en-GB"/>
        </w:rPr>
        <w:t>ights alleged that Croatian schools did not provide comprehensive or adequate SRH education for children and young people.</w:t>
      </w:r>
      <w:r w:rsidRPr="0007754D">
        <w:rPr>
          <w:rStyle w:val="FootnoteReference"/>
          <w:color w:val="000000" w:themeColor="text1"/>
        </w:rPr>
        <w:footnoteReference w:id="157"/>
      </w:r>
      <w:r w:rsidRPr="0007754D">
        <w:rPr>
          <w:color w:val="000000" w:themeColor="text1"/>
          <w:lang w:val="en-GB"/>
        </w:rPr>
        <w:t xml:space="preserve"> In response, the Committee found a breach of Article 11 and required that the state take action on various aspects identified as problematic by the complaint. The Committee</w:t>
      </w:r>
      <w:r w:rsidR="00F24EE0" w:rsidRPr="0007754D">
        <w:rPr>
          <w:color w:val="000000" w:themeColor="text1"/>
          <w:lang w:val="en-GB"/>
        </w:rPr>
        <w:t xml:space="preserve"> </w:t>
      </w:r>
      <w:r w:rsidRPr="0007754D">
        <w:rPr>
          <w:color w:val="000000" w:themeColor="text1"/>
          <w:lang w:val="en-GB"/>
        </w:rPr>
        <w:t xml:space="preserve">asked that SRH </w:t>
      </w:r>
      <w:r w:rsidR="00F24EE0" w:rsidRPr="0007754D">
        <w:rPr>
          <w:color w:val="000000" w:themeColor="text1"/>
          <w:lang w:val="en-GB"/>
        </w:rPr>
        <w:t>education be part</w:t>
      </w:r>
      <w:r w:rsidRPr="0007754D">
        <w:rPr>
          <w:color w:val="000000" w:themeColor="text1"/>
          <w:lang w:val="en-GB"/>
        </w:rPr>
        <w:t xml:space="preserve"> of the ordinary school curriculum; that Croatian schools allocate sufficient time and resources to SRH education; and that the substance of SRH education be relevant, culturally appropriate, objective, based on contemporary scientific evidence, and not censored.</w:t>
      </w:r>
      <w:r w:rsidRPr="0007754D">
        <w:rPr>
          <w:rStyle w:val="FootnoteReference"/>
          <w:color w:val="000000" w:themeColor="text1"/>
        </w:rPr>
        <w:footnoteReference w:id="158"/>
      </w:r>
      <w:r w:rsidRPr="0007754D">
        <w:rPr>
          <w:color w:val="000000" w:themeColor="text1"/>
          <w:lang w:val="en-GB"/>
        </w:rPr>
        <w:t xml:space="preserve"> </w:t>
      </w:r>
      <w:r w:rsidR="00F24EE0" w:rsidRPr="0007754D">
        <w:rPr>
          <w:color w:val="000000" w:themeColor="text1"/>
          <w:lang w:val="en-GB"/>
        </w:rPr>
        <w:t>It also</w:t>
      </w:r>
      <w:r w:rsidRPr="0007754D">
        <w:rPr>
          <w:color w:val="000000" w:themeColor="text1"/>
          <w:lang w:val="en-GB"/>
        </w:rPr>
        <w:t xml:space="preserve"> required that Croatia set up a procedure enabling SRH education to be adequately monitored and evaluated.</w:t>
      </w:r>
      <w:r w:rsidRPr="0007754D">
        <w:rPr>
          <w:rStyle w:val="FootnoteReference"/>
          <w:color w:val="000000" w:themeColor="text1"/>
        </w:rPr>
        <w:footnoteReference w:id="159"/>
      </w:r>
      <w:r w:rsidR="007F4489" w:rsidRPr="0007754D">
        <w:rPr>
          <w:color w:val="000000" w:themeColor="text1"/>
          <w:lang w:val="en-GB"/>
        </w:rPr>
        <w:t xml:space="preserve"> Three positive aspects arise from this </w:t>
      </w:r>
      <w:r w:rsidR="005B0D5C" w:rsidRPr="0007754D">
        <w:rPr>
          <w:color w:val="000000" w:themeColor="text1"/>
          <w:lang w:val="en-GB"/>
        </w:rPr>
        <w:t xml:space="preserve">Merits </w:t>
      </w:r>
      <w:r w:rsidR="007F4489" w:rsidRPr="0007754D">
        <w:rPr>
          <w:color w:val="000000" w:themeColor="text1"/>
          <w:lang w:val="en-GB"/>
        </w:rPr>
        <w:t>Decision. Firstly,</w:t>
      </w:r>
      <w:r w:rsidR="00CB5126" w:rsidRPr="0007754D">
        <w:rPr>
          <w:color w:val="000000" w:themeColor="text1"/>
          <w:lang w:val="en-GB"/>
        </w:rPr>
        <w:t xml:space="preserve"> </w:t>
      </w:r>
      <w:r w:rsidR="001034D9" w:rsidRPr="0007754D">
        <w:rPr>
          <w:color w:val="000000" w:themeColor="text1"/>
          <w:lang w:val="en-GB"/>
        </w:rPr>
        <w:t>by examining</w:t>
      </w:r>
      <w:r w:rsidR="00CB5126" w:rsidRPr="0007754D">
        <w:rPr>
          <w:color w:val="000000" w:themeColor="text1"/>
          <w:lang w:val="en-GB"/>
        </w:rPr>
        <w:t xml:space="preserve"> in depth the different aspects under which Croatian schools failed to provide adequate SRH education</w:t>
      </w:r>
      <w:r w:rsidR="001034D9" w:rsidRPr="0007754D">
        <w:rPr>
          <w:color w:val="000000" w:themeColor="text1"/>
          <w:lang w:val="en-GB"/>
        </w:rPr>
        <w:t xml:space="preserve">, </w:t>
      </w:r>
      <w:r w:rsidR="00CB5126" w:rsidRPr="0007754D">
        <w:rPr>
          <w:color w:val="000000" w:themeColor="text1"/>
          <w:lang w:val="en-GB"/>
        </w:rPr>
        <w:t>the Committee developed comprehensive SRH stand</w:t>
      </w:r>
      <w:r w:rsidR="001034D9" w:rsidRPr="0007754D">
        <w:rPr>
          <w:color w:val="000000" w:themeColor="text1"/>
          <w:lang w:val="en-GB"/>
        </w:rPr>
        <w:t>ards</w:t>
      </w:r>
      <w:r w:rsidR="00FC1384" w:rsidRPr="0007754D">
        <w:rPr>
          <w:color w:val="000000" w:themeColor="text1"/>
          <w:lang w:val="en-GB"/>
        </w:rPr>
        <w:t xml:space="preserve"> under the right to health</w:t>
      </w:r>
      <w:r w:rsidR="001034D9" w:rsidRPr="0007754D">
        <w:rPr>
          <w:color w:val="000000" w:themeColor="text1"/>
          <w:lang w:val="en-GB"/>
        </w:rPr>
        <w:t>. Those standards, fully in line with recommendations from the WHO strategy and UNCESCR GC22 on family planning services and sexual health promotion,</w:t>
      </w:r>
      <w:r w:rsidR="001034D9" w:rsidRPr="0007754D">
        <w:rPr>
          <w:rStyle w:val="FootnoteReference"/>
          <w:color w:val="000000" w:themeColor="text1"/>
        </w:rPr>
        <w:footnoteReference w:id="160"/>
      </w:r>
      <w:r w:rsidR="001034D9" w:rsidRPr="0007754D">
        <w:rPr>
          <w:color w:val="000000" w:themeColor="text1"/>
          <w:lang w:val="en-GB"/>
        </w:rPr>
        <w:t xml:space="preserve"> allow</w:t>
      </w:r>
      <w:r w:rsidR="00FC1384" w:rsidRPr="0007754D">
        <w:rPr>
          <w:color w:val="000000" w:themeColor="text1"/>
          <w:lang w:val="en-GB"/>
        </w:rPr>
        <w:t>ed</w:t>
      </w:r>
      <w:r w:rsidR="001034D9" w:rsidRPr="0007754D">
        <w:rPr>
          <w:color w:val="000000" w:themeColor="text1"/>
          <w:lang w:val="en-GB"/>
        </w:rPr>
        <w:t xml:space="preserve"> the</w:t>
      </w:r>
      <w:r w:rsidR="005F535F" w:rsidRPr="0007754D">
        <w:rPr>
          <w:color w:val="000000" w:themeColor="text1"/>
          <w:lang w:val="en-GB"/>
        </w:rPr>
        <w:t xml:space="preserve"> Committee to recognise</w:t>
      </w:r>
      <w:r w:rsidR="00FC1384" w:rsidRPr="0007754D">
        <w:rPr>
          <w:color w:val="000000" w:themeColor="text1"/>
          <w:lang w:val="en-GB"/>
        </w:rPr>
        <w:t xml:space="preserve"> school pupils’ right to receive an adequate SRH education more effectively. </w:t>
      </w:r>
      <w:r w:rsidR="007F4489" w:rsidRPr="0007754D">
        <w:rPr>
          <w:color w:val="000000" w:themeColor="text1"/>
          <w:lang w:val="en-GB"/>
        </w:rPr>
        <w:t xml:space="preserve">Secondly, </w:t>
      </w:r>
      <w:r w:rsidR="00FC1384" w:rsidRPr="0007754D">
        <w:rPr>
          <w:color w:val="000000" w:themeColor="text1"/>
          <w:lang w:val="en-GB"/>
        </w:rPr>
        <w:t>the Committee adopted an evidence-led reasoning since it</w:t>
      </w:r>
      <w:r w:rsidR="00E911B2" w:rsidRPr="0007754D">
        <w:rPr>
          <w:color w:val="000000" w:themeColor="text1"/>
          <w:lang w:val="en-GB"/>
        </w:rPr>
        <w:t xml:space="preserve"> us</w:t>
      </w:r>
      <w:r w:rsidR="00FC1384" w:rsidRPr="0007754D">
        <w:rPr>
          <w:color w:val="000000" w:themeColor="text1"/>
          <w:lang w:val="en-GB"/>
        </w:rPr>
        <w:t>ed</w:t>
      </w:r>
      <w:r w:rsidRPr="0007754D">
        <w:rPr>
          <w:color w:val="000000" w:themeColor="text1"/>
          <w:lang w:val="en-GB"/>
        </w:rPr>
        <w:t xml:space="preserve"> SRH </w:t>
      </w:r>
      <w:r w:rsidR="00F24EE0" w:rsidRPr="0007754D">
        <w:rPr>
          <w:color w:val="000000" w:themeColor="text1"/>
          <w:lang w:val="en-GB"/>
        </w:rPr>
        <w:t>parameters</w:t>
      </w:r>
      <w:r w:rsidRPr="0007754D">
        <w:rPr>
          <w:color w:val="000000" w:themeColor="text1"/>
          <w:lang w:val="en-GB"/>
        </w:rPr>
        <w:t xml:space="preserve"> </w:t>
      </w:r>
      <w:r w:rsidR="004D5097" w:rsidRPr="0007754D">
        <w:rPr>
          <w:color w:val="000000" w:themeColor="text1"/>
          <w:lang w:val="en-GB"/>
        </w:rPr>
        <w:t xml:space="preserve">such as incidence of sexually transmitted infections, birth rate and use of the pill among teenage girls, </w:t>
      </w:r>
      <w:r w:rsidR="00D504EE" w:rsidRPr="0007754D">
        <w:rPr>
          <w:color w:val="000000" w:themeColor="text1"/>
          <w:lang w:val="en-GB"/>
        </w:rPr>
        <w:t xml:space="preserve">to </w:t>
      </w:r>
      <w:r w:rsidR="00A337BA" w:rsidRPr="0007754D">
        <w:rPr>
          <w:color w:val="000000" w:themeColor="text1"/>
          <w:lang w:val="en-GB"/>
        </w:rPr>
        <w:t xml:space="preserve">assess the impact of </w:t>
      </w:r>
      <w:r w:rsidR="00D504EE" w:rsidRPr="0007754D">
        <w:rPr>
          <w:color w:val="000000" w:themeColor="text1"/>
          <w:lang w:val="en-GB"/>
        </w:rPr>
        <w:t>inadequate sex education</w:t>
      </w:r>
      <w:r w:rsidR="001034D9" w:rsidRPr="0007754D">
        <w:rPr>
          <w:color w:val="000000" w:themeColor="text1"/>
          <w:lang w:val="en-GB"/>
        </w:rPr>
        <w:t xml:space="preserve"> in schools</w:t>
      </w:r>
      <w:r w:rsidR="00FC1384" w:rsidRPr="0007754D">
        <w:rPr>
          <w:color w:val="000000" w:themeColor="text1"/>
          <w:lang w:val="en-GB"/>
        </w:rPr>
        <w:t>.</w:t>
      </w:r>
      <w:r w:rsidR="00CB5126" w:rsidRPr="0007754D">
        <w:rPr>
          <w:rStyle w:val="FootnoteReference"/>
          <w:color w:val="000000" w:themeColor="text1"/>
        </w:rPr>
        <w:footnoteReference w:id="161"/>
      </w:r>
      <w:r w:rsidR="00E911B2" w:rsidRPr="0007754D">
        <w:rPr>
          <w:color w:val="000000" w:themeColor="text1"/>
          <w:lang w:val="en-GB"/>
        </w:rPr>
        <w:t xml:space="preserve"> </w:t>
      </w:r>
      <w:r w:rsidR="001034D9" w:rsidRPr="0007754D">
        <w:rPr>
          <w:color w:val="000000" w:themeColor="text1"/>
          <w:lang w:val="en-GB"/>
        </w:rPr>
        <w:t xml:space="preserve">This </w:t>
      </w:r>
      <w:r w:rsidR="00FC1384" w:rsidRPr="0007754D">
        <w:rPr>
          <w:color w:val="000000" w:themeColor="text1"/>
          <w:lang w:val="en-GB"/>
        </w:rPr>
        <w:t xml:space="preserve">enabled the ECoSR to </w:t>
      </w:r>
      <w:r w:rsidR="00F3312C" w:rsidRPr="0007754D">
        <w:rPr>
          <w:color w:val="000000" w:themeColor="text1"/>
          <w:lang w:val="en-GB"/>
        </w:rPr>
        <w:t>assert its use</w:t>
      </w:r>
      <w:r w:rsidR="00FC1384" w:rsidRPr="0007754D">
        <w:rPr>
          <w:color w:val="000000" w:themeColor="text1"/>
          <w:lang w:val="en-GB"/>
        </w:rPr>
        <w:t xml:space="preserve"> of</w:t>
      </w:r>
      <w:r w:rsidR="00F3312C" w:rsidRPr="0007754D">
        <w:rPr>
          <w:color w:val="000000" w:themeColor="text1"/>
          <w:lang w:val="en-GB"/>
        </w:rPr>
        <w:t xml:space="preserve"> public health parameters </w:t>
      </w:r>
      <w:r w:rsidR="00FC1384" w:rsidRPr="0007754D">
        <w:rPr>
          <w:color w:val="000000" w:themeColor="text1"/>
          <w:lang w:val="en-GB"/>
        </w:rPr>
        <w:t>in the collective complaints procedure</w:t>
      </w:r>
      <w:r w:rsidR="00F3312C" w:rsidRPr="0007754D">
        <w:rPr>
          <w:color w:val="000000" w:themeColor="text1"/>
          <w:lang w:val="en-GB"/>
        </w:rPr>
        <w:t xml:space="preserve">, and to </w:t>
      </w:r>
      <w:r w:rsidR="00E911B2" w:rsidRPr="0007754D">
        <w:rPr>
          <w:color w:val="000000" w:themeColor="text1"/>
          <w:lang w:val="en-GB"/>
        </w:rPr>
        <w:t>acknowledge the particular needs of individuals vulnerable to SRH discrimination</w:t>
      </w:r>
      <w:r w:rsidR="00F3312C" w:rsidRPr="0007754D">
        <w:rPr>
          <w:color w:val="000000" w:themeColor="text1"/>
          <w:lang w:val="en-GB"/>
        </w:rPr>
        <w:t>.</w:t>
      </w:r>
      <w:r w:rsidR="00372BDC" w:rsidRPr="0007754D">
        <w:rPr>
          <w:color w:val="000000" w:themeColor="text1"/>
          <w:lang w:val="en-GB"/>
        </w:rPr>
        <w:t xml:space="preserve"> </w:t>
      </w:r>
      <w:r w:rsidR="00FC1384" w:rsidRPr="0007754D">
        <w:rPr>
          <w:color w:val="000000" w:themeColor="text1"/>
          <w:lang w:val="en-GB"/>
        </w:rPr>
        <w:t>Thirdly, while the Committee granted Croati</w:t>
      </w:r>
      <w:r w:rsidR="0002746B" w:rsidRPr="0007754D">
        <w:rPr>
          <w:color w:val="000000" w:themeColor="text1"/>
          <w:lang w:val="en-GB"/>
        </w:rPr>
        <w:t>a</w:t>
      </w:r>
      <w:r w:rsidR="00FC1384" w:rsidRPr="0007754D">
        <w:rPr>
          <w:color w:val="000000" w:themeColor="text1"/>
          <w:lang w:val="en-GB"/>
        </w:rPr>
        <w:t xml:space="preserve"> a margin of appreciation, it confined </w:t>
      </w:r>
      <w:r w:rsidR="00E551F6" w:rsidRPr="0007754D">
        <w:rPr>
          <w:color w:val="000000" w:themeColor="text1"/>
          <w:lang w:val="en-GB"/>
        </w:rPr>
        <w:t>this</w:t>
      </w:r>
      <w:r w:rsidR="00FC1384" w:rsidRPr="0007754D">
        <w:rPr>
          <w:color w:val="000000" w:themeColor="text1"/>
          <w:lang w:val="en-GB"/>
        </w:rPr>
        <w:t xml:space="preserve"> to minor aspects of SRH education, and conditioned </w:t>
      </w:r>
      <w:r w:rsidR="00E551F6" w:rsidRPr="0007754D">
        <w:rPr>
          <w:color w:val="000000" w:themeColor="text1"/>
          <w:lang w:val="en-GB"/>
        </w:rPr>
        <w:t>this</w:t>
      </w:r>
      <w:r w:rsidR="003314F0" w:rsidRPr="0007754D">
        <w:rPr>
          <w:color w:val="000000" w:themeColor="text1"/>
          <w:lang w:val="en-GB"/>
        </w:rPr>
        <w:t xml:space="preserve"> to compliance with th</w:t>
      </w:r>
      <w:r w:rsidR="00E551F6" w:rsidRPr="0007754D">
        <w:rPr>
          <w:color w:val="000000" w:themeColor="text1"/>
          <w:lang w:val="en-GB"/>
        </w:rPr>
        <w:t>e</w:t>
      </w:r>
      <w:r w:rsidR="004D5097" w:rsidRPr="0007754D">
        <w:rPr>
          <w:color w:val="000000" w:themeColor="text1"/>
          <w:lang w:val="en-GB"/>
        </w:rPr>
        <w:t xml:space="preserve"> </w:t>
      </w:r>
      <w:r w:rsidR="00FC1384" w:rsidRPr="0007754D">
        <w:rPr>
          <w:color w:val="000000" w:themeColor="text1"/>
          <w:lang w:val="en-GB"/>
        </w:rPr>
        <w:t>standards</w:t>
      </w:r>
      <w:r w:rsidR="005B0D5C" w:rsidRPr="0007754D">
        <w:rPr>
          <w:color w:val="000000" w:themeColor="text1"/>
          <w:lang w:val="en-GB"/>
        </w:rPr>
        <w:t xml:space="preserve"> it had set</w:t>
      </w:r>
      <w:r w:rsidR="00FC1384" w:rsidRPr="0007754D">
        <w:rPr>
          <w:color w:val="000000" w:themeColor="text1"/>
          <w:lang w:val="en-GB"/>
        </w:rPr>
        <w:t>.</w:t>
      </w:r>
      <w:r w:rsidR="00FC1384" w:rsidRPr="0007754D">
        <w:rPr>
          <w:rStyle w:val="FootnoteReference"/>
          <w:color w:val="000000" w:themeColor="text1"/>
        </w:rPr>
        <w:footnoteReference w:id="162"/>
      </w:r>
      <w:r w:rsidR="003314F0" w:rsidRPr="0007754D">
        <w:rPr>
          <w:color w:val="000000" w:themeColor="text1"/>
          <w:lang w:val="en-GB"/>
        </w:rPr>
        <w:t xml:space="preserve"> </w:t>
      </w:r>
      <w:r w:rsidR="00372BDC" w:rsidRPr="0007754D">
        <w:rPr>
          <w:color w:val="000000" w:themeColor="text1"/>
          <w:lang w:val="en-GB"/>
        </w:rPr>
        <w:t xml:space="preserve">This application of states’ margin of appreciation, prioritising individuals’ SRH over states’ interests, should inspire the ECtHR </w:t>
      </w:r>
      <w:r w:rsidR="005B0D5C" w:rsidRPr="0007754D">
        <w:rPr>
          <w:color w:val="000000" w:themeColor="text1"/>
          <w:lang w:val="en-GB"/>
        </w:rPr>
        <w:t>when ruling on</w:t>
      </w:r>
      <w:r w:rsidR="00372BDC" w:rsidRPr="0007754D">
        <w:rPr>
          <w:color w:val="000000" w:themeColor="text1"/>
          <w:lang w:val="en-GB"/>
        </w:rPr>
        <w:t xml:space="preserve"> abortion cases.</w:t>
      </w:r>
      <w:r w:rsidR="004D5097" w:rsidRPr="0007754D">
        <w:rPr>
          <w:color w:val="000000" w:themeColor="text1"/>
          <w:lang w:val="en-GB"/>
        </w:rPr>
        <w:t xml:space="preserve"> </w:t>
      </w:r>
      <w:r w:rsidR="00F24EE0" w:rsidRPr="0007754D">
        <w:rPr>
          <w:color w:val="000000" w:themeColor="text1"/>
          <w:lang w:val="en-GB"/>
        </w:rPr>
        <w:t>However,</w:t>
      </w:r>
      <w:r w:rsidR="004D5097" w:rsidRPr="0007754D">
        <w:rPr>
          <w:color w:val="000000" w:themeColor="text1"/>
          <w:lang w:val="en-GB"/>
        </w:rPr>
        <w:t xml:space="preserve"> </w:t>
      </w:r>
      <w:r w:rsidR="00A82CD9" w:rsidRPr="0007754D">
        <w:rPr>
          <w:color w:val="000000" w:themeColor="text1"/>
          <w:lang w:val="en-GB"/>
        </w:rPr>
        <w:t xml:space="preserve">one concern must be raised when reading this </w:t>
      </w:r>
      <w:r w:rsidR="005B0D5C" w:rsidRPr="0007754D">
        <w:rPr>
          <w:color w:val="000000" w:themeColor="text1"/>
          <w:lang w:val="en-GB"/>
        </w:rPr>
        <w:t>case</w:t>
      </w:r>
      <w:r w:rsidR="00A82CD9" w:rsidRPr="0007754D">
        <w:rPr>
          <w:color w:val="000000" w:themeColor="text1"/>
          <w:lang w:val="en-GB"/>
        </w:rPr>
        <w:t xml:space="preserve">: </w:t>
      </w:r>
      <w:r w:rsidR="004D5097" w:rsidRPr="0007754D">
        <w:rPr>
          <w:color w:val="000000" w:themeColor="text1"/>
          <w:lang w:val="en-GB"/>
        </w:rPr>
        <w:t>the Committee’s use of European averages to put Croatia’s SRH indicators into perspective.</w:t>
      </w:r>
      <w:r w:rsidR="004D5097" w:rsidRPr="0007754D">
        <w:rPr>
          <w:rStyle w:val="FootnoteReference"/>
          <w:color w:val="000000" w:themeColor="text1"/>
        </w:rPr>
        <w:footnoteReference w:id="163"/>
      </w:r>
      <w:r w:rsidR="00A82CD9" w:rsidRPr="0007754D">
        <w:rPr>
          <w:color w:val="000000" w:themeColor="text1"/>
          <w:lang w:val="en-GB"/>
        </w:rPr>
        <w:t xml:space="preserve"> Like the use of</w:t>
      </w:r>
      <w:r w:rsidR="00904C30" w:rsidRPr="0007754D">
        <w:rPr>
          <w:color w:val="000000" w:themeColor="text1"/>
          <w:lang w:val="en-GB"/>
        </w:rPr>
        <w:t xml:space="preserve"> the</w:t>
      </w:r>
      <w:r w:rsidR="00A82CD9" w:rsidRPr="0007754D">
        <w:rPr>
          <w:color w:val="000000" w:themeColor="text1"/>
          <w:lang w:val="en-GB"/>
        </w:rPr>
        <w:t xml:space="preserve"> European consensus</w:t>
      </w:r>
      <w:r w:rsidR="00904C30" w:rsidRPr="0007754D">
        <w:rPr>
          <w:color w:val="000000" w:themeColor="text1"/>
          <w:lang w:val="en-GB"/>
        </w:rPr>
        <w:t xml:space="preserve"> by the ECtHR</w:t>
      </w:r>
      <w:r w:rsidR="00A82CD9" w:rsidRPr="0007754D">
        <w:rPr>
          <w:color w:val="000000" w:themeColor="text1"/>
          <w:lang w:val="en-GB"/>
        </w:rPr>
        <w:t xml:space="preserve">, this </w:t>
      </w:r>
      <w:r w:rsidR="00904C30" w:rsidRPr="0007754D">
        <w:rPr>
          <w:color w:val="000000" w:themeColor="text1"/>
          <w:lang w:val="en-GB"/>
        </w:rPr>
        <w:t>reasoning can shift the Committee’s</w:t>
      </w:r>
      <w:r w:rsidR="00A82CD9" w:rsidRPr="0007754D">
        <w:rPr>
          <w:color w:val="000000" w:themeColor="text1"/>
          <w:lang w:val="en-GB"/>
        </w:rPr>
        <w:t xml:space="preserve"> focus on what states do (sometimes badly) rather than</w:t>
      </w:r>
      <w:r w:rsidR="00904C30" w:rsidRPr="0007754D">
        <w:rPr>
          <w:color w:val="000000" w:themeColor="text1"/>
          <w:lang w:val="en-GB"/>
        </w:rPr>
        <w:t xml:space="preserve"> on what they ought to do to effectively protect individuals’ SRH.</w:t>
      </w:r>
    </w:p>
    <w:p w14:paraId="652131A5" w14:textId="77777777" w:rsidR="00A82CD9" w:rsidRPr="0007754D" w:rsidRDefault="00A82CD9" w:rsidP="00BB276B">
      <w:pPr>
        <w:spacing w:line="276" w:lineRule="auto"/>
        <w:jc w:val="both"/>
        <w:rPr>
          <w:color w:val="000000" w:themeColor="text1"/>
          <w:lang w:val="en-GB"/>
        </w:rPr>
      </w:pPr>
    </w:p>
    <w:p w14:paraId="4EAAEF22" w14:textId="248EF5F8" w:rsidR="006042D1" w:rsidRPr="0007754D" w:rsidRDefault="00027A45" w:rsidP="00BB276B">
      <w:pPr>
        <w:spacing w:line="276" w:lineRule="auto"/>
        <w:jc w:val="both"/>
        <w:rPr>
          <w:color w:val="000000" w:themeColor="text1"/>
          <w:lang w:val="en-GB"/>
        </w:rPr>
      </w:pPr>
      <w:r w:rsidRPr="0007754D">
        <w:rPr>
          <w:color w:val="000000" w:themeColor="text1"/>
          <w:lang w:val="en-GB"/>
        </w:rPr>
        <w:t>While the Committee</w:t>
      </w:r>
      <w:r w:rsidR="00904C30" w:rsidRPr="0007754D">
        <w:rPr>
          <w:color w:val="000000" w:themeColor="text1"/>
          <w:lang w:val="en-GB"/>
        </w:rPr>
        <w:t>, overall,</w:t>
      </w:r>
      <w:r w:rsidRPr="0007754D">
        <w:rPr>
          <w:color w:val="000000" w:themeColor="text1"/>
          <w:lang w:val="en-GB"/>
        </w:rPr>
        <w:t xml:space="preserve"> strongly protects individuals’ right to access S</w:t>
      </w:r>
      <w:r w:rsidR="00F24EE0" w:rsidRPr="0007754D">
        <w:rPr>
          <w:color w:val="000000" w:themeColor="text1"/>
          <w:lang w:val="en-GB"/>
        </w:rPr>
        <w:t>RH education in</w:t>
      </w:r>
      <w:r w:rsidR="005B0D5C" w:rsidRPr="0007754D">
        <w:rPr>
          <w:color w:val="000000" w:themeColor="text1"/>
          <w:lang w:val="en-GB"/>
        </w:rPr>
        <w:t xml:space="preserve"> this case</w:t>
      </w:r>
      <w:r w:rsidR="00F24EE0" w:rsidRPr="0007754D">
        <w:rPr>
          <w:color w:val="000000" w:themeColor="text1"/>
          <w:lang w:val="en-GB"/>
        </w:rPr>
        <w:t>, its position is</w:t>
      </w:r>
      <w:r w:rsidRPr="0007754D">
        <w:rPr>
          <w:color w:val="000000" w:themeColor="text1"/>
          <w:lang w:val="en-GB"/>
        </w:rPr>
        <w:t xml:space="preserve"> less decisive regarding individuals’ right to access abortion services in</w:t>
      </w:r>
      <w:r w:rsidR="00904C30" w:rsidRPr="0007754D">
        <w:rPr>
          <w:color w:val="000000" w:themeColor="text1"/>
          <w:lang w:val="en-GB"/>
        </w:rPr>
        <w:t xml:space="preserve"> its three other SRH</w:t>
      </w:r>
      <w:r w:rsidR="005B0D5C" w:rsidRPr="0007754D">
        <w:rPr>
          <w:color w:val="000000" w:themeColor="text1"/>
          <w:lang w:val="en-GB"/>
        </w:rPr>
        <w:t xml:space="preserve"> Merits</w:t>
      </w:r>
      <w:r w:rsidR="00904C30" w:rsidRPr="0007754D">
        <w:rPr>
          <w:color w:val="000000" w:themeColor="text1"/>
          <w:lang w:val="en-GB"/>
        </w:rPr>
        <w:t xml:space="preserve"> Decisions</w:t>
      </w:r>
      <w:r w:rsidRPr="0007754D">
        <w:rPr>
          <w:color w:val="000000" w:themeColor="text1"/>
          <w:lang w:val="en-GB"/>
        </w:rPr>
        <w:t>.</w:t>
      </w:r>
    </w:p>
    <w:p w14:paraId="4B795736" w14:textId="77777777" w:rsidR="00B72827" w:rsidRPr="0007754D" w:rsidRDefault="00B72827" w:rsidP="00811C3D">
      <w:pPr>
        <w:spacing w:line="276" w:lineRule="auto"/>
        <w:jc w:val="both"/>
        <w:rPr>
          <w:color w:val="000000" w:themeColor="text1"/>
          <w:lang w:val="en-GB"/>
        </w:rPr>
      </w:pPr>
    </w:p>
    <w:p w14:paraId="5052B612" w14:textId="4F43BCE6" w:rsidR="006042D1" w:rsidRPr="0007754D" w:rsidRDefault="006042D1" w:rsidP="001A3BE7">
      <w:pPr>
        <w:pStyle w:val="Heading3"/>
        <w:numPr>
          <w:ilvl w:val="2"/>
          <w:numId w:val="31"/>
        </w:numPr>
        <w:rPr>
          <w:rFonts w:asciiTheme="minorHAnsi" w:hAnsiTheme="minorHAnsi"/>
          <w:color w:val="000000" w:themeColor="text1"/>
          <w:lang w:val="en-GB"/>
        </w:rPr>
      </w:pPr>
      <w:r w:rsidRPr="0007754D">
        <w:rPr>
          <w:rFonts w:asciiTheme="minorHAnsi" w:hAnsiTheme="minorHAnsi"/>
          <w:color w:val="000000" w:themeColor="text1"/>
          <w:lang w:val="en-GB"/>
        </w:rPr>
        <w:t>Abortion cases</w:t>
      </w:r>
    </w:p>
    <w:p w14:paraId="74B2A2A3" w14:textId="77777777" w:rsidR="00BC761E" w:rsidRPr="0007754D" w:rsidRDefault="00BC761E" w:rsidP="00BC761E">
      <w:pPr>
        <w:rPr>
          <w:color w:val="000000" w:themeColor="text1"/>
          <w:lang w:val="en-GB"/>
        </w:rPr>
      </w:pPr>
    </w:p>
    <w:p w14:paraId="1A891603" w14:textId="3715D4C0" w:rsidR="00AE6E8F" w:rsidRPr="0007754D" w:rsidRDefault="00150094" w:rsidP="00811C3D">
      <w:pPr>
        <w:spacing w:line="276" w:lineRule="auto"/>
        <w:jc w:val="both"/>
        <w:rPr>
          <w:color w:val="000000" w:themeColor="text1"/>
          <w:lang w:val="en-GB"/>
        </w:rPr>
      </w:pPr>
      <w:r w:rsidRPr="0007754D">
        <w:rPr>
          <w:color w:val="000000" w:themeColor="text1"/>
          <w:lang w:val="en-GB"/>
        </w:rPr>
        <w:t xml:space="preserve">In the case </w:t>
      </w:r>
      <w:r w:rsidRPr="0007754D">
        <w:rPr>
          <w:i/>
          <w:color w:val="000000" w:themeColor="text1"/>
          <w:lang w:val="en-GB"/>
        </w:rPr>
        <w:t>International Planned Parenthood Federation European Network (IPPF EN) v</w:t>
      </w:r>
      <w:r w:rsidR="003B53E0" w:rsidRPr="0007754D">
        <w:rPr>
          <w:i/>
          <w:color w:val="000000" w:themeColor="text1"/>
          <w:lang w:val="en-GB"/>
        </w:rPr>
        <w:t>.</w:t>
      </w:r>
      <w:r w:rsidRPr="0007754D">
        <w:rPr>
          <w:i/>
          <w:color w:val="000000" w:themeColor="text1"/>
          <w:lang w:val="en-GB"/>
        </w:rPr>
        <w:t xml:space="preserve"> Italy</w:t>
      </w:r>
      <w:r w:rsidR="00BC761E" w:rsidRPr="0007754D">
        <w:rPr>
          <w:i/>
          <w:color w:val="000000" w:themeColor="text1"/>
          <w:lang w:val="en-GB"/>
        </w:rPr>
        <w:t xml:space="preserve"> </w:t>
      </w:r>
      <w:r w:rsidR="00BC761E" w:rsidRPr="0007754D">
        <w:rPr>
          <w:color w:val="000000" w:themeColor="text1"/>
          <w:lang w:val="en-GB"/>
        </w:rPr>
        <w:t>(2013)</w:t>
      </w:r>
      <w:r w:rsidRPr="0007754D">
        <w:rPr>
          <w:color w:val="000000" w:themeColor="text1"/>
          <w:lang w:val="en-GB"/>
        </w:rPr>
        <w:t>,</w:t>
      </w:r>
      <w:r w:rsidRPr="0007754D">
        <w:rPr>
          <w:rStyle w:val="FootnoteReference"/>
          <w:color w:val="000000" w:themeColor="text1"/>
        </w:rPr>
        <w:footnoteReference w:id="164"/>
      </w:r>
      <w:r w:rsidRPr="0007754D">
        <w:rPr>
          <w:color w:val="000000" w:themeColor="text1"/>
          <w:lang w:val="en-GB"/>
        </w:rPr>
        <w:t xml:space="preserve"> the </w:t>
      </w:r>
      <w:r w:rsidR="00642789" w:rsidRPr="0007754D">
        <w:rPr>
          <w:color w:val="000000" w:themeColor="text1"/>
          <w:lang w:val="en-GB"/>
        </w:rPr>
        <w:t>ECoSR</w:t>
      </w:r>
      <w:r w:rsidRPr="0007754D">
        <w:rPr>
          <w:color w:val="000000" w:themeColor="text1"/>
          <w:lang w:val="en-GB"/>
        </w:rPr>
        <w:t xml:space="preserve"> received a complaint from an NGO specialised in family planning, who alleged a breach of Article 11</w:t>
      </w:r>
      <w:r w:rsidR="00054D9D" w:rsidRPr="0007754D">
        <w:rPr>
          <w:color w:val="000000" w:themeColor="text1"/>
          <w:lang w:val="en-GB"/>
        </w:rPr>
        <w:t xml:space="preserve"> </w:t>
      </w:r>
      <w:r w:rsidR="0036080F" w:rsidRPr="0007754D">
        <w:rPr>
          <w:color w:val="000000" w:themeColor="text1"/>
          <w:lang w:val="en-GB"/>
        </w:rPr>
        <w:t xml:space="preserve">ESC on the right to health, </w:t>
      </w:r>
      <w:r w:rsidRPr="0007754D">
        <w:rPr>
          <w:color w:val="000000" w:themeColor="text1"/>
          <w:lang w:val="en-GB"/>
        </w:rPr>
        <w:t>toge</w:t>
      </w:r>
      <w:r w:rsidR="00811C3D" w:rsidRPr="0007754D">
        <w:rPr>
          <w:color w:val="000000" w:themeColor="text1"/>
          <w:lang w:val="en-GB"/>
        </w:rPr>
        <w:t>ther with a breach of Article E</w:t>
      </w:r>
      <w:r w:rsidR="00642789" w:rsidRPr="0007754D">
        <w:rPr>
          <w:color w:val="000000" w:themeColor="text1"/>
          <w:lang w:val="en-GB"/>
        </w:rPr>
        <w:t xml:space="preserve"> </w:t>
      </w:r>
      <w:r w:rsidRPr="0007754D">
        <w:rPr>
          <w:color w:val="000000" w:themeColor="text1"/>
          <w:lang w:val="en-GB"/>
        </w:rPr>
        <w:t xml:space="preserve">on the prohibition of discrimination. In its complaint, </w:t>
      </w:r>
      <w:r w:rsidR="007B3B6D" w:rsidRPr="0007754D">
        <w:rPr>
          <w:color w:val="000000" w:themeColor="text1"/>
          <w:lang w:val="en-GB"/>
        </w:rPr>
        <w:t xml:space="preserve">the NGO </w:t>
      </w:r>
      <w:r w:rsidRPr="0007754D">
        <w:rPr>
          <w:color w:val="000000" w:themeColor="text1"/>
          <w:lang w:val="en-GB"/>
        </w:rPr>
        <w:t>IPPF declared that the number of medical practitioners who conscientiously objected to performing abortion procedures was so high that it rendered the national legislation allowing women to access such services, ineffective.</w:t>
      </w:r>
      <w:r w:rsidRPr="0007754D">
        <w:rPr>
          <w:rStyle w:val="FootnoteReference"/>
          <w:color w:val="000000" w:themeColor="text1"/>
        </w:rPr>
        <w:footnoteReference w:id="165"/>
      </w:r>
      <w:r w:rsidR="00C0408F" w:rsidRPr="0007754D">
        <w:rPr>
          <w:color w:val="000000" w:themeColor="text1"/>
          <w:lang w:val="en-GB"/>
        </w:rPr>
        <w:t xml:space="preserve"> </w:t>
      </w:r>
      <w:r w:rsidR="007B3B6D" w:rsidRPr="0007754D">
        <w:rPr>
          <w:color w:val="000000" w:themeColor="text1"/>
          <w:lang w:val="en-GB"/>
        </w:rPr>
        <w:t xml:space="preserve">The </w:t>
      </w:r>
      <w:r w:rsidR="00D05012" w:rsidRPr="0007754D">
        <w:rPr>
          <w:color w:val="000000" w:themeColor="text1"/>
          <w:lang w:val="en-GB"/>
        </w:rPr>
        <w:t xml:space="preserve">Committee </w:t>
      </w:r>
      <w:r w:rsidR="007B3B6D" w:rsidRPr="0007754D">
        <w:rPr>
          <w:color w:val="000000" w:themeColor="text1"/>
          <w:lang w:val="en-GB"/>
        </w:rPr>
        <w:t>accepted that access to abortion services b</w:t>
      </w:r>
      <w:r w:rsidR="00811C3D" w:rsidRPr="0007754D">
        <w:rPr>
          <w:color w:val="000000" w:themeColor="text1"/>
          <w:lang w:val="en-GB"/>
        </w:rPr>
        <w:t xml:space="preserve">e associated </w:t>
      </w:r>
      <w:r w:rsidR="00F46A87" w:rsidRPr="0007754D">
        <w:rPr>
          <w:color w:val="000000" w:themeColor="text1"/>
          <w:lang w:val="en-GB"/>
        </w:rPr>
        <w:t>with</w:t>
      </w:r>
      <w:r w:rsidR="00811C3D" w:rsidRPr="0007754D">
        <w:rPr>
          <w:color w:val="000000" w:themeColor="text1"/>
          <w:lang w:val="en-GB"/>
        </w:rPr>
        <w:t xml:space="preserve"> the right</w:t>
      </w:r>
      <w:r w:rsidR="007B3B6D" w:rsidRPr="0007754D">
        <w:rPr>
          <w:color w:val="000000" w:themeColor="text1"/>
          <w:lang w:val="en-GB"/>
        </w:rPr>
        <w:t xml:space="preserve"> to health, </w:t>
      </w:r>
      <w:r w:rsidR="00D6105C" w:rsidRPr="0007754D">
        <w:rPr>
          <w:color w:val="000000" w:themeColor="text1"/>
          <w:lang w:val="en-GB"/>
        </w:rPr>
        <w:t>and</w:t>
      </w:r>
      <w:r w:rsidR="007B3B6D" w:rsidRPr="0007754D">
        <w:rPr>
          <w:color w:val="000000" w:themeColor="text1"/>
          <w:lang w:val="en-GB"/>
        </w:rPr>
        <w:t xml:space="preserve"> even referred to key UN documents in this respect</w:t>
      </w:r>
      <w:r w:rsidR="00D05012" w:rsidRPr="0007754D">
        <w:rPr>
          <w:color w:val="000000" w:themeColor="text1"/>
          <w:lang w:val="en-GB"/>
        </w:rPr>
        <w:t>,</w:t>
      </w:r>
      <w:r w:rsidR="007B3B6D" w:rsidRPr="0007754D">
        <w:rPr>
          <w:color w:val="000000" w:themeColor="text1"/>
          <w:lang w:val="en-GB"/>
        </w:rPr>
        <w:t xml:space="preserve"> when </w:t>
      </w:r>
      <w:r w:rsidR="00D6105C" w:rsidRPr="0007754D">
        <w:rPr>
          <w:color w:val="000000" w:themeColor="text1"/>
          <w:lang w:val="en-GB"/>
        </w:rPr>
        <w:t>examining</w:t>
      </w:r>
      <w:r w:rsidR="007B3B6D" w:rsidRPr="0007754D">
        <w:rPr>
          <w:color w:val="000000" w:themeColor="text1"/>
          <w:lang w:val="en-GB"/>
        </w:rPr>
        <w:t xml:space="preserve"> relevant international law.</w:t>
      </w:r>
      <w:r w:rsidR="00811C3D" w:rsidRPr="0007754D">
        <w:rPr>
          <w:rStyle w:val="FootnoteReference"/>
          <w:color w:val="000000" w:themeColor="text1"/>
        </w:rPr>
        <w:footnoteReference w:id="166"/>
      </w:r>
      <w:r w:rsidR="007B3B6D" w:rsidRPr="0007754D">
        <w:rPr>
          <w:color w:val="000000" w:themeColor="text1"/>
          <w:lang w:val="en-GB"/>
        </w:rPr>
        <w:t xml:space="preserve"> </w:t>
      </w:r>
      <w:r w:rsidR="00811C3D" w:rsidRPr="0007754D">
        <w:rPr>
          <w:color w:val="000000" w:themeColor="text1"/>
          <w:lang w:val="en-GB"/>
        </w:rPr>
        <w:t xml:space="preserve">More importantly, it recognised that Article 11 </w:t>
      </w:r>
      <w:r w:rsidR="00317910" w:rsidRPr="0007754D">
        <w:rPr>
          <w:color w:val="000000" w:themeColor="text1"/>
          <w:lang w:val="en-GB"/>
        </w:rPr>
        <w:t>imposed positive obligations upon states</w:t>
      </w:r>
      <w:r w:rsidR="00642789" w:rsidRPr="0007754D">
        <w:rPr>
          <w:color w:val="000000" w:themeColor="text1"/>
          <w:lang w:val="en-GB"/>
        </w:rPr>
        <w:t>, including the obligation</w:t>
      </w:r>
      <w:r w:rsidR="00317910" w:rsidRPr="0007754D">
        <w:rPr>
          <w:color w:val="000000" w:themeColor="text1"/>
          <w:lang w:val="en-GB"/>
        </w:rPr>
        <w:t xml:space="preserve"> to provide ‘</w:t>
      </w:r>
      <w:r w:rsidR="00317910" w:rsidRPr="0007754D">
        <w:rPr>
          <w:i/>
          <w:color w:val="000000" w:themeColor="text1"/>
          <w:lang w:val="en-GB"/>
        </w:rPr>
        <w:t>appropriate and timely health care on a non-discriminatory basis, including services relating to sexual and reproductive health</w:t>
      </w:r>
      <w:r w:rsidR="004F7BBF" w:rsidRPr="0007754D">
        <w:rPr>
          <w:i/>
          <w:color w:val="000000" w:themeColor="text1"/>
          <w:lang w:val="en-GB"/>
        </w:rPr>
        <w:t>’</w:t>
      </w:r>
      <w:r w:rsidR="00642789" w:rsidRPr="0007754D">
        <w:rPr>
          <w:color w:val="000000" w:themeColor="text1"/>
          <w:lang w:val="en-GB"/>
        </w:rPr>
        <w:t xml:space="preserve">, </w:t>
      </w:r>
      <w:r w:rsidR="00DD3B7A" w:rsidRPr="0007754D">
        <w:rPr>
          <w:color w:val="000000" w:themeColor="text1"/>
          <w:lang w:val="en-GB"/>
        </w:rPr>
        <w:t>and</w:t>
      </w:r>
      <w:r w:rsidR="00642789" w:rsidRPr="0007754D">
        <w:rPr>
          <w:color w:val="000000" w:themeColor="text1"/>
          <w:lang w:val="en-GB"/>
        </w:rPr>
        <w:t xml:space="preserve"> th</w:t>
      </w:r>
      <w:r w:rsidR="00D6105C" w:rsidRPr="0007754D">
        <w:rPr>
          <w:color w:val="000000" w:themeColor="text1"/>
          <w:lang w:val="en-GB"/>
        </w:rPr>
        <w:t>e obligation</w:t>
      </w:r>
      <w:r w:rsidR="00642789" w:rsidRPr="0007754D">
        <w:rPr>
          <w:color w:val="000000" w:themeColor="text1"/>
          <w:lang w:val="en-GB"/>
        </w:rPr>
        <w:t xml:space="preserve"> to</w:t>
      </w:r>
      <w:r w:rsidR="004F7BBF" w:rsidRPr="0007754D">
        <w:rPr>
          <w:color w:val="000000" w:themeColor="text1"/>
          <w:lang w:val="en-GB"/>
        </w:rPr>
        <w:t xml:space="preserve"> care for ‘</w:t>
      </w:r>
      <w:r w:rsidR="004F7BBF" w:rsidRPr="0007754D">
        <w:rPr>
          <w:i/>
          <w:color w:val="000000" w:themeColor="text1"/>
          <w:lang w:val="en-GB"/>
        </w:rPr>
        <w:t>the specific health needs of women</w:t>
      </w:r>
      <w:r w:rsidR="004F7BBF" w:rsidRPr="0007754D">
        <w:rPr>
          <w:color w:val="000000" w:themeColor="text1"/>
          <w:lang w:val="en-GB"/>
        </w:rPr>
        <w:t>’.</w:t>
      </w:r>
      <w:r w:rsidR="00317910" w:rsidRPr="0007754D">
        <w:rPr>
          <w:rStyle w:val="FootnoteReference"/>
          <w:color w:val="000000" w:themeColor="text1"/>
        </w:rPr>
        <w:footnoteReference w:id="167"/>
      </w:r>
      <w:r w:rsidR="004146CC" w:rsidRPr="0007754D">
        <w:rPr>
          <w:color w:val="000000" w:themeColor="text1"/>
          <w:lang w:val="en-GB"/>
        </w:rPr>
        <w:t xml:space="preserve"> </w:t>
      </w:r>
      <w:r w:rsidR="00DE2129" w:rsidRPr="0007754D">
        <w:rPr>
          <w:color w:val="000000" w:themeColor="text1"/>
          <w:lang w:val="en-GB"/>
        </w:rPr>
        <w:t>T</w:t>
      </w:r>
      <w:r w:rsidR="004146CC" w:rsidRPr="0007754D">
        <w:rPr>
          <w:color w:val="000000" w:themeColor="text1"/>
          <w:lang w:val="en-GB"/>
        </w:rPr>
        <w:t xml:space="preserve">he </w:t>
      </w:r>
      <w:r w:rsidR="00642789" w:rsidRPr="0007754D">
        <w:rPr>
          <w:color w:val="000000" w:themeColor="text1"/>
          <w:lang w:val="en-GB"/>
        </w:rPr>
        <w:t>ECoSR</w:t>
      </w:r>
      <w:r w:rsidR="00DD3B7A" w:rsidRPr="0007754D">
        <w:rPr>
          <w:color w:val="000000" w:themeColor="text1"/>
          <w:lang w:val="en-GB"/>
        </w:rPr>
        <w:t>, therefore,</w:t>
      </w:r>
      <w:r w:rsidR="004146CC" w:rsidRPr="0007754D">
        <w:rPr>
          <w:color w:val="000000" w:themeColor="text1"/>
          <w:lang w:val="en-GB"/>
        </w:rPr>
        <w:t xml:space="preserve"> held that Italy was responsible for not implementing adequately Article </w:t>
      </w:r>
      <w:r w:rsidR="00642789" w:rsidRPr="0007754D">
        <w:rPr>
          <w:color w:val="000000" w:themeColor="text1"/>
          <w:lang w:val="en-GB"/>
        </w:rPr>
        <w:t xml:space="preserve">11 </w:t>
      </w:r>
      <w:r w:rsidR="004146CC" w:rsidRPr="0007754D">
        <w:rPr>
          <w:color w:val="000000" w:themeColor="text1"/>
          <w:lang w:val="en-GB"/>
        </w:rPr>
        <w:t>E</w:t>
      </w:r>
      <w:r w:rsidR="00811C3D" w:rsidRPr="0007754D">
        <w:rPr>
          <w:color w:val="000000" w:themeColor="text1"/>
          <w:lang w:val="en-GB"/>
        </w:rPr>
        <w:t>SC since the measures taken</w:t>
      </w:r>
      <w:r w:rsidR="004146CC" w:rsidRPr="0007754D">
        <w:rPr>
          <w:color w:val="000000" w:themeColor="text1"/>
          <w:lang w:val="en-GB"/>
        </w:rPr>
        <w:t xml:space="preserve"> to guarantee women’s access to abortion services were insufficient.</w:t>
      </w:r>
      <w:r w:rsidR="00DD3B7A" w:rsidRPr="0007754D">
        <w:rPr>
          <w:color w:val="000000" w:themeColor="text1"/>
          <w:lang w:val="en-GB"/>
        </w:rPr>
        <w:t xml:space="preserve"> </w:t>
      </w:r>
      <w:r w:rsidR="00D6105C" w:rsidRPr="0007754D">
        <w:rPr>
          <w:color w:val="000000" w:themeColor="text1"/>
          <w:lang w:val="en-GB"/>
        </w:rPr>
        <w:t xml:space="preserve">This decision </w:t>
      </w:r>
      <w:r w:rsidR="00D34827" w:rsidRPr="0007754D">
        <w:rPr>
          <w:color w:val="000000" w:themeColor="text1"/>
          <w:lang w:val="en-GB"/>
        </w:rPr>
        <w:t>is welcome</w:t>
      </w:r>
      <w:r w:rsidR="00D6105C" w:rsidRPr="0007754D">
        <w:rPr>
          <w:color w:val="000000" w:themeColor="text1"/>
          <w:lang w:val="en-GB"/>
        </w:rPr>
        <w:t xml:space="preserve"> as an attempt </w:t>
      </w:r>
      <w:r w:rsidR="00DE2129" w:rsidRPr="0007754D">
        <w:rPr>
          <w:color w:val="000000" w:themeColor="text1"/>
          <w:lang w:val="en-GB"/>
        </w:rPr>
        <w:t>by</w:t>
      </w:r>
      <w:r w:rsidR="00D6105C" w:rsidRPr="0007754D">
        <w:rPr>
          <w:color w:val="000000" w:themeColor="text1"/>
          <w:lang w:val="en-GB"/>
        </w:rPr>
        <w:t xml:space="preserve"> the </w:t>
      </w:r>
      <w:r w:rsidR="00AE6E8F" w:rsidRPr="0007754D">
        <w:rPr>
          <w:color w:val="000000" w:themeColor="text1"/>
          <w:lang w:val="en-GB"/>
        </w:rPr>
        <w:t>Committee</w:t>
      </w:r>
      <w:r w:rsidR="00D6105C" w:rsidRPr="0007754D">
        <w:rPr>
          <w:color w:val="000000" w:themeColor="text1"/>
          <w:lang w:val="en-GB"/>
        </w:rPr>
        <w:t xml:space="preserve"> to protect </w:t>
      </w:r>
      <w:r w:rsidR="00A9076C" w:rsidRPr="0007754D">
        <w:rPr>
          <w:color w:val="000000" w:themeColor="text1"/>
          <w:lang w:val="en-GB"/>
        </w:rPr>
        <w:t>women</w:t>
      </w:r>
      <w:r w:rsidR="00D6105C" w:rsidRPr="0007754D">
        <w:rPr>
          <w:color w:val="000000" w:themeColor="text1"/>
          <w:lang w:val="en-GB"/>
        </w:rPr>
        <w:t>’</w:t>
      </w:r>
      <w:r w:rsidR="00A9076C" w:rsidRPr="0007754D">
        <w:rPr>
          <w:color w:val="000000" w:themeColor="text1"/>
          <w:lang w:val="en-GB"/>
        </w:rPr>
        <w:t>s</w:t>
      </w:r>
      <w:r w:rsidR="00D6105C" w:rsidRPr="0007754D">
        <w:rPr>
          <w:color w:val="000000" w:themeColor="text1"/>
          <w:lang w:val="en-GB"/>
        </w:rPr>
        <w:t xml:space="preserve"> access to abortion services </w:t>
      </w:r>
      <w:r w:rsidR="00D412DE" w:rsidRPr="0007754D">
        <w:rPr>
          <w:color w:val="000000" w:themeColor="text1"/>
          <w:lang w:val="en-GB"/>
        </w:rPr>
        <w:t>under the right to health</w:t>
      </w:r>
      <w:r w:rsidR="00AE6E8F" w:rsidRPr="0007754D">
        <w:rPr>
          <w:color w:val="000000" w:themeColor="text1"/>
          <w:lang w:val="en-GB"/>
        </w:rPr>
        <w:t xml:space="preserve">, </w:t>
      </w:r>
      <w:r w:rsidR="00A9076C" w:rsidRPr="0007754D">
        <w:rPr>
          <w:color w:val="000000" w:themeColor="text1"/>
          <w:lang w:val="en-GB"/>
        </w:rPr>
        <w:t>by reference to</w:t>
      </w:r>
      <w:r w:rsidR="00AE6E8F" w:rsidRPr="0007754D">
        <w:rPr>
          <w:color w:val="000000" w:themeColor="text1"/>
          <w:lang w:val="en-GB"/>
        </w:rPr>
        <w:t xml:space="preserve"> UN standards</w:t>
      </w:r>
      <w:r w:rsidR="00A9076C" w:rsidRPr="0007754D">
        <w:rPr>
          <w:color w:val="000000" w:themeColor="text1"/>
          <w:lang w:val="en-GB"/>
        </w:rPr>
        <w:t>. It also reflects</w:t>
      </w:r>
      <w:r w:rsidR="00AE6E8F" w:rsidRPr="0007754D">
        <w:rPr>
          <w:color w:val="000000" w:themeColor="text1"/>
          <w:lang w:val="en-GB"/>
        </w:rPr>
        <w:t xml:space="preserve"> an implicit alignment with recommendations formulated by the WHO</w:t>
      </w:r>
      <w:r w:rsidR="005A68A2" w:rsidRPr="0007754D">
        <w:rPr>
          <w:color w:val="000000" w:themeColor="text1"/>
          <w:lang w:val="en-GB"/>
        </w:rPr>
        <w:t xml:space="preserve"> strategy</w:t>
      </w:r>
      <w:r w:rsidR="00AE6E8F" w:rsidRPr="0007754D">
        <w:rPr>
          <w:color w:val="000000" w:themeColor="text1"/>
          <w:lang w:val="en-GB"/>
        </w:rPr>
        <w:t xml:space="preserve"> and </w:t>
      </w:r>
      <w:r w:rsidR="005A68A2" w:rsidRPr="0007754D">
        <w:rPr>
          <w:color w:val="000000" w:themeColor="text1"/>
          <w:lang w:val="en-GB"/>
        </w:rPr>
        <w:t>UNCESCR GC</w:t>
      </w:r>
      <w:r w:rsidR="00A9076C" w:rsidRPr="0007754D">
        <w:rPr>
          <w:color w:val="000000" w:themeColor="text1"/>
          <w:lang w:val="en-GB"/>
        </w:rPr>
        <w:t xml:space="preserve">22 regarding </w:t>
      </w:r>
      <w:r w:rsidR="00E11B11" w:rsidRPr="0007754D">
        <w:rPr>
          <w:color w:val="000000" w:themeColor="text1"/>
          <w:lang w:val="en-GB"/>
        </w:rPr>
        <w:t>access to abortion and conscientious objectors</w:t>
      </w:r>
      <w:r w:rsidR="00DD3B7A" w:rsidRPr="0007754D">
        <w:rPr>
          <w:color w:val="000000" w:themeColor="text1"/>
          <w:lang w:val="en-GB"/>
        </w:rPr>
        <w:t>.</w:t>
      </w:r>
      <w:r w:rsidR="00AE6E8F" w:rsidRPr="0007754D">
        <w:rPr>
          <w:rStyle w:val="FootnoteReference"/>
          <w:color w:val="000000" w:themeColor="text1"/>
        </w:rPr>
        <w:footnoteReference w:id="168"/>
      </w:r>
      <w:r w:rsidR="00A9076C" w:rsidRPr="0007754D">
        <w:rPr>
          <w:color w:val="000000" w:themeColor="text1"/>
          <w:lang w:val="en-GB"/>
        </w:rPr>
        <w:t xml:space="preserve"> </w:t>
      </w:r>
      <w:r w:rsidR="00DD3B7A" w:rsidRPr="0007754D">
        <w:rPr>
          <w:color w:val="000000" w:themeColor="text1"/>
          <w:lang w:val="en-GB"/>
        </w:rPr>
        <w:t>Lastly, the recognition of positive obligations – whether in the Committee or the ECtHR’s case-law on abortion, allows further protection of women’s SRH.</w:t>
      </w:r>
    </w:p>
    <w:p w14:paraId="2C0E79CD" w14:textId="77777777" w:rsidR="008401D8" w:rsidRPr="0007754D" w:rsidRDefault="008401D8" w:rsidP="00811C3D">
      <w:pPr>
        <w:spacing w:line="276" w:lineRule="auto"/>
        <w:jc w:val="both"/>
        <w:rPr>
          <w:color w:val="000000" w:themeColor="text1"/>
          <w:lang w:val="en-GB"/>
        </w:rPr>
      </w:pPr>
    </w:p>
    <w:p w14:paraId="15344A96" w14:textId="6D558C55" w:rsidR="00757448" w:rsidRPr="0007754D" w:rsidRDefault="00E91C37" w:rsidP="00142848">
      <w:pPr>
        <w:spacing w:line="276" w:lineRule="auto"/>
        <w:jc w:val="both"/>
        <w:rPr>
          <w:color w:val="000000" w:themeColor="text1"/>
          <w:lang w:val="en-GB"/>
        </w:rPr>
      </w:pPr>
      <w:r w:rsidRPr="0007754D">
        <w:rPr>
          <w:color w:val="000000" w:themeColor="text1"/>
          <w:lang w:val="en-GB"/>
        </w:rPr>
        <w:t>However,</w:t>
      </w:r>
      <w:r w:rsidR="006D5154" w:rsidRPr="0007754D">
        <w:rPr>
          <w:color w:val="000000" w:themeColor="text1"/>
          <w:lang w:val="en-GB"/>
        </w:rPr>
        <w:t xml:space="preserve"> in</w:t>
      </w:r>
      <w:r w:rsidR="006D5154" w:rsidRPr="0007754D">
        <w:rPr>
          <w:i/>
          <w:color w:val="000000" w:themeColor="text1"/>
          <w:lang w:val="en-GB"/>
        </w:rPr>
        <w:t xml:space="preserve"> IPPF v. Italy</w:t>
      </w:r>
      <w:r w:rsidR="006D5154" w:rsidRPr="0007754D">
        <w:rPr>
          <w:color w:val="000000" w:themeColor="text1"/>
          <w:lang w:val="en-GB"/>
        </w:rPr>
        <w:t>,</w:t>
      </w:r>
      <w:r w:rsidRPr="0007754D">
        <w:rPr>
          <w:color w:val="000000" w:themeColor="text1"/>
          <w:lang w:val="en-GB"/>
        </w:rPr>
        <w:t xml:space="preserve"> the ECoSR relies heavily on the fact that </w:t>
      </w:r>
      <w:r w:rsidR="006D5154" w:rsidRPr="0007754D">
        <w:rPr>
          <w:color w:val="000000" w:themeColor="text1"/>
          <w:lang w:val="en-GB"/>
        </w:rPr>
        <w:t>the state</w:t>
      </w:r>
      <w:r w:rsidRPr="0007754D">
        <w:rPr>
          <w:color w:val="000000" w:themeColor="text1"/>
          <w:lang w:val="en-GB"/>
        </w:rPr>
        <w:t xml:space="preserve"> has legalised access to abortion to avoid making a more assertive ruling regarding women’s SRH. It even</w:t>
      </w:r>
      <w:r w:rsidR="006042D1" w:rsidRPr="0007754D">
        <w:rPr>
          <w:color w:val="000000" w:themeColor="text1"/>
          <w:lang w:val="en-GB"/>
        </w:rPr>
        <w:t xml:space="preserve"> justifies</w:t>
      </w:r>
      <w:r w:rsidRPr="0007754D">
        <w:rPr>
          <w:color w:val="000000" w:themeColor="text1"/>
          <w:lang w:val="en-GB"/>
        </w:rPr>
        <w:t xml:space="preserve"> </w:t>
      </w:r>
      <w:r w:rsidR="006042D1" w:rsidRPr="0007754D">
        <w:rPr>
          <w:color w:val="000000" w:themeColor="text1"/>
          <w:lang w:val="en-GB"/>
        </w:rPr>
        <w:t>the relevance</w:t>
      </w:r>
      <w:r w:rsidRPr="0007754D">
        <w:rPr>
          <w:color w:val="000000" w:themeColor="text1"/>
          <w:lang w:val="en-GB"/>
        </w:rPr>
        <w:t xml:space="preserve"> of the right to health </w:t>
      </w:r>
      <w:r w:rsidR="006042D1" w:rsidRPr="0007754D">
        <w:rPr>
          <w:color w:val="000000" w:themeColor="text1"/>
          <w:lang w:val="en-GB"/>
        </w:rPr>
        <w:t xml:space="preserve">in this case </w:t>
      </w:r>
      <w:r w:rsidRPr="0007754D">
        <w:rPr>
          <w:color w:val="000000" w:themeColor="text1"/>
          <w:lang w:val="en-GB"/>
        </w:rPr>
        <w:t>on the ground that ‘</w:t>
      </w:r>
      <w:r w:rsidRPr="0007754D">
        <w:rPr>
          <w:i/>
          <w:color w:val="000000" w:themeColor="text1"/>
          <w:lang w:val="en-GB"/>
        </w:rPr>
        <w:t xml:space="preserve">national legislation has classified </w:t>
      </w:r>
      <w:r w:rsidRPr="0007754D">
        <w:rPr>
          <w:i/>
          <w:color w:val="000000" w:themeColor="text1"/>
          <w:lang w:val="en-GB"/>
        </w:rPr>
        <w:sym w:font="Symbol" w:char="F05B"/>
      </w:r>
      <w:r w:rsidRPr="0007754D">
        <w:rPr>
          <w:i/>
          <w:color w:val="000000" w:themeColor="text1"/>
          <w:lang w:val="en-GB"/>
        </w:rPr>
        <w:t>abortion</w:t>
      </w:r>
      <w:r w:rsidRPr="0007754D">
        <w:rPr>
          <w:i/>
          <w:color w:val="000000" w:themeColor="text1"/>
          <w:lang w:val="en-GB"/>
        </w:rPr>
        <w:sym w:font="Symbol" w:char="F05D"/>
      </w:r>
      <w:r w:rsidRPr="0007754D">
        <w:rPr>
          <w:i/>
          <w:color w:val="000000" w:themeColor="text1"/>
          <w:lang w:val="en-GB"/>
        </w:rPr>
        <w:t xml:space="preserve"> as a form of medical treatment that relates to the protection of health and individual well-being</w:t>
      </w:r>
      <w:r w:rsidRPr="0007754D">
        <w:rPr>
          <w:color w:val="000000" w:themeColor="text1"/>
          <w:lang w:val="en-GB"/>
        </w:rPr>
        <w:t>’.</w:t>
      </w:r>
      <w:r w:rsidRPr="0007754D">
        <w:rPr>
          <w:rStyle w:val="FootnoteReference"/>
          <w:color w:val="000000" w:themeColor="text1"/>
        </w:rPr>
        <w:footnoteReference w:id="169"/>
      </w:r>
      <w:r w:rsidRPr="0007754D">
        <w:rPr>
          <w:color w:val="000000" w:themeColor="text1"/>
          <w:lang w:val="en-GB"/>
        </w:rPr>
        <w:t xml:space="preserve"> It is, therefore, unclear whether</w:t>
      </w:r>
      <w:r w:rsidR="006042D1" w:rsidRPr="0007754D">
        <w:rPr>
          <w:color w:val="000000" w:themeColor="text1"/>
          <w:lang w:val="en-GB"/>
        </w:rPr>
        <w:t xml:space="preserve"> the connection between access to abortion and the right to health reflects a </w:t>
      </w:r>
      <w:r w:rsidR="006D5154" w:rsidRPr="0007754D">
        <w:rPr>
          <w:color w:val="000000" w:themeColor="text1"/>
          <w:lang w:val="en-GB"/>
        </w:rPr>
        <w:t>definite</w:t>
      </w:r>
      <w:r w:rsidR="006042D1" w:rsidRPr="0007754D">
        <w:rPr>
          <w:color w:val="000000" w:themeColor="text1"/>
          <w:lang w:val="en-GB"/>
        </w:rPr>
        <w:t xml:space="preserve"> human rights norm or whether it is conditioned by states’ abortion laws. </w:t>
      </w:r>
      <w:r w:rsidR="006D5154" w:rsidRPr="0007754D">
        <w:rPr>
          <w:color w:val="000000" w:themeColor="text1"/>
          <w:lang w:val="en-GB"/>
        </w:rPr>
        <w:t>In the latter hypothesis, the Committee</w:t>
      </w:r>
      <w:r w:rsidR="006042D1" w:rsidRPr="0007754D">
        <w:rPr>
          <w:color w:val="000000" w:themeColor="text1"/>
          <w:lang w:val="en-GB"/>
        </w:rPr>
        <w:t xml:space="preserve"> could </w:t>
      </w:r>
      <w:r w:rsidR="006D5154" w:rsidRPr="0007754D">
        <w:rPr>
          <w:color w:val="000000" w:themeColor="text1"/>
          <w:lang w:val="en-GB"/>
        </w:rPr>
        <w:t xml:space="preserve">potentially </w:t>
      </w:r>
      <w:r w:rsidR="006042D1" w:rsidRPr="0007754D">
        <w:rPr>
          <w:color w:val="000000" w:themeColor="text1"/>
          <w:lang w:val="en-GB"/>
        </w:rPr>
        <w:t>find states</w:t>
      </w:r>
      <w:r w:rsidR="006D5154" w:rsidRPr="0007754D">
        <w:rPr>
          <w:color w:val="000000" w:themeColor="text1"/>
          <w:lang w:val="en-GB"/>
        </w:rPr>
        <w:t xml:space="preserve"> with restrictive abortion laws in compliance with Article 11 ESC, as long as women’s access to abortion remains guaranteed in the very few exceptions allowed by the national legislation. </w:t>
      </w:r>
      <w:r w:rsidR="00677C76" w:rsidRPr="0007754D">
        <w:rPr>
          <w:color w:val="000000" w:themeColor="text1"/>
          <w:lang w:val="en-GB"/>
        </w:rPr>
        <w:t>S</w:t>
      </w:r>
      <w:r w:rsidR="006042D1" w:rsidRPr="0007754D">
        <w:rPr>
          <w:color w:val="000000" w:themeColor="text1"/>
          <w:lang w:val="en-GB"/>
        </w:rPr>
        <w:t>uch an approach</w:t>
      </w:r>
      <w:r w:rsidR="00856A38" w:rsidRPr="0007754D">
        <w:rPr>
          <w:color w:val="000000" w:themeColor="text1"/>
          <w:lang w:val="en-GB"/>
        </w:rPr>
        <w:t>, reminding that of the ECtHR in its abortion case</w:t>
      </w:r>
      <w:r w:rsidR="00851820" w:rsidRPr="0007754D">
        <w:rPr>
          <w:color w:val="000000" w:themeColor="text1"/>
          <w:lang w:val="en-GB"/>
        </w:rPr>
        <w:t>-law</w:t>
      </w:r>
      <w:r w:rsidR="00856A38" w:rsidRPr="0007754D">
        <w:rPr>
          <w:color w:val="000000" w:themeColor="text1"/>
          <w:lang w:val="en-GB"/>
        </w:rPr>
        <w:t xml:space="preserve">, </w:t>
      </w:r>
      <w:r w:rsidR="00677C76" w:rsidRPr="0007754D">
        <w:rPr>
          <w:color w:val="000000" w:themeColor="text1"/>
          <w:lang w:val="en-GB"/>
        </w:rPr>
        <w:t xml:space="preserve">would </w:t>
      </w:r>
      <w:r w:rsidR="006042D1" w:rsidRPr="0007754D">
        <w:rPr>
          <w:color w:val="000000" w:themeColor="text1"/>
          <w:lang w:val="en-GB"/>
        </w:rPr>
        <w:t>fail to sufficiently protect women’s SRH in states</w:t>
      </w:r>
      <w:r w:rsidR="00856A38" w:rsidRPr="0007754D">
        <w:rPr>
          <w:color w:val="000000" w:themeColor="text1"/>
          <w:lang w:val="en-GB"/>
        </w:rPr>
        <w:t xml:space="preserve"> with restrictive abortion laws</w:t>
      </w:r>
      <w:r w:rsidR="006D5154" w:rsidRPr="0007754D">
        <w:rPr>
          <w:color w:val="000000" w:themeColor="text1"/>
          <w:lang w:val="en-GB"/>
        </w:rPr>
        <w:t xml:space="preserve"> </w:t>
      </w:r>
      <w:r w:rsidR="006042D1" w:rsidRPr="0007754D">
        <w:rPr>
          <w:color w:val="000000" w:themeColor="text1"/>
          <w:lang w:val="en-GB"/>
        </w:rPr>
        <w:t xml:space="preserve">such as </w:t>
      </w:r>
      <w:r w:rsidR="00856A38" w:rsidRPr="0007754D">
        <w:rPr>
          <w:color w:val="000000" w:themeColor="text1"/>
          <w:lang w:val="en-GB"/>
        </w:rPr>
        <w:t>Poland</w:t>
      </w:r>
      <w:r w:rsidR="00677C76" w:rsidRPr="0007754D">
        <w:rPr>
          <w:color w:val="000000" w:themeColor="text1"/>
          <w:lang w:val="en-GB"/>
        </w:rPr>
        <w:t xml:space="preserve">. Nevertheless, </w:t>
      </w:r>
      <w:r w:rsidR="006D5154" w:rsidRPr="0007754D">
        <w:rPr>
          <w:color w:val="000000" w:themeColor="text1"/>
          <w:lang w:val="en-GB"/>
        </w:rPr>
        <w:t xml:space="preserve">in </w:t>
      </w:r>
      <w:r w:rsidR="001124E9" w:rsidRPr="0007754D">
        <w:rPr>
          <w:i/>
          <w:color w:val="000000" w:themeColor="text1"/>
          <w:lang w:val="en-GB"/>
        </w:rPr>
        <w:t>IPPF v. Italy</w:t>
      </w:r>
      <w:r w:rsidR="005C732F" w:rsidRPr="0007754D">
        <w:rPr>
          <w:color w:val="000000" w:themeColor="text1"/>
          <w:lang w:val="en-GB"/>
        </w:rPr>
        <w:t xml:space="preserve"> the ECoSR</w:t>
      </w:r>
      <w:r w:rsidR="001124E9" w:rsidRPr="0007754D">
        <w:rPr>
          <w:color w:val="000000" w:themeColor="text1"/>
          <w:lang w:val="en-GB"/>
        </w:rPr>
        <w:t xml:space="preserve"> expressed concern regard</w:t>
      </w:r>
      <w:r w:rsidR="003E6B6B" w:rsidRPr="0007754D">
        <w:rPr>
          <w:color w:val="000000" w:themeColor="text1"/>
          <w:lang w:val="en-GB"/>
        </w:rPr>
        <w:t>ing</w:t>
      </w:r>
      <w:r w:rsidR="001124E9" w:rsidRPr="0007754D">
        <w:rPr>
          <w:color w:val="000000" w:themeColor="text1"/>
          <w:lang w:val="en-GB"/>
        </w:rPr>
        <w:t xml:space="preserve"> </w:t>
      </w:r>
      <w:r w:rsidR="00512364" w:rsidRPr="0007754D">
        <w:rPr>
          <w:color w:val="000000" w:themeColor="text1"/>
          <w:lang w:val="en-GB"/>
        </w:rPr>
        <w:t xml:space="preserve">women </w:t>
      </w:r>
      <w:r w:rsidR="001124E9" w:rsidRPr="0007754D">
        <w:rPr>
          <w:color w:val="000000" w:themeColor="text1"/>
          <w:lang w:val="en-GB"/>
        </w:rPr>
        <w:t>who</w:t>
      </w:r>
      <w:r w:rsidR="00512364" w:rsidRPr="0007754D">
        <w:rPr>
          <w:color w:val="000000" w:themeColor="text1"/>
          <w:lang w:val="en-GB"/>
        </w:rPr>
        <w:t xml:space="preserve"> had to travel to health facilities </w:t>
      </w:r>
      <w:r w:rsidR="001124E9" w:rsidRPr="0007754D">
        <w:rPr>
          <w:color w:val="000000" w:themeColor="text1"/>
          <w:lang w:val="en-GB"/>
        </w:rPr>
        <w:t>across</w:t>
      </w:r>
      <w:r w:rsidR="00512364" w:rsidRPr="0007754D">
        <w:rPr>
          <w:color w:val="000000" w:themeColor="text1"/>
          <w:lang w:val="en-GB"/>
        </w:rPr>
        <w:t xml:space="preserve"> Italy or abroad</w:t>
      </w:r>
      <w:r w:rsidR="003E6B6B" w:rsidRPr="0007754D">
        <w:rPr>
          <w:color w:val="000000" w:themeColor="text1"/>
          <w:lang w:val="en-GB"/>
        </w:rPr>
        <w:t xml:space="preserve"> to terminate their pregnancy. It also expressed concern</w:t>
      </w:r>
      <w:r w:rsidR="00512364" w:rsidRPr="0007754D">
        <w:rPr>
          <w:color w:val="000000" w:themeColor="text1"/>
          <w:lang w:val="en-GB"/>
        </w:rPr>
        <w:t xml:space="preserve"> </w:t>
      </w:r>
      <w:r w:rsidR="001F2D52" w:rsidRPr="0007754D">
        <w:rPr>
          <w:color w:val="000000" w:themeColor="text1"/>
          <w:lang w:val="en-GB"/>
        </w:rPr>
        <w:t>regard</w:t>
      </w:r>
      <w:r w:rsidR="003E6B6B" w:rsidRPr="0007754D">
        <w:rPr>
          <w:color w:val="000000" w:themeColor="text1"/>
          <w:lang w:val="en-GB"/>
        </w:rPr>
        <w:t>ing</w:t>
      </w:r>
      <w:r w:rsidR="001F2D52" w:rsidRPr="0007754D">
        <w:rPr>
          <w:color w:val="000000" w:themeColor="text1"/>
          <w:lang w:val="en-GB"/>
        </w:rPr>
        <w:t xml:space="preserve"> </w:t>
      </w:r>
      <w:r w:rsidR="003E6B6B" w:rsidRPr="0007754D">
        <w:rPr>
          <w:color w:val="000000" w:themeColor="text1"/>
          <w:lang w:val="en-GB"/>
        </w:rPr>
        <w:t>women</w:t>
      </w:r>
      <w:r w:rsidR="001124E9" w:rsidRPr="0007754D">
        <w:rPr>
          <w:color w:val="000000" w:themeColor="text1"/>
          <w:lang w:val="en-GB"/>
        </w:rPr>
        <w:t xml:space="preserve"> who had to terminate their pregnancy </w:t>
      </w:r>
      <w:r w:rsidR="00512364" w:rsidRPr="0007754D">
        <w:rPr>
          <w:color w:val="000000" w:themeColor="text1"/>
          <w:lang w:val="en-GB"/>
        </w:rPr>
        <w:t>without the assistance of competent health authorities. It considered that</w:t>
      </w:r>
      <w:r w:rsidR="003E6B6B" w:rsidRPr="0007754D">
        <w:rPr>
          <w:color w:val="000000" w:themeColor="text1"/>
          <w:lang w:val="en-GB"/>
        </w:rPr>
        <w:t xml:space="preserve"> these situations involved</w:t>
      </w:r>
      <w:r w:rsidR="00512364" w:rsidRPr="0007754D">
        <w:rPr>
          <w:color w:val="000000" w:themeColor="text1"/>
          <w:lang w:val="en-GB"/>
        </w:rPr>
        <w:t xml:space="preserve"> ‘</w:t>
      </w:r>
      <w:r w:rsidR="00512364" w:rsidRPr="0007754D">
        <w:rPr>
          <w:i/>
          <w:color w:val="000000" w:themeColor="text1"/>
          <w:lang w:val="en-GB"/>
        </w:rPr>
        <w:t>considerable risks for the health and well-being of the women concerned</w:t>
      </w:r>
      <w:r w:rsidR="00512364" w:rsidRPr="0007754D">
        <w:rPr>
          <w:color w:val="000000" w:themeColor="text1"/>
          <w:lang w:val="en-GB"/>
        </w:rPr>
        <w:t>’.</w:t>
      </w:r>
      <w:r w:rsidR="00512364" w:rsidRPr="0007754D">
        <w:rPr>
          <w:rStyle w:val="FootnoteReference"/>
          <w:color w:val="000000" w:themeColor="text1"/>
        </w:rPr>
        <w:footnoteReference w:id="170"/>
      </w:r>
      <w:r w:rsidR="00512364" w:rsidRPr="0007754D">
        <w:rPr>
          <w:color w:val="000000" w:themeColor="text1"/>
          <w:lang w:val="en-GB"/>
        </w:rPr>
        <w:t xml:space="preserve"> Such a statement</w:t>
      </w:r>
      <w:r w:rsidR="003E6B6B" w:rsidRPr="0007754D">
        <w:rPr>
          <w:color w:val="000000" w:themeColor="text1"/>
          <w:lang w:val="en-GB"/>
        </w:rPr>
        <w:t xml:space="preserve"> is promising, since</w:t>
      </w:r>
      <w:r w:rsidR="00757448" w:rsidRPr="0007754D">
        <w:rPr>
          <w:color w:val="000000" w:themeColor="text1"/>
          <w:lang w:val="en-GB"/>
        </w:rPr>
        <w:t xml:space="preserve"> it</w:t>
      </w:r>
      <w:r w:rsidR="00512364" w:rsidRPr="0007754D">
        <w:rPr>
          <w:color w:val="000000" w:themeColor="text1"/>
          <w:lang w:val="en-GB"/>
        </w:rPr>
        <w:t xml:space="preserve"> c</w:t>
      </w:r>
      <w:r w:rsidR="00677C76" w:rsidRPr="0007754D">
        <w:rPr>
          <w:color w:val="000000" w:themeColor="text1"/>
          <w:lang w:val="en-GB"/>
        </w:rPr>
        <w:t xml:space="preserve">an potentially </w:t>
      </w:r>
      <w:r w:rsidR="00512364" w:rsidRPr="0007754D">
        <w:rPr>
          <w:color w:val="000000" w:themeColor="text1"/>
          <w:lang w:val="en-GB"/>
        </w:rPr>
        <w:t xml:space="preserve">be formulated </w:t>
      </w:r>
      <w:r w:rsidR="001F2D52" w:rsidRPr="0007754D">
        <w:rPr>
          <w:color w:val="000000" w:themeColor="text1"/>
          <w:lang w:val="en-GB"/>
        </w:rPr>
        <w:t xml:space="preserve">against </w:t>
      </w:r>
      <w:r w:rsidR="00757448" w:rsidRPr="0007754D">
        <w:rPr>
          <w:color w:val="000000" w:themeColor="text1"/>
          <w:lang w:val="en-GB"/>
        </w:rPr>
        <w:t>states with restrictive abortion laws</w:t>
      </w:r>
      <w:r w:rsidR="003E6B6B" w:rsidRPr="0007754D">
        <w:rPr>
          <w:color w:val="000000" w:themeColor="text1"/>
          <w:lang w:val="en-GB"/>
        </w:rPr>
        <w:t xml:space="preserve">. It </w:t>
      </w:r>
      <w:r w:rsidR="00D27DB9" w:rsidRPr="0007754D">
        <w:rPr>
          <w:color w:val="000000" w:themeColor="text1"/>
          <w:lang w:val="en-GB"/>
        </w:rPr>
        <w:t>also</w:t>
      </w:r>
      <w:r w:rsidR="001F2D52" w:rsidRPr="0007754D">
        <w:rPr>
          <w:color w:val="000000" w:themeColor="text1"/>
          <w:lang w:val="en-GB"/>
        </w:rPr>
        <w:t xml:space="preserve"> </w:t>
      </w:r>
      <w:r w:rsidR="00D27DB9" w:rsidRPr="0007754D">
        <w:rPr>
          <w:color w:val="000000" w:themeColor="text1"/>
          <w:lang w:val="en-GB"/>
        </w:rPr>
        <w:t>move</w:t>
      </w:r>
      <w:r w:rsidR="00D03B4D" w:rsidRPr="0007754D">
        <w:rPr>
          <w:color w:val="000000" w:themeColor="text1"/>
          <w:lang w:val="en-GB"/>
        </w:rPr>
        <w:t>s</w:t>
      </w:r>
      <w:r w:rsidR="001F2D52" w:rsidRPr="0007754D">
        <w:rPr>
          <w:color w:val="000000" w:themeColor="text1"/>
          <w:lang w:val="en-GB"/>
        </w:rPr>
        <w:t xml:space="preserve"> towards what the </w:t>
      </w:r>
      <w:r w:rsidR="003E6B6B" w:rsidRPr="0007754D">
        <w:rPr>
          <w:color w:val="000000" w:themeColor="text1"/>
          <w:lang w:val="en-GB"/>
        </w:rPr>
        <w:t>WHO</w:t>
      </w:r>
      <w:r w:rsidR="005A68A2" w:rsidRPr="0007754D">
        <w:rPr>
          <w:color w:val="000000" w:themeColor="text1"/>
          <w:lang w:val="en-GB"/>
        </w:rPr>
        <w:t xml:space="preserve"> strategy</w:t>
      </w:r>
      <w:r w:rsidR="003E6B6B" w:rsidRPr="0007754D">
        <w:rPr>
          <w:color w:val="000000" w:themeColor="text1"/>
          <w:lang w:val="en-GB"/>
        </w:rPr>
        <w:t xml:space="preserve"> and </w:t>
      </w:r>
      <w:r w:rsidR="005A68A2" w:rsidRPr="0007754D">
        <w:rPr>
          <w:color w:val="000000" w:themeColor="text1"/>
          <w:lang w:val="en-GB"/>
        </w:rPr>
        <w:t>UNCESCR GC</w:t>
      </w:r>
      <w:r w:rsidR="003E6B6B" w:rsidRPr="0007754D">
        <w:rPr>
          <w:color w:val="000000" w:themeColor="text1"/>
          <w:lang w:val="en-GB"/>
        </w:rPr>
        <w:t>22 consider</w:t>
      </w:r>
      <w:r w:rsidR="001F2D52" w:rsidRPr="0007754D">
        <w:rPr>
          <w:color w:val="000000" w:themeColor="text1"/>
          <w:lang w:val="en-GB"/>
        </w:rPr>
        <w:t xml:space="preserve"> essential in SRH: combatting policies increasing</w:t>
      </w:r>
      <w:r w:rsidR="0026352F" w:rsidRPr="0007754D">
        <w:rPr>
          <w:color w:val="000000" w:themeColor="text1"/>
          <w:lang w:val="en-GB"/>
        </w:rPr>
        <w:t xml:space="preserve"> the risk</w:t>
      </w:r>
      <w:r w:rsidR="001F2D52" w:rsidRPr="0007754D">
        <w:rPr>
          <w:color w:val="000000" w:themeColor="text1"/>
          <w:lang w:val="en-GB"/>
        </w:rPr>
        <w:t xml:space="preserve"> of unsafe abortion</w:t>
      </w:r>
      <w:r w:rsidR="0026352F" w:rsidRPr="0007754D">
        <w:rPr>
          <w:color w:val="000000" w:themeColor="text1"/>
          <w:lang w:val="en-GB"/>
        </w:rPr>
        <w:t>s</w:t>
      </w:r>
      <w:r w:rsidR="00757448" w:rsidRPr="0007754D">
        <w:rPr>
          <w:color w:val="000000" w:themeColor="text1"/>
          <w:lang w:val="en-GB"/>
        </w:rPr>
        <w:t>.</w:t>
      </w:r>
      <w:r w:rsidR="001F2D52" w:rsidRPr="0007754D">
        <w:rPr>
          <w:rStyle w:val="FootnoteReference"/>
          <w:color w:val="000000" w:themeColor="text1"/>
        </w:rPr>
        <w:footnoteReference w:id="171"/>
      </w:r>
      <w:r w:rsidR="00512364" w:rsidRPr="0007754D">
        <w:rPr>
          <w:color w:val="000000" w:themeColor="text1"/>
          <w:lang w:val="en-GB"/>
        </w:rPr>
        <w:t xml:space="preserve"> However, </w:t>
      </w:r>
      <w:r w:rsidR="00757448" w:rsidRPr="0007754D">
        <w:rPr>
          <w:color w:val="000000" w:themeColor="text1"/>
          <w:lang w:val="en-GB"/>
        </w:rPr>
        <w:t>a complaint needs to be brought on that basis and a decision, held, for this to be clarified.</w:t>
      </w:r>
    </w:p>
    <w:p w14:paraId="0E93F816" w14:textId="77777777" w:rsidR="00150094" w:rsidRPr="0007754D" w:rsidRDefault="00150094" w:rsidP="006908EB">
      <w:pPr>
        <w:spacing w:line="276" w:lineRule="auto"/>
        <w:jc w:val="both"/>
        <w:rPr>
          <w:color w:val="000000" w:themeColor="text1"/>
          <w:lang w:val="en-GB"/>
        </w:rPr>
      </w:pPr>
    </w:p>
    <w:p w14:paraId="1493656A" w14:textId="2B4731F0" w:rsidR="00E576F8" w:rsidRPr="0007754D" w:rsidRDefault="0026352F" w:rsidP="006908EB">
      <w:pPr>
        <w:spacing w:line="276" w:lineRule="auto"/>
        <w:jc w:val="both"/>
        <w:rPr>
          <w:color w:val="000000" w:themeColor="text1"/>
          <w:lang w:val="en-GB"/>
        </w:rPr>
      </w:pPr>
      <w:r w:rsidRPr="0007754D">
        <w:rPr>
          <w:color w:val="000000" w:themeColor="text1"/>
          <w:lang w:val="en-GB"/>
        </w:rPr>
        <w:t>T</w:t>
      </w:r>
      <w:r w:rsidR="008870A4" w:rsidRPr="0007754D">
        <w:rPr>
          <w:color w:val="000000" w:themeColor="text1"/>
          <w:lang w:val="en-GB"/>
        </w:rPr>
        <w:t>wo</w:t>
      </w:r>
      <w:r w:rsidR="0097019E" w:rsidRPr="0007754D">
        <w:rPr>
          <w:color w:val="000000" w:themeColor="text1"/>
          <w:lang w:val="en-GB"/>
        </w:rPr>
        <w:t xml:space="preserve"> years later, the </w:t>
      </w:r>
      <w:r w:rsidR="001F2D52" w:rsidRPr="0007754D">
        <w:rPr>
          <w:color w:val="000000" w:themeColor="text1"/>
          <w:lang w:val="en-GB"/>
        </w:rPr>
        <w:t xml:space="preserve">ECoSR </w:t>
      </w:r>
      <w:r w:rsidR="0097019E" w:rsidRPr="0007754D">
        <w:rPr>
          <w:color w:val="000000" w:themeColor="text1"/>
          <w:lang w:val="en-GB"/>
        </w:rPr>
        <w:t xml:space="preserve">took </w:t>
      </w:r>
      <w:r w:rsidR="008870A4" w:rsidRPr="0007754D">
        <w:rPr>
          <w:color w:val="000000" w:themeColor="text1"/>
          <w:lang w:val="en-GB"/>
        </w:rPr>
        <w:t xml:space="preserve">a </w:t>
      </w:r>
      <w:r w:rsidR="0097019E" w:rsidRPr="0007754D">
        <w:rPr>
          <w:color w:val="000000" w:themeColor="text1"/>
          <w:lang w:val="en-GB"/>
        </w:rPr>
        <w:t>similar standing in</w:t>
      </w:r>
      <w:r w:rsidR="0095060D" w:rsidRPr="0007754D">
        <w:rPr>
          <w:color w:val="000000" w:themeColor="text1"/>
          <w:lang w:val="en-GB"/>
        </w:rPr>
        <w:t xml:space="preserve"> the case </w:t>
      </w:r>
      <w:r w:rsidR="00EC6421" w:rsidRPr="0007754D">
        <w:rPr>
          <w:i/>
          <w:color w:val="000000" w:themeColor="text1"/>
          <w:lang w:val="en-GB"/>
        </w:rPr>
        <w:t>Confederazione Generale Italiana del Lavoro (CGIL) v. Italy</w:t>
      </w:r>
      <w:r w:rsidR="005037DA" w:rsidRPr="0007754D">
        <w:rPr>
          <w:i/>
          <w:color w:val="000000" w:themeColor="text1"/>
          <w:lang w:val="en-GB"/>
        </w:rPr>
        <w:t xml:space="preserve"> </w:t>
      </w:r>
      <w:r w:rsidR="005037DA" w:rsidRPr="0007754D">
        <w:rPr>
          <w:color w:val="000000" w:themeColor="text1"/>
          <w:lang w:val="en-GB"/>
        </w:rPr>
        <w:t>(2015)</w:t>
      </w:r>
      <w:r w:rsidR="008870A4" w:rsidRPr="0007754D">
        <w:rPr>
          <w:color w:val="000000" w:themeColor="text1"/>
          <w:lang w:val="en-GB"/>
        </w:rPr>
        <w:t>,</w:t>
      </w:r>
      <w:r w:rsidR="0097019E" w:rsidRPr="0007754D">
        <w:rPr>
          <w:color w:val="000000" w:themeColor="text1"/>
          <w:lang w:val="en-GB"/>
        </w:rPr>
        <w:t xml:space="preserve"> based on </w:t>
      </w:r>
      <w:r w:rsidR="008870A4" w:rsidRPr="0007754D">
        <w:rPr>
          <w:color w:val="000000" w:themeColor="text1"/>
          <w:lang w:val="en-GB"/>
        </w:rPr>
        <w:t xml:space="preserve">a </w:t>
      </w:r>
      <w:r w:rsidR="0097019E" w:rsidRPr="0007754D">
        <w:rPr>
          <w:color w:val="000000" w:themeColor="text1"/>
          <w:lang w:val="en-GB"/>
        </w:rPr>
        <w:t>complaint and facts</w:t>
      </w:r>
      <w:r w:rsidR="008870A4" w:rsidRPr="0007754D">
        <w:rPr>
          <w:color w:val="000000" w:themeColor="text1"/>
          <w:lang w:val="en-GB"/>
        </w:rPr>
        <w:t xml:space="preserve"> akin to the case </w:t>
      </w:r>
      <w:r w:rsidR="008870A4" w:rsidRPr="0007754D">
        <w:rPr>
          <w:i/>
          <w:color w:val="000000" w:themeColor="text1"/>
          <w:lang w:val="en-GB"/>
        </w:rPr>
        <w:t>IPPF v. Italy</w:t>
      </w:r>
      <w:r w:rsidR="0097019E" w:rsidRPr="0007754D">
        <w:rPr>
          <w:color w:val="000000" w:themeColor="text1"/>
          <w:lang w:val="en-GB"/>
        </w:rPr>
        <w:t>.</w:t>
      </w:r>
      <w:r w:rsidR="0095060D" w:rsidRPr="0007754D">
        <w:rPr>
          <w:rStyle w:val="FootnoteReference"/>
          <w:color w:val="000000" w:themeColor="text1"/>
        </w:rPr>
        <w:footnoteReference w:id="172"/>
      </w:r>
      <w:r w:rsidR="0095060D" w:rsidRPr="0007754D">
        <w:rPr>
          <w:color w:val="000000" w:themeColor="text1"/>
          <w:lang w:val="en-GB"/>
        </w:rPr>
        <w:t xml:space="preserve"> </w:t>
      </w:r>
      <w:r w:rsidR="00E576F8" w:rsidRPr="0007754D">
        <w:rPr>
          <w:color w:val="000000" w:themeColor="text1"/>
          <w:lang w:val="en-GB"/>
        </w:rPr>
        <w:t xml:space="preserve">In its </w:t>
      </w:r>
      <w:r w:rsidR="0097019E" w:rsidRPr="0007754D">
        <w:rPr>
          <w:color w:val="000000" w:themeColor="text1"/>
          <w:lang w:val="en-GB"/>
        </w:rPr>
        <w:t>Merits Decision</w:t>
      </w:r>
      <w:r w:rsidR="00E576F8" w:rsidRPr="0007754D">
        <w:rPr>
          <w:color w:val="000000" w:themeColor="text1"/>
          <w:lang w:val="en-GB"/>
        </w:rPr>
        <w:t xml:space="preserve">, the </w:t>
      </w:r>
      <w:r w:rsidR="001F2D52" w:rsidRPr="0007754D">
        <w:rPr>
          <w:color w:val="000000" w:themeColor="text1"/>
          <w:lang w:val="en-GB"/>
        </w:rPr>
        <w:t xml:space="preserve">Committee </w:t>
      </w:r>
      <w:r w:rsidR="0097019E" w:rsidRPr="0007754D">
        <w:rPr>
          <w:color w:val="000000" w:themeColor="text1"/>
          <w:lang w:val="en-GB"/>
        </w:rPr>
        <w:t xml:space="preserve">drew comparisons with </w:t>
      </w:r>
      <w:r w:rsidR="0097019E" w:rsidRPr="0007754D">
        <w:rPr>
          <w:i/>
          <w:color w:val="000000" w:themeColor="text1"/>
          <w:lang w:val="en-GB"/>
        </w:rPr>
        <w:t>IPPF v</w:t>
      </w:r>
      <w:r w:rsidR="003B53E0" w:rsidRPr="0007754D">
        <w:rPr>
          <w:i/>
          <w:color w:val="000000" w:themeColor="text1"/>
          <w:lang w:val="en-GB"/>
        </w:rPr>
        <w:t>.</w:t>
      </w:r>
      <w:r w:rsidR="0097019E" w:rsidRPr="0007754D">
        <w:rPr>
          <w:i/>
          <w:color w:val="000000" w:themeColor="text1"/>
          <w:lang w:val="en-GB"/>
        </w:rPr>
        <w:t xml:space="preserve"> Italy</w:t>
      </w:r>
      <w:r w:rsidR="00771BE4" w:rsidRPr="0007754D">
        <w:rPr>
          <w:color w:val="000000" w:themeColor="text1"/>
          <w:lang w:val="en-GB"/>
        </w:rPr>
        <w:t xml:space="preserve"> </w:t>
      </w:r>
      <w:r w:rsidR="00E576F8" w:rsidRPr="0007754D">
        <w:rPr>
          <w:color w:val="000000" w:themeColor="text1"/>
          <w:lang w:val="en-GB"/>
        </w:rPr>
        <w:t>in order to declare</w:t>
      </w:r>
      <w:r w:rsidR="00771BE4" w:rsidRPr="0007754D">
        <w:rPr>
          <w:color w:val="000000" w:themeColor="text1"/>
          <w:lang w:val="en-GB"/>
        </w:rPr>
        <w:t xml:space="preserve"> that the steps taken by Italy </w:t>
      </w:r>
      <w:r w:rsidR="00E576F8" w:rsidRPr="0007754D">
        <w:rPr>
          <w:color w:val="000000" w:themeColor="text1"/>
          <w:lang w:val="en-GB"/>
        </w:rPr>
        <w:t>had been</w:t>
      </w:r>
      <w:r w:rsidR="00771BE4" w:rsidRPr="0007754D">
        <w:rPr>
          <w:color w:val="000000" w:themeColor="text1"/>
          <w:lang w:val="en-GB"/>
        </w:rPr>
        <w:t xml:space="preserve"> insufficient</w:t>
      </w:r>
      <w:r w:rsidR="00E576F8" w:rsidRPr="0007754D">
        <w:rPr>
          <w:color w:val="000000" w:themeColor="text1"/>
          <w:lang w:val="en-GB"/>
        </w:rPr>
        <w:t xml:space="preserve"> and the situation, not remedied. However, the case of</w:t>
      </w:r>
      <w:r w:rsidR="00E576F8" w:rsidRPr="0007754D">
        <w:rPr>
          <w:i/>
          <w:color w:val="000000" w:themeColor="text1"/>
          <w:lang w:val="en-GB"/>
        </w:rPr>
        <w:t xml:space="preserve"> CGIL v. Italy</w:t>
      </w:r>
      <w:r w:rsidR="00E576F8" w:rsidRPr="0007754D">
        <w:rPr>
          <w:color w:val="000000" w:themeColor="text1"/>
          <w:lang w:val="en-GB"/>
        </w:rPr>
        <w:t xml:space="preserve"> did not clarify the </w:t>
      </w:r>
      <w:r w:rsidR="005306D9" w:rsidRPr="0007754D">
        <w:rPr>
          <w:color w:val="000000" w:themeColor="text1"/>
          <w:lang w:val="en-GB"/>
        </w:rPr>
        <w:t xml:space="preserve">Committee’s </w:t>
      </w:r>
      <w:r w:rsidR="00E576F8" w:rsidRPr="0007754D">
        <w:rPr>
          <w:color w:val="000000" w:themeColor="text1"/>
          <w:lang w:val="en-GB"/>
        </w:rPr>
        <w:t xml:space="preserve">approach </w:t>
      </w:r>
      <w:r w:rsidR="005306D9" w:rsidRPr="0007754D">
        <w:rPr>
          <w:color w:val="000000" w:themeColor="text1"/>
          <w:lang w:val="en-GB"/>
        </w:rPr>
        <w:t>to women’s access to abortion services as a human rights standard</w:t>
      </w:r>
      <w:r w:rsidR="00A54A57" w:rsidRPr="0007754D">
        <w:rPr>
          <w:color w:val="000000" w:themeColor="text1"/>
          <w:lang w:val="en-GB"/>
        </w:rPr>
        <w:t xml:space="preserve"> under Article 11 ESC</w:t>
      </w:r>
      <w:r w:rsidR="00E576F8" w:rsidRPr="0007754D">
        <w:rPr>
          <w:color w:val="000000" w:themeColor="text1"/>
          <w:lang w:val="en-GB"/>
        </w:rPr>
        <w:t>.</w:t>
      </w:r>
    </w:p>
    <w:p w14:paraId="68AA1414" w14:textId="77777777" w:rsidR="00EC6421" w:rsidRPr="0007754D" w:rsidRDefault="00EC6421" w:rsidP="006908EB">
      <w:pPr>
        <w:spacing w:line="276" w:lineRule="auto"/>
        <w:jc w:val="both"/>
        <w:rPr>
          <w:color w:val="000000" w:themeColor="text1"/>
          <w:lang w:val="en-GB"/>
        </w:rPr>
      </w:pPr>
    </w:p>
    <w:p w14:paraId="2C90B869" w14:textId="12ACD294" w:rsidR="00110F1A" w:rsidRPr="0007754D" w:rsidRDefault="00F46B63" w:rsidP="006908EB">
      <w:pPr>
        <w:spacing w:line="276" w:lineRule="auto"/>
        <w:jc w:val="both"/>
        <w:rPr>
          <w:color w:val="000000" w:themeColor="text1"/>
          <w:lang w:val="en-GB"/>
        </w:rPr>
      </w:pPr>
      <w:r w:rsidRPr="0007754D">
        <w:rPr>
          <w:color w:val="000000" w:themeColor="text1"/>
          <w:lang w:val="en-GB"/>
        </w:rPr>
        <w:t xml:space="preserve">In </w:t>
      </w:r>
      <w:r w:rsidR="00EC6421" w:rsidRPr="0007754D">
        <w:rPr>
          <w:i/>
          <w:color w:val="000000" w:themeColor="text1"/>
          <w:lang w:val="en-GB"/>
        </w:rPr>
        <w:t>Federation of Catholic Families in Europe (FAFCE) v. Sweden</w:t>
      </w:r>
      <w:r w:rsidR="005037DA" w:rsidRPr="0007754D">
        <w:rPr>
          <w:i/>
          <w:color w:val="000000" w:themeColor="text1"/>
          <w:lang w:val="en-GB"/>
        </w:rPr>
        <w:t xml:space="preserve"> </w:t>
      </w:r>
      <w:r w:rsidR="005037DA" w:rsidRPr="0007754D">
        <w:rPr>
          <w:color w:val="000000" w:themeColor="text1"/>
          <w:lang w:val="en-GB"/>
        </w:rPr>
        <w:t>(2015)</w:t>
      </w:r>
      <w:r w:rsidRPr="0007754D">
        <w:rPr>
          <w:color w:val="000000" w:themeColor="text1"/>
          <w:lang w:val="en-GB"/>
        </w:rPr>
        <w:t>,</w:t>
      </w:r>
      <w:r w:rsidRPr="0007754D">
        <w:rPr>
          <w:rStyle w:val="FootnoteReference"/>
          <w:color w:val="000000" w:themeColor="text1"/>
        </w:rPr>
        <w:footnoteReference w:id="173"/>
      </w:r>
      <w:r w:rsidRPr="0007754D">
        <w:rPr>
          <w:color w:val="000000" w:themeColor="text1"/>
          <w:lang w:val="en-GB"/>
        </w:rPr>
        <w:t xml:space="preserve"> the </w:t>
      </w:r>
      <w:r w:rsidR="00E576F8" w:rsidRPr="0007754D">
        <w:rPr>
          <w:color w:val="000000" w:themeColor="text1"/>
          <w:lang w:val="en-GB"/>
        </w:rPr>
        <w:t>ECoSR</w:t>
      </w:r>
      <w:r w:rsidRPr="0007754D">
        <w:rPr>
          <w:color w:val="000000" w:themeColor="text1"/>
          <w:lang w:val="en-GB"/>
        </w:rPr>
        <w:t xml:space="preserve"> received a complaint from an NGO alleging a breach of Article 11</w:t>
      </w:r>
      <w:r w:rsidR="00737804" w:rsidRPr="0007754D">
        <w:rPr>
          <w:color w:val="000000" w:themeColor="text1"/>
          <w:lang w:val="en-GB"/>
        </w:rPr>
        <w:t xml:space="preserve"> </w:t>
      </w:r>
      <w:r w:rsidR="009D68BC" w:rsidRPr="0007754D">
        <w:rPr>
          <w:color w:val="000000" w:themeColor="text1"/>
          <w:lang w:val="en-GB"/>
        </w:rPr>
        <w:t>ESC</w:t>
      </w:r>
      <w:r w:rsidRPr="0007754D">
        <w:rPr>
          <w:color w:val="000000" w:themeColor="text1"/>
          <w:lang w:val="en-GB"/>
        </w:rPr>
        <w:t xml:space="preserve"> by Sweden</w:t>
      </w:r>
      <w:r w:rsidR="005851BF" w:rsidRPr="0007754D">
        <w:rPr>
          <w:color w:val="000000" w:themeColor="text1"/>
          <w:lang w:val="en-GB"/>
        </w:rPr>
        <w:t>. That time, however,</w:t>
      </w:r>
      <w:r w:rsidRPr="0007754D">
        <w:rPr>
          <w:color w:val="000000" w:themeColor="text1"/>
          <w:lang w:val="en-GB"/>
        </w:rPr>
        <w:t xml:space="preserve"> </w:t>
      </w:r>
      <w:r w:rsidR="005851BF" w:rsidRPr="0007754D">
        <w:rPr>
          <w:color w:val="000000" w:themeColor="text1"/>
          <w:lang w:val="en-GB"/>
        </w:rPr>
        <w:t xml:space="preserve">the complaint </w:t>
      </w:r>
      <w:r w:rsidR="00596822" w:rsidRPr="0007754D">
        <w:rPr>
          <w:color w:val="000000" w:themeColor="text1"/>
          <w:lang w:val="en-GB"/>
        </w:rPr>
        <w:t>criticised</w:t>
      </w:r>
      <w:r w:rsidR="005851BF" w:rsidRPr="0007754D">
        <w:rPr>
          <w:color w:val="000000" w:themeColor="text1"/>
          <w:lang w:val="en-GB"/>
        </w:rPr>
        <w:t xml:space="preserve"> the state’s failure</w:t>
      </w:r>
      <w:r w:rsidRPr="0007754D">
        <w:rPr>
          <w:color w:val="000000" w:themeColor="text1"/>
          <w:lang w:val="en-GB"/>
        </w:rPr>
        <w:t xml:space="preserve"> to establish a</w:t>
      </w:r>
      <w:r w:rsidR="000A6E40" w:rsidRPr="0007754D">
        <w:rPr>
          <w:color w:val="000000" w:themeColor="text1"/>
          <w:lang w:val="en-GB"/>
        </w:rPr>
        <w:t xml:space="preserve"> clear</w:t>
      </w:r>
      <w:r w:rsidRPr="0007754D">
        <w:rPr>
          <w:color w:val="000000" w:themeColor="text1"/>
          <w:lang w:val="en-GB"/>
        </w:rPr>
        <w:t xml:space="preserve"> legal framework governing the practice of conscientious objection by healthcare providers</w:t>
      </w:r>
      <w:r w:rsidR="005851BF" w:rsidRPr="0007754D">
        <w:rPr>
          <w:color w:val="000000" w:themeColor="text1"/>
          <w:lang w:val="en-GB"/>
        </w:rPr>
        <w:t xml:space="preserve"> in the context of abortion procedures</w:t>
      </w:r>
      <w:r w:rsidRPr="0007754D">
        <w:rPr>
          <w:color w:val="000000" w:themeColor="text1"/>
          <w:lang w:val="en-GB"/>
        </w:rPr>
        <w:t xml:space="preserve">. The </w:t>
      </w:r>
      <w:r w:rsidR="005851BF" w:rsidRPr="0007754D">
        <w:rPr>
          <w:color w:val="000000" w:themeColor="text1"/>
          <w:lang w:val="en-GB"/>
        </w:rPr>
        <w:t xml:space="preserve">NGO </w:t>
      </w:r>
      <w:r w:rsidRPr="0007754D">
        <w:rPr>
          <w:color w:val="000000" w:themeColor="text1"/>
          <w:lang w:val="en-GB"/>
        </w:rPr>
        <w:t xml:space="preserve">FAFCE also alleged a breach of the right to heath on the basis that </w:t>
      </w:r>
      <w:r w:rsidR="000B5CC9" w:rsidRPr="0007754D">
        <w:rPr>
          <w:color w:val="000000" w:themeColor="text1"/>
          <w:lang w:val="en-GB"/>
        </w:rPr>
        <w:t xml:space="preserve">Sweden had failed to prevent </w:t>
      </w:r>
      <w:r w:rsidR="005851BF" w:rsidRPr="0007754D">
        <w:rPr>
          <w:color w:val="000000" w:themeColor="text1"/>
          <w:lang w:val="en-GB"/>
        </w:rPr>
        <w:t xml:space="preserve">sex selective abortions, eugenic abortions, </w:t>
      </w:r>
      <w:r w:rsidRPr="0007754D">
        <w:rPr>
          <w:color w:val="000000" w:themeColor="text1"/>
          <w:lang w:val="en-GB"/>
        </w:rPr>
        <w:t>abortion</w:t>
      </w:r>
      <w:r w:rsidR="000B5CC9" w:rsidRPr="0007754D">
        <w:rPr>
          <w:color w:val="000000" w:themeColor="text1"/>
          <w:lang w:val="en-GB"/>
        </w:rPr>
        <w:t>s</w:t>
      </w:r>
      <w:r w:rsidRPr="0007754D">
        <w:rPr>
          <w:color w:val="000000" w:themeColor="text1"/>
          <w:lang w:val="en-GB"/>
        </w:rPr>
        <w:t xml:space="preserve"> of viable foetuses, </w:t>
      </w:r>
      <w:r w:rsidR="005851BF" w:rsidRPr="0007754D">
        <w:rPr>
          <w:color w:val="000000" w:themeColor="text1"/>
          <w:lang w:val="en-GB"/>
        </w:rPr>
        <w:t>and</w:t>
      </w:r>
      <w:r w:rsidR="000B5CC9" w:rsidRPr="0007754D">
        <w:rPr>
          <w:color w:val="000000" w:themeColor="text1"/>
          <w:lang w:val="en-GB"/>
        </w:rPr>
        <w:t xml:space="preserve"> </w:t>
      </w:r>
      <w:r w:rsidR="000C5E75" w:rsidRPr="0007754D">
        <w:rPr>
          <w:color w:val="000000" w:themeColor="text1"/>
          <w:lang w:val="en-GB"/>
        </w:rPr>
        <w:t>abortions</w:t>
      </w:r>
      <w:r w:rsidR="000B5CC9" w:rsidRPr="0007754D">
        <w:rPr>
          <w:color w:val="000000" w:themeColor="text1"/>
          <w:lang w:val="en-GB"/>
        </w:rPr>
        <w:t xml:space="preserve"> </w:t>
      </w:r>
      <w:r w:rsidR="005851BF" w:rsidRPr="0007754D">
        <w:rPr>
          <w:color w:val="000000" w:themeColor="text1"/>
          <w:lang w:val="en-GB"/>
        </w:rPr>
        <w:t xml:space="preserve">among minors </w:t>
      </w:r>
      <w:r w:rsidR="000B5CC9" w:rsidRPr="0007754D">
        <w:rPr>
          <w:color w:val="000000" w:themeColor="text1"/>
          <w:lang w:val="en-GB"/>
        </w:rPr>
        <w:t>without parental consent</w:t>
      </w:r>
      <w:r w:rsidR="000C5E75" w:rsidRPr="0007754D">
        <w:rPr>
          <w:color w:val="000000" w:themeColor="text1"/>
          <w:lang w:val="en-GB"/>
        </w:rPr>
        <w:t>.</w:t>
      </w:r>
      <w:r w:rsidR="00C70A68" w:rsidRPr="0007754D">
        <w:rPr>
          <w:rStyle w:val="FootnoteReference"/>
          <w:color w:val="000000" w:themeColor="text1"/>
        </w:rPr>
        <w:footnoteReference w:id="174"/>
      </w:r>
      <w:r w:rsidR="00737804" w:rsidRPr="0007754D">
        <w:rPr>
          <w:color w:val="000000" w:themeColor="text1"/>
          <w:lang w:val="en-GB"/>
        </w:rPr>
        <w:t xml:space="preserve"> </w:t>
      </w:r>
      <w:r w:rsidR="005851BF" w:rsidRPr="0007754D">
        <w:rPr>
          <w:color w:val="000000" w:themeColor="text1"/>
          <w:lang w:val="en-GB"/>
        </w:rPr>
        <w:t xml:space="preserve">The </w:t>
      </w:r>
      <w:r w:rsidR="00E32B22" w:rsidRPr="0007754D">
        <w:rPr>
          <w:color w:val="000000" w:themeColor="text1"/>
          <w:lang w:val="en-GB"/>
        </w:rPr>
        <w:t>Committee</w:t>
      </w:r>
      <w:r w:rsidR="005851BF" w:rsidRPr="0007754D">
        <w:rPr>
          <w:color w:val="000000" w:themeColor="text1"/>
          <w:lang w:val="en-GB"/>
        </w:rPr>
        <w:t>, nevertheless,</w:t>
      </w:r>
      <w:r w:rsidR="00737804" w:rsidRPr="0007754D">
        <w:rPr>
          <w:color w:val="000000" w:themeColor="text1"/>
          <w:lang w:val="en-GB"/>
        </w:rPr>
        <w:t xml:space="preserve"> found no breach of Article 11.</w:t>
      </w:r>
      <w:r w:rsidR="0078720A" w:rsidRPr="0007754D">
        <w:rPr>
          <w:color w:val="000000" w:themeColor="text1"/>
          <w:lang w:val="en-GB"/>
        </w:rPr>
        <w:t xml:space="preserve"> </w:t>
      </w:r>
      <w:r w:rsidR="002A1F78" w:rsidRPr="0007754D">
        <w:rPr>
          <w:color w:val="000000" w:themeColor="text1"/>
          <w:lang w:val="en-GB"/>
        </w:rPr>
        <w:t>In its first rationale</w:t>
      </w:r>
      <w:r w:rsidR="000407A5" w:rsidRPr="0007754D">
        <w:rPr>
          <w:color w:val="000000" w:themeColor="text1"/>
          <w:lang w:val="en-GB"/>
        </w:rPr>
        <w:t xml:space="preserve">, </w:t>
      </w:r>
      <w:r w:rsidR="0078720A" w:rsidRPr="0007754D">
        <w:rPr>
          <w:color w:val="000000" w:themeColor="text1"/>
          <w:lang w:val="en-GB"/>
        </w:rPr>
        <w:t xml:space="preserve">the </w:t>
      </w:r>
      <w:r w:rsidR="00E32B22" w:rsidRPr="0007754D">
        <w:rPr>
          <w:color w:val="000000" w:themeColor="text1"/>
          <w:lang w:val="en-GB"/>
        </w:rPr>
        <w:t>ECoSR</w:t>
      </w:r>
      <w:r w:rsidR="001F2D52" w:rsidRPr="0007754D">
        <w:rPr>
          <w:color w:val="000000" w:themeColor="text1"/>
          <w:lang w:val="en-GB"/>
        </w:rPr>
        <w:t xml:space="preserve"> </w:t>
      </w:r>
      <w:r w:rsidR="002A1F78" w:rsidRPr="0007754D">
        <w:rPr>
          <w:color w:val="000000" w:themeColor="text1"/>
          <w:lang w:val="en-GB"/>
        </w:rPr>
        <w:t>rejected</w:t>
      </w:r>
      <w:r w:rsidR="00E97139" w:rsidRPr="0007754D">
        <w:rPr>
          <w:color w:val="000000" w:themeColor="text1"/>
          <w:lang w:val="en-GB"/>
        </w:rPr>
        <w:t xml:space="preserve"> the </w:t>
      </w:r>
      <w:r w:rsidR="00AC3D31" w:rsidRPr="0007754D">
        <w:rPr>
          <w:color w:val="000000" w:themeColor="text1"/>
          <w:lang w:val="en-GB"/>
        </w:rPr>
        <w:t>association</w:t>
      </w:r>
      <w:r w:rsidR="00E97139" w:rsidRPr="0007754D">
        <w:rPr>
          <w:color w:val="000000" w:themeColor="text1"/>
          <w:lang w:val="en-GB"/>
        </w:rPr>
        <w:t xml:space="preserve"> </w:t>
      </w:r>
      <w:r w:rsidR="00BD2B5D" w:rsidRPr="0007754D">
        <w:rPr>
          <w:color w:val="000000" w:themeColor="text1"/>
          <w:lang w:val="en-GB"/>
        </w:rPr>
        <w:t xml:space="preserve">between </w:t>
      </w:r>
      <w:r w:rsidR="00E97139" w:rsidRPr="0007754D">
        <w:rPr>
          <w:color w:val="000000" w:themeColor="text1"/>
          <w:lang w:val="en-GB"/>
        </w:rPr>
        <w:t xml:space="preserve">a right to conscientious objection for healthcare workers </w:t>
      </w:r>
      <w:r w:rsidR="00BD2B5D" w:rsidRPr="0007754D">
        <w:rPr>
          <w:color w:val="000000" w:themeColor="text1"/>
          <w:lang w:val="en-GB"/>
        </w:rPr>
        <w:t>and the right to health. It specifically</w:t>
      </w:r>
      <w:r w:rsidR="00AC3D31" w:rsidRPr="0007754D">
        <w:rPr>
          <w:color w:val="000000" w:themeColor="text1"/>
          <w:lang w:val="en-GB"/>
        </w:rPr>
        <w:t xml:space="preserve"> stat</w:t>
      </w:r>
      <w:r w:rsidR="00BD2B5D" w:rsidRPr="0007754D">
        <w:rPr>
          <w:color w:val="000000" w:themeColor="text1"/>
          <w:lang w:val="en-GB"/>
        </w:rPr>
        <w:t>ed</w:t>
      </w:r>
      <w:r w:rsidR="00E97139" w:rsidRPr="0007754D">
        <w:rPr>
          <w:color w:val="000000" w:themeColor="text1"/>
          <w:lang w:val="en-GB"/>
        </w:rPr>
        <w:t xml:space="preserve"> that ‘</w:t>
      </w:r>
      <w:r w:rsidR="00E97139" w:rsidRPr="0007754D">
        <w:rPr>
          <w:i/>
          <w:color w:val="000000" w:themeColor="text1"/>
          <w:lang w:val="en-GB"/>
        </w:rPr>
        <w:t>Article 11 of the Charter is primarily concerned with the guaranteeing access to adequate health care, and this means in cases of maternity that the primary beneficiaries are the pregnant women</w:t>
      </w:r>
      <w:r w:rsidR="00E97139" w:rsidRPr="0007754D">
        <w:rPr>
          <w:color w:val="000000" w:themeColor="text1"/>
          <w:lang w:val="en-GB"/>
        </w:rPr>
        <w:t>’.</w:t>
      </w:r>
      <w:r w:rsidR="00E97139" w:rsidRPr="0007754D">
        <w:rPr>
          <w:rStyle w:val="FootnoteReference"/>
          <w:color w:val="000000" w:themeColor="text1"/>
        </w:rPr>
        <w:footnoteReference w:id="175"/>
      </w:r>
      <w:r w:rsidR="000407A5" w:rsidRPr="0007754D">
        <w:rPr>
          <w:color w:val="000000" w:themeColor="text1"/>
          <w:lang w:val="en-GB"/>
        </w:rPr>
        <w:t xml:space="preserve"> </w:t>
      </w:r>
      <w:r w:rsidR="00075C9F" w:rsidRPr="0007754D">
        <w:rPr>
          <w:color w:val="000000" w:themeColor="text1"/>
          <w:lang w:val="en-GB"/>
        </w:rPr>
        <w:t xml:space="preserve">In this statement, the </w:t>
      </w:r>
      <w:r w:rsidR="00E32B22" w:rsidRPr="0007754D">
        <w:rPr>
          <w:color w:val="000000" w:themeColor="text1"/>
          <w:lang w:val="en-GB"/>
        </w:rPr>
        <w:t>Committee</w:t>
      </w:r>
      <w:r w:rsidR="00075C9F" w:rsidRPr="0007754D">
        <w:rPr>
          <w:color w:val="000000" w:themeColor="text1"/>
          <w:lang w:val="en-GB"/>
        </w:rPr>
        <w:t xml:space="preserve"> clearly protect</w:t>
      </w:r>
      <w:r w:rsidR="00FA07ED" w:rsidRPr="0007754D">
        <w:rPr>
          <w:color w:val="000000" w:themeColor="text1"/>
          <w:lang w:val="en-GB"/>
        </w:rPr>
        <w:t>ed</w:t>
      </w:r>
      <w:r w:rsidR="00075C9F" w:rsidRPr="0007754D">
        <w:rPr>
          <w:color w:val="000000" w:themeColor="text1"/>
          <w:lang w:val="en-GB"/>
        </w:rPr>
        <w:t xml:space="preserve"> women’s SRH </w:t>
      </w:r>
      <w:r w:rsidR="00E6127A" w:rsidRPr="0007754D">
        <w:rPr>
          <w:color w:val="000000" w:themeColor="text1"/>
          <w:lang w:val="en-GB"/>
        </w:rPr>
        <w:t>under Article 11 ESC</w:t>
      </w:r>
      <w:r w:rsidR="002A1F78" w:rsidRPr="0007754D">
        <w:rPr>
          <w:color w:val="000000" w:themeColor="text1"/>
          <w:lang w:val="en-GB"/>
        </w:rPr>
        <w:t xml:space="preserve"> </w:t>
      </w:r>
      <w:r w:rsidR="00075C9F" w:rsidRPr="0007754D">
        <w:rPr>
          <w:color w:val="000000" w:themeColor="text1"/>
          <w:lang w:val="en-GB"/>
        </w:rPr>
        <w:t xml:space="preserve">over </w:t>
      </w:r>
      <w:r w:rsidR="00D32880" w:rsidRPr="0007754D">
        <w:rPr>
          <w:color w:val="000000" w:themeColor="text1"/>
          <w:lang w:val="en-GB"/>
        </w:rPr>
        <w:t xml:space="preserve">the </w:t>
      </w:r>
      <w:r w:rsidR="00075C9F" w:rsidRPr="0007754D">
        <w:rPr>
          <w:color w:val="000000" w:themeColor="text1"/>
          <w:lang w:val="en-GB"/>
        </w:rPr>
        <w:t>r</w:t>
      </w:r>
      <w:r w:rsidR="0078720A" w:rsidRPr="0007754D">
        <w:rPr>
          <w:color w:val="000000" w:themeColor="text1"/>
          <w:lang w:val="en-GB"/>
        </w:rPr>
        <w:t>ight to conscientious objection</w:t>
      </w:r>
      <w:r w:rsidR="00D32880" w:rsidRPr="0007754D">
        <w:rPr>
          <w:color w:val="000000" w:themeColor="text1"/>
          <w:lang w:val="en-GB"/>
        </w:rPr>
        <w:t xml:space="preserve"> of health practitioners</w:t>
      </w:r>
      <w:r w:rsidR="00075C9F" w:rsidRPr="0007754D">
        <w:rPr>
          <w:color w:val="000000" w:themeColor="text1"/>
          <w:lang w:val="en-GB"/>
        </w:rPr>
        <w:t>.</w:t>
      </w:r>
      <w:r w:rsidR="007533DA" w:rsidRPr="0007754D">
        <w:rPr>
          <w:color w:val="000000" w:themeColor="text1"/>
          <w:lang w:val="en-GB"/>
        </w:rPr>
        <w:t xml:space="preserve"> </w:t>
      </w:r>
      <w:r w:rsidR="00BD2B5D" w:rsidRPr="0007754D">
        <w:rPr>
          <w:color w:val="000000" w:themeColor="text1"/>
          <w:lang w:val="en-GB"/>
        </w:rPr>
        <w:t xml:space="preserve">Furthermore, in its third rationale, the ECoSR declared that Sweden had not breached </w:t>
      </w:r>
      <w:r w:rsidR="00E32B22" w:rsidRPr="0007754D">
        <w:rPr>
          <w:color w:val="000000" w:themeColor="text1"/>
          <w:lang w:val="en-GB"/>
        </w:rPr>
        <w:t>the right to health</w:t>
      </w:r>
      <w:r w:rsidR="00BD2B5D" w:rsidRPr="0007754D">
        <w:rPr>
          <w:color w:val="000000" w:themeColor="text1"/>
          <w:lang w:val="en-GB"/>
        </w:rPr>
        <w:t xml:space="preserve"> due to the allegedly high number of abortion</w:t>
      </w:r>
      <w:r w:rsidR="003471B0" w:rsidRPr="0007754D">
        <w:rPr>
          <w:color w:val="000000" w:themeColor="text1"/>
          <w:lang w:val="en-GB"/>
        </w:rPr>
        <w:t>s</w:t>
      </w:r>
      <w:r w:rsidR="00BD2B5D" w:rsidRPr="0007754D">
        <w:rPr>
          <w:color w:val="000000" w:themeColor="text1"/>
          <w:lang w:val="en-GB"/>
        </w:rPr>
        <w:t xml:space="preserve"> </w:t>
      </w:r>
      <w:r w:rsidR="00930B27" w:rsidRPr="0007754D">
        <w:rPr>
          <w:color w:val="000000" w:themeColor="text1"/>
          <w:lang w:val="en-GB"/>
        </w:rPr>
        <w:t>sought by</w:t>
      </w:r>
      <w:r w:rsidR="00BD2B5D" w:rsidRPr="0007754D">
        <w:rPr>
          <w:color w:val="000000" w:themeColor="text1"/>
          <w:lang w:val="en-GB"/>
        </w:rPr>
        <w:t xml:space="preserve"> young people. It found no evidence proving that such a number was manifestly high, or that it resulted from an insufficient access to contraception and to SRH education.</w:t>
      </w:r>
      <w:r w:rsidR="00BD2B5D" w:rsidRPr="0007754D">
        <w:rPr>
          <w:rStyle w:val="FootnoteReference"/>
          <w:color w:val="000000" w:themeColor="text1"/>
        </w:rPr>
        <w:footnoteReference w:id="176"/>
      </w:r>
      <w:r w:rsidR="00BD2B5D" w:rsidRPr="0007754D">
        <w:rPr>
          <w:color w:val="000000" w:themeColor="text1"/>
          <w:lang w:val="en-GB"/>
        </w:rPr>
        <w:t xml:space="preserve"> However, it did mention that states’ failure to provide such services could legitimately jeopardise states’ compliance with Article 11. Such declarations </w:t>
      </w:r>
      <w:r w:rsidR="00CA5A83" w:rsidRPr="0007754D">
        <w:rPr>
          <w:color w:val="000000" w:themeColor="text1"/>
          <w:lang w:val="en-GB"/>
        </w:rPr>
        <w:t xml:space="preserve">thus, </w:t>
      </w:r>
      <w:r w:rsidR="00BD2B5D" w:rsidRPr="0007754D">
        <w:rPr>
          <w:color w:val="000000" w:themeColor="text1"/>
          <w:lang w:val="en-GB"/>
        </w:rPr>
        <w:t xml:space="preserve">promote elements </w:t>
      </w:r>
      <w:r w:rsidR="007A22E1" w:rsidRPr="0007754D">
        <w:rPr>
          <w:color w:val="000000" w:themeColor="text1"/>
          <w:lang w:val="en-GB"/>
        </w:rPr>
        <w:t xml:space="preserve">considered </w:t>
      </w:r>
      <w:r w:rsidR="00CA5A83" w:rsidRPr="0007754D">
        <w:rPr>
          <w:color w:val="000000" w:themeColor="text1"/>
          <w:lang w:val="en-GB"/>
        </w:rPr>
        <w:t xml:space="preserve">as </w:t>
      </w:r>
      <w:r w:rsidR="007A22E1" w:rsidRPr="0007754D">
        <w:rPr>
          <w:color w:val="000000" w:themeColor="text1"/>
          <w:lang w:val="en-GB"/>
        </w:rPr>
        <w:t xml:space="preserve">key </w:t>
      </w:r>
      <w:r w:rsidR="00BD2B5D" w:rsidRPr="0007754D">
        <w:rPr>
          <w:color w:val="000000" w:themeColor="text1"/>
          <w:lang w:val="en-GB"/>
        </w:rPr>
        <w:t>to the realisation of SRH</w:t>
      </w:r>
      <w:r w:rsidR="007A22E1" w:rsidRPr="0007754D">
        <w:rPr>
          <w:color w:val="000000" w:themeColor="text1"/>
          <w:lang w:val="en-GB"/>
        </w:rPr>
        <w:t xml:space="preserve"> by the WHO</w:t>
      </w:r>
      <w:r w:rsidR="005A68A2" w:rsidRPr="0007754D">
        <w:rPr>
          <w:color w:val="000000" w:themeColor="text1"/>
          <w:lang w:val="en-GB"/>
        </w:rPr>
        <w:t xml:space="preserve"> strategy</w:t>
      </w:r>
      <w:r w:rsidR="007A22E1" w:rsidRPr="0007754D">
        <w:rPr>
          <w:color w:val="000000" w:themeColor="text1"/>
          <w:lang w:val="en-GB"/>
        </w:rPr>
        <w:t xml:space="preserve"> and </w:t>
      </w:r>
      <w:r w:rsidR="005A68A2" w:rsidRPr="0007754D">
        <w:rPr>
          <w:color w:val="000000" w:themeColor="text1"/>
          <w:lang w:val="en-GB"/>
        </w:rPr>
        <w:t>UNCESCR GC</w:t>
      </w:r>
      <w:r w:rsidR="007A22E1" w:rsidRPr="0007754D">
        <w:rPr>
          <w:color w:val="000000" w:themeColor="text1"/>
          <w:lang w:val="en-GB"/>
        </w:rPr>
        <w:t>22</w:t>
      </w:r>
      <w:r w:rsidR="00BD2B5D" w:rsidRPr="0007754D">
        <w:rPr>
          <w:color w:val="000000" w:themeColor="text1"/>
          <w:lang w:val="en-GB"/>
        </w:rPr>
        <w:t xml:space="preserve">: </w:t>
      </w:r>
      <w:r w:rsidR="00AA58D0" w:rsidRPr="0007754D">
        <w:rPr>
          <w:color w:val="000000" w:themeColor="text1"/>
          <w:lang w:val="en-GB"/>
        </w:rPr>
        <w:t>family planning services, safe abortion services, and promotion of sexual health.</w:t>
      </w:r>
      <w:r w:rsidR="00AA58D0" w:rsidRPr="0007754D">
        <w:rPr>
          <w:rStyle w:val="FootnoteReference"/>
          <w:color w:val="000000" w:themeColor="text1"/>
        </w:rPr>
        <w:footnoteReference w:id="177"/>
      </w:r>
      <w:r w:rsidR="00AA58D0" w:rsidRPr="0007754D">
        <w:rPr>
          <w:color w:val="000000" w:themeColor="text1"/>
          <w:lang w:val="en-GB"/>
        </w:rPr>
        <w:t xml:space="preserve"> </w:t>
      </w:r>
      <w:r w:rsidR="00CA5A83" w:rsidRPr="0007754D">
        <w:rPr>
          <w:color w:val="000000" w:themeColor="text1"/>
          <w:lang w:val="en-GB"/>
        </w:rPr>
        <w:t>Nevertheless</w:t>
      </w:r>
      <w:r w:rsidR="00BD2B5D" w:rsidRPr="0007754D">
        <w:rPr>
          <w:color w:val="000000" w:themeColor="text1"/>
          <w:lang w:val="en-GB"/>
        </w:rPr>
        <w:t>,</w:t>
      </w:r>
      <w:r w:rsidR="00CA5A83" w:rsidRPr="0007754D">
        <w:rPr>
          <w:color w:val="000000" w:themeColor="text1"/>
          <w:lang w:val="en-GB"/>
        </w:rPr>
        <w:t xml:space="preserve"> some</w:t>
      </w:r>
      <w:r w:rsidR="00BD2B5D" w:rsidRPr="0007754D">
        <w:rPr>
          <w:color w:val="000000" w:themeColor="text1"/>
          <w:lang w:val="en-GB"/>
        </w:rPr>
        <w:t xml:space="preserve"> concern should be expressed regarding the Committee’s second rationale. </w:t>
      </w:r>
      <w:r w:rsidR="002A1F78" w:rsidRPr="0007754D">
        <w:rPr>
          <w:color w:val="000000" w:themeColor="text1"/>
          <w:lang w:val="en-GB"/>
        </w:rPr>
        <w:t>In its second rationale</w:t>
      </w:r>
      <w:r w:rsidR="000407A5" w:rsidRPr="0007754D">
        <w:rPr>
          <w:color w:val="000000" w:themeColor="text1"/>
          <w:lang w:val="en-GB"/>
        </w:rPr>
        <w:t>, t</w:t>
      </w:r>
      <w:r w:rsidR="00A21E9F" w:rsidRPr="0007754D">
        <w:rPr>
          <w:color w:val="000000" w:themeColor="text1"/>
          <w:lang w:val="en-GB"/>
        </w:rPr>
        <w:t xml:space="preserve">he </w:t>
      </w:r>
      <w:r w:rsidR="00BD2B5D" w:rsidRPr="0007754D">
        <w:rPr>
          <w:color w:val="000000" w:themeColor="text1"/>
          <w:lang w:val="en-GB"/>
        </w:rPr>
        <w:t>ECoSR</w:t>
      </w:r>
      <w:r w:rsidR="00BC761E" w:rsidRPr="0007754D">
        <w:rPr>
          <w:color w:val="000000" w:themeColor="text1"/>
          <w:lang w:val="en-GB"/>
        </w:rPr>
        <w:t xml:space="preserve"> </w:t>
      </w:r>
      <w:r w:rsidR="003947CD" w:rsidRPr="0007754D">
        <w:rPr>
          <w:color w:val="000000" w:themeColor="text1"/>
          <w:lang w:val="en-GB"/>
        </w:rPr>
        <w:t>refused to widen the scope of Article 11</w:t>
      </w:r>
      <w:r w:rsidR="00BD2B5D" w:rsidRPr="0007754D">
        <w:rPr>
          <w:color w:val="000000" w:themeColor="text1"/>
          <w:lang w:val="en-GB"/>
        </w:rPr>
        <w:t xml:space="preserve"> </w:t>
      </w:r>
      <w:r w:rsidR="003947CD" w:rsidRPr="0007754D">
        <w:rPr>
          <w:color w:val="000000" w:themeColor="text1"/>
          <w:lang w:val="en-GB"/>
        </w:rPr>
        <w:t>ESC to the unborn</w:t>
      </w:r>
      <w:r w:rsidR="00B31A7A" w:rsidRPr="0007754D">
        <w:rPr>
          <w:color w:val="000000" w:themeColor="text1"/>
          <w:lang w:val="en-GB"/>
        </w:rPr>
        <w:t>, in response to</w:t>
      </w:r>
      <w:r w:rsidR="003947CD" w:rsidRPr="0007754D">
        <w:rPr>
          <w:color w:val="000000" w:themeColor="text1"/>
          <w:lang w:val="en-GB"/>
        </w:rPr>
        <w:t xml:space="preserve"> claims that Sweden had failed to prevent sex-selective and eugenic abortions. </w:t>
      </w:r>
      <w:r w:rsidR="00435732" w:rsidRPr="0007754D">
        <w:rPr>
          <w:color w:val="000000" w:themeColor="text1"/>
          <w:lang w:val="en-GB"/>
        </w:rPr>
        <w:t>However, it did so by issuing a</w:t>
      </w:r>
      <w:r w:rsidR="00EB7200" w:rsidRPr="0007754D">
        <w:rPr>
          <w:color w:val="000000" w:themeColor="text1"/>
          <w:lang w:val="en-GB"/>
        </w:rPr>
        <w:t xml:space="preserve"> confusing </w:t>
      </w:r>
      <w:r w:rsidR="00435732" w:rsidRPr="0007754D">
        <w:rPr>
          <w:color w:val="000000" w:themeColor="text1"/>
          <w:lang w:val="en-GB"/>
        </w:rPr>
        <w:t>statement.</w:t>
      </w:r>
      <w:r w:rsidR="000407A5" w:rsidRPr="0007754D">
        <w:rPr>
          <w:color w:val="000000" w:themeColor="text1"/>
          <w:lang w:val="en-GB"/>
        </w:rPr>
        <w:t xml:space="preserve"> </w:t>
      </w:r>
      <w:r w:rsidR="00C45DC3" w:rsidRPr="0007754D">
        <w:rPr>
          <w:color w:val="000000" w:themeColor="text1"/>
          <w:lang w:val="en-GB"/>
        </w:rPr>
        <w:t>The ECoSR</w:t>
      </w:r>
      <w:r w:rsidR="003947CD" w:rsidRPr="0007754D">
        <w:rPr>
          <w:color w:val="000000" w:themeColor="text1"/>
          <w:lang w:val="en-GB"/>
        </w:rPr>
        <w:t xml:space="preserve"> </w:t>
      </w:r>
      <w:r w:rsidR="00B31A7A" w:rsidRPr="0007754D">
        <w:rPr>
          <w:color w:val="000000" w:themeColor="text1"/>
          <w:lang w:val="en-GB"/>
        </w:rPr>
        <w:t xml:space="preserve">declared </w:t>
      </w:r>
      <w:r w:rsidR="003947CD" w:rsidRPr="0007754D">
        <w:rPr>
          <w:color w:val="000000" w:themeColor="text1"/>
          <w:lang w:val="en-GB"/>
        </w:rPr>
        <w:t>that</w:t>
      </w:r>
      <w:r w:rsidR="00C45DC3" w:rsidRPr="0007754D">
        <w:rPr>
          <w:color w:val="000000" w:themeColor="text1"/>
          <w:lang w:val="en-GB"/>
        </w:rPr>
        <w:t xml:space="preserve"> states parties to the ESC benefited from a wide margin of appreciation in deciding when life began and that, as a result, they could freely determine the extent to which a foetus had a </w:t>
      </w:r>
      <w:r w:rsidR="00BD2B5D" w:rsidRPr="0007754D">
        <w:rPr>
          <w:color w:val="000000" w:themeColor="text1"/>
          <w:lang w:val="en-GB"/>
        </w:rPr>
        <w:t>‘</w:t>
      </w:r>
      <w:r w:rsidR="00C45DC3" w:rsidRPr="0007754D">
        <w:rPr>
          <w:color w:val="000000" w:themeColor="text1"/>
          <w:lang w:val="en-GB"/>
        </w:rPr>
        <w:t>right to health</w:t>
      </w:r>
      <w:r w:rsidR="00BD2B5D" w:rsidRPr="0007754D">
        <w:rPr>
          <w:color w:val="000000" w:themeColor="text1"/>
          <w:lang w:val="en-GB"/>
        </w:rPr>
        <w:t>’</w:t>
      </w:r>
      <w:r w:rsidR="00C45DC3" w:rsidRPr="0007754D">
        <w:rPr>
          <w:color w:val="000000" w:themeColor="text1"/>
          <w:lang w:val="en-GB"/>
        </w:rPr>
        <w:t>.</w:t>
      </w:r>
      <w:r w:rsidR="00C45DC3" w:rsidRPr="0007754D">
        <w:rPr>
          <w:rStyle w:val="FootnoteReference"/>
          <w:color w:val="000000" w:themeColor="text1"/>
        </w:rPr>
        <w:footnoteReference w:id="178"/>
      </w:r>
      <w:r w:rsidR="00C45DC3" w:rsidRPr="0007754D">
        <w:rPr>
          <w:color w:val="000000" w:themeColor="text1"/>
          <w:lang w:val="en-GB"/>
        </w:rPr>
        <w:t xml:space="preserve"> It thus, stated that </w:t>
      </w:r>
      <w:r w:rsidR="003947CD" w:rsidRPr="0007754D">
        <w:rPr>
          <w:color w:val="000000" w:themeColor="text1"/>
          <w:lang w:val="en-GB"/>
        </w:rPr>
        <w:t>Sweden had not exceeded its margin of appreciation since its legislation was st</w:t>
      </w:r>
      <w:r w:rsidR="00C45DC3" w:rsidRPr="0007754D">
        <w:rPr>
          <w:color w:val="000000" w:themeColor="text1"/>
          <w:lang w:val="en-GB"/>
        </w:rPr>
        <w:t>riking an ‘</w:t>
      </w:r>
      <w:r w:rsidR="00C45DC3" w:rsidRPr="0007754D">
        <w:rPr>
          <w:i/>
          <w:color w:val="000000" w:themeColor="text1"/>
          <w:lang w:val="en-GB"/>
        </w:rPr>
        <w:t xml:space="preserve">appropriate balance </w:t>
      </w:r>
      <w:r w:rsidR="003947CD" w:rsidRPr="0007754D">
        <w:rPr>
          <w:i/>
          <w:color w:val="000000" w:themeColor="text1"/>
          <w:lang w:val="en-GB"/>
        </w:rPr>
        <w:t xml:space="preserve">between </w:t>
      </w:r>
      <w:r w:rsidR="00C45DC3" w:rsidRPr="0007754D">
        <w:rPr>
          <w:i/>
          <w:color w:val="000000" w:themeColor="text1"/>
          <w:lang w:val="en-GB"/>
        </w:rPr>
        <w:t>the rights of the woman</w:t>
      </w:r>
      <w:r w:rsidR="003947CD" w:rsidRPr="0007754D">
        <w:rPr>
          <w:i/>
          <w:color w:val="000000" w:themeColor="text1"/>
          <w:lang w:val="en-GB"/>
        </w:rPr>
        <w:t xml:space="preserve"> </w:t>
      </w:r>
      <w:r w:rsidR="00C45DC3" w:rsidRPr="0007754D">
        <w:rPr>
          <w:i/>
          <w:color w:val="000000" w:themeColor="text1"/>
          <w:lang w:val="en-GB"/>
        </w:rPr>
        <w:t>and the right to health of the foetus</w:t>
      </w:r>
      <w:r w:rsidR="00C45DC3" w:rsidRPr="0007754D">
        <w:rPr>
          <w:color w:val="000000" w:themeColor="text1"/>
          <w:lang w:val="en-GB"/>
        </w:rPr>
        <w:t>’</w:t>
      </w:r>
      <w:r w:rsidR="003947CD" w:rsidRPr="0007754D">
        <w:rPr>
          <w:color w:val="000000" w:themeColor="text1"/>
          <w:lang w:val="en-GB"/>
        </w:rPr>
        <w:t>.</w:t>
      </w:r>
      <w:r w:rsidR="003947CD" w:rsidRPr="0007754D">
        <w:rPr>
          <w:rStyle w:val="FootnoteReference"/>
          <w:color w:val="000000" w:themeColor="text1"/>
        </w:rPr>
        <w:footnoteReference w:id="179"/>
      </w:r>
      <w:r w:rsidR="00C45DC3" w:rsidRPr="0007754D">
        <w:rPr>
          <w:color w:val="000000" w:themeColor="text1"/>
          <w:lang w:val="en-GB"/>
        </w:rPr>
        <w:t xml:space="preserve"> This declaration</w:t>
      </w:r>
      <w:r w:rsidR="00EB7200" w:rsidRPr="0007754D">
        <w:rPr>
          <w:color w:val="000000" w:themeColor="text1"/>
          <w:lang w:val="en-GB"/>
        </w:rPr>
        <w:t xml:space="preserve"> not only </w:t>
      </w:r>
      <w:r w:rsidR="00C45DC3" w:rsidRPr="0007754D">
        <w:rPr>
          <w:color w:val="000000" w:themeColor="text1"/>
          <w:lang w:val="en-GB"/>
        </w:rPr>
        <w:t xml:space="preserve">contradicts the Committee’s </w:t>
      </w:r>
      <w:r w:rsidR="00EB7200" w:rsidRPr="0007754D">
        <w:rPr>
          <w:color w:val="000000" w:themeColor="text1"/>
          <w:lang w:val="en-GB"/>
        </w:rPr>
        <w:t xml:space="preserve">own </w:t>
      </w:r>
      <w:r w:rsidR="00C45DC3" w:rsidRPr="0007754D">
        <w:rPr>
          <w:color w:val="000000" w:themeColor="text1"/>
          <w:lang w:val="en-GB"/>
        </w:rPr>
        <w:t>refusal to apply Article 11</w:t>
      </w:r>
      <w:r w:rsidR="00BD2B5D" w:rsidRPr="0007754D">
        <w:rPr>
          <w:color w:val="000000" w:themeColor="text1"/>
          <w:lang w:val="en-GB"/>
        </w:rPr>
        <w:t xml:space="preserve"> ESC</w:t>
      </w:r>
      <w:r w:rsidR="00EB7200" w:rsidRPr="0007754D">
        <w:rPr>
          <w:color w:val="000000" w:themeColor="text1"/>
          <w:lang w:val="en-GB"/>
        </w:rPr>
        <w:t xml:space="preserve"> </w:t>
      </w:r>
      <w:r w:rsidR="00C45DC3" w:rsidRPr="0007754D">
        <w:rPr>
          <w:color w:val="000000" w:themeColor="text1"/>
          <w:lang w:val="en-GB"/>
        </w:rPr>
        <w:t>to the unborn</w:t>
      </w:r>
      <w:r w:rsidR="00EB7200" w:rsidRPr="0007754D">
        <w:rPr>
          <w:color w:val="000000" w:themeColor="text1"/>
          <w:lang w:val="en-GB"/>
        </w:rPr>
        <w:t>, it also contradicts the jurisprudence of the ECtHR, wh</w:t>
      </w:r>
      <w:r w:rsidR="00D23F1E" w:rsidRPr="0007754D">
        <w:rPr>
          <w:color w:val="000000" w:themeColor="text1"/>
          <w:lang w:val="en-GB"/>
        </w:rPr>
        <w:t>ich</w:t>
      </w:r>
      <w:r w:rsidR="00EB7200" w:rsidRPr="0007754D">
        <w:rPr>
          <w:color w:val="000000" w:themeColor="text1"/>
          <w:lang w:val="en-GB"/>
        </w:rPr>
        <w:t xml:space="preserve"> refuses to apply human rights to the unborn</w:t>
      </w:r>
      <w:r w:rsidR="00C45DC3" w:rsidRPr="0007754D">
        <w:rPr>
          <w:color w:val="000000" w:themeColor="text1"/>
          <w:lang w:val="en-GB"/>
        </w:rPr>
        <w:t>.</w:t>
      </w:r>
      <w:r w:rsidR="00EB7200" w:rsidRPr="0007754D">
        <w:rPr>
          <w:rStyle w:val="FootnoteReference"/>
          <w:color w:val="000000" w:themeColor="text1"/>
        </w:rPr>
        <w:footnoteReference w:id="180"/>
      </w:r>
      <w:r w:rsidR="00C45DC3" w:rsidRPr="0007754D">
        <w:rPr>
          <w:color w:val="000000" w:themeColor="text1"/>
          <w:lang w:val="en-GB"/>
        </w:rPr>
        <w:t xml:space="preserve"> </w:t>
      </w:r>
      <w:r w:rsidR="00EB7200" w:rsidRPr="0007754D">
        <w:rPr>
          <w:color w:val="000000" w:themeColor="text1"/>
          <w:lang w:val="en-GB"/>
        </w:rPr>
        <w:t>More importantly, this declaration jeopardises the protection of women’s SRH in human rights law</w:t>
      </w:r>
      <w:r w:rsidR="00C45DC3" w:rsidRPr="0007754D">
        <w:rPr>
          <w:color w:val="000000" w:themeColor="text1"/>
          <w:lang w:val="en-GB"/>
        </w:rPr>
        <w:t>.</w:t>
      </w:r>
    </w:p>
    <w:p w14:paraId="46ADA0D6" w14:textId="77777777" w:rsidR="00DB7AC6" w:rsidRPr="0007754D" w:rsidRDefault="00DB7AC6" w:rsidP="006908EB">
      <w:pPr>
        <w:spacing w:line="276" w:lineRule="auto"/>
        <w:jc w:val="both"/>
        <w:rPr>
          <w:color w:val="000000" w:themeColor="text1"/>
          <w:lang w:val="en-GB"/>
        </w:rPr>
      </w:pPr>
    </w:p>
    <w:p w14:paraId="1F2923B0" w14:textId="0B1729BF" w:rsidR="00110F1A" w:rsidRPr="0007754D" w:rsidRDefault="00110F1A" w:rsidP="006908EB">
      <w:pPr>
        <w:spacing w:line="276" w:lineRule="auto"/>
        <w:jc w:val="both"/>
        <w:rPr>
          <w:color w:val="000000" w:themeColor="text1"/>
          <w:lang w:val="en-GB"/>
        </w:rPr>
        <w:sectPr w:rsidR="00110F1A" w:rsidRPr="0007754D" w:rsidSect="00EE2993">
          <w:pgSz w:w="11900" w:h="16840"/>
          <w:pgMar w:top="1440" w:right="1800" w:bottom="1440" w:left="1800" w:header="708" w:footer="708" w:gutter="0"/>
          <w:cols w:space="708"/>
          <w:docGrid w:linePitch="360"/>
        </w:sectPr>
      </w:pPr>
      <w:r w:rsidRPr="0007754D">
        <w:rPr>
          <w:color w:val="000000" w:themeColor="text1"/>
          <w:lang w:val="en-GB"/>
        </w:rPr>
        <w:t>It is difficult to draw a</w:t>
      </w:r>
      <w:r w:rsidR="00D23F1E" w:rsidRPr="0007754D">
        <w:rPr>
          <w:color w:val="000000" w:themeColor="text1"/>
          <w:lang w:val="en-GB"/>
        </w:rPr>
        <w:t xml:space="preserve"> clear</w:t>
      </w:r>
      <w:r w:rsidRPr="0007754D">
        <w:rPr>
          <w:color w:val="000000" w:themeColor="text1"/>
          <w:lang w:val="en-GB"/>
        </w:rPr>
        <w:t xml:space="preserve"> conclusion on how the ECoSR protects SRH in its complaints procedure since </w:t>
      </w:r>
      <w:r w:rsidR="00E01229" w:rsidRPr="0007754D">
        <w:rPr>
          <w:color w:val="000000" w:themeColor="text1"/>
          <w:lang w:val="en-GB"/>
        </w:rPr>
        <w:t xml:space="preserve">it has reviewed very </w:t>
      </w:r>
      <w:r w:rsidR="00DB7AC6" w:rsidRPr="0007754D">
        <w:rPr>
          <w:color w:val="000000" w:themeColor="text1"/>
          <w:lang w:val="en-GB"/>
        </w:rPr>
        <w:t>few cases relevant to that topic</w:t>
      </w:r>
      <w:r w:rsidRPr="0007754D">
        <w:rPr>
          <w:color w:val="000000" w:themeColor="text1"/>
          <w:lang w:val="en-GB"/>
        </w:rPr>
        <w:t xml:space="preserve"> until now</w:t>
      </w:r>
      <w:r w:rsidR="00E01229" w:rsidRPr="0007754D">
        <w:rPr>
          <w:color w:val="000000" w:themeColor="text1"/>
          <w:lang w:val="en-GB"/>
        </w:rPr>
        <w:t>. S</w:t>
      </w:r>
      <w:r w:rsidRPr="0007754D">
        <w:rPr>
          <w:color w:val="000000" w:themeColor="text1"/>
          <w:lang w:val="en-GB"/>
        </w:rPr>
        <w:t>o far</w:t>
      </w:r>
      <w:r w:rsidR="00E01229" w:rsidRPr="0007754D">
        <w:rPr>
          <w:color w:val="000000" w:themeColor="text1"/>
          <w:lang w:val="en-GB"/>
        </w:rPr>
        <w:t>,</w:t>
      </w:r>
      <w:r w:rsidRPr="0007754D">
        <w:rPr>
          <w:color w:val="000000" w:themeColor="text1"/>
          <w:lang w:val="en-GB"/>
        </w:rPr>
        <w:t xml:space="preserve"> the </w:t>
      </w:r>
      <w:r w:rsidR="00E01229" w:rsidRPr="0007754D">
        <w:rPr>
          <w:color w:val="000000" w:themeColor="text1"/>
          <w:lang w:val="en-GB"/>
        </w:rPr>
        <w:t>Committee</w:t>
      </w:r>
      <w:r w:rsidRPr="0007754D">
        <w:rPr>
          <w:color w:val="000000" w:themeColor="text1"/>
          <w:lang w:val="en-GB"/>
        </w:rPr>
        <w:t xml:space="preserve"> </w:t>
      </w:r>
      <w:r w:rsidR="00DB7AC6" w:rsidRPr="0007754D">
        <w:rPr>
          <w:color w:val="000000" w:themeColor="text1"/>
          <w:lang w:val="en-GB"/>
        </w:rPr>
        <w:t xml:space="preserve">has clearly required that sex education taught in schools be comprehensive and objective; and it </w:t>
      </w:r>
      <w:r w:rsidRPr="0007754D">
        <w:rPr>
          <w:color w:val="000000" w:themeColor="text1"/>
          <w:lang w:val="en-GB"/>
        </w:rPr>
        <w:t>has consistently protected women’s access to abortion services over potential rights of co</w:t>
      </w:r>
      <w:r w:rsidR="00E01229" w:rsidRPr="0007754D">
        <w:rPr>
          <w:color w:val="000000" w:themeColor="text1"/>
          <w:lang w:val="en-GB"/>
        </w:rPr>
        <w:t>nscientious objectors</w:t>
      </w:r>
      <w:r w:rsidRPr="0007754D">
        <w:rPr>
          <w:color w:val="000000" w:themeColor="text1"/>
          <w:lang w:val="en-GB"/>
        </w:rPr>
        <w:t>.</w:t>
      </w:r>
      <w:r w:rsidR="00E01229" w:rsidRPr="0007754D">
        <w:rPr>
          <w:color w:val="000000" w:themeColor="text1"/>
          <w:lang w:val="en-GB"/>
        </w:rPr>
        <w:t xml:space="preserve"> It would</w:t>
      </w:r>
      <w:r w:rsidR="00DB7AC6" w:rsidRPr="0007754D">
        <w:rPr>
          <w:color w:val="000000" w:themeColor="text1"/>
          <w:lang w:val="en-GB"/>
        </w:rPr>
        <w:t>,</w:t>
      </w:r>
      <w:r w:rsidR="00E01229" w:rsidRPr="0007754D">
        <w:rPr>
          <w:color w:val="000000" w:themeColor="text1"/>
          <w:lang w:val="en-GB"/>
        </w:rPr>
        <w:t xml:space="preserve"> nonetheless, be interesting to know how the ECoSR </w:t>
      </w:r>
      <w:r w:rsidR="00DB7AC6" w:rsidRPr="0007754D">
        <w:rPr>
          <w:color w:val="000000" w:themeColor="text1"/>
          <w:lang w:val="en-GB"/>
        </w:rPr>
        <w:t>would</w:t>
      </w:r>
      <w:r w:rsidR="00E01229" w:rsidRPr="0007754D">
        <w:rPr>
          <w:color w:val="000000" w:themeColor="text1"/>
          <w:lang w:val="en-GB"/>
        </w:rPr>
        <w:t xml:space="preserve"> approach complaints iss</w:t>
      </w:r>
      <w:r w:rsidR="00DB7AC6" w:rsidRPr="0007754D">
        <w:rPr>
          <w:color w:val="000000" w:themeColor="text1"/>
          <w:lang w:val="en-GB"/>
        </w:rPr>
        <w:t>ued from countries in which abortion</w:t>
      </w:r>
      <w:r w:rsidR="00E01229" w:rsidRPr="0007754D">
        <w:rPr>
          <w:color w:val="000000" w:themeColor="text1"/>
          <w:lang w:val="en-GB"/>
        </w:rPr>
        <w:t xml:space="preserve"> services are not legally available, and how it </w:t>
      </w:r>
      <w:r w:rsidR="00DB7AC6" w:rsidRPr="0007754D">
        <w:rPr>
          <w:color w:val="000000" w:themeColor="text1"/>
          <w:lang w:val="en-GB"/>
        </w:rPr>
        <w:t>would</w:t>
      </w:r>
      <w:r w:rsidR="00E01229" w:rsidRPr="0007754D">
        <w:rPr>
          <w:color w:val="000000" w:themeColor="text1"/>
          <w:lang w:val="en-GB"/>
        </w:rPr>
        <w:t xml:space="preserve"> approach other</w:t>
      </w:r>
      <w:r w:rsidR="00182EA9" w:rsidRPr="0007754D">
        <w:rPr>
          <w:color w:val="000000" w:themeColor="text1"/>
          <w:lang w:val="en-GB"/>
        </w:rPr>
        <w:t xml:space="preserve"> key components to SRH in the future.</w:t>
      </w:r>
    </w:p>
    <w:p w14:paraId="2DF9E595" w14:textId="4D7D7504" w:rsidR="00BA2D37" w:rsidRPr="0007754D" w:rsidRDefault="00292D30" w:rsidP="00292D30">
      <w:pPr>
        <w:pStyle w:val="Heading1"/>
        <w:spacing w:line="276" w:lineRule="auto"/>
        <w:jc w:val="both"/>
        <w:rPr>
          <w:rFonts w:asciiTheme="minorHAnsi" w:hAnsiTheme="minorHAnsi"/>
          <w:color w:val="000000" w:themeColor="text1"/>
          <w:lang w:val="en-GB"/>
        </w:rPr>
      </w:pPr>
      <w:r w:rsidRPr="0007754D">
        <w:rPr>
          <w:rFonts w:asciiTheme="minorHAnsi" w:hAnsiTheme="minorHAnsi"/>
          <w:color w:val="000000" w:themeColor="text1"/>
          <w:lang w:val="en-GB"/>
        </w:rPr>
        <w:t>Conclusion</w:t>
      </w:r>
      <w:r w:rsidR="00BA2D37" w:rsidRPr="0007754D">
        <w:rPr>
          <w:rFonts w:asciiTheme="minorHAnsi" w:hAnsiTheme="minorHAnsi"/>
          <w:color w:val="000000" w:themeColor="text1"/>
          <w:lang w:val="en-GB"/>
        </w:rPr>
        <w:t xml:space="preserve"> </w:t>
      </w:r>
    </w:p>
    <w:p w14:paraId="66E961BD" w14:textId="77777777" w:rsidR="00BA2D37" w:rsidRPr="0007754D" w:rsidRDefault="00BA2D37" w:rsidP="00BA2D37">
      <w:pPr>
        <w:spacing w:line="276" w:lineRule="auto"/>
        <w:jc w:val="both"/>
        <w:rPr>
          <w:color w:val="000000" w:themeColor="text1"/>
          <w:lang w:val="en-GB"/>
        </w:rPr>
      </w:pPr>
    </w:p>
    <w:p w14:paraId="0E5CDF59" w14:textId="3B83FDC4" w:rsidR="00CB1E88" w:rsidRPr="0007754D" w:rsidRDefault="005C6427" w:rsidP="007A06A7">
      <w:pPr>
        <w:spacing w:line="276" w:lineRule="auto"/>
        <w:jc w:val="both"/>
        <w:rPr>
          <w:color w:val="000000" w:themeColor="text1"/>
          <w:lang w:val="en-GB"/>
        </w:rPr>
      </w:pPr>
      <w:r w:rsidRPr="0007754D">
        <w:rPr>
          <w:color w:val="000000" w:themeColor="text1"/>
          <w:lang w:val="en-GB"/>
        </w:rPr>
        <w:t>This article explored whether human rights bodies of the C</w:t>
      </w:r>
      <w:r w:rsidR="009D46FD" w:rsidRPr="0007754D">
        <w:rPr>
          <w:color w:val="000000" w:themeColor="text1"/>
          <w:lang w:val="en-GB"/>
        </w:rPr>
        <w:t xml:space="preserve">ouncil </w:t>
      </w:r>
      <w:r w:rsidRPr="0007754D">
        <w:rPr>
          <w:color w:val="000000" w:themeColor="text1"/>
          <w:lang w:val="en-GB"/>
        </w:rPr>
        <w:t>o</w:t>
      </w:r>
      <w:r w:rsidR="009D46FD" w:rsidRPr="0007754D">
        <w:rPr>
          <w:color w:val="000000" w:themeColor="text1"/>
          <w:lang w:val="en-GB"/>
        </w:rPr>
        <w:t>f Europe</w:t>
      </w:r>
      <w:r w:rsidRPr="0007754D">
        <w:rPr>
          <w:color w:val="000000" w:themeColor="text1"/>
          <w:lang w:val="en-GB"/>
        </w:rPr>
        <w:t xml:space="preserve"> could protect individuals’ SRH adequately through their monitoring procedures, </w:t>
      </w:r>
      <w:r w:rsidR="00C87081" w:rsidRPr="0007754D">
        <w:rPr>
          <w:color w:val="000000" w:themeColor="text1"/>
          <w:lang w:val="en-GB"/>
        </w:rPr>
        <w:t>to contextualise</w:t>
      </w:r>
      <w:r w:rsidRPr="0007754D">
        <w:rPr>
          <w:color w:val="000000" w:themeColor="text1"/>
          <w:lang w:val="en-GB"/>
        </w:rPr>
        <w:t xml:space="preserve"> the </w:t>
      </w:r>
      <w:r w:rsidR="00C87081" w:rsidRPr="0007754D">
        <w:rPr>
          <w:color w:val="000000" w:themeColor="text1"/>
          <w:lang w:val="en-GB"/>
        </w:rPr>
        <w:t xml:space="preserve">recent </w:t>
      </w:r>
      <w:r w:rsidRPr="0007754D">
        <w:rPr>
          <w:color w:val="000000" w:themeColor="text1"/>
          <w:lang w:val="en-GB"/>
        </w:rPr>
        <w:t>recognition of a right to SRH.</w:t>
      </w:r>
      <w:r w:rsidR="00CB1E88" w:rsidRPr="0007754D">
        <w:rPr>
          <w:color w:val="000000" w:themeColor="text1"/>
          <w:lang w:val="en-GB"/>
        </w:rPr>
        <w:t xml:space="preserve"> </w:t>
      </w:r>
    </w:p>
    <w:p w14:paraId="694CF8DA" w14:textId="77777777" w:rsidR="00CB1E88" w:rsidRPr="0007754D" w:rsidRDefault="00CB1E88" w:rsidP="007A06A7">
      <w:pPr>
        <w:spacing w:line="276" w:lineRule="auto"/>
        <w:jc w:val="both"/>
        <w:rPr>
          <w:color w:val="000000" w:themeColor="text1"/>
          <w:lang w:val="en-GB"/>
        </w:rPr>
      </w:pPr>
    </w:p>
    <w:p w14:paraId="02F7C5A1" w14:textId="0F27582F" w:rsidR="00CB1E88" w:rsidRPr="0007754D" w:rsidRDefault="001F2F17" w:rsidP="007A06A7">
      <w:pPr>
        <w:spacing w:line="276" w:lineRule="auto"/>
        <w:jc w:val="both"/>
        <w:rPr>
          <w:color w:val="000000" w:themeColor="text1"/>
          <w:lang w:val="en-GB"/>
        </w:rPr>
      </w:pPr>
      <w:r w:rsidRPr="0007754D">
        <w:rPr>
          <w:color w:val="000000" w:themeColor="text1"/>
          <w:lang w:val="en-GB"/>
        </w:rPr>
        <w:t>Part 1</w:t>
      </w:r>
      <w:r w:rsidR="00AA454E" w:rsidRPr="0007754D">
        <w:rPr>
          <w:color w:val="000000" w:themeColor="text1"/>
          <w:lang w:val="en-GB"/>
        </w:rPr>
        <w:t xml:space="preserve"> focused</w:t>
      </w:r>
      <w:r w:rsidR="007A06A7" w:rsidRPr="0007754D">
        <w:rPr>
          <w:color w:val="000000" w:themeColor="text1"/>
          <w:lang w:val="en-GB"/>
        </w:rPr>
        <w:t xml:space="preserve"> on the adjudication of SRH matters before the ECtHR</w:t>
      </w:r>
      <w:r w:rsidR="002610B4" w:rsidRPr="0007754D">
        <w:rPr>
          <w:color w:val="000000" w:themeColor="text1"/>
          <w:lang w:val="en-GB"/>
        </w:rPr>
        <w:t>. It</w:t>
      </w:r>
      <w:r w:rsidR="00AA454E" w:rsidRPr="0007754D">
        <w:rPr>
          <w:color w:val="000000" w:themeColor="text1"/>
          <w:lang w:val="en-GB"/>
        </w:rPr>
        <w:t xml:space="preserve"> highlighted</w:t>
      </w:r>
      <w:r w:rsidR="007A06A7" w:rsidRPr="0007754D">
        <w:rPr>
          <w:color w:val="000000" w:themeColor="text1"/>
          <w:lang w:val="en-GB"/>
        </w:rPr>
        <w:t xml:space="preserve"> </w:t>
      </w:r>
      <w:r w:rsidR="00CB1E88" w:rsidRPr="0007754D">
        <w:rPr>
          <w:color w:val="000000" w:themeColor="text1"/>
          <w:lang w:val="en-GB"/>
        </w:rPr>
        <w:t>that most of the Court’s recent case-law under Articles 3 and 8 ECHR on SRH as defined in this article, involved</w:t>
      </w:r>
      <w:r w:rsidR="008D45F9" w:rsidRPr="0007754D">
        <w:rPr>
          <w:color w:val="000000" w:themeColor="text1"/>
          <w:lang w:val="en-GB"/>
        </w:rPr>
        <w:t xml:space="preserve"> (cis)</w:t>
      </w:r>
      <w:r w:rsidR="00CB1E88" w:rsidRPr="0007754D">
        <w:rPr>
          <w:color w:val="000000" w:themeColor="text1"/>
          <w:lang w:val="en-GB"/>
        </w:rPr>
        <w:t xml:space="preserve"> women. It also emphasised that the Court had been given the opportunity to give a protective reading of vulnerability under Article 3, and</w:t>
      </w:r>
      <w:r w:rsidR="008D45F9" w:rsidRPr="0007754D">
        <w:rPr>
          <w:color w:val="000000" w:themeColor="text1"/>
          <w:lang w:val="en-GB"/>
        </w:rPr>
        <w:t xml:space="preserve"> of</w:t>
      </w:r>
      <w:r w:rsidR="00CB1E88" w:rsidRPr="0007754D">
        <w:rPr>
          <w:color w:val="000000" w:themeColor="text1"/>
          <w:lang w:val="en-GB"/>
        </w:rPr>
        <w:t xml:space="preserve"> autonomy under Article 8. However, its protection of individuals’ SRH is uneven under both provisions, depending on whether or not a foetus is at stake</w:t>
      </w:r>
      <w:r w:rsidR="00A54BB5" w:rsidRPr="0007754D">
        <w:rPr>
          <w:color w:val="000000" w:themeColor="text1"/>
          <w:lang w:val="en-GB"/>
        </w:rPr>
        <w:t xml:space="preserve"> (strong SRH protection regarding forced sterilisations, obstetric and gynaecological malpractice; but weak protection regarding abortions and homebirths)</w:t>
      </w:r>
      <w:r w:rsidR="00CB1E88" w:rsidRPr="0007754D">
        <w:rPr>
          <w:color w:val="000000" w:themeColor="text1"/>
          <w:lang w:val="en-GB"/>
        </w:rPr>
        <w:t xml:space="preserve">. </w:t>
      </w:r>
      <w:r w:rsidR="0090575C" w:rsidRPr="0007754D">
        <w:rPr>
          <w:color w:val="000000" w:themeColor="text1"/>
          <w:lang w:val="en-GB"/>
        </w:rPr>
        <w:t>To conclude, such</w:t>
      </w:r>
      <w:r w:rsidR="00CB1E88" w:rsidRPr="0007754D">
        <w:rPr>
          <w:color w:val="000000" w:themeColor="text1"/>
          <w:lang w:val="en-GB"/>
        </w:rPr>
        <w:t xml:space="preserve"> a </w:t>
      </w:r>
      <w:r w:rsidR="00A54BB5" w:rsidRPr="0007754D">
        <w:rPr>
          <w:color w:val="000000" w:themeColor="text1"/>
          <w:lang w:val="en-GB"/>
        </w:rPr>
        <w:t>conservative and political</w:t>
      </w:r>
      <w:r w:rsidR="00CB1E88" w:rsidRPr="0007754D">
        <w:rPr>
          <w:color w:val="000000" w:themeColor="text1"/>
          <w:lang w:val="en-GB"/>
        </w:rPr>
        <w:t xml:space="preserve"> position perpetuates SRH discrimination against women and thus, fails to comply with recommendations formulated by key human rights and global health bodies. </w:t>
      </w:r>
    </w:p>
    <w:p w14:paraId="7C25B69C" w14:textId="77777777" w:rsidR="007C3D1D" w:rsidRPr="0007754D" w:rsidRDefault="007C3D1D" w:rsidP="00943FF2">
      <w:pPr>
        <w:spacing w:line="276" w:lineRule="auto"/>
        <w:jc w:val="both"/>
        <w:rPr>
          <w:color w:val="000000" w:themeColor="text1"/>
          <w:lang w:val="en-GB"/>
        </w:rPr>
      </w:pPr>
    </w:p>
    <w:p w14:paraId="692149F9" w14:textId="1435D5CF" w:rsidR="00A54BB5" w:rsidRPr="0007754D" w:rsidRDefault="00CB1E88" w:rsidP="00943FF2">
      <w:pPr>
        <w:spacing w:line="276" w:lineRule="auto"/>
        <w:jc w:val="both"/>
        <w:rPr>
          <w:color w:val="000000" w:themeColor="text1"/>
          <w:lang w:val="en-GB"/>
        </w:rPr>
      </w:pPr>
      <w:r w:rsidRPr="0007754D">
        <w:rPr>
          <w:color w:val="000000" w:themeColor="text1"/>
          <w:lang w:val="en-GB"/>
        </w:rPr>
        <w:t xml:space="preserve">Part 2 focused on </w:t>
      </w:r>
      <w:r w:rsidR="00A54BB5" w:rsidRPr="0007754D">
        <w:rPr>
          <w:color w:val="000000" w:themeColor="text1"/>
          <w:lang w:val="en-GB"/>
        </w:rPr>
        <w:t xml:space="preserve">the adjudication of SRH matters before the ECoSR. It </w:t>
      </w:r>
      <w:r w:rsidR="00D402ED" w:rsidRPr="0007754D">
        <w:rPr>
          <w:color w:val="000000" w:themeColor="text1"/>
          <w:lang w:val="en-GB"/>
        </w:rPr>
        <w:t>stresse</w:t>
      </w:r>
      <w:r w:rsidR="00A54BB5" w:rsidRPr="0007754D">
        <w:rPr>
          <w:color w:val="000000" w:themeColor="text1"/>
          <w:lang w:val="en-GB"/>
        </w:rPr>
        <w:t>d</w:t>
      </w:r>
      <w:r w:rsidR="00D402ED" w:rsidRPr="0007754D">
        <w:rPr>
          <w:color w:val="000000" w:themeColor="text1"/>
          <w:lang w:val="en-GB"/>
        </w:rPr>
        <w:t xml:space="preserve"> that the Committee interpret</w:t>
      </w:r>
      <w:r w:rsidR="0090575C" w:rsidRPr="0007754D">
        <w:rPr>
          <w:color w:val="000000" w:themeColor="text1"/>
          <w:lang w:val="en-GB"/>
        </w:rPr>
        <w:t>s</w:t>
      </w:r>
      <w:r w:rsidR="009266B0" w:rsidRPr="0007754D">
        <w:rPr>
          <w:color w:val="000000" w:themeColor="text1"/>
          <w:lang w:val="en-GB"/>
        </w:rPr>
        <w:t xml:space="preserve"> </w:t>
      </w:r>
      <w:r w:rsidR="00A54BB5" w:rsidRPr="0007754D">
        <w:rPr>
          <w:color w:val="000000" w:themeColor="text1"/>
          <w:lang w:val="en-GB"/>
        </w:rPr>
        <w:t xml:space="preserve">Article 11 ESC on </w:t>
      </w:r>
      <w:r w:rsidR="009266B0" w:rsidRPr="0007754D">
        <w:rPr>
          <w:color w:val="000000" w:themeColor="text1"/>
          <w:lang w:val="en-GB"/>
        </w:rPr>
        <w:t xml:space="preserve">the right to health as requiring that states provide access to </w:t>
      </w:r>
      <w:r w:rsidR="00A54BB5" w:rsidRPr="0007754D">
        <w:rPr>
          <w:color w:val="000000" w:themeColor="text1"/>
          <w:lang w:val="en-GB"/>
        </w:rPr>
        <w:t xml:space="preserve">a </w:t>
      </w:r>
      <w:r w:rsidR="0090575C" w:rsidRPr="0007754D">
        <w:rPr>
          <w:color w:val="000000" w:themeColor="text1"/>
          <w:lang w:val="en-GB"/>
        </w:rPr>
        <w:t>wide</w:t>
      </w:r>
      <w:r w:rsidR="00A54BB5" w:rsidRPr="0007754D">
        <w:rPr>
          <w:color w:val="000000" w:themeColor="text1"/>
          <w:lang w:val="en-GB"/>
        </w:rPr>
        <w:t xml:space="preserve"> number of</w:t>
      </w:r>
      <w:r w:rsidR="009266B0" w:rsidRPr="0007754D">
        <w:rPr>
          <w:color w:val="000000" w:themeColor="text1"/>
          <w:lang w:val="en-GB"/>
        </w:rPr>
        <w:t xml:space="preserve"> SRH services. Th</w:t>
      </w:r>
      <w:r w:rsidR="005E1193" w:rsidRPr="0007754D">
        <w:rPr>
          <w:color w:val="000000" w:themeColor="text1"/>
          <w:lang w:val="en-GB"/>
        </w:rPr>
        <w:t xml:space="preserve">ese include: </w:t>
      </w:r>
      <w:r w:rsidR="007C3D1D" w:rsidRPr="0007754D">
        <w:rPr>
          <w:color w:val="000000" w:themeColor="text1"/>
          <w:lang w:val="en-GB"/>
        </w:rPr>
        <w:t xml:space="preserve">access to </w:t>
      </w:r>
      <w:r w:rsidR="005E1193" w:rsidRPr="0007754D">
        <w:rPr>
          <w:color w:val="000000" w:themeColor="text1"/>
          <w:lang w:val="en-GB"/>
        </w:rPr>
        <w:t>maternal health services</w:t>
      </w:r>
      <w:r w:rsidR="009266B0" w:rsidRPr="0007754D">
        <w:rPr>
          <w:color w:val="000000" w:themeColor="text1"/>
          <w:lang w:val="en-GB"/>
        </w:rPr>
        <w:t xml:space="preserve">, sex education, </w:t>
      </w:r>
      <w:r w:rsidR="007C3D1D" w:rsidRPr="0007754D">
        <w:rPr>
          <w:color w:val="000000" w:themeColor="text1"/>
          <w:lang w:val="en-GB"/>
        </w:rPr>
        <w:t>prevention and treatment of</w:t>
      </w:r>
      <w:r w:rsidR="009266B0" w:rsidRPr="0007754D">
        <w:rPr>
          <w:color w:val="000000" w:themeColor="text1"/>
          <w:lang w:val="en-GB"/>
        </w:rPr>
        <w:t xml:space="preserve"> diseases affecting the reproductive system</w:t>
      </w:r>
      <w:r w:rsidR="00C0037D" w:rsidRPr="0007754D">
        <w:rPr>
          <w:color w:val="000000" w:themeColor="text1"/>
          <w:lang w:val="en-GB"/>
        </w:rPr>
        <w:t xml:space="preserve"> </w:t>
      </w:r>
      <w:r w:rsidR="009266B0" w:rsidRPr="0007754D">
        <w:rPr>
          <w:color w:val="000000" w:themeColor="text1"/>
          <w:lang w:val="en-GB"/>
        </w:rPr>
        <w:t>(t</w:t>
      </w:r>
      <w:r w:rsidR="007C3D1D" w:rsidRPr="0007754D">
        <w:rPr>
          <w:color w:val="000000" w:themeColor="text1"/>
          <w:lang w:val="en-GB"/>
        </w:rPr>
        <w:t xml:space="preserve">hrough its reporting procedure); as well as </w:t>
      </w:r>
      <w:r w:rsidR="009266B0" w:rsidRPr="0007754D">
        <w:rPr>
          <w:color w:val="000000" w:themeColor="text1"/>
          <w:lang w:val="en-GB"/>
        </w:rPr>
        <w:t xml:space="preserve">access to abortion services when </w:t>
      </w:r>
      <w:r w:rsidR="00A54BB5" w:rsidRPr="0007754D">
        <w:rPr>
          <w:color w:val="000000" w:themeColor="text1"/>
          <w:lang w:val="en-GB"/>
        </w:rPr>
        <w:t>lawfully available</w:t>
      </w:r>
      <w:r w:rsidR="009266B0" w:rsidRPr="0007754D">
        <w:rPr>
          <w:color w:val="000000" w:themeColor="text1"/>
          <w:lang w:val="en-GB"/>
        </w:rPr>
        <w:t xml:space="preserve"> (thr</w:t>
      </w:r>
      <w:r w:rsidR="0090575C" w:rsidRPr="0007754D">
        <w:rPr>
          <w:color w:val="000000" w:themeColor="text1"/>
          <w:lang w:val="en-GB"/>
        </w:rPr>
        <w:t xml:space="preserve">ough its complaints procedure). Such protection echoes well recommendations formulated by key human rights and global health bodies. To conclude, the Committee protects individuals’ SRH more consistently and comprehensively than the ECtHR, thanks to its reporting procedure and the use of indicators. However, it has not yet taken a clear stand on a more contentious but key aspect of </w:t>
      </w:r>
      <w:r w:rsidR="00F03762" w:rsidRPr="0007754D">
        <w:rPr>
          <w:color w:val="000000" w:themeColor="text1"/>
          <w:lang w:val="en-GB"/>
        </w:rPr>
        <w:t>SRH: women’s access to abortion; and its findings do not have the same legal force than the Court’s.</w:t>
      </w:r>
    </w:p>
    <w:p w14:paraId="3A8CB300" w14:textId="314C065C" w:rsidR="000A3E8D" w:rsidRPr="0007754D" w:rsidRDefault="000A3E8D" w:rsidP="00D402ED">
      <w:pPr>
        <w:spacing w:line="276" w:lineRule="auto"/>
        <w:jc w:val="both"/>
        <w:rPr>
          <w:color w:val="000000" w:themeColor="text1"/>
          <w:lang w:val="en-GB"/>
        </w:rPr>
      </w:pPr>
    </w:p>
    <w:p w14:paraId="52ED9FBE" w14:textId="0BA73643" w:rsidR="0016225B" w:rsidRPr="0007754D" w:rsidRDefault="000A3E8D" w:rsidP="00FB45BF">
      <w:pPr>
        <w:spacing w:line="276" w:lineRule="auto"/>
        <w:jc w:val="both"/>
        <w:rPr>
          <w:color w:val="000000" w:themeColor="text1"/>
          <w:lang w:val="en-GB"/>
        </w:rPr>
      </w:pPr>
      <w:r w:rsidRPr="0007754D">
        <w:rPr>
          <w:color w:val="000000" w:themeColor="text1"/>
          <w:lang w:val="en-GB"/>
        </w:rPr>
        <w:t xml:space="preserve">It is, therefore, </w:t>
      </w:r>
      <w:r w:rsidR="007C3D1D" w:rsidRPr="0007754D">
        <w:rPr>
          <w:color w:val="000000" w:themeColor="text1"/>
          <w:lang w:val="en-GB"/>
        </w:rPr>
        <w:t>apparent</w:t>
      </w:r>
      <w:r w:rsidRPr="0007754D">
        <w:rPr>
          <w:color w:val="000000" w:themeColor="text1"/>
          <w:lang w:val="en-GB"/>
        </w:rPr>
        <w:t xml:space="preserve"> that both </w:t>
      </w:r>
      <w:r w:rsidR="00871FA4" w:rsidRPr="0007754D">
        <w:rPr>
          <w:color w:val="000000" w:themeColor="text1"/>
          <w:lang w:val="en-GB"/>
        </w:rPr>
        <w:t>human rights bodies</w:t>
      </w:r>
      <w:r w:rsidRPr="0007754D">
        <w:rPr>
          <w:color w:val="000000" w:themeColor="text1"/>
          <w:lang w:val="en-GB"/>
        </w:rPr>
        <w:t xml:space="preserve"> protect </w:t>
      </w:r>
      <w:r w:rsidR="00871FA4" w:rsidRPr="0007754D">
        <w:rPr>
          <w:color w:val="000000" w:themeColor="text1"/>
          <w:lang w:val="en-GB"/>
        </w:rPr>
        <w:t>relatively well</w:t>
      </w:r>
      <w:r w:rsidR="0090575C" w:rsidRPr="0007754D">
        <w:rPr>
          <w:color w:val="000000" w:themeColor="text1"/>
          <w:lang w:val="en-GB"/>
        </w:rPr>
        <w:t xml:space="preserve"> SRH in their recent case-law,</w:t>
      </w:r>
      <w:r w:rsidR="0016225B" w:rsidRPr="0007754D">
        <w:rPr>
          <w:color w:val="000000" w:themeColor="text1"/>
          <w:lang w:val="en-GB"/>
        </w:rPr>
        <w:t xml:space="preserve"> which represents a positive step towards the recognition in practice of a right to SRH in the Council of Europe. Nevertheless, they both fail to protect women’s access to abortion, thus reflecting a lack of ambition from the Council of Europe as to what SRH entails in human rights law. This clearly compromises the </w:t>
      </w:r>
      <w:r w:rsidR="004F1450" w:rsidRPr="0007754D">
        <w:rPr>
          <w:color w:val="000000" w:themeColor="text1"/>
          <w:lang w:val="en-GB"/>
        </w:rPr>
        <w:t xml:space="preserve">full </w:t>
      </w:r>
      <w:r w:rsidR="0016225B" w:rsidRPr="0007754D">
        <w:rPr>
          <w:color w:val="000000" w:themeColor="text1"/>
          <w:lang w:val="en-GB"/>
        </w:rPr>
        <w:t xml:space="preserve">recognition in practice of a right to SRH in European human rights law, in the light of recommendations enshrined in </w:t>
      </w:r>
      <w:r w:rsidR="005A68A2" w:rsidRPr="0007754D">
        <w:rPr>
          <w:color w:val="000000" w:themeColor="text1"/>
          <w:lang w:val="en-GB"/>
        </w:rPr>
        <w:t xml:space="preserve">UNCESCR </w:t>
      </w:r>
      <w:r w:rsidR="007C3D1D" w:rsidRPr="0007754D">
        <w:rPr>
          <w:color w:val="000000" w:themeColor="text1"/>
          <w:lang w:val="en-GB"/>
        </w:rPr>
        <w:t xml:space="preserve">GC22 </w:t>
      </w:r>
      <w:r w:rsidR="008403C3" w:rsidRPr="0007754D">
        <w:rPr>
          <w:color w:val="000000" w:themeColor="text1"/>
          <w:lang w:val="en-GB"/>
        </w:rPr>
        <w:t>and</w:t>
      </w:r>
      <w:r w:rsidR="007C3D1D" w:rsidRPr="0007754D">
        <w:rPr>
          <w:color w:val="000000" w:themeColor="text1"/>
          <w:lang w:val="en-GB"/>
        </w:rPr>
        <w:t xml:space="preserve"> the WHO</w:t>
      </w:r>
      <w:r w:rsidR="005A68A2" w:rsidRPr="0007754D">
        <w:rPr>
          <w:color w:val="000000" w:themeColor="text1"/>
          <w:lang w:val="en-GB"/>
        </w:rPr>
        <w:t xml:space="preserve"> s</w:t>
      </w:r>
      <w:r w:rsidR="0016225B" w:rsidRPr="0007754D">
        <w:rPr>
          <w:color w:val="000000" w:themeColor="text1"/>
          <w:lang w:val="en-GB"/>
        </w:rPr>
        <w:t xml:space="preserve">trategy. The ECtHR’s judges and the ECoSR’s members must align their understanding of SRH to </w:t>
      </w:r>
      <w:r w:rsidR="004F1450" w:rsidRPr="0007754D">
        <w:rPr>
          <w:color w:val="000000" w:themeColor="text1"/>
          <w:lang w:val="en-GB"/>
        </w:rPr>
        <w:t>well-recognised UN standards. This would enable them to protect everyone’s rights to access key SRH services and information facilitating their ability to make free choices over their SRH (especially those vulnerable to violence, coercion and discrimination).</w:t>
      </w:r>
    </w:p>
    <w:p w14:paraId="501D5A27" w14:textId="613A0209" w:rsidR="00B31D89" w:rsidRPr="0007754D" w:rsidRDefault="00B31D89" w:rsidP="00FB45BF">
      <w:pPr>
        <w:spacing w:line="276" w:lineRule="auto"/>
        <w:jc w:val="both"/>
        <w:rPr>
          <w:color w:val="000000" w:themeColor="text1"/>
          <w:lang w:val="en-GB"/>
        </w:rPr>
      </w:pPr>
    </w:p>
    <w:sectPr w:rsidR="00B31D89" w:rsidRPr="0007754D" w:rsidSect="00EE299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CF704" w14:textId="77777777" w:rsidR="00D51FE1" w:rsidRDefault="00D51FE1" w:rsidP="003308F0">
      <w:r>
        <w:separator/>
      </w:r>
    </w:p>
  </w:endnote>
  <w:endnote w:type="continuationSeparator" w:id="0">
    <w:p w14:paraId="022DD79A" w14:textId="77777777" w:rsidR="00D51FE1" w:rsidRDefault="00D51FE1" w:rsidP="0033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B4AFC" w14:textId="77777777" w:rsidR="009156EA" w:rsidRDefault="009156EA" w:rsidP="009D4D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0508B1" w14:textId="77777777" w:rsidR="009156EA" w:rsidRDefault="009156E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1AC03" w14:textId="5859DC8B" w:rsidR="009156EA" w:rsidRDefault="009156EA" w:rsidP="009D4D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1FE1">
      <w:rPr>
        <w:rStyle w:val="PageNumber"/>
        <w:noProof/>
      </w:rPr>
      <w:t>1</w:t>
    </w:r>
    <w:r>
      <w:rPr>
        <w:rStyle w:val="PageNumber"/>
      </w:rPr>
      <w:fldChar w:fldCharType="end"/>
    </w:r>
  </w:p>
  <w:p w14:paraId="52627CFC" w14:textId="77777777" w:rsidR="009156EA" w:rsidRDefault="009156E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EB62D" w14:textId="77777777" w:rsidR="00D51FE1" w:rsidRDefault="00D51FE1" w:rsidP="003308F0">
      <w:r>
        <w:separator/>
      </w:r>
    </w:p>
  </w:footnote>
  <w:footnote w:type="continuationSeparator" w:id="0">
    <w:p w14:paraId="70EFEC2C" w14:textId="77777777" w:rsidR="00D51FE1" w:rsidRDefault="00D51FE1" w:rsidP="003308F0">
      <w:r>
        <w:continuationSeparator/>
      </w:r>
    </w:p>
  </w:footnote>
  <w:footnote w:id="1">
    <w:p w14:paraId="334A3060" w14:textId="18BAB85E" w:rsidR="009156EA" w:rsidRPr="00B969C6" w:rsidRDefault="009156EA" w:rsidP="00B969C6">
      <w:pPr>
        <w:pStyle w:val="FootnoteText"/>
        <w:spacing w:before="120" w:after="120"/>
        <w:jc w:val="both"/>
        <w:rPr>
          <w:rFonts w:cs="Times New Roman"/>
          <w:sz w:val="22"/>
          <w:szCs w:val="22"/>
        </w:rPr>
      </w:pPr>
      <w:r w:rsidRPr="00B969C6">
        <w:rPr>
          <w:rStyle w:val="FootnoteReference"/>
          <w:sz w:val="22"/>
          <w:szCs w:val="22"/>
        </w:rPr>
        <w:footnoteRef/>
      </w:r>
      <w:r w:rsidRPr="00B969C6">
        <w:rPr>
          <w:sz w:val="22"/>
          <w:szCs w:val="22"/>
          <w:lang w:val="en-GB"/>
        </w:rPr>
        <w:t xml:space="preserve"> </w:t>
      </w:r>
      <w:r w:rsidRPr="00B969C6">
        <w:rPr>
          <w:rFonts w:cs="Times New Roman"/>
          <w:sz w:val="22"/>
          <w:szCs w:val="22"/>
        </w:rPr>
        <w:t>UNCESCR, ‘General Comment No. 22: Right to Sexual and Reproductive Health (Art. 12)’ (2016) UN Doc. E/C.12/GC/22.</w:t>
      </w:r>
      <w:r w:rsidRPr="00B969C6">
        <w:rPr>
          <w:sz w:val="22"/>
          <w:szCs w:val="22"/>
          <w:lang w:val="en-GB"/>
        </w:rPr>
        <w:t xml:space="preserve"> See also premises of this recognition in: </w:t>
      </w:r>
      <w:r w:rsidRPr="00B969C6">
        <w:rPr>
          <w:rFonts w:cs="Times New Roman"/>
          <w:sz w:val="22"/>
          <w:szCs w:val="22"/>
        </w:rPr>
        <w:t>UNCESCR, ‘General Comment No. 14: The Right to the Highest Attainable Standard of Health (Art. 12)’ (2000) UN Doc. E/C.12/2000/4, paras 8, 11, 14, 16, 21, 23, 34, 36.</w:t>
      </w:r>
    </w:p>
  </w:footnote>
  <w:footnote w:id="2">
    <w:p w14:paraId="3AADB2AF" w14:textId="12828772"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In the African Union, the African Commission on Human and Peoples’ Rights clearly connected women’s right to health to SRH (see </w:t>
      </w:r>
      <w:r w:rsidRPr="00B969C6">
        <w:rPr>
          <w:rFonts w:cs="Times New Roman"/>
          <w:sz w:val="22"/>
          <w:szCs w:val="22"/>
        </w:rPr>
        <w:t>African Commission on Human and Peoples’ Rights, ‘General Comment No. 2 on Article 14.1 (a), (b), (c) and (f) and Article 14. 2 (a) and (c) of the Protocol to the African Charter on Human and Peoples’ Rights on the Rights of Women in Africa’ (2014), Preface).</w:t>
      </w:r>
      <w:r w:rsidRPr="00B969C6">
        <w:rPr>
          <w:sz w:val="22"/>
          <w:szCs w:val="22"/>
          <w:lang w:val="en-GB"/>
        </w:rPr>
        <w:t xml:space="preserve"> In the American Organization of American States, the Inter-American Commission on Human Rights explicitly referred to a ‘</w:t>
      </w:r>
      <w:r w:rsidRPr="00B969C6">
        <w:rPr>
          <w:i/>
          <w:sz w:val="22"/>
          <w:szCs w:val="22"/>
          <w:lang w:val="en-GB"/>
        </w:rPr>
        <w:t>right to health and reproductive health</w:t>
      </w:r>
      <w:r w:rsidRPr="00B969C6">
        <w:rPr>
          <w:sz w:val="22"/>
          <w:szCs w:val="22"/>
          <w:lang w:val="en-GB"/>
        </w:rPr>
        <w:t xml:space="preserve">’ (see </w:t>
      </w:r>
      <w:r w:rsidRPr="00B969C6">
        <w:rPr>
          <w:rFonts w:cs="Times New Roman"/>
          <w:sz w:val="22"/>
          <w:szCs w:val="22"/>
        </w:rPr>
        <w:t>Inter-American Commission on Human Rights, ‘Report on the Status of Women in the Americas’ (1998) OEA/Ser.L/V/II.100 Doc. 17, Chapter III, Section C, Item 3).</w:t>
      </w:r>
      <w:r w:rsidRPr="00B969C6">
        <w:rPr>
          <w:sz w:val="22"/>
          <w:szCs w:val="22"/>
          <w:lang w:val="en-GB"/>
        </w:rPr>
        <w:t xml:space="preserve"> It also discussed interactions between the right to health and SRH (</w:t>
      </w:r>
      <w:r w:rsidRPr="00B969C6">
        <w:rPr>
          <w:rFonts w:cs="Times New Roman"/>
          <w:sz w:val="22"/>
          <w:szCs w:val="22"/>
        </w:rPr>
        <w:t>Inter-American Commission on Human Rights, ‘Report on Access to Information on Reproductive Health from a Human Rights Perspective’ (2011) OEA/Ser.L/V/II. Doc. 61, paras 5, 33–35, 60).</w:t>
      </w:r>
      <w:r w:rsidRPr="00B969C6">
        <w:rPr>
          <w:sz w:val="22"/>
          <w:szCs w:val="22"/>
          <w:lang w:val="en-GB"/>
        </w:rPr>
        <w:t xml:space="preserve"> As for the Council of Europe, its Parliamentary Assembly recognised an autonomous right to SRH, resulting from interactions between SRH and the right to health (see </w:t>
      </w:r>
      <w:r w:rsidRPr="00B969C6">
        <w:rPr>
          <w:rFonts w:cs="Times New Roman"/>
          <w:sz w:val="22"/>
          <w:szCs w:val="22"/>
        </w:rPr>
        <w:t>CoE Parliamentary Assembly, ‘Resolution 1399, European Strategy for the Promotion of Sexual and Reproductive Health and Rights’ (2004), paras 1 and 2).</w:t>
      </w:r>
      <w:r w:rsidRPr="00B969C6">
        <w:rPr>
          <w:sz w:val="22"/>
          <w:szCs w:val="22"/>
          <w:lang w:val="en-GB"/>
        </w:rPr>
        <w:t xml:space="preserve"> Its Commissioner for Human Rights also emphasised the importance of SRH in human rights law, including that of the right to SRH (see </w:t>
      </w:r>
      <w:r w:rsidRPr="00B969C6">
        <w:rPr>
          <w:rFonts w:cs="Times New Roman"/>
          <w:sz w:val="22"/>
          <w:szCs w:val="22"/>
        </w:rPr>
        <w:t>CoE Commissioner for Human Rights, ‘Human Rights Comment: Protect Women’s Sexual and Reproductive Health and Rights’ (2016) &lt;https://www.coe.int/en/web/commissioner/-/protect-women-s-sexual-and-reproductive-health-and-rights?desktop=true&gt; accessed 26 June 2018</w:t>
      </w:r>
      <w:r w:rsidRPr="00B969C6">
        <w:rPr>
          <w:sz w:val="22"/>
          <w:szCs w:val="22"/>
          <w:lang w:val="en-GB"/>
        </w:rPr>
        <w:t xml:space="preserve">; and </w:t>
      </w:r>
      <w:r w:rsidRPr="00B969C6">
        <w:rPr>
          <w:rFonts w:cs="Times New Roman"/>
          <w:sz w:val="22"/>
          <w:szCs w:val="22"/>
        </w:rPr>
        <w:t>CoE Commissioner for Human Rights, ‘Issue Paper: Women’s Sexual and Reproductive Health and Rights in Europe’ (2017), 5, 17, 47–50, 56, 58 &lt;https://rm.coe.int/women-s-sexual-and-reproductive-health-and-rights-in-europe-issue-pape/168076dead&gt; accessed 26 June 2018.</w:t>
      </w:r>
    </w:p>
  </w:footnote>
  <w:footnote w:id="3">
    <w:p w14:paraId="03D8BCFE" w14:textId="472948AF"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sz w:val="22"/>
          <w:szCs w:val="22"/>
        </w:rPr>
        <w:t>UNCESCR, ‘General Comment 22’ (n 1) para 1.</w:t>
      </w:r>
      <w:r w:rsidRPr="00B969C6">
        <w:rPr>
          <w:sz w:val="22"/>
          <w:szCs w:val="22"/>
          <w:lang w:val="en-GB"/>
        </w:rPr>
        <w:t>: ‘</w:t>
      </w:r>
      <w:r w:rsidRPr="00B969C6">
        <w:rPr>
          <w:i/>
          <w:sz w:val="22"/>
          <w:szCs w:val="22"/>
          <w:lang w:val="en-GB"/>
        </w:rPr>
        <w:t>The right to sexual and reproductive health is an integral part of the right to health’.</w:t>
      </w:r>
    </w:p>
  </w:footnote>
  <w:footnote w:id="4">
    <w:p w14:paraId="3743DCE4" w14:textId="054779C2" w:rsidR="009156EA" w:rsidRPr="00B969C6" w:rsidRDefault="009156EA" w:rsidP="00B969C6">
      <w:pPr>
        <w:pStyle w:val="FootnoteText"/>
        <w:spacing w:before="120" w:after="120"/>
        <w:jc w:val="both"/>
        <w:rPr>
          <w:b/>
          <w:sz w:val="22"/>
          <w:szCs w:val="22"/>
          <w:lang w:val="en-GB"/>
        </w:rPr>
      </w:pPr>
      <w:r w:rsidRPr="00B969C6">
        <w:rPr>
          <w:rStyle w:val="FootnoteReference"/>
          <w:sz w:val="22"/>
          <w:szCs w:val="22"/>
        </w:rPr>
        <w:footnoteRef/>
      </w:r>
      <w:r w:rsidRPr="00B969C6">
        <w:rPr>
          <w:sz w:val="22"/>
          <w:szCs w:val="22"/>
          <w:lang w:val="en-GB"/>
        </w:rPr>
        <w:t xml:space="preserve"> See literature using the right to health to exemplify interactions between SRH and human rights: </w:t>
      </w:r>
      <w:r w:rsidRPr="00B969C6">
        <w:rPr>
          <w:rFonts w:cs="Times New Roman"/>
          <w:sz w:val="22"/>
          <w:szCs w:val="22"/>
        </w:rPr>
        <w:t>Bharati Sadasivam, ‘The Rights Framework in Reproductive Health Advocacy - A Reappraisal’ (1997) 8 Hastings Women’s Law Journal 313</w:t>
      </w:r>
      <w:r w:rsidRPr="00B969C6">
        <w:rPr>
          <w:sz w:val="22"/>
          <w:szCs w:val="22"/>
          <w:lang w:val="en-GB"/>
        </w:rPr>
        <w:t xml:space="preserve">; </w:t>
      </w:r>
      <w:r w:rsidRPr="00B969C6">
        <w:rPr>
          <w:rFonts w:cs="Times New Roman"/>
          <w:sz w:val="22"/>
          <w:szCs w:val="22"/>
        </w:rPr>
        <w:t>Rebecca J Cook, ‘Developments in Judicial Approaches to Sexual and Reproductive Health’ (2002) 21 Medicine and Law 155</w:t>
      </w:r>
      <w:r w:rsidRPr="00B969C6">
        <w:rPr>
          <w:sz w:val="22"/>
          <w:szCs w:val="22"/>
          <w:lang w:val="en-GB"/>
        </w:rPr>
        <w:t xml:space="preserve">; </w:t>
      </w:r>
      <w:r w:rsidRPr="00B969C6">
        <w:rPr>
          <w:rFonts w:cs="Times New Roman"/>
          <w:sz w:val="22"/>
          <w:szCs w:val="22"/>
        </w:rPr>
        <w:t>Ebenezer Durojaye, ‘Monitoring the Right to Health and Sexual And Reproductive Health at the National Level: Some Considerations for African Governments’ (2009) 42 Comparative and International Law Journal of Southern Africa 227</w:t>
      </w:r>
      <w:r w:rsidRPr="00B969C6">
        <w:rPr>
          <w:sz w:val="22"/>
          <w:szCs w:val="22"/>
          <w:lang w:val="en-GB"/>
        </w:rPr>
        <w:t xml:space="preserve">; </w:t>
      </w:r>
      <w:r w:rsidRPr="00B969C6">
        <w:rPr>
          <w:rFonts w:cs="Times New Roman"/>
          <w:sz w:val="22"/>
          <w:szCs w:val="22"/>
        </w:rPr>
        <w:t>Ilise L Feitshans, ‘Is There a Human Right to Reproductive Health’ (1998) 8 Texas Journal of Women and the Law 93</w:t>
      </w:r>
      <w:r w:rsidRPr="00B969C6">
        <w:rPr>
          <w:sz w:val="22"/>
          <w:szCs w:val="22"/>
          <w:lang w:val="en-GB"/>
        </w:rPr>
        <w:t xml:space="preserve">; </w:t>
      </w:r>
      <w:r w:rsidRPr="00B969C6">
        <w:rPr>
          <w:rFonts w:cs="Times New Roman"/>
          <w:sz w:val="22"/>
          <w:szCs w:val="22"/>
        </w:rPr>
        <w:t>Lance Gable, ‘Reproductive Health as a Human Right’ (2009) 60 Case Western Reserve Law Review 957</w:t>
      </w:r>
      <w:r w:rsidRPr="00B969C6">
        <w:rPr>
          <w:sz w:val="22"/>
          <w:szCs w:val="22"/>
          <w:lang w:val="en-GB"/>
        </w:rPr>
        <w:t xml:space="preserve">; </w:t>
      </w:r>
      <w:r w:rsidRPr="00B969C6">
        <w:rPr>
          <w:rFonts w:cs="Times New Roman"/>
          <w:sz w:val="22"/>
          <w:szCs w:val="22"/>
        </w:rPr>
        <w:t>Sofia Gruskin, Mindy Jane Roseman and Laura Ferguson, ‘Reproductive Health and HIV: Do International Human Rights Law and Policy Matter’ (2007) 3 McGill International Journal of Sustainable Development Law and Policy 69</w:t>
      </w:r>
      <w:r w:rsidRPr="00B969C6">
        <w:rPr>
          <w:sz w:val="22"/>
          <w:szCs w:val="22"/>
          <w:lang w:val="en-GB"/>
        </w:rPr>
        <w:t xml:space="preserve">; </w:t>
      </w:r>
      <w:r w:rsidRPr="00B969C6">
        <w:rPr>
          <w:rFonts w:cs="Times New Roman"/>
          <w:sz w:val="22"/>
          <w:szCs w:val="22"/>
        </w:rPr>
        <w:t>Aart Hendricks, ‘Promotion and Protection of Women’s Right to Sexual and Reproductive Health under International Law: The Economic Covenant and the Women’s Convention’ (1995) 44 American University Law Review 1123</w:t>
      </w:r>
      <w:r w:rsidRPr="00B969C6">
        <w:rPr>
          <w:sz w:val="22"/>
          <w:szCs w:val="22"/>
          <w:lang w:val="en-GB"/>
        </w:rPr>
        <w:t xml:space="preserve">; </w:t>
      </w:r>
      <w:r w:rsidRPr="00B969C6">
        <w:rPr>
          <w:rFonts w:cs="Times New Roman"/>
          <w:sz w:val="22"/>
          <w:szCs w:val="22"/>
        </w:rPr>
        <w:t xml:space="preserve">Paul Hunt and Gillian McNaughton, ‘A Human Rights-Based Approach to Health Indicators’, </w:t>
      </w:r>
      <w:r w:rsidRPr="00B969C6">
        <w:rPr>
          <w:rFonts w:cs="Times New Roman"/>
          <w:i/>
          <w:iCs/>
          <w:sz w:val="22"/>
          <w:szCs w:val="22"/>
        </w:rPr>
        <w:t>Economic, Social, and Cultural Rights in Action</w:t>
      </w:r>
      <w:r w:rsidRPr="00B969C6">
        <w:rPr>
          <w:rFonts w:cs="Times New Roman"/>
          <w:sz w:val="22"/>
          <w:szCs w:val="22"/>
        </w:rPr>
        <w:t xml:space="preserve"> (Oxford University Press 2007)</w:t>
      </w:r>
      <w:r w:rsidRPr="00B969C6">
        <w:rPr>
          <w:sz w:val="22"/>
          <w:szCs w:val="22"/>
          <w:lang w:val="en-GB"/>
        </w:rPr>
        <w:t xml:space="preserve">; </w:t>
      </w:r>
      <w:r w:rsidRPr="00B969C6">
        <w:rPr>
          <w:rFonts w:cs="Times New Roman"/>
          <w:sz w:val="22"/>
          <w:szCs w:val="22"/>
        </w:rPr>
        <w:t>Charles G Ngwena, ‘Conscientious Objection to Abortion and Accommodating Women’s Reproductive Health Rights: Reflections on a Decision of the Constitutional Court of Colombia from an African Regional Human Rights Perspective’ (2014) 58 Journal of African Law 183</w:t>
      </w:r>
      <w:r w:rsidRPr="00B969C6">
        <w:rPr>
          <w:sz w:val="22"/>
          <w:szCs w:val="22"/>
          <w:lang w:val="en-GB"/>
        </w:rPr>
        <w:t xml:space="preserve">; </w:t>
      </w:r>
      <w:r w:rsidRPr="00B969C6">
        <w:rPr>
          <w:rFonts w:cs="Times New Roman"/>
          <w:sz w:val="22"/>
          <w:szCs w:val="22"/>
        </w:rPr>
        <w:t>Wanda Nowicka, ‘Sexual and Reproductive Rights and the Human Rights Agenda: Controversial and Contested’ (2011) 19 Reproductive Health Matters 119, 119.</w:t>
      </w:r>
      <w:r w:rsidRPr="00B969C6">
        <w:rPr>
          <w:sz w:val="22"/>
          <w:szCs w:val="22"/>
          <w:lang w:val="en-GB"/>
        </w:rPr>
        <w:t xml:space="preserve"> </w:t>
      </w:r>
    </w:p>
  </w:footnote>
  <w:footnote w:id="5">
    <w:p w14:paraId="3E6B76CA" w14:textId="26672768"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sz w:val="22"/>
          <w:szCs w:val="22"/>
        </w:rPr>
        <w:t>UNCESCR, ‘General Comment 22’ (n 1).</w:t>
      </w:r>
    </w:p>
  </w:footnote>
  <w:footnote w:id="6">
    <w:p w14:paraId="7F835A25" w14:textId="49461422"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WHO </w:t>
      </w:r>
      <w:r w:rsidRPr="00B969C6">
        <w:rPr>
          <w:rFonts w:cs="Times New Roman"/>
          <w:sz w:val="22"/>
          <w:szCs w:val="22"/>
        </w:rPr>
        <w:t>Department of Reproductive Health and Research, ‘Reproductive Health Strategy to Accelerate Progress Towards the Attainment of International Development Goals and Targets’ (2004) UN Doc. WHO/RHR/04.8, 21 para 35 &lt;http://apps.who.int/iris/bitstream/handle/10665/68754/WHO_RHR_04.8.pdf;jsessionid=88D66713F41FB041EBC159A78A51644D?sequence=1&gt; accessed 26 June 2018.</w:t>
      </w:r>
      <w:r w:rsidRPr="00B969C6">
        <w:rPr>
          <w:sz w:val="22"/>
          <w:szCs w:val="22"/>
          <w:lang w:val="en-GB"/>
        </w:rPr>
        <w:t xml:space="preserve"> Such ‘core components’ are widely referred to in other important global health documents: e.g. </w:t>
      </w:r>
      <w:r w:rsidRPr="00B969C6">
        <w:rPr>
          <w:rFonts w:cs="Times New Roman"/>
          <w:sz w:val="22"/>
          <w:szCs w:val="22"/>
        </w:rPr>
        <w:t>UNFPA, ‘Sexual and Reproductive Health for All: Reducing Poverty, Advancing Development and Protecting Human Rights’ (2010) 13 &lt;https://www.unfpa.org/sites/default/files/pub-pdf/uarh_report_2010.pdf&gt; accessed 26 June 2018</w:t>
      </w:r>
      <w:r w:rsidRPr="00B969C6">
        <w:rPr>
          <w:sz w:val="22"/>
          <w:szCs w:val="22"/>
          <w:lang w:val="en-GB"/>
        </w:rPr>
        <w:t xml:space="preserve">; </w:t>
      </w:r>
      <w:r w:rsidRPr="00B969C6">
        <w:rPr>
          <w:rFonts w:cs="Times New Roman"/>
          <w:sz w:val="22"/>
          <w:szCs w:val="22"/>
        </w:rPr>
        <w:t>UNFPA, The Danish Institute for Human Rights and OHCHR, ‘Reproductive Rights Are Human Rights: A Handbook for National Human Rights Institutions’ (2014) UN Doc. HR/PUB/14/6, 24 &lt;http://www.unfpa.org/sites/default/files/pub-pdf/NHRIHandbook.pdf&gt; accessed 26 June 2018.</w:t>
      </w:r>
      <w:r w:rsidRPr="00B969C6">
        <w:rPr>
          <w:sz w:val="22"/>
          <w:szCs w:val="22"/>
          <w:lang w:val="en-GB"/>
        </w:rPr>
        <w:t xml:space="preserve"> </w:t>
      </w:r>
    </w:p>
  </w:footnote>
  <w:footnote w:id="7">
    <w:p w14:paraId="05154146" w14:textId="054497F9"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sz w:val="22"/>
          <w:szCs w:val="22"/>
        </w:rPr>
        <w:t>Ann M Starrs and others, ‘Accelerate Progress – sexual and reproductive health and rights for all: Report of the Guttmacher–Lancet Commission’ (2018) The Lancet &lt;https://www.sciencedirect.com/science/article/pii/S0140673618302939&gt; accessed 26 June 2018.</w:t>
      </w:r>
      <w:r w:rsidRPr="00B969C6">
        <w:rPr>
          <w:sz w:val="22"/>
          <w:szCs w:val="22"/>
          <w:lang w:val="en-GB"/>
        </w:rPr>
        <w:t xml:space="preserve"> (This report was launched in May 2018 during the 71</w:t>
      </w:r>
      <w:r w:rsidRPr="00B969C6">
        <w:rPr>
          <w:sz w:val="22"/>
          <w:szCs w:val="22"/>
          <w:vertAlign w:val="superscript"/>
          <w:lang w:val="en-GB"/>
        </w:rPr>
        <w:t>st</w:t>
      </w:r>
      <w:r w:rsidRPr="00B969C6">
        <w:rPr>
          <w:sz w:val="22"/>
          <w:szCs w:val="22"/>
          <w:lang w:val="en-GB"/>
        </w:rPr>
        <w:t xml:space="preserve"> WHO Health Assembly, see &lt;http://www.who.int/reproductivehealth/news/wha71/en/&gt; accessed 26 June 2018).</w:t>
      </w:r>
    </w:p>
  </w:footnote>
  <w:footnote w:id="8">
    <w:p w14:paraId="44642308" w14:textId="00DA5CE4"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sz w:val="22"/>
          <w:szCs w:val="22"/>
        </w:rPr>
        <w:t>UNCESCR, ‘General Comment 22’ (n 1) para 5</w:t>
      </w:r>
      <w:r w:rsidRPr="00B969C6">
        <w:rPr>
          <w:sz w:val="22"/>
          <w:szCs w:val="22"/>
          <w:lang w:val="en-GB"/>
        </w:rPr>
        <w:t>: the right to SRH is defined as ‘</w:t>
      </w:r>
      <w:r w:rsidRPr="00B969C6">
        <w:rPr>
          <w:i/>
          <w:sz w:val="22"/>
          <w:szCs w:val="22"/>
          <w:lang w:val="en-GB"/>
        </w:rPr>
        <w:t xml:space="preserve">the right to make free and responsible decisions and choices, free of violence, coercion and discrimination, regarding matters concerning one’s body and sexual and reproductive health </w:t>
      </w:r>
      <w:r w:rsidRPr="00B969C6">
        <w:rPr>
          <w:i/>
          <w:sz w:val="22"/>
          <w:szCs w:val="22"/>
          <w:lang w:val="en-GB"/>
        </w:rPr>
        <w:sym w:font="Symbol" w:char="F05B"/>
      </w:r>
      <w:r w:rsidRPr="00B969C6">
        <w:rPr>
          <w:i/>
          <w:sz w:val="22"/>
          <w:szCs w:val="22"/>
          <w:lang w:val="en-GB"/>
        </w:rPr>
        <w:t>and</w:t>
      </w:r>
      <w:r w:rsidRPr="00B969C6">
        <w:rPr>
          <w:i/>
          <w:sz w:val="22"/>
          <w:szCs w:val="22"/>
          <w:lang w:val="en-GB"/>
        </w:rPr>
        <w:sym w:font="Symbol" w:char="F05D"/>
      </w:r>
      <w:r w:rsidRPr="00B969C6">
        <w:rPr>
          <w:i/>
          <w:sz w:val="22"/>
          <w:szCs w:val="22"/>
          <w:lang w:val="en-GB"/>
        </w:rPr>
        <w:t xml:space="preserve"> </w:t>
      </w:r>
      <w:r w:rsidRPr="00B969C6">
        <w:rPr>
          <w:i/>
          <w:sz w:val="22"/>
          <w:szCs w:val="22"/>
          <w:lang w:val="en-GB"/>
        </w:rPr>
        <w:sym w:font="Symbol" w:char="F05B"/>
      </w:r>
      <w:r w:rsidRPr="00B969C6">
        <w:rPr>
          <w:i/>
          <w:sz w:val="22"/>
          <w:szCs w:val="22"/>
          <w:lang w:val="en-GB"/>
        </w:rPr>
        <w:t>…</w:t>
      </w:r>
      <w:r w:rsidRPr="00B969C6">
        <w:rPr>
          <w:i/>
          <w:sz w:val="22"/>
          <w:szCs w:val="22"/>
          <w:lang w:val="en-GB"/>
        </w:rPr>
        <w:sym w:font="Symbol" w:char="F05D"/>
      </w:r>
      <w:r w:rsidRPr="00B969C6">
        <w:rPr>
          <w:i/>
          <w:sz w:val="22"/>
          <w:szCs w:val="22"/>
          <w:lang w:val="en-GB"/>
        </w:rPr>
        <w:t xml:space="preserve"> unhindered access to a whole range of </w:t>
      </w:r>
      <w:r w:rsidRPr="00B969C6">
        <w:rPr>
          <w:i/>
          <w:sz w:val="22"/>
          <w:szCs w:val="22"/>
          <w:lang w:val="en-GB"/>
        </w:rPr>
        <w:sym w:font="Symbol" w:char="F05B"/>
      </w:r>
      <w:r w:rsidRPr="00B969C6">
        <w:rPr>
          <w:i/>
          <w:sz w:val="22"/>
          <w:szCs w:val="22"/>
          <w:lang w:val="en-GB"/>
        </w:rPr>
        <w:t>SRH</w:t>
      </w:r>
      <w:r w:rsidRPr="00B969C6">
        <w:rPr>
          <w:i/>
          <w:sz w:val="22"/>
          <w:szCs w:val="22"/>
          <w:lang w:val="en-GB"/>
        </w:rPr>
        <w:sym w:font="Symbol" w:char="F05D"/>
      </w:r>
      <w:r w:rsidRPr="00B969C6">
        <w:rPr>
          <w:i/>
          <w:sz w:val="22"/>
          <w:szCs w:val="22"/>
          <w:lang w:val="en-GB"/>
        </w:rPr>
        <w:t xml:space="preserve"> facilities, goods, services and information</w:t>
      </w:r>
      <w:r w:rsidRPr="00B969C6">
        <w:rPr>
          <w:sz w:val="22"/>
          <w:szCs w:val="22"/>
          <w:lang w:val="en-GB"/>
        </w:rPr>
        <w:t>’.</w:t>
      </w:r>
    </w:p>
  </w:footnote>
  <w:footnote w:id="9">
    <w:p w14:paraId="329041B0" w14:textId="3EE3B9A7"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sz w:val="22"/>
          <w:szCs w:val="22"/>
        </w:rPr>
        <w:t xml:space="preserve">WHO, </w:t>
      </w:r>
      <w:r w:rsidRPr="00B969C6">
        <w:rPr>
          <w:rFonts w:cs="Times New Roman"/>
          <w:sz w:val="22"/>
          <w:szCs w:val="22"/>
        </w:rPr>
        <w:t>‘Reproductive Health Strategy</w:t>
      </w:r>
      <w:r w:rsidRPr="00B969C6">
        <w:rPr>
          <w:sz w:val="22"/>
          <w:szCs w:val="22"/>
        </w:rPr>
        <w:t>’ (n 6) 21, para 35</w:t>
      </w:r>
      <w:r w:rsidRPr="00B969C6">
        <w:rPr>
          <w:sz w:val="22"/>
          <w:szCs w:val="22"/>
          <w:lang w:val="en-GB"/>
        </w:rPr>
        <w:t xml:space="preserve">; </w:t>
      </w:r>
      <w:r w:rsidRPr="00B969C6">
        <w:rPr>
          <w:sz w:val="22"/>
          <w:szCs w:val="22"/>
        </w:rPr>
        <w:t>Report of the Guttmacher–Lancet Commission (n 7) 8</w:t>
      </w:r>
      <w:r w:rsidRPr="00B969C6">
        <w:rPr>
          <w:sz w:val="22"/>
          <w:szCs w:val="22"/>
          <w:lang w:val="en-GB"/>
        </w:rPr>
        <w:t xml:space="preserve"> (this report</w:t>
      </w:r>
      <w:r w:rsidRPr="00B969C6">
        <w:rPr>
          <w:rFonts w:eastAsia="Times New Roman" w:cs="Times New Roman"/>
          <w:sz w:val="22"/>
          <w:szCs w:val="22"/>
        </w:rPr>
        <w:t xml:space="preserve"> also suggests SRH interventions regarding </w:t>
      </w:r>
      <w:r w:rsidRPr="00B969C6">
        <w:rPr>
          <w:sz w:val="22"/>
          <w:szCs w:val="22"/>
          <w:lang w:val="en-GB"/>
        </w:rPr>
        <w:t>‘</w:t>
      </w:r>
      <w:r w:rsidRPr="00B969C6">
        <w:rPr>
          <w:i/>
          <w:sz w:val="22"/>
          <w:szCs w:val="22"/>
          <w:lang w:val="en-GB"/>
        </w:rPr>
        <w:t>subfertility and infertility</w:t>
      </w:r>
      <w:r w:rsidRPr="00B969C6">
        <w:rPr>
          <w:sz w:val="22"/>
          <w:szCs w:val="22"/>
          <w:lang w:val="en-GB"/>
        </w:rPr>
        <w:t>’, as well as ‘</w:t>
      </w:r>
      <w:r w:rsidRPr="00B969C6">
        <w:rPr>
          <w:i/>
          <w:sz w:val="22"/>
          <w:szCs w:val="22"/>
          <w:lang w:val="en-GB"/>
        </w:rPr>
        <w:t>sexual and gender-based violence</w:t>
      </w:r>
      <w:r w:rsidRPr="00B969C6">
        <w:rPr>
          <w:sz w:val="22"/>
          <w:szCs w:val="22"/>
          <w:lang w:val="en-GB"/>
        </w:rPr>
        <w:t>’</w:t>
      </w:r>
      <w:r w:rsidRPr="00B969C6">
        <w:rPr>
          <w:rFonts w:eastAsia="Times New Roman" w:cs="Times New Roman"/>
          <w:sz w:val="22"/>
          <w:szCs w:val="22"/>
        </w:rPr>
        <w:t xml:space="preserve">, but these tend to correspond to SRH rights more than a right to SRH as defined in this article). </w:t>
      </w:r>
    </w:p>
  </w:footnote>
  <w:footnote w:id="10">
    <w:p w14:paraId="00668B69" w14:textId="47ECCB19"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Republic of Ireland, Thirty-sixth Amendment of the Constitution Bill 2018 (Bill No. 29 of 2018).</w:t>
      </w:r>
      <w:r w:rsidR="008109E3" w:rsidRPr="00B969C6">
        <w:rPr>
          <w:sz w:val="22"/>
          <w:szCs w:val="22"/>
          <w:lang w:val="en-GB"/>
        </w:rPr>
        <w:t xml:space="preserve"> See also recent attempts to restrict access to abortion in Poland and in Spain.</w:t>
      </w:r>
    </w:p>
  </w:footnote>
  <w:footnote w:id="11">
    <w:p w14:paraId="2E54874E" w14:textId="35C71D30"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E.g. </w:t>
      </w:r>
      <w:r w:rsidRPr="00B969C6">
        <w:rPr>
          <w:rFonts w:cs="Times New Roman"/>
          <w:sz w:val="22"/>
          <w:szCs w:val="22"/>
        </w:rPr>
        <w:t>Liiri Oja and Alicia Ely Yamin, ‘Woman in the European Human Rights System: How Is the Reproductive Rights Jurisprudence of the European Court of Human Rights Constructing Narratives of Women’s Citizenship’ (2016) 32 Columbia Journal of Gender and Law 62.</w:t>
      </w:r>
    </w:p>
  </w:footnote>
  <w:footnote w:id="12">
    <w:p w14:paraId="26CC2D33" w14:textId="1C602F07"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E.g. </w:t>
      </w:r>
      <w:r w:rsidRPr="00B969C6">
        <w:rPr>
          <w:rFonts w:cs="Times New Roman"/>
          <w:sz w:val="22"/>
          <w:szCs w:val="22"/>
        </w:rPr>
        <w:t>Chiara Cosentino, ‘Safe and Legal Abortion: An Emerging Human Right? The Long-Lasting Dispute with State Sovereignty in ECHR Jurisprudence’ (2015) 15 Human Rights Law Review 569</w:t>
      </w:r>
      <w:r w:rsidRPr="00B969C6">
        <w:rPr>
          <w:sz w:val="22"/>
          <w:szCs w:val="22"/>
          <w:lang w:val="en-GB"/>
        </w:rPr>
        <w:t xml:space="preserve">; </w:t>
      </w:r>
      <w:r w:rsidRPr="00B969C6">
        <w:rPr>
          <w:rFonts w:cs="Times New Roman"/>
          <w:sz w:val="22"/>
          <w:szCs w:val="22"/>
        </w:rPr>
        <w:t>Gregor Puppinck, ‘Abortion and the European Convention on Human Rights’ (2013) 3 Irish Journal of Legal Studies 142</w:t>
      </w:r>
      <w:r w:rsidRPr="00B969C6">
        <w:rPr>
          <w:sz w:val="22"/>
          <w:szCs w:val="22"/>
          <w:lang w:val="en-GB"/>
        </w:rPr>
        <w:t xml:space="preserve">; </w:t>
      </w:r>
      <w:r w:rsidRPr="00B969C6">
        <w:rPr>
          <w:rFonts w:cs="Times New Roman"/>
          <w:sz w:val="22"/>
          <w:szCs w:val="22"/>
        </w:rPr>
        <w:t>Johanna Westeson, ‘Reproductive Health Information and Abortion Services: Standards Developed by the European Court of Human Rights’ (2013) 122 International Journal of Gynecology &amp; Obstetrics 173</w:t>
      </w:r>
      <w:r w:rsidRPr="00B969C6">
        <w:rPr>
          <w:sz w:val="22"/>
          <w:szCs w:val="22"/>
          <w:lang w:val="en-GB"/>
        </w:rPr>
        <w:t xml:space="preserve">; </w:t>
      </w:r>
      <w:r w:rsidRPr="00B969C6">
        <w:rPr>
          <w:rFonts w:cs="Times New Roman"/>
          <w:sz w:val="22"/>
          <w:szCs w:val="22"/>
        </w:rPr>
        <w:t>Elizabeth Wicks, ‘A, B, C v Ireland: Abortion Law under the European Convention on Human Rights’ (2011) 11 Human Rights Law Review 556.</w:t>
      </w:r>
    </w:p>
  </w:footnote>
  <w:footnote w:id="13">
    <w:p w14:paraId="4E5CFFD6" w14:textId="52A037DE"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(European) </w:t>
      </w:r>
      <w:r w:rsidRPr="00B969C6">
        <w:rPr>
          <w:sz w:val="22"/>
          <w:szCs w:val="22"/>
        </w:rPr>
        <w:t>Convention for the Protection of Human Rights and Fundamental Freedoms (as amended) 1950</w:t>
      </w:r>
      <w:r w:rsidR="00B40B20" w:rsidRPr="00B969C6">
        <w:rPr>
          <w:sz w:val="22"/>
          <w:szCs w:val="22"/>
        </w:rPr>
        <w:t xml:space="preserve"> (ECHR)</w:t>
      </w:r>
      <w:r w:rsidRPr="00B969C6">
        <w:rPr>
          <w:sz w:val="22"/>
          <w:szCs w:val="22"/>
        </w:rPr>
        <w:t>, Article 46.</w:t>
      </w:r>
    </w:p>
  </w:footnote>
  <w:footnote w:id="14">
    <w:p w14:paraId="7D899147" w14:textId="070F4354"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sz w:val="22"/>
          <w:szCs w:val="22"/>
        </w:rPr>
        <w:t>CoE Committee of Ministers, ‘Rules of the Committee of Ministers for the Supervision of the Execution of Judgments and of the Terms of Friendly Settlements (as Amended on 18 January 2017)’ &lt;https://rm.coe.int/16806eebf0&gt; accessed 26 June 2018.</w:t>
      </w:r>
    </w:p>
  </w:footnote>
  <w:footnote w:id="15">
    <w:p w14:paraId="2401A991" w14:textId="066420E9" w:rsidR="009156EA" w:rsidRPr="00B969C6" w:rsidRDefault="009156EA" w:rsidP="00B969C6">
      <w:pPr>
        <w:pStyle w:val="FootnoteText"/>
        <w:spacing w:before="120" w:after="120"/>
        <w:jc w:val="both"/>
        <w:rPr>
          <w:sz w:val="22"/>
          <w:szCs w:val="22"/>
        </w:rPr>
      </w:pPr>
      <w:r w:rsidRPr="00B969C6">
        <w:rPr>
          <w:rStyle w:val="FootnoteReference"/>
          <w:sz w:val="22"/>
          <w:szCs w:val="22"/>
        </w:rPr>
        <w:footnoteRef/>
      </w:r>
      <w:r w:rsidRPr="00B969C6">
        <w:rPr>
          <w:sz w:val="22"/>
          <w:szCs w:val="22"/>
          <w:lang w:val="en-GB"/>
        </w:rPr>
        <w:t xml:space="preserve"> The HUDOC database (for the ECtHR) can be found on &lt;</w:t>
      </w:r>
      <w:r w:rsidRPr="00B969C6">
        <w:rPr>
          <w:sz w:val="22"/>
          <w:szCs w:val="22"/>
        </w:rPr>
        <w:t xml:space="preserve">https://hudoc.echr.coe.int/eng&gt; accessed 26 June 2018. </w:t>
      </w:r>
    </w:p>
  </w:footnote>
  <w:footnote w:id="16">
    <w:p w14:paraId="5F6B3DCE" w14:textId="59929694"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The factsheets of the ECtHR can be found on &lt;https://www.echr.coe.int/Pages/home.aspx?p=press/factsheets&amp;c=&gt;</w:t>
      </w:r>
      <w:r w:rsidRPr="00B969C6">
        <w:rPr>
          <w:sz w:val="22"/>
          <w:szCs w:val="22"/>
        </w:rPr>
        <w:t xml:space="preserve"> accessed 26 June 2018</w:t>
      </w:r>
      <w:r w:rsidRPr="00B969C6">
        <w:rPr>
          <w:sz w:val="22"/>
          <w:szCs w:val="22"/>
          <w:lang w:val="en-GB"/>
        </w:rPr>
        <w:t xml:space="preserve"> (all factsheets mentioned above were compiled in 2018, except one which was compiled in 2014).</w:t>
      </w:r>
    </w:p>
  </w:footnote>
  <w:footnote w:id="17">
    <w:p w14:paraId="302EFF93" w14:textId="4E066D4D"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See </w:t>
      </w:r>
      <w:r w:rsidRPr="00B969C6">
        <w:rPr>
          <w:rFonts w:cs="Times New Roman"/>
          <w:sz w:val="22"/>
          <w:szCs w:val="22"/>
        </w:rPr>
        <w:t>UNCESCR, ‘General Comm</w:t>
      </w:r>
      <w:bookmarkStart w:id="0" w:name="_GoBack"/>
      <w:bookmarkEnd w:id="0"/>
      <w:r w:rsidRPr="00B969C6">
        <w:rPr>
          <w:rFonts w:cs="Times New Roman"/>
          <w:sz w:val="22"/>
          <w:szCs w:val="22"/>
        </w:rPr>
        <w:t>ent 22’ (n 1) para 5.</w:t>
      </w:r>
    </w:p>
  </w:footnote>
  <w:footnote w:id="18">
    <w:p w14:paraId="215463CB" w14:textId="514FDC52"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sz w:val="22"/>
          <w:szCs w:val="22"/>
        </w:rPr>
        <w:t xml:space="preserve">WHO, </w:t>
      </w:r>
      <w:r w:rsidRPr="00B969C6">
        <w:rPr>
          <w:rFonts w:cs="Times New Roman"/>
          <w:sz w:val="22"/>
          <w:szCs w:val="22"/>
        </w:rPr>
        <w:t>‘Reproductive Health Strategy</w:t>
      </w:r>
      <w:r w:rsidRPr="00B969C6">
        <w:rPr>
          <w:sz w:val="22"/>
          <w:szCs w:val="22"/>
        </w:rPr>
        <w:t>’ (n 6) 21, para 35</w:t>
      </w:r>
      <w:r w:rsidRPr="00B969C6">
        <w:rPr>
          <w:sz w:val="22"/>
          <w:szCs w:val="22"/>
          <w:lang w:val="en-GB"/>
        </w:rPr>
        <w:t xml:space="preserve">; </w:t>
      </w:r>
      <w:r w:rsidRPr="00B969C6">
        <w:rPr>
          <w:sz w:val="22"/>
          <w:szCs w:val="22"/>
        </w:rPr>
        <w:t>Report of the Guttmacher–Lancet Commission (n 7) 8.</w:t>
      </w:r>
      <w:r w:rsidRPr="00B969C6">
        <w:rPr>
          <w:sz w:val="22"/>
          <w:szCs w:val="22"/>
          <w:lang w:val="en-GB"/>
        </w:rPr>
        <w:t xml:space="preserve"> </w:t>
      </w:r>
    </w:p>
  </w:footnote>
  <w:footnote w:id="19">
    <w:p w14:paraId="4B574838" w14:textId="43FDC5F7" w:rsidR="009156EA" w:rsidRPr="00B969C6" w:rsidRDefault="009156EA" w:rsidP="00B969C6">
      <w:pPr>
        <w:spacing w:before="120" w:after="120"/>
        <w:jc w:val="both"/>
        <w:rPr>
          <w:rFonts w:cs="Times New Roman"/>
          <w:sz w:val="22"/>
          <w:szCs w:val="22"/>
        </w:rPr>
      </w:pPr>
      <w:r w:rsidRPr="00B969C6">
        <w:rPr>
          <w:rStyle w:val="FootnoteReference"/>
          <w:sz w:val="22"/>
          <w:szCs w:val="22"/>
        </w:rPr>
        <w:footnoteRef/>
      </w:r>
      <w:r w:rsidRPr="00B969C6">
        <w:rPr>
          <w:sz w:val="22"/>
          <w:szCs w:val="22"/>
          <w:lang w:val="en-GB"/>
        </w:rPr>
        <w:t xml:space="preserve"> Since 2000, the Court has developed a limited SRH case-law under other ECHR provisions, which this article will thus, not discuss. While this article focuses on Merits Judgments, it is worth noting that the Court held several Admissibility Decisions under Article 9 ECHR and Article 2 of Protocol 1 of the ECHR, in which it protects access to family planning services such as contraception and SRH education, over religious beliefs. (See </w:t>
      </w:r>
      <w:r w:rsidRPr="00B969C6">
        <w:rPr>
          <w:rFonts w:cs="Times New Roman"/>
          <w:i/>
          <w:iCs/>
          <w:sz w:val="22"/>
          <w:szCs w:val="22"/>
        </w:rPr>
        <w:t>Pichon and Sajous v France</w:t>
      </w:r>
      <w:r w:rsidRPr="00B969C6">
        <w:rPr>
          <w:rFonts w:cs="Times New Roman"/>
          <w:sz w:val="22"/>
          <w:szCs w:val="22"/>
        </w:rPr>
        <w:t xml:space="preserve"> App no. 49853/99 (Admissibility Decision) (ECtHR, October 2001)</w:t>
      </w:r>
      <w:r w:rsidRPr="00B969C6">
        <w:rPr>
          <w:sz w:val="22"/>
          <w:szCs w:val="22"/>
          <w:lang w:val="en-GB"/>
        </w:rPr>
        <w:t xml:space="preserve">; </w:t>
      </w:r>
      <w:r w:rsidRPr="00B969C6">
        <w:rPr>
          <w:rFonts w:cs="Times New Roman"/>
          <w:i/>
          <w:iCs/>
          <w:sz w:val="22"/>
          <w:szCs w:val="22"/>
        </w:rPr>
        <w:t>Jiménez Alonso and Jiménez Merino v Spain</w:t>
      </w:r>
      <w:r w:rsidRPr="00B969C6">
        <w:rPr>
          <w:rFonts w:cs="Times New Roman"/>
          <w:sz w:val="22"/>
          <w:szCs w:val="22"/>
        </w:rPr>
        <w:t xml:space="preserve"> App no. 51188/99 (Admissibility Decision) (ECtHR, 25 May 2000)</w:t>
      </w:r>
      <w:r w:rsidRPr="00B969C6">
        <w:rPr>
          <w:sz w:val="22"/>
          <w:szCs w:val="22"/>
        </w:rPr>
        <w:t xml:space="preserve">; and </w:t>
      </w:r>
      <w:r w:rsidRPr="00B969C6">
        <w:rPr>
          <w:rFonts w:cs="Times New Roman"/>
          <w:i/>
          <w:iCs/>
          <w:sz w:val="22"/>
          <w:szCs w:val="22"/>
        </w:rPr>
        <w:t>Dojan and others v Germany</w:t>
      </w:r>
      <w:r w:rsidRPr="00B969C6">
        <w:rPr>
          <w:rFonts w:cs="Times New Roman"/>
          <w:sz w:val="22"/>
          <w:szCs w:val="22"/>
        </w:rPr>
        <w:t xml:space="preserve"> App no. 319/08  (Admissibility Decision) (ECtHR, 13 September 2011)).</w:t>
      </w:r>
      <w:r w:rsidRPr="00B969C6">
        <w:rPr>
          <w:sz w:val="22"/>
          <w:szCs w:val="22"/>
        </w:rPr>
        <w:t xml:space="preserve"> The Court has also held a couple of Merits Judgments under Article 10 ECHR regarding access to information about abortion, but these do now allow to draw conclusions on the Court’s position. See </w:t>
      </w:r>
      <w:r w:rsidRPr="00B969C6">
        <w:rPr>
          <w:rFonts w:cs="Times New Roman"/>
          <w:i/>
          <w:iCs/>
          <w:sz w:val="22"/>
          <w:szCs w:val="22"/>
        </w:rPr>
        <w:t>Women on waves and others v Portugal</w:t>
      </w:r>
      <w:r w:rsidRPr="00B969C6">
        <w:rPr>
          <w:rFonts w:cs="Times New Roman"/>
          <w:sz w:val="22"/>
          <w:szCs w:val="22"/>
        </w:rPr>
        <w:t xml:space="preserve"> App no. 31276/05 (ECtHR, 3 February 2009)</w:t>
      </w:r>
      <w:r w:rsidRPr="00B969C6">
        <w:rPr>
          <w:sz w:val="22"/>
          <w:szCs w:val="22"/>
        </w:rPr>
        <w:t xml:space="preserve">; </w:t>
      </w:r>
      <w:r w:rsidRPr="00B969C6">
        <w:rPr>
          <w:rFonts w:cs="Times New Roman"/>
          <w:i/>
          <w:iCs/>
          <w:sz w:val="22"/>
          <w:szCs w:val="22"/>
        </w:rPr>
        <w:t>Annen v Germany</w:t>
      </w:r>
      <w:r w:rsidRPr="00B969C6">
        <w:rPr>
          <w:rFonts w:cs="Times New Roman"/>
          <w:sz w:val="22"/>
          <w:szCs w:val="22"/>
        </w:rPr>
        <w:t xml:space="preserve"> App no. 3690/10 (ECtHR, 26 November 2015).</w:t>
      </w:r>
    </w:p>
  </w:footnote>
  <w:footnote w:id="20">
    <w:p w14:paraId="5A9F44E6" w14:textId="40EC040D"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sz w:val="22"/>
          <w:szCs w:val="22"/>
        </w:rPr>
        <w:t>ECHR (n 13), Article 3.</w:t>
      </w:r>
    </w:p>
  </w:footnote>
  <w:footnote w:id="21">
    <w:p w14:paraId="557829E4" w14:textId="38015680"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sz w:val="22"/>
          <w:szCs w:val="22"/>
        </w:rPr>
        <w:t>ibid, Article 15.</w:t>
      </w:r>
    </w:p>
  </w:footnote>
  <w:footnote w:id="22">
    <w:p w14:paraId="7C2C4319" w14:textId="0E904D1A" w:rsidR="009156EA" w:rsidRPr="00B969C6" w:rsidRDefault="009156EA" w:rsidP="00B969C6">
      <w:pPr>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To be successful, applicants must demonstrate that their ill-treatment has attained a minimum level of severity, usually dependant on the circumstances of the case. (See the landmark case </w:t>
      </w:r>
      <w:r w:rsidRPr="00B969C6">
        <w:rPr>
          <w:rFonts w:cs="Times New Roman"/>
          <w:i/>
          <w:iCs/>
          <w:sz w:val="22"/>
          <w:szCs w:val="22"/>
        </w:rPr>
        <w:t>Ireland v the United Kingdom</w:t>
      </w:r>
      <w:r w:rsidRPr="00B969C6">
        <w:rPr>
          <w:rFonts w:cs="Times New Roman"/>
          <w:sz w:val="22"/>
          <w:szCs w:val="22"/>
        </w:rPr>
        <w:t xml:space="preserve"> [1978] Series A no. 25)</w:t>
      </w:r>
      <w:r w:rsidRPr="00B969C6">
        <w:rPr>
          <w:sz w:val="22"/>
          <w:szCs w:val="22"/>
          <w:lang w:val="en-GB"/>
        </w:rPr>
        <w:t>.</w:t>
      </w:r>
    </w:p>
  </w:footnote>
  <w:footnote w:id="23">
    <w:p w14:paraId="0004E241" w14:textId="1064C776"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i/>
          <w:iCs/>
          <w:sz w:val="22"/>
          <w:szCs w:val="22"/>
        </w:rPr>
        <w:t>KH and others v Slovakia</w:t>
      </w:r>
      <w:r w:rsidRPr="00B969C6">
        <w:rPr>
          <w:rFonts w:cs="Times New Roman"/>
          <w:sz w:val="22"/>
          <w:szCs w:val="22"/>
        </w:rPr>
        <w:t xml:space="preserve"> App no. 32881/04 (ECtHR, 28 April 2009)</w:t>
      </w:r>
      <w:r w:rsidRPr="00B969C6">
        <w:rPr>
          <w:sz w:val="22"/>
          <w:szCs w:val="22"/>
          <w:lang w:val="en-GB"/>
        </w:rPr>
        <w:t xml:space="preserve">; </w:t>
      </w:r>
      <w:r w:rsidRPr="00B969C6">
        <w:rPr>
          <w:rFonts w:cs="Times New Roman"/>
          <w:i/>
          <w:iCs/>
          <w:sz w:val="22"/>
          <w:szCs w:val="22"/>
        </w:rPr>
        <w:t>VC v Slovakia</w:t>
      </w:r>
      <w:r w:rsidRPr="00B969C6">
        <w:rPr>
          <w:rFonts w:cs="Times New Roman"/>
          <w:sz w:val="22"/>
          <w:szCs w:val="22"/>
        </w:rPr>
        <w:t xml:space="preserve"> App no. 18968/07 (ECtHR, 8 November 2011)</w:t>
      </w:r>
      <w:r w:rsidRPr="00B969C6">
        <w:rPr>
          <w:sz w:val="22"/>
          <w:szCs w:val="22"/>
          <w:lang w:val="en-GB"/>
        </w:rPr>
        <w:t xml:space="preserve">; </w:t>
      </w:r>
      <w:r w:rsidRPr="00B969C6">
        <w:rPr>
          <w:rFonts w:cs="Times New Roman"/>
          <w:i/>
          <w:iCs/>
          <w:sz w:val="22"/>
          <w:szCs w:val="22"/>
        </w:rPr>
        <w:t>NB v Slovakia</w:t>
      </w:r>
      <w:r w:rsidRPr="00B969C6">
        <w:rPr>
          <w:rFonts w:cs="Times New Roman"/>
          <w:sz w:val="22"/>
          <w:szCs w:val="22"/>
        </w:rPr>
        <w:t xml:space="preserve"> App no. 29518/10 (ECtHR, 12 June 2012)</w:t>
      </w:r>
      <w:r w:rsidRPr="00B969C6">
        <w:rPr>
          <w:sz w:val="22"/>
          <w:szCs w:val="22"/>
          <w:lang w:val="en-GB"/>
        </w:rPr>
        <w:t xml:space="preserve">; </w:t>
      </w:r>
      <w:r w:rsidRPr="00B969C6">
        <w:rPr>
          <w:rFonts w:cs="Times New Roman"/>
          <w:i/>
          <w:iCs/>
          <w:sz w:val="22"/>
          <w:szCs w:val="22"/>
        </w:rPr>
        <w:t>IG and others v Slovakia</w:t>
      </w:r>
      <w:r w:rsidRPr="00B969C6">
        <w:rPr>
          <w:rFonts w:cs="Times New Roman"/>
          <w:sz w:val="22"/>
          <w:szCs w:val="22"/>
        </w:rPr>
        <w:t xml:space="preserve"> App no. 15966/04 (ECtHR, 13 November 2012).</w:t>
      </w:r>
    </w:p>
  </w:footnote>
  <w:footnote w:id="24">
    <w:p w14:paraId="5668914F" w14:textId="377B9E25"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Such statement was first held in </w:t>
      </w:r>
      <w:r w:rsidRPr="00B969C6">
        <w:rPr>
          <w:rFonts w:cs="Times New Roman"/>
          <w:i/>
          <w:iCs/>
          <w:sz w:val="22"/>
          <w:szCs w:val="22"/>
        </w:rPr>
        <w:t>VC v Slovakia</w:t>
      </w:r>
      <w:r w:rsidRPr="00B969C6">
        <w:rPr>
          <w:rFonts w:cs="Times New Roman"/>
          <w:sz w:val="22"/>
          <w:szCs w:val="22"/>
        </w:rPr>
        <w:t xml:space="preserve"> (n 23) paras 116–120</w:t>
      </w:r>
      <w:r w:rsidRPr="00B969C6">
        <w:rPr>
          <w:sz w:val="22"/>
          <w:szCs w:val="22"/>
          <w:lang w:val="en-GB"/>
        </w:rPr>
        <w:t xml:space="preserve">; and referred to in </w:t>
      </w:r>
      <w:r w:rsidRPr="00B969C6">
        <w:rPr>
          <w:rFonts w:cs="Times New Roman"/>
          <w:i/>
          <w:iCs/>
          <w:sz w:val="22"/>
          <w:szCs w:val="22"/>
        </w:rPr>
        <w:t>NB v Slovakia</w:t>
      </w:r>
      <w:r w:rsidRPr="00B969C6">
        <w:rPr>
          <w:rFonts w:cs="Times New Roman"/>
          <w:sz w:val="22"/>
          <w:szCs w:val="22"/>
        </w:rPr>
        <w:t xml:space="preserve"> (n 23) paras 77–81;</w:t>
      </w:r>
      <w:r w:rsidRPr="00B969C6">
        <w:rPr>
          <w:sz w:val="22"/>
          <w:szCs w:val="22"/>
          <w:lang w:val="en-GB"/>
        </w:rPr>
        <w:t xml:space="preserve"> as well as in </w:t>
      </w:r>
      <w:r w:rsidRPr="00B969C6">
        <w:rPr>
          <w:rFonts w:cs="Times New Roman"/>
          <w:i/>
          <w:iCs/>
          <w:sz w:val="22"/>
          <w:szCs w:val="22"/>
        </w:rPr>
        <w:t>IG and others v Slovakia</w:t>
      </w:r>
      <w:r w:rsidRPr="00B969C6">
        <w:rPr>
          <w:rFonts w:cs="Times New Roman"/>
          <w:sz w:val="22"/>
          <w:szCs w:val="22"/>
        </w:rPr>
        <w:t xml:space="preserve"> (n 23) paras 118, 122–126.</w:t>
      </w:r>
      <w:r w:rsidRPr="00B969C6">
        <w:rPr>
          <w:sz w:val="22"/>
          <w:szCs w:val="22"/>
          <w:lang w:val="en-GB"/>
        </w:rPr>
        <w:t xml:space="preserve"> </w:t>
      </w:r>
    </w:p>
  </w:footnote>
  <w:footnote w:id="25">
    <w:p w14:paraId="049B584C" w14:textId="2707ACCF"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sz w:val="22"/>
          <w:szCs w:val="22"/>
        </w:rPr>
        <w:t>UNCESCR, ‘General Comment 22’ (n 1) paras 5, 8, 10, 25, 28, 29, 34, 42, 48.</w:t>
      </w:r>
    </w:p>
  </w:footnote>
  <w:footnote w:id="26">
    <w:p w14:paraId="5D30EF50" w14:textId="5707BE4C"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See </w:t>
      </w:r>
      <w:r w:rsidRPr="00B969C6">
        <w:rPr>
          <w:sz w:val="22"/>
          <w:szCs w:val="22"/>
        </w:rPr>
        <w:t xml:space="preserve">WHO, </w:t>
      </w:r>
      <w:r w:rsidRPr="00B969C6">
        <w:rPr>
          <w:rFonts w:cs="Times New Roman"/>
          <w:sz w:val="22"/>
          <w:szCs w:val="22"/>
        </w:rPr>
        <w:t>‘Reproductive Health Strategy</w:t>
      </w:r>
      <w:r w:rsidRPr="00B969C6">
        <w:rPr>
          <w:sz w:val="22"/>
          <w:szCs w:val="22"/>
        </w:rPr>
        <w:t>’ (n 6) 21, para 35</w:t>
      </w:r>
      <w:r w:rsidRPr="00B969C6">
        <w:rPr>
          <w:sz w:val="22"/>
          <w:szCs w:val="22"/>
          <w:lang w:val="en-GB"/>
        </w:rPr>
        <w:t xml:space="preserve">; </w:t>
      </w:r>
      <w:r w:rsidRPr="00B969C6">
        <w:rPr>
          <w:sz w:val="22"/>
          <w:szCs w:val="22"/>
        </w:rPr>
        <w:t>Report of the Guttmacher–Lancet Commission (n 7) 8.</w:t>
      </w:r>
    </w:p>
  </w:footnote>
  <w:footnote w:id="27">
    <w:p w14:paraId="56971FB8" w14:textId="3F9F5039"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rPr>
        <w:t xml:space="preserve"> E.g. </w:t>
      </w:r>
      <w:r w:rsidRPr="00B969C6">
        <w:rPr>
          <w:rFonts w:cs="Times New Roman"/>
          <w:sz w:val="22"/>
          <w:szCs w:val="22"/>
        </w:rPr>
        <w:t xml:space="preserve">Tom L Beauchamp and James F Childress, </w:t>
      </w:r>
      <w:r w:rsidRPr="00B969C6">
        <w:rPr>
          <w:rFonts w:cs="Times New Roman"/>
          <w:i/>
          <w:iCs/>
          <w:sz w:val="22"/>
          <w:szCs w:val="22"/>
        </w:rPr>
        <w:t>Principles of Biomedical Ethics</w:t>
      </w:r>
      <w:r w:rsidRPr="00B969C6">
        <w:rPr>
          <w:rFonts w:cs="Times New Roman"/>
          <w:sz w:val="22"/>
          <w:szCs w:val="22"/>
        </w:rPr>
        <w:t xml:space="preserve"> (7th edition, OUP USA 2013) ch 4.</w:t>
      </w:r>
    </w:p>
  </w:footnote>
  <w:footnote w:id="28">
    <w:p w14:paraId="7EA8B3F3" w14:textId="6095ABA2"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i/>
          <w:iCs/>
          <w:sz w:val="22"/>
          <w:szCs w:val="22"/>
        </w:rPr>
        <w:t>VC v Slovakia</w:t>
      </w:r>
      <w:r w:rsidRPr="00B969C6">
        <w:rPr>
          <w:rFonts w:cs="Times New Roman"/>
          <w:sz w:val="22"/>
          <w:szCs w:val="22"/>
        </w:rPr>
        <w:t xml:space="preserve"> (n 23) para 118</w:t>
      </w:r>
      <w:r w:rsidRPr="00B969C6">
        <w:rPr>
          <w:sz w:val="22"/>
          <w:szCs w:val="22"/>
          <w:lang w:val="en-GB"/>
        </w:rPr>
        <w:t xml:space="preserve">; </w:t>
      </w:r>
      <w:r w:rsidRPr="00B969C6">
        <w:rPr>
          <w:rFonts w:cs="Times New Roman"/>
          <w:i/>
          <w:iCs/>
          <w:sz w:val="22"/>
          <w:szCs w:val="22"/>
        </w:rPr>
        <w:t>NB v Slovakia</w:t>
      </w:r>
      <w:r w:rsidRPr="00B969C6">
        <w:rPr>
          <w:rFonts w:cs="Times New Roman"/>
          <w:sz w:val="22"/>
          <w:szCs w:val="22"/>
        </w:rPr>
        <w:t xml:space="preserve"> (n 23) para 80.</w:t>
      </w:r>
    </w:p>
  </w:footnote>
  <w:footnote w:id="29">
    <w:p w14:paraId="290C76E0" w14:textId="758BBA7E"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i/>
          <w:iCs/>
          <w:sz w:val="22"/>
          <w:szCs w:val="22"/>
        </w:rPr>
        <w:t>IG and others v Slovakia</w:t>
      </w:r>
      <w:r w:rsidRPr="00B969C6">
        <w:rPr>
          <w:rFonts w:cs="Times New Roman"/>
          <w:sz w:val="22"/>
          <w:szCs w:val="22"/>
        </w:rPr>
        <w:t xml:space="preserve"> (n 23) para 123.</w:t>
      </w:r>
    </w:p>
  </w:footnote>
  <w:footnote w:id="30">
    <w:p w14:paraId="5E39441E" w14:textId="13738376"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sz w:val="22"/>
          <w:szCs w:val="22"/>
        </w:rPr>
        <w:t>Oja and Yamin (n 11) 88</w:t>
      </w:r>
      <w:r w:rsidRPr="00B969C6">
        <w:rPr>
          <w:sz w:val="22"/>
          <w:szCs w:val="22"/>
          <w:lang w:val="en-GB"/>
        </w:rPr>
        <w:t xml:space="preserve">; </w:t>
      </w:r>
      <w:r w:rsidRPr="00B969C6">
        <w:rPr>
          <w:rFonts w:cs="Times New Roman"/>
          <w:sz w:val="22"/>
          <w:szCs w:val="22"/>
        </w:rPr>
        <w:t>Priti Patel, ‘Forced Sterilization of Women as Discrimination’ (2017) 38 Public Health Reviews 15.</w:t>
      </w:r>
    </w:p>
  </w:footnote>
  <w:footnote w:id="31">
    <w:p w14:paraId="691FD6A3" w14:textId="5CADD0A2"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i/>
          <w:iCs/>
          <w:sz w:val="22"/>
          <w:szCs w:val="22"/>
          <w:lang w:val="en-GB"/>
        </w:rPr>
        <w:t>VC v Slovakia</w:t>
      </w:r>
      <w:r w:rsidRPr="00B969C6">
        <w:rPr>
          <w:rFonts w:cs="Times New Roman"/>
          <w:sz w:val="22"/>
          <w:szCs w:val="22"/>
          <w:lang w:val="en-GB"/>
        </w:rPr>
        <w:t xml:space="preserve"> (n 23) paras 145–149 </w:t>
      </w:r>
      <w:r w:rsidRPr="00B969C6">
        <w:rPr>
          <w:sz w:val="22"/>
          <w:szCs w:val="22"/>
          <w:lang w:val="en-GB"/>
        </w:rPr>
        <w:t>(part of the ECtHR’s assessment under Article 8).</w:t>
      </w:r>
    </w:p>
  </w:footnote>
  <w:footnote w:id="32">
    <w:p w14:paraId="5BD49D75" w14:textId="7840091B"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sz w:val="22"/>
          <w:szCs w:val="22"/>
        </w:rPr>
        <w:t>ibid paras 177–179</w:t>
      </w:r>
      <w:r w:rsidRPr="00B969C6">
        <w:rPr>
          <w:sz w:val="22"/>
          <w:szCs w:val="22"/>
          <w:lang w:val="en-GB"/>
        </w:rPr>
        <w:t xml:space="preserve">; </w:t>
      </w:r>
      <w:r w:rsidRPr="00B969C6">
        <w:rPr>
          <w:rFonts w:cs="Times New Roman"/>
          <w:i/>
          <w:iCs/>
          <w:sz w:val="22"/>
          <w:szCs w:val="22"/>
        </w:rPr>
        <w:t>NB v Slovakia</w:t>
      </w:r>
      <w:r w:rsidRPr="00B969C6">
        <w:rPr>
          <w:rFonts w:cs="Times New Roman"/>
          <w:sz w:val="22"/>
          <w:szCs w:val="22"/>
        </w:rPr>
        <w:t xml:space="preserve"> (n 23) paras 121–122</w:t>
      </w:r>
      <w:r w:rsidRPr="00B969C6">
        <w:rPr>
          <w:sz w:val="22"/>
          <w:szCs w:val="22"/>
          <w:lang w:val="en-GB"/>
        </w:rPr>
        <w:t xml:space="preserve">; </w:t>
      </w:r>
      <w:r w:rsidRPr="00B969C6">
        <w:rPr>
          <w:rFonts w:cs="Times New Roman"/>
          <w:i/>
          <w:iCs/>
          <w:sz w:val="22"/>
          <w:szCs w:val="22"/>
        </w:rPr>
        <w:t>IG and others v Slovakia</w:t>
      </w:r>
      <w:r w:rsidRPr="00B969C6">
        <w:rPr>
          <w:rFonts w:cs="Times New Roman"/>
          <w:sz w:val="22"/>
          <w:szCs w:val="22"/>
        </w:rPr>
        <w:t xml:space="preserve"> (n 23) paras 165–166.</w:t>
      </w:r>
    </w:p>
  </w:footnote>
  <w:footnote w:id="33">
    <w:p w14:paraId="7559FC38" w14:textId="6B0962A2" w:rsidR="009156EA" w:rsidRPr="00B969C6" w:rsidRDefault="009156EA" w:rsidP="00B969C6">
      <w:pPr>
        <w:pStyle w:val="FootnoteText"/>
        <w:spacing w:before="120" w:after="120"/>
        <w:jc w:val="both"/>
        <w:rPr>
          <w:rFonts w:cs="Times New Roman"/>
          <w:sz w:val="22"/>
          <w:szCs w:val="22"/>
        </w:rPr>
      </w:pPr>
      <w:r w:rsidRPr="00B969C6">
        <w:rPr>
          <w:rStyle w:val="FootnoteReference"/>
          <w:sz w:val="22"/>
          <w:szCs w:val="22"/>
        </w:rPr>
        <w:footnoteRef/>
      </w:r>
      <w:r w:rsidRPr="00B969C6">
        <w:rPr>
          <w:sz w:val="22"/>
          <w:szCs w:val="22"/>
          <w:lang w:val="en-GB"/>
        </w:rPr>
        <w:t xml:space="preserve"> </w:t>
      </w:r>
      <w:r w:rsidRPr="00B969C6">
        <w:rPr>
          <w:rFonts w:cs="Times New Roman"/>
          <w:i/>
          <w:iCs/>
          <w:sz w:val="22"/>
          <w:szCs w:val="22"/>
        </w:rPr>
        <w:t>VC v Slovakia</w:t>
      </w:r>
      <w:r w:rsidRPr="00B969C6">
        <w:rPr>
          <w:rFonts w:cs="Times New Roman"/>
          <w:sz w:val="22"/>
          <w:szCs w:val="22"/>
        </w:rPr>
        <w:t xml:space="preserve"> (n 23) para 6 of the ruling</w:t>
      </w:r>
      <w:r w:rsidRPr="00B969C6">
        <w:rPr>
          <w:sz w:val="22"/>
          <w:szCs w:val="22"/>
          <w:lang w:val="en-GB"/>
        </w:rPr>
        <w:t xml:space="preserve">; </w:t>
      </w:r>
      <w:r w:rsidRPr="00B969C6">
        <w:rPr>
          <w:rFonts w:cs="Times New Roman"/>
          <w:i/>
          <w:iCs/>
          <w:sz w:val="22"/>
          <w:szCs w:val="22"/>
        </w:rPr>
        <w:t>NB v Slovakia</w:t>
      </w:r>
      <w:r w:rsidRPr="00B969C6">
        <w:rPr>
          <w:rFonts w:cs="Times New Roman"/>
          <w:sz w:val="22"/>
          <w:szCs w:val="22"/>
        </w:rPr>
        <w:t xml:space="preserve"> (n 23) para 7 of the ruling</w:t>
      </w:r>
      <w:r w:rsidRPr="00B969C6">
        <w:rPr>
          <w:sz w:val="22"/>
          <w:szCs w:val="22"/>
          <w:lang w:val="en-GB"/>
        </w:rPr>
        <w:t xml:space="preserve">; </w:t>
      </w:r>
      <w:r w:rsidRPr="00B969C6">
        <w:rPr>
          <w:rFonts w:cs="Times New Roman"/>
          <w:i/>
          <w:iCs/>
          <w:sz w:val="22"/>
          <w:szCs w:val="22"/>
        </w:rPr>
        <w:t>IG and others v Slovakia</w:t>
      </w:r>
      <w:r w:rsidRPr="00B969C6">
        <w:rPr>
          <w:rFonts w:cs="Times New Roman"/>
          <w:sz w:val="22"/>
          <w:szCs w:val="22"/>
        </w:rPr>
        <w:t xml:space="preserve"> (n 23) para 8 of the ruling.</w:t>
      </w:r>
    </w:p>
  </w:footnote>
  <w:footnote w:id="34">
    <w:p w14:paraId="0FFA9379" w14:textId="753AC184"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sz w:val="22"/>
          <w:szCs w:val="22"/>
        </w:rPr>
        <w:t>UNCESCR, ‘General Comment 22’ (n 1) paras 30, 57–59.</w:t>
      </w:r>
    </w:p>
  </w:footnote>
  <w:footnote w:id="35">
    <w:p w14:paraId="41350082" w14:textId="5C69412D"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sz w:val="22"/>
          <w:szCs w:val="22"/>
        </w:rPr>
        <w:t>Center for Reproductive Rights, ‘The World’s Abortion Laws 2018’ &lt;http://worldabortionlaws.com/map/&gt; accessed 26 June 2018.</w:t>
      </w:r>
    </w:p>
  </w:footnote>
  <w:footnote w:id="36">
    <w:p w14:paraId="29615B5C" w14:textId="0048B420"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i/>
          <w:iCs/>
          <w:sz w:val="22"/>
          <w:szCs w:val="22"/>
        </w:rPr>
        <w:t>Tysiac v Poland</w:t>
      </w:r>
      <w:r w:rsidRPr="00B969C6">
        <w:rPr>
          <w:rFonts w:cs="Times New Roman"/>
          <w:sz w:val="22"/>
          <w:szCs w:val="22"/>
        </w:rPr>
        <w:t xml:space="preserve"> App no. 5410/03 (ECtHR, 20 March 2007).</w:t>
      </w:r>
    </w:p>
  </w:footnote>
  <w:footnote w:id="37">
    <w:p w14:paraId="16FAB3FD" w14:textId="052CDC22"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sz w:val="22"/>
          <w:szCs w:val="22"/>
        </w:rPr>
        <w:t>ibid paras 62–66 (quote in para 66).</w:t>
      </w:r>
    </w:p>
  </w:footnote>
  <w:footnote w:id="38">
    <w:p w14:paraId="2AD7A30A" w14:textId="7ECE8EF4"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sz w:val="22"/>
          <w:szCs w:val="22"/>
        </w:rPr>
        <w:t>ibid para 66.</w:t>
      </w:r>
    </w:p>
  </w:footnote>
  <w:footnote w:id="39">
    <w:p w14:paraId="016B4394" w14:textId="6F3CAE95"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i/>
          <w:iCs/>
          <w:sz w:val="22"/>
          <w:szCs w:val="22"/>
        </w:rPr>
        <w:t>A, B and C v Ireland</w:t>
      </w:r>
      <w:r w:rsidRPr="00B969C6">
        <w:rPr>
          <w:rFonts w:cs="Times New Roman"/>
          <w:sz w:val="22"/>
          <w:szCs w:val="22"/>
        </w:rPr>
        <w:t xml:space="preserve"> App no. 25579/05 (ECtHR, 16 December 2010).</w:t>
      </w:r>
    </w:p>
  </w:footnote>
  <w:footnote w:id="40">
    <w:p w14:paraId="0B0C25E3" w14:textId="57D7F1E5"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sz w:val="22"/>
          <w:szCs w:val="22"/>
        </w:rPr>
        <w:t>ibid paras 160–165.</w:t>
      </w:r>
    </w:p>
  </w:footnote>
  <w:footnote w:id="41">
    <w:p w14:paraId="5D95DE1F" w14:textId="01B6DC40"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sz w:val="22"/>
          <w:szCs w:val="22"/>
        </w:rPr>
        <w:t>Amnesty International, ‘She Is Not a Criminal: The Impact of Ireland’s Abortion Law’ (2015) 55-58 and 84-86 &lt;https://www.amnesty.org.uk/files/she_is_not_a_criminal_report_-_embargoed_09_june.pdf&gt; accessed on 26 June 2018.</w:t>
      </w:r>
    </w:p>
  </w:footnote>
  <w:footnote w:id="42">
    <w:p w14:paraId="6C1633E1" w14:textId="09D5E639"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fr-FR"/>
        </w:rPr>
        <w:t xml:space="preserve"> </w:t>
      </w:r>
      <w:r w:rsidRPr="00B969C6">
        <w:rPr>
          <w:rFonts w:cs="Times New Roman"/>
          <w:i/>
          <w:iCs/>
          <w:sz w:val="22"/>
          <w:szCs w:val="22"/>
          <w:lang w:val="fr-FR"/>
        </w:rPr>
        <w:t>Amanda Jane Mellet v Ireland</w:t>
      </w:r>
      <w:r w:rsidRPr="00B969C6">
        <w:rPr>
          <w:rFonts w:cs="Times New Roman"/>
          <w:sz w:val="22"/>
          <w:szCs w:val="22"/>
          <w:lang w:val="fr-FR"/>
        </w:rPr>
        <w:t xml:space="preserve"> UN Doc. </w:t>
      </w:r>
      <w:r w:rsidRPr="00B969C6">
        <w:rPr>
          <w:rFonts w:cs="Times New Roman"/>
          <w:sz w:val="22"/>
          <w:szCs w:val="22"/>
        </w:rPr>
        <w:t>CCPR/C/116/D/2324/2013</w:t>
      </w:r>
      <w:r w:rsidRPr="00B969C6">
        <w:rPr>
          <w:rFonts w:cs="Times New Roman"/>
          <w:sz w:val="22"/>
          <w:szCs w:val="22"/>
          <w:lang w:val="en-GB"/>
        </w:rPr>
        <w:t xml:space="preserve"> (</w:t>
      </w:r>
      <w:r w:rsidRPr="00B969C6">
        <w:rPr>
          <w:rFonts w:cs="Times New Roman"/>
          <w:sz w:val="22"/>
          <w:szCs w:val="22"/>
        </w:rPr>
        <w:t>Human Rights Committee</w:t>
      </w:r>
      <w:r w:rsidRPr="00B969C6">
        <w:rPr>
          <w:rFonts w:cs="Times New Roman"/>
          <w:sz w:val="22"/>
          <w:szCs w:val="22"/>
          <w:lang w:val="en-GB"/>
        </w:rPr>
        <w:t>, 31 Mars 2016)</w:t>
      </w:r>
      <w:r w:rsidRPr="00B969C6">
        <w:rPr>
          <w:rFonts w:cs="Times New Roman"/>
          <w:sz w:val="22"/>
          <w:szCs w:val="22"/>
        </w:rPr>
        <w:t xml:space="preserve"> para 7.4</w:t>
      </w:r>
      <w:r w:rsidRPr="00B969C6">
        <w:rPr>
          <w:sz w:val="22"/>
          <w:szCs w:val="22"/>
          <w:lang w:val="en-GB"/>
        </w:rPr>
        <w:t>: ‘</w:t>
      </w:r>
      <w:r w:rsidRPr="00B969C6">
        <w:rPr>
          <w:i/>
          <w:sz w:val="22"/>
          <w:szCs w:val="22"/>
          <w:lang w:val="en-GB"/>
        </w:rPr>
        <w:t>Many of the negative experiences described that she went through could have been avoided if the author had not been prohibited from terminating her pregnancy in the familiar environment of her own country and under the care of the health professionals whom she knew and trusted, and if she had been afforded the health benefits she needed that were available in Ireland, were enjoyed by others, and could have been enjoyed by her, had she continued her non-viable pregnancy to deliver a stillborn child in Ireland</w:t>
      </w:r>
      <w:r w:rsidRPr="00B969C6">
        <w:rPr>
          <w:sz w:val="22"/>
          <w:szCs w:val="22"/>
          <w:lang w:val="en-GB"/>
        </w:rPr>
        <w:t>.’</w:t>
      </w:r>
    </w:p>
  </w:footnote>
  <w:footnote w:id="43">
    <w:p w14:paraId="79EE1591" w14:textId="64129E3A"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i/>
          <w:iCs/>
          <w:sz w:val="22"/>
          <w:szCs w:val="22"/>
        </w:rPr>
        <w:t>Tysiac v Poland</w:t>
      </w:r>
      <w:r w:rsidRPr="00B969C6">
        <w:rPr>
          <w:rFonts w:cs="Times New Roman"/>
          <w:sz w:val="22"/>
          <w:szCs w:val="22"/>
        </w:rPr>
        <w:t xml:space="preserve"> (n 36) para 5 of the ruling</w:t>
      </w:r>
      <w:r w:rsidRPr="00B969C6">
        <w:rPr>
          <w:sz w:val="22"/>
          <w:szCs w:val="22"/>
          <w:lang w:val="en-GB"/>
        </w:rPr>
        <w:t xml:space="preserve">; </w:t>
      </w:r>
      <w:r w:rsidRPr="00B969C6">
        <w:rPr>
          <w:rFonts w:cs="Times New Roman"/>
          <w:i/>
          <w:iCs/>
          <w:sz w:val="22"/>
          <w:szCs w:val="22"/>
        </w:rPr>
        <w:t>A, B and C v Ireland</w:t>
      </w:r>
      <w:r w:rsidRPr="00B969C6">
        <w:rPr>
          <w:rFonts w:cs="Times New Roman"/>
          <w:sz w:val="22"/>
          <w:szCs w:val="22"/>
        </w:rPr>
        <w:t xml:space="preserve"> (n 39) para 6 of the ruling.</w:t>
      </w:r>
    </w:p>
  </w:footnote>
  <w:footnote w:id="44">
    <w:p w14:paraId="2AD12FD8" w14:textId="0483DBE3"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i/>
          <w:iCs/>
          <w:sz w:val="22"/>
          <w:szCs w:val="22"/>
        </w:rPr>
        <w:t>RR v Poland</w:t>
      </w:r>
      <w:r w:rsidRPr="00B969C6">
        <w:rPr>
          <w:rFonts w:cs="Times New Roman"/>
          <w:sz w:val="22"/>
          <w:szCs w:val="22"/>
        </w:rPr>
        <w:t xml:space="preserve"> App no. 27617/04 (ECtHR, 26 May 2011).</w:t>
      </w:r>
    </w:p>
  </w:footnote>
  <w:footnote w:id="45">
    <w:p w14:paraId="36253F52" w14:textId="2FBEE9F6"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sz w:val="22"/>
          <w:szCs w:val="22"/>
        </w:rPr>
        <w:t>ibid.</w:t>
      </w:r>
    </w:p>
  </w:footnote>
  <w:footnote w:id="46">
    <w:p w14:paraId="4DFAFC10" w14:textId="44738C22"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sz w:val="22"/>
          <w:szCs w:val="22"/>
        </w:rPr>
        <w:t>Ibid paras 153–162.</w:t>
      </w:r>
    </w:p>
  </w:footnote>
  <w:footnote w:id="47">
    <w:p w14:paraId="30A4D265" w14:textId="4F055F9C"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sz w:val="22"/>
          <w:szCs w:val="22"/>
        </w:rPr>
        <w:t>ibid para 159.</w:t>
      </w:r>
    </w:p>
  </w:footnote>
  <w:footnote w:id="48">
    <w:p w14:paraId="3E284BB3" w14:textId="7309CC21"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Family Planning, Protection of the Human Foetus and Conditions Permitting Pregnancy Termination Act 1993 (Poland), s 4(a)(1) </w:t>
      </w:r>
    </w:p>
  </w:footnote>
  <w:footnote w:id="49">
    <w:p w14:paraId="2AECF828" w14:textId="6FE106C1"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i/>
          <w:iCs/>
          <w:sz w:val="22"/>
          <w:szCs w:val="22"/>
        </w:rPr>
        <w:t>P and S v Poland</w:t>
      </w:r>
      <w:r w:rsidRPr="00B969C6">
        <w:rPr>
          <w:rFonts w:cs="Times New Roman"/>
          <w:sz w:val="22"/>
          <w:szCs w:val="22"/>
        </w:rPr>
        <w:t xml:space="preserve"> App no. 57375/08 (ECtHR, 30 October 2012).</w:t>
      </w:r>
    </w:p>
  </w:footnote>
  <w:footnote w:id="50">
    <w:p w14:paraId="5FF8E01C" w14:textId="2267DAEE"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sz w:val="22"/>
          <w:szCs w:val="22"/>
        </w:rPr>
        <w:t>ibid paras 168–169.</w:t>
      </w:r>
    </w:p>
  </w:footnote>
  <w:footnote w:id="51">
    <w:p w14:paraId="69BA7A3F" w14:textId="77C3483A"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sz w:val="22"/>
          <w:szCs w:val="22"/>
        </w:rPr>
        <w:t>ibid para 167.</w:t>
      </w:r>
    </w:p>
  </w:footnote>
  <w:footnote w:id="52">
    <w:p w14:paraId="6350FCA9" w14:textId="0F1DF4EC"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sz w:val="22"/>
          <w:szCs w:val="22"/>
        </w:rPr>
        <w:t>David A Grimes and others, ‘Unsafe Abortion: The Preventable Pandemic’ (2006) 368 The Lancet 1908</w:t>
      </w:r>
      <w:r w:rsidRPr="00B969C6">
        <w:rPr>
          <w:sz w:val="22"/>
          <w:szCs w:val="22"/>
          <w:lang w:val="en-GB"/>
        </w:rPr>
        <w:t xml:space="preserve">; </w:t>
      </w:r>
      <w:r w:rsidRPr="00B969C6">
        <w:rPr>
          <w:rFonts w:cs="Times New Roman"/>
          <w:sz w:val="22"/>
          <w:szCs w:val="22"/>
        </w:rPr>
        <w:t>M Antonia Biggs and others, ‘Women’s Mental Health and Well-Being 5 Years After Receiving or Being Denied an Abortion: A Prospective, Longitudinal Cohort Study’ (2017) 74 JAMA psychiatry 169</w:t>
      </w:r>
      <w:r w:rsidRPr="00B969C6">
        <w:rPr>
          <w:sz w:val="22"/>
          <w:szCs w:val="22"/>
          <w:lang w:val="en-GB"/>
        </w:rPr>
        <w:t xml:space="preserve">; </w:t>
      </w:r>
      <w:r w:rsidRPr="00B969C6">
        <w:rPr>
          <w:rFonts w:cs="Times New Roman"/>
          <w:sz w:val="22"/>
          <w:szCs w:val="22"/>
        </w:rPr>
        <w:t>Diana Greene Foster and others, ‘Socioeconomic Outcomes of Women Who Receive and Women Who Are Denied Wanted Abortions in the United States’ (2018) 108 American Journal of Public Health 407.</w:t>
      </w:r>
    </w:p>
  </w:footnote>
  <w:footnote w:id="53">
    <w:p w14:paraId="10EA60EC" w14:textId="0D5EEB92"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See </w:t>
      </w:r>
      <w:r w:rsidRPr="00B969C6">
        <w:rPr>
          <w:rFonts w:cs="Times New Roman"/>
          <w:sz w:val="22"/>
          <w:szCs w:val="22"/>
        </w:rPr>
        <w:t>UNCESCR, ‘General Comment 22’ (n 1) paras 28, 49(e)</w:t>
      </w:r>
      <w:r w:rsidRPr="00B969C6">
        <w:rPr>
          <w:sz w:val="22"/>
          <w:szCs w:val="22"/>
          <w:lang w:val="en-GB"/>
        </w:rPr>
        <w:t xml:space="preserve">; </w:t>
      </w:r>
      <w:r w:rsidRPr="00B969C6">
        <w:rPr>
          <w:sz w:val="22"/>
          <w:szCs w:val="22"/>
        </w:rPr>
        <w:t xml:space="preserve">WHO, </w:t>
      </w:r>
      <w:r w:rsidRPr="00B969C6">
        <w:rPr>
          <w:rFonts w:cs="Times New Roman"/>
          <w:sz w:val="22"/>
          <w:szCs w:val="22"/>
        </w:rPr>
        <w:t>‘Reproductive Health Strategy</w:t>
      </w:r>
      <w:r w:rsidRPr="00B969C6">
        <w:rPr>
          <w:sz w:val="22"/>
          <w:szCs w:val="22"/>
        </w:rPr>
        <w:t>’ (n 6) 21, para 35</w:t>
      </w:r>
      <w:r w:rsidRPr="00B969C6">
        <w:rPr>
          <w:sz w:val="22"/>
          <w:szCs w:val="22"/>
          <w:lang w:val="en-GB"/>
        </w:rPr>
        <w:t xml:space="preserve">; </w:t>
      </w:r>
      <w:r w:rsidRPr="00B969C6">
        <w:rPr>
          <w:sz w:val="22"/>
          <w:szCs w:val="22"/>
        </w:rPr>
        <w:t>Report of the Guttmacher–Lancet Commission (n 7) 8.</w:t>
      </w:r>
    </w:p>
  </w:footnote>
  <w:footnote w:id="54">
    <w:p w14:paraId="65B8A341" w14:textId="27E6E28D"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The ECtHR interprets Article 8 as protecting the right to access one’s medical records following suspicion of non-consensual sterilisation (see </w:t>
      </w:r>
      <w:r w:rsidRPr="00B969C6">
        <w:rPr>
          <w:rFonts w:cs="Times New Roman"/>
          <w:i/>
          <w:iCs/>
          <w:sz w:val="22"/>
          <w:szCs w:val="22"/>
        </w:rPr>
        <w:t>KH and others v Slovakia</w:t>
      </w:r>
      <w:r w:rsidRPr="00B969C6">
        <w:rPr>
          <w:rFonts w:cs="Times New Roman"/>
          <w:sz w:val="22"/>
          <w:szCs w:val="22"/>
        </w:rPr>
        <w:t xml:space="preserve"> (n 23))</w:t>
      </w:r>
      <w:r w:rsidRPr="00B969C6">
        <w:rPr>
          <w:sz w:val="22"/>
          <w:szCs w:val="22"/>
          <w:lang w:val="en-GB"/>
        </w:rPr>
        <w:t xml:space="preserve">; and the right for one’s SRH medical records to be treated confidentially (see </w:t>
      </w:r>
      <w:r w:rsidRPr="00B969C6">
        <w:rPr>
          <w:rFonts w:cs="Times New Roman"/>
          <w:i/>
          <w:iCs/>
          <w:sz w:val="22"/>
          <w:szCs w:val="22"/>
        </w:rPr>
        <w:t>P and S v Poland</w:t>
      </w:r>
      <w:r w:rsidRPr="00B969C6">
        <w:rPr>
          <w:rFonts w:cs="Times New Roman"/>
          <w:sz w:val="22"/>
          <w:szCs w:val="22"/>
        </w:rPr>
        <w:t xml:space="preserve"> (n 49)</w:t>
      </w:r>
      <w:r w:rsidRPr="00B969C6">
        <w:rPr>
          <w:sz w:val="22"/>
          <w:szCs w:val="22"/>
          <w:lang w:val="en-GB"/>
        </w:rPr>
        <w:t xml:space="preserve">; </w:t>
      </w:r>
      <w:r w:rsidRPr="00B969C6">
        <w:rPr>
          <w:rFonts w:cs="Times New Roman"/>
          <w:i/>
          <w:iCs/>
          <w:sz w:val="22"/>
          <w:szCs w:val="22"/>
        </w:rPr>
        <w:t>Radu v the Republic of Moldova</w:t>
      </w:r>
      <w:r w:rsidRPr="00B969C6">
        <w:rPr>
          <w:rFonts w:cs="Times New Roman"/>
          <w:sz w:val="22"/>
          <w:szCs w:val="22"/>
        </w:rPr>
        <w:t xml:space="preserve"> App no. 50073/07 (ECtHR, 15 April 2014)</w:t>
      </w:r>
      <w:r w:rsidRPr="00B969C6">
        <w:rPr>
          <w:sz w:val="22"/>
          <w:szCs w:val="22"/>
          <w:lang w:val="en-GB"/>
        </w:rPr>
        <w:t xml:space="preserve">; and </w:t>
      </w:r>
      <w:r w:rsidRPr="00B969C6">
        <w:rPr>
          <w:rFonts w:cs="Times New Roman"/>
          <w:i/>
          <w:iCs/>
          <w:sz w:val="22"/>
          <w:szCs w:val="22"/>
        </w:rPr>
        <w:t>Mockutė v Lithuania</w:t>
      </w:r>
      <w:r w:rsidRPr="00B969C6">
        <w:rPr>
          <w:rFonts w:cs="Times New Roman"/>
          <w:sz w:val="22"/>
          <w:szCs w:val="22"/>
        </w:rPr>
        <w:t xml:space="preserve"> App no. 66490/09 (ECtHR, 27 February 2018</w:t>
      </w:r>
      <w:r w:rsidRPr="00B969C6">
        <w:rPr>
          <w:sz w:val="22"/>
          <w:szCs w:val="22"/>
          <w:lang w:val="en-GB"/>
        </w:rPr>
        <w:t xml:space="preserve">). </w:t>
      </w:r>
    </w:p>
  </w:footnote>
  <w:footnote w:id="55">
    <w:p w14:paraId="335728FE" w14:textId="65488C2B"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The ECtHR interprets Article 8 as protecting transgender persons’ right to access gender reassignment surgery without obstruction from state authorities (see </w:t>
      </w:r>
      <w:r w:rsidRPr="00B969C6">
        <w:rPr>
          <w:rFonts w:cs="Times New Roman"/>
          <w:i/>
          <w:iCs/>
          <w:sz w:val="22"/>
          <w:szCs w:val="22"/>
        </w:rPr>
        <w:t>L v Lithuania</w:t>
      </w:r>
      <w:r w:rsidRPr="00B969C6">
        <w:rPr>
          <w:rFonts w:cs="Times New Roman"/>
          <w:sz w:val="22"/>
          <w:szCs w:val="22"/>
        </w:rPr>
        <w:t xml:space="preserve"> App no. 27527/03 (ECtHR, 11 September 2007)</w:t>
      </w:r>
      <w:r w:rsidRPr="00B969C6">
        <w:rPr>
          <w:sz w:val="22"/>
          <w:szCs w:val="22"/>
          <w:lang w:val="en-GB"/>
        </w:rPr>
        <w:t xml:space="preserve">; and </w:t>
      </w:r>
      <w:r w:rsidRPr="00B969C6">
        <w:rPr>
          <w:rFonts w:cs="Times New Roman"/>
          <w:i/>
          <w:iCs/>
          <w:sz w:val="22"/>
          <w:szCs w:val="22"/>
        </w:rPr>
        <w:t>YY v Turkey</w:t>
      </w:r>
      <w:r w:rsidRPr="00B969C6">
        <w:rPr>
          <w:rFonts w:cs="Times New Roman"/>
          <w:sz w:val="22"/>
          <w:szCs w:val="22"/>
        </w:rPr>
        <w:t xml:space="preserve"> App no. 14793/08 (ECtHR, 8 January 2009)</w:t>
      </w:r>
      <w:r w:rsidRPr="00B969C6">
        <w:rPr>
          <w:sz w:val="22"/>
          <w:szCs w:val="22"/>
          <w:lang w:val="en-GB"/>
        </w:rPr>
        <w:t xml:space="preserve">); and without obstruction from private health insurers (see </w:t>
      </w:r>
      <w:r w:rsidRPr="00B969C6">
        <w:rPr>
          <w:rFonts w:cs="Times New Roman"/>
          <w:i/>
          <w:iCs/>
          <w:sz w:val="22"/>
          <w:szCs w:val="22"/>
        </w:rPr>
        <w:t>Van Kück v Germany</w:t>
      </w:r>
      <w:r w:rsidRPr="00B969C6">
        <w:rPr>
          <w:rFonts w:cs="Times New Roman"/>
          <w:sz w:val="22"/>
          <w:szCs w:val="22"/>
        </w:rPr>
        <w:t xml:space="preserve"> App no. 35968/97 (ECtHR, 12 June 2003)</w:t>
      </w:r>
      <w:r w:rsidRPr="00B969C6">
        <w:rPr>
          <w:sz w:val="22"/>
          <w:szCs w:val="22"/>
          <w:lang w:val="en-GB"/>
        </w:rPr>
        <w:t xml:space="preserve">; and </w:t>
      </w:r>
      <w:r w:rsidRPr="00B969C6">
        <w:rPr>
          <w:rFonts w:cs="Times New Roman"/>
          <w:i/>
          <w:iCs/>
          <w:sz w:val="22"/>
          <w:szCs w:val="22"/>
        </w:rPr>
        <w:t>Schlumpf v Switzerland</w:t>
      </w:r>
      <w:r w:rsidRPr="00B969C6">
        <w:rPr>
          <w:rFonts w:cs="Times New Roman"/>
          <w:sz w:val="22"/>
          <w:szCs w:val="22"/>
        </w:rPr>
        <w:t xml:space="preserve"> App no. 29002/06 (ECtHR, 8 January 2009)</w:t>
      </w:r>
      <w:r w:rsidRPr="00B969C6">
        <w:rPr>
          <w:sz w:val="22"/>
          <w:szCs w:val="22"/>
          <w:lang w:val="en-GB"/>
        </w:rPr>
        <w:t>).</w:t>
      </w:r>
    </w:p>
  </w:footnote>
  <w:footnote w:id="56">
    <w:p w14:paraId="402E9D24" w14:textId="57766EB9"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sz w:val="22"/>
          <w:szCs w:val="22"/>
        </w:rPr>
        <w:t>ECHR (n 13), Article 8.</w:t>
      </w:r>
    </w:p>
  </w:footnote>
  <w:footnote w:id="57">
    <w:p w14:paraId="383EE525" w14:textId="60CEDB27"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sz w:val="22"/>
          <w:szCs w:val="22"/>
        </w:rPr>
        <w:t>ibid, Article 8(2).</w:t>
      </w:r>
    </w:p>
  </w:footnote>
  <w:footnote w:id="58">
    <w:p w14:paraId="2763F589" w14:textId="7961F44A"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i/>
          <w:iCs/>
          <w:sz w:val="22"/>
          <w:szCs w:val="22"/>
        </w:rPr>
        <w:t>VC v Slovakia</w:t>
      </w:r>
      <w:r w:rsidRPr="00B969C6">
        <w:rPr>
          <w:rFonts w:cs="Times New Roman"/>
          <w:sz w:val="22"/>
          <w:szCs w:val="22"/>
        </w:rPr>
        <w:t xml:space="preserve"> (n 23)</w:t>
      </w:r>
      <w:r w:rsidRPr="00B969C6">
        <w:rPr>
          <w:sz w:val="22"/>
          <w:szCs w:val="22"/>
          <w:lang w:val="en-GB"/>
        </w:rPr>
        <w:t xml:space="preserve">; </w:t>
      </w:r>
      <w:r w:rsidRPr="00B969C6">
        <w:rPr>
          <w:rFonts w:cs="Times New Roman"/>
          <w:i/>
          <w:iCs/>
          <w:sz w:val="22"/>
          <w:szCs w:val="22"/>
        </w:rPr>
        <w:t>NB v Slovakia</w:t>
      </w:r>
      <w:r w:rsidRPr="00B969C6">
        <w:rPr>
          <w:rFonts w:cs="Times New Roman"/>
          <w:sz w:val="22"/>
          <w:szCs w:val="22"/>
        </w:rPr>
        <w:t xml:space="preserve"> (n 23)</w:t>
      </w:r>
      <w:r w:rsidRPr="00B969C6">
        <w:rPr>
          <w:sz w:val="22"/>
          <w:szCs w:val="22"/>
          <w:lang w:val="en-GB"/>
        </w:rPr>
        <w:t xml:space="preserve">; </w:t>
      </w:r>
      <w:r w:rsidRPr="00B969C6">
        <w:rPr>
          <w:rFonts w:cs="Times New Roman"/>
          <w:i/>
          <w:iCs/>
          <w:sz w:val="22"/>
          <w:szCs w:val="22"/>
        </w:rPr>
        <w:t>IG and others v Slovakia</w:t>
      </w:r>
      <w:r w:rsidRPr="00B969C6">
        <w:rPr>
          <w:rFonts w:cs="Times New Roman"/>
          <w:sz w:val="22"/>
          <w:szCs w:val="22"/>
        </w:rPr>
        <w:t xml:space="preserve"> (n 23).</w:t>
      </w:r>
    </w:p>
  </w:footnote>
  <w:footnote w:id="59">
    <w:p w14:paraId="47641578" w14:textId="328D53A9"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0045442E" w:rsidRPr="00B969C6">
        <w:rPr>
          <w:rFonts w:cs="Times New Roman"/>
          <w:i/>
          <w:iCs/>
          <w:sz w:val="22"/>
          <w:szCs w:val="22"/>
        </w:rPr>
        <w:t>KH and others v Slovakia</w:t>
      </w:r>
      <w:r w:rsidRPr="00B969C6">
        <w:rPr>
          <w:rFonts w:cs="Times New Roman"/>
          <w:sz w:val="22"/>
          <w:szCs w:val="22"/>
        </w:rPr>
        <w:t xml:space="preserve"> (n 23).</w:t>
      </w:r>
    </w:p>
  </w:footnote>
  <w:footnote w:id="60">
    <w:p w14:paraId="596B5648" w14:textId="03D1F070"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i/>
          <w:iCs/>
          <w:sz w:val="22"/>
          <w:szCs w:val="22"/>
        </w:rPr>
        <w:t>VC v Slovakia</w:t>
      </w:r>
      <w:r w:rsidRPr="00B969C6">
        <w:rPr>
          <w:rFonts w:cs="Times New Roman"/>
          <w:sz w:val="22"/>
          <w:szCs w:val="22"/>
        </w:rPr>
        <w:t xml:space="preserve"> (n 23) paras 138–155</w:t>
      </w:r>
      <w:r w:rsidRPr="00B969C6">
        <w:rPr>
          <w:sz w:val="22"/>
          <w:szCs w:val="22"/>
          <w:lang w:val="en-GB"/>
        </w:rPr>
        <w:t xml:space="preserve">; </w:t>
      </w:r>
      <w:r w:rsidRPr="00B969C6">
        <w:rPr>
          <w:rFonts w:cs="Times New Roman"/>
          <w:i/>
          <w:iCs/>
          <w:sz w:val="22"/>
          <w:szCs w:val="22"/>
        </w:rPr>
        <w:t>NB v Slovakia</w:t>
      </w:r>
      <w:r w:rsidRPr="00B969C6">
        <w:rPr>
          <w:rFonts w:cs="Times New Roman"/>
          <w:sz w:val="22"/>
          <w:szCs w:val="22"/>
        </w:rPr>
        <w:t xml:space="preserve"> (n 23) paras 92–99;</w:t>
      </w:r>
      <w:r w:rsidRPr="00B969C6">
        <w:rPr>
          <w:rFonts w:cs="Times New Roman"/>
          <w:i/>
          <w:iCs/>
          <w:sz w:val="22"/>
          <w:szCs w:val="22"/>
        </w:rPr>
        <w:t xml:space="preserve"> IG and others v Slovakia</w:t>
      </w:r>
      <w:r w:rsidRPr="00B969C6">
        <w:rPr>
          <w:rFonts w:cs="Times New Roman"/>
          <w:sz w:val="22"/>
          <w:szCs w:val="22"/>
        </w:rPr>
        <w:t xml:space="preserve"> (n 23) paras 135–146.</w:t>
      </w:r>
    </w:p>
  </w:footnote>
  <w:footnote w:id="61">
    <w:p w14:paraId="61BD18C6" w14:textId="6A5A763A"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sz w:val="22"/>
          <w:szCs w:val="22"/>
        </w:rPr>
        <w:t>UNCESCR, ‘General Comment 22’ (n 1), see para 5</w:t>
      </w:r>
      <w:r w:rsidRPr="00B969C6">
        <w:rPr>
          <w:sz w:val="22"/>
          <w:szCs w:val="22"/>
          <w:lang w:val="en-GB"/>
        </w:rPr>
        <w:t xml:space="preserve"> which defines SRH; and see the words ‘autonomy’, ‘free’, ‘coercion’, ‘vulnerability’, ‘violence’ and ‘discrimination’, appearing multiple times in this document.</w:t>
      </w:r>
    </w:p>
  </w:footnote>
  <w:footnote w:id="62">
    <w:p w14:paraId="347DB8D8" w14:textId="01282CAF"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i/>
          <w:iCs/>
          <w:sz w:val="22"/>
          <w:szCs w:val="22"/>
        </w:rPr>
        <w:t>VC v Slovakia</w:t>
      </w:r>
      <w:r w:rsidRPr="00B969C6">
        <w:rPr>
          <w:rFonts w:cs="Times New Roman"/>
          <w:sz w:val="22"/>
          <w:szCs w:val="22"/>
        </w:rPr>
        <w:t xml:space="preserve"> (n 23) para 154</w:t>
      </w:r>
      <w:r w:rsidRPr="00B969C6">
        <w:rPr>
          <w:sz w:val="22"/>
          <w:szCs w:val="22"/>
          <w:lang w:val="en-GB"/>
        </w:rPr>
        <w:t xml:space="preserve">; </w:t>
      </w:r>
      <w:r w:rsidRPr="00B969C6">
        <w:rPr>
          <w:rFonts w:cs="Times New Roman"/>
          <w:i/>
          <w:iCs/>
          <w:sz w:val="22"/>
          <w:szCs w:val="22"/>
        </w:rPr>
        <w:t>NB v Slovakia</w:t>
      </w:r>
      <w:r w:rsidRPr="00B969C6">
        <w:rPr>
          <w:rFonts w:cs="Times New Roman"/>
          <w:sz w:val="22"/>
          <w:szCs w:val="22"/>
        </w:rPr>
        <w:t xml:space="preserve"> (n 23) paras 97–98</w:t>
      </w:r>
      <w:r w:rsidRPr="00B969C6">
        <w:rPr>
          <w:sz w:val="22"/>
          <w:szCs w:val="22"/>
          <w:lang w:val="en-GB"/>
        </w:rPr>
        <w:t xml:space="preserve">; </w:t>
      </w:r>
      <w:r w:rsidRPr="00B969C6">
        <w:rPr>
          <w:rFonts w:cs="Times New Roman"/>
          <w:i/>
          <w:iCs/>
          <w:sz w:val="22"/>
          <w:szCs w:val="22"/>
        </w:rPr>
        <w:t>IG and others v Slovakia</w:t>
      </w:r>
      <w:r w:rsidRPr="00B969C6">
        <w:rPr>
          <w:rFonts w:cs="Times New Roman"/>
          <w:sz w:val="22"/>
          <w:szCs w:val="22"/>
        </w:rPr>
        <w:t xml:space="preserve"> (n 23) paras 144–145.</w:t>
      </w:r>
    </w:p>
  </w:footnote>
  <w:footnote w:id="63">
    <w:p w14:paraId="1B17A4FC" w14:textId="68E3B7B9"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See in particular </w:t>
      </w:r>
      <w:r w:rsidRPr="00B969C6">
        <w:rPr>
          <w:rFonts w:cs="Times New Roman"/>
          <w:i/>
          <w:iCs/>
          <w:sz w:val="22"/>
          <w:szCs w:val="22"/>
        </w:rPr>
        <w:t>VC v Slovakia</w:t>
      </w:r>
      <w:r w:rsidRPr="00B969C6">
        <w:rPr>
          <w:rFonts w:cs="Times New Roman"/>
          <w:sz w:val="22"/>
          <w:szCs w:val="22"/>
        </w:rPr>
        <w:t xml:space="preserve"> (n 23) paras 145–149</w:t>
      </w:r>
      <w:r w:rsidRPr="00B969C6">
        <w:rPr>
          <w:sz w:val="22"/>
          <w:szCs w:val="22"/>
          <w:lang w:val="en-GB"/>
        </w:rPr>
        <w:t>, highlighting findings from the Council of Europe Commissioner for Human Rights, the European Commission against Racism and Intolerance, the UN Committee on the Elimination of Discrimination against Women, and the Slovakian Ministry of Health.</w:t>
      </w:r>
    </w:p>
  </w:footnote>
  <w:footnote w:id="64">
    <w:p w14:paraId="31A44CDB" w14:textId="3B53BD03"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sz w:val="22"/>
          <w:szCs w:val="22"/>
        </w:rPr>
        <w:t>Brice Dickson, ‘Positive Obligations and the European Court of Human Rights Special Issue: Positive Obligations and the European Court of Human Rights’ (2010) 61 Northern Ireland Legal Quarterly 203, 204–205.</w:t>
      </w:r>
      <w:r w:rsidRPr="00B969C6">
        <w:rPr>
          <w:sz w:val="22"/>
          <w:szCs w:val="22"/>
          <w:lang w:val="en-GB"/>
        </w:rPr>
        <w:t xml:space="preserve"> It is worth noting, nevertheless, that the UN promotes an even more comprehensive account of states’ obligations through the tripartite typology ‘respect, protect, fulfil’, e.g. </w:t>
      </w:r>
      <w:r w:rsidRPr="00B969C6">
        <w:rPr>
          <w:rFonts w:cs="Times New Roman"/>
          <w:sz w:val="22"/>
          <w:szCs w:val="22"/>
        </w:rPr>
        <w:t>UNCESCR, ‘General Comment 22’ (n 1) paras 39–48.</w:t>
      </w:r>
    </w:p>
  </w:footnote>
  <w:footnote w:id="65">
    <w:p w14:paraId="03AE008C" w14:textId="3501BFAE"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i/>
          <w:iCs/>
          <w:sz w:val="22"/>
          <w:szCs w:val="22"/>
        </w:rPr>
        <w:t>GB and RB v the Republic of Moldova</w:t>
      </w:r>
      <w:r w:rsidRPr="00B969C6">
        <w:rPr>
          <w:rFonts w:cs="Times New Roman"/>
          <w:sz w:val="22"/>
          <w:szCs w:val="22"/>
        </w:rPr>
        <w:t xml:space="preserve"> App no. 16761/09 (ECtHR, 18 December 2012)</w:t>
      </w:r>
      <w:r w:rsidR="0045442E" w:rsidRPr="00B969C6">
        <w:rPr>
          <w:rFonts w:cs="Times New Roman"/>
          <w:sz w:val="22"/>
          <w:szCs w:val="22"/>
        </w:rPr>
        <w:t>;</w:t>
      </w:r>
      <w:r w:rsidRPr="00B969C6">
        <w:rPr>
          <w:sz w:val="22"/>
          <w:szCs w:val="22"/>
          <w:lang w:val="en-GB"/>
        </w:rPr>
        <w:t xml:space="preserve"> </w:t>
      </w:r>
      <w:r w:rsidRPr="00B969C6">
        <w:rPr>
          <w:rFonts w:cs="Times New Roman"/>
          <w:i/>
          <w:iCs/>
          <w:sz w:val="22"/>
          <w:szCs w:val="22"/>
        </w:rPr>
        <w:t>Csoma v Romania</w:t>
      </w:r>
      <w:r w:rsidRPr="00B969C6">
        <w:rPr>
          <w:rFonts w:cs="Times New Roman"/>
          <w:sz w:val="22"/>
          <w:szCs w:val="22"/>
        </w:rPr>
        <w:t xml:space="preserve"> App no. 8759/05 (ECtHR, 15 January 2013).</w:t>
      </w:r>
      <w:r w:rsidRPr="00B969C6">
        <w:rPr>
          <w:sz w:val="22"/>
          <w:szCs w:val="22"/>
          <w:lang w:val="en-GB"/>
        </w:rPr>
        <w:t xml:space="preserve"> </w:t>
      </w:r>
    </w:p>
  </w:footnote>
  <w:footnote w:id="66">
    <w:p w14:paraId="4557ACFD" w14:textId="7F67785C"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i/>
          <w:iCs/>
          <w:sz w:val="22"/>
          <w:szCs w:val="22"/>
        </w:rPr>
        <w:t>Csoma v. Romania</w:t>
      </w:r>
      <w:r w:rsidRPr="00B969C6">
        <w:rPr>
          <w:rFonts w:cs="Times New Roman"/>
          <w:sz w:val="22"/>
          <w:szCs w:val="22"/>
        </w:rPr>
        <w:t xml:space="preserve"> (n 65) paras 62–68.</w:t>
      </w:r>
      <w:r w:rsidRPr="00B969C6">
        <w:rPr>
          <w:sz w:val="22"/>
          <w:szCs w:val="22"/>
          <w:lang w:val="en-GB"/>
        </w:rPr>
        <w:t xml:space="preserve"> </w:t>
      </w:r>
    </w:p>
  </w:footnote>
  <w:footnote w:id="67">
    <w:p w14:paraId="4F942D3E" w14:textId="29B89F5A"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i/>
          <w:iCs/>
          <w:sz w:val="22"/>
          <w:szCs w:val="22"/>
        </w:rPr>
        <w:t>GB and RB v the Republic of Moldova</w:t>
      </w:r>
      <w:r w:rsidRPr="00B969C6">
        <w:rPr>
          <w:rFonts w:cs="Times New Roman"/>
          <w:sz w:val="22"/>
          <w:szCs w:val="22"/>
        </w:rPr>
        <w:t xml:space="preserve"> (n 65) para 32.</w:t>
      </w:r>
      <w:r w:rsidRPr="00B969C6">
        <w:rPr>
          <w:sz w:val="22"/>
          <w:szCs w:val="22"/>
          <w:lang w:val="en-GB"/>
        </w:rPr>
        <w:t xml:space="preserve"> </w:t>
      </w:r>
    </w:p>
  </w:footnote>
  <w:footnote w:id="68">
    <w:p w14:paraId="02987A5F" w14:textId="5048B481"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sz w:val="22"/>
          <w:szCs w:val="22"/>
        </w:rPr>
        <w:t>UNCESCR, ‘General Comment 22’ (n 1) para 64.</w:t>
      </w:r>
    </w:p>
  </w:footnote>
  <w:footnote w:id="69">
    <w:p w14:paraId="75E80E80" w14:textId="5DE2CC95"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i/>
          <w:iCs/>
          <w:sz w:val="22"/>
          <w:szCs w:val="22"/>
        </w:rPr>
        <w:t>GB and RB v the Republic of Moldova</w:t>
      </w:r>
      <w:r w:rsidRPr="00B969C6">
        <w:rPr>
          <w:rFonts w:cs="Times New Roman"/>
          <w:sz w:val="22"/>
          <w:szCs w:val="22"/>
        </w:rPr>
        <w:t xml:space="preserve"> (n 65) paras 29–30</w:t>
      </w:r>
      <w:r w:rsidRPr="00B969C6">
        <w:rPr>
          <w:sz w:val="22"/>
          <w:szCs w:val="22"/>
          <w:lang w:val="en-GB"/>
        </w:rPr>
        <w:t xml:space="preserve">; </w:t>
      </w:r>
      <w:r w:rsidRPr="00B969C6">
        <w:rPr>
          <w:rFonts w:cs="Times New Roman"/>
          <w:i/>
          <w:iCs/>
          <w:sz w:val="22"/>
          <w:szCs w:val="22"/>
        </w:rPr>
        <w:t>Csoma v. Romania</w:t>
      </w:r>
      <w:r w:rsidRPr="00B969C6">
        <w:rPr>
          <w:rFonts w:cs="Times New Roman"/>
          <w:sz w:val="22"/>
          <w:szCs w:val="22"/>
        </w:rPr>
        <w:t xml:space="preserve"> (n 65) paras 42 and 48.</w:t>
      </w:r>
    </w:p>
  </w:footnote>
  <w:footnote w:id="70">
    <w:p w14:paraId="6D41EEEC" w14:textId="1B5CC18E"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i/>
          <w:iCs/>
          <w:sz w:val="22"/>
          <w:szCs w:val="22"/>
        </w:rPr>
        <w:t>Carvalho Pinto de Sousa Morais v Portugal</w:t>
      </w:r>
      <w:r w:rsidRPr="00B969C6">
        <w:rPr>
          <w:rFonts w:cs="Times New Roman"/>
          <w:sz w:val="22"/>
          <w:szCs w:val="22"/>
        </w:rPr>
        <w:t xml:space="preserve"> App no. 17484/15 (ECtHR, 25 July 2017).</w:t>
      </w:r>
    </w:p>
  </w:footnote>
  <w:footnote w:id="71">
    <w:p w14:paraId="398FA4CA" w14:textId="24919270"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sz w:val="22"/>
          <w:szCs w:val="22"/>
        </w:rPr>
        <w:t>ibid para 48.</w:t>
      </w:r>
    </w:p>
  </w:footnote>
  <w:footnote w:id="72">
    <w:p w14:paraId="69B563C8" w14:textId="67AC04D2"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sz w:val="22"/>
          <w:szCs w:val="22"/>
        </w:rPr>
        <w:t>ibid paras 16 and 49.</w:t>
      </w:r>
    </w:p>
  </w:footnote>
  <w:footnote w:id="73">
    <w:p w14:paraId="4FCF2445" w14:textId="09BD09D7"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sz w:val="22"/>
          <w:szCs w:val="22"/>
        </w:rPr>
        <w:t>ibid para 52.</w:t>
      </w:r>
    </w:p>
  </w:footnote>
  <w:footnote w:id="74">
    <w:p w14:paraId="620BBB5B" w14:textId="20024B01"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sz w:val="22"/>
          <w:szCs w:val="22"/>
        </w:rPr>
        <w:t>ibid paras 30–56.</w:t>
      </w:r>
    </w:p>
  </w:footnote>
  <w:footnote w:id="75">
    <w:p w14:paraId="4D32BEE4" w14:textId="7FFF7E05"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sz w:val="22"/>
          <w:szCs w:val="22"/>
        </w:rPr>
        <w:t>UNCESCR, ‘General Comment 22’ (n 1) paras 6 and 35</w:t>
      </w:r>
      <w:r w:rsidRPr="00B969C6">
        <w:rPr>
          <w:sz w:val="22"/>
          <w:szCs w:val="22"/>
          <w:lang w:val="en-GB"/>
        </w:rPr>
        <w:t xml:space="preserve">; </w:t>
      </w:r>
      <w:r w:rsidRPr="00B969C6">
        <w:rPr>
          <w:sz w:val="22"/>
          <w:szCs w:val="22"/>
        </w:rPr>
        <w:t xml:space="preserve">WHO, </w:t>
      </w:r>
      <w:r w:rsidRPr="00B969C6">
        <w:rPr>
          <w:rFonts w:cs="Times New Roman"/>
          <w:sz w:val="22"/>
          <w:szCs w:val="22"/>
        </w:rPr>
        <w:t>‘Reproductive Health Strategy</w:t>
      </w:r>
      <w:r w:rsidRPr="00B969C6">
        <w:rPr>
          <w:sz w:val="22"/>
          <w:szCs w:val="22"/>
        </w:rPr>
        <w:t>’ (n 6) 21, para 35</w:t>
      </w:r>
      <w:r w:rsidRPr="00B969C6">
        <w:rPr>
          <w:sz w:val="22"/>
          <w:szCs w:val="22"/>
          <w:lang w:val="en-GB"/>
        </w:rPr>
        <w:t xml:space="preserve">; </w:t>
      </w:r>
      <w:r w:rsidRPr="00B969C6">
        <w:rPr>
          <w:sz w:val="22"/>
          <w:szCs w:val="22"/>
        </w:rPr>
        <w:t>Report of the Guttmacher–Lancet Commission (n 7) 8.</w:t>
      </w:r>
      <w:r w:rsidRPr="00B969C6">
        <w:rPr>
          <w:sz w:val="22"/>
          <w:szCs w:val="22"/>
          <w:lang w:val="en-GB"/>
        </w:rPr>
        <w:t xml:space="preserve"> </w:t>
      </w:r>
    </w:p>
  </w:footnote>
  <w:footnote w:id="76">
    <w:p w14:paraId="214921C1" w14:textId="0E7EE53F" w:rsidR="009156EA" w:rsidRPr="00B969C6" w:rsidRDefault="009156EA" w:rsidP="00B969C6">
      <w:pPr>
        <w:pStyle w:val="FootnoteText"/>
        <w:spacing w:before="120" w:after="120"/>
        <w:jc w:val="both"/>
        <w:rPr>
          <w:sz w:val="22"/>
          <w:szCs w:val="22"/>
          <w:lang w:val="fr-FR"/>
        </w:rPr>
      </w:pPr>
      <w:r w:rsidRPr="00B969C6">
        <w:rPr>
          <w:rStyle w:val="FootnoteReference"/>
          <w:sz w:val="22"/>
          <w:szCs w:val="22"/>
        </w:rPr>
        <w:footnoteRef/>
      </w:r>
      <w:r w:rsidRPr="00B969C6">
        <w:rPr>
          <w:sz w:val="22"/>
          <w:szCs w:val="22"/>
          <w:lang w:val="fr-FR"/>
        </w:rPr>
        <w:t xml:space="preserve"> </w:t>
      </w:r>
      <w:r w:rsidRPr="00B969C6">
        <w:rPr>
          <w:rFonts w:cs="Times New Roman"/>
          <w:i/>
          <w:iCs/>
          <w:sz w:val="22"/>
          <w:szCs w:val="22"/>
          <w:lang w:val="fr-FR"/>
        </w:rPr>
        <w:t>Tysiac v Poland</w:t>
      </w:r>
      <w:r w:rsidRPr="00B969C6">
        <w:rPr>
          <w:rFonts w:cs="Times New Roman"/>
          <w:sz w:val="22"/>
          <w:szCs w:val="22"/>
          <w:lang w:val="fr-FR"/>
        </w:rPr>
        <w:t xml:space="preserve"> (n 36) paras 114–130</w:t>
      </w:r>
      <w:r w:rsidRPr="00B969C6">
        <w:rPr>
          <w:sz w:val="22"/>
          <w:szCs w:val="22"/>
          <w:lang w:val="fr-FR"/>
        </w:rPr>
        <w:t xml:space="preserve">; </w:t>
      </w:r>
      <w:r w:rsidRPr="00B969C6">
        <w:rPr>
          <w:rFonts w:cs="Times New Roman"/>
          <w:i/>
          <w:iCs/>
          <w:sz w:val="22"/>
          <w:szCs w:val="22"/>
          <w:lang w:val="fr-FR"/>
        </w:rPr>
        <w:t>RR v Poland</w:t>
      </w:r>
      <w:r w:rsidRPr="00B969C6">
        <w:rPr>
          <w:rFonts w:cs="Times New Roman"/>
          <w:sz w:val="22"/>
          <w:szCs w:val="22"/>
          <w:lang w:val="fr-FR"/>
        </w:rPr>
        <w:t xml:space="preserve"> (n 44) paras 192–214</w:t>
      </w:r>
      <w:r w:rsidRPr="00B969C6">
        <w:rPr>
          <w:sz w:val="22"/>
          <w:szCs w:val="22"/>
          <w:lang w:val="fr-FR"/>
        </w:rPr>
        <w:t xml:space="preserve">; </w:t>
      </w:r>
      <w:r w:rsidRPr="00B969C6">
        <w:rPr>
          <w:rFonts w:cs="Times New Roman"/>
          <w:i/>
          <w:iCs/>
          <w:sz w:val="22"/>
          <w:szCs w:val="22"/>
          <w:lang w:val="fr-FR"/>
        </w:rPr>
        <w:t>P and S v Poland</w:t>
      </w:r>
      <w:r w:rsidRPr="00B969C6">
        <w:rPr>
          <w:rFonts w:cs="Times New Roman"/>
          <w:sz w:val="22"/>
          <w:szCs w:val="22"/>
          <w:lang w:val="fr-FR"/>
        </w:rPr>
        <w:t xml:space="preserve"> (n 49) paras 100–112.</w:t>
      </w:r>
    </w:p>
  </w:footnote>
  <w:footnote w:id="77">
    <w:p w14:paraId="0DA09BC5" w14:textId="76745C89" w:rsidR="009156EA" w:rsidRPr="00B969C6" w:rsidRDefault="009156EA" w:rsidP="00B969C6">
      <w:pPr>
        <w:pStyle w:val="FootnoteText"/>
        <w:spacing w:before="120" w:after="120"/>
        <w:jc w:val="both"/>
        <w:rPr>
          <w:sz w:val="22"/>
          <w:szCs w:val="22"/>
          <w:lang w:val="fr-FR"/>
        </w:rPr>
      </w:pPr>
      <w:r w:rsidRPr="00B969C6">
        <w:rPr>
          <w:rStyle w:val="FootnoteReference"/>
          <w:sz w:val="22"/>
          <w:szCs w:val="22"/>
        </w:rPr>
        <w:footnoteRef/>
      </w:r>
      <w:r w:rsidRPr="00B969C6">
        <w:rPr>
          <w:sz w:val="22"/>
          <w:szCs w:val="22"/>
          <w:lang w:val="fr-FR"/>
        </w:rPr>
        <w:t xml:space="preserve"> </w:t>
      </w:r>
      <w:r w:rsidRPr="00B969C6">
        <w:rPr>
          <w:rFonts w:cs="Times New Roman"/>
          <w:i/>
          <w:iCs/>
          <w:sz w:val="22"/>
          <w:szCs w:val="22"/>
          <w:lang w:val="fr-FR"/>
        </w:rPr>
        <w:t>Tysiac v Poland</w:t>
      </w:r>
      <w:r w:rsidRPr="00B969C6">
        <w:rPr>
          <w:rFonts w:cs="Times New Roman"/>
          <w:sz w:val="22"/>
          <w:szCs w:val="22"/>
          <w:lang w:val="fr-FR"/>
        </w:rPr>
        <w:t xml:space="preserve"> (n 36) para 118.</w:t>
      </w:r>
    </w:p>
  </w:footnote>
  <w:footnote w:id="78">
    <w:p w14:paraId="65847FF3" w14:textId="6A85CD03"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sz w:val="22"/>
          <w:szCs w:val="22"/>
        </w:rPr>
        <w:t>ibid para 124.</w:t>
      </w:r>
    </w:p>
  </w:footnote>
  <w:footnote w:id="79">
    <w:p w14:paraId="272D6DA3" w14:textId="4D7ABADD"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sz w:val="22"/>
          <w:szCs w:val="22"/>
        </w:rPr>
        <w:t>ibid para 113</w:t>
      </w:r>
      <w:r w:rsidR="00205645" w:rsidRPr="00B969C6">
        <w:rPr>
          <w:sz w:val="22"/>
          <w:szCs w:val="22"/>
          <w:lang w:val="en-GB"/>
        </w:rPr>
        <w:t xml:space="preserve">. This statement was initially made in </w:t>
      </w:r>
      <w:r w:rsidR="00205645" w:rsidRPr="00B969C6">
        <w:rPr>
          <w:rFonts w:cs="Times New Roman"/>
          <w:i/>
          <w:iCs/>
          <w:sz w:val="22"/>
          <w:szCs w:val="22"/>
        </w:rPr>
        <w:t>Airey v Ireland</w:t>
      </w:r>
      <w:r w:rsidR="00205645" w:rsidRPr="00B969C6">
        <w:rPr>
          <w:rFonts w:cs="Times New Roman"/>
          <w:sz w:val="22"/>
          <w:szCs w:val="22"/>
        </w:rPr>
        <w:t xml:space="preserve"> Series A no 32 (ECtHR, 9 October 1979) para 24</w:t>
      </w:r>
      <w:r w:rsidR="00205645" w:rsidRPr="00B969C6">
        <w:rPr>
          <w:sz w:val="22"/>
          <w:szCs w:val="22"/>
          <w:lang w:val="en-GB"/>
        </w:rPr>
        <w:t>, in the context of legal aid. It was reiterated in</w:t>
      </w:r>
      <w:r w:rsidRPr="00B969C6">
        <w:rPr>
          <w:sz w:val="22"/>
          <w:szCs w:val="22"/>
          <w:lang w:val="en-GB"/>
        </w:rPr>
        <w:t xml:space="preserve"> </w:t>
      </w:r>
      <w:r w:rsidRPr="00B969C6">
        <w:rPr>
          <w:rFonts w:cs="Times New Roman"/>
          <w:i/>
          <w:iCs/>
          <w:sz w:val="22"/>
          <w:szCs w:val="22"/>
        </w:rPr>
        <w:t>RR v Poland</w:t>
      </w:r>
      <w:r w:rsidRPr="00B969C6">
        <w:rPr>
          <w:rFonts w:cs="Times New Roman"/>
          <w:sz w:val="22"/>
          <w:szCs w:val="22"/>
        </w:rPr>
        <w:t xml:space="preserve"> (n 44) para 191</w:t>
      </w:r>
      <w:r w:rsidRPr="00B969C6">
        <w:rPr>
          <w:sz w:val="22"/>
          <w:szCs w:val="22"/>
          <w:lang w:val="en-GB"/>
        </w:rPr>
        <w:t xml:space="preserve">; </w:t>
      </w:r>
      <w:r w:rsidR="00205645" w:rsidRPr="00B969C6">
        <w:rPr>
          <w:sz w:val="22"/>
          <w:szCs w:val="22"/>
          <w:lang w:val="en-GB"/>
        </w:rPr>
        <w:t xml:space="preserve">and in </w:t>
      </w:r>
      <w:r w:rsidRPr="00B969C6">
        <w:rPr>
          <w:rFonts w:cs="Times New Roman"/>
          <w:i/>
          <w:iCs/>
          <w:sz w:val="22"/>
          <w:szCs w:val="22"/>
        </w:rPr>
        <w:t>P and S v Poland</w:t>
      </w:r>
      <w:r w:rsidRPr="00B969C6">
        <w:rPr>
          <w:rFonts w:cs="Times New Roman"/>
          <w:sz w:val="22"/>
          <w:szCs w:val="22"/>
        </w:rPr>
        <w:t xml:space="preserve"> (n 49) para 99.</w:t>
      </w:r>
      <w:r w:rsidRPr="00B969C6">
        <w:rPr>
          <w:sz w:val="22"/>
          <w:szCs w:val="22"/>
          <w:lang w:val="en-GB"/>
        </w:rPr>
        <w:t xml:space="preserve"> </w:t>
      </w:r>
    </w:p>
  </w:footnote>
  <w:footnote w:id="80">
    <w:p w14:paraId="14D3D052" w14:textId="67985663" w:rsidR="009156EA" w:rsidRPr="00B969C6" w:rsidRDefault="009156EA" w:rsidP="00B969C6">
      <w:pPr>
        <w:pStyle w:val="FootnoteText"/>
        <w:spacing w:before="120" w:after="120"/>
        <w:jc w:val="both"/>
        <w:rPr>
          <w:sz w:val="22"/>
          <w:szCs w:val="22"/>
        </w:rPr>
      </w:pPr>
      <w:r w:rsidRPr="00B969C6">
        <w:rPr>
          <w:rStyle w:val="FootnoteReference"/>
          <w:sz w:val="22"/>
          <w:szCs w:val="22"/>
        </w:rPr>
        <w:footnoteRef/>
      </w:r>
      <w:r w:rsidRPr="00B969C6">
        <w:rPr>
          <w:sz w:val="22"/>
          <w:szCs w:val="22"/>
          <w:lang w:val="en-GB"/>
        </w:rPr>
        <w:t xml:space="preserve"> </w:t>
      </w:r>
      <w:r w:rsidR="00431946" w:rsidRPr="00B969C6">
        <w:rPr>
          <w:sz w:val="22"/>
          <w:szCs w:val="22"/>
          <w:lang w:val="en-GB"/>
        </w:rPr>
        <w:t xml:space="preserve">This is how </w:t>
      </w:r>
      <w:r w:rsidR="00431946" w:rsidRPr="00B969C6">
        <w:rPr>
          <w:rFonts w:cs="Times New Roman"/>
          <w:i/>
          <w:iCs/>
          <w:sz w:val="22"/>
          <w:szCs w:val="22"/>
        </w:rPr>
        <w:t>RR v Poland</w:t>
      </w:r>
      <w:r w:rsidR="00431946" w:rsidRPr="00B969C6">
        <w:rPr>
          <w:rFonts w:cs="Times New Roman"/>
          <w:sz w:val="22"/>
          <w:szCs w:val="22"/>
        </w:rPr>
        <w:t xml:space="preserve"> (n 44) para 200</w:t>
      </w:r>
      <w:r w:rsidR="00431946" w:rsidRPr="00B969C6">
        <w:rPr>
          <w:sz w:val="22"/>
          <w:szCs w:val="22"/>
          <w:lang w:val="en-GB"/>
        </w:rPr>
        <w:t xml:space="preserve"> and </w:t>
      </w:r>
      <w:r w:rsidR="00431946" w:rsidRPr="00B969C6">
        <w:rPr>
          <w:rFonts w:cs="Times New Roman"/>
          <w:i/>
          <w:iCs/>
          <w:sz w:val="22"/>
          <w:szCs w:val="22"/>
        </w:rPr>
        <w:t>P and S v Poland</w:t>
      </w:r>
      <w:r w:rsidR="00431946" w:rsidRPr="00B969C6">
        <w:rPr>
          <w:rFonts w:cs="Times New Roman"/>
          <w:sz w:val="22"/>
          <w:szCs w:val="22"/>
        </w:rPr>
        <w:t xml:space="preserve"> (n 49) para 99, summarise (and refer to) the assessment of the Court in</w:t>
      </w:r>
      <w:r w:rsidR="00431946" w:rsidRPr="00B969C6">
        <w:rPr>
          <w:sz w:val="22"/>
          <w:szCs w:val="22"/>
          <w:lang w:val="en-GB"/>
        </w:rPr>
        <w:t xml:space="preserve"> </w:t>
      </w:r>
      <w:r w:rsidR="00431946" w:rsidRPr="00B969C6">
        <w:rPr>
          <w:rFonts w:cs="Times New Roman"/>
          <w:i/>
          <w:iCs/>
          <w:sz w:val="22"/>
          <w:szCs w:val="22"/>
        </w:rPr>
        <w:t>Tysiac v Poland</w:t>
      </w:r>
      <w:r w:rsidR="00431946" w:rsidRPr="00B969C6">
        <w:rPr>
          <w:rFonts w:cs="Times New Roman"/>
          <w:sz w:val="22"/>
          <w:szCs w:val="22"/>
        </w:rPr>
        <w:t xml:space="preserve"> (n 36) paras 116–124.</w:t>
      </w:r>
    </w:p>
  </w:footnote>
  <w:footnote w:id="81">
    <w:p w14:paraId="1CEBA5EB" w14:textId="30E5FACB"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i/>
          <w:iCs/>
          <w:sz w:val="22"/>
          <w:szCs w:val="22"/>
        </w:rPr>
        <w:t>A, B and C v Ireland</w:t>
      </w:r>
      <w:r w:rsidRPr="00B969C6">
        <w:rPr>
          <w:rFonts w:cs="Times New Roman"/>
          <w:sz w:val="22"/>
          <w:szCs w:val="22"/>
        </w:rPr>
        <w:t xml:space="preserve"> (n 39) para 249.</w:t>
      </w:r>
      <w:r w:rsidRPr="00B969C6">
        <w:rPr>
          <w:sz w:val="22"/>
          <w:szCs w:val="22"/>
          <w:lang w:val="en-GB"/>
        </w:rPr>
        <w:t xml:space="preserve"> </w:t>
      </w:r>
      <w:r w:rsidR="00EB0A3A" w:rsidRPr="00B969C6">
        <w:rPr>
          <w:sz w:val="22"/>
          <w:szCs w:val="22"/>
          <w:lang w:val="en-GB"/>
        </w:rPr>
        <w:t>See also</w:t>
      </w:r>
      <w:r w:rsidRPr="00B969C6">
        <w:rPr>
          <w:sz w:val="22"/>
          <w:szCs w:val="22"/>
          <w:lang w:val="en-GB"/>
        </w:rPr>
        <w:t xml:space="preserve"> </w:t>
      </w:r>
      <w:r w:rsidRPr="00B969C6">
        <w:rPr>
          <w:rFonts w:cs="Times New Roman"/>
          <w:i/>
          <w:iCs/>
          <w:sz w:val="22"/>
          <w:szCs w:val="22"/>
        </w:rPr>
        <w:t>RR v Poland</w:t>
      </w:r>
      <w:r w:rsidRPr="00B969C6">
        <w:rPr>
          <w:rFonts w:cs="Times New Roman"/>
          <w:sz w:val="22"/>
          <w:szCs w:val="22"/>
        </w:rPr>
        <w:t xml:space="preserve"> (n 44) para 187</w:t>
      </w:r>
      <w:r w:rsidR="00431946" w:rsidRPr="00B969C6">
        <w:rPr>
          <w:sz w:val="22"/>
          <w:szCs w:val="22"/>
          <w:lang w:val="en-GB"/>
        </w:rPr>
        <w:t>;</w:t>
      </w:r>
      <w:r w:rsidRPr="00B969C6">
        <w:rPr>
          <w:sz w:val="22"/>
          <w:szCs w:val="22"/>
          <w:lang w:val="en-GB"/>
        </w:rPr>
        <w:t xml:space="preserve"> and </w:t>
      </w:r>
      <w:r w:rsidRPr="00B969C6">
        <w:rPr>
          <w:rFonts w:cs="Times New Roman"/>
          <w:i/>
          <w:iCs/>
          <w:sz w:val="22"/>
          <w:szCs w:val="22"/>
        </w:rPr>
        <w:t>P and S v Poland</w:t>
      </w:r>
      <w:r w:rsidRPr="00B969C6">
        <w:rPr>
          <w:rFonts w:cs="Times New Roman"/>
          <w:sz w:val="22"/>
          <w:szCs w:val="22"/>
        </w:rPr>
        <w:t xml:space="preserve"> (n 49) para 99.</w:t>
      </w:r>
    </w:p>
  </w:footnote>
  <w:footnote w:id="82">
    <w:p w14:paraId="08CDB953" w14:textId="1A165E21"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i/>
          <w:iCs/>
          <w:sz w:val="22"/>
          <w:szCs w:val="22"/>
        </w:rPr>
        <w:t>RR v Poland</w:t>
      </w:r>
      <w:r w:rsidRPr="00B969C6">
        <w:rPr>
          <w:rFonts w:cs="Times New Roman"/>
          <w:sz w:val="22"/>
          <w:szCs w:val="22"/>
        </w:rPr>
        <w:t xml:space="preserve"> (n 44) para 206</w:t>
      </w:r>
      <w:r w:rsidR="00431946" w:rsidRPr="00B969C6">
        <w:rPr>
          <w:sz w:val="22"/>
          <w:szCs w:val="22"/>
          <w:lang w:val="en-GB"/>
        </w:rPr>
        <w:t>;</w:t>
      </w:r>
      <w:r w:rsidRPr="00B969C6">
        <w:rPr>
          <w:sz w:val="22"/>
          <w:szCs w:val="22"/>
          <w:lang w:val="en-GB"/>
        </w:rPr>
        <w:t xml:space="preserve"> </w:t>
      </w:r>
      <w:r w:rsidRPr="00B969C6">
        <w:rPr>
          <w:rFonts w:cs="Times New Roman"/>
          <w:i/>
          <w:iCs/>
          <w:sz w:val="22"/>
          <w:szCs w:val="22"/>
        </w:rPr>
        <w:t>P and S v Poland</w:t>
      </w:r>
      <w:r w:rsidRPr="00B969C6">
        <w:rPr>
          <w:rFonts w:cs="Times New Roman"/>
          <w:sz w:val="22"/>
          <w:szCs w:val="22"/>
        </w:rPr>
        <w:t xml:space="preserve"> (n 49) paras 106–107.</w:t>
      </w:r>
    </w:p>
  </w:footnote>
  <w:footnote w:id="83">
    <w:p w14:paraId="644BC14A" w14:textId="15AF05B5"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sz w:val="22"/>
          <w:szCs w:val="22"/>
        </w:rPr>
        <w:t>UNCESCR, ‘General Comment 22’ (n 1) paras 10, 25, 34.</w:t>
      </w:r>
    </w:p>
  </w:footnote>
  <w:footnote w:id="84">
    <w:p w14:paraId="494330A3" w14:textId="4F5AD485"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00FA46A9" w:rsidRPr="00B969C6">
        <w:rPr>
          <w:rFonts w:cs="Times New Roman"/>
          <w:i/>
          <w:iCs/>
          <w:sz w:val="22"/>
          <w:szCs w:val="22"/>
        </w:rPr>
        <w:t>A</w:t>
      </w:r>
      <w:r w:rsidR="0023082E" w:rsidRPr="00B969C6">
        <w:rPr>
          <w:rFonts w:cs="Times New Roman"/>
          <w:i/>
          <w:iCs/>
          <w:sz w:val="22"/>
          <w:szCs w:val="22"/>
        </w:rPr>
        <w:t>, B and C v</w:t>
      </w:r>
      <w:r w:rsidRPr="00B969C6">
        <w:rPr>
          <w:rFonts w:cs="Times New Roman"/>
          <w:i/>
          <w:iCs/>
          <w:sz w:val="22"/>
          <w:szCs w:val="22"/>
        </w:rPr>
        <w:t xml:space="preserve"> Ireland</w:t>
      </w:r>
      <w:r w:rsidR="0023082E" w:rsidRPr="00B969C6">
        <w:rPr>
          <w:rFonts w:cs="Times New Roman"/>
          <w:sz w:val="22"/>
          <w:szCs w:val="22"/>
        </w:rPr>
        <w:t xml:space="preserve"> (n 39) paras 216–218</w:t>
      </w:r>
      <w:r w:rsidRPr="00B969C6">
        <w:rPr>
          <w:rFonts w:cs="Times New Roman"/>
          <w:sz w:val="22"/>
          <w:szCs w:val="22"/>
        </w:rPr>
        <w:t>.</w:t>
      </w:r>
    </w:p>
  </w:footnote>
  <w:footnote w:id="85">
    <w:p w14:paraId="31ADC79D" w14:textId="5A64A2E0" w:rsidR="009156EA" w:rsidRPr="00B969C6" w:rsidRDefault="009156EA" w:rsidP="00B969C6">
      <w:pPr>
        <w:pStyle w:val="FootnoteText"/>
        <w:spacing w:before="120" w:after="120"/>
        <w:jc w:val="both"/>
        <w:rPr>
          <w:sz w:val="22"/>
          <w:szCs w:val="22"/>
          <w:lang w:val="fr-FR"/>
        </w:rPr>
      </w:pPr>
      <w:r w:rsidRPr="00B969C6">
        <w:rPr>
          <w:rStyle w:val="FootnoteReference"/>
          <w:sz w:val="22"/>
          <w:szCs w:val="22"/>
        </w:rPr>
        <w:footnoteRef/>
      </w:r>
      <w:r w:rsidRPr="00B969C6">
        <w:rPr>
          <w:sz w:val="22"/>
          <w:szCs w:val="22"/>
          <w:lang w:val="fr-FR"/>
        </w:rPr>
        <w:t xml:space="preserve"> </w:t>
      </w:r>
      <w:r w:rsidRPr="00B969C6">
        <w:rPr>
          <w:rFonts w:cs="Times New Roman"/>
          <w:i/>
          <w:iCs/>
          <w:sz w:val="22"/>
          <w:szCs w:val="22"/>
          <w:lang w:val="fr-FR"/>
        </w:rPr>
        <w:t>Tysiac v Poland</w:t>
      </w:r>
      <w:r w:rsidR="005461B5" w:rsidRPr="00B969C6">
        <w:rPr>
          <w:rFonts w:cs="Times New Roman"/>
          <w:sz w:val="22"/>
          <w:szCs w:val="22"/>
          <w:lang w:val="fr-FR"/>
        </w:rPr>
        <w:t xml:space="preserve"> (n 36) para 108</w:t>
      </w:r>
      <w:r w:rsidRPr="00B969C6">
        <w:rPr>
          <w:sz w:val="22"/>
          <w:szCs w:val="22"/>
          <w:lang w:val="fr-FR"/>
        </w:rPr>
        <w:t xml:space="preserve">; </w:t>
      </w:r>
      <w:r w:rsidR="005461B5" w:rsidRPr="00B969C6">
        <w:rPr>
          <w:rFonts w:cs="Times New Roman"/>
          <w:i/>
          <w:iCs/>
          <w:sz w:val="22"/>
          <w:szCs w:val="22"/>
          <w:lang w:val="fr-FR"/>
        </w:rPr>
        <w:t>RR v</w:t>
      </w:r>
      <w:r w:rsidRPr="00B969C6">
        <w:rPr>
          <w:rFonts w:cs="Times New Roman"/>
          <w:i/>
          <w:iCs/>
          <w:sz w:val="22"/>
          <w:szCs w:val="22"/>
          <w:lang w:val="fr-FR"/>
        </w:rPr>
        <w:t xml:space="preserve"> Poland</w:t>
      </w:r>
      <w:r w:rsidR="005461B5" w:rsidRPr="00B969C6">
        <w:rPr>
          <w:rFonts w:cs="Times New Roman"/>
          <w:sz w:val="22"/>
          <w:szCs w:val="22"/>
          <w:lang w:val="fr-FR"/>
        </w:rPr>
        <w:t xml:space="preserve"> (n 44) para 188</w:t>
      </w:r>
      <w:r w:rsidRPr="00B969C6">
        <w:rPr>
          <w:sz w:val="22"/>
          <w:szCs w:val="22"/>
          <w:lang w:val="fr-FR"/>
        </w:rPr>
        <w:t xml:space="preserve">; </w:t>
      </w:r>
      <w:r w:rsidR="005461B5" w:rsidRPr="00B969C6">
        <w:rPr>
          <w:rFonts w:cs="Times New Roman"/>
          <w:i/>
          <w:iCs/>
          <w:sz w:val="22"/>
          <w:szCs w:val="22"/>
          <w:lang w:val="fr-FR"/>
        </w:rPr>
        <w:t>P and S v</w:t>
      </w:r>
      <w:r w:rsidRPr="00B969C6">
        <w:rPr>
          <w:rFonts w:cs="Times New Roman"/>
          <w:i/>
          <w:iCs/>
          <w:sz w:val="22"/>
          <w:szCs w:val="22"/>
          <w:lang w:val="fr-FR"/>
        </w:rPr>
        <w:t xml:space="preserve"> Poland</w:t>
      </w:r>
      <w:r w:rsidR="005461B5" w:rsidRPr="00B969C6">
        <w:rPr>
          <w:rFonts w:cs="Times New Roman"/>
          <w:sz w:val="22"/>
          <w:szCs w:val="22"/>
          <w:lang w:val="fr-FR"/>
        </w:rPr>
        <w:t xml:space="preserve"> (n 49) para 98</w:t>
      </w:r>
      <w:r w:rsidRPr="00B969C6">
        <w:rPr>
          <w:rFonts w:cs="Times New Roman"/>
          <w:sz w:val="22"/>
          <w:szCs w:val="22"/>
          <w:lang w:val="fr-FR"/>
        </w:rPr>
        <w:t>.</w:t>
      </w:r>
    </w:p>
  </w:footnote>
  <w:footnote w:id="86">
    <w:p w14:paraId="72CFA92D" w14:textId="48666493"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sz w:val="22"/>
          <w:szCs w:val="22"/>
        </w:rPr>
        <w:t>Dickson (n 64) 203.</w:t>
      </w:r>
      <w:r w:rsidR="008D7943" w:rsidRPr="00B969C6">
        <w:rPr>
          <w:sz w:val="22"/>
          <w:szCs w:val="22"/>
          <w:lang w:val="en-GB"/>
        </w:rPr>
        <w:t xml:space="preserve"> Furthermore, such a dichotomy</w:t>
      </w:r>
      <w:r w:rsidRPr="00B969C6">
        <w:rPr>
          <w:sz w:val="22"/>
          <w:szCs w:val="22"/>
          <w:lang w:val="en-GB"/>
        </w:rPr>
        <w:t xml:space="preserve"> does not reflect the tripartite typology of states’ obligations adopted by the UN, e.g. </w:t>
      </w:r>
      <w:r w:rsidRPr="00B969C6">
        <w:rPr>
          <w:rFonts w:cs="Times New Roman"/>
          <w:sz w:val="22"/>
          <w:szCs w:val="22"/>
        </w:rPr>
        <w:t>UNCESCR, ‘General Comment 22’ (n 1) paras 39–48.</w:t>
      </w:r>
    </w:p>
  </w:footnote>
  <w:footnote w:id="87">
    <w:p w14:paraId="239A06B4" w14:textId="324A5B33"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005461B5" w:rsidRPr="00B969C6">
        <w:rPr>
          <w:rFonts w:cs="Times New Roman"/>
          <w:i/>
          <w:iCs/>
          <w:sz w:val="22"/>
          <w:szCs w:val="22"/>
        </w:rPr>
        <w:t>A, B and C v</w:t>
      </w:r>
      <w:r w:rsidRPr="00B969C6">
        <w:rPr>
          <w:rFonts w:cs="Times New Roman"/>
          <w:i/>
          <w:iCs/>
          <w:sz w:val="22"/>
          <w:szCs w:val="22"/>
        </w:rPr>
        <w:t xml:space="preserve"> Ireland</w:t>
      </w:r>
      <w:r w:rsidR="005461B5" w:rsidRPr="00B969C6">
        <w:rPr>
          <w:rFonts w:cs="Times New Roman"/>
          <w:sz w:val="22"/>
          <w:szCs w:val="22"/>
        </w:rPr>
        <w:t xml:space="preserve"> (n 39) para 214</w:t>
      </w:r>
      <w:r w:rsidRPr="00B969C6">
        <w:rPr>
          <w:rFonts w:cs="Times New Roman"/>
          <w:sz w:val="22"/>
          <w:szCs w:val="22"/>
        </w:rPr>
        <w:t>.</w:t>
      </w:r>
      <w:r w:rsidRPr="00B969C6">
        <w:rPr>
          <w:sz w:val="22"/>
          <w:szCs w:val="22"/>
          <w:lang w:val="en-GB"/>
        </w:rPr>
        <w:t xml:space="preserve"> This statement was avoided in </w:t>
      </w:r>
      <w:r w:rsidRPr="00B969C6">
        <w:rPr>
          <w:rFonts w:cs="Times New Roman"/>
          <w:i/>
          <w:iCs/>
          <w:sz w:val="22"/>
          <w:szCs w:val="22"/>
        </w:rPr>
        <w:t>Tysiac v Poland</w:t>
      </w:r>
      <w:r w:rsidR="005461B5" w:rsidRPr="00B969C6">
        <w:rPr>
          <w:rFonts w:cs="Times New Roman"/>
          <w:sz w:val="22"/>
          <w:szCs w:val="22"/>
        </w:rPr>
        <w:t xml:space="preserve"> (n 36) para 108</w:t>
      </w:r>
      <w:r w:rsidR="005461B5" w:rsidRPr="00B969C6">
        <w:rPr>
          <w:sz w:val="22"/>
          <w:szCs w:val="22"/>
          <w:lang w:val="en-GB"/>
        </w:rPr>
        <w:t>; but</w:t>
      </w:r>
      <w:r w:rsidR="0023082E" w:rsidRPr="00B969C6">
        <w:rPr>
          <w:sz w:val="22"/>
          <w:szCs w:val="22"/>
          <w:lang w:val="en-GB"/>
        </w:rPr>
        <w:t xml:space="preserve"> it was</w:t>
      </w:r>
      <w:r w:rsidR="005461B5" w:rsidRPr="00B969C6">
        <w:rPr>
          <w:sz w:val="22"/>
          <w:szCs w:val="22"/>
          <w:lang w:val="en-GB"/>
        </w:rPr>
        <w:t xml:space="preserve"> reiterated in</w:t>
      </w:r>
      <w:r w:rsidRPr="00B969C6">
        <w:rPr>
          <w:sz w:val="22"/>
          <w:szCs w:val="22"/>
          <w:lang w:val="en-GB"/>
        </w:rPr>
        <w:t xml:space="preserve"> </w:t>
      </w:r>
      <w:r w:rsidR="005461B5" w:rsidRPr="00B969C6">
        <w:rPr>
          <w:rFonts w:cs="Times New Roman"/>
          <w:i/>
          <w:iCs/>
          <w:sz w:val="22"/>
          <w:szCs w:val="22"/>
        </w:rPr>
        <w:t>RR v</w:t>
      </w:r>
      <w:r w:rsidRPr="00B969C6">
        <w:rPr>
          <w:rFonts w:cs="Times New Roman"/>
          <w:i/>
          <w:iCs/>
          <w:sz w:val="22"/>
          <w:szCs w:val="22"/>
        </w:rPr>
        <w:t xml:space="preserve"> Poland</w:t>
      </w:r>
      <w:r w:rsidR="005461B5" w:rsidRPr="00B969C6">
        <w:rPr>
          <w:rFonts w:cs="Times New Roman"/>
          <w:sz w:val="22"/>
          <w:szCs w:val="22"/>
        </w:rPr>
        <w:t xml:space="preserve"> (n 44) para 188</w:t>
      </w:r>
      <w:r w:rsidR="005461B5" w:rsidRPr="00B969C6">
        <w:rPr>
          <w:sz w:val="22"/>
          <w:szCs w:val="22"/>
          <w:lang w:val="en-GB"/>
        </w:rPr>
        <w:t>;</w:t>
      </w:r>
      <w:r w:rsidRPr="00B969C6">
        <w:rPr>
          <w:sz w:val="22"/>
          <w:szCs w:val="22"/>
          <w:lang w:val="en-GB"/>
        </w:rPr>
        <w:t xml:space="preserve"> and </w:t>
      </w:r>
      <w:r w:rsidR="005461B5" w:rsidRPr="00B969C6">
        <w:rPr>
          <w:rFonts w:cs="Times New Roman"/>
          <w:i/>
          <w:iCs/>
          <w:sz w:val="22"/>
          <w:szCs w:val="22"/>
        </w:rPr>
        <w:t>P and S v</w:t>
      </w:r>
      <w:r w:rsidRPr="00B969C6">
        <w:rPr>
          <w:rFonts w:cs="Times New Roman"/>
          <w:i/>
          <w:iCs/>
          <w:sz w:val="22"/>
          <w:szCs w:val="22"/>
        </w:rPr>
        <w:t xml:space="preserve"> Poland</w:t>
      </w:r>
      <w:r w:rsidR="005461B5" w:rsidRPr="00B969C6">
        <w:rPr>
          <w:rFonts w:cs="Times New Roman"/>
          <w:sz w:val="22"/>
          <w:szCs w:val="22"/>
        </w:rPr>
        <w:t xml:space="preserve"> (n 49) para 96</w:t>
      </w:r>
      <w:r w:rsidRPr="00B969C6">
        <w:rPr>
          <w:rFonts w:cs="Times New Roman"/>
          <w:sz w:val="22"/>
          <w:szCs w:val="22"/>
        </w:rPr>
        <w:t>.</w:t>
      </w:r>
    </w:p>
  </w:footnote>
  <w:footnote w:id="88">
    <w:p w14:paraId="66FFFBD5" w14:textId="6EFBCAF3"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0023082E" w:rsidRPr="00B969C6">
        <w:rPr>
          <w:rFonts w:cs="Times New Roman"/>
          <w:i/>
          <w:iCs/>
          <w:sz w:val="22"/>
          <w:szCs w:val="22"/>
        </w:rPr>
        <w:t>A, B and C v Ireland</w:t>
      </w:r>
      <w:r w:rsidR="0023082E" w:rsidRPr="00B969C6">
        <w:rPr>
          <w:rFonts w:cs="Times New Roman"/>
          <w:sz w:val="22"/>
          <w:szCs w:val="22"/>
        </w:rPr>
        <w:t xml:space="preserve"> (n 39) </w:t>
      </w:r>
      <w:r w:rsidR="00993973" w:rsidRPr="00B969C6">
        <w:rPr>
          <w:rFonts w:cs="Times New Roman"/>
          <w:sz w:val="22"/>
          <w:szCs w:val="22"/>
          <w:lang w:val="en-GB"/>
        </w:rPr>
        <w:t>paras 219–221</w:t>
      </w:r>
      <w:r w:rsidRPr="00B969C6">
        <w:rPr>
          <w:rFonts w:cs="Times New Roman"/>
          <w:sz w:val="22"/>
          <w:szCs w:val="22"/>
          <w:lang w:val="en-GB"/>
        </w:rPr>
        <w:t>.</w:t>
      </w:r>
    </w:p>
  </w:footnote>
  <w:footnote w:id="89">
    <w:p w14:paraId="056D0F6C" w14:textId="16726050"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sz w:val="22"/>
          <w:szCs w:val="22"/>
        </w:rPr>
        <w:t xml:space="preserve">ibid </w:t>
      </w:r>
      <w:r w:rsidR="008D7943" w:rsidRPr="00B969C6">
        <w:rPr>
          <w:sz w:val="22"/>
          <w:szCs w:val="22"/>
        </w:rPr>
        <w:t xml:space="preserve">para </w:t>
      </w:r>
      <w:r w:rsidRPr="00B969C6">
        <w:rPr>
          <w:sz w:val="22"/>
          <w:szCs w:val="22"/>
        </w:rPr>
        <w:t>227.</w:t>
      </w:r>
    </w:p>
  </w:footnote>
  <w:footnote w:id="90">
    <w:p w14:paraId="46AB1558" w14:textId="4CD71682"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rPr>
        <w:t xml:space="preserve"> See also a criticism of this decision in </w:t>
      </w:r>
      <w:r w:rsidRPr="00B969C6">
        <w:rPr>
          <w:rFonts w:cs="Times New Roman"/>
          <w:sz w:val="22"/>
          <w:szCs w:val="22"/>
        </w:rPr>
        <w:t>Daniel Regan, ‘European Consensus: A Worthy Endeavour for the European Court of Human Rights’ (2011) 14 Trinity College Law Review 51, 62.</w:t>
      </w:r>
    </w:p>
  </w:footnote>
  <w:footnote w:id="91">
    <w:p w14:paraId="43F54B12" w14:textId="6ADEA7D9"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rPr>
        <w:t xml:space="preserve"> </w:t>
      </w:r>
      <w:r w:rsidR="00A45DD8" w:rsidRPr="00B969C6">
        <w:rPr>
          <w:rFonts w:cs="Times New Roman"/>
          <w:i/>
          <w:iCs/>
          <w:sz w:val="22"/>
          <w:szCs w:val="22"/>
        </w:rPr>
        <w:t>A, B and C v</w:t>
      </w:r>
      <w:r w:rsidRPr="00B969C6">
        <w:rPr>
          <w:rFonts w:cs="Times New Roman"/>
          <w:i/>
          <w:iCs/>
          <w:sz w:val="22"/>
          <w:szCs w:val="22"/>
        </w:rPr>
        <w:t xml:space="preserve"> Ireland</w:t>
      </w:r>
      <w:r w:rsidR="00A45DD8" w:rsidRPr="00B969C6">
        <w:rPr>
          <w:rFonts w:cs="Times New Roman"/>
          <w:sz w:val="22"/>
          <w:szCs w:val="22"/>
        </w:rPr>
        <w:t xml:space="preserve"> (n 39) para 232</w:t>
      </w:r>
      <w:r w:rsidRPr="00B969C6">
        <w:rPr>
          <w:rFonts w:cs="Times New Roman"/>
          <w:sz w:val="22"/>
          <w:szCs w:val="22"/>
        </w:rPr>
        <w:t>.</w:t>
      </w:r>
    </w:p>
  </w:footnote>
  <w:footnote w:id="92">
    <w:p w14:paraId="344DCB28" w14:textId="098BDE36"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rPr>
        <w:t xml:space="preserve"> ibid.</w:t>
      </w:r>
    </w:p>
  </w:footnote>
  <w:footnote w:id="93">
    <w:p w14:paraId="27777A4D" w14:textId="30BE85A7"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rPr>
        <w:t xml:space="preserve"> ibid para</w:t>
      </w:r>
      <w:r w:rsidR="00A45DD8" w:rsidRPr="00B969C6">
        <w:rPr>
          <w:sz w:val="22"/>
          <w:szCs w:val="22"/>
        </w:rPr>
        <w:t>s</w:t>
      </w:r>
      <w:r w:rsidRPr="00B969C6">
        <w:rPr>
          <w:sz w:val="22"/>
          <w:szCs w:val="22"/>
        </w:rPr>
        <w:t xml:space="preserve"> 235-241.</w:t>
      </w:r>
    </w:p>
  </w:footnote>
  <w:footnote w:id="94">
    <w:p w14:paraId="1EB6B258" w14:textId="52237ADE"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rPr>
        <w:t xml:space="preserve"> ibid para 241.</w:t>
      </w:r>
    </w:p>
  </w:footnote>
  <w:footnote w:id="95">
    <w:p w14:paraId="2D9B9B5D" w14:textId="1AF2D966"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sz w:val="22"/>
          <w:szCs w:val="22"/>
        </w:rPr>
        <w:t xml:space="preserve">ibid </w:t>
      </w:r>
      <w:r w:rsidR="00A45DD8" w:rsidRPr="00B969C6">
        <w:rPr>
          <w:rFonts w:cs="Times New Roman"/>
          <w:sz w:val="22"/>
          <w:szCs w:val="22"/>
        </w:rPr>
        <w:t xml:space="preserve">paras </w:t>
      </w:r>
      <w:r w:rsidRPr="00B969C6">
        <w:rPr>
          <w:rFonts w:cs="Times New Roman"/>
          <w:sz w:val="22"/>
          <w:szCs w:val="22"/>
        </w:rPr>
        <w:t>243–268.</w:t>
      </w:r>
    </w:p>
  </w:footnote>
  <w:footnote w:id="96">
    <w:p w14:paraId="45A40BE3" w14:textId="71E21C8E"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sz w:val="22"/>
          <w:szCs w:val="22"/>
        </w:rPr>
        <w:t>UNCESCR, ‘General Comment 22’ (n 1) para 5.</w:t>
      </w:r>
    </w:p>
  </w:footnote>
  <w:footnote w:id="97">
    <w:p w14:paraId="4168D9C8" w14:textId="2F7E9877"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sz w:val="22"/>
          <w:szCs w:val="22"/>
        </w:rPr>
        <w:t xml:space="preserve">WHO, </w:t>
      </w:r>
      <w:r w:rsidRPr="00B969C6">
        <w:rPr>
          <w:rFonts w:cs="Times New Roman"/>
          <w:sz w:val="22"/>
          <w:szCs w:val="22"/>
        </w:rPr>
        <w:t>‘Reproductive Health Strategy</w:t>
      </w:r>
      <w:r w:rsidRPr="00B969C6">
        <w:rPr>
          <w:sz w:val="22"/>
          <w:szCs w:val="22"/>
        </w:rPr>
        <w:t>’ (n 6) 21, para 35</w:t>
      </w:r>
      <w:r w:rsidRPr="00B969C6">
        <w:rPr>
          <w:sz w:val="22"/>
          <w:szCs w:val="22"/>
          <w:lang w:val="en-GB"/>
        </w:rPr>
        <w:t xml:space="preserve">; </w:t>
      </w:r>
      <w:r w:rsidRPr="00B969C6">
        <w:rPr>
          <w:sz w:val="22"/>
          <w:szCs w:val="22"/>
        </w:rPr>
        <w:t>Report of the Guttmacher–Lancet Commission (n 7) 8.</w:t>
      </w:r>
      <w:r w:rsidRPr="00B969C6">
        <w:rPr>
          <w:sz w:val="22"/>
          <w:szCs w:val="22"/>
          <w:lang w:val="en-GB"/>
        </w:rPr>
        <w:t xml:space="preserve"> </w:t>
      </w:r>
    </w:p>
  </w:footnote>
  <w:footnote w:id="98">
    <w:p w14:paraId="2E9B2FA2" w14:textId="3DDA1ABD"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i/>
          <w:iCs/>
          <w:sz w:val="22"/>
          <w:szCs w:val="22"/>
        </w:rPr>
        <w:t>Ternovszky v Hungary</w:t>
      </w:r>
      <w:r w:rsidRPr="00B969C6">
        <w:rPr>
          <w:rFonts w:cs="Times New Roman"/>
          <w:sz w:val="22"/>
          <w:szCs w:val="22"/>
        </w:rPr>
        <w:t xml:space="preserve"> </w:t>
      </w:r>
      <w:r w:rsidR="00A45DD8" w:rsidRPr="00B969C6">
        <w:rPr>
          <w:rFonts w:cs="Times New Roman"/>
          <w:sz w:val="22"/>
          <w:szCs w:val="22"/>
        </w:rPr>
        <w:t>App</w:t>
      </w:r>
      <w:r w:rsidRPr="00B969C6">
        <w:rPr>
          <w:rFonts w:cs="Times New Roman"/>
          <w:sz w:val="22"/>
          <w:szCs w:val="22"/>
        </w:rPr>
        <w:t xml:space="preserve"> no. 67545/09</w:t>
      </w:r>
      <w:r w:rsidR="00A45DD8" w:rsidRPr="00B969C6">
        <w:rPr>
          <w:rFonts w:cs="Times New Roman"/>
          <w:sz w:val="22"/>
          <w:szCs w:val="22"/>
        </w:rPr>
        <w:t xml:space="preserve"> (ECtHR</w:t>
      </w:r>
      <w:r w:rsidRPr="00B969C6">
        <w:rPr>
          <w:rFonts w:cs="Times New Roman"/>
          <w:sz w:val="22"/>
          <w:szCs w:val="22"/>
        </w:rPr>
        <w:t>, 14 December 2010</w:t>
      </w:r>
      <w:r w:rsidR="00A45DD8" w:rsidRPr="00B969C6">
        <w:rPr>
          <w:rFonts w:cs="Times New Roman"/>
          <w:sz w:val="22"/>
          <w:szCs w:val="22"/>
        </w:rPr>
        <w:t>)</w:t>
      </w:r>
      <w:r w:rsidRPr="00B969C6">
        <w:rPr>
          <w:rFonts w:cs="Times New Roman"/>
          <w:sz w:val="22"/>
          <w:szCs w:val="22"/>
        </w:rPr>
        <w:t>.</w:t>
      </w:r>
    </w:p>
  </w:footnote>
  <w:footnote w:id="99">
    <w:p w14:paraId="127F1846" w14:textId="606E10EE" w:rsidR="009156EA" w:rsidRPr="00B969C6" w:rsidRDefault="009156EA" w:rsidP="00B969C6">
      <w:pPr>
        <w:pStyle w:val="Bibliography"/>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sz w:val="22"/>
          <w:szCs w:val="22"/>
        </w:rPr>
        <w:t xml:space="preserve">ibid </w:t>
      </w:r>
      <w:r w:rsidR="00A45DD8" w:rsidRPr="00B969C6">
        <w:rPr>
          <w:sz w:val="22"/>
          <w:szCs w:val="22"/>
        </w:rPr>
        <w:t xml:space="preserve">para </w:t>
      </w:r>
      <w:r w:rsidRPr="00B969C6">
        <w:rPr>
          <w:sz w:val="22"/>
          <w:szCs w:val="22"/>
        </w:rPr>
        <w:t>11.</w:t>
      </w:r>
    </w:p>
  </w:footnote>
  <w:footnote w:id="100">
    <w:p w14:paraId="30D2E54F" w14:textId="08100BFD"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sz w:val="22"/>
          <w:szCs w:val="22"/>
        </w:rPr>
        <w:t xml:space="preserve">ibid </w:t>
      </w:r>
      <w:r w:rsidR="00A45DD8" w:rsidRPr="00B969C6">
        <w:rPr>
          <w:rFonts w:cs="Times New Roman"/>
          <w:sz w:val="22"/>
          <w:szCs w:val="22"/>
        </w:rPr>
        <w:t xml:space="preserve">paras </w:t>
      </w:r>
      <w:r w:rsidRPr="00B969C6">
        <w:rPr>
          <w:rFonts w:cs="Times New Roman"/>
          <w:sz w:val="22"/>
          <w:szCs w:val="22"/>
        </w:rPr>
        <w:t>23–27.</w:t>
      </w:r>
    </w:p>
  </w:footnote>
  <w:footnote w:id="101">
    <w:p w14:paraId="3E3B46F2" w14:textId="11EF21B4" w:rsidR="009156EA" w:rsidRPr="00B969C6" w:rsidRDefault="009156EA" w:rsidP="00B969C6">
      <w:pPr>
        <w:pStyle w:val="Bibliography"/>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00A45DD8" w:rsidRPr="00B969C6">
        <w:rPr>
          <w:sz w:val="22"/>
          <w:szCs w:val="22"/>
        </w:rPr>
        <w:t>i</w:t>
      </w:r>
      <w:r w:rsidRPr="00B969C6">
        <w:rPr>
          <w:sz w:val="22"/>
          <w:szCs w:val="22"/>
        </w:rPr>
        <w:t>bid</w:t>
      </w:r>
      <w:r w:rsidR="00A45DD8" w:rsidRPr="00B969C6">
        <w:rPr>
          <w:sz w:val="22"/>
          <w:szCs w:val="22"/>
        </w:rPr>
        <w:t xml:space="preserve"> para</w:t>
      </w:r>
      <w:r w:rsidRPr="00B969C6">
        <w:rPr>
          <w:sz w:val="22"/>
          <w:szCs w:val="22"/>
        </w:rPr>
        <w:t xml:space="preserve"> 22.</w:t>
      </w:r>
    </w:p>
  </w:footnote>
  <w:footnote w:id="102">
    <w:p w14:paraId="15E249D0" w14:textId="46331315"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i/>
          <w:iCs/>
          <w:sz w:val="22"/>
          <w:szCs w:val="22"/>
        </w:rPr>
        <w:t>Dubská and Krejzová v the Czech Republic</w:t>
      </w:r>
      <w:r w:rsidR="00A45DD8" w:rsidRPr="00B969C6">
        <w:rPr>
          <w:rFonts w:cs="Times New Roman"/>
          <w:sz w:val="22"/>
          <w:szCs w:val="22"/>
        </w:rPr>
        <w:t xml:space="preserve"> App</w:t>
      </w:r>
      <w:r w:rsidRPr="00B969C6">
        <w:rPr>
          <w:rFonts w:cs="Times New Roman"/>
          <w:sz w:val="22"/>
          <w:szCs w:val="22"/>
        </w:rPr>
        <w:t xml:space="preserve"> no. 28859/11 and 28473/12</w:t>
      </w:r>
      <w:r w:rsidR="00A45DD8" w:rsidRPr="00B969C6">
        <w:rPr>
          <w:rFonts w:cs="Times New Roman"/>
          <w:sz w:val="22"/>
          <w:szCs w:val="22"/>
        </w:rPr>
        <w:t xml:space="preserve"> (ECtHR</w:t>
      </w:r>
      <w:r w:rsidRPr="00B969C6">
        <w:rPr>
          <w:rFonts w:cs="Times New Roman"/>
          <w:sz w:val="22"/>
          <w:szCs w:val="22"/>
        </w:rPr>
        <w:t>, 15 November 2016</w:t>
      </w:r>
      <w:r w:rsidR="00A45DD8" w:rsidRPr="00B969C6">
        <w:rPr>
          <w:rFonts w:cs="Times New Roman"/>
          <w:sz w:val="22"/>
          <w:szCs w:val="22"/>
        </w:rPr>
        <w:t>)</w:t>
      </w:r>
      <w:r w:rsidRPr="00B969C6">
        <w:rPr>
          <w:rFonts w:cs="Times New Roman"/>
          <w:sz w:val="22"/>
          <w:szCs w:val="22"/>
        </w:rPr>
        <w:t>.</w:t>
      </w:r>
    </w:p>
  </w:footnote>
  <w:footnote w:id="103">
    <w:p w14:paraId="7319E2F7" w14:textId="66CEA13B"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00A45DD8" w:rsidRPr="00B969C6">
        <w:rPr>
          <w:sz w:val="22"/>
          <w:szCs w:val="22"/>
        </w:rPr>
        <w:t>i</w:t>
      </w:r>
      <w:r w:rsidRPr="00B969C6">
        <w:rPr>
          <w:sz w:val="22"/>
          <w:szCs w:val="22"/>
        </w:rPr>
        <w:t>bid</w:t>
      </w:r>
      <w:r w:rsidR="00A45DD8" w:rsidRPr="00B969C6">
        <w:rPr>
          <w:sz w:val="22"/>
          <w:szCs w:val="22"/>
        </w:rPr>
        <w:t xml:space="preserve"> para</w:t>
      </w:r>
      <w:r w:rsidRPr="00B969C6">
        <w:rPr>
          <w:sz w:val="22"/>
          <w:szCs w:val="22"/>
        </w:rPr>
        <w:t xml:space="preserve"> 191.</w:t>
      </w:r>
    </w:p>
  </w:footnote>
  <w:footnote w:id="104">
    <w:p w14:paraId="0144D848" w14:textId="2DD0ADD4"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sz w:val="22"/>
          <w:szCs w:val="22"/>
        </w:rPr>
        <w:t xml:space="preserve">ibid </w:t>
      </w:r>
      <w:r w:rsidR="00A45DD8" w:rsidRPr="00B969C6">
        <w:rPr>
          <w:sz w:val="22"/>
          <w:szCs w:val="22"/>
        </w:rPr>
        <w:t xml:space="preserve">paras </w:t>
      </w:r>
      <w:r w:rsidRPr="00B969C6">
        <w:rPr>
          <w:sz w:val="22"/>
          <w:szCs w:val="22"/>
        </w:rPr>
        <w:t>140, 142.</w:t>
      </w:r>
    </w:p>
  </w:footnote>
  <w:footnote w:id="105">
    <w:p w14:paraId="289B0C18" w14:textId="43CB9FF4"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sz w:val="22"/>
          <w:szCs w:val="22"/>
        </w:rPr>
        <w:t xml:space="preserve">ibid </w:t>
      </w:r>
      <w:r w:rsidR="00A45DD8" w:rsidRPr="00B969C6">
        <w:rPr>
          <w:rFonts w:cs="Times New Roman"/>
          <w:sz w:val="22"/>
          <w:szCs w:val="22"/>
        </w:rPr>
        <w:t xml:space="preserve">paras </w:t>
      </w:r>
      <w:r w:rsidRPr="00B969C6">
        <w:rPr>
          <w:rFonts w:cs="Times New Roman"/>
          <w:sz w:val="22"/>
          <w:szCs w:val="22"/>
        </w:rPr>
        <w:t>172–173.</w:t>
      </w:r>
    </w:p>
  </w:footnote>
  <w:footnote w:id="106">
    <w:p w14:paraId="4929FE66" w14:textId="4B95B216"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sz w:val="22"/>
          <w:szCs w:val="22"/>
        </w:rPr>
        <w:t xml:space="preserve">ibid </w:t>
      </w:r>
      <w:r w:rsidR="00A45DD8" w:rsidRPr="00B969C6">
        <w:rPr>
          <w:sz w:val="22"/>
          <w:szCs w:val="22"/>
        </w:rPr>
        <w:t xml:space="preserve">paras 64 and 74 (para </w:t>
      </w:r>
      <w:r w:rsidRPr="00B969C6">
        <w:rPr>
          <w:sz w:val="22"/>
          <w:szCs w:val="22"/>
        </w:rPr>
        <w:t>74: when reviewing the arguments of the Chamber).</w:t>
      </w:r>
    </w:p>
  </w:footnote>
  <w:footnote w:id="107">
    <w:p w14:paraId="6B116A64" w14:textId="4068E49A"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sz w:val="22"/>
          <w:szCs w:val="22"/>
        </w:rPr>
        <w:t xml:space="preserve">ibid </w:t>
      </w:r>
      <w:r w:rsidR="00A45DD8" w:rsidRPr="00B969C6">
        <w:rPr>
          <w:sz w:val="22"/>
          <w:szCs w:val="22"/>
        </w:rPr>
        <w:t xml:space="preserve">paras </w:t>
      </w:r>
      <w:r w:rsidRPr="00B969C6">
        <w:rPr>
          <w:sz w:val="22"/>
          <w:szCs w:val="22"/>
        </w:rPr>
        <w:t>180, 185, 187.</w:t>
      </w:r>
    </w:p>
  </w:footnote>
  <w:footnote w:id="108">
    <w:p w14:paraId="162B73BE" w14:textId="5EBE4741"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sz w:val="22"/>
          <w:szCs w:val="22"/>
        </w:rPr>
        <w:t xml:space="preserve">WHO, </w:t>
      </w:r>
      <w:r w:rsidRPr="00B969C6">
        <w:rPr>
          <w:rFonts w:cs="Times New Roman"/>
          <w:sz w:val="22"/>
          <w:szCs w:val="22"/>
        </w:rPr>
        <w:t>‘Reproductive Health Strategy</w:t>
      </w:r>
      <w:r w:rsidRPr="00B969C6">
        <w:rPr>
          <w:sz w:val="22"/>
          <w:szCs w:val="22"/>
        </w:rPr>
        <w:t>’ (n 6) 21, para 35</w:t>
      </w:r>
      <w:r w:rsidRPr="00B969C6">
        <w:rPr>
          <w:sz w:val="22"/>
          <w:szCs w:val="22"/>
          <w:lang w:val="en-GB"/>
        </w:rPr>
        <w:t xml:space="preserve">; </w:t>
      </w:r>
      <w:r w:rsidRPr="00B969C6">
        <w:rPr>
          <w:sz w:val="22"/>
          <w:szCs w:val="22"/>
        </w:rPr>
        <w:t>Report of the Guttmacher–Lancet Commission (n 7) 8.</w:t>
      </w:r>
      <w:r w:rsidRPr="00B969C6">
        <w:rPr>
          <w:sz w:val="22"/>
          <w:szCs w:val="22"/>
          <w:lang w:val="en-GB"/>
        </w:rPr>
        <w:t xml:space="preserve"> </w:t>
      </w:r>
    </w:p>
  </w:footnote>
  <w:footnote w:id="109">
    <w:p w14:paraId="1C040BC7" w14:textId="71AA656A"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i/>
          <w:iCs/>
          <w:sz w:val="22"/>
          <w:szCs w:val="22"/>
        </w:rPr>
        <w:t xml:space="preserve">Dubská </w:t>
      </w:r>
      <w:r w:rsidR="00A45DD8" w:rsidRPr="00B969C6">
        <w:rPr>
          <w:rFonts w:cs="Times New Roman"/>
          <w:i/>
          <w:iCs/>
          <w:sz w:val="22"/>
          <w:szCs w:val="22"/>
        </w:rPr>
        <w:t>and Krejzová v</w:t>
      </w:r>
      <w:r w:rsidRPr="00B969C6">
        <w:rPr>
          <w:rFonts w:cs="Times New Roman"/>
          <w:i/>
          <w:iCs/>
          <w:sz w:val="22"/>
          <w:szCs w:val="22"/>
        </w:rPr>
        <w:t xml:space="preserve"> the Czech Republic</w:t>
      </w:r>
      <w:r w:rsidR="00A45DD8" w:rsidRPr="00B969C6">
        <w:rPr>
          <w:rFonts w:cs="Times New Roman"/>
          <w:sz w:val="22"/>
          <w:szCs w:val="22"/>
        </w:rPr>
        <w:t xml:space="preserve"> (n 102) paras 183–184</w:t>
      </w:r>
      <w:r w:rsidRPr="00B969C6">
        <w:rPr>
          <w:rFonts w:cs="Times New Roman"/>
          <w:sz w:val="22"/>
          <w:szCs w:val="22"/>
        </w:rPr>
        <w:t>.</w:t>
      </w:r>
    </w:p>
  </w:footnote>
  <w:footnote w:id="110">
    <w:p w14:paraId="2FB2D49A" w14:textId="79B673B7"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sz w:val="22"/>
          <w:szCs w:val="22"/>
        </w:rPr>
        <w:t>European Social Charter 1961</w:t>
      </w:r>
      <w:r w:rsidR="001F0958" w:rsidRPr="00B969C6">
        <w:rPr>
          <w:sz w:val="22"/>
          <w:szCs w:val="22"/>
        </w:rPr>
        <w:t xml:space="preserve"> (ESC 1961)</w:t>
      </w:r>
      <w:r w:rsidRPr="00B969C6">
        <w:rPr>
          <w:sz w:val="22"/>
          <w:szCs w:val="22"/>
        </w:rPr>
        <w:t>, Article 29.</w:t>
      </w:r>
    </w:p>
  </w:footnote>
  <w:footnote w:id="111">
    <w:p w14:paraId="5B85BD96" w14:textId="4C452561"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sz w:val="22"/>
          <w:szCs w:val="22"/>
        </w:rPr>
        <w:t xml:space="preserve">Additional Protocol </w:t>
      </w:r>
      <w:r w:rsidR="00B40B20" w:rsidRPr="00B969C6">
        <w:rPr>
          <w:sz w:val="22"/>
          <w:szCs w:val="22"/>
        </w:rPr>
        <w:t xml:space="preserve">to the European Social Charter </w:t>
      </w:r>
      <w:r w:rsidRPr="00B969C6">
        <w:rPr>
          <w:sz w:val="22"/>
          <w:szCs w:val="22"/>
        </w:rPr>
        <w:t>providing for a system of collective complaints 1995, Article 9.</w:t>
      </w:r>
    </w:p>
  </w:footnote>
  <w:footnote w:id="112">
    <w:p w14:paraId="16F53E18" w14:textId="008EE92A"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001F0958" w:rsidRPr="00B969C6">
        <w:rPr>
          <w:sz w:val="22"/>
          <w:szCs w:val="22"/>
        </w:rPr>
        <w:t>ESC 1961 (n 110), Article 11</w:t>
      </w:r>
      <w:r w:rsidRPr="00B969C6">
        <w:rPr>
          <w:sz w:val="22"/>
          <w:szCs w:val="22"/>
          <w:lang w:val="en-GB"/>
        </w:rPr>
        <w:t xml:space="preserve">; </w:t>
      </w:r>
      <w:r w:rsidRPr="00B969C6">
        <w:rPr>
          <w:sz w:val="22"/>
          <w:szCs w:val="22"/>
        </w:rPr>
        <w:t>European Social Charter (as amended) 1996</w:t>
      </w:r>
      <w:r w:rsidR="001F0958" w:rsidRPr="00B969C6">
        <w:rPr>
          <w:sz w:val="22"/>
          <w:szCs w:val="22"/>
        </w:rPr>
        <w:t xml:space="preserve"> (ESC 1996)</w:t>
      </w:r>
      <w:r w:rsidRPr="00B969C6">
        <w:rPr>
          <w:sz w:val="22"/>
          <w:szCs w:val="22"/>
        </w:rPr>
        <w:t>, Article 11.</w:t>
      </w:r>
      <w:r w:rsidRPr="00B969C6">
        <w:rPr>
          <w:sz w:val="22"/>
          <w:szCs w:val="22"/>
          <w:lang w:val="en-GB"/>
        </w:rPr>
        <w:t xml:space="preserve"> Both versions of the Charter currently coexist but the wording of Article 11 is almost identical in both.</w:t>
      </w:r>
    </w:p>
  </w:footnote>
  <w:footnote w:id="113">
    <w:p w14:paraId="67032BAB" w14:textId="4CD746AD"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sz w:val="22"/>
          <w:szCs w:val="22"/>
        </w:rPr>
        <w:t>UNCESCR, ‘G</w:t>
      </w:r>
      <w:r w:rsidR="00581D96" w:rsidRPr="00B969C6">
        <w:rPr>
          <w:rFonts w:cs="Times New Roman"/>
          <w:sz w:val="22"/>
          <w:szCs w:val="22"/>
        </w:rPr>
        <w:t>eneral Comment 22’ (n 1) para 1</w:t>
      </w:r>
      <w:r w:rsidRPr="00B969C6">
        <w:rPr>
          <w:sz w:val="22"/>
          <w:szCs w:val="22"/>
          <w:lang w:val="en-GB"/>
        </w:rPr>
        <w:t>:</w:t>
      </w:r>
      <w:r w:rsidR="00282BAF" w:rsidRPr="00B969C6">
        <w:rPr>
          <w:sz w:val="22"/>
          <w:szCs w:val="22"/>
          <w:lang w:val="en-GB"/>
        </w:rPr>
        <w:t xml:space="preserve"> </w:t>
      </w:r>
      <w:r w:rsidRPr="00B969C6">
        <w:rPr>
          <w:sz w:val="22"/>
          <w:szCs w:val="22"/>
          <w:lang w:val="en-GB"/>
        </w:rPr>
        <w:t xml:space="preserve"> ‘</w:t>
      </w:r>
      <w:r w:rsidRPr="00B969C6">
        <w:rPr>
          <w:i/>
          <w:sz w:val="22"/>
          <w:szCs w:val="22"/>
          <w:lang w:val="en-GB"/>
        </w:rPr>
        <w:t>The right to sexual and reproductive health is an integral part of the right to health</w:t>
      </w:r>
      <w:r w:rsidRPr="00B969C6">
        <w:rPr>
          <w:sz w:val="22"/>
          <w:szCs w:val="22"/>
          <w:lang w:val="en-GB"/>
        </w:rPr>
        <w:t>’</w:t>
      </w:r>
      <w:r w:rsidR="00581D96" w:rsidRPr="00B969C6">
        <w:rPr>
          <w:sz w:val="22"/>
          <w:szCs w:val="22"/>
          <w:lang w:val="en-GB"/>
        </w:rPr>
        <w:t>.</w:t>
      </w:r>
    </w:p>
  </w:footnote>
  <w:footnote w:id="114">
    <w:p w14:paraId="01722CDE" w14:textId="3B798730" w:rsidR="009156EA" w:rsidRPr="00B969C6" w:rsidRDefault="009156EA" w:rsidP="00B969C6">
      <w:pPr>
        <w:pStyle w:val="FootnoteText"/>
        <w:spacing w:before="120" w:after="120"/>
        <w:jc w:val="both"/>
        <w:rPr>
          <w:sz w:val="22"/>
          <w:szCs w:val="22"/>
        </w:rPr>
      </w:pPr>
      <w:r w:rsidRPr="00B969C6">
        <w:rPr>
          <w:rStyle w:val="FootnoteReference"/>
          <w:sz w:val="22"/>
          <w:szCs w:val="22"/>
        </w:rPr>
        <w:footnoteRef/>
      </w:r>
      <w:r w:rsidRPr="00B969C6">
        <w:rPr>
          <w:sz w:val="22"/>
          <w:szCs w:val="22"/>
          <w:lang w:val="en-GB"/>
        </w:rPr>
        <w:t xml:space="preserve"> </w:t>
      </w:r>
      <w:r w:rsidR="00581D96" w:rsidRPr="00B969C6">
        <w:rPr>
          <w:sz w:val="22"/>
          <w:szCs w:val="22"/>
          <w:lang w:val="en-GB"/>
        </w:rPr>
        <w:t>The HUDOC database</w:t>
      </w:r>
      <w:r w:rsidRPr="00B969C6">
        <w:rPr>
          <w:sz w:val="22"/>
          <w:szCs w:val="22"/>
          <w:lang w:val="en-GB"/>
        </w:rPr>
        <w:t xml:space="preserve"> </w:t>
      </w:r>
      <w:r w:rsidR="00581D96" w:rsidRPr="00B969C6">
        <w:rPr>
          <w:sz w:val="22"/>
          <w:szCs w:val="22"/>
          <w:lang w:val="en-GB"/>
        </w:rPr>
        <w:t>(</w:t>
      </w:r>
      <w:r w:rsidRPr="00B969C6">
        <w:rPr>
          <w:sz w:val="22"/>
          <w:szCs w:val="22"/>
          <w:lang w:val="en-GB"/>
        </w:rPr>
        <w:t>for the ECoSR</w:t>
      </w:r>
      <w:r w:rsidR="00581D96" w:rsidRPr="00B969C6">
        <w:rPr>
          <w:sz w:val="22"/>
          <w:szCs w:val="22"/>
          <w:lang w:val="en-GB"/>
        </w:rPr>
        <w:t>)</w:t>
      </w:r>
      <w:r w:rsidRPr="00B969C6">
        <w:rPr>
          <w:sz w:val="22"/>
          <w:szCs w:val="22"/>
          <w:lang w:val="en-GB"/>
        </w:rPr>
        <w:t xml:space="preserve"> can be found on</w:t>
      </w:r>
      <w:r w:rsidR="00282BAF" w:rsidRPr="00B969C6">
        <w:rPr>
          <w:sz w:val="22"/>
          <w:szCs w:val="22"/>
          <w:lang w:val="en-GB"/>
        </w:rPr>
        <w:t xml:space="preserve"> &lt;</w:t>
      </w:r>
      <w:r w:rsidRPr="00B969C6">
        <w:rPr>
          <w:sz w:val="22"/>
          <w:szCs w:val="22"/>
        </w:rPr>
        <w:t>http://hudoc.esc.coe.int/eng/</w:t>
      </w:r>
      <w:r w:rsidR="00282BAF" w:rsidRPr="00B969C6">
        <w:rPr>
          <w:sz w:val="22"/>
          <w:szCs w:val="22"/>
        </w:rPr>
        <w:t xml:space="preserve">&gt; accessed 26 June 2018 </w:t>
      </w:r>
      <w:r w:rsidRPr="00B969C6">
        <w:rPr>
          <w:sz w:val="22"/>
          <w:szCs w:val="22"/>
        </w:rPr>
        <w:t xml:space="preserve">(One entry </w:t>
      </w:r>
      <w:r w:rsidR="00282BAF" w:rsidRPr="00B969C6">
        <w:rPr>
          <w:sz w:val="22"/>
          <w:szCs w:val="22"/>
        </w:rPr>
        <w:t>corresponding</w:t>
      </w:r>
      <w:r w:rsidRPr="00B969C6">
        <w:rPr>
          <w:sz w:val="22"/>
          <w:szCs w:val="22"/>
        </w:rPr>
        <w:t xml:space="preserve"> to the Committee’s Conclusions on the implementation of </w:t>
      </w:r>
      <w:r w:rsidR="00282BAF" w:rsidRPr="00B969C6">
        <w:rPr>
          <w:sz w:val="22"/>
          <w:szCs w:val="22"/>
        </w:rPr>
        <w:t>each</w:t>
      </w:r>
      <w:r w:rsidRPr="00B969C6">
        <w:rPr>
          <w:sz w:val="22"/>
          <w:szCs w:val="22"/>
        </w:rPr>
        <w:t xml:space="preserve"> of the three paragraphs of Article 11</w:t>
      </w:r>
      <w:r w:rsidR="00282BAF" w:rsidRPr="00B969C6">
        <w:rPr>
          <w:sz w:val="22"/>
          <w:szCs w:val="22"/>
        </w:rPr>
        <w:t xml:space="preserve"> ESC, by each state, during each</w:t>
      </w:r>
      <w:r w:rsidRPr="00B969C6">
        <w:rPr>
          <w:sz w:val="22"/>
          <w:szCs w:val="22"/>
        </w:rPr>
        <w:t xml:space="preserve"> reporting cycle)</w:t>
      </w:r>
    </w:p>
  </w:footnote>
  <w:footnote w:id="115">
    <w:p w14:paraId="7FAF3CFF" w14:textId="14A7710C"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sz w:val="22"/>
          <w:szCs w:val="22"/>
        </w:rPr>
        <w:t>Claire Lougarre, ‘What Does the Right to Health Mean? The Interpretation of Article 11 of the European Social Charter by the European Committee of Social Rights’ (2015) 33 Netherlands Quarterly of Human Rights 326.</w:t>
      </w:r>
    </w:p>
  </w:footnote>
  <w:footnote w:id="116">
    <w:p w14:paraId="00C408D6" w14:textId="7AAB036C"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See </w:t>
      </w:r>
      <w:r w:rsidRPr="00B969C6">
        <w:rPr>
          <w:rFonts w:cs="Times New Roman"/>
          <w:sz w:val="22"/>
          <w:szCs w:val="22"/>
        </w:rPr>
        <w:t>UNCESCR, ‘General Comment 22’ (n 1) para 5.</w:t>
      </w:r>
    </w:p>
  </w:footnote>
  <w:footnote w:id="117">
    <w:p w14:paraId="7B93B981" w14:textId="16F8267F"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See </w:t>
      </w:r>
      <w:r w:rsidRPr="00B969C6">
        <w:rPr>
          <w:sz w:val="22"/>
          <w:szCs w:val="22"/>
        </w:rPr>
        <w:t xml:space="preserve">WHO, </w:t>
      </w:r>
      <w:r w:rsidRPr="00B969C6">
        <w:rPr>
          <w:rFonts w:cs="Times New Roman"/>
          <w:sz w:val="22"/>
          <w:szCs w:val="22"/>
        </w:rPr>
        <w:t>‘Reproductive Health Strategy</w:t>
      </w:r>
      <w:r w:rsidRPr="00B969C6">
        <w:rPr>
          <w:sz w:val="22"/>
          <w:szCs w:val="22"/>
        </w:rPr>
        <w:t>’ (n 6) 21, para 35</w:t>
      </w:r>
      <w:r w:rsidRPr="00B969C6">
        <w:rPr>
          <w:sz w:val="22"/>
          <w:szCs w:val="22"/>
          <w:lang w:val="en-GB"/>
        </w:rPr>
        <w:t xml:space="preserve">; </w:t>
      </w:r>
      <w:r w:rsidRPr="00B969C6">
        <w:rPr>
          <w:sz w:val="22"/>
          <w:szCs w:val="22"/>
        </w:rPr>
        <w:t>Report of the Guttmacher–Lancet Commission (n 7) 8.</w:t>
      </w:r>
    </w:p>
  </w:footnote>
  <w:footnote w:id="118">
    <w:p w14:paraId="6EC14761" w14:textId="55767792"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Procedure created by </w:t>
      </w:r>
      <w:r w:rsidRPr="00B969C6">
        <w:rPr>
          <w:sz w:val="22"/>
          <w:szCs w:val="22"/>
        </w:rPr>
        <w:t>ESC 1961 (n 110), Articles 21 to 24.</w:t>
      </w:r>
    </w:p>
  </w:footnote>
  <w:footnote w:id="119">
    <w:p w14:paraId="07DC50D9" w14:textId="1E2D691E" w:rsidR="009156EA" w:rsidRPr="00B969C6" w:rsidRDefault="009156EA" w:rsidP="00B969C6">
      <w:pPr>
        <w:pStyle w:val="FootnoteText"/>
        <w:spacing w:before="120" w:after="120"/>
        <w:jc w:val="both"/>
        <w:rPr>
          <w:sz w:val="22"/>
          <w:szCs w:val="22"/>
          <w:lang w:val="fr-FR"/>
        </w:rPr>
      </w:pPr>
      <w:r w:rsidRPr="00B969C6">
        <w:rPr>
          <w:rStyle w:val="FootnoteReference"/>
          <w:sz w:val="22"/>
          <w:szCs w:val="22"/>
        </w:rPr>
        <w:footnoteRef/>
      </w:r>
      <w:r w:rsidR="00282BAF" w:rsidRPr="00B969C6">
        <w:rPr>
          <w:sz w:val="22"/>
          <w:szCs w:val="22"/>
          <w:lang w:val="fr-FR"/>
        </w:rPr>
        <w:t xml:space="preserve"> ibid, Article 11</w:t>
      </w:r>
      <w:r w:rsidRPr="00B969C6">
        <w:rPr>
          <w:sz w:val="22"/>
          <w:szCs w:val="22"/>
          <w:lang w:val="fr-FR"/>
        </w:rPr>
        <w:t>; ESC 1996 (n 112), Article 11.</w:t>
      </w:r>
    </w:p>
  </w:footnote>
  <w:footnote w:id="120">
    <w:p w14:paraId="5C554460" w14:textId="520E5681"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00F3384E" w:rsidRPr="00B969C6">
        <w:rPr>
          <w:rFonts w:cs="Times New Roman"/>
          <w:sz w:val="22"/>
          <w:szCs w:val="22"/>
        </w:rPr>
        <w:t>ECoSR, ‘Conclusions VII (1981)’ on</w:t>
      </w:r>
      <w:r w:rsidRPr="00B969C6">
        <w:rPr>
          <w:rFonts w:cs="Times New Roman"/>
          <w:sz w:val="22"/>
          <w:szCs w:val="22"/>
        </w:rPr>
        <w:t xml:space="preserve"> Article 11(1) ESC</w:t>
      </w:r>
      <w:r w:rsidR="00F3384E" w:rsidRPr="00B969C6">
        <w:rPr>
          <w:rFonts w:cs="Times New Roman"/>
          <w:sz w:val="22"/>
          <w:szCs w:val="22"/>
        </w:rPr>
        <w:t>, Norway</w:t>
      </w:r>
      <w:r w:rsidRPr="00B969C6">
        <w:rPr>
          <w:rFonts w:cs="Times New Roman"/>
          <w:sz w:val="22"/>
          <w:szCs w:val="22"/>
        </w:rPr>
        <w:t>.</w:t>
      </w:r>
    </w:p>
  </w:footnote>
  <w:footnote w:id="121">
    <w:p w14:paraId="278C20B6" w14:textId="7E355333"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00F3384E" w:rsidRPr="00B969C6">
        <w:rPr>
          <w:sz w:val="22"/>
          <w:szCs w:val="22"/>
        </w:rPr>
        <w:t>ibid</w:t>
      </w:r>
      <w:r w:rsidRPr="00B969C6">
        <w:rPr>
          <w:sz w:val="22"/>
          <w:szCs w:val="22"/>
        </w:rPr>
        <w:t xml:space="preserve"> on Article 11(1) ESC, all other countries.</w:t>
      </w:r>
    </w:p>
  </w:footnote>
  <w:footnote w:id="122">
    <w:p w14:paraId="20789E73" w14:textId="1326CD79"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00F3384E" w:rsidRPr="00B969C6">
        <w:rPr>
          <w:rFonts w:cs="Times New Roman"/>
          <w:sz w:val="22"/>
          <w:szCs w:val="22"/>
        </w:rPr>
        <w:t>ECoSR, ‘Conclusions VIII (1984)’ on</w:t>
      </w:r>
      <w:r w:rsidRPr="00B969C6">
        <w:rPr>
          <w:rFonts w:cs="Times New Roman"/>
          <w:sz w:val="22"/>
          <w:szCs w:val="22"/>
        </w:rPr>
        <w:t xml:space="preserve"> Article 11(1) ESC, Norway.</w:t>
      </w:r>
    </w:p>
  </w:footnote>
  <w:footnote w:id="123">
    <w:p w14:paraId="11C302B0" w14:textId="6BE5E5AA"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sz w:val="22"/>
          <w:szCs w:val="22"/>
        </w:rPr>
        <w:t>EC</w:t>
      </w:r>
      <w:r w:rsidR="00F3384E" w:rsidRPr="00B969C6">
        <w:rPr>
          <w:rFonts w:cs="Times New Roman"/>
          <w:sz w:val="22"/>
          <w:szCs w:val="22"/>
        </w:rPr>
        <w:t>o</w:t>
      </w:r>
      <w:r w:rsidRPr="00B969C6">
        <w:rPr>
          <w:rFonts w:cs="Times New Roman"/>
          <w:sz w:val="22"/>
          <w:szCs w:val="22"/>
        </w:rPr>
        <w:t xml:space="preserve">SR, </w:t>
      </w:r>
      <w:r w:rsidR="00F3384E" w:rsidRPr="00B969C6">
        <w:rPr>
          <w:rFonts w:cs="Times New Roman"/>
          <w:sz w:val="22"/>
          <w:szCs w:val="22"/>
        </w:rPr>
        <w:t>‘Conclusions VII (1981)’ on</w:t>
      </w:r>
      <w:r w:rsidRPr="00B969C6">
        <w:rPr>
          <w:rFonts w:cs="Times New Roman"/>
          <w:sz w:val="22"/>
          <w:szCs w:val="22"/>
        </w:rPr>
        <w:t xml:space="preserve"> Article 11(1)</w:t>
      </w:r>
      <w:r w:rsidR="00F3384E" w:rsidRPr="00B969C6">
        <w:rPr>
          <w:rFonts w:cs="Times New Roman"/>
          <w:sz w:val="22"/>
          <w:szCs w:val="22"/>
        </w:rPr>
        <w:t xml:space="preserve"> ESC, Norway</w:t>
      </w:r>
      <w:r w:rsidRPr="00B969C6">
        <w:rPr>
          <w:sz w:val="22"/>
          <w:szCs w:val="22"/>
          <w:lang w:val="en-GB"/>
        </w:rPr>
        <w:t xml:space="preserve">; </w:t>
      </w:r>
      <w:r w:rsidRPr="00B969C6">
        <w:rPr>
          <w:rFonts w:cs="Times New Roman"/>
          <w:sz w:val="22"/>
          <w:szCs w:val="22"/>
        </w:rPr>
        <w:t>EC</w:t>
      </w:r>
      <w:r w:rsidR="00F3384E" w:rsidRPr="00B969C6">
        <w:rPr>
          <w:rFonts w:cs="Times New Roman"/>
          <w:sz w:val="22"/>
          <w:szCs w:val="22"/>
        </w:rPr>
        <w:t>o</w:t>
      </w:r>
      <w:r w:rsidRPr="00B969C6">
        <w:rPr>
          <w:rFonts w:cs="Times New Roman"/>
          <w:sz w:val="22"/>
          <w:szCs w:val="22"/>
        </w:rPr>
        <w:t>SR, ‘Conclusio</w:t>
      </w:r>
      <w:r w:rsidR="00F3384E" w:rsidRPr="00B969C6">
        <w:rPr>
          <w:rFonts w:cs="Times New Roman"/>
          <w:sz w:val="22"/>
          <w:szCs w:val="22"/>
        </w:rPr>
        <w:t>ns IX-2 (1985-1986), Addendum’ on Article 11(1) ESC, Spain</w:t>
      </w:r>
      <w:r w:rsidRPr="00B969C6">
        <w:rPr>
          <w:sz w:val="22"/>
          <w:szCs w:val="22"/>
          <w:lang w:val="en-GB"/>
        </w:rPr>
        <w:t xml:space="preserve">; </w:t>
      </w:r>
      <w:r w:rsidRPr="00B969C6">
        <w:rPr>
          <w:rFonts w:cs="Times New Roman"/>
          <w:sz w:val="22"/>
          <w:szCs w:val="22"/>
          <w:lang w:val="en-GB"/>
        </w:rPr>
        <w:t>EC</w:t>
      </w:r>
      <w:r w:rsidR="00F3384E" w:rsidRPr="00B969C6">
        <w:rPr>
          <w:rFonts w:cs="Times New Roman"/>
          <w:sz w:val="22"/>
          <w:szCs w:val="22"/>
          <w:lang w:val="en-GB"/>
        </w:rPr>
        <w:t>o</w:t>
      </w:r>
      <w:r w:rsidRPr="00B969C6">
        <w:rPr>
          <w:rFonts w:cs="Times New Roman"/>
          <w:sz w:val="22"/>
          <w:szCs w:val="22"/>
          <w:lang w:val="en-GB"/>
        </w:rPr>
        <w:t>SR,</w:t>
      </w:r>
      <w:r w:rsidR="00F3384E" w:rsidRPr="00B969C6">
        <w:rPr>
          <w:rFonts w:cs="Times New Roman"/>
          <w:sz w:val="22"/>
          <w:szCs w:val="22"/>
          <w:lang w:val="en-GB"/>
        </w:rPr>
        <w:t xml:space="preserve"> ‘Conclusions X-2 (1987-1990)’ on Article 11(1), Spain</w:t>
      </w:r>
      <w:r w:rsidRPr="00B969C6">
        <w:rPr>
          <w:sz w:val="22"/>
          <w:szCs w:val="22"/>
          <w:lang w:val="en-GB"/>
        </w:rPr>
        <w:t xml:space="preserve">; </w:t>
      </w:r>
      <w:r w:rsidRPr="00B969C6">
        <w:rPr>
          <w:rFonts w:cs="Times New Roman"/>
          <w:sz w:val="22"/>
          <w:szCs w:val="22"/>
          <w:lang w:val="en-GB"/>
        </w:rPr>
        <w:t>EC</w:t>
      </w:r>
      <w:r w:rsidR="00F3384E" w:rsidRPr="00B969C6">
        <w:rPr>
          <w:rFonts w:cs="Times New Roman"/>
          <w:sz w:val="22"/>
          <w:szCs w:val="22"/>
          <w:lang w:val="en-GB"/>
        </w:rPr>
        <w:t>o</w:t>
      </w:r>
      <w:r w:rsidRPr="00B969C6">
        <w:rPr>
          <w:rFonts w:cs="Times New Roman"/>
          <w:sz w:val="22"/>
          <w:szCs w:val="22"/>
          <w:lang w:val="en-GB"/>
        </w:rPr>
        <w:t>SR,</w:t>
      </w:r>
      <w:r w:rsidR="00F3384E" w:rsidRPr="00B969C6">
        <w:rPr>
          <w:rFonts w:cs="Times New Roman"/>
          <w:sz w:val="22"/>
          <w:szCs w:val="22"/>
          <w:lang w:val="en-GB"/>
        </w:rPr>
        <w:t xml:space="preserve"> ‘Conclusions XI-2 (1991-1992)’ on Article 11(1), France</w:t>
      </w:r>
      <w:r w:rsidRPr="00B969C6">
        <w:rPr>
          <w:sz w:val="22"/>
          <w:szCs w:val="22"/>
          <w:lang w:val="en-GB"/>
        </w:rPr>
        <w:t xml:space="preserve">; </w:t>
      </w:r>
      <w:r w:rsidRPr="00B969C6">
        <w:rPr>
          <w:rFonts w:cs="Times New Roman"/>
          <w:sz w:val="22"/>
          <w:szCs w:val="22"/>
          <w:lang w:val="en-GB"/>
        </w:rPr>
        <w:t>EC</w:t>
      </w:r>
      <w:r w:rsidR="00F3384E" w:rsidRPr="00B969C6">
        <w:rPr>
          <w:rFonts w:cs="Times New Roman"/>
          <w:sz w:val="22"/>
          <w:szCs w:val="22"/>
          <w:lang w:val="en-GB"/>
        </w:rPr>
        <w:t>o</w:t>
      </w:r>
      <w:r w:rsidRPr="00B969C6">
        <w:rPr>
          <w:rFonts w:cs="Times New Roman"/>
          <w:sz w:val="22"/>
          <w:szCs w:val="22"/>
          <w:lang w:val="en-GB"/>
        </w:rPr>
        <w:t xml:space="preserve">SR, </w:t>
      </w:r>
      <w:r w:rsidR="00F3384E" w:rsidRPr="00B969C6">
        <w:rPr>
          <w:rFonts w:cs="Times New Roman"/>
          <w:sz w:val="22"/>
          <w:szCs w:val="22"/>
          <w:lang w:val="en-GB"/>
        </w:rPr>
        <w:t>‘Conclusions XII-2 (1991-1992)’ on</w:t>
      </w:r>
      <w:r w:rsidRPr="00B969C6">
        <w:rPr>
          <w:rFonts w:cs="Times New Roman"/>
          <w:sz w:val="22"/>
          <w:szCs w:val="22"/>
          <w:lang w:val="en-GB"/>
        </w:rPr>
        <w:t xml:space="preserve"> Article 11(1), France.</w:t>
      </w:r>
    </w:p>
  </w:footnote>
  <w:footnote w:id="124">
    <w:p w14:paraId="1853F574" w14:textId="207606ED"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sz w:val="22"/>
          <w:szCs w:val="22"/>
          <w:lang w:val="en-GB"/>
        </w:rPr>
        <w:t>EC</w:t>
      </w:r>
      <w:r w:rsidR="00F3384E" w:rsidRPr="00B969C6">
        <w:rPr>
          <w:rFonts w:cs="Times New Roman"/>
          <w:sz w:val="22"/>
          <w:szCs w:val="22"/>
          <w:lang w:val="en-GB"/>
        </w:rPr>
        <w:t>o</w:t>
      </w:r>
      <w:r w:rsidRPr="00B969C6">
        <w:rPr>
          <w:rFonts w:cs="Times New Roman"/>
          <w:sz w:val="22"/>
          <w:szCs w:val="22"/>
          <w:lang w:val="en-GB"/>
        </w:rPr>
        <w:t>SR,</w:t>
      </w:r>
      <w:r w:rsidR="00F3384E" w:rsidRPr="00B969C6">
        <w:rPr>
          <w:rFonts w:cs="Times New Roman"/>
          <w:sz w:val="22"/>
          <w:szCs w:val="22"/>
          <w:lang w:val="en-GB"/>
        </w:rPr>
        <w:t xml:space="preserve"> ‘Conclusions XI-1 (1991-1992)’ on Article 11(3), Sweden</w:t>
      </w:r>
      <w:r w:rsidRPr="00B969C6">
        <w:rPr>
          <w:sz w:val="22"/>
          <w:szCs w:val="22"/>
          <w:lang w:val="en-GB"/>
        </w:rPr>
        <w:t xml:space="preserve">; </w:t>
      </w:r>
      <w:r w:rsidRPr="00B969C6">
        <w:rPr>
          <w:rFonts w:cs="Times New Roman"/>
          <w:sz w:val="22"/>
          <w:szCs w:val="22"/>
          <w:lang w:val="en-GB"/>
        </w:rPr>
        <w:t>EC</w:t>
      </w:r>
      <w:r w:rsidR="00F3384E" w:rsidRPr="00B969C6">
        <w:rPr>
          <w:rFonts w:cs="Times New Roman"/>
          <w:sz w:val="22"/>
          <w:szCs w:val="22"/>
          <w:lang w:val="en-GB"/>
        </w:rPr>
        <w:t>o</w:t>
      </w:r>
      <w:r w:rsidRPr="00B969C6">
        <w:rPr>
          <w:rFonts w:cs="Times New Roman"/>
          <w:sz w:val="22"/>
          <w:szCs w:val="22"/>
          <w:lang w:val="en-GB"/>
        </w:rPr>
        <w:t xml:space="preserve">SR, </w:t>
      </w:r>
      <w:r w:rsidR="00F3384E" w:rsidRPr="00B969C6">
        <w:rPr>
          <w:rFonts w:cs="Times New Roman"/>
          <w:sz w:val="22"/>
          <w:szCs w:val="22"/>
          <w:lang w:val="en-GB"/>
        </w:rPr>
        <w:t>‘Conclusions XII-1 (1991-1992)’ on Article 11(3), Iceland</w:t>
      </w:r>
      <w:r w:rsidRPr="00B969C6">
        <w:rPr>
          <w:sz w:val="22"/>
          <w:szCs w:val="22"/>
          <w:lang w:val="en-GB"/>
        </w:rPr>
        <w:t xml:space="preserve">; </w:t>
      </w:r>
      <w:r w:rsidRPr="00B969C6">
        <w:rPr>
          <w:rFonts w:cs="Times New Roman"/>
          <w:sz w:val="22"/>
          <w:szCs w:val="22"/>
          <w:lang w:val="en-GB"/>
        </w:rPr>
        <w:t>EC</w:t>
      </w:r>
      <w:r w:rsidR="00F3384E" w:rsidRPr="00B969C6">
        <w:rPr>
          <w:rFonts w:cs="Times New Roman"/>
          <w:sz w:val="22"/>
          <w:szCs w:val="22"/>
          <w:lang w:val="en-GB"/>
        </w:rPr>
        <w:t>o</w:t>
      </w:r>
      <w:r w:rsidRPr="00B969C6">
        <w:rPr>
          <w:rFonts w:cs="Times New Roman"/>
          <w:sz w:val="22"/>
          <w:szCs w:val="22"/>
          <w:lang w:val="en-GB"/>
        </w:rPr>
        <w:t xml:space="preserve">SR, ‘Conclusions XII-2 (1991-1992)’ </w:t>
      </w:r>
      <w:r w:rsidR="00F3384E" w:rsidRPr="00B969C6">
        <w:rPr>
          <w:rFonts w:cs="Times New Roman"/>
          <w:sz w:val="22"/>
          <w:szCs w:val="22"/>
          <w:lang w:val="en-GB"/>
        </w:rPr>
        <w:t xml:space="preserve">on </w:t>
      </w:r>
      <w:r w:rsidRPr="00B969C6">
        <w:rPr>
          <w:rFonts w:cs="Times New Roman"/>
          <w:sz w:val="22"/>
          <w:szCs w:val="22"/>
          <w:lang w:val="en-GB"/>
        </w:rPr>
        <w:t>Article 11(3), Italy and Spain.</w:t>
      </w:r>
    </w:p>
  </w:footnote>
  <w:footnote w:id="125">
    <w:p w14:paraId="3CBE1E66" w14:textId="7C011955"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sz w:val="22"/>
          <w:szCs w:val="22"/>
        </w:rPr>
        <w:t>Lougarre (n 115) 330–336.</w:t>
      </w:r>
    </w:p>
  </w:footnote>
  <w:footnote w:id="126">
    <w:p w14:paraId="50F0CAC8" w14:textId="219508A9"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sz w:val="22"/>
          <w:szCs w:val="22"/>
        </w:rPr>
        <w:t>ibid 332–334.</w:t>
      </w:r>
    </w:p>
  </w:footnote>
  <w:footnote w:id="127">
    <w:p w14:paraId="194FF913" w14:textId="3A96398B"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sz w:val="22"/>
          <w:szCs w:val="22"/>
        </w:rPr>
        <w:t xml:space="preserve">WHO, </w:t>
      </w:r>
      <w:r w:rsidRPr="00B969C6">
        <w:rPr>
          <w:rFonts w:cs="Times New Roman"/>
          <w:sz w:val="22"/>
          <w:szCs w:val="22"/>
        </w:rPr>
        <w:t>‘Reproductive Health Strategy</w:t>
      </w:r>
      <w:r w:rsidRPr="00B969C6">
        <w:rPr>
          <w:sz w:val="22"/>
          <w:szCs w:val="22"/>
        </w:rPr>
        <w:t>’ (n 6) 21, para 35</w:t>
      </w:r>
      <w:r w:rsidRPr="00B969C6">
        <w:rPr>
          <w:sz w:val="22"/>
          <w:szCs w:val="22"/>
          <w:lang w:val="en-GB"/>
        </w:rPr>
        <w:t xml:space="preserve">; </w:t>
      </w:r>
      <w:r w:rsidRPr="00B969C6">
        <w:rPr>
          <w:sz w:val="22"/>
          <w:szCs w:val="22"/>
        </w:rPr>
        <w:t xml:space="preserve">Report of the Guttmacher–Lancet Commission </w:t>
      </w:r>
      <w:r w:rsidR="00F3384E" w:rsidRPr="00B969C6">
        <w:rPr>
          <w:sz w:val="22"/>
          <w:szCs w:val="22"/>
        </w:rPr>
        <w:t xml:space="preserve">(n 7) 8; </w:t>
      </w:r>
      <w:r w:rsidRPr="00B969C6">
        <w:rPr>
          <w:rFonts w:cs="Times New Roman"/>
          <w:sz w:val="22"/>
          <w:szCs w:val="22"/>
        </w:rPr>
        <w:t>UNCE</w:t>
      </w:r>
      <w:r w:rsidR="00F3384E" w:rsidRPr="00B969C6">
        <w:rPr>
          <w:rFonts w:cs="Times New Roman"/>
          <w:sz w:val="22"/>
          <w:szCs w:val="22"/>
        </w:rPr>
        <w:t>SCR, ‘General Comment 22’ (n 1)</w:t>
      </w:r>
      <w:r w:rsidRPr="00B969C6">
        <w:rPr>
          <w:rFonts w:cs="Times New Roman"/>
          <w:sz w:val="22"/>
          <w:szCs w:val="22"/>
        </w:rPr>
        <w:t xml:space="preserve"> </w:t>
      </w:r>
      <w:r w:rsidR="00F3384E" w:rsidRPr="00B969C6">
        <w:rPr>
          <w:rFonts w:cs="Times New Roman"/>
          <w:sz w:val="22"/>
          <w:szCs w:val="22"/>
        </w:rPr>
        <w:t>(</w:t>
      </w:r>
      <w:r w:rsidRPr="00B969C6">
        <w:rPr>
          <w:rFonts w:cs="Times New Roman"/>
          <w:sz w:val="22"/>
          <w:szCs w:val="22"/>
        </w:rPr>
        <w:t>maternal healthcare in paras 10, 18, 28 and 45; sex education in paras 9, 28, 47, 49(f) and 63; sexually transmitted diseases in paras 13, 18, 44, 45 and 51</w:t>
      </w:r>
      <w:r w:rsidR="00F3384E" w:rsidRPr="00B969C6">
        <w:rPr>
          <w:rFonts w:cs="Times New Roman"/>
          <w:sz w:val="22"/>
          <w:szCs w:val="22"/>
        </w:rPr>
        <w:t>)</w:t>
      </w:r>
      <w:r w:rsidRPr="00B969C6">
        <w:rPr>
          <w:rFonts w:cs="Times New Roman"/>
          <w:sz w:val="22"/>
          <w:szCs w:val="22"/>
        </w:rPr>
        <w:t>.</w:t>
      </w:r>
    </w:p>
  </w:footnote>
  <w:footnote w:id="128">
    <w:p w14:paraId="142A61DA" w14:textId="4C772D6E"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00F3384E" w:rsidRPr="00B969C6">
        <w:rPr>
          <w:sz w:val="22"/>
          <w:szCs w:val="22"/>
          <w:lang w:val="en-GB"/>
        </w:rPr>
        <w:t xml:space="preserve"> Standard f</w:t>
      </w:r>
      <w:r w:rsidRPr="00B969C6">
        <w:rPr>
          <w:sz w:val="22"/>
          <w:szCs w:val="22"/>
          <w:lang w:val="en-GB"/>
        </w:rPr>
        <w:t>irst established in EC</w:t>
      </w:r>
      <w:r w:rsidR="00F3384E" w:rsidRPr="00B969C6">
        <w:rPr>
          <w:sz w:val="22"/>
          <w:szCs w:val="22"/>
          <w:lang w:val="en-GB"/>
        </w:rPr>
        <w:t xml:space="preserve">oSR, ‘Conclusions XV-2 (2001)’ on </w:t>
      </w:r>
      <w:r w:rsidRPr="00B969C6">
        <w:rPr>
          <w:sz w:val="22"/>
          <w:szCs w:val="22"/>
          <w:lang w:val="en-GB"/>
        </w:rPr>
        <w:t>Article 11(1), Belgium.</w:t>
      </w:r>
    </w:p>
  </w:footnote>
  <w:footnote w:id="129">
    <w:p w14:paraId="38F8B320" w14:textId="2B7BF61D"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00F3384E" w:rsidRPr="00B969C6">
        <w:rPr>
          <w:sz w:val="22"/>
          <w:szCs w:val="22"/>
          <w:lang w:val="en-GB"/>
        </w:rPr>
        <w:t xml:space="preserve"> Standard f</w:t>
      </w:r>
      <w:r w:rsidRPr="00B969C6">
        <w:rPr>
          <w:sz w:val="22"/>
          <w:szCs w:val="22"/>
          <w:lang w:val="en-GB"/>
        </w:rPr>
        <w:t>i</w:t>
      </w:r>
      <w:r w:rsidR="00F3384E" w:rsidRPr="00B969C6">
        <w:rPr>
          <w:sz w:val="22"/>
          <w:szCs w:val="22"/>
          <w:lang w:val="en-GB"/>
        </w:rPr>
        <w:t>r</w:t>
      </w:r>
      <w:r w:rsidRPr="00B969C6">
        <w:rPr>
          <w:sz w:val="22"/>
          <w:szCs w:val="22"/>
          <w:lang w:val="en-GB"/>
        </w:rPr>
        <w:t>st established in EC</w:t>
      </w:r>
      <w:r w:rsidR="00F3384E" w:rsidRPr="00B969C6">
        <w:rPr>
          <w:sz w:val="22"/>
          <w:szCs w:val="22"/>
          <w:lang w:val="en-GB"/>
        </w:rPr>
        <w:t>oSR, ‘Conclusions 2003’ on</w:t>
      </w:r>
      <w:r w:rsidRPr="00B969C6">
        <w:rPr>
          <w:sz w:val="22"/>
          <w:szCs w:val="22"/>
          <w:lang w:val="en-GB"/>
        </w:rPr>
        <w:t xml:space="preserve"> Article 11(1), France (this standard was</w:t>
      </w:r>
      <w:r w:rsidR="00C65D5A" w:rsidRPr="00B969C6">
        <w:rPr>
          <w:sz w:val="22"/>
          <w:szCs w:val="22"/>
          <w:lang w:val="en-GB"/>
        </w:rPr>
        <w:t xml:space="preserve"> expressed</w:t>
      </w:r>
      <w:r w:rsidRPr="00B969C6">
        <w:rPr>
          <w:sz w:val="22"/>
          <w:szCs w:val="22"/>
          <w:lang w:val="en-GB"/>
        </w:rPr>
        <w:t xml:space="preserve"> in more ‘formal’ terms in</w:t>
      </w:r>
      <w:r w:rsidR="00F3384E" w:rsidRPr="00B969C6">
        <w:rPr>
          <w:sz w:val="22"/>
          <w:szCs w:val="22"/>
          <w:lang w:val="en-GB"/>
        </w:rPr>
        <w:t xml:space="preserve"> reporting </w:t>
      </w:r>
      <w:r w:rsidRPr="00B969C6">
        <w:rPr>
          <w:sz w:val="22"/>
          <w:szCs w:val="22"/>
          <w:lang w:val="en-GB"/>
        </w:rPr>
        <w:t>cycles XIX-2 (2009) and 2009).</w:t>
      </w:r>
    </w:p>
  </w:footnote>
  <w:footnote w:id="130">
    <w:p w14:paraId="37FC9EAE" w14:textId="1315106A"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00F3384E" w:rsidRPr="00B969C6">
        <w:rPr>
          <w:sz w:val="22"/>
          <w:szCs w:val="22"/>
          <w:lang w:val="en-GB"/>
        </w:rPr>
        <w:t xml:space="preserve"> Standard f</w:t>
      </w:r>
      <w:r w:rsidRPr="00B969C6">
        <w:rPr>
          <w:sz w:val="22"/>
          <w:szCs w:val="22"/>
          <w:lang w:val="en-GB"/>
        </w:rPr>
        <w:t>irst established in EC</w:t>
      </w:r>
      <w:r w:rsidR="00F3384E" w:rsidRPr="00B969C6">
        <w:rPr>
          <w:sz w:val="22"/>
          <w:szCs w:val="22"/>
          <w:lang w:val="en-GB"/>
        </w:rPr>
        <w:t>oSR, ‘Conclusions 2005’ on</w:t>
      </w:r>
      <w:r w:rsidRPr="00B969C6">
        <w:rPr>
          <w:sz w:val="22"/>
          <w:szCs w:val="22"/>
          <w:lang w:val="en-GB"/>
        </w:rPr>
        <w:t xml:space="preserve"> Article 11(2), Moldova. </w:t>
      </w:r>
    </w:p>
  </w:footnote>
  <w:footnote w:id="131">
    <w:p w14:paraId="0549E3F9" w14:textId="6DE4ABC5"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sz w:val="22"/>
          <w:szCs w:val="22"/>
        </w:rPr>
        <w:t xml:space="preserve">WHO, </w:t>
      </w:r>
      <w:r w:rsidRPr="00B969C6">
        <w:rPr>
          <w:rFonts w:cs="Times New Roman"/>
          <w:sz w:val="22"/>
          <w:szCs w:val="22"/>
        </w:rPr>
        <w:t>‘Reproductive Health Strategy</w:t>
      </w:r>
      <w:r w:rsidRPr="00B969C6">
        <w:rPr>
          <w:sz w:val="22"/>
          <w:szCs w:val="22"/>
        </w:rPr>
        <w:t>’ (n 6) 21, para 35</w:t>
      </w:r>
      <w:r w:rsidRPr="00B969C6">
        <w:rPr>
          <w:sz w:val="22"/>
          <w:szCs w:val="22"/>
          <w:lang w:val="en-GB"/>
        </w:rPr>
        <w:t xml:space="preserve">; </w:t>
      </w:r>
      <w:r w:rsidRPr="00B969C6">
        <w:rPr>
          <w:sz w:val="22"/>
          <w:szCs w:val="22"/>
        </w:rPr>
        <w:t>Report of the Guttmacher–Lancet Commission (n 7) 8</w:t>
      </w:r>
      <w:r w:rsidRPr="00B969C6">
        <w:rPr>
          <w:sz w:val="22"/>
          <w:szCs w:val="22"/>
          <w:lang w:val="en-GB"/>
        </w:rPr>
        <w:t xml:space="preserve">; </w:t>
      </w:r>
      <w:r w:rsidRPr="00B969C6">
        <w:rPr>
          <w:rFonts w:cs="Times New Roman"/>
          <w:sz w:val="22"/>
          <w:szCs w:val="22"/>
        </w:rPr>
        <w:t>UNCESCR, ‘General Comment 22’ (n 1) para</w:t>
      </w:r>
      <w:r w:rsidR="00F3384E" w:rsidRPr="00B969C6">
        <w:rPr>
          <w:rFonts w:cs="Times New Roman"/>
          <w:sz w:val="22"/>
          <w:szCs w:val="22"/>
        </w:rPr>
        <w:t>s</w:t>
      </w:r>
      <w:r w:rsidRPr="00B969C6">
        <w:rPr>
          <w:rFonts w:cs="Times New Roman"/>
          <w:sz w:val="22"/>
          <w:szCs w:val="22"/>
        </w:rPr>
        <w:t xml:space="preserve"> 10, 18, 28 and 45.</w:t>
      </w:r>
    </w:p>
  </w:footnote>
  <w:footnote w:id="132">
    <w:p w14:paraId="022BF1D0" w14:textId="7B6257D3"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00F3384E" w:rsidRPr="00B969C6">
        <w:rPr>
          <w:sz w:val="22"/>
          <w:szCs w:val="22"/>
          <w:lang w:val="en-GB"/>
        </w:rPr>
        <w:t xml:space="preserve"> Standard f</w:t>
      </w:r>
      <w:r w:rsidRPr="00B969C6">
        <w:rPr>
          <w:sz w:val="22"/>
          <w:szCs w:val="22"/>
          <w:lang w:val="en-GB"/>
        </w:rPr>
        <w:t>irst established in EC</w:t>
      </w:r>
      <w:r w:rsidR="00A54364" w:rsidRPr="00B969C6">
        <w:rPr>
          <w:sz w:val="22"/>
          <w:szCs w:val="22"/>
          <w:lang w:val="en-GB"/>
        </w:rPr>
        <w:t>oSR, ‘Conclusions XV-2 (2001)’ on</w:t>
      </w:r>
      <w:r w:rsidRPr="00B969C6">
        <w:rPr>
          <w:sz w:val="22"/>
          <w:szCs w:val="22"/>
          <w:lang w:val="en-GB"/>
        </w:rPr>
        <w:t xml:space="preserve"> Article 11(2), Belgium.</w:t>
      </w:r>
    </w:p>
  </w:footnote>
  <w:footnote w:id="133">
    <w:p w14:paraId="43DE7FD1" w14:textId="70AF8128"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00F3384E" w:rsidRPr="00B969C6">
        <w:rPr>
          <w:sz w:val="22"/>
          <w:szCs w:val="22"/>
          <w:lang w:val="en-GB"/>
        </w:rPr>
        <w:t xml:space="preserve"> Standard f</w:t>
      </w:r>
      <w:r w:rsidRPr="00B969C6">
        <w:rPr>
          <w:sz w:val="22"/>
          <w:szCs w:val="22"/>
          <w:lang w:val="en-GB"/>
        </w:rPr>
        <w:t>irst established in EC</w:t>
      </w:r>
      <w:r w:rsidR="00A54364" w:rsidRPr="00B969C6">
        <w:rPr>
          <w:sz w:val="22"/>
          <w:szCs w:val="22"/>
          <w:lang w:val="en-GB"/>
        </w:rPr>
        <w:t>oSR, ‘Conclusions 2005’ on</w:t>
      </w:r>
      <w:r w:rsidRPr="00B969C6">
        <w:rPr>
          <w:sz w:val="22"/>
          <w:szCs w:val="22"/>
          <w:lang w:val="en-GB"/>
        </w:rPr>
        <w:t xml:space="preserve"> Article 11(2), Moldova. </w:t>
      </w:r>
    </w:p>
  </w:footnote>
  <w:footnote w:id="134">
    <w:p w14:paraId="1FD2E3AC" w14:textId="4080BB16"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sz w:val="22"/>
          <w:szCs w:val="22"/>
        </w:rPr>
        <w:t xml:space="preserve">WHO, </w:t>
      </w:r>
      <w:r w:rsidRPr="00B969C6">
        <w:rPr>
          <w:rFonts w:cs="Times New Roman"/>
          <w:sz w:val="22"/>
          <w:szCs w:val="22"/>
        </w:rPr>
        <w:t>‘Reproductive Health Strategy</w:t>
      </w:r>
      <w:r w:rsidRPr="00B969C6">
        <w:rPr>
          <w:sz w:val="22"/>
          <w:szCs w:val="22"/>
        </w:rPr>
        <w:t>’ (n 6) 21, para 35</w:t>
      </w:r>
      <w:r w:rsidRPr="00B969C6">
        <w:rPr>
          <w:sz w:val="22"/>
          <w:szCs w:val="22"/>
          <w:lang w:val="en-GB"/>
        </w:rPr>
        <w:t xml:space="preserve">; </w:t>
      </w:r>
      <w:r w:rsidRPr="00B969C6">
        <w:rPr>
          <w:sz w:val="22"/>
          <w:szCs w:val="22"/>
        </w:rPr>
        <w:t>Report of the Guttmacher–Lancet Commission (n 7) 8</w:t>
      </w:r>
      <w:r w:rsidRPr="00B969C6">
        <w:rPr>
          <w:sz w:val="22"/>
          <w:szCs w:val="22"/>
          <w:lang w:val="en-GB"/>
        </w:rPr>
        <w:t xml:space="preserve">; </w:t>
      </w:r>
      <w:r w:rsidRPr="00B969C6">
        <w:rPr>
          <w:rFonts w:cs="Times New Roman"/>
          <w:sz w:val="22"/>
          <w:szCs w:val="22"/>
        </w:rPr>
        <w:t>UNCESCR, ‘General Comment 22’ (n 1) paras 9, 18, 19, 28, 47, 49(f), 63.</w:t>
      </w:r>
    </w:p>
  </w:footnote>
  <w:footnote w:id="135">
    <w:p w14:paraId="21C9D0D2" w14:textId="55B9EA12"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The ECtHR </w:t>
      </w:r>
      <w:r w:rsidR="004638A9" w:rsidRPr="00B969C6">
        <w:rPr>
          <w:sz w:val="22"/>
          <w:szCs w:val="22"/>
          <w:lang w:val="en-GB"/>
        </w:rPr>
        <w:t>clearly protected</w:t>
      </w:r>
      <w:r w:rsidRPr="00B969C6">
        <w:rPr>
          <w:sz w:val="22"/>
          <w:szCs w:val="22"/>
          <w:lang w:val="en-GB"/>
        </w:rPr>
        <w:t xml:space="preserve"> the teaching of SRH education in schools over religious beliefs</w:t>
      </w:r>
      <w:r w:rsidR="00F3384E" w:rsidRPr="00B969C6">
        <w:rPr>
          <w:sz w:val="22"/>
          <w:szCs w:val="22"/>
          <w:lang w:val="en-GB"/>
        </w:rPr>
        <w:t xml:space="preserve"> </w:t>
      </w:r>
      <w:r w:rsidR="004638A9" w:rsidRPr="00B969C6">
        <w:rPr>
          <w:sz w:val="22"/>
          <w:szCs w:val="22"/>
          <w:lang w:val="en-GB"/>
        </w:rPr>
        <w:t xml:space="preserve">in </w:t>
      </w:r>
      <w:r w:rsidRPr="00B969C6">
        <w:rPr>
          <w:rFonts w:cs="Times New Roman"/>
          <w:i/>
          <w:iCs/>
          <w:sz w:val="22"/>
          <w:szCs w:val="22"/>
        </w:rPr>
        <w:t>Jiménez Alonso and Jiménez Merino v. Spain</w:t>
      </w:r>
      <w:r w:rsidRPr="00B969C6">
        <w:rPr>
          <w:rFonts w:cs="Times New Roman"/>
          <w:sz w:val="22"/>
          <w:szCs w:val="22"/>
        </w:rPr>
        <w:t xml:space="preserve"> (n 19)</w:t>
      </w:r>
      <w:r w:rsidRPr="00B969C6">
        <w:rPr>
          <w:sz w:val="22"/>
          <w:szCs w:val="22"/>
        </w:rPr>
        <w:t xml:space="preserve">; </w:t>
      </w:r>
      <w:r w:rsidR="004638A9" w:rsidRPr="00B969C6">
        <w:rPr>
          <w:sz w:val="22"/>
          <w:szCs w:val="22"/>
        </w:rPr>
        <w:t xml:space="preserve">and </w:t>
      </w:r>
      <w:r w:rsidRPr="00B969C6">
        <w:rPr>
          <w:rFonts w:cs="Times New Roman"/>
          <w:i/>
          <w:iCs/>
          <w:sz w:val="22"/>
          <w:szCs w:val="22"/>
        </w:rPr>
        <w:t>Dojan and others v. Germany</w:t>
      </w:r>
      <w:r w:rsidRPr="00B969C6">
        <w:rPr>
          <w:rFonts w:cs="Times New Roman"/>
          <w:sz w:val="22"/>
          <w:szCs w:val="22"/>
        </w:rPr>
        <w:t xml:space="preserve"> (n 19).</w:t>
      </w:r>
    </w:p>
  </w:footnote>
  <w:footnote w:id="136">
    <w:p w14:paraId="0D59C342" w14:textId="473657FB"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00A54364" w:rsidRPr="00B969C6">
        <w:rPr>
          <w:sz w:val="22"/>
          <w:szCs w:val="22"/>
          <w:lang w:val="en-GB"/>
        </w:rPr>
        <w:t xml:space="preserve"> Standard f</w:t>
      </w:r>
      <w:r w:rsidRPr="00B969C6">
        <w:rPr>
          <w:sz w:val="22"/>
          <w:szCs w:val="22"/>
          <w:lang w:val="en-GB"/>
        </w:rPr>
        <w:t>irst established in EC</w:t>
      </w:r>
      <w:r w:rsidR="00A54364" w:rsidRPr="00B969C6">
        <w:rPr>
          <w:sz w:val="22"/>
          <w:szCs w:val="22"/>
          <w:lang w:val="en-GB"/>
        </w:rPr>
        <w:t>o</w:t>
      </w:r>
      <w:r w:rsidRPr="00B969C6">
        <w:rPr>
          <w:sz w:val="22"/>
          <w:szCs w:val="22"/>
          <w:lang w:val="en-GB"/>
        </w:rPr>
        <w:t>S</w:t>
      </w:r>
      <w:r w:rsidR="00C65D5A" w:rsidRPr="00B969C6">
        <w:rPr>
          <w:sz w:val="22"/>
          <w:szCs w:val="22"/>
          <w:lang w:val="en-GB"/>
        </w:rPr>
        <w:t xml:space="preserve">R, ‘Conclusions XVII-2 (2005)’ on </w:t>
      </w:r>
      <w:r w:rsidRPr="00B969C6">
        <w:rPr>
          <w:sz w:val="22"/>
          <w:szCs w:val="22"/>
          <w:lang w:val="en-GB"/>
        </w:rPr>
        <w:t>Article 11(2), Latvia.</w:t>
      </w:r>
    </w:p>
  </w:footnote>
  <w:footnote w:id="137">
    <w:p w14:paraId="36F470D9" w14:textId="7FD1699D" w:rsidR="009156EA" w:rsidRPr="00B969C6" w:rsidRDefault="009156EA" w:rsidP="00B969C6">
      <w:pPr>
        <w:pStyle w:val="FootnoteText"/>
        <w:spacing w:before="120" w:after="120"/>
        <w:jc w:val="both"/>
        <w:rPr>
          <w:sz w:val="22"/>
          <w:szCs w:val="22"/>
          <w:highlight w:val="yellow"/>
          <w:lang w:val="en-GB"/>
        </w:rPr>
      </w:pPr>
      <w:r w:rsidRPr="00B969C6">
        <w:rPr>
          <w:rStyle w:val="FootnoteReference"/>
          <w:sz w:val="22"/>
          <w:szCs w:val="22"/>
        </w:rPr>
        <w:footnoteRef/>
      </w:r>
      <w:r w:rsidRPr="00B969C6">
        <w:rPr>
          <w:sz w:val="22"/>
          <w:szCs w:val="22"/>
          <w:lang w:val="en-GB"/>
        </w:rPr>
        <w:t xml:space="preserve"> For instance, see </w:t>
      </w:r>
      <w:r w:rsidRPr="00B969C6">
        <w:rPr>
          <w:rFonts w:cs="Times New Roman"/>
          <w:sz w:val="22"/>
          <w:szCs w:val="22"/>
        </w:rPr>
        <w:t>EC</w:t>
      </w:r>
      <w:r w:rsidR="00C65D5A" w:rsidRPr="00B969C6">
        <w:rPr>
          <w:rFonts w:cs="Times New Roman"/>
          <w:sz w:val="22"/>
          <w:szCs w:val="22"/>
        </w:rPr>
        <w:t>oSR, ‘Conclusions 2009’</w:t>
      </w:r>
      <w:r w:rsidRPr="00B969C6">
        <w:rPr>
          <w:sz w:val="22"/>
          <w:szCs w:val="22"/>
          <w:lang w:val="en-GB"/>
        </w:rPr>
        <w:t xml:space="preserve"> and </w:t>
      </w:r>
      <w:r w:rsidR="00C65D5A" w:rsidRPr="00B969C6">
        <w:rPr>
          <w:rFonts w:cs="Times New Roman"/>
          <w:sz w:val="22"/>
          <w:szCs w:val="22"/>
        </w:rPr>
        <w:t xml:space="preserve">ECoSR, ‘Conclusions XIX-2 (2009)’ </w:t>
      </w:r>
      <w:r w:rsidR="00C65D5A" w:rsidRPr="00B969C6">
        <w:rPr>
          <w:sz w:val="22"/>
          <w:szCs w:val="22"/>
          <w:lang w:val="en-GB"/>
        </w:rPr>
        <w:t>on Article 11(2) ESC</w:t>
      </w:r>
      <w:r w:rsidR="004638A9" w:rsidRPr="00B969C6">
        <w:rPr>
          <w:sz w:val="22"/>
          <w:szCs w:val="22"/>
          <w:lang w:val="en-GB"/>
        </w:rPr>
        <w:t>:</w:t>
      </w:r>
      <w:r w:rsidRPr="00B969C6">
        <w:rPr>
          <w:sz w:val="22"/>
          <w:szCs w:val="22"/>
          <w:lang w:val="en-GB"/>
        </w:rPr>
        <w:t xml:space="preserve"> the ECoSR reviewed the availability of screening services for breast cancer in 7 countries out of 39 (Andorra, Belgium, Cyprus, Estonia, Ireland, Italy, Slovenia); and it reviewed the availability of screening services for prostate cancer in 2 countries out of 39 (Hungary, Latvia). </w:t>
      </w:r>
    </w:p>
  </w:footnote>
  <w:footnote w:id="138">
    <w:p w14:paraId="5C4EB287" w14:textId="0703F35F"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sz w:val="22"/>
          <w:szCs w:val="22"/>
        </w:rPr>
        <w:t xml:space="preserve">WHO, </w:t>
      </w:r>
      <w:r w:rsidRPr="00B969C6">
        <w:rPr>
          <w:rFonts w:cs="Times New Roman"/>
          <w:sz w:val="22"/>
          <w:szCs w:val="22"/>
        </w:rPr>
        <w:t>‘Reproductive Health Strategy</w:t>
      </w:r>
      <w:r w:rsidRPr="00B969C6">
        <w:rPr>
          <w:sz w:val="22"/>
          <w:szCs w:val="22"/>
        </w:rPr>
        <w:t>’ (n 6) 21, para 35</w:t>
      </w:r>
      <w:r w:rsidRPr="00B969C6">
        <w:rPr>
          <w:sz w:val="22"/>
          <w:szCs w:val="22"/>
          <w:lang w:val="en-GB"/>
        </w:rPr>
        <w:t xml:space="preserve">; </w:t>
      </w:r>
      <w:r w:rsidRPr="00B969C6">
        <w:rPr>
          <w:sz w:val="22"/>
          <w:szCs w:val="22"/>
        </w:rPr>
        <w:t xml:space="preserve">Report of the Guttmacher–Lancet Commission </w:t>
      </w:r>
      <w:r w:rsidR="004638A9" w:rsidRPr="00B969C6">
        <w:rPr>
          <w:sz w:val="22"/>
          <w:szCs w:val="22"/>
        </w:rPr>
        <w:t>(n 7) 8</w:t>
      </w:r>
      <w:r w:rsidRPr="00B969C6">
        <w:rPr>
          <w:sz w:val="22"/>
          <w:szCs w:val="22"/>
          <w:lang w:val="en-GB"/>
        </w:rPr>
        <w:t xml:space="preserve">; </w:t>
      </w:r>
      <w:r w:rsidRPr="00B969C6">
        <w:rPr>
          <w:rFonts w:cs="Times New Roman"/>
          <w:sz w:val="22"/>
          <w:szCs w:val="22"/>
        </w:rPr>
        <w:t>UNCESCR, ‘General Comment 22’ (n 1) para</w:t>
      </w:r>
      <w:r w:rsidR="004638A9" w:rsidRPr="00B969C6">
        <w:rPr>
          <w:rFonts w:cs="Times New Roman"/>
          <w:sz w:val="22"/>
          <w:szCs w:val="22"/>
        </w:rPr>
        <w:t>s</w:t>
      </w:r>
      <w:r w:rsidRPr="00B969C6">
        <w:rPr>
          <w:rFonts w:cs="Times New Roman"/>
          <w:sz w:val="22"/>
          <w:szCs w:val="22"/>
        </w:rPr>
        <w:t xml:space="preserve"> 13, 18, 44, 45 and 51.</w:t>
      </w:r>
    </w:p>
  </w:footnote>
  <w:footnote w:id="139">
    <w:p w14:paraId="462844E2" w14:textId="26D0BADD"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sz w:val="22"/>
          <w:szCs w:val="22"/>
        </w:rPr>
        <w:t>Lougarre (n 115) 346–349.</w:t>
      </w:r>
    </w:p>
  </w:footnote>
  <w:footnote w:id="140">
    <w:p w14:paraId="7FBE55C7" w14:textId="54802F85"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sz w:val="22"/>
          <w:szCs w:val="22"/>
        </w:rPr>
        <w:t xml:space="preserve">WHO, </w:t>
      </w:r>
      <w:r w:rsidRPr="00B969C6">
        <w:rPr>
          <w:rFonts w:cs="Times New Roman"/>
          <w:sz w:val="22"/>
          <w:szCs w:val="22"/>
        </w:rPr>
        <w:t>‘Reproductive Health Strategy</w:t>
      </w:r>
      <w:r w:rsidRPr="00B969C6">
        <w:rPr>
          <w:sz w:val="22"/>
          <w:szCs w:val="22"/>
        </w:rPr>
        <w:t>’ (n 6) 21, para 35</w:t>
      </w:r>
      <w:r w:rsidRPr="00B969C6">
        <w:rPr>
          <w:sz w:val="22"/>
          <w:szCs w:val="22"/>
          <w:lang w:val="en-GB"/>
        </w:rPr>
        <w:t xml:space="preserve">; </w:t>
      </w:r>
      <w:r w:rsidRPr="00B969C6">
        <w:rPr>
          <w:sz w:val="22"/>
          <w:szCs w:val="22"/>
        </w:rPr>
        <w:t xml:space="preserve">Report of the Guttmacher–Lancet Commission </w:t>
      </w:r>
      <w:r w:rsidR="004638A9" w:rsidRPr="00B969C6">
        <w:rPr>
          <w:sz w:val="22"/>
          <w:szCs w:val="22"/>
        </w:rPr>
        <w:t>(n 7) 8</w:t>
      </w:r>
      <w:r w:rsidRPr="00B969C6">
        <w:rPr>
          <w:sz w:val="22"/>
          <w:szCs w:val="22"/>
          <w:lang w:val="en-GB"/>
        </w:rPr>
        <w:t xml:space="preserve">; </w:t>
      </w:r>
      <w:r w:rsidRPr="00B969C6">
        <w:rPr>
          <w:rFonts w:cs="Times New Roman"/>
          <w:sz w:val="22"/>
          <w:szCs w:val="22"/>
        </w:rPr>
        <w:t>UNCES</w:t>
      </w:r>
      <w:r w:rsidR="004638A9" w:rsidRPr="00B969C6">
        <w:rPr>
          <w:rFonts w:cs="Times New Roman"/>
          <w:sz w:val="22"/>
          <w:szCs w:val="22"/>
        </w:rPr>
        <w:t>CR, ‘General Comment 22’ (n 1) (</w:t>
      </w:r>
      <w:r w:rsidRPr="00B969C6">
        <w:rPr>
          <w:rFonts w:cs="Times New Roman"/>
          <w:sz w:val="22"/>
          <w:szCs w:val="22"/>
        </w:rPr>
        <w:t>access to contraception in paras 13, 18, 28, 41, 44, 45, 57, 58</w:t>
      </w:r>
      <w:r w:rsidR="004638A9" w:rsidRPr="00B969C6">
        <w:rPr>
          <w:rFonts w:cs="Times New Roman"/>
          <w:sz w:val="22"/>
          <w:szCs w:val="22"/>
        </w:rPr>
        <w:t xml:space="preserve"> and</w:t>
      </w:r>
      <w:r w:rsidRPr="00B969C6">
        <w:rPr>
          <w:rFonts w:cs="Times New Roman"/>
          <w:sz w:val="22"/>
          <w:szCs w:val="22"/>
        </w:rPr>
        <w:t xml:space="preserve"> 62; access to abortion in paras 10, 13, 18, 21, 28, 34, 40, 41, 45, 49(e), 57</w:t>
      </w:r>
      <w:r w:rsidR="004638A9" w:rsidRPr="00B969C6">
        <w:rPr>
          <w:rFonts w:cs="Times New Roman"/>
          <w:sz w:val="22"/>
          <w:szCs w:val="22"/>
        </w:rPr>
        <w:t xml:space="preserve"> and</w:t>
      </w:r>
      <w:r w:rsidRPr="00B969C6">
        <w:rPr>
          <w:rFonts w:cs="Times New Roman"/>
          <w:sz w:val="22"/>
          <w:szCs w:val="22"/>
        </w:rPr>
        <w:t xml:space="preserve"> 59</w:t>
      </w:r>
      <w:r w:rsidR="004638A9" w:rsidRPr="00B969C6">
        <w:rPr>
          <w:rFonts w:cs="Times New Roman"/>
          <w:sz w:val="22"/>
          <w:szCs w:val="22"/>
        </w:rPr>
        <w:t>)</w:t>
      </w:r>
      <w:r w:rsidRPr="00B969C6">
        <w:rPr>
          <w:rFonts w:cs="Times New Roman"/>
          <w:sz w:val="22"/>
          <w:szCs w:val="22"/>
        </w:rPr>
        <w:t>.</w:t>
      </w:r>
    </w:p>
  </w:footnote>
  <w:footnote w:id="141">
    <w:p w14:paraId="217A6C7B" w14:textId="7DC2552C"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004638A9" w:rsidRPr="00B969C6">
        <w:rPr>
          <w:sz w:val="22"/>
          <w:szCs w:val="22"/>
          <w:lang w:val="en-GB"/>
        </w:rPr>
        <w:t xml:space="preserve"> WHO</w:t>
      </w:r>
      <w:r w:rsidRPr="00B969C6">
        <w:rPr>
          <w:sz w:val="22"/>
          <w:szCs w:val="22"/>
          <w:lang w:val="en-GB"/>
        </w:rPr>
        <w:t xml:space="preserve"> </w:t>
      </w:r>
      <w:r w:rsidRPr="00B969C6">
        <w:rPr>
          <w:rFonts w:cs="Times New Roman"/>
          <w:sz w:val="22"/>
          <w:szCs w:val="22"/>
        </w:rPr>
        <w:t>‘Safe Abortion: Technical and Policy Guidance for Hea</w:t>
      </w:r>
      <w:r w:rsidR="004638A9" w:rsidRPr="00B969C6">
        <w:rPr>
          <w:rFonts w:cs="Times New Roman"/>
          <w:sz w:val="22"/>
          <w:szCs w:val="22"/>
        </w:rPr>
        <w:t>lth Systems (2nd Edition)’ (</w:t>
      </w:r>
      <w:r w:rsidRPr="00B969C6">
        <w:rPr>
          <w:rFonts w:cs="Times New Roman"/>
          <w:sz w:val="22"/>
          <w:szCs w:val="22"/>
        </w:rPr>
        <w:t>2012) 22–23 &lt;http://apps.who.int/iris/bitstream/10665</w:t>
      </w:r>
      <w:r w:rsidR="004638A9" w:rsidRPr="00B969C6">
        <w:rPr>
          <w:rFonts w:cs="Times New Roman"/>
          <w:sz w:val="22"/>
          <w:szCs w:val="22"/>
        </w:rPr>
        <w:t>/70914/1/9789241548434_eng.pdf&gt; accessed 26 June 2018.</w:t>
      </w:r>
    </w:p>
  </w:footnote>
  <w:footnote w:id="142">
    <w:p w14:paraId="70A07EAD" w14:textId="529B45B9"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sz w:val="22"/>
          <w:szCs w:val="22"/>
        </w:rPr>
        <w:t>ibid 19–21.</w:t>
      </w:r>
    </w:p>
  </w:footnote>
  <w:footnote w:id="143">
    <w:p w14:paraId="74030C3F" w14:textId="69B51EF1"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sz w:val="22"/>
          <w:szCs w:val="22"/>
        </w:rPr>
        <w:t>EC</w:t>
      </w:r>
      <w:r w:rsidR="004638A9" w:rsidRPr="00B969C6">
        <w:rPr>
          <w:rFonts w:cs="Times New Roman"/>
          <w:sz w:val="22"/>
          <w:szCs w:val="22"/>
        </w:rPr>
        <w:t>oSR, ‘Conclusions 2015’ on</w:t>
      </w:r>
      <w:r w:rsidRPr="00B969C6">
        <w:rPr>
          <w:rFonts w:cs="Times New Roman"/>
          <w:sz w:val="22"/>
          <w:szCs w:val="22"/>
        </w:rPr>
        <w:t xml:space="preserve"> Article </w:t>
      </w:r>
      <w:r w:rsidR="004638A9" w:rsidRPr="00B969C6">
        <w:rPr>
          <w:rFonts w:cs="Times New Roman"/>
          <w:sz w:val="22"/>
          <w:szCs w:val="22"/>
        </w:rPr>
        <w:t>11(2), Romania and Turkey</w:t>
      </w:r>
      <w:r w:rsidRPr="00B969C6">
        <w:rPr>
          <w:sz w:val="22"/>
          <w:szCs w:val="22"/>
          <w:lang w:val="en-GB"/>
        </w:rPr>
        <w:t xml:space="preserve">; </w:t>
      </w:r>
      <w:r w:rsidRPr="00B969C6">
        <w:rPr>
          <w:rFonts w:cs="Times New Roman"/>
          <w:sz w:val="22"/>
          <w:szCs w:val="22"/>
        </w:rPr>
        <w:t>EC</w:t>
      </w:r>
      <w:r w:rsidR="004638A9" w:rsidRPr="00B969C6">
        <w:rPr>
          <w:rFonts w:cs="Times New Roman"/>
          <w:sz w:val="22"/>
          <w:szCs w:val="22"/>
        </w:rPr>
        <w:t>oSR, ‘Conclusions XX-4 (2015)’ on</w:t>
      </w:r>
      <w:r w:rsidRPr="00B969C6">
        <w:rPr>
          <w:rFonts w:cs="Times New Roman"/>
          <w:sz w:val="22"/>
          <w:szCs w:val="22"/>
        </w:rPr>
        <w:t xml:space="preserve"> Article 11(2), Greece.</w:t>
      </w:r>
    </w:p>
  </w:footnote>
  <w:footnote w:id="144">
    <w:p w14:paraId="2145A641" w14:textId="2540BD3D"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sz w:val="22"/>
          <w:szCs w:val="22"/>
        </w:rPr>
        <w:t>EC</w:t>
      </w:r>
      <w:r w:rsidR="004638A9" w:rsidRPr="00B969C6">
        <w:rPr>
          <w:rFonts w:cs="Times New Roman"/>
          <w:sz w:val="22"/>
          <w:szCs w:val="22"/>
        </w:rPr>
        <w:t>o</w:t>
      </w:r>
      <w:r w:rsidRPr="00B969C6">
        <w:rPr>
          <w:rFonts w:cs="Times New Roman"/>
          <w:sz w:val="22"/>
          <w:szCs w:val="22"/>
        </w:rPr>
        <w:t xml:space="preserve">SR, ‘Conclusions 2015’ </w:t>
      </w:r>
      <w:r w:rsidR="004638A9" w:rsidRPr="00B969C6">
        <w:rPr>
          <w:rFonts w:cs="Times New Roman"/>
          <w:sz w:val="22"/>
          <w:szCs w:val="22"/>
        </w:rPr>
        <w:t>on</w:t>
      </w:r>
      <w:r w:rsidRPr="00B969C6">
        <w:rPr>
          <w:rFonts w:cs="Times New Roman"/>
          <w:sz w:val="22"/>
          <w:szCs w:val="22"/>
        </w:rPr>
        <w:t xml:space="preserve"> Article 11(2), Ukraine.</w:t>
      </w:r>
    </w:p>
  </w:footnote>
  <w:footnote w:id="145">
    <w:p w14:paraId="4C3AC4A5" w14:textId="68533C9B"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003C3606" w:rsidRPr="00B969C6">
        <w:rPr>
          <w:sz w:val="22"/>
          <w:szCs w:val="22"/>
        </w:rPr>
        <w:t>i</w:t>
      </w:r>
      <w:r w:rsidR="004638A9" w:rsidRPr="00B969C6">
        <w:rPr>
          <w:sz w:val="22"/>
          <w:szCs w:val="22"/>
        </w:rPr>
        <w:t>bid on</w:t>
      </w:r>
      <w:r w:rsidRPr="00B969C6">
        <w:rPr>
          <w:sz w:val="22"/>
          <w:szCs w:val="22"/>
        </w:rPr>
        <w:t xml:space="preserve"> Article 11(2), Georgi</w:t>
      </w:r>
      <w:r w:rsidR="004638A9" w:rsidRPr="00B969C6">
        <w:rPr>
          <w:sz w:val="22"/>
          <w:szCs w:val="22"/>
        </w:rPr>
        <w:t>a, Lithuania, Moldova, Portugal and Turkey</w:t>
      </w:r>
      <w:r w:rsidRPr="00B969C6">
        <w:rPr>
          <w:sz w:val="22"/>
          <w:szCs w:val="22"/>
          <w:lang w:val="en-GB"/>
        </w:rPr>
        <w:t xml:space="preserve">; </w:t>
      </w:r>
      <w:r w:rsidRPr="00B969C6">
        <w:rPr>
          <w:rFonts w:cs="Times New Roman"/>
          <w:sz w:val="22"/>
          <w:szCs w:val="22"/>
        </w:rPr>
        <w:t>EC</w:t>
      </w:r>
      <w:r w:rsidR="004638A9" w:rsidRPr="00B969C6">
        <w:rPr>
          <w:rFonts w:cs="Times New Roman"/>
          <w:sz w:val="22"/>
          <w:szCs w:val="22"/>
        </w:rPr>
        <w:t>o</w:t>
      </w:r>
      <w:r w:rsidRPr="00B969C6">
        <w:rPr>
          <w:rFonts w:cs="Times New Roman"/>
          <w:sz w:val="22"/>
          <w:szCs w:val="22"/>
        </w:rPr>
        <w:t xml:space="preserve">SR, ‘Conclusions XX-4 (2015)’ </w:t>
      </w:r>
      <w:r w:rsidR="004638A9" w:rsidRPr="00B969C6">
        <w:rPr>
          <w:rFonts w:cs="Times New Roman"/>
          <w:sz w:val="22"/>
          <w:szCs w:val="22"/>
        </w:rPr>
        <w:t>on</w:t>
      </w:r>
      <w:r w:rsidRPr="00B969C6">
        <w:rPr>
          <w:rFonts w:cs="Times New Roman"/>
          <w:sz w:val="22"/>
          <w:szCs w:val="22"/>
        </w:rPr>
        <w:t xml:space="preserve"> Article 11(2), Greece.</w:t>
      </w:r>
    </w:p>
  </w:footnote>
  <w:footnote w:id="146">
    <w:p w14:paraId="15C7A6F0" w14:textId="0A4C64C4"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sz w:val="22"/>
          <w:szCs w:val="22"/>
        </w:rPr>
        <w:t>EC</w:t>
      </w:r>
      <w:r w:rsidR="004638A9" w:rsidRPr="00B969C6">
        <w:rPr>
          <w:rFonts w:cs="Times New Roman"/>
          <w:sz w:val="22"/>
          <w:szCs w:val="22"/>
        </w:rPr>
        <w:t>oSR, ‘Conclusions 2013’ on</w:t>
      </w:r>
      <w:r w:rsidRPr="00B969C6">
        <w:rPr>
          <w:rFonts w:cs="Times New Roman"/>
          <w:sz w:val="22"/>
          <w:szCs w:val="22"/>
        </w:rPr>
        <w:t xml:space="preserve"> Article 11(1), T</w:t>
      </w:r>
      <w:r w:rsidR="004638A9" w:rsidRPr="00B969C6">
        <w:rPr>
          <w:rFonts w:cs="Times New Roman"/>
          <w:sz w:val="22"/>
          <w:szCs w:val="22"/>
        </w:rPr>
        <w:t xml:space="preserve">urkey, Ukraine, Denmark, Malta and </w:t>
      </w:r>
      <w:r w:rsidRPr="00B969C6">
        <w:rPr>
          <w:rFonts w:cs="Times New Roman"/>
          <w:sz w:val="22"/>
          <w:szCs w:val="22"/>
        </w:rPr>
        <w:t>Moldova.</w:t>
      </w:r>
    </w:p>
  </w:footnote>
  <w:footnote w:id="147">
    <w:p w14:paraId="0C47A1CE" w14:textId="3DBE28AB"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003C3606" w:rsidRPr="00B969C6">
        <w:rPr>
          <w:sz w:val="22"/>
          <w:szCs w:val="22"/>
          <w:lang w:val="en-GB"/>
        </w:rPr>
        <w:t xml:space="preserve">Review operated for 25 states out of 34, in </w:t>
      </w:r>
      <w:r w:rsidRPr="00B969C6">
        <w:rPr>
          <w:rFonts w:cs="Times New Roman"/>
          <w:sz w:val="22"/>
          <w:szCs w:val="22"/>
          <w:lang w:val="en-GB"/>
        </w:rPr>
        <w:t>E</w:t>
      </w:r>
      <w:r w:rsidR="003C3606" w:rsidRPr="00B969C6">
        <w:rPr>
          <w:rFonts w:cs="Times New Roman"/>
          <w:sz w:val="22"/>
          <w:szCs w:val="22"/>
          <w:lang w:val="en-GB"/>
        </w:rPr>
        <w:t>CoSR, ‘Conclusions XXI-2 (2017)’ on</w:t>
      </w:r>
      <w:r w:rsidRPr="00B969C6">
        <w:rPr>
          <w:rFonts w:cs="Times New Roman"/>
          <w:sz w:val="22"/>
          <w:szCs w:val="22"/>
          <w:lang w:val="en-GB"/>
        </w:rPr>
        <w:t xml:space="preserve"> Articl</w:t>
      </w:r>
      <w:r w:rsidR="003C3606" w:rsidRPr="00B969C6">
        <w:rPr>
          <w:rFonts w:cs="Times New Roman"/>
          <w:sz w:val="22"/>
          <w:szCs w:val="22"/>
          <w:lang w:val="en-GB"/>
        </w:rPr>
        <w:t>e 11(1)</w:t>
      </w:r>
      <w:r w:rsidRPr="00B969C6">
        <w:rPr>
          <w:sz w:val="22"/>
          <w:szCs w:val="22"/>
          <w:lang w:val="en-GB"/>
        </w:rPr>
        <w:t xml:space="preserve">; </w:t>
      </w:r>
      <w:r w:rsidR="003C3606" w:rsidRPr="00B969C6">
        <w:rPr>
          <w:sz w:val="22"/>
          <w:szCs w:val="22"/>
          <w:lang w:val="en-GB"/>
        </w:rPr>
        <w:t xml:space="preserve">and </w:t>
      </w:r>
      <w:r w:rsidR="003C3606" w:rsidRPr="00B969C6">
        <w:rPr>
          <w:rFonts w:cs="Times New Roman"/>
          <w:sz w:val="22"/>
          <w:szCs w:val="22"/>
          <w:lang w:val="en-GB"/>
        </w:rPr>
        <w:t>ECoSR, ‘Conclusions 2017’ on Article 11(1)</w:t>
      </w:r>
      <w:r w:rsidRPr="00B969C6">
        <w:rPr>
          <w:sz w:val="22"/>
          <w:szCs w:val="22"/>
          <w:lang w:val="en-GB"/>
        </w:rPr>
        <w:t>.</w:t>
      </w:r>
    </w:p>
  </w:footnote>
  <w:footnote w:id="148">
    <w:p w14:paraId="09506E94" w14:textId="71541983"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Most documents submitted through the reporting procedure can be found on: </w:t>
      </w:r>
      <w:r w:rsidR="003C3606" w:rsidRPr="00B969C6">
        <w:rPr>
          <w:sz w:val="22"/>
          <w:szCs w:val="22"/>
          <w:lang w:val="en-GB"/>
        </w:rPr>
        <w:t>&lt;</w:t>
      </w:r>
      <w:r w:rsidRPr="00B969C6">
        <w:rPr>
          <w:sz w:val="22"/>
          <w:szCs w:val="22"/>
          <w:lang w:val="en-GB"/>
        </w:rPr>
        <w:t>https://www.coe.int/en/web/turin-european-social-charter/national-reports#{%2213417429%22:[20]}</w:t>
      </w:r>
      <w:r w:rsidR="003C3606" w:rsidRPr="00B969C6">
        <w:rPr>
          <w:sz w:val="22"/>
          <w:szCs w:val="22"/>
          <w:lang w:val="en-GB"/>
        </w:rPr>
        <w:t>&gt; accessed 26 June 2018.</w:t>
      </w:r>
      <w:r w:rsidRPr="00B969C6">
        <w:rPr>
          <w:sz w:val="22"/>
          <w:szCs w:val="22"/>
          <w:lang w:val="en-GB"/>
        </w:rPr>
        <w:t xml:space="preserve"> </w:t>
      </w:r>
    </w:p>
  </w:footnote>
  <w:footnote w:id="149">
    <w:p w14:paraId="50BB0FDA" w14:textId="6C44FB69"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sz w:val="22"/>
          <w:szCs w:val="22"/>
        </w:rPr>
        <w:t>EC</w:t>
      </w:r>
      <w:r w:rsidR="003C3606" w:rsidRPr="00B969C6">
        <w:rPr>
          <w:rFonts w:cs="Times New Roman"/>
          <w:sz w:val="22"/>
          <w:szCs w:val="22"/>
        </w:rPr>
        <w:t>o</w:t>
      </w:r>
      <w:r w:rsidRPr="00B969C6">
        <w:rPr>
          <w:rFonts w:cs="Times New Roman"/>
          <w:sz w:val="22"/>
          <w:szCs w:val="22"/>
        </w:rPr>
        <w:t xml:space="preserve">SR, ‘Conclusions 2017’ </w:t>
      </w:r>
      <w:r w:rsidR="00440692" w:rsidRPr="00B969C6">
        <w:rPr>
          <w:rFonts w:cs="Times New Roman"/>
          <w:sz w:val="22"/>
          <w:szCs w:val="22"/>
        </w:rPr>
        <w:t>on Article 11(1),</w:t>
      </w:r>
      <w:r w:rsidR="003C3606" w:rsidRPr="00B969C6">
        <w:rPr>
          <w:rFonts w:cs="Times New Roman"/>
          <w:sz w:val="22"/>
          <w:szCs w:val="22"/>
        </w:rPr>
        <w:t xml:space="preserve"> Turkey</w:t>
      </w:r>
      <w:r w:rsidRPr="00B969C6">
        <w:rPr>
          <w:sz w:val="22"/>
          <w:szCs w:val="22"/>
          <w:lang w:val="en-GB"/>
        </w:rPr>
        <w:t xml:space="preserve">; </w:t>
      </w:r>
      <w:r w:rsidR="00440692" w:rsidRPr="00B969C6">
        <w:rPr>
          <w:sz w:val="22"/>
          <w:szCs w:val="22"/>
          <w:lang w:val="en-GB"/>
        </w:rPr>
        <w:t xml:space="preserve">(ECtHR) </w:t>
      </w:r>
      <w:r w:rsidR="003C3606" w:rsidRPr="00B969C6">
        <w:rPr>
          <w:rFonts w:cs="Times New Roman"/>
          <w:i/>
          <w:iCs/>
          <w:sz w:val="22"/>
          <w:szCs w:val="22"/>
        </w:rPr>
        <w:t>YY v</w:t>
      </w:r>
      <w:r w:rsidRPr="00B969C6">
        <w:rPr>
          <w:rFonts w:cs="Times New Roman"/>
          <w:i/>
          <w:iCs/>
          <w:sz w:val="22"/>
          <w:szCs w:val="22"/>
        </w:rPr>
        <w:t xml:space="preserve"> Turkey</w:t>
      </w:r>
      <w:r w:rsidRPr="00B969C6">
        <w:rPr>
          <w:rFonts w:cs="Times New Roman"/>
          <w:sz w:val="22"/>
          <w:szCs w:val="22"/>
        </w:rPr>
        <w:t xml:space="preserve"> (n 55).</w:t>
      </w:r>
    </w:p>
  </w:footnote>
  <w:footnote w:id="150">
    <w:p w14:paraId="6E58358B" w14:textId="40CCD85B"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sz w:val="22"/>
          <w:szCs w:val="22"/>
        </w:rPr>
        <w:t xml:space="preserve">WHO, </w:t>
      </w:r>
      <w:r w:rsidRPr="00B969C6">
        <w:rPr>
          <w:rFonts w:cs="Times New Roman"/>
          <w:sz w:val="22"/>
          <w:szCs w:val="22"/>
        </w:rPr>
        <w:t>‘Reproductive Health Strategy</w:t>
      </w:r>
      <w:r w:rsidRPr="00B969C6">
        <w:rPr>
          <w:sz w:val="22"/>
          <w:szCs w:val="22"/>
        </w:rPr>
        <w:t>’ (n 6) 21, para 35</w:t>
      </w:r>
      <w:r w:rsidRPr="00B969C6">
        <w:rPr>
          <w:sz w:val="22"/>
          <w:szCs w:val="22"/>
          <w:lang w:val="en-GB"/>
        </w:rPr>
        <w:t xml:space="preserve">; </w:t>
      </w:r>
      <w:r w:rsidRPr="00B969C6">
        <w:rPr>
          <w:sz w:val="22"/>
          <w:szCs w:val="22"/>
        </w:rPr>
        <w:t xml:space="preserve">Report of the Guttmacher–Lancet Commission </w:t>
      </w:r>
      <w:r w:rsidR="003C3606" w:rsidRPr="00B969C6">
        <w:rPr>
          <w:sz w:val="22"/>
          <w:szCs w:val="22"/>
        </w:rPr>
        <w:t>(n 7) 8</w:t>
      </w:r>
      <w:r w:rsidRPr="00B969C6">
        <w:rPr>
          <w:sz w:val="22"/>
          <w:szCs w:val="22"/>
          <w:lang w:val="en-GB"/>
        </w:rPr>
        <w:t xml:space="preserve">; </w:t>
      </w:r>
      <w:r w:rsidRPr="00B969C6">
        <w:rPr>
          <w:rFonts w:cs="Times New Roman"/>
          <w:sz w:val="22"/>
          <w:szCs w:val="22"/>
        </w:rPr>
        <w:t>UNCESCR, ‘General Comment 22’ (n 1).</w:t>
      </w:r>
    </w:p>
  </w:footnote>
  <w:footnote w:id="151">
    <w:p w14:paraId="6238AEB8" w14:textId="02DD85AB"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sz w:val="22"/>
          <w:szCs w:val="22"/>
        </w:rPr>
        <w:t>Griet De Cuypere and others, ‘Sexual and Physical Health After Sex Reassignment Surgery’ (2005) 34 Archives of Sexual Behavior 679.</w:t>
      </w:r>
    </w:p>
  </w:footnote>
  <w:footnote w:id="152">
    <w:p w14:paraId="6700117E" w14:textId="024D111E"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sz w:val="22"/>
          <w:szCs w:val="22"/>
          <w:lang w:val="en-GB"/>
        </w:rPr>
        <w:t>EC</w:t>
      </w:r>
      <w:r w:rsidR="00DC2251" w:rsidRPr="00B969C6">
        <w:rPr>
          <w:rFonts w:cs="Times New Roman"/>
          <w:sz w:val="22"/>
          <w:szCs w:val="22"/>
          <w:lang w:val="en-GB"/>
        </w:rPr>
        <w:t>o</w:t>
      </w:r>
      <w:r w:rsidRPr="00B969C6">
        <w:rPr>
          <w:rFonts w:cs="Times New Roman"/>
          <w:sz w:val="22"/>
          <w:szCs w:val="22"/>
          <w:lang w:val="en-GB"/>
        </w:rPr>
        <w:t xml:space="preserve">SR, ‘Conclusions 2017’ </w:t>
      </w:r>
      <w:r w:rsidR="00DC2251" w:rsidRPr="00B969C6">
        <w:rPr>
          <w:rFonts w:cs="Times New Roman"/>
          <w:sz w:val="22"/>
          <w:szCs w:val="22"/>
          <w:lang w:val="en-GB"/>
        </w:rPr>
        <w:t>on Article 11(1),</w:t>
      </w:r>
      <w:r w:rsidRPr="00B969C6">
        <w:rPr>
          <w:rFonts w:cs="Times New Roman"/>
          <w:sz w:val="22"/>
          <w:szCs w:val="22"/>
          <w:lang w:val="en-GB"/>
        </w:rPr>
        <w:t xml:space="preserve"> Austria.</w:t>
      </w:r>
      <w:r w:rsidRPr="00B969C6">
        <w:rPr>
          <w:sz w:val="22"/>
          <w:szCs w:val="22"/>
          <w:lang w:val="en-GB"/>
        </w:rPr>
        <w:t xml:space="preserve"> See a slightly more satis</w:t>
      </w:r>
      <w:r w:rsidR="00DC2251" w:rsidRPr="00B969C6">
        <w:rPr>
          <w:sz w:val="22"/>
          <w:szCs w:val="22"/>
          <w:lang w:val="en-GB"/>
        </w:rPr>
        <w:t>factory review of this issue in</w:t>
      </w:r>
      <w:r w:rsidRPr="00B969C6">
        <w:rPr>
          <w:sz w:val="22"/>
          <w:szCs w:val="22"/>
          <w:lang w:val="en-GB"/>
        </w:rPr>
        <w:t xml:space="preserve"> </w:t>
      </w:r>
      <w:r w:rsidRPr="00B969C6">
        <w:rPr>
          <w:rFonts w:cs="Times New Roman"/>
          <w:sz w:val="22"/>
          <w:szCs w:val="22"/>
        </w:rPr>
        <w:t>EC</w:t>
      </w:r>
      <w:r w:rsidR="00DC2251" w:rsidRPr="00B969C6">
        <w:rPr>
          <w:rFonts w:cs="Times New Roman"/>
          <w:sz w:val="22"/>
          <w:szCs w:val="22"/>
        </w:rPr>
        <w:t>o</w:t>
      </w:r>
      <w:r w:rsidRPr="00B969C6">
        <w:rPr>
          <w:rFonts w:cs="Times New Roman"/>
          <w:sz w:val="22"/>
          <w:szCs w:val="22"/>
        </w:rPr>
        <w:t xml:space="preserve">SR, ‘Conclusions 2013’ </w:t>
      </w:r>
      <w:r w:rsidR="00DC2251" w:rsidRPr="00B969C6">
        <w:rPr>
          <w:rFonts w:cs="Times New Roman"/>
          <w:sz w:val="22"/>
          <w:szCs w:val="22"/>
        </w:rPr>
        <w:t>on Article 11(1), Portugal; ECoSR, ‘Conclusions 2013’ on</w:t>
      </w:r>
      <w:r w:rsidR="00C62593" w:rsidRPr="00B969C6">
        <w:rPr>
          <w:rFonts w:cs="Times New Roman"/>
          <w:sz w:val="22"/>
          <w:szCs w:val="22"/>
        </w:rPr>
        <w:t xml:space="preserve"> Article 11(2), Sweden</w:t>
      </w:r>
      <w:r w:rsidRPr="00B969C6">
        <w:rPr>
          <w:sz w:val="22"/>
          <w:szCs w:val="22"/>
          <w:lang w:val="en-GB"/>
        </w:rPr>
        <w:t xml:space="preserve">; and </w:t>
      </w:r>
      <w:r w:rsidR="00C62593" w:rsidRPr="00B969C6">
        <w:rPr>
          <w:rFonts w:cs="Times New Roman"/>
          <w:sz w:val="22"/>
          <w:szCs w:val="22"/>
        </w:rPr>
        <w:t>ECSR, ‘Conclusions XX-2 (2013)’ on Article 11(2), Macedonia</w:t>
      </w:r>
      <w:r w:rsidRPr="00B969C6">
        <w:rPr>
          <w:sz w:val="22"/>
          <w:szCs w:val="22"/>
          <w:lang w:val="en-GB"/>
        </w:rPr>
        <w:t xml:space="preserve"> (in which the Committee highlights the availability of </w:t>
      </w:r>
      <w:r w:rsidR="00440692" w:rsidRPr="00B969C6">
        <w:rPr>
          <w:sz w:val="22"/>
          <w:szCs w:val="22"/>
          <w:lang w:val="en-GB"/>
        </w:rPr>
        <w:t xml:space="preserve">advice on </w:t>
      </w:r>
      <w:r w:rsidRPr="00B969C6">
        <w:rPr>
          <w:sz w:val="22"/>
          <w:szCs w:val="22"/>
          <w:lang w:val="en-GB"/>
        </w:rPr>
        <w:t>contraception</w:t>
      </w:r>
      <w:r w:rsidR="00440692" w:rsidRPr="00B969C6">
        <w:rPr>
          <w:sz w:val="22"/>
          <w:szCs w:val="22"/>
          <w:lang w:val="en-GB"/>
        </w:rPr>
        <w:t xml:space="preserve"> and</w:t>
      </w:r>
      <w:r w:rsidRPr="00B969C6">
        <w:rPr>
          <w:sz w:val="22"/>
          <w:szCs w:val="22"/>
          <w:lang w:val="en-GB"/>
        </w:rPr>
        <w:t xml:space="preserve"> the number of maternal deaths related to abortion procedures). </w:t>
      </w:r>
    </w:p>
  </w:footnote>
  <w:footnote w:id="153">
    <w:p w14:paraId="598A01AC" w14:textId="2C3BBC5A"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sz w:val="22"/>
          <w:szCs w:val="22"/>
        </w:rPr>
        <w:t xml:space="preserve">WHO, </w:t>
      </w:r>
      <w:r w:rsidRPr="00B969C6">
        <w:rPr>
          <w:rFonts w:cs="Times New Roman"/>
          <w:sz w:val="22"/>
          <w:szCs w:val="22"/>
        </w:rPr>
        <w:t>‘Reproductive Health Strategy</w:t>
      </w:r>
      <w:r w:rsidRPr="00B969C6">
        <w:rPr>
          <w:sz w:val="22"/>
          <w:szCs w:val="22"/>
        </w:rPr>
        <w:t>’ (n 6) 21, para 35</w:t>
      </w:r>
      <w:r w:rsidRPr="00B969C6">
        <w:rPr>
          <w:sz w:val="22"/>
          <w:szCs w:val="22"/>
          <w:lang w:val="en-GB"/>
        </w:rPr>
        <w:t xml:space="preserve">; </w:t>
      </w:r>
      <w:r w:rsidRPr="00B969C6">
        <w:rPr>
          <w:sz w:val="22"/>
          <w:szCs w:val="22"/>
        </w:rPr>
        <w:t>Report of the Guttmacher–Lancet Commission (n 7) 8</w:t>
      </w:r>
      <w:r w:rsidRPr="00B969C6">
        <w:rPr>
          <w:sz w:val="22"/>
          <w:szCs w:val="22"/>
          <w:lang w:val="en-GB"/>
        </w:rPr>
        <w:t xml:space="preserve">; </w:t>
      </w:r>
      <w:r w:rsidRPr="00B969C6">
        <w:rPr>
          <w:rFonts w:cs="Times New Roman"/>
          <w:sz w:val="22"/>
          <w:szCs w:val="22"/>
        </w:rPr>
        <w:t>UNCESCR, ‘General Comment 22’ (n 1).</w:t>
      </w:r>
    </w:p>
  </w:footnote>
  <w:footnote w:id="154">
    <w:p w14:paraId="38794829" w14:textId="27C94FAF"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sz w:val="22"/>
          <w:szCs w:val="22"/>
        </w:rPr>
        <w:t xml:space="preserve">WHO, </w:t>
      </w:r>
      <w:r w:rsidRPr="00B969C6">
        <w:rPr>
          <w:rFonts w:cs="Times New Roman"/>
          <w:sz w:val="22"/>
          <w:szCs w:val="22"/>
        </w:rPr>
        <w:t>‘Reproductive Health Strategy</w:t>
      </w:r>
      <w:r w:rsidRPr="00B969C6">
        <w:rPr>
          <w:sz w:val="22"/>
          <w:szCs w:val="22"/>
        </w:rPr>
        <w:t>’ (n 6) 21, para 35</w:t>
      </w:r>
      <w:r w:rsidRPr="00B969C6">
        <w:rPr>
          <w:sz w:val="22"/>
          <w:szCs w:val="22"/>
          <w:lang w:val="en-GB"/>
        </w:rPr>
        <w:t xml:space="preserve">; </w:t>
      </w:r>
      <w:r w:rsidRPr="00B969C6">
        <w:rPr>
          <w:sz w:val="22"/>
          <w:szCs w:val="22"/>
        </w:rPr>
        <w:t>Report of the Guttmacher–Lancet Commission (n 7) 8</w:t>
      </w:r>
      <w:r w:rsidRPr="00B969C6">
        <w:rPr>
          <w:sz w:val="22"/>
          <w:szCs w:val="22"/>
          <w:lang w:val="en-GB"/>
        </w:rPr>
        <w:t xml:space="preserve">; </w:t>
      </w:r>
      <w:r w:rsidRPr="00B969C6">
        <w:rPr>
          <w:rFonts w:cs="Times New Roman"/>
          <w:sz w:val="22"/>
          <w:szCs w:val="22"/>
        </w:rPr>
        <w:t>UNCESCR, ‘General Comment 22’ (n 1) para</w:t>
      </w:r>
      <w:r w:rsidR="00C62593" w:rsidRPr="00B969C6">
        <w:rPr>
          <w:rFonts w:cs="Times New Roman"/>
          <w:sz w:val="22"/>
          <w:szCs w:val="22"/>
        </w:rPr>
        <w:t>s</w:t>
      </w:r>
      <w:r w:rsidRPr="00B969C6">
        <w:rPr>
          <w:rFonts w:cs="Times New Roman"/>
          <w:sz w:val="22"/>
          <w:szCs w:val="22"/>
        </w:rPr>
        <w:t xml:space="preserve"> 18 and 44.</w:t>
      </w:r>
    </w:p>
  </w:footnote>
  <w:footnote w:id="155">
    <w:p w14:paraId="309D6971" w14:textId="6A213D12"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Procedure created by </w:t>
      </w:r>
      <w:r w:rsidRPr="00B969C6">
        <w:rPr>
          <w:sz w:val="22"/>
          <w:szCs w:val="22"/>
        </w:rPr>
        <w:t>Additional Protocol ESC 1995 (n 111).</w:t>
      </w:r>
    </w:p>
  </w:footnote>
  <w:footnote w:id="156">
    <w:p w14:paraId="3E40097B" w14:textId="09B207E1"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i/>
          <w:iCs/>
          <w:sz w:val="22"/>
          <w:szCs w:val="22"/>
        </w:rPr>
        <w:t>International Centre for the Legal Protection of Human Rights (INTERIGHTS) v Croatia</w:t>
      </w:r>
      <w:r w:rsidRPr="00B969C6">
        <w:rPr>
          <w:rFonts w:cs="Times New Roman"/>
          <w:sz w:val="22"/>
          <w:szCs w:val="22"/>
        </w:rPr>
        <w:t xml:space="preserve"> </w:t>
      </w:r>
      <w:r w:rsidR="00C45D0F" w:rsidRPr="00B969C6">
        <w:rPr>
          <w:rFonts w:cs="Times New Roman"/>
          <w:sz w:val="22"/>
          <w:szCs w:val="22"/>
        </w:rPr>
        <w:t>Complaint No. 45/2007</w:t>
      </w:r>
      <w:r w:rsidR="00C45D0F" w:rsidRPr="00B969C6">
        <w:rPr>
          <w:rFonts w:cs="Times New Roman"/>
          <w:sz w:val="22"/>
          <w:szCs w:val="22"/>
        </w:rPr>
        <w:t xml:space="preserve"> (ECoSR, 30 March 2009)</w:t>
      </w:r>
      <w:r w:rsidRPr="00B969C6">
        <w:rPr>
          <w:rFonts w:cs="Times New Roman"/>
          <w:sz w:val="22"/>
          <w:szCs w:val="22"/>
        </w:rPr>
        <w:t>.</w:t>
      </w:r>
    </w:p>
  </w:footnote>
  <w:footnote w:id="157">
    <w:p w14:paraId="39B880DC" w14:textId="5CA04D4D"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sz w:val="22"/>
          <w:szCs w:val="22"/>
        </w:rPr>
        <w:t xml:space="preserve">ibid </w:t>
      </w:r>
      <w:r w:rsidR="006D4244" w:rsidRPr="00B969C6">
        <w:rPr>
          <w:rFonts w:cs="Times New Roman"/>
          <w:sz w:val="22"/>
          <w:szCs w:val="22"/>
        </w:rPr>
        <w:t xml:space="preserve">paras </w:t>
      </w:r>
      <w:r w:rsidRPr="00B969C6">
        <w:rPr>
          <w:rFonts w:cs="Times New Roman"/>
          <w:sz w:val="22"/>
          <w:szCs w:val="22"/>
        </w:rPr>
        <w:t>25–32.</w:t>
      </w:r>
    </w:p>
  </w:footnote>
  <w:footnote w:id="158">
    <w:p w14:paraId="76345534" w14:textId="0CC263A2"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sz w:val="22"/>
          <w:szCs w:val="22"/>
        </w:rPr>
        <w:t xml:space="preserve">ibid </w:t>
      </w:r>
      <w:r w:rsidR="006D4244" w:rsidRPr="00B969C6">
        <w:rPr>
          <w:rFonts w:cs="Times New Roman"/>
          <w:sz w:val="22"/>
          <w:szCs w:val="22"/>
        </w:rPr>
        <w:t xml:space="preserve">paras </w:t>
      </w:r>
      <w:r w:rsidRPr="00B969C6">
        <w:rPr>
          <w:rFonts w:cs="Times New Roman"/>
          <w:sz w:val="22"/>
          <w:szCs w:val="22"/>
        </w:rPr>
        <w:t>47, 51–54, 58–66.</w:t>
      </w:r>
    </w:p>
  </w:footnote>
  <w:footnote w:id="159">
    <w:p w14:paraId="50B5B190" w14:textId="1874FD78"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sz w:val="22"/>
          <w:szCs w:val="22"/>
        </w:rPr>
        <w:t xml:space="preserve">ibid </w:t>
      </w:r>
      <w:r w:rsidR="006D4244" w:rsidRPr="00B969C6">
        <w:rPr>
          <w:sz w:val="22"/>
          <w:szCs w:val="22"/>
        </w:rPr>
        <w:t xml:space="preserve">para </w:t>
      </w:r>
      <w:r w:rsidRPr="00B969C6">
        <w:rPr>
          <w:sz w:val="22"/>
          <w:szCs w:val="22"/>
        </w:rPr>
        <w:t>47.</w:t>
      </w:r>
    </w:p>
  </w:footnote>
  <w:footnote w:id="160">
    <w:p w14:paraId="60A444F9" w14:textId="5B2CA03C"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sz w:val="22"/>
          <w:szCs w:val="22"/>
        </w:rPr>
        <w:t xml:space="preserve">WHO, </w:t>
      </w:r>
      <w:r w:rsidRPr="00B969C6">
        <w:rPr>
          <w:rFonts w:cs="Times New Roman"/>
          <w:sz w:val="22"/>
          <w:szCs w:val="22"/>
        </w:rPr>
        <w:t>‘Reproductive Health Strategy</w:t>
      </w:r>
      <w:r w:rsidRPr="00B969C6">
        <w:rPr>
          <w:sz w:val="22"/>
          <w:szCs w:val="22"/>
        </w:rPr>
        <w:t>’ (n 6) 21, para 35</w:t>
      </w:r>
      <w:r w:rsidRPr="00B969C6">
        <w:rPr>
          <w:sz w:val="22"/>
          <w:szCs w:val="22"/>
          <w:lang w:val="en-GB"/>
        </w:rPr>
        <w:t xml:space="preserve">; </w:t>
      </w:r>
      <w:r w:rsidRPr="00B969C6">
        <w:rPr>
          <w:sz w:val="22"/>
          <w:szCs w:val="22"/>
        </w:rPr>
        <w:t>Report of the Guttmacher–Lancet Commission (n 7) 8</w:t>
      </w:r>
      <w:r w:rsidRPr="00B969C6">
        <w:rPr>
          <w:sz w:val="22"/>
          <w:szCs w:val="22"/>
          <w:lang w:val="en-GB"/>
        </w:rPr>
        <w:t xml:space="preserve">; </w:t>
      </w:r>
      <w:r w:rsidRPr="00B969C6">
        <w:rPr>
          <w:rFonts w:cs="Times New Roman"/>
          <w:sz w:val="22"/>
          <w:szCs w:val="22"/>
        </w:rPr>
        <w:t>UNCESCR, ‘General Comment 22’ (n 1) para</w:t>
      </w:r>
      <w:r w:rsidR="006D4244" w:rsidRPr="00B969C6">
        <w:rPr>
          <w:rFonts w:cs="Times New Roman"/>
          <w:sz w:val="22"/>
          <w:szCs w:val="22"/>
        </w:rPr>
        <w:t>s</w:t>
      </w:r>
      <w:r w:rsidRPr="00B969C6">
        <w:rPr>
          <w:rFonts w:cs="Times New Roman"/>
          <w:sz w:val="22"/>
          <w:szCs w:val="22"/>
        </w:rPr>
        <w:t xml:space="preserve"> 18 and 19.</w:t>
      </w:r>
    </w:p>
  </w:footnote>
  <w:footnote w:id="161">
    <w:p w14:paraId="4D1E90DD" w14:textId="0A0B554A"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006D4244" w:rsidRPr="00B969C6">
        <w:rPr>
          <w:rFonts w:cs="Times New Roman"/>
          <w:i/>
          <w:iCs/>
          <w:sz w:val="22"/>
          <w:szCs w:val="22"/>
        </w:rPr>
        <w:t>INTERIGHTS v</w:t>
      </w:r>
      <w:r w:rsidRPr="00B969C6">
        <w:rPr>
          <w:rFonts w:cs="Times New Roman"/>
          <w:i/>
          <w:iCs/>
          <w:sz w:val="22"/>
          <w:szCs w:val="22"/>
        </w:rPr>
        <w:t xml:space="preserve"> Croatia</w:t>
      </w:r>
      <w:r w:rsidR="006D4244" w:rsidRPr="00B969C6">
        <w:rPr>
          <w:rFonts w:cs="Times New Roman"/>
          <w:sz w:val="22"/>
          <w:szCs w:val="22"/>
        </w:rPr>
        <w:t xml:space="preserve"> (n 156) paras 55–56</w:t>
      </w:r>
      <w:r w:rsidRPr="00B969C6">
        <w:rPr>
          <w:rFonts w:cs="Times New Roman"/>
          <w:sz w:val="22"/>
          <w:szCs w:val="22"/>
        </w:rPr>
        <w:t>.</w:t>
      </w:r>
    </w:p>
  </w:footnote>
  <w:footnote w:id="162">
    <w:p w14:paraId="1F11444B" w14:textId="0AA86042"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sz w:val="22"/>
          <w:szCs w:val="22"/>
        </w:rPr>
        <w:t xml:space="preserve">ibid </w:t>
      </w:r>
      <w:r w:rsidR="006D4244" w:rsidRPr="00B969C6">
        <w:rPr>
          <w:sz w:val="22"/>
          <w:szCs w:val="22"/>
        </w:rPr>
        <w:t>paras 52 and 59</w:t>
      </w:r>
      <w:r w:rsidR="006D4244" w:rsidRPr="00B969C6">
        <w:rPr>
          <w:sz w:val="22"/>
          <w:szCs w:val="22"/>
          <w:lang w:val="en-GB"/>
        </w:rPr>
        <w:t xml:space="preserve"> (t</w:t>
      </w:r>
      <w:r w:rsidR="00E857D9" w:rsidRPr="00B969C6">
        <w:rPr>
          <w:sz w:val="22"/>
          <w:szCs w:val="22"/>
          <w:lang w:val="en-GB"/>
        </w:rPr>
        <w:t>he margin of appreciation granted to Croatia concerned</w:t>
      </w:r>
      <w:r w:rsidRPr="00B969C6">
        <w:rPr>
          <w:sz w:val="22"/>
          <w:szCs w:val="22"/>
          <w:lang w:val="en-GB"/>
        </w:rPr>
        <w:t xml:space="preserve"> the organisational structure and cultural appropriateness of SRH education)</w:t>
      </w:r>
      <w:r w:rsidR="006D4244" w:rsidRPr="00B969C6">
        <w:rPr>
          <w:sz w:val="22"/>
          <w:szCs w:val="22"/>
          <w:lang w:val="en-GB"/>
        </w:rPr>
        <w:t>.</w:t>
      </w:r>
    </w:p>
  </w:footnote>
  <w:footnote w:id="163">
    <w:p w14:paraId="6CC7F6B7" w14:textId="30830547"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sz w:val="22"/>
          <w:szCs w:val="22"/>
        </w:rPr>
        <w:t xml:space="preserve">ibid </w:t>
      </w:r>
      <w:r w:rsidR="00D03B4D" w:rsidRPr="00B969C6">
        <w:rPr>
          <w:rFonts w:cs="Times New Roman"/>
          <w:sz w:val="22"/>
          <w:szCs w:val="22"/>
        </w:rPr>
        <w:t xml:space="preserve">paras </w:t>
      </w:r>
      <w:r w:rsidRPr="00B969C6">
        <w:rPr>
          <w:rFonts w:cs="Times New Roman"/>
          <w:sz w:val="22"/>
          <w:szCs w:val="22"/>
        </w:rPr>
        <w:t>55–56.</w:t>
      </w:r>
    </w:p>
  </w:footnote>
  <w:footnote w:id="164">
    <w:p w14:paraId="039DD6E0" w14:textId="66F2631C"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i/>
          <w:iCs/>
          <w:sz w:val="22"/>
          <w:szCs w:val="22"/>
        </w:rPr>
        <w:t>International Planned Parenthood Federation European Network (IPPF EN) v Italy</w:t>
      </w:r>
      <w:r w:rsidR="00D03B4D" w:rsidRPr="00B969C6">
        <w:rPr>
          <w:rFonts w:cs="Times New Roman"/>
          <w:sz w:val="22"/>
          <w:szCs w:val="22"/>
        </w:rPr>
        <w:t xml:space="preserve"> </w:t>
      </w:r>
      <w:r w:rsidR="00D03B4D" w:rsidRPr="00B969C6">
        <w:rPr>
          <w:rFonts w:cs="Times New Roman"/>
          <w:sz w:val="22"/>
          <w:szCs w:val="22"/>
        </w:rPr>
        <w:t>Complaint No. 87/2012</w:t>
      </w:r>
      <w:r w:rsidR="00D03B4D" w:rsidRPr="00B969C6">
        <w:rPr>
          <w:rFonts w:cs="Times New Roman"/>
          <w:sz w:val="22"/>
          <w:szCs w:val="22"/>
        </w:rPr>
        <w:t xml:space="preserve"> (ECoSR, 10 September 2013)</w:t>
      </w:r>
      <w:r w:rsidRPr="00B969C6">
        <w:rPr>
          <w:rFonts w:cs="Times New Roman"/>
          <w:sz w:val="22"/>
          <w:szCs w:val="22"/>
        </w:rPr>
        <w:t>.</w:t>
      </w:r>
    </w:p>
  </w:footnote>
  <w:footnote w:id="165">
    <w:p w14:paraId="7FC1B97B" w14:textId="0B7A9800"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00D03B4D" w:rsidRPr="00B969C6">
        <w:rPr>
          <w:sz w:val="22"/>
          <w:szCs w:val="22"/>
        </w:rPr>
        <w:t>i</w:t>
      </w:r>
      <w:r w:rsidRPr="00B969C6">
        <w:rPr>
          <w:sz w:val="22"/>
          <w:szCs w:val="22"/>
        </w:rPr>
        <w:t>bid</w:t>
      </w:r>
      <w:r w:rsidR="00D03B4D" w:rsidRPr="00B969C6">
        <w:rPr>
          <w:sz w:val="22"/>
          <w:szCs w:val="22"/>
        </w:rPr>
        <w:t xml:space="preserve"> para</w:t>
      </w:r>
      <w:r w:rsidRPr="00B969C6">
        <w:rPr>
          <w:sz w:val="22"/>
          <w:szCs w:val="22"/>
        </w:rPr>
        <w:t xml:space="preserve"> 12.</w:t>
      </w:r>
    </w:p>
  </w:footnote>
  <w:footnote w:id="166">
    <w:p w14:paraId="2CB9DA86" w14:textId="73B12FA5"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sz w:val="22"/>
          <w:szCs w:val="22"/>
        </w:rPr>
        <w:t xml:space="preserve">ibid </w:t>
      </w:r>
      <w:r w:rsidR="00D03B4D" w:rsidRPr="00B969C6">
        <w:rPr>
          <w:rFonts w:cs="Times New Roman"/>
          <w:sz w:val="22"/>
          <w:szCs w:val="22"/>
        </w:rPr>
        <w:t xml:space="preserve">paras </w:t>
      </w:r>
      <w:r w:rsidRPr="00B969C6">
        <w:rPr>
          <w:rFonts w:cs="Times New Roman"/>
          <w:sz w:val="22"/>
          <w:szCs w:val="22"/>
        </w:rPr>
        <w:t>37–38 (</w:t>
      </w:r>
      <w:r w:rsidR="00D03B4D" w:rsidRPr="00B969C6">
        <w:rPr>
          <w:rFonts w:cs="Times New Roman"/>
          <w:sz w:val="22"/>
          <w:szCs w:val="22"/>
        </w:rPr>
        <w:t>the ECoSR referred</w:t>
      </w:r>
      <w:r w:rsidRPr="00B969C6">
        <w:rPr>
          <w:rFonts w:cs="Times New Roman"/>
          <w:sz w:val="22"/>
          <w:szCs w:val="22"/>
        </w:rPr>
        <w:t xml:space="preserve"> to Article 12 of the International Covenant on Economic, Social and Cultural Rights and to General Comment No. 14 of the Committee on Economic, Social and Cultural Rights).</w:t>
      </w:r>
    </w:p>
  </w:footnote>
  <w:footnote w:id="167">
    <w:p w14:paraId="793B40F0" w14:textId="6F7DD289"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sz w:val="22"/>
          <w:szCs w:val="22"/>
        </w:rPr>
        <w:t xml:space="preserve">ibid </w:t>
      </w:r>
      <w:r w:rsidR="00D03B4D" w:rsidRPr="00B969C6">
        <w:rPr>
          <w:sz w:val="22"/>
          <w:szCs w:val="22"/>
        </w:rPr>
        <w:t xml:space="preserve">para </w:t>
      </w:r>
      <w:r w:rsidRPr="00B969C6">
        <w:rPr>
          <w:sz w:val="22"/>
          <w:szCs w:val="22"/>
        </w:rPr>
        <w:t>66.</w:t>
      </w:r>
    </w:p>
  </w:footnote>
  <w:footnote w:id="168">
    <w:p w14:paraId="3010BE3B" w14:textId="7925FDAE"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sz w:val="22"/>
          <w:szCs w:val="22"/>
        </w:rPr>
        <w:t xml:space="preserve">WHO, </w:t>
      </w:r>
      <w:r w:rsidRPr="00B969C6">
        <w:rPr>
          <w:rFonts w:cs="Times New Roman"/>
          <w:sz w:val="22"/>
          <w:szCs w:val="22"/>
        </w:rPr>
        <w:t>‘Reproductive Health Strategy</w:t>
      </w:r>
      <w:r w:rsidRPr="00B969C6">
        <w:rPr>
          <w:sz w:val="22"/>
          <w:szCs w:val="22"/>
        </w:rPr>
        <w:t>’ (n 6) 21, para 35</w:t>
      </w:r>
      <w:r w:rsidRPr="00B969C6">
        <w:rPr>
          <w:sz w:val="22"/>
          <w:szCs w:val="22"/>
          <w:lang w:val="en-GB"/>
        </w:rPr>
        <w:t xml:space="preserve">; </w:t>
      </w:r>
      <w:r w:rsidRPr="00B969C6">
        <w:rPr>
          <w:sz w:val="22"/>
          <w:szCs w:val="22"/>
        </w:rPr>
        <w:t>Report of the Guttmacher–Lancet Commission (n 7) 8</w:t>
      </w:r>
      <w:r w:rsidRPr="00B969C6">
        <w:rPr>
          <w:sz w:val="22"/>
          <w:szCs w:val="22"/>
          <w:lang w:val="en-GB"/>
        </w:rPr>
        <w:t xml:space="preserve">; </w:t>
      </w:r>
      <w:r w:rsidRPr="00B969C6">
        <w:rPr>
          <w:rFonts w:cs="Times New Roman"/>
          <w:sz w:val="22"/>
          <w:szCs w:val="22"/>
        </w:rPr>
        <w:t>UNCESCR, ‘General Comment 22’ (n 1) para</w:t>
      </w:r>
      <w:r w:rsidR="00D03B4D" w:rsidRPr="00B969C6">
        <w:rPr>
          <w:rFonts w:cs="Times New Roman"/>
          <w:sz w:val="22"/>
          <w:szCs w:val="22"/>
        </w:rPr>
        <w:t>s</w:t>
      </w:r>
      <w:r w:rsidRPr="00B969C6">
        <w:rPr>
          <w:rFonts w:cs="Times New Roman"/>
          <w:sz w:val="22"/>
          <w:szCs w:val="22"/>
        </w:rPr>
        <w:t xml:space="preserve"> 14 and 43.</w:t>
      </w:r>
    </w:p>
  </w:footnote>
  <w:footnote w:id="169">
    <w:p w14:paraId="13DA70A1" w14:textId="6040102A"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00D03B4D" w:rsidRPr="00B969C6">
        <w:rPr>
          <w:rFonts w:cs="Times New Roman"/>
          <w:i/>
          <w:iCs/>
          <w:sz w:val="22"/>
          <w:szCs w:val="22"/>
        </w:rPr>
        <w:t xml:space="preserve">IPPF EN v </w:t>
      </w:r>
      <w:r w:rsidRPr="00B969C6">
        <w:rPr>
          <w:rFonts w:cs="Times New Roman"/>
          <w:i/>
          <w:iCs/>
          <w:sz w:val="22"/>
          <w:szCs w:val="22"/>
        </w:rPr>
        <w:t>Italy</w:t>
      </w:r>
      <w:r w:rsidR="00D03B4D" w:rsidRPr="00B969C6">
        <w:rPr>
          <w:rFonts w:cs="Times New Roman"/>
          <w:sz w:val="22"/>
          <w:szCs w:val="22"/>
        </w:rPr>
        <w:t xml:space="preserve"> (n 164) para 161</w:t>
      </w:r>
      <w:r w:rsidRPr="00B969C6">
        <w:rPr>
          <w:rFonts w:cs="Times New Roman"/>
          <w:sz w:val="22"/>
          <w:szCs w:val="22"/>
        </w:rPr>
        <w:t>.</w:t>
      </w:r>
    </w:p>
  </w:footnote>
  <w:footnote w:id="170">
    <w:p w14:paraId="65051E72" w14:textId="14B9068F"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sz w:val="22"/>
          <w:szCs w:val="22"/>
        </w:rPr>
        <w:t xml:space="preserve">ibid </w:t>
      </w:r>
      <w:r w:rsidR="00D03B4D" w:rsidRPr="00B969C6">
        <w:rPr>
          <w:sz w:val="22"/>
          <w:szCs w:val="22"/>
        </w:rPr>
        <w:t xml:space="preserve">para </w:t>
      </w:r>
      <w:r w:rsidRPr="00B969C6">
        <w:rPr>
          <w:sz w:val="22"/>
          <w:szCs w:val="22"/>
        </w:rPr>
        <w:t>175.</w:t>
      </w:r>
    </w:p>
  </w:footnote>
  <w:footnote w:id="171">
    <w:p w14:paraId="6ED72553" w14:textId="60BDD307"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sz w:val="22"/>
          <w:szCs w:val="22"/>
        </w:rPr>
        <w:t xml:space="preserve">WHO, </w:t>
      </w:r>
      <w:r w:rsidRPr="00B969C6">
        <w:rPr>
          <w:rFonts w:cs="Times New Roman"/>
          <w:sz w:val="22"/>
          <w:szCs w:val="22"/>
        </w:rPr>
        <w:t>‘Reproductive Health Strategy</w:t>
      </w:r>
      <w:r w:rsidRPr="00B969C6">
        <w:rPr>
          <w:sz w:val="22"/>
          <w:szCs w:val="22"/>
        </w:rPr>
        <w:t>’ (n 6) 21, para 35</w:t>
      </w:r>
      <w:r w:rsidRPr="00B969C6">
        <w:rPr>
          <w:sz w:val="22"/>
          <w:szCs w:val="22"/>
          <w:lang w:val="en-GB"/>
        </w:rPr>
        <w:t xml:space="preserve">; </w:t>
      </w:r>
      <w:r w:rsidRPr="00B969C6">
        <w:rPr>
          <w:sz w:val="22"/>
          <w:szCs w:val="22"/>
        </w:rPr>
        <w:t>Report of the Guttmacher–Lancet Commission (n 7) 8</w:t>
      </w:r>
      <w:r w:rsidRPr="00B969C6">
        <w:rPr>
          <w:sz w:val="22"/>
          <w:szCs w:val="22"/>
          <w:lang w:val="en-GB"/>
        </w:rPr>
        <w:t xml:space="preserve">; </w:t>
      </w:r>
      <w:r w:rsidRPr="00B969C6">
        <w:rPr>
          <w:rFonts w:cs="Times New Roman"/>
          <w:sz w:val="22"/>
          <w:szCs w:val="22"/>
        </w:rPr>
        <w:t>UNCESCR, ‘General Comment 22’ (n 1) paras 10, 13, 18</w:t>
      </w:r>
      <w:r w:rsidR="00D03B4D" w:rsidRPr="00B969C6">
        <w:rPr>
          <w:rFonts w:cs="Times New Roman"/>
          <w:sz w:val="22"/>
          <w:szCs w:val="22"/>
        </w:rPr>
        <w:t>, 21, 28, 34, 40, 41, 45, 49(e) and</w:t>
      </w:r>
      <w:r w:rsidRPr="00B969C6">
        <w:rPr>
          <w:rFonts w:cs="Times New Roman"/>
          <w:sz w:val="22"/>
          <w:szCs w:val="22"/>
        </w:rPr>
        <w:t xml:space="preserve"> 59.</w:t>
      </w:r>
    </w:p>
  </w:footnote>
  <w:footnote w:id="172">
    <w:p w14:paraId="65CE52E1" w14:textId="12E33B0B"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i/>
          <w:iCs/>
          <w:sz w:val="22"/>
          <w:szCs w:val="22"/>
        </w:rPr>
        <w:t>Confederazione Generale Italiana del Lavoro (CGIL) v Italy</w:t>
      </w:r>
      <w:r w:rsidR="00D03B4D" w:rsidRPr="00B969C6">
        <w:rPr>
          <w:rFonts w:cs="Times New Roman"/>
          <w:sz w:val="22"/>
          <w:szCs w:val="22"/>
        </w:rPr>
        <w:t xml:space="preserve"> </w:t>
      </w:r>
      <w:r w:rsidR="00D03B4D" w:rsidRPr="00B969C6">
        <w:rPr>
          <w:rFonts w:cs="Times New Roman"/>
          <w:sz w:val="22"/>
          <w:szCs w:val="22"/>
        </w:rPr>
        <w:t>Complaint No. 91/2013</w:t>
      </w:r>
      <w:r w:rsidR="00D03B4D" w:rsidRPr="00B969C6">
        <w:rPr>
          <w:rFonts w:cs="Times New Roman"/>
          <w:sz w:val="22"/>
          <w:szCs w:val="22"/>
        </w:rPr>
        <w:t xml:space="preserve"> (ECoSR, 12 October 2015)</w:t>
      </w:r>
      <w:r w:rsidRPr="00B969C6">
        <w:rPr>
          <w:rFonts w:cs="Times New Roman"/>
          <w:sz w:val="22"/>
          <w:szCs w:val="22"/>
        </w:rPr>
        <w:t>.</w:t>
      </w:r>
    </w:p>
  </w:footnote>
  <w:footnote w:id="173">
    <w:p w14:paraId="5DFC6E4A" w14:textId="74AE827E"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00D03B4D" w:rsidRPr="00B969C6">
        <w:rPr>
          <w:rFonts w:cs="Times New Roman"/>
          <w:i/>
          <w:iCs/>
          <w:sz w:val="22"/>
          <w:szCs w:val="22"/>
        </w:rPr>
        <w:t>Federation of</w:t>
      </w:r>
      <w:r w:rsidRPr="00B969C6">
        <w:rPr>
          <w:rFonts w:cs="Times New Roman"/>
          <w:i/>
          <w:iCs/>
          <w:sz w:val="22"/>
          <w:szCs w:val="22"/>
        </w:rPr>
        <w:t xml:space="preserve"> Catholic Families in Europe (FAFCE) v Sweden</w:t>
      </w:r>
      <w:r w:rsidRPr="00B969C6">
        <w:rPr>
          <w:rFonts w:cs="Times New Roman"/>
          <w:sz w:val="22"/>
          <w:szCs w:val="22"/>
        </w:rPr>
        <w:t xml:space="preserve"> </w:t>
      </w:r>
      <w:r w:rsidR="00D03B4D" w:rsidRPr="00B969C6">
        <w:rPr>
          <w:rFonts w:cs="Times New Roman"/>
          <w:sz w:val="22"/>
          <w:szCs w:val="22"/>
        </w:rPr>
        <w:t>Complaint No. 99/2013</w:t>
      </w:r>
      <w:r w:rsidR="00D03B4D" w:rsidRPr="00B969C6">
        <w:rPr>
          <w:rFonts w:cs="Times New Roman"/>
          <w:sz w:val="22"/>
          <w:szCs w:val="22"/>
        </w:rPr>
        <w:t xml:space="preserve"> (ECoSR, 17 March 2015)</w:t>
      </w:r>
      <w:r w:rsidRPr="00B969C6">
        <w:rPr>
          <w:rFonts w:cs="Times New Roman"/>
          <w:sz w:val="22"/>
          <w:szCs w:val="22"/>
        </w:rPr>
        <w:t>.</w:t>
      </w:r>
    </w:p>
  </w:footnote>
  <w:footnote w:id="174">
    <w:p w14:paraId="6D40F3A8" w14:textId="65D121AB"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sz w:val="22"/>
          <w:szCs w:val="22"/>
        </w:rPr>
        <w:t xml:space="preserve">ibid </w:t>
      </w:r>
      <w:r w:rsidR="00D03B4D" w:rsidRPr="00B969C6">
        <w:rPr>
          <w:rFonts w:cs="Times New Roman"/>
          <w:sz w:val="22"/>
          <w:szCs w:val="22"/>
        </w:rPr>
        <w:t xml:space="preserve">paras </w:t>
      </w:r>
      <w:r w:rsidRPr="00B969C6">
        <w:rPr>
          <w:rFonts w:cs="Times New Roman"/>
          <w:sz w:val="22"/>
          <w:szCs w:val="22"/>
        </w:rPr>
        <w:t>36–46.</w:t>
      </w:r>
    </w:p>
  </w:footnote>
  <w:footnote w:id="175">
    <w:p w14:paraId="4ADB02A0" w14:textId="23058DBE"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sz w:val="22"/>
          <w:szCs w:val="22"/>
        </w:rPr>
        <w:t xml:space="preserve">ibid </w:t>
      </w:r>
      <w:r w:rsidR="00D03B4D" w:rsidRPr="00B969C6">
        <w:rPr>
          <w:rFonts w:cs="Times New Roman"/>
          <w:sz w:val="22"/>
          <w:szCs w:val="22"/>
        </w:rPr>
        <w:t xml:space="preserve">paras </w:t>
      </w:r>
      <w:r w:rsidRPr="00B969C6">
        <w:rPr>
          <w:rFonts w:cs="Times New Roman"/>
          <w:sz w:val="22"/>
          <w:szCs w:val="22"/>
        </w:rPr>
        <w:t>69–72.</w:t>
      </w:r>
    </w:p>
  </w:footnote>
  <w:footnote w:id="176">
    <w:p w14:paraId="35CB7F24" w14:textId="271B65BA"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sz w:val="22"/>
          <w:szCs w:val="22"/>
        </w:rPr>
        <w:t xml:space="preserve">ibid </w:t>
      </w:r>
      <w:r w:rsidR="00D03B4D" w:rsidRPr="00B969C6">
        <w:rPr>
          <w:rFonts w:cs="Times New Roman"/>
          <w:sz w:val="22"/>
          <w:szCs w:val="22"/>
        </w:rPr>
        <w:t xml:space="preserve">paras </w:t>
      </w:r>
      <w:r w:rsidRPr="00B969C6">
        <w:rPr>
          <w:rFonts w:cs="Times New Roman"/>
          <w:sz w:val="22"/>
          <w:szCs w:val="22"/>
        </w:rPr>
        <w:t>76–79.</w:t>
      </w:r>
    </w:p>
  </w:footnote>
  <w:footnote w:id="177">
    <w:p w14:paraId="365A1DF6" w14:textId="3807FEE1"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See </w:t>
      </w:r>
      <w:r w:rsidRPr="00B969C6">
        <w:rPr>
          <w:sz w:val="22"/>
          <w:szCs w:val="22"/>
        </w:rPr>
        <w:t xml:space="preserve">WHO, </w:t>
      </w:r>
      <w:r w:rsidRPr="00B969C6">
        <w:rPr>
          <w:rFonts w:cs="Times New Roman"/>
          <w:sz w:val="22"/>
          <w:szCs w:val="22"/>
        </w:rPr>
        <w:t>‘Reproductive Health Strategy</w:t>
      </w:r>
      <w:r w:rsidRPr="00B969C6">
        <w:rPr>
          <w:sz w:val="22"/>
          <w:szCs w:val="22"/>
        </w:rPr>
        <w:t>’ (n 6) 21, para 35</w:t>
      </w:r>
      <w:r w:rsidRPr="00B969C6">
        <w:rPr>
          <w:sz w:val="22"/>
          <w:szCs w:val="22"/>
          <w:lang w:val="en-GB"/>
        </w:rPr>
        <w:t xml:space="preserve">; </w:t>
      </w:r>
      <w:r w:rsidRPr="00B969C6">
        <w:rPr>
          <w:sz w:val="22"/>
          <w:szCs w:val="22"/>
        </w:rPr>
        <w:t>Report of the Guttmacher–Lancet Commission (n 7) 8</w:t>
      </w:r>
      <w:r w:rsidRPr="00B969C6">
        <w:rPr>
          <w:sz w:val="22"/>
          <w:szCs w:val="22"/>
          <w:lang w:val="en-GB"/>
        </w:rPr>
        <w:t xml:space="preserve">; </w:t>
      </w:r>
      <w:r w:rsidRPr="00B969C6">
        <w:rPr>
          <w:rFonts w:cs="Times New Roman"/>
          <w:sz w:val="22"/>
          <w:szCs w:val="22"/>
        </w:rPr>
        <w:t>UNCESCR, ‘General Comment 22’ (n 1).</w:t>
      </w:r>
    </w:p>
  </w:footnote>
  <w:footnote w:id="178">
    <w:p w14:paraId="4DF7E490" w14:textId="25860315"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00D03B4D" w:rsidRPr="00B969C6">
        <w:rPr>
          <w:rFonts w:cs="Times New Roman"/>
          <w:i/>
          <w:iCs/>
          <w:sz w:val="22"/>
          <w:szCs w:val="22"/>
        </w:rPr>
        <w:t>FAFCE v</w:t>
      </w:r>
      <w:r w:rsidRPr="00B969C6">
        <w:rPr>
          <w:rFonts w:cs="Times New Roman"/>
          <w:i/>
          <w:iCs/>
          <w:sz w:val="22"/>
          <w:szCs w:val="22"/>
        </w:rPr>
        <w:t xml:space="preserve"> Sweden</w:t>
      </w:r>
      <w:r w:rsidR="00D03B4D" w:rsidRPr="00B969C6">
        <w:rPr>
          <w:rFonts w:cs="Times New Roman"/>
          <w:sz w:val="22"/>
          <w:szCs w:val="22"/>
        </w:rPr>
        <w:t xml:space="preserve"> (n 173) para 73</w:t>
      </w:r>
      <w:r w:rsidRPr="00B969C6">
        <w:rPr>
          <w:rFonts w:cs="Times New Roman"/>
          <w:sz w:val="22"/>
          <w:szCs w:val="22"/>
        </w:rPr>
        <w:t>.</w:t>
      </w:r>
    </w:p>
  </w:footnote>
  <w:footnote w:id="179">
    <w:p w14:paraId="6351C16F" w14:textId="21310443"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w:t>
      </w:r>
      <w:r w:rsidRPr="00B969C6">
        <w:rPr>
          <w:rFonts w:cs="Times New Roman"/>
          <w:sz w:val="22"/>
          <w:szCs w:val="22"/>
        </w:rPr>
        <w:t xml:space="preserve">ibid </w:t>
      </w:r>
      <w:r w:rsidR="00D03B4D" w:rsidRPr="00B969C6">
        <w:rPr>
          <w:rFonts w:cs="Times New Roman"/>
          <w:sz w:val="22"/>
          <w:szCs w:val="22"/>
        </w:rPr>
        <w:t xml:space="preserve">paras </w:t>
      </w:r>
      <w:r w:rsidRPr="00B969C6">
        <w:rPr>
          <w:rFonts w:cs="Times New Roman"/>
          <w:sz w:val="22"/>
          <w:szCs w:val="22"/>
        </w:rPr>
        <w:t>74–75.</w:t>
      </w:r>
    </w:p>
  </w:footnote>
  <w:footnote w:id="180">
    <w:p w14:paraId="3023E890" w14:textId="46320D97" w:rsidR="009156EA" w:rsidRPr="00B969C6" w:rsidRDefault="009156EA" w:rsidP="00B969C6">
      <w:pPr>
        <w:pStyle w:val="FootnoteText"/>
        <w:spacing w:before="120" w:after="120"/>
        <w:jc w:val="both"/>
        <w:rPr>
          <w:sz w:val="22"/>
          <w:szCs w:val="22"/>
          <w:lang w:val="en-GB"/>
        </w:rPr>
      </w:pPr>
      <w:r w:rsidRPr="00B969C6">
        <w:rPr>
          <w:rStyle w:val="FootnoteReference"/>
          <w:sz w:val="22"/>
          <w:szCs w:val="22"/>
        </w:rPr>
        <w:footnoteRef/>
      </w:r>
      <w:r w:rsidRPr="00B969C6">
        <w:rPr>
          <w:sz w:val="22"/>
          <w:szCs w:val="22"/>
          <w:lang w:val="en-GB"/>
        </w:rPr>
        <w:t xml:space="preserve"> E.g. </w:t>
      </w:r>
      <w:r w:rsidRPr="00B969C6">
        <w:rPr>
          <w:rFonts w:cs="Times New Roman"/>
          <w:i/>
          <w:iCs/>
          <w:sz w:val="22"/>
          <w:szCs w:val="22"/>
        </w:rPr>
        <w:t>VO v France</w:t>
      </w:r>
      <w:r w:rsidRPr="00B969C6">
        <w:rPr>
          <w:rFonts w:cs="Times New Roman"/>
          <w:sz w:val="22"/>
          <w:szCs w:val="22"/>
        </w:rPr>
        <w:t xml:space="preserve"> </w:t>
      </w:r>
      <w:r w:rsidR="00D03B4D" w:rsidRPr="00B969C6">
        <w:rPr>
          <w:rFonts w:cs="Times New Roman"/>
          <w:sz w:val="22"/>
          <w:szCs w:val="22"/>
        </w:rPr>
        <w:t>App n</w:t>
      </w:r>
      <w:r w:rsidRPr="00B969C6">
        <w:rPr>
          <w:rFonts w:cs="Times New Roman"/>
          <w:sz w:val="22"/>
          <w:szCs w:val="22"/>
        </w:rPr>
        <w:t>o. 53924/00</w:t>
      </w:r>
      <w:r w:rsidR="00D03B4D" w:rsidRPr="00B969C6">
        <w:rPr>
          <w:rFonts w:cs="Times New Roman"/>
          <w:sz w:val="22"/>
          <w:szCs w:val="22"/>
        </w:rPr>
        <w:t xml:space="preserve"> (ECtHR, </w:t>
      </w:r>
      <w:r w:rsidRPr="00B969C6">
        <w:rPr>
          <w:rFonts w:cs="Times New Roman"/>
          <w:sz w:val="22"/>
          <w:szCs w:val="22"/>
        </w:rPr>
        <w:t>8 July 2004</w:t>
      </w:r>
      <w:r w:rsidR="00D03B4D" w:rsidRPr="00B969C6">
        <w:rPr>
          <w:rFonts w:cs="Times New Roman"/>
          <w:sz w:val="22"/>
          <w:szCs w:val="22"/>
        </w:rPr>
        <w:t>)</w:t>
      </w:r>
      <w:r w:rsidRPr="00B969C6">
        <w:rPr>
          <w:rFonts w:cs="Times New Roman"/>
          <w:sz w:val="22"/>
          <w:szCs w:val="22"/>
        </w:rPr>
        <w:t xml:space="preserve"> para 80: ‘</w:t>
      </w:r>
      <w:r w:rsidRPr="00B969C6">
        <w:rPr>
          <w:rFonts w:cs="Times New Roman"/>
          <w:i/>
          <w:sz w:val="22"/>
          <w:szCs w:val="22"/>
        </w:rPr>
        <w:t>the unborn child is not regarded as a “person” directly protected by Article 2 of the Convention and that if the unborn do have a “right” to “life”, it is implicitly limited by the mother’s rights and interests</w:t>
      </w:r>
      <w:r w:rsidR="00D03B4D" w:rsidRPr="00B969C6">
        <w:rPr>
          <w:rFonts w:cs="Times New Roman"/>
          <w:sz w:val="22"/>
          <w:szCs w:val="22"/>
        </w:rPr>
        <w:t>’</w:t>
      </w:r>
      <w:r w:rsidRPr="00B969C6">
        <w:rPr>
          <w:rFonts w:cs="Times New Roman"/>
          <w:sz w:val="22"/>
          <w:szCs w:val="22"/>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C1AA1"/>
    <w:multiLevelType w:val="hybridMultilevel"/>
    <w:tmpl w:val="781A0746"/>
    <w:lvl w:ilvl="0" w:tplc="ABA2F1C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3267D"/>
    <w:multiLevelType w:val="multilevel"/>
    <w:tmpl w:val="8AE6FE48"/>
    <w:lvl w:ilvl="0">
      <w:start w:val="2"/>
      <w:numFmt w:val="decimal"/>
      <w:lvlText w:val="%1"/>
      <w:lvlJc w:val="left"/>
      <w:pPr>
        <w:ind w:left="520" w:hanging="520"/>
      </w:pPr>
      <w:rPr>
        <w:rFonts w:hint="default"/>
      </w:rPr>
    </w:lvl>
    <w:lvl w:ilvl="1">
      <w:start w:val="1"/>
      <w:numFmt w:val="decimal"/>
      <w:lvlText w:val="%1.%2"/>
      <w:lvlJc w:val="left"/>
      <w:pPr>
        <w:ind w:left="520" w:hanging="5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EA0492C"/>
    <w:multiLevelType w:val="hybridMultilevel"/>
    <w:tmpl w:val="E780D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5532D"/>
    <w:multiLevelType w:val="hybridMultilevel"/>
    <w:tmpl w:val="DD22E1C0"/>
    <w:lvl w:ilvl="0" w:tplc="D278C9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520BC"/>
    <w:multiLevelType w:val="hybridMultilevel"/>
    <w:tmpl w:val="27843616"/>
    <w:lvl w:ilvl="0" w:tplc="D278C9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D5748"/>
    <w:multiLevelType w:val="hybridMultilevel"/>
    <w:tmpl w:val="830C0A38"/>
    <w:lvl w:ilvl="0" w:tplc="4BDE0C98">
      <w:start w:val="2"/>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0E0B75"/>
    <w:multiLevelType w:val="hybridMultilevel"/>
    <w:tmpl w:val="04441C5E"/>
    <w:lvl w:ilvl="0" w:tplc="676643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3C61A7"/>
    <w:multiLevelType w:val="hybridMultilevel"/>
    <w:tmpl w:val="B734E278"/>
    <w:lvl w:ilvl="0" w:tplc="1BB0A0C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610280"/>
    <w:multiLevelType w:val="hybridMultilevel"/>
    <w:tmpl w:val="B11AB5F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082A98"/>
    <w:multiLevelType w:val="hybridMultilevel"/>
    <w:tmpl w:val="3D3C816C"/>
    <w:lvl w:ilvl="0" w:tplc="00C8441C">
      <w:start w:val="1"/>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B46526"/>
    <w:multiLevelType w:val="hybridMultilevel"/>
    <w:tmpl w:val="8AA8D3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4924A0"/>
    <w:multiLevelType w:val="hybridMultilevel"/>
    <w:tmpl w:val="180AB6D8"/>
    <w:lvl w:ilvl="0" w:tplc="D278C9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5A7465"/>
    <w:multiLevelType w:val="multilevel"/>
    <w:tmpl w:val="1B0E48D0"/>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24B135C"/>
    <w:multiLevelType w:val="hybridMultilevel"/>
    <w:tmpl w:val="A468B5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1A03A7"/>
    <w:multiLevelType w:val="hybridMultilevel"/>
    <w:tmpl w:val="A79A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FE3A9F"/>
    <w:multiLevelType w:val="hybridMultilevel"/>
    <w:tmpl w:val="2AA460A0"/>
    <w:lvl w:ilvl="0" w:tplc="5AACD1F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BF14A0C"/>
    <w:multiLevelType w:val="multilevel"/>
    <w:tmpl w:val="DBA4C8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DB63A36"/>
    <w:multiLevelType w:val="hybridMultilevel"/>
    <w:tmpl w:val="696E3844"/>
    <w:lvl w:ilvl="0" w:tplc="C7A8ED20">
      <w:start w:val="1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9C3774"/>
    <w:multiLevelType w:val="hybridMultilevel"/>
    <w:tmpl w:val="706C7FAE"/>
    <w:lvl w:ilvl="0" w:tplc="D278C9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96B94"/>
    <w:multiLevelType w:val="hybridMultilevel"/>
    <w:tmpl w:val="B94ADC6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98175F"/>
    <w:multiLevelType w:val="hybridMultilevel"/>
    <w:tmpl w:val="6178ABF8"/>
    <w:lvl w:ilvl="0" w:tplc="10C0124C">
      <w:start w:val="2"/>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E0C6400"/>
    <w:multiLevelType w:val="hybridMultilevel"/>
    <w:tmpl w:val="BB6A68D2"/>
    <w:lvl w:ilvl="0" w:tplc="1F82466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F5430F"/>
    <w:multiLevelType w:val="hybridMultilevel"/>
    <w:tmpl w:val="D4F094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E104E5"/>
    <w:multiLevelType w:val="hybridMultilevel"/>
    <w:tmpl w:val="D4B0FA86"/>
    <w:lvl w:ilvl="0" w:tplc="36DC1D28">
      <w:start w:val="4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F4349A"/>
    <w:multiLevelType w:val="multilevel"/>
    <w:tmpl w:val="DBA4C8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45809B7"/>
    <w:multiLevelType w:val="hybridMultilevel"/>
    <w:tmpl w:val="FFA63848"/>
    <w:lvl w:ilvl="0" w:tplc="1EAE4E72">
      <w:start w:val="6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795F91"/>
    <w:multiLevelType w:val="hybridMultilevel"/>
    <w:tmpl w:val="7A2699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E041BF"/>
    <w:multiLevelType w:val="multilevel"/>
    <w:tmpl w:val="1AE2DA5C"/>
    <w:lvl w:ilvl="0">
      <w:start w:val="2"/>
      <w:numFmt w:val="decimal"/>
      <w:lvlText w:val="%1"/>
      <w:lvlJc w:val="left"/>
      <w:pPr>
        <w:ind w:left="520" w:hanging="520"/>
      </w:pPr>
      <w:rPr>
        <w:rFonts w:hint="default"/>
      </w:rPr>
    </w:lvl>
    <w:lvl w:ilvl="1">
      <w:start w:val="1"/>
      <w:numFmt w:val="decimal"/>
      <w:lvlText w:val="%1.%2"/>
      <w:lvlJc w:val="left"/>
      <w:pPr>
        <w:ind w:left="520" w:hanging="5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1350C9E"/>
    <w:multiLevelType w:val="multilevel"/>
    <w:tmpl w:val="DBA4C8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1E2705F"/>
    <w:multiLevelType w:val="hybridMultilevel"/>
    <w:tmpl w:val="4D3421A2"/>
    <w:lvl w:ilvl="0" w:tplc="4E56ACB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CB3394"/>
    <w:multiLevelType w:val="hybridMultilevel"/>
    <w:tmpl w:val="68005D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FC7791"/>
    <w:multiLevelType w:val="multilevel"/>
    <w:tmpl w:val="7DEAEA9C"/>
    <w:lvl w:ilvl="0">
      <w:start w:val="1"/>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nsid w:val="74037A14"/>
    <w:multiLevelType w:val="hybridMultilevel"/>
    <w:tmpl w:val="B39C0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8FA6A3D"/>
    <w:multiLevelType w:val="hybridMultilevel"/>
    <w:tmpl w:val="E09E973A"/>
    <w:lvl w:ilvl="0" w:tplc="07EAF2DE">
      <w:start w:val="1"/>
      <w:numFmt w:val="decimal"/>
      <w:lvlText w:val="%1."/>
      <w:lvlJc w:val="left"/>
      <w:pPr>
        <w:ind w:left="1080" w:hanging="360"/>
      </w:pPr>
      <w:rPr>
        <w:rFonts w:asciiTheme="minorHAnsi" w:eastAsiaTheme="minorEastAsia"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7B4845CA"/>
    <w:multiLevelType w:val="hybridMultilevel"/>
    <w:tmpl w:val="86A023CC"/>
    <w:lvl w:ilvl="0" w:tplc="0B60BD3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0"/>
  </w:num>
  <w:num w:numId="4">
    <w:abstractNumId w:val="5"/>
  </w:num>
  <w:num w:numId="5">
    <w:abstractNumId w:val="7"/>
  </w:num>
  <w:num w:numId="6">
    <w:abstractNumId w:val="17"/>
  </w:num>
  <w:num w:numId="7">
    <w:abstractNumId w:val="24"/>
  </w:num>
  <w:num w:numId="8">
    <w:abstractNumId w:val="16"/>
  </w:num>
  <w:num w:numId="9">
    <w:abstractNumId w:val="1"/>
  </w:num>
  <w:num w:numId="10">
    <w:abstractNumId w:val="27"/>
  </w:num>
  <w:num w:numId="11">
    <w:abstractNumId w:val="21"/>
  </w:num>
  <w:num w:numId="12">
    <w:abstractNumId w:val="28"/>
  </w:num>
  <w:num w:numId="13">
    <w:abstractNumId w:val="23"/>
  </w:num>
  <w:num w:numId="14">
    <w:abstractNumId w:val="6"/>
  </w:num>
  <w:num w:numId="15">
    <w:abstractNumId w:val="13"/>
  </w:num>
  <w:num w:numId="16">
    <w:abstractNumId w:val="19"/>
  </w:num>
  <w:num w:numId="17">
    <w:abstractNumId w:val="11"/>
  </w:num>
  <w:num w:numId="18">
    <w:abstractNumId w:val="3"/>
  </w:num>
  <w:num w:numId="19">
    <w:abstractNumId w:val="2"/>
  </w:num>
  <w:num w:numId="20">
    <w:abstractNumId w:val="10"/>
  </w:num>
  <w:num w:numId="21">
    <w:abstractNumId w:val="4"/>
  </w:num>
  <w:num w:numId="22">
    <w:abstractNumId w:val="30"/>
  </w:num>
  <w:num w:numId="23">
    <w:abstractNumId w:val="22"/>
  </w:num>
  <w:num w:numId="24">
    <w:abstractNumId w:val="8"/>
  </w:num>
  <w:num w:numId="25">
    <w:abstractNumId w:val="26"/>
  </w:num>
  <w:num w:numId="26">
    <w:abstractNumId w:val="25"/>
  </w:num>
  <w:num w:numId="27">
    <w:abstractNumId w:val="34"/>
  </w:num>
  <w:num w:numId="28">
    <w:abstractNumId w:val="31"/>
  </w:num>
  <w:num w:numId="29">
    <w:abstractNumId w:val="15"/>
  </w:num>
  <w:num w:numId="30">
    <w:abstractNumId w:val="20"/>
  </w:num>
  <w:num w:numId="31">
    <w:abstractNumId w:val="12"/>
  </w:num>
  <w:num w:numId="32">
    <w:abstractNumId w:val="14"/>
  </w:num>
  <w:num w:numId="33">
    <w:abstractNumId w:val="9"/>
  </w:num>
  <w:num w:numId="34">
    <w:abstractNumId w:val="33"/>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9"/>
    <w:rsid w:val="00002CC2"/>
    <w:rsid w:val="00002E4C"/>
    <w:rsid w:val="00004B6A"/>
    <w:rsid w:val="000051E8"/>
    <w:rsid w:val="000053E9"/>
    <w:rsid w:val="00005E12"/>
    <w:rsid w:val="000062E5"/>
    <w:rsid w:val="00007166"/>
    <w:rsid w:val="000102FF"/>
    <w:rsid w:val="00011CEF"/>
    <w:rsid w:val="00012106"/>
    <w:rsid w:val="00012685"/>
    <w:rsid w:val="0001368A"/>
    <w:rsid w:val="0001382A"/>
    <w:rsid w:val="00015815"/>
    <w:rsid w:val="0001598B"/>
    <w:rsid w:val="00015AD7"/>
    <w:rsid w:val="000165D7"/>
    <w:rsid w:val="000200AD"/>
    <w:rsid w:val="000209F5"/>
    <w:rsid w:val="00023624"/>
    <w:rsid w:val="00023837"/>
    <w:rsid w:val="00025336"/>
    <w:rsid w:val="0002746B"/>
    <w:rsid w:val="00027581"/>
    <w:rsid w:val="000276CC"/>
    <w:rsid w:val="00027A45"/>
    <w:rsid w:val="00032A3F"/>
    <w:rsid w:val="00032E30"/>
    <w:rsid w:val="0003417C"/>
    <w:rsid w:val="000347B0"/>
    <w:rsid w:val="0003489D"/>
    <w:rsid w:val="00036641"/>
    <w:rsid w:val="000407A5"/>
    <w:rsid w:val="00042F0B"/>
    <w:rsid w:val="00043E61"/>
    <w:rsid w:val="00044071"/>
    <w:rsid w:val="000450DC"/>
    <w:rsid w:val="00046585"/>
    <w:rsid w:val="00046C2C"/>
    <w:rsid w:val="00046CCC"/>
    <w:rsid w:val="00046D6C"/>
    <w:rsid w:val="0004788C"/>
    <w:rsid w:val="0005110C"/>
    <w:rsid w:val="0005198B"/>
    <w:rsid w:val="000519C6"/>
    <w:rsid w:val="00053A65"/>
    <w:rsid w:val="000544AE"/>
    <w:rsid w:val="00054D9D"/>
    <w:rsid w:val="00054EA5"/>
    <w:rsid w:val="000557F4"/>
    <w:rsid w:val="00056410"/>
    <w:rsid w:val="00057C61"/>
    <w:rsid w:val="00061B7A"/>
    <w:rsid w:val="00061EB8"/>
    <w:rsid w:val="00062351"/>
    <w:rsid w:val="00062B2F"/>
    <w:rsid w:val="00062DF8"/>
    <w:rsid w:val="0006357F"/>
    <w:rsid w:val="0006603C"/>
    <w:rsid w:val="000661B7"/>
    <w:rsid w:val="00066598"/>
    <w:rsid w:val="000669B0"/>
    <w:rsid w:val="0006710E"/>
    <w:rsid w:val="000673E5"/>
    <w:rsid w:val="000678AA"/>
    <w:rsid w:val="000703DB"/>
    <w:rsid w:val="00070C4C"/>
    <w:rsid w:val="00071754"/>
    <w:rsid w:val="0007320A"/>
    <w:rsid w:val="00074588"/>
    <w:rsid w:val="00074CD7"/>
    <w:rsid w:val="00075C9F"/>
    <w:rsid w:val="0007632D"/>
    <w:rsid w:val="00076CF4"/>
    <w:rsid w:val="00076F8D"/>
    <w:rsid w:val="0007754D"/>
    <w:rsid w:val="00077B99"/>
    <w:rsid w:val="00080A4E"/>
    <w:rsid w:val="00080E81"/>
    <w:rsid w:val="00081B55"/>
    <w:rsid w:val="00082B11"/>
    <w:rsid w:val="000834E0"/>
    <w:rsid w:val="00084D37"/>
    <w:rsid w:val="000859F0"/>
    <w:rsid w:val="00085CA9"/>
    <w:rsid w:val="00085DD9"/>
    <w:rsid w:val="000862C0"/>
    <w:rsid w:val="00087145"/>
    <w:rsid w:val="0009093A"/>
    <w:rsid w:val="00090A2A"/>
    <w:rsid w:val="00091C9D"/>
    <w:rsid w:val="000921AE"/>
    <w:rsid w:val="00092ED7"/>
    <w:rsid w:val="00093ACC"/>
    <w:rsid w:val="0009403F"/>
    <w:rsid w:val="00095151"/>
    <w:rsid w:val="00096A37"/>
    <w:rsid w:val="000A0141"/>
    <w:rsid w:val="000A0F57"/>
    <w:rsid w:val="000A12AC"/>
    <w:rsid w:val="000A144E"/>
    <w:rsid w:val="000A3BD2"/>
    <w:rsid w:val="000A3E8D"/>
    <w:rsid w:val="000A464A"/>
    <w:rsid w:val="000A4E82"/>
    <w:rsid w:val="000A4EC3"/>
    <w:rsid w:val="000A5ECA"/>
    <w:rsid w:val="000A6E40"/>
    <w:rsid w:val="000A709D"/>
    <w:rsid w:val="000A7B2D"/>
    <w:rsid w:val="000B1587"/>
    <w:rsid w:val="000B5248"/>
    <w:rsid w:val="000B54DA"/>
    <w:rsid w:val="000B5CC9"/>
    <w:rsid w:val="000B642B"/>
    <w:rsid w:val="000B6490"/>
    <w:rsid w:val="000C0F90"/>
    <w:rsid w:val="000C1367"/>
    <w:rsid w:val="000C1877"/>
    <w:rsid w:val="000C2ABD"/>
    <w:rsid w:val="000C4FBB"/>
    <w:rsid w:val="000C5AE5"/>
    <w:rsid w:val="000C5E75"/>
    <w:rsid w:val="000C6C4C"/>
    <w:rsid w:val="000D223B"/>
    <w:rsid w:val="000D2592"/>
    <w:rsid w:val="000D4A99"/>
    <w:rsid w:val="000D5703"/>
    <w:rsid w:val="000D5B42"/>
    <w:rsid w:val="000D7C48"/>
    <w:rsid w:val="000D7E07"/>
    <w:rsid w:val="000E1F86"/>
    <w:rsid w:val="000E2725"/>
    <w:rsid w:val="000E4821"/>
    <w:rsid w:val="000E4915"/>
    <w:rsid w:val="000E62FA"/>
    <w:rsid w:val="000F0D17"/>
    <w:rsid w:val="000F133D"/>
    <w:rsid w:val="000F1451"/>
    <w:rsid w:val="000F207A"/>
    <w:rsid w:val="000F2605"/>
    <w:rsid w:val="000F3DAE"/>
    <w:rsid w:val="000F46E2"/>
    <w:rsid w:val="000F4984"/>
    <w:rsid w:val="000F54CA"/>
    <w:rsid w:val="000F63D1"/>
    <w:rsid w:val="00100F56"/>
    <w:rsid w:val="001010D0"/>
    <w:rsid w:val="00102662"/>
    <w:rsid w:val="001034D9"/>
    <w:rsid w:val="0010596F"/>
    <w:rsid w:val="00105DF4"/>
    <w:rsid w:val="00110F1A"/>
    <w:rsid w:val="00110F28"/>
    <w:rsid w:val="00110F80"/>
    <w:rsid w:val="001124E9"/>
    <w:rsid w:val="001125FB"/>
    <w:rsid w:val="00113971"/>
    <w:rsid w:val="00113AC3"/>
    <w:rsid w:val="00114D0F"/>
    <w:rsid w:val="00115B5F"/>
    <w:rsid w:val="00115C09"/>
    <w:rsid w:val="00115DD5"/>
    <w:rsid w:val="0011768B"/>
    <w:rsid w:val="001204E9"/>
    <w:rsid w:val="0012074F"/>
    <w:rsid w:val="00120D25"/>
    <w:rsid w:val="00121D69"/>
    <w:rsid w:val="001241B7"/>
    <w:rsid w:val="00124426"/>
    <w:rsid w:val="00124E90"/>
    <w:rsid w:val="00127C37"/>
    <w:rsid w:val="00127DFD"/>
    <w:rsid w:val="0013013F"/>
    <w:rsid w:val="00130509"/>
    <w:rsid w:val="00131531"/>
    <w:rsid w:val="00131D33"/>
    <w:rsid w:val="00133D15"/>
    <w:rsid w:val="00133E1A"/>
    <w:rsid w:val="0013454E"/>
    <w:rsid w:val="00134FE5"/>
    <w:rsid w:val="00135558"/>
    <w:rsid w:val="001357AB"/>
    <w:rsid w:val="001359CC"/>
    <w:rsid w:val="00135F44"/>
    <w:rsid w:val="00136CD4"/>
    <w:rsid w:val="001377AB"/>
    <w:rsid w:val="0014025C"/>
    <w:rsid w:val="001406A8"/>
    <w:rsid w:val="00140FC5"/>
    <w:rsid w:val="00141160"/>
    <w:rsid w:val="00141250"/>
    <w:rsid w:val="00141258"/>
    <w:rsid w:val="0014134C"/>
    <w:rsid w:val="00141517"/>
    <w:rsid w:val="00142205"/>
    <w:rsid w:val="00142848"/>
    <w:rsid w:val="00143014"/>
    <w:rsid w:val="00143442"/>
    <w:rsid w:val="0014505F"/>
    <w:rsid w:val="001452B4"/>
    <w:rsid w:val="001452B8"/>
    <w:rsid w:val="001475F1"/>
    <w:rsid w:val="00147C19"/>
    <w:rsid w:val="00150094"/>
    <w:rsid w:val="0015051E"/>
    <w:rsid w:val="00151481"/>
    <w:rsid w:val="00151A3E"/>
    <w:rsid w:val="00153207"/>
    <w:rsid w:val="001535B9"/>
    <w:rsid w:val="001537DF"/>
    <w:rsid w:val="00154E3C"/>
    <w:rsid w:val="00154E40"/>
    <w:rsid w:val="001556A4"/>
    <w:rsid w:val="001559B5"/>
    <w:rsid w:val="00157AF9"/>
    <w:rsid w:val="00157C44"/>
    <w:rsid w:val="001600C0"/>
    <w:rsid w:val="001608B6"/>
    <w:rsid w:val="001618A4"/>
    <w:rsid w:val="0016225B"/>
    <w:rsid w:val="001629CD"/>
    <w:rsid w:val="001637F8"/>
    <w:rsid w:val="001642BA"/>
    <w:rsid w:val="001645EB"/>
    <w:rsid w:val="00165530"/>
    <w:rsid w:val="0016649D"/>
    <w:rsid w:val="00166744"/>
    <w:rsid w:val="001670DF"/>
    <w:rsid w:val="00167692"/>
    <w:rsid w:val="00167AC7"/>
    <w:rsid w:val="0017092C"/>
    <w:rsid w:val="0017147F"/>
    <w:rsid w:val="001730FC"/>
    <w:rsid w:val="0017474C"/>
    <w:rsid w:val="001755D1"/>
    <w:rsid w:val="00175F35"/>
    <w:rsid w:val="001815B6"/>
    <w:rsid w:val="00181F7F"/>
    <w:rsid w:val="00182EA9"/>
    <w:rsid w:val="00185EAD"/>
    <w:rsid w:val="0018642A"/>
    <w:rsid w:val="00186EE4"/>
    <w:rsid w:val="00187161"/>
    <w:rsid w:val="001874BB"/>
    <w:rsid w:val="0018795F"/>
    <w:rsid w:val="00190E94"/>
    <w:rsid w:val="001915E4"/>
    <w:rsid w:val="00193CEA"/>
    <w:rsid w:val="00194051"/>
    <w:rsid w:val="0019542E"/>
    <w:rsid w:val="0019671B"/>
    <w:rsid w:val="00196C10"/>
    <w:rsid w:val="001A00CE"/>
    <w:rsid w:val="001A33E5"/>
    <w:rsid w:val="001A3976"/>
    <w:rsid w:val="001A3AAC"/>
    <w:rsid w:val="001A3BE7"/>
    <w:rsid w:val="001A4B85"/>
    <w:rsid w:val="001A758B"/>
    <w:rsid w:val="001B0819"/>
    <w:rsid w:val="001B0FA8"/>
    <w:rsid w:val="001B1947"/>
    <w:rsid w:val="001B2463"/>
    <w:rsid w:val="001B342E"/>
    <w:rsid w:val="001B3CE9"/>
    <w:rsid w:val="001B43F0"/>
    <w:rsid w:val="001B4A3A"/>
    <w:rsid w:val="001B5B95"/>
    <w:rsid w:val="001B5E7B"/>
    <w:rsid w:val="001B784F"/>
    <w:rsid w:val="001B7983"/>
    <w:rsid w:val="001B7DFA"/>
    <w:rsid w:val="001B7FCC"/>
    <w:rsid w:val="001C2E0C"/>
    <w:rsid w:val="001C330B"/>
    <w:rsid w:val="001C352B"/>
    <w:rsid w:val="001C3D61"/>
    <w:rsid w:val="001C6CA7"/>
    <w:rsid w:val="001D238E"/>
    <w:rsid w:val="001D3604"/>
    <w:rsid w:val="001D36F6"/>
    <w:rsid w:val="001D5346"/>
    <w:rsid w:val="001E08D6"/>
    <w:rsid w:val="001E0E50"/>
    <w:rsid w:val="001E10D3"/>
    <w:rsid w:val="001E1185"/>
    <w:rsid w:val="001E3F44"/>
    <w:rsid w:val="001E5BC0"/>
    <w:rsid w:val="001E60AA"/>
    <w:rsid w:val="001E6A08"/>
    <w:rsid w:val="001E7AAD"/>
    <w:rsid w:val="001F0958"/>
    <w:rsid w:val="001F1361"/>
    <w:rsid w:val="001F18B7"/>
    <w:rsid w:val="001F1F7C"/>
    <w:rsid w:val="001F232A"/>
    <w:rsid w:val="001F2C81"/>
    <w:rsid w:val="001F2D52"/>
    <w:rsid w:val="001F2F17"/>
    <w:rsid w:val="001F325C"/>
    <w:rsid w:val="001F34C2"/>
    <w:rsid w:val="001F4C91"/>
    <w:rsid w:val="001F5FFE"/>
    <w:rsid w:val="001F777A"/>
    <w:rsid w:val="001F7819"/>
    <w:rsid w:val="001F78E9"/>
    <w:rsid w:val="00200937"/>
    <w:rsid w:val="002019FA"/>
    <w:rsid w:val="002027CA"/>
    <w:rsid w:val="00203B90"/>
    <w:rsid w:val="00204F22"/>
    <w:rsid w:val="002050A0"/>
    <w:rsid w:val="00205645"/>
    <w:rsid w:val="00205A98"/>
    <w:rsid w:val="00206786"/>
    <w:rsid w:val="002068E0"/>
    <w:rsid w:val="00206943"/>
    <w:rsid w:val="00206968"/>
    <w:rsid w:val="00206C72"/>
    <w:rsid w:val="00206C79"/>
    <w:rsid w:val="002078BF"/>
    <w:rsid w:val="00207EC3"/>
    <w:rsid w:val="0021121A"/>
    <w:rsid w:val="002120CC"/>
    <w:rsid w:val="00213497"/>
    <w:rsid w:val="00214649"/>
    <w:rsid w:val="00215178"/>
    <w:rsid w:val="002153F3"/>
    <w:rsid w:val="00221FA3"/>
    <w:rsid w:val="00223886"/>
    <w:rsid w:val="00224A2C"/>
    <w:rsid w:val="00225E1C"/>
    <w:rsid w:val="00225E26"/>
    <w:rsid w:val="002267B7"/>
    <w:rsid w:val="0022697C"/>
    <w:rsid w:val="00226A52"/>
    <w:rsid w:val="00227999"/>
    <w:rsid w:val="00230758"/>
    <w:rsid w:val="0023082E"/>
    <w:rsid w:val="00232DE1"/>
    <w:rsid w:val="00235609"/>
    <w:rsid w:val="0023560F"/>
    <w:rsid w:val="0023608A"/>
    <w:rsid w:val="002364D7"/>
    <w:rsid w:val="00236A19"/>
    <w:rsid w:val="00240887"/>
    <w:rsid w:val="00241EC0"/>
    <w:rsid w:val="00242717"/>
    <w:rsid w:val="002449E7"/>
    <w:rsid w:val="00245AFA"/>
    <w:rsid w:val="0024718A"/>
    <w:rsid w:val="00247A11"/>
    <w:rsid w:val="002501BE"/>
    <w:rsid w:val="0025048C"/>
    <w:rsid w:val="0025052B"/>
    <w:rsid w:val="00252691"/>
    <w:rsid w:val="00253BA1"/>
    <w:rsid w:val="002543F8"/>
    <w:rsid w:val="00254F56"/>
    <w:rsid w:val="002556B9"/>
    <w:rsid w:val="00256841"/>
    <w:rsid w:val="002610B4"/>
    <w:rsid w:val="00262D80"/>
    <w:rsid w:val="002632D4"/>
    <w:rsid w:val="0026352F"/>
    <w:rsid w:val="00263E4F"/>
    <w:rsid w:val="0026516D"/>
    <w:rsid w:val="00265180"/>
    <w:rsid w:val="00265298"/>
    <w:rsid w:val="00265641"/>
    <w:rsid w:val="00265F5B"/>
    <w:rsid w:val="002675A5"/>
    <w:rsid w:val="00271BB6"/>
    <w:rsid w:val="00271CC5"/>
    <w:rsid w:val="002722D4"/>
    <w:rsid w:val="0027358F"/>
    <w:rsid w:val="00273FBE"/>
    <w:rsid w:val="002743A9"/>
    <w:rsid w:val="0027476F"/>
    <w:rsid w:val="002753CB"/>
    <w:rsid w:val="00275866"/>
    <w:rsid w:val="00276422"/>
    <w:rsid w:val="00276C9D"/>
    <w:rsid w:val="00280464"/>
    <w:rsid w:val="00282BAF"/>
    <w:rsid w:val="00284A5B"/>
    <w:rsid w:val="00285FBB"/>
    <w:rsid w:val="00286B88"/>
    <w:rsid w:val="002874DC"/>
    <w:rsid w:val="002876BC"/>
    <w:rsid w:val="00291253"/>
    <w:rsid w:val="00291C8B"/>
    <w:rsid w:val="00292D30"/>
    <w:rsid w:val="00292EE3"/>
    <w:rsid w:val="00293782"/>
    <w:rsid w:val="00293962"/>
    <w:rsid w:val="00295600"/>
    <w:rsid w:val="002969CC"/>
    <w:rsid w:val="00297884"/>
    <w:rsid w:val="002A1F78"/>
    <w:rsid w:val="002A3B5B"/>
    <w:rsid w:val="002A41A3"/>
    <w:rsid w:val="002A4339"/>
    <w:rsid w:val="002A4D3D"/>
    <w:rsid w:val="002A55F2"/>
    <w:rsid w:val="002A56F0"/>
    <w:rsid w:val="002A5F74"/>
    <w:rsid w:val="002B39E8"/>
    <w:rsid w:val="002B53E5"/>
    <w:rsid w:val="002B7FAF"/>
    <w:rsid w:val="002C1A89"/>
    <w:rsid w:val="002C2264"/>
    <w:rsid w:val="002C28B8"/>
    <w:rsid w:val="002C2DBB"/>
    <w:rsid w:val="002C330F"/>
    <w:rsid w:val="002C3CED"/>
    <w:rsid w:val="002C4B6B"/>
    <w:rsid w:val="002C5DBD"/>
    <w:rsid w:val="002C5DF4"/>
    <w:rsid w:val="002C7E1E"/>
    <w:rsid w:val="002D12C3"/>
    <w:rsid w:val="002D2B88"/>
    <w:rsid w:val="002D2E91"/>
    <w:rsid w:val="002D5A03"/>
    <w:rsid w:val="002D68B7"/>
    <w:rsid w:val="002D72E8"/>
    <w:rsid w:val="002E0137"/>
    <w:rsid w:val="002E09F0"/>
    <w:rsid w:val="002E4319"/>
    <w:rsid w:val="002E458E"/>
    <w:rsid w:val="002E4A31"/>
    <w:rsid w:val="002E4F2E"/>
    <w:rsid w:val="002E51F7"/>
    <w:rsid w:val="002E7A01"/>
    <w:rsid w:val="002F0C73"/>
    <w:rsid w:val="002F0FD4"/>
    <w:rsid w:val="002F1F85"/>
    <w:rsid w:val="002F3359"/>
    <w:rsid w:val="002F4529"/>
    <w:rsid w:val="002F4F30"/>
    <w:rsid w:val="002F53FB"/>
    <w:rsid w:val="00300588"/>
    <w:rsid w:val="003055DD"/>
    <w:rsid w:val="00305ED6"/>
    <w:rsid w:val="00306380"/>
    <w:rsid w:val="003068A7"/>
    <w:rsid w:val="003102B4"/>
    <w:rsid w:val="0031214D"/>
    <w:rsid w:val="00313C14"/>
    <w:rsid w:val="00313D1D"/>
    <w:rsid w:val="0031448E"/>
    <w:rsid w:val="00315915"/>
    <w:rsid w:val="003161D8"/>
    <w:rsid w:val="003163AF"/>
    <w:rsid w:val="00317910"/>
    <w:rsid w:val="00317C9B"/>
    <w:rsid w:val="003221BF"/>
    <w:rsid w:val="0032220B"/>
    <w:rsid w:val="00322925"/>
    <w:rsid w:val="00323159"/>
    <w:rsid w:val="003231C2"/>
    <w:rsid w:val="003247B9"/>
    <w:rsid w:val="003257B4"/>
    <w:rsid w:val="003268B1"/>
    <w:rsid w:val="00326C5A"/>
    <w:rsid w:val="003277F3"/>
    <w:rsid w:val="003308F0"/>
    <w:rsid w:val="00330B2C"/>
    <w:rsid w:val="003314F0"/>
    <w:rsid w:val="00332739"/>
    <w:rsid w:val="00332BE1"/>
    <w:rsid w:val="003366B6"/>
    <w:rsid w:val="00337163"/>
    <w:rsid w:val="0034025A"/>
    <w:rsid w:val="00340320"/>
    <w:rsid w:val="003404D1"/>
    <w:rsid w:val="00343950"/>
    <w:rsid w:val="00344E22"/>
    <w:rsid w:val="00345375"/>
    <w:rsid w:val="0034637A"/>
    <w:rsid w:val="0034672A"/>
    <w:rsid w:val="0034695F"/>
    <w:rsid w:val="00346AC0"/>
    <w:rsid w:val="0034705A"/>
    <w:rsid w:val="003471B0"/>
    <w:rsid w:val="00347C36"/>
    <w:rsid w:val="003503BE"/>
    <w:rsid w:val="00350490"/>
    <w:rsid w:val="0035175A"/>
    <w:rsid w:val="0035260F"/>
    <w:rsid w:val="00353409"/>
    <w:rsid w:val="00354CD8"/>
    <w:rsid w:val="0035763B"/>
    <w:rsid w:val="0036080F"/>
    <w:rsid w:val="00361BE8"/>
    <w:rsid w:val="00361E4C"/>
    <w:rsid w:val="00362690"/>
    <w:rsid w:val="003637D7"/>
    <w:rsid w:val="00365254"/>
    <w:rsid w:val="00372136"/>
    <w:rsid w:val="00372BDC"/>
    <w:rsid w:val="003745F7"/>
    <w:rsid w:val="00377187"/>
    <w:rsid w:val="00377265"/>
    <w:rsid w:val="00380A22"/>
    <w:rsid w:val="00380CEA"/>
    <w:rsid w:val="003834AC"/>
    <w:rsid w:val="00383C23"/>
    <w:rsid w:val="003840D9"/>
    <w:rsid w:val="00384A42"/>
    <w:rsid w:val="00384C0F"/>
    <w:rsid w:val="00384DC3"/>
    <w:rsid w:val="003850FC"/>
    <w:rsid w:val="003851DA"/>
    <w:rsid w:val="003856FB"/>
    <w:rsid w:val="00386E7F"/>
    <w:rsid w:val="00390ED5"/>
    <w:rsid w:val="00391D4E"/>
    <w:rsid w:val="00391E06"/>
    <w:rsid w:val="00391F0B"/>
    <w:rsid w:val="00392DC9"/>
    <w:rsid w:val="003942A6"/>
    <w:rsid w:val="003947CD"/>
    <w:rsid w:val="00394A55"/>
    <w:rsid w:val="00396066"/>
    <w:rsid w:val="003971AF"/>
    <w:rsid w:val="0039720B"/>
    <w:rsid w:val="0039725E"/>
    <w:rsid w:val="003A0E1B"/>
    <w:rsid w:val="003A2B50"/>
    <w:rsid w:val="003A3AF6"/>
    <w:rsid w:val="003A3E17"/>
    <w:rsid w:val="003A605D"/>
    <w:rsid w:val="003A616C"/>
    <w:rsid w:val="003A6454"/>
    <w:rsid w:val="003A6560"/>
    <w:rsid w:val="003A72D9"/>
    <w:rsid w:val="003B00DD"/>
    <w:rsid w:val="003B0A03"/>
    <w:rsid w:val="003B16A1"/>
    <w:rsid w:val="003B16A3"/>
    <w:rsid w:val="003B1BE8"/>
    <w:rsid w:val="003B264C"/>
    <w:rsid w:val="003B292A"/>
    <w:rsid w:val="003B3020"/>
    <w:rsid w:val="003B42E0"/>
    <w:rsid w:val="003B42FA"/>
    <w:rsid w:val="003B4E3F"/>
    <w:rsid w:val="003B53E0"/>
    <w:rsid w:val="003B6034"/>
    <w:rsid w:val="003B6237"/>
    <w:rsid w:val="003B6F8C"/>
    <w:rsid w:val="003B7717"/>
    <w:rsid w:val="003C036F"/>
    <w:rsid w:val="003C0DC3"/>
    <w:rsid w:val="003C109A"/>
    <w:rsid w:val="003C16CD"/>
    <w:rsid w:val="003C271E"/>
    <w:rsid w:val="003C3606"/>
    <w:rsid w:val="003C3782"/>
    <w:rsid w:val="003C456D"/>
    <w:rsid w:val="003C4FA8"/>
    <w:rsid w:val="003C5DF8"/>
    <w:rsid w:val="003C6CD4"/>
    <w:rsid w:val="003D1D94"/>
    <w:rsid w:val="003D260F"/>
    <w:rsid w:val="003D29B5"/>
    <w:rsid w:val="003D2FD3"/>
    <w:rsid w:val="003D505E"/>
    <w:rsid w:val="003D5876"/>
    <w:rsid w:val="003D5894"/>
    <w:rsid w:val="003E00C2"/>
    <w:rsid w:val="003E0298"/>
    <w:rsid w:val="003E02CC"/>
    <w:rsid w:val="003E0FD2"/>
    <w:rsid w:val="003E17B2"/>
    <w:rsid w:val="003E2DE8"/>
    <w:rsid w:val="003E6A08"/>
    <w:rsid w:val="003E6B6B"/>
    <w:rsid w:val="003E7AA7"/>
    <w:rsid w:val="003F05E7"/>
    <w:rsid w:val="003F0A7E"/>
    <w:rsid w:val="003F109D"/>
    <w:rsid w:val="003F19FA"/>
    <w:rsid w:val="003F31FD"/>
    <w:rsid w:val="003F5BFB"/>
    <w:rsid w:val="003F6276"/>
    <w:rsid w:val="003F6CC8"/>
    <w:rsid w:val="00400174"/>
    <w:rsid w:val="00400789"/>
    <w:rsid w:val="0040107D"/>
    <w:rsid w:val="00402DE3"/>
    <w:rsid w:val="00403D61"/>
    <w:rsid w:val="004042CB"/>
    <w:rsid w:val="004063CB"/>
    <w:rsid w:val="0040674B"/>
    <w:rsid w:val="004103F3"/>
    <w:rsid w:val="00412243"/>
    <w:rsid w:val="00412925"/>
    <w:rsid w:val="00413AC7"/>
    <w:rsid w:val="00413CCB"/>
    <w:rsid w:val="004146CC"/>
    <w:rsid w:val="00415C68"/>
    <w:rsid w:val="004203C2"/>
    <w:rsid w:val="00421C6D"/>
    <w:rsid w:val="00423E7D"/>
    <w:rsid w:val="004245AE"/>
    <w:rsid w:val="004253A5"/>
    <w:rsid w:val="004254E5"/>
    <w:rsid w:val="00425D78"/>
    <w:rsid w:val="004275F8"/>
    <w:rsid w:val="00427D21"/>
    <w:rsid w:val="0043082E"/>
    <w:rsid w:val="00431946"/>
    <w:rsid w:val="0043273D"/>
    <w:rsid w:val="00432B4F"/>
    <w:rsid w:val="00433184"/>
    <w:rsid w:val="00433E26"/>
    <w:rsid w:val="0043433A"/>
    <w:rsid w:val="00435732"/>
    <w:rsid w:val="00436FDA"/>
    <w:rsid w:val="00440692"/>
    <w:rsid w:val="00440E36"/>
    <w:rsid w:val="004410FF"/>
    <w:rsid w:val="00441263"/>
    <w:rsid w:val="00441BCF"/>
    <w:rsid w:val="00442E6C"/>
    <w:rsid w:val="00443051"/>
    <w:rsid w:val="0044447C"/>
    <w:rsid w:val="0044460B"/>
    <w:rsid w:val="00444945"/>
    <w:rsid w:val="004457FE"/>
    <w:rsid w:val="00445975"/>
    <w:rsid w:val="00447F27"/>
    <w:rsid w:val="00450023"/>
    <w:rsid w:val="0045312D"/>
    <w:rsid w:val="00453970"/>
    <w:rsid w:val="00453B52"/>
    <w:rsid w:val="0045442E"/>
    <w:rsid w:val="00456372"/>
    <w:rsid w:val="004619ED"/>
    <w:rsid w:val="00461CEB"/>
    <w:rsid w:val="00461D72"/>
    <w:rsid w:val="004638A9"/>
    <w:rsid w:val="00463C3A"/>
    <w:rsid w:val="00463E01"/>
    <w:rsid w:val="00463E87"/>
    <w:rsid w:val="00464619"/>
    <w:rsid w:val="00464D8E"/>
    <w:rsid w:val="00465C41"/>
    <w:rsid w:val="0046663A"/>
    <w:rsid w:val="00467413"/>
    <w:rsid w:val="004674C7"/>
    <w:rsid w:val="00467B15"/>
    <w:rsid w:val="0047022D"/>
    <w:rsid w:val="004702CE"/>
    <w:rsid w:val="00470546"/>
    <w:rsid w:val="00471212"/>
    <w:rsid w:val="00471218"/>
    <w:rsid w:val="004748B7"/>
    <w:rsid w:val="00474E1E"/>
    <w:rsid w:val="00475B22"/>
    <w:rsid w:val="00475D94"/>
    <w:rsid w:val="004760E4"/>
    <w:rsid w:val="004769C1"/>
    <w:rsid w:val="004769CB"/>
    <w:rsid w:val="00477AFE"/>
    <w:rsid w:val="004800FC"/>
    <w:rsid w:val="00481076"/>
    <w:rsid w:val="00482496"/>
    <w:rsid w:val="00482CC9"/>
    <w:rsid w:val="0048348C"/>
    <w:rsid w:val="004838B7"/>
    <w:rsid w:val="0048462B"/>
    <w:rsid w:val="00484670"/>
    <w:rsid w:val="0048484C"/>
    <w:rsid w:val="0048501B"/>
    <w:rsid w:val="00487C06"/>
    <w:rsid w:val="00487DA7"/>
    <w:rsid w:val="00487F1B"/>
    <w:rsid w:val="00490CCE"/>
    <w:rsid w:val="00493117"/>
    <w:rsid w:val="00495BCB"/>
    <w:rsid w:val="00495D54"/>
    <w:rsid w:val="00497440"/>
    <w:rsid w:val="004974B9"/>
    <w:rsid w:val="004974D6"/>
    <w:rsid w:val="00497B6A"/>
    <w:rsid w:val="00497C1E"/>
    <w:rsid w:val="004A06F8"/>
    <w:rsid w:val="004A156D"/>
    <w:rsid w:val="004A1A42"/>
    <w:rsid w:val="004A2128"/>
    <w:rsid w:val="004A2821"/>
    <w:rsid w:val="004A3C17"/>
    <w:rsid w:val="004A419C"/>
    <w:rsid w:val="004A4D1B"/>
    <w:rsid w:val="004B23A6"/>
    <w:rsid w:val="004B3E14"/>
    <w:rsid w:val="004B4EC5"/>
    <w:rsid w:val="004B57B7"/>
    <w:rsid w:val="004B62C0"/>
    <w:rsid w:val="004B694A"/>
    <w:rsid w:val="004C1324"/>
    <w:rsid w:val="004D2A45"/>
    <w:rsid w:val="004D3407"/>
    <w:rsid w:val="004D3839"/>
    <w:rsid w:val="004D3871"/>
    <w:rsid w:val="004D5097"/>
    <w:rsid w:val="004D519A"/>
    <w:rsid w:val="004D5263"/>
    <w:rsid w:val="004D6A42"/>
    <w:rsid w:val="004D7B0E"/>
    <w:rsid w:val="004E3F12"/>
    <w:rsid w:val="004E4017"/>
    <w:rsid w:val="004E4248"/>
    <w:rsid w:val="004E4925"/>
    <w:rsid w:val="004E5D5E"/>
    <w:rsid w:val="004E6CFE"/>
    <w:rsid w:val="004E6EFA"/>
    <w:rsid w:val="004F129D"/>
    <w:rsid w:val="004F1450"/>
    <w:rsid w:val="004F1AF4"/>
    <w:rsid w:val="004F1C84"/>
    <w:rsid w:val="004F23FC"/>
    <w:rsid w:val="004F40DD"/>
    <w:rsid w:val="004F5C92"/>
    <w:rsid w:val="004F5E72"/>
    <w:rsid w:val="004F6241"/>
    <w:rsid w:val="004F62E4"/>
    <w:rsid w:val="004F6DF9"/>
    <w:rsid w:val="004F71DD"/>
    <w:rsid w:val="004F7BBF"/>
    <w:rsid w:val="00500BD4"/>
    <w:rsid w:val="00500E01"/>
    <w:rsid w:val="00501922"/>
    <w:rsid w:val="00502693"/>
    <w:rsid w:val="00502D5B"/>
    <w:rsid w:val="00503344"/>
    <w:rsid w:val="005037DA"/>
    <w:rsid w:val="00503E60"/>
    <w:rsid w:val="00504182"/>
    <w:rsid w:val="00504BD3"/>
    <w:rsid w:val="00504D29"/>
    <w:rsid w:val="00505E03"/>
    <w:rsid w:val="00506FB6"/>
    <w:rsid w:val="00512364"/>
    <w:rsid w:val="005136A0"/>
    <w:rsid w:val="00513A22"/>
    <w:rsid w:val="00513D77"/>
    <w:rsid w:val="00514054"/>
    <w:rsid w:val="00514BFE"/>
    <w:rsid w:val="00516A0B"/>
    <w:rsid w:val="00516BA9"/>
    <w:rsid w:val="0052010A"/>
    <w:rsid w:val="00521800"/>
    <w:rsid w:val="00521BBD"/>
    <w:rsid w:val="005230C5"/>
    <w:rsid w:val="00523754"/>
    <w:rsid w:val="00526126"/>
    <w:rsid w:val="005268D9"/>
    <w:rsid w:val="005306D9"/>
    <w:rsid w:val="00530AA4"/>
    <w:rsid w:val="005315AB"/>
    <w:rsid w:val="0053393A"/>
    <w:rsid w:val="005339CB"/>
    <w:rsid w:val="00535E7A"/>
    <w:rsid w:val="005361AA"/>
    <w:rsid w:val="00536EBA"/>
    <w:rsid w:val="00540F53"/>
    <w:rsid w:val="00541BA2"/>
    <w:rsid w:val="00542065"/>
    <w:rsid w:val="00542501"/>
    <w:rsid w:val="005425D0"/>
    <w:rsid w:val="00543F1A"/>
    <w:rsid w:val="00544D95"/>
    <w:rsid w:val="00544E74"/>
    <w:rsid w:val="005461B5"/>
    <w:rsid w:val="00547E5D"/>
    <w:rsid w:val="00547EF6"/>
    <w:rsid w:val="00552A68"/>
    <w:rsid w:val="00554210"/>
    <w:rsid w:val="00554B3F"/>
    <w:rsid w:val="00554E44"/>
    <w:rsid w:val="00556E8B"/>
    <w:rsid w:val="00557009"/>
    <w:rsid w:val="0056008E"/>
    <w:rsid w:val="00560215"/>
    <w:rsid w:val="005618B0"/>
    <w:rsid w:val="00562BE7"/>
    <w:rsid w:val="00563868"/>
    <w:rsid w:val="00563A8F"/>
    <w:rsid w:val="005645EC"/>
    <w:rsid w:val="00565027"/>
    <w:rsid w:val="00567F75"/>
    <w:rsid w:val="00570591"/>
    <w:rsid w:val="0057172B"/>
    <w:rsid w:val="00572B79"/>
    <w:rsid w:val="005756D5"/>
    <w:rsid w:val="00575F11"/>
    <w:rsid w:val="005766D4"/>
    <w:rsid w:val="00581D96"/>
    <w:rsid w:val="0058278E"/>
    <w:rsid w:val="00583F10"/>
    <w:rsid w:val="005851BF"/>
    <w:rsid w:val="00585546"/>
    <w:rsid w:val="00585C86"/>
    <w:rsid w:val="00590FD5"/>
    <w:rsid w:val="00591599"/>
    <w:rsid w:val="00591869"/>
    <w:rsid w:val="005934BF"/>
    <w:rsid w:val="005934F6"/>
    <w:rsid w:val="0059390F"/>
    <w:rsid w:val="00594A4A"/>
    <w:rsid w:val="005962A7"/>
    <w:rsid w:val="005963CD"/>
    <w:rsid w:val="00596822"/>
    <w:rsid w:val="00597431"/>
    <w:rsid w:val="005A09E2"/>
    <w:rsid w:val="005A1434"/>
    <w:rsid w:val="005A1E31"/>
    <w:rsid w:val="005A298B"/>
    <w:rsid w:val="005A36E7"/>
    <w:rsid w:val="005A6017"/>
    <w:rsid w:val="005A68A2"/>
    <w:rsid w:val="005A7143"/>
    <w:rsid w:val="005B0444"/>
    <w:rsid w:val="005B0D5C"/>
    <w:rsid w:val="005B2E60"/>
    <w:rsid w:val="005B3BC8"/>
    <w:rsid w:val="005B6BB7"/>
    <w:rsid w:val="005B7301"/>
    <w:rsid w:val="005C0E58"/>
    <w:rsid w:val="005C1A5A"/>
    <w:rsid w:val="005C29F4"/>
    <w:rsid w:val="005C2A93"/>
    <w:rsid w:val="005C37D2"/>
    <w:rsid w:val="005C4166"/>
    <w:rsid w:val="005C5219"/>
    <w:rsid w:val="005C6193"/>
    <w:rsid w:val="005C6427"/>
    <w:rsid w:val="005C66CC"/>
    <w:rsid w:val="005C732F"/>
    <w:rsid w:val="005C7648"/>
    <w:rsid w:val="005C7D8D"/>
    <w:rsid w:val="005D432A"/>
    <w:rsid w:val="005D59CC"/>
    <w:rsid w:val="005D5AB9"/>
    <w:rsid w:val="005D5E52"/>
    <w:rsid w:val="005D6B3D"/>
    <w:rsid w:val="005E1193"/>
    <w:rsid w:val="005E156A"/>
    <w:rsid w:val="005E1B0B"/>
    <w:rsid w:val="005E260B"/>
    <w:rsid w:val="005E275E"/>
    <w:rsid w:val="005E3D40"/>
    <w:rsid w:val="005E47C9"/>
    <w:rsid w:val="005E5004"/>
    <w:rsid w:val="005E5EFC"/>
    <w:rsid w:val="005E712C"/>
    <w:rsid w:val="005E746F"/>
    <w:rsid w:val="005E7A59"/>
    <w:rsid w:val="005F1CAA"/>
    <w:rsid w:val="005F4E9C"/>
    <w:rsid w:val="005F535F"/>
    <w:rsid w:val="005F588A"/>
    <w:rsid w:val="005F68C2"/>
    <w:rsid w:val="005F78E2"/>
    <w:rsid w:val="006007FB"/>
    <w:rsid w:val="006012E4"/>
    <w:rsid w:val="00602176"/>
    <w:rsid w:val="00603532"/>
    <w:rsid w:val="00603662"/>
    <w:rsid w:val="006036A4"/>
    <w:rsid w:val="006042D1"/>
    <w:rsid w:val="006045BA"/>
    <w:rsid w:val="00606503"/>
    <w:rsid w:val="006077CA"/>
    <w:rsid w:val="00611108"/>
    <w:rsid w:val="0061300A"/>
    <w:rsid w:val="0061311B"/>
    <w:rsid w:val="00613FC0"/>
    <w:rsid w:val="00614143"/>
    <w:rsid w:val="006152EA"/>
    <w:rsid w:val="00615F74"/>
    <w:rsid w:val="00616932"/>
    <w:rsid w:val="00617761"/>
    <w:rsid w:val="00617EF3"/>
    <w:rsid w:val="00620C9A"/>
    <w:rsid w:val="00621233"/>
    <w:rsid w:val="00622F0E"/>
    <w:rsid w:val="00624745"/>
    <w:rsid w:val="00626224"/>
    <w:rsid w:val="006303A0"/>
    <w:rsid w:val="006319B5"/>
    <w:rsid w:val="00633E90"/>
    <w:rsid w:val="00634B64"/>
    <w:rsid w:val="0063506C"/>
    <w:rsid w:val="00636C0A"/>
    <w:rsid w:val="00637064"/>
    <w:rsid w:val="00637C38"/>
    <w:rsid w:val="0064127C"/>
    <w:rsid w:val="0064188F"/>
    <w:rsid w:val="00642789"/>
    <w:rsid w:val="00642C87"/>
    <w:rsid w:val="0064306F"/>
    <w:rsid w:val="00643F9B"/>
    <w:rsid w:val="00644CB8"/>
    <w:rsid w:val="00644E2E"/>
    <w:rsid w:val="00646601"/>
    <w:rsid w:val="00647177"/>
    <w:rsid w:val="00650257"/>
    <w:rsid w:val="0065030D"/>
    <w:rsid w:val="00651FA4"/>
    <w:rsid w:val="0065272B"/>
    <w:rsid w:val="0065430F"/>
    <w:rsid w:val="00654D12"/>
    <w:rsid w:val="006575C8"/>
    <w:rsid w:val="00657C86"/>
    <w:rsid w:val="0066072E"/>
    <w:rsid w:val="00660763"/>
    <w:rsid w:val="00663BE9"/>
    <w:rsid w:val="00663BEF"/>
    <w:rsid w:val="00664083"/>
    <w:rsid w:val="0066492A"/>
    <w:rsid w:val="00665BF9"/>
    <w:rsid w:val="00666301"/>
    <w:rsid w:val="00667E92"/>
    <w:rsid w:val="00667EC3"/>
    <w:rsid w:val="006701DB"/>
    <w:rsid w:val="0067031E"/>
    <w:rsid w:val="006710FA"/>
    <w:rsid w:val="006725FF"/>
    <w:rsid w:val="00672F4E"/>
    <w:rsid w:val="00674FB5"/>
    <w:rsid w:val="00675102"/>
    <w:rsid w:val="00676A79"/>
    <w:rsid w:val="006770DA"/>
    <w:rsid w:val="00677C76"/>
    <w:rsid w:val="00677D9C"/>
    <w:rsid w:val="006838D0"/>
    <w:rsid w:val="006839E6"/>
    <w:rsid w:val="00687C4D"/>
    <w:rsid w:val="006908EB"/>
    <w:rsid w:val="00690C8F"/>
    <w:rsid w:val="0069261F"/>
    <w:rsid w:val="00694127"/>
    <w:rsid w:val="006951C1"/>
    <w:rsid w:val="0069565D"/>
    <w:rsid w:val="006959CA"/>
    <w:rsid w:val="00695D6A"/>
    <w:rsid w:val="006A2B8B"/>
    <w:rsid w:val="006A43BD"/>
    <w:rsid w:val="006A61EE"/>
    <w:rsid w:val="006A7129"/>
    <w:rsid w:val="006B0112"/>
    <w:rsid w:val="006B11EA"/>
    <w:rsid w:val="006B2175"/>
    <w:rsid w:val="006B21C0"/>
    <w:rsid w:val="006B2C4C"/>
    <w:rsid w:val="006B3926"/>
    <w:rsid w:val="006B3FCB"/>
    <w:rsid w:val="006B47A4"/>
    <w:rsid w:val="006B4A99"/>
    <w:rsid w:val="006B6C08"/>
    <w:rsid w:val="006C0812"/>
    <w:rsid w:val="006C11C5"/>
    <w:rsid w:val="006C126D"/>
    <w:rsid w:val="006C13DE"/>
    <w:rsid w:val="006C305B"/>
    <w:rsid w:val="006C3800"/>
    <w:rsid w:val="006C43CC"/>
    <w:rsid w:val="006C47D7"/>
    <w:rsid w:val="006C7058"/>
    <w:rsid w:val="006C7D50"/>
    <w:rsid w:val="006D13E3"/>
    <w:rsid w:val="006D18E0"/>
    <w:rsid w:val="006D2099"/>
    <w:rsid w:val="006D4244"/>
    <w:rsid w:val="006D5154"/>
    <w:rsid w:val="006D5B41"/>
    <w:rsid w:val="006D6322"/>
    <w:rsid w:val="006D6B7E"/>
    <w:rsid w:val="006D72C1"/>
    <w:rsid w:val="006E0B0A"/>
    <w:rsid w:val="006E0B2D"/>
    <w:rsid w:val="006E0FBD"/>
    <w:rsid w:val="006E4084"/>
    <w:rsid w:val="006E466D"/>
    <w:rsid w:val="006E689F"/>
    <w:rsid w:val="006E729D"/>
    <w:rsid w:val="006E7A9E"/>
    <w:rsid w:val="006E7AC8"/>
    <w:rsid w:val="006F04A7"/>
    <w:rsid w:val="006F0CB2"/>
    <w:rsid w:val="006F0D0B"/>
    <w:rsid w:val="006F2132"/>
    <w:rsid w:val="006F280B"/>
    <w:rsid w:val="006F3225"/>
    <w:rsid w:val="006F4CE3"/>
    <w:rsid w:val="006F50EF"/>
    <w:rsid w:val="006F7422"/>
    <w:rsid w:val="006F7EDD"/>
    <w:rsid w:val="00700C01"/>
    <w:rsid w:val="00705F8C"/>
    <w:rsid w:val="007066ED"/>
    <w:rsid w:val="00707803"/>
    <w:rsid w:val="00710AA1"/>
    <w:rsid w:val="00710E2F"/>
    <w:rsid w:val="007113C2"/>
    <w:rsid w:val="007113F2"/>
    <w:rsid w:val="0071189C"/>
    <w:rsid w:val="00712363"/>
    <w:rsid w:val="00713304"/>
    <w:rsid w:val="00713B98"/>
    <w:rsid w:val="00714BB3"/>
    <w:rsid w:val="007154DE"/>
    <w:rsid w:val="00715A00"/>
    <w:rsid w:val="007165B3"/>
    <w:rsid w:val="00717839"/>
    <w:rsid w:val="00720602"/>
    <w:rsid w:val="00720A9B"/>
    <w:rsid w:val="00721133"/>
    <w:rsid w:val="00721799"/>
    <w:rsid w:val="00721BAF"/>
    <w:rsid w:val="0072200C"/>
    <w:rsid w:val="007226F6"/>
    <w:rsid w:val="0072349F"/>
    <w:rsid w:val="00723A9D"/>
    <w:rsid w:val="00724587"/>
    <w:rsid w:val="00725279"/>
    <w:rsid w:val="00725731"/>
    <w:rsid w:val="0072672F"/>
    <w:rsid w:val="007271F9"/>
    <w:rsid w:val="00727D2E"/>
    <w:rsid w:val="00730211"/>
    <w:rsid w:val="00730DDE"/>
    <w:rsid w:val="0073334F"/>
    <w:rsid w:val="00733E30"/>
    <w:rsid w:val="0073620B"/>
    <w:rsid w:val="00737804"/>
    <w:rsid w:val="00737887"/>
    <w:rsid w:val="00741041"/>
    <w:rsid w:val="00741545"/>
    <w:rsid w:val="00742752"/>
    <w:rsid w:val="00743C31"/>
    <w:rsid w:val="007441C7"/>
    <w:rsid w:val="0074491D"/>
    <w:rsid w:val="0074494C"/>
    <w:rsid w:val="007451EA"/>
    <w:rsid w:val="00745A83"/>
    <w:rsid w:val="00745B61"/>
    <w:rsid w:val="0074613F"/>
    <w:rsid w:val="00746623"/>
    <w:rsid w:val="0074668B"/>
    <w:rsid w:val="007473A1"/>
    <w:rsid w:val="0074756F"/>
    <w:rsid w:val="007507B6"/>
    <w:rsid w:val="007511E8"/>
    <w:rsid w:val="00751BB2"/>
    <w:rsid w:val="00751BBE"/>
    <w:rsid w:val="007524AB"/>
    <w:rsid w:val="007530BC"/>
    <w:rsid w:val="0075317B"/>
    <w:rsid w:val="007533DA"/>
    <w:rsid w:val="00756CDC"/>
    <w:rsid w:val="00756DFB"/>
    <w:rsid w:val="00757448"/>
    <w:rsid w:val="00757A3D"/>
    <w:rsid w:val="007603F6"/>
    <w:rsid w:val="00761E3D"/>
    <w:rsid w:val="0076207C"/>
    <w:rsid w:val="007620D6"/>
    <w:rsid w:val="00762B6C"/>
    <w:rsid w:val="00764164"/>
    <w:rsid w:val="00764C5E"/>
    <w:rsid w:val="00765DB7"/>
    <w:rsid w:val="0076665F"/>
    <w:rsid w:val="00766BA2"/>
    <w:rsid w:val="0076739A"/>
    <w:rsid w:val="00767AEB"/>
    <w:rsid w:val="00767D66"/>
    <w:rsid w:val="00767FA4"/>
    <w:rsid w:val="00770B89"/>
    <w:rsid w:val="00770BD4"/>
    <w:rsid w:val="00770EA3"/>
    <w:rsid w:val="00771388"/>
    <w:rsid w:val="00771BE4"/>
    <w:rsid w:val="00771BF8"/>
    <w:rsid w:val="00772646"/>
    <w:rsid w:val="00773528"/>
    <w:rsid w:val="00773F77"/>
    <w:rsid w:val="00773FF9"/>
    <w:rsid w:val="00774045"/>
    <w:rsid w:val="00774DAF"/>
    <w:rsid w:val="00775731"/>
    <w:rsid w:val="00775F2A"/>
    <w:rsid w:val="00777187"/>
    <w:rsid w:val="007775D0"/>
    <w:rsid w:val="00777D78"/>
    <w:rsid w:val="00781A02"/>
    <w:rsid w:val="00781A8D"/>
    <w:rsid w:val="00781FFB"/>
    <w:rsid w:val="007829E1"/>
    <w:rsid w:val="007847CF"/>
    <w:rsid w:val="00784815"/>
    <w:rsid w:val="00785689"/>
    <w:rsid w:val="00785DC9"/>
    <w:rsid w:val="00785FFE"/>
    <w:rsid w:val="0078659E"/>
    <w:rsid w:val="0078720A"/>
    <w:rsid w:val="00790D71"/>
    <w:rsid w:val="00791B22"/>
    <w:rsid w:val="0079297D"/>
    <w:rsid w:val="00793155"/>
    <w:rsid w:val="00793378"/>
    <w:rsid w:val="00793817"/>
    <w:rsid w:val="00796BA0"/>
    <w:rsid w:val="007A06A7"/>
    <w:rsid w:val="007A1608"/>
    <w:rsid w:val="007A1D38"/>
    <w:rsid w:val="007A22E1"/>
    <w:rsid w:val="007A2E35"/>
    <w:rsid w:val="007A30F1"/>
    <w:rsid w:val="007A3196"/>
    <w:rsid w:val="007A6195"/>
    <w:rsid w:val="007A62D8"/>
    <w:rsid w:val="007B0B2A"/>
    <w:rsid w:val="007B0B5D"/>
    <w:rsid w:val="007B0EFB"/>
    <w:rsid w:val="007B1AAE"/>
    <w:rsid w:val="007B33DD"/>
    <w:rsid w:val="007B3B6D"/>
    <w:rsid w:val="007B4050"/>
    <w:rsid w:val="007B52AB"/>
    <w:rsid w:val="007B5B68"/>
    <w:rsid w:val="007B6036"/>
    <w:rsid w:val="007B6DCA"/>
    <w:rsid w:val="007B7541"/>
    <w:rsid w:val="007B7CCF"/>
    <w:rsid w:val="007C2DEF"/>
    <w:rsid w:val="007C3D1D"/>
    <w:rsid w:val="007C4807"/>
    <w:rsid w:val="007C4BED"/>
    <w:rsid w:val="007C4BF4"/>
    <w:rsid w:val="007C701B"/>
    <w:rsid w:val="007C75CB"/>
    <w:rsid w:val="007D0C78"/>
    <w:rsid w:val="007D1320"/>
    <w:rsid w:val="007D1CDC"/>
    <w:rsid w:val="007D3FE7"/>
    <w:rsid w:val="007D72F3"/>
    <w:rsid w:val="007D7543"/>
    <w:rsid w:val="007E0435"/>
    <w:rsid w:val="007E250F"/>
    <w:rsid w:val="007E2600"/>
    <w:rsid w:val="007E3B55"/>
    <w:rsid w:val="007E3B9A"/>
    <w:rsid w:val="007E52F7"/>
    <w:rsid w:val="007E5E1D"/>
    <w:rsid w:val="007E634F"/>
    <w:rsid w:val="007E6A12"/>
    <w:rsid w:val="007E7381"/>
    <w:rsid w:val="007F064F"/>
    <w:rsid w:val="007F15B4"/>
    <w:rsid w:val="007F2910"/>
    <w:rsid w:val="007F316D"/>
    <w:rsid w:val="007F3615"/>
    <w:rsid w:val="007F36ED"/>
    <w:rsid w:val="007F4489"/>
    <w:rsid w:val="007F5BAB"/>
    <w:rsid w:val="007F6347"/>
    <w:rsid w:val="007F78AE"/>
    <w:rsid w:val="00801D62"/>
    <w:rsid w:val="00802C76"/>
    <w:rsid w:val="00803F9D"/>
    <w:rsid w:val="00806027"/>
    <w:rsid w:val="00806D01"/>
    <w:rsid w:val="008071CE"/>
    <w:rsid w:val="008109E3"/>
    <w:rsid w:val="008111BF"/>
    <w:rsid w:val="00811C3D"/>
    <w:rsid w:val="0081214A"/>
    <w:rsid w:val="008125B9"/>
    <w:rsid w:val="00813F5E"/>
    <w:rsid w:val="00814040"/>
    <w:rsid w:val="0081405F"/>
    <w:rsid w:val="0081414C"/>
    <w:rsid w:val="0081521C"/>
    <w:rsid w:val="00816591"/>
    <w:rsid w:val="008167F4"/>
    <w:rsid w:val="008207D4"/>
    <w:rsid w:val="008220ED"/>
    <w:rsid w:val="008225A9"/>
    <w:rsid w:val="00822637"/>
    <w:rsid w:val="00826ED1"/>
    <w:rsid w:val="00826EE8"/>
    <w:rsid w:val="0083085D"/>
    <w:rsid w:val="00830C39"/>
    <w:rsid w:val="0083120A"/>
    <w:rsid w:val="00831258"/>
    <w:rsid w:val="008318B2"/>
    <w:rsid w:val="008322D0"/>
    <w:rsid w:val="00834AD8"/>
    <w:rsid w:val="00834FC6"/>
    <w:rsid w:val="00835EE7"/>
    <w:rsid w:val="008401D8"/>
    <w:rsid w:val="008403C3"/>
    <w:rsid w:val="008407F7"/>
    <w:rsid w:val="00840E75"/>
    <w:rsid w:val="00841E33"/>
    <w:rsid w:val="00841EC9"/>
    <w:rsid w:val="0084204D"/>
    <w:rsid w:val="008435B0"/>
    <w:rsid w:val="0084748E"/>
    <w:rsid w:val="008501B1"/>
    <w:rsid w:val="00851820"/>
    <w:rsid w:val="00852129"/>
    <w:rsid w:val="00852340"/>
    <w:rsid w:val="00853101"/>
    <w:rsid w:val="00853ECA"/>
    <w:rsid w:val="0085498E"/>
    <w:rsid w:val="00854B0D"/>
    <w:rsid w:val="00854C8B"/>
    <w:rsid w:val="00855508"/>
    <w:rsid w:val="00855EDF"/>
    <w:rsid w:val="00856A38"/>
    <w:rsid w:val="00857453"/>
    <w:rsid w:val="008574A4"/>
    <w:rsid w:val="0086084E"/>
    <w:rsid w:val="00860BC7"/>
    <w:rsid w:val="00860F2B"/>
    <w:rsid w:val="00864C93"/>
    <w:rsid w:val="00865C15"/>
    <w:rsid w:val="00865C17"/>
    <w:rsid w:val="00865CBB"/>
    <w:rsid w:val="00866777"/>
    <w:rsid w:val="00866EDC"/>
    <w:rsid w:val="00870141"/>
    <w:rsid w:val="008703B3"/>
    <w:rsid w:val="00870D2D"/>
    <w:rsid w:val="00870FD9"/>
    <w:rsid w:val="00871FA4"/>
    <w:rsid w:val="00872DF3"/>
    <w:rsid w:val="00873147"/>
    <w:rsid w:val="00874A06"/>
    <w:rsid w:val="00874E95"/>
    <w:rsid w:val="00875975"/>
    <w:rsid w:val="00876D17"/>
    <w:rsid w:val="00877615"/>
    <w:rsid w:val="008779A9"/>
    <w:rsid w:val="00877B71"/>
    <w:rsid w:val="00880234"/>
    <w:rsid w:val="00880692"/>
    <w:rsid w:val="00880A2A"/>
    <w:rsid w:val="00881269"/>
    <w:rsid w:val="00881671"/>
    <w:rsid w:val="00881785"/>
    <w:rsid w:val="00881A77"/>
    <w:rsid w:val="00882511"/>
    <w:rsid w:val="0088273E"/>
    <w:rsid w:val="008829A3"/>
    <w:rsid w:val="00882C8F"/>
    <w:rsid w:val="0088513C"/>
    <w:rsid w:val="00885213"/>
    <w:rsid w:val="008870A4"/>
    <w:rsid w:val="0089082B"/>
    <w:rsid w:val="00890F94"/>
    <w:rsid w:val="00893D91"/>
    <w:rsid w:val="008955C4"/>
    <w:rsid w:val="00895EA4"/>
    <w:rsid w:val="008966B7"/>
    <w:rsid w:val="00896E24"/>
    <w:rsid w:val="008A0BA7"/>
    <w:rsid w:val="008A2D8E"/>
    <w:rsid w:val="008A39D9"/>
    <w:rsid w:val="008A45CC"/>
    <w:rsid w:val="008A5D02"/>
    <w:rsid w:val="008A66D9"/>
    <w:rsid w:val="008A66E4"/>
    <w:rsid w:val="008A7021"/>
    <w:rsid w:val="008A7E27"/>
    <w:rsid w:val="008B047C"/>
    <w:rsid w:val="008B20F1"/>
    <w:rsid w:val="008B3B91"/>
    <w:rsid w:val="008B6827"/>
    <w:rsid w:val="008B789F"/>
    <w:rsid w:val="008C1A4B"/>
    <w:rsid w:val="008C2F1A"/>
    <w:rsid w:val="008C3D69"/>
    <w:rsid w:val="008C55B3"/>
    <w:rsid w:val="008D3508"/>
    <w:rsid w:val="008D45F9"/>
    <w:rsid w:val="008D48FF"/>
    <w:rsid w:val="008D53BF"/>
    <w:rsid w:val="008D7493"/>
    <w:rsid w:val="008D755E"/>
    <w:rsid w:val="008D773B"/>
    <w:rsid w:val="008D7943"/>
    <w:rsid w:val="008E0EC0"/>
    <w:rsid w:val="008E14A4"/>
    <w:rsid w:val="008E231C"/>
    <w:rsid w:val="008E3FFC"/>
    <w:rsid w:val="008E406D"/>
    <w:rsid w:val="008E45DF"/>
    <w:rsid w:val="008E4776"/>
    <w:rsid w:val="008E4C64"/>
    <w:rsid w:val="008F0353"/>
    <w:rsid w:val="008F0FA2"/>
    <w:rsid w:val="008F1361"/>
    <w:rsid w:val="008F1AFE"/>
    <w:rsid w:val="008F219E"/>
    <w:rsid w:val="008F2A86"/>
    <w:rsid w:val="008F2B90"/>
    <w:rsid w:val="008F4CEF"/>
    <w:rsid w:val="008F4EF6"/>
    <w:rsid w:val="008F6493"/>
    <w:rsid w:val="008F6884"/>
    <w:rsid w:val="008F6CF6"/>
    <w:rsid w:val="009001D6"/>
    <w:rsid w:val="00900A7D"/>
    <w:rsid w:val="00900C9D"/>
    <w:rsid w:val="0090486C"/>
    <w:rsid w:val="009048F2"/>
    <w:rsid w:val="00904C30"/>
    <w:rsid w:val="0090575C"/>
    <w:rsid w:val="00905CF5"/>
    <w:rsid w:val="0090788E"/>
    <w:rsid w:val="00910F38"/>
    <w:rsid w:val="00912CA9"/>
    <w:rsid w:val="00913A10"/>
    <w:rsid w:val="009150D0"/>
    <w:rsid w:val="00915565"/>
    <w:rsid w:val="009156EA"/>
    <w:rsid w:val="00915E37"/>
    <w:rsid w:val="00917084"/>
    <w:rsid w:val="00917840"/>
    <w:rsid w:val="00920500"/>
    <w:rsid w:val="00920BE3"/>
    <w:rsid w:val="009218A2"/>
    <w:rsid w:val="00921E0C"/>
    <w:rsid w:val="009238C2"/>
    <w:rsid w:val="00923E0C"/>
    <w:rsid w:val="0092404F"/>
    <w:rsid w:val="0092411D"/>
    <w:rsid w:val="009252C2"/>
    <w:rsid w:val="009257C0"/>
    <w:rsid w:val="009266B0"/>
    <w:rsid w:val="00926E01"/>
    <w:rsid w:val="00927325"/>
    <w:rsid w:val="00930054"/>
    <w:rsid w:val="00930B27"/>
    <w:rsid w:val="00930FEC"/>
    <w:rsid w:val="009319B3"/>
    <w:rsid w:val="00931A74"/>
    <w:rsid w:val="00932053"/>
    <w:rsid w:val="00932DB3"/>
    <w:rsid w:val="00934779"/>
    <w:rsid w:val="009348EC"/>
    <w:rsid w:val="00935C42"/>
    <w:rsid w:val="0093653A"/>
    <w:rsid w:val="00936C47"/>
    <w:rsid w:val="00936D5E"/>
    <w:rsid w:val="00941348"/>
    <w:rsid w:val="00942498"/>
    <w:rsid w:val="0094260C"/>
    <w:rsid w:val="00942971"/>
    <w:rsid w:val="00943406"/>
    <w:rsid w:val="00943A92"/>
    <w:rsid w:val="00943EBB"/>
    <w:rsid w:val="00943FF2"/>
    <w:rsid w:val="00947173"/>
    <w:rsid w:val="00950080"/>
    <w:rsid w:val="009502E1"/>
    <w:rsid w:val="0095060D"/>
    <w:rsid w:val="009510EB"/>
    <w:rsid w:val="00951921"/>
    <w:rsid w:val="00951A24"/>
    <w:rsid w:val="00951AA2"/>
    <w:rsid w:val="00951C58"/>
    <w:rsid w:val="009522D9"/>
    <w:rsid w:val="0095349E"/>
    <w:rsid w:val="009536FB"/>
    <w:rsid w:val="00954B8C"/>
    <w:rsid w:val="0095526C"/>
    <w:rsid w:val="00955611"/>
    <w:rsid w:val="00955D86"/>
    <w:rsid w:val="0095627A"/>
    <w:rsid w:val="0095648D"/>
    <w:rsid w:val="0095654A"/>
    <w:rsid w:val="00956D9B"/>
    <w:rsid w:val="0096244D"/>
    <w:rsid w:val="0096452A"/>
    <w:rsid w:val="009653E8"/>
    <w:rsid w:val="009654D5"/>
    <w:rsid w:val="0096611B"/>
    <w:rsid w:val="00966BDD"/>
    <w:rsid w:val="009679BF"/>
    <w:rsid w:val="0097019E"/>
    <w:rsid w:val="009707F7"/>
    <w:rsid w:val="00972AE7"/>
    <w:rsid w:val="00973AF6"/>
    <w:rsid w:val="00973E2F"/>
    <w:rsid w:val="00974107"/>
    <w:rsid w:val="009808BD"/>
    <w:rsid w:val="00980C1B"/>
    <w:rsid w:val="009814ED"/>
    <w:rsid w:val="009822BA"/>
    <w:rsid w:val="00982C99"/>
    <w:rsid w:val="00983B00"/>
    <w:rsid w:val="00984281"/>
    <w:rsid w:val="00984679"/>
    <w:rsid w:val="009846F1"/>
    <w:rsid w:val="0098512D"/>
    <w:rsid w:val="00985242"/>
    <w:rsid w:val="009866C0"/>
    <w:rsid w:val="00987D14"/>
    <w:rsid w:val="00990E77"/>
    <w:rsid w:val="00992530"/>
    <w:rsid w:val="00992C46"/>
    <w:rsid w:val="00992DAC"/>
    <w:rsid w:val="00993973"/>
    <w:rsid w:val="00994203"/>
    <w:rsid w:val="0099504B"/>
    <w:rsid w:val="00995545"/>
    <w:rsid w:val="009957A5"/>
    <w:rsid w:val="0099636F"/>
    <w:rsid w:val="00996F29"/>
    <w:rsid w:val="00997497"/>
    <w:rsid w:val="00997B3D"/>
    <w:rsid w:val="009A081B"/>
    <w:rsid w:val="009A09FA"/>
    <w:rsid w:val="009A1994"/>
    <w:rsid w:val="009A1BFC"/>
    <w:rsid w:val="009A1E91"/>
    <w:rsid w:val="009A3903"/>
    <w:rsid w:val="009A4155"/>
    <w:rsid w:val="009A79C0"/>
    <w:rsid w:val="009A7F64"/>
    <w:rsid w:val="009B0F8E"/>
    <w:rsid w:val="009B17EE"/>
    <w:rsid w:val="009B1871"/>
    <w:rsid w:val="009B1B5F"/>
    <w:rsid w:val="009B1BF2"/>
    <w:rsid w:val="009B250E"/>
    <w:rsid w:val="009B259F"/>
    <w:rsid w:val="009B2F65"/>
    <w:rsid w:val="009B3090"/>
    <w:rsid w:val="009B3489"/>
    <w:rsid w:val="009B514C"/>
    <w:rsid w:val="009B5933"/>
    <w:rsid w:val="009B5D90"/>
    <w:rsid w:val="009B6194"/>
    <w:rsid w:val="009B6B4E"/>
    <w:rsid w:val="009B7077"/>
    <w:rsid w:val="009B756B"/>
    <w:rsid w:val="009C049B"/>
    <w:rsid w:val="009C13A7"/>
    <w:rsid w:val="009C1E6D"/>
    <w:rsid w:val="009C219C"/>
    <w:rsid w:val="009C2309"/>
    <w:rsid w:val="009C2BE9"/>
    <w:rsid w:val="009C38E9"/>
    <w:rsid w:val="009C5623"/>
    <w:rsid w:val="009C6513"/>
    <w:rsid w:val="009C67E2"/>
    <w:rsid w:val="009C773A"/>
    <w:rsid w:val="009D054A"/>
    <w:rsid w:val="009D1991"/>
    <w:rsid w:val="009D33FD"/>
    <w:rsid w:val="009D46FD"/>
    <w:rsid w:val="009D49E5"/>
    <w:rsid w:val="009D4DCC"/>
    <w:rsid w:val="009D68BC"/>
    <w:rsid w:val="009E14B5"/>
    <w:rsid w:val="009E2DCA"/>
    <w:rsid w:val="009E4D91"/>
    <w:rsid w:val="009E54E9"/>
    <w:rsid w:val="009E5889"/>
    <w:rsid w:val="009E5A60"/>
    <w:rsid w:val="009E6877"/>
    <w:rsid w:val="009E6929"/>
    <w:rsid w:val="009F1B1B"/>
    <w:rsid w:val="009F2F2C"/>
    <w:rsid w:val="009F34E1"/>
    <w:rsid w:val="009F4B4A"/>
    <w:rsid w:val="009F6B58"/>
    <w:rsid w:val="009F6F10"/>
    <w:rsid w:val="009F74B0"/>
    <w:rsid w:val="00A02ABA"/>
    <w:rsid w:val="00A06AF5"/>
    <w:rsid w:val="00A072C6"/>
    <w:rsid w:val="00A07A5E"/>
    <w:rsid w:val="00A1012C"/>
    <w:rsid w:val="00A1034A"/>
    <w:rsid w:val="00A109B1"/>
    <w:rsid w:val="00A116E7"/>
    <w:rsid w:val="00A120E1"/>
    <w:rsid w:val="00A1386D"/>
    <w:rsid w:val="00A13F32"/>
    <w:rsid w:val="00A1422B"/>
    <w:rsid w:val="00A14892"/>
    <w:rsid w:val="00A14EA4"/>
    <w:rsid w:val="00A15485"/>
    <w:rsid w:val="00A1683A"/>
    <w:rsid w:val="00A16FB6"/>
    <w:rsid w:val="00A170B7"/>
    <w:rsid w:val="00A2170E"/>
    <w:rsid w:val="00A21E9F"/>
    <w:rsid w:val="00A22742"/>
    <w:rsid w:val="00A232EE"/>
    <w:rsid w:val="00A2375F"/>
    <w:rsid w:val="00A23EC4"/>
    <w:rsid w:val="00A24837"/>
    <w:rsid w:val="00A258EE"/>
    <w:rsid w:val="00A2620A"/>
    <w:rsid w:val="00A2645E"/>
    <w:rsid w:val="00A26BC8"/>
    <w:rsid w:val="00A26E76"/>
    <w:rsid w:val="00A272B7"/>
    <w:rsid w:val="00A274D5"/>
    <w:rsid w:val="00A27BE8"/>
    <w:rsid w:val="00A30E0D"/>
    <w:rsid w:val="00A31276"/>
    <w:rsid w:val="00A31DBA"/>
    <w:rsid w:val="00A31FCF"/>
    <w:rsid w:val="00A32626"/>
    <w:rsid w:val="00A337BA"/>
    <w:rsid w:val="00A33C8F"/>
    <w:rsid w:val="00A35B95"/>
    <w:rsid w:val="00A3703F"/>
    <w:rsid w:val="00A376FB"/>
    <w:rsid w:val="00A40D30"/>
    <w:rsid w:val="00A42746"/>
    <w:rsid w:val="00A428EF"/>
    <w:rsid w:val="00A43956"/>
    <w:rsid w:val="00A44022"/>
    <w:rsid w:val="00A444F9"/>
    <w:rsid w:val="00A44E4C"/>
    <w:rsid w:val="00A45B49"/>
    <w:rsid w:val="00A45C03"/>
    <w:rsid w:val="00A45DD8"/>
    <w:rsid w:val="00A4606C"/>
    <w:rsid w:val="00A47C38"/>
    <w:rsid w:val="00A504A7"/>
    <w:rsid w:val="00A51789"/>
    <w:rsid w:val="00A53907"/>
    <w:rsid w:val="00A54364"/>
    <w:rsid w:val="00A54A57"/>
    <w:rsid w:val="00A54BB5"/>
    <w:rsid w:val="00A551D5"/>
    <w:rsid w:val="00A5594B"/>
    <w:rsid w:val="00A562F0"/>
    <w:rsid w:val="00A6131D"/>
    <w:rsid w:val="00A614F2"/>
    <w:rsid w:val="00A6282B"/>
    <w:rsid w:val="00A6336E"/>
    <w:rsid w:val="00A703A4"/>
    <w:rsid w:val="00A70C3F"/>
    <w:rsid w:val="00A72195"/>
    <w:rsid w:val="00A74DE6"/>
    <w:rsid w:val="00A7546D"/>
    <w:rsid w:val="00A75FA6"/>
    <w:rsid w:val="00A760E4"/>
    <w:rsid w:val="00A81DDF"/>
    <w:rsid w:val="00A82CD9"/>
    <w:rsid w:val="00A83E67"/>
    <w:rsid w:val="00A8457E"/>
    <w:rsid w:val="00A84B34"/>
    <w:rsid w:val="00A85D8C"/>
    <w:rsid w:val="00A86B29"/>
    <w:rsid w:val="00A871BB"/>
    <w:rsid w:val="00A87376"/>
    <w:rsid w:val="00A87A47"/>
    <w:rsid w:val="00A902AB"/>
    <w:rsid w:val="00A9076C"/>
    <w:rsid w:val="00A909E9"/>
    <w:rsid w:val="00A9107A"/>
    <w:rsid w:val="00A91EEE"/>
    <w:rsid w:val="00A925E3"/>
    <w:rsid w:val="00A926D0"/>
    <w:rsid w:val="00A93004"/>
    <w:rsid w:val="00A9408D"/>
    <w:rsid w:val="00A944D7"/>
    <w:rsid w:val="00A94BE4"/>
    <w:rsid w:val="00A94E14"/>
    <w:rsid w:val="00A954A0"/>
    <w:rsid w:val="00A956F2"/>
    <w:rsid w:val="00A958E3"/>
    <w:rsid w:val="00A96508"/>
    <w:rsid w:val="00A96878"/>
    <w:rsid w:val="00A96FCA"/>
    <w:rsid w:val="00A9769C"/>
    <w:rsid w:val="00AA0353"/>
    <w:rsid w:val="00AA0C6D"/>
    <w:rsid w:val="00AA1A5E"/>
    <w:rsid w:val="00AA240A"/>
    <w:rsid w:val="00AA27B3"/>
    <w:rsid w:val="00AA3874"/>
    <w:rsid w:val="00AA454E"/>
    <w:rsid w:val="00AA58C0"/>
    <w:rsid w:val="00AA58D0"/>
    <w:rsid w:val="00AA5CE5"/>
    <w:rsid w:val="00AA7CB7"/>
    <w:rsid w:val="00AB122F"/>
    <w:rsid w:val="00AB2D86"/>
    <w:rsid w:val="00AB3858"/>
    <w:rsid w:val="00AB398B"/>
    <w:rsid w:val="00AB3F86"/>
    <w:rsid w:val="00AB47B1"/>
    <w:rsid w:val="00AB52FF"/>
    <w:rsid w:val="00AB5D83"/>
    <w:rsid w:val="00AB63DE"/>
    <w:rsid w:val="00AB7A2D"/>
    <w:rsid w:val="00AB7DD7"/>
    <w:rsid w:val="00AC075F"/>
    <w:rsid w:val="00AC1ECE"/>
    <w:rsid w:val="00AC27CA"/>
    <w:rsid w:val="00AC2B8F"/>
    <w:rsid w:val="00AC3160"/>
    <w:rsid w:val="00AC3D31"/>
    <w:rsid w:val="00AC40C6"/>
    <w:rsid w:val="00AC4295"/>
    <w:rsid w:val="00AC46D9"/>
    <w:rsid w:val="00AC4CBE"/>
    <w:rsid w:val="00AC5615"/>
    <w:rsid w:val="00AC61E6"/>
    <w:rsid w:val="00AD0597"/>
    <w:rsid w:val="00AD4106"/>
    <w:rsid w:val="00AD557A"/>
    <w:rsid w:val="00AD5CEB"/>
    <w:rsid w:val="00AD64D8"/>
    <w:rsid w:val="00AD6748"/>
    <w:rsid w:val="00AE010C"/>
    <w:rsid w:val="00AE0223"/>
    <w:rsid w:val="00AE0943"/>
    <w:rsid w:val="00AE184E"/>
    <w:rsid w:val="00AE209C"/>
    <w:rsid w:val="00AE20AA"/>
    <w:rsid w:val="00AE2324"/>
    <w:rsid w:val="00AE2ACC"/>
    <w:rsid w:val="00AE315B"/>
    <w:rsid w:val="00AE4216"/>
    <w:rsid w:val="00AE4D19"/>
    <w:rsid w:val="00AE5C47"/>
    <w:rsid w:val="00AE6750"/>
    <w:rsid w:val="00AE6C78"/>
    <w:rsid w:val="00AE6E8F"/>
    <w:rsid w:val="00AE6FAF"/>
    <w:rsid w:val="00AF07A7"/>
    <w:rsid w:val="00AF1AC7"/>
    <w:rsid w:val="00AF233B"/>
    <w:rsid w:val="00AF330D"/>
    <w:rsid w:val="00AF45D7"/>
    <w:rsid w:val="00AF4DE9"/>
    <w:rsid w:val="00AF5287"/>
    <w:rsid w:val="00AF5372"/>
    <w:rsid w:val="00AF63C1"/>
    <w:rsid w:val="00AF7B2A"/>
    <w:rsid w:val="00B0157F"/>
    <w:rsid w:val="00B0174E"/>
    <w:rsid w:val="00B03A1F"/>
    <w:rsid w:val="00B048C3"/>
    <w:rsid w:val="00B06777"/>
    <w:rsid w:val="00B068E4"/>
    <w:rsid w:val="00B06B2F"/>
    <w:rsid w:val="00B105C4"/>
    <w:rsid w:val="00B114AD"/>
    <w:rsid w:val="00B16997"/>
    <w:rsid w:val="00B23539"/>
    <w:rsid w:val="00B247E8"/>
    <w:rsid w:val="00B249E2"/>
    <w:rsid w:val="00B2528E"/>
    <w:rsid w:val="00B254E8"/>
    <w:rsid w:val="00B268D4"/>
    <w:rsid w:val="00B27DE8"/>
    <w:rsid w:val="00B31A7A"/>
    <w:rsid w:val="00B31D89"/>
    <w:rsid w:val="00B328AB"/>
    <w:rsid w:val="00B333D0"/>
    <w:rsid w:val="00B3589A"/>
    <w:rsid w:val="00B35CD7"/>
    <w:rsid w:val="00B36681"/>
    <w:rsid w:val="00B37CE1"/>
    <w:rsid w:val="00B40779"/>
    <w:rsid w:val="00B40B20"/>
    <w:rsid w:val="00B41DFE"/>
    <w:rsid w:val="00B42616"/>
    <w:rsid w:val="00B42FA3"/>
    <w:rsid w:val="00B43566"/>
    <w:rsid w:val="00B43B38"/>
    <w:rsid w:val="00B43E8D"/>
    <w:rsid w:val="00B46401"/>
    <w:rsid w:val="00B46BB9"/>
    <w:rsid w:val="00B46D68"/>
    <w:rsid w:val="00B46E72"/>
    <w:rsid w:val="00B4749F"/>
    <w:rsid w:val="00B47C92"/>
    <w:rsid w:val="00B5007F"/>
    <w:rsid w:val="00B51625"/>
    <w:rsid w:val="00B519E6"/>
    <w:rsid w:val="00B51E32"/>
    <w:rsid w:val="00B521E9"/>
    <w:rsid w:val="00B5267B"/>
    <w:rsid w:val="00B52CBE"/>
    <w:rsid w:val="00B53AF6"/>
    <w:rsid w:val="00B543D0"/>
    <w:rsid w:val="00B5498E"/>
    <w:rsid w:val="00B55A65"/>
    <w:rsid w:val="00B55D77"/>
    <w:rsid w:val="00B56EF5"/>
    <w:rsid w:val="00B56F1D"/>
    <w:rsid w:val="00B60989"/>
    <w:rsid w:val="00B63AF2"/>
    <w:rsid w:val="00B63D6F"/>
    <w:rsid w:val="00B641EF"/>
    <w:rsid w:val="00B659E2"/>
    <w:rsid w:val="00B66538"/>
    <w:rsid w:val="00B66B91"/>
    <w:rsid w:val="00B679E3"/>
    <w:rsid w:val="00B67A26"/>
    <w:rsid w:val="00B70779"/>
    <w:rsid w:val="00B72827"/>
    <w:rsid w:val="00B72EC3"/>
    <w:rsid w:val="00B747F8"/>
    <w:rsid w:val="00B75342"/>
    <w:rsid w:val="00B755C7"/>
    <w:rsid w:val="00B75AF7"/>
    <w:rsid w:val="00B75BA6"/>
    <w:rsid w:val="00B75F10"/>
    <w:rsid w:val="00B765A4"/>
    <w:rsid w:val="00B76850"/>
    <w:rsid w:val="00B77A6A"/>
    <w:rsid w:val="00B77A71"/>
    <w:rsid w:val="00B80A92"/>
    <w:rsid w:val="00B80BC6"/>
    <w:rsid w:val="00B8115C"/>
    <w:rsid w:val="00B834FF"/>
    <w:rsid w:val="00B8397D"/>
    <w:rsid w:val="00B8422C"/>
    <w:rsid w:val="00B867A6"/>
    <w:rsid w:val="00B87E82"/>
    <w:rsid w:val="00B901D4"/>
    <w:rsid w:val="00B90E07"/>
    <w:rsid w:val="00B90E30"/>
    <w:rsid w:val="00B91B20"/>
    <w:rsid w:val="00B9321F"/>
    <w:rsid w:val="00B93A28"/>
    <w:rsid w:val="00B949DD"/>
    <w:rsid w:val="00B95740"/>
    <w:rsid w:val="00B969C6"/>
    <w:rsid w:val="00B96B53"/>
    <w:rsid w:val="00B97145"/>
    <w:rsid w:val="00BA0632"/>
    <w:rsid w:val="00BA085D"/>
    <w:rsid w:val="00BA0E8D"/>
    <w:rsid w:val="00BA15D3"/>
    <w:rsid w:val="00BA2741"/>
    <w:rsid w:val="00BA2D37"/>
    <w:rsid w:val="00BA3274"/>
    <w:rsid w:val="00BA329E"/>
    <w:rsid w:val="00BA7040"/>
    <w:rsid w:val="00BA74DD"/>
    <w:rsid w:val="00BB0728"/>
    <w:rsid w:val="00BB0F5A"/>
    <w:rsid w:val="00BB1AB6"/>
    <w:rsid w:val="00BB1C1D"/>
    <w:rsid w:val="00BB1E68"/>
    <w:rsid w:val="00BB25B1"/>
    <w:rsid w:val="00BB276B"/>
    <w:rsid w:val="00BB3B4F"/>
    <w:rsid w:val="00BB3F5E"/>
    <w:rsid w:val="00BB3FA2"/>
    <w:rsid w:val="00BB4BA4"/>
    <w:rsid w:val="00BC0FF5"/>
    <w:rsid w:val="00BC121B"/>
    <w:rsid w:val="00BC12CF"/>
    <w:rsid w:val="00BC152C"/>
    <w:rsid w:val="00BC62AC"/>
    <w:rsid w:val="00BC761E"/>
    <w:rsid w:val="00BD0A06"/>
    <w:rsid w:val="00BD181E"/>
    <w:rsid w:val="00BD184E"/>
    <w:rsid w:val="00BD22C0"/>
    <w:rsid w:val="00BD2A7C"/>
    <w:rsid w:val="00BD2B5D"/>
    <w:rsid w:val="00BD2D21"/>
    <w:rsid w:val="00BD3884"/>
    <w:rsid w:val="00BD3ABA"/>
    <w:rsid w:val="00BD52D6"/>
    <w:rsid w:val="00BD6023"/>
    <w:rsid w:val="00BD719F"/>
    <w:rsid w:val="00BE00C0"/>
    <w:rsid w:val="00BE1281"/>
    <w:rsid w:val="00BE1BAF"/>
    <w:rsid w:val="00BE35DC"/>
    <w:rsid w:val="00BE3972"/>
    <w:rsid w:val="00BE5241"/>
    <w:rsid w:val="00BE5467"/>
    <w:rsid w:val="00BE60B2"/>
    <w:rsid w:val="00BE68E5"/>
    <w:rsid w:val="00BE6C88"/>
    <w:rsid w:val="00BE7E83"/>
    <w:rsid w:val="00BF0629"/>
    <w:rsid w:val="00BF1047"/>
    <w:rsid w:val="00BF25F8"/>
    <w:rsid w:val="00BF2A90"/>
    <w:rsid w:val="00BF41C3"/>
    <w:rsid w:val="00BF55FC"/>
    <w:rsid w:val="00BF68D2"/>
    <w:rsid w:val="00BF753B"/>
    <w:rsid w:val="00C0037D"/>
    <w:rsid w:val="00C01E28"/>
    <w:rsid w:val="00C0309A"/>
    <w:rsid w:val="00C030AE"/>
    <w:rsid w:val="00C0408F"/>
    <w:rsid w:val="00C04941"/>
    <w:rsid w:val="00C05923"/>
    <w:rsid w:val="00C063B0"/>
    <w:rsid w:val="00C11AA4"/>
    <w:rsid w:val="00C12D2C"/>
    <w:rsid w:val="00C143CC"/>
    <w:rsid w:val="00C16535"/>
    <w:rsid w:val="00C210E9"/>
    <w:rsid w:val="00C22198"/>
    <w:rsid w:val="00C221F4"/>
    <w:rsid w:val="00C22DCA"/>
    <w:rsid w:val="00C231EF"/>
    <w:rsid w:val="00C25EA5"/>
    <w:rsid w:val="00C27A59"/>
    <w:rsid w:val="00C313FA"/>
    <w:rsid w:val="00C323F3"/>
    <w:rsid w:val="00C32EA1"/>
    <w:rsid w:val="00C33968"/>
    <w:rsid w:val="00C351AB"/>
    <w:rsid w:val="00C35667"/>
    <w:rsid w:val="00C35D8B"/>
    <w:rsid w:val="00C439BD"/>
    <w:rsid w:val="00C43A14"/>
    <w:rsid w:val="00C4415D"/>
    <w:rsid w:val="00C45BDA"/>
    <w:rsid w:val="00C45D0F"/>
    <w:rsid w:val="00C45DC3"/>
    <w:rsid w:val="00C45FAB"/>
    <w:rsid w:val="00C47D10"/>
    <w:rsid w:val="00C504E2"/>
    <w:rsid w:val="00C50D81"/>
    <w:rsid w:val="00C51462"/>
    <w:rsid w:val="00C51694"/>
    <w:rsid w:val="00C51A82"/>
    <w:rsid w:val="00C52F57"/>
    <w:rsid w:val="00C544A2"/>
    <w:rsid w:val="00C556B2"/>
    <w:rsid w:val="00C56A68"/>
    <w:rsid w:val="00C6052B"/>
    <w:rsid w:val="00C61EB5"/>
    <w:rsid w:val="00C62593"/>
    <w:rsid w:val="00C656B9"/>
    <w:rsid w:val="00C65D5A"/>
    <w:rsid w:val="00C65F5B"/>
    <w:rsid w:val="00C6678C"/>
    <w:rsid w:val="00C668F0"/>
    <w:rsid w:val="00C7067B"/>
    <w:rsid w:val="00C70A53"/>
    <w:rsid w:val="00C70A68"/>
    <w:rsid w:val="00C720F3"/>
    <w:rsid w:val="00C72D4E"/>
    <w:rsid w:val="00C7357C"/>
    <w:rsid w:val="00C7467B"/>
    <w:rsid w:val="00C74998"/>
    <w:rsid w:val="00C75C3E"/>
    <w:rsid w:val="00C75D00"/>
    <w:rsid w:val="00C773CF"/>
    <w:rsid w:val="00C776EA"/>
    <w:rsid w:val="00C803F3"/>
    <w:rsid w:val="00C80449"/>
    <w:rsid w:val="00C810C5"/>
    <w:rsid w:val="00C81199"/>
    <w:rsid w:val="00C827CA"/>
    <w:rsid w:val="00C83271"/>
    <w:rsid w:val="00C83413"/>
    <w:rsid w:val="00C835F9"/>
    <w:rsid w:val="00C83B61"/>
    <w:rsid w:val="00C84423"/>
    <w:rsid w:val="00C85175"/>
    <w:rsid w:val="00C85429"/>
    <w:rsid w:val="00C86616"/>
    <w:rsid w:val="00C87081"/>
    <w:rsid w:val="00C8766A"/>
    <w:rsid w:val="00C87F82"/>
    <w:rsid w:val="00C910B8"/>
    <w:rsid w:val="00C91C5F"/>
    <w:rsid w:val="00C91FA7"/>
    <w:rsid w:val="00C927C8"/>
    <w:rsid w:val="00C92865"/>
    <w:rsid w:val="00C9314A"/>
    <w:rsid w:val="00C93978"/>
    <w:rsid w:val="00C94F2C"/>
    <w:rsid w:val="00C96ED4"/>
    <w:rsid w:val="00C970D3"/>
    <w:rsid w:val="00C97441"/>
    <w:rsid w:val="00CA035E"/>
    <w:rsid w:val="00CA053A"/>
    <w:rsid w:val="00CA121D"/>
    <w:rsid w:val="00CA27A8"/>
    <w:rsid w:val="00CA337A"/>
    <w:rsid w:val="00CA38F2"/>
    <w:rsid w:val="00CA45A0"/>
    <w:rsid w:val="00CA52A1"/>
    <w:rsid w:val="00CA5A83"/>
    <w:rsid w:val="00CA5CA8"/>
    <w:rsid w:val="00CA638A"/>
    <w:rsid w:val="00CA7D40"/>
    <w:rsid w:val="00CB1E88"/>
    <w:rsid w:val="00CB3139"/>
    <w:rsid w:val="00CB475E"/>
    <w:rsid w:val="00CB5126"/>
    <w:rsid w:val="00CB5501"/>
    <w:rsid w:val="00CB7723"/>
    <w:rsid w:val="00CB7A76"/>
    <w:rsid w:val="00CB7B2E"/>
    <w:rsid w:val="00CC0A0B"/>
    <w:rsid w:val="00CC1297"/>
    <w:rsid w:val="00CC1F24"/>
    <w:rsid w:val="00CC22C4"/>
    <w:rsid w:val="00CC25EC"/>
    <w:rsid w:val="00CC52C1"/>
    <w:rsid w:val="00CC5A0F"/>
    <w:rsid w:val="00CC606C"/>
    <w:rsid w:val="00CC7472"/>
    <w:rsid w:val="00CC7BA1"/>
    <w:rsid w:val="00CD068E"/>
    <w:rsid w:val="00CD06A3"/>
    <w:rsid w:val="00CD15B2"/>
    <w:rsid w:val="00CD24A3"/>
    <w:rsid w:val="00CD24F8"/>
    <w:rsid w:val="00CD313F"/>
    <w:rsid w:val="00CD4C95"/>
    <w:rsid w:val="00CD5D45"/>
    <w:rsid w:val="00CD67D7"/>
    <w:rsid w:val="00CE054E"/>
    <w:rsid w:val="00CE1D21"/>
    <w:rsid w:val="00CE39D1"/>
    <w:rsid w:val="00CE3BC9"/>
    <w:rsid w:val="00CE4918"/>
    <w:rsid w:val="00CE4CB4"/>
    <w:rsid w:val="00CE523A"/>
    <w:rsid w:val="00CE584C"/>
    <w:rsid w:val="00CF182A"/>
    <w:rsid w:val="00CF399D"/>
    <w:rsid w:val="00CF5ED6"/>
    <w:rsid w:val="00CF67DC"/>
    <w:rsid w:val="00CF6B47"/>
    <w:rsid w:val="00D000E3"/>
    <w:rsid w:val="00D00CE8"/>
    <w:rsid w:val="00D00F90"/>
    <w:rsid w:val="00D012DF"/>
    <w:rsid w:val="00D01A30"/>
    <w:rsid w:val="00D025DA"/>
    <w:rsid w:val="00D030DD"/>
    <w:rsid w:val="00D03572"/>
    <w:rsid w:val="00D03B4D"/>
    <w:rsid w:val="00D048CD"/>
    <w:rsid w:val="00D04D30"/>
    <w:rsid w:val="00D05012"/>
    <w:rsid w:val="00D0534D"/>
    <w:rsid w:val="00D07AC4"/>
    <w:rsid w:val="00D07ADE"/>
    <w:rsid w:val="00D12CDA"/>
    <w:rsid w:val="00D13FAF"/>
    <w:rsid w:val="00D14C62"/>
    <w:rsid w:val="00D15367"/>
    <w:rsid w:val="00D162AC"/>
    <w:rsid w:val="00D20C09"/>
    <w:rsid w:val="00D21A61"/>
    <w:rsid w:val="00D2207B"/>
    <w:rsid w:val="00D23D21"/>
    <w:rsid w:val="00D23F1E"/>
    <w:rsid w:val="00D24D42"/>
    <w:rsid w:val="00D25CA3"/>
    <w:rsid w:val="00D261AF"/>
    <w:rsid w:val="00D264CD"/>
    <w:rsid w:val="00D27375"/>
    <w:rsid w:val="00D27DB9"/>
    <w:rsid w:val="00D305F5"/>
    <w:rsid w:val="00D3095E"/>
    <w:rsid w:val="00D31824"/>
    <w:rsid w:val="00D31A73"/>
    <w:rsid w:val="00D3255A"/>
    <w:rsid w:val="00D32880"/>
    <w:rsid w:val="00D32A1C"/>
    <w:rsid w:val="00D32C53"/>
    <w:rsid w:val="00D32E17"/>
    <w:rsid w:val="00D33056"/>
    <w:rsid w:val="00D33DC1"/>
    <w:rsid w:val="00D34511"/>
    <w:rsid w:val="00D34827"/>
    <w:rsid w:val="00D36EFB"/>
    <w:rsid w:val="00D402ED"/>
    <w:rsid w:val="00D4052B"/>
    <w:rsid w:val="00D40644"/>
    <w:rsid w:val="00D412DE"/>
    <w:rsid w:val="00D43FC5"/>
    <w:rsid w:val="00D44057"/>
    <w:rsid w:val="00D44DC6"/>
    <w:rsid w:val="00D44FD9"/>
    <w:rsid w:val="00D461D7"/>
    <w:rsid w:val="00D475FA"/>
    <w:rsid w:val="00D504EE"/>
    <w:rsid w:val="00D514B6"/>
    <w:rsid w:val="00D51FE1"/>
    <w:rsid w:val="00D522B5"/>
    <w:rsid w:val="00D53C91"/>
    <w:rsid w:val="00D543C1"/>
    <w:rsid w:val="00D5496E"/>
    <w:rsid w:val="00D55B53"/>
    <w:rsid w:val="00D56071"/>
    <w:rsid w:val="00D56792"/>
    <w:rsid w:val="00D6105C"/>
    <w:rsid w:val="00D6223C"/>
    <w:rsid w:val="00D65720"/>
    <w:rsid w:val="00D663F5"/>
    <w:rsid w:val="00D664CC"/>
    <w:rsid w:val="00D66B41"/>
    <w:rsid w:val="00D67D68"/>
    <w:rsid w:val="00D70886"/>
    <w:rsid w:val="00D71577"/>
    <w:rsid w:val="00D71BD7"/>
    <w:rsid w:val="00D72A3F"/>
    <w:rsid w:val="00D7301E"/>
    <w:rsid w:val="00D73B30"/>
    <w:rsid w:val="00D760BB"/>
    <w:rsid w:val="00D774D2"/>
    <w:rsid w:val="00D77B71"/>
    <w:rsid w:val="00D80866"/>
    <w:rsid w:val="00D8423E"/>
    <w:rsid w:val="00D845B0"/>
    <w:rsid w:val="00D84D09"/>
    <w:rsid w:val="00D84D5A"/>
    <w:rsid w:val="00D85D50"/>
    <w:rsid w:val="00D86141"/>
    <w:rsid w:val="00D86D03"/>
    <w:rsid w:val="00D877DA"/>
    <w:rsid w:val="00D900F6"/>
    <w:rsid w:val="00D908EE"/>
    <w:rsid w:val="00D9275D"/>
    <w:rsid w:val="00D92F68"/>
    <w:rsid w:val="00D92FC6"/>
    <w:rsid w:val="00D93C41"/>
    <w:rsid w:val="00D93C5B"/>
    <w:rsid w:val="00D9472C"/>
    <w:rsid w:val="00D97000"/>
    <w:rsid w:val="00D9727E"/>
    <w:rsid w:val="00DA0B1E"/>
    <w:rsid w:val="00DA0CD7"/>
    <w:rsid w:val="00DA11DC"/>
    <w:rsid w:val="00DA1348"/>
    <w:rsid w:val="00DA2B05"/>
    <w:rsid w:val="00DA2CC0"/>
    <w:rsid w:val="00DA5CDB"/>
    <w:rsid w:val="00DA5D79"/>
    <w:rsid w:val="00DA6723"/>
    <w:rsid w:val="00DA6733"/>
    <w:rsid w:val="00DA793F"/>
    <w:rsid w:val="00DA7950"/>
    <w:rsid w:val="00DB0066"/>
    <w:rsid w:val="00DB15C6"/>
    <w:rsid w:val="00DB1A69"/>
    <w:rsid w:val="00DB1B98"/>
    <w:rsid w:val="00DB272E"/>
    <w:rsid w:val="00DB3126"/>
    <w:rsid w:val="00DB34E4"/>
    <w:rsid w:val="00DB3A98"/>
    <w:rsid w:val="00DB6A46"/>
    <w:rsid w:val="00DB73BC"/>
    <w:rsid w:val="00DB7AC6"/>
    <w:rsid w:val="00DC2251"/>
    <w:rsid w:val="00DC22F3"/>
    <w:rsid w:val="00DC2B0D"/>
    <w:rsid w:val="00DC50E1"/>
    <w:rsid w:val="00DC54CF"/>
    <w:rsid w:val="00DC69E6"/>
    <w:rsid w:val="00DC7054"/>
    <w:rsid w:val="00DC70E5"/>
    <w:rsid w:val="00DC7412"/>
    <w:rsid w:val="00DD003C"/>
    <w:rsid w:val="00DD032F"/>
    <w:rsid w:val="00DD0887"/>
    <w:rsid w:val="00DD09E3"/>
    <w:rsid w:val="00DD0AC7"/>
    <w:rsid w:val="00DD1415"/>
    <w:rsid w:val="00DD14EC"/>
    <w:rsid w:val="00DD1979"/>
    <w:rsid w:val="00DD1A7A"/>
    <w:rsid w:val="00DD1CAF"/>
    <w:rsid w:val="00DD20E1"/>
    <w:rsid w:val="00DD313B"/>
    <w:rsid w:val="00DD3B7A"/>
    <w:rsid w:val="00DD61D2"/>
    <w:rsid w:val="00DD63E4"/>
    <w:rsid w:val="00DD6B7B"/>
    <w:rsid w:val="00DD6E02"/>
    <w:rsid w:val="00DD7A56"/>
    <w:rsid w:val="00DE04BB"/>
    <w:rsid w:val="00DE1966"/>
    <w:rsid w:val="00DE2129"/>
    <w:rsid w:val="00DE270A"/>
    <w:rsid w:val="00DE2E16"/>
    <w:rsid w:val="00DE718A"/>
    <w:rsid w:val="00DF0645"/>
    <w:rsid w:val="00DF1BA8"/>
    <w:rsid w:val="00DF1CFA"/>
    <w:rsid w:val="00DF309A"/>
    <w:rsid w:val="00E00872"/>
    <w:rsid w:val="00E01229"/>
    <w:rsid w:val="00E01FB0"/>
    <w:rsid w:val="00E02814"/>
    <w:rsid w:val="00E03379"/>
    <w:rsid w:val="00E05ECD"/>
    <w:rsid w:val="00E06C0B"/>
    <w:rsid w:val="00E10349"/>
    <w:rsid w:val="00E112F1"/>
    <w:rsid w:val="00E113E6"/>
    <w:rsid w:val="00E115D1"/>
    <w:rsid w:val="00E11B11"/>
    <w:rsid w:val="00E11DCF"/>
    <w:rsid w:val="00E12A7D"/>
    <w:rsid w:val="00E13935"/>
    <w:rsid w:val="00E1397E"/>
    <w:rsid w:val="00E16EF0"/>
    <w:rsid w:val="00E212B1"/>
    <w:rsid w:val="00E21811"/>
    <w:rsid w:val="00E21825"/>
    <w:rsid w:val="00E2196B"/>
    <w:rsid w:val="00E22EE5"/>
    <w:rsid w:val="00E243B9"/>
    <w:rsid w:val="00E24E1F"/>
    <w:rsid w:val="00E26BD1"/>
    <w:rsid w:val="00E27294"/>
    <w:rsid w:val="00E32B09"/>
    <w:rsid w:val="00E32B22"/>
    <w:rsid w:val="00E32F94"/>
    <w:rsid w:val="00E331CB"/>
    <w:rsid w:val="00E332C7"/>
    <w:rsid w:val="00E33FDE"/>
    <w:rsid w:val="00E348D9"/>
    <w:rsid w:val="00E34EA3"/>
    <w:rsid w:val="00E353CB"/>
    <w:rsid w:val="00E36265"/>
    <w:rsid w:val="00E362D4"/>
    <w:rsid w:val="00E36B43"/>
    <w:rsid w:val="00E40277"/>
    <w:rsid w:val="00E40969"/>
    <w:rsid w:val="00E4113D"/>
    <w:rsid w:val="00E43629"/>
    <w:rsid w:val="00E4386B"/>
    <w:rsid w:val="00E4586A"/>
    <w:rsid w:val="00E45AE6"/>
    <w:rsid w:val="00E45D89"/>
    <w:rsid w:val="00E474AA"/>
    <w:rsid w:val="00E50277"/>
    <w:rsid w:val="00E50E7E"/>
    <w:rsid w:val="00E51322"/>
    <w:rsid w:val="00E52514"/>
    <w:rsid w:val="00E52DBE"/>
    <w:rsid w:val="00E5425F"/>
    <w:rsid w:val="00E54DBB"/>
    <w:rsid w:val="00E551F6"/>
    <w:rsid w:val="00E553FA"/>
    <w:rsid w:val="00E55409"/>
    <w:rsid w:val="00E55684"/>
    <w:rsid w:val="00E5613C"/>
    <w:rsid w:val="00E576F8"/>
    <w:rsid w:val="00E6047F"/>
    <w:rsid w:val="00E6127A"/>
    <w:rsid w:val="00E624C8"/>
    <w:rsid w:val="00E62AB8"/>
    <w:rsid w:val="00E63523"/>
    <w:rsid w:val="00E6368B"/>
    <w:rsid w:val="00E65110"/>
    <w:rsid w:val="00E65367"/>
    <w:rsid w:val="00E65C18"/>
    <w:rsid w:val="00E678B8"/>
    <w:rsid w:val="00E70117"/>
    <w:rsid w:val="00E70BD0"/>
    <w:rsid w:val="00E71119"/>
    <w:rsid w:val="00E711B5"/>
    <w:rsid w:val="00E72F85"/>
    <w:rsid w:val="00E72FB3"/>
    <w:rsid w:val="00E7316C"/>
    <w:rsid w:val="00E73E5D"/>
    <w:rsid w:val="00E75CCD"/>
    <w:rsid w:val="00E771A2"/>
    <w:rsid w:val="00E80E63"/>
    <w:rsid w:val="00E84734"/>
    <w:rsid w:val="00E84CF1"/>
    <w:rsid w:val="00E857D9"/>
    <w:rsid w:val="00E87A42"/>
    <w:rsid w:val="00E90508"/>
    <w:rsid w:val="00E9090F"/>
    <w:rsid w:val="00E9107F"/>
    <w:rsid w:val="00E91084"/>
    <w:rsid w:val="00E911B2"/>
    <w:rsid w:val="00E913E3"/>
    <w:rsid w:val="00E91C37"/>
    <w:rsid w:val="00E932BB"/>
    <w:rsid w:val="00E93A28"/>
    <w:rsid w:val="00E940A5"/>
    <w:rsid w:val="00E94804"/>
    <w:rsid w:val="00E94ECE"/>
    <w:rsid w:val="00E964DC"/>
    <w:rsid w:val="00E968D5"/>
    <w:rsid w:val="00E97139"/>
    <w:rsid w:val="00E97B80"/>
    <w:rsid w:val="00E97F08"/>
    <w:rsid w:val="00EA09B6"/>
    <w:rsid w:val="00EA16F3"/>
    <w:rsid w:val="00EA1C4B"/>
    <w:rsid w:val="00EA2921"/>
    <w:rsid w:val="00EA4087"/>
    <w:rsid w:val="00EA4C8B"/>
    <w:rsid w:val="00EA5508"/>
    <w:rsid w:val="00EA6E9B"/>
    <w:rsid w:val="00EB0A3A"/>
    <w:rsid w:val="00EB1194"/>
    <w:rsid w:val="00EB1D03"/>
    <w:rsid w:val="00EB6FE2"/>
    <w:rsid w:val="00EB7200"/>
    <w:rsid w:val="00EB7868"/>
    <w:rsid w:val="00EB7EBB"/>
    <w:rsid w:val="00EB7F87"/>
    <w:rsid w:val="00EC39D2"/>
    <w:rsid w:val="00EC49D8"/>
    <w:rsid w:val="00EC4B2A"/>
    <w:rsid w:val="00EC5F18"/>
    <w:rsid w:val="00EC60D5"/>
    <w:rsid w:val="00EC6421"/>
    <w:rsid w:val="00EC6940"/>
    <w:rsid w:val="00EC6E70"/>
    <w:rsid w:val="00ED1195"/>
    <w:rsid w:val="00ED1259"/>
    <w:rsid w:val="00ED1D7D"/>
    <w:rsid w:val="00ED36DD"/>
    <w:rsid w:val="00ED66FD"/>
    <w:rsid w:val="00ED69F4"/>
    <w:rsid w:val="00ED7449"/>
    <w:rsid w:val="00EE061B"/>
    <w:rsid w:val="00EE09F7"/>
    <w:rsid w:val="00EE0A96"/>
    <w:rsid w:val="00EE1700"/>
    <w:rsid w:val="00EE2993"/>
    <w:rsid w:val="00EE54C6"/>
    <w:rsid w:val="00EE5F90"/>
    <w:rsid w:val="00EE7C5C"/>
    <w:rsid w:val="00EF07E5"/>
    <w:rsid w:val="00EF0E1B"/>
    <w:rsid w:val="00EF11DD"/>
    <w:rsid w:val="00EF13E0"/>
    <w:rsid w:val="00EF1717"/>
    <w:rsid w:val="00EF2048"/>
    <w:rsid w:val="00EF349E"/>
    <w:rsid w:val="00EF3E32"/>
    <w:rsid w:val="00EF4CD7"/>
    <w:rsid w:val="00EF636C"/>
    <w:rsid w:val="00F0016B"/>
    <w:rsid w:val="00F01B0E"/>
    <w:rsid w:val="00F02C77"/>
    <w:rsid w:val="00F03762"/>
    <w:rsid w:val="00F04F88"/>
    <w:rsid w:val="00F052D9"/>
    <w:rsid w:val="00F0620A"/>
    <w:rsid w:val="00F06285"/>
    <w:rsid w:val="00F065F0"/>
    <w:rsid w:val="00F07981"/>
    <w:rsid w:val="00F10A22"/>
    <w:rsid w:val="00F11D63"/>
    <w:rsid w:val="00F13A2F"/>
    <w:rsid w:val="00F1482F"/>
    <w:rsid w:val="00F155F4"/>
    <w:rsid w:val="00F15DFC"/>
    <w:rsid w:val="00F1602C"/>
    <w:rsid w:val="00F16745"/>
    <w:rsid w:val="00F167EE"/>
    <w:rsid w:val="00F16A09"/>
    <w:rsid w:val="00F1715F"/>
    <w:rsid w:val="00F208DA"/>
    <w:rsid w:val="00F21065"/>
    <w:rsid w:val="00F21F68"/>
    <w:rsid w:val="00F22EC0"/>
    <w:rsid w:val="00F23216"/>
    <w:rsid w:val="00F2377C"/>
    <w:rsid w:val="00F23C2F"/>
    <w:rsid w:val="00F23E0E"/>
    <w:rsid w:val="00F24E2D"/>
    <w:rsid w:val="00F24E37"/>
    <w:rsid w:val="00F24EB2"/>
    <w:rsid w:val="00F24EE0"/>
    <w:rsid w:val="00F25F00"/>
    <w:rsid w:val="00F2664F"/>
    <w:rsid w:val="00F27FCA"/>
    <w:rsid w:val="00F302DB"/>
    <w:rsid w:val="00F3063B"/>
    <w:rsid w:val="00F3312C"/>
    <w:rsid w:val="00F3384E"/>
    <w:rsid w:val="00F34A6B"/>
    <w:rsid w:val="00F35832"/>
    <w:rsid w:val="00F35A1B"/>
    <w:rsid w:val="00F3754A"/>
    <w:rsid w:val="00F37630"/>
    <w:rsid w:val="00F3792B"/>
    <w:rsid w:val="00F40149"/>
    <w:rsid w:val="00F40F30"/>
    <w:rsid w:val="00F41ACD"/>
    <w:rsid w:val="00F42A9B"/>
    <w:rsid w:val="00F42E67"/>
    <w:rsid w:val="00F44C71"/>
    <w:rsid w:val="00F44CCC"/>
    <w:rsid w:val="00F45B3D"/>
    <w:rsid w:val="00F46A87"/>
    <w:rsid w:val="00F46B63"/>
    <w:rsid w:val="00F51987"/>
    <w:rsid w:val="00F51AC5"/>
    <w:rsid w:val="00F53219"/>
    <w:rsid w:val="00F55157"/>
    <w:rsid w:val="00F55F4A"/>
    <w:rsid w:val="00F56C77"/>
    <w:rsid w:val="00F57859"/>
    <w:rsid w:val="00F60C3B"/>
    <w:rsid w:val="00F616FA"/>
    <w:rsid w:val="00F61A93"/>
    <w:rsid w:val="00F61C88"/>
    <w:rsid w:val="00F61D4A"/>
    <w:rsid w:val="00F62819"/>
    <w:rsid w:val="00F64765"/>
    <w:rsid w:val="00F66CBB"/>
    <w:rsid w:val="00F66E8A"/>
    <w:rsid w:val="00F7130D"/>
    <w:rsid w:val="00F718E5"/>
    <w:rsid w:val="00F724C9"/>
    <w:rsid w:val="00F726E0"/>
    <w:rsid w:val="00F74499"/>
    <w:rsid w:val="00F74785"/>
    <w:rsid w:val="00F74ADE"/>
    <w:rsid w:val="00F74CF6"/>
    <w:rsid w:val="00F7609E"/>
    <w:rsid w:val="00F762DA"/>
    <w:rsid w:val="00F765A7"/>
    <w:rsid w:val="00F76E50"/>
    <w:rsid w:val="00F779FA"/>
    <w:rsid w:val="00F816AC"/>
    <w:rsid w:val="00F81B20"/>
    <w:rsid w:val="00F8262C"/>
    <w:rsid w:val="00F82B7F"/>
    <w:rsid w:val="00F83DD9"/>
    <w:rsid w:val="00F85371"/>
    <w:rsid w:val="00F86387"/>
    <w:rsid w:val="00F87DDF"/>
    <w:rsid w:val="00F90587"/>
    <w:rsid w:val="00F91178"/>
    <w:rsid w:val="00F9379F"/>
    <w:rsid w:val="00F94BC6"/>
    <w:rsid w:val="00F95471"/>
    <w:rsid w:val="00F95652"/>
    <w:rsid w:val="00F95F40"/>
    <w:rsid w:val="00F97512"/>
    <w:rsid w:val="00FA07ED"/>
    <w:rsid w:val="00FA3350"/>
    <w:rsid w:val="00FA33C9"/>
    <w:rsid w:val="00FA3F69"/>
    <w:rsid w:val="00FA46A9"/>
    <w:rsid w:val="00FA5149"/>
    <w:rsid w:val="00FA6093"/>
    <w:rsid w:val="00FA609B"/>
    <w:rsid w:val="00FA7A9E"/>
    <w:rsid w:val="00FB003A"/>
    <w:rsid w:val="00FB1207"/>
    <w:rsid w:val="00FB1E7D"/>
    <w:rsid w:val="00FB1F05"/>
    <w:rsid w:val="00FB1F69"/>
    <w:rsid w:val="00FB2A57"/>
    <w:rsid w:val="00FB2F3F"/>
    <w:rsid w:val="00FB3EE3"/>
    <w:rsid w:val="00FB45BF"/>
    <w:rsid w:val="00FB4CE7"/>
    <w:rsid w:val="00FB5FC3"/>
    <w:rsid w:val="00FB6A49"/>
    <w:rsid w:val="00FC1120"/>
    <w:rsid w:val="00FC1384"/>
    <w:rsid w:val="00FC1C4F"/>
    <w:rsid w:val="00FC23FE"/>
    <w:rsid w:val="00FC2526"/>
    <w:rsid w:val="00FC37D8"/>
    <w:rsid w:val="00FC4340"/>
    <w:rsid w:val="00FC5463"/>
    <w:rsid w:val="00FC5BED"/>
    <w:rsid w:val="00FC618F"/>
    <w:rsid w:val="00FC71F3"/>
    <w:rsid w:val="00FC72AD"/>
    <w:rsid w:val="00FD1BAE"/>
    <w:rsid w:val="00FD1F5A"/>
    <w:rsid w:val="00FD3042"/>
    <w:rsid w:val="00FD3E53"/>
    <w:rsid w:val="00FD43A5"/>
    <w:rsid w:val="00FD4E5A"/>
    <w:rsid w:val="00FD512D"/>
    <w:rsid w:val="00FD57E8"/>
    <w:rsid w:val="00FD6A41"/>
    <w:rsid w:val="00FD71F3"/>
    <w:rsid w:val="00FD74FD"/>
    <w:rsid w:val="00FE43D2"/>
    <w:rsid w:val="00FE4EF3"/>
    <w:rsid w:val="00FE4F88"/>
    <w:rsid w:val="00FE7CBB"/>
    <w:rsid w:val="00FF2096"/>
    <w:rsid w:val="00FF218C"/>
    <w:rsid w:val="00FF32F2"/>
    <w:rsid w:val="00FF3F0D"/>
    <w:rsid w:val="00FF439C"/>
    <w:rsid w:val="00FF504F"/>
    <w:rsid w:val="00FF54C1"/>
    <w:rsid w:val="00FF678F"/>
    <w:rsid w:val="00FF6FCE"/>
    <w:rsid w:val="00FF7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C143FA"/>
  <w14:defaultImageDpi w14:val="300"/>
  <w15:docId w15:val="{6085C82E-F7A4-4F3F-B2AC-7A54A8C89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25A9"/>
  </w:style>
  <w:style w:type="paragraph" w:styleId="Heading1">
    <w:name w:val="heading 1"/>
    <w:basedOn w:val="Normal"/>
    <w:next w:val="Normal"/>
    <w:link w:val="Heading1Char"/>
    <w:uiPriority w:val="9"/>
    <w:qFormat/>
    <w:rsid w:val="00D24D4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24D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352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58E"/>
    <w:pPr>
      <w:ind w:left="720"/>
      <w:contextualSpacing/>
    </w:pPr>
  </w:style>
  <w:style w:type="paragraph" w:styleId="FootnoteText">
    <w:name w:val="footnote text"/>
    <w:basedOn w:val="Normal"/>
    <w:link w:val="FootnoteTextChar"/>
    <w:uiPriority w:val="99"/>
    <w:unhideWhenUsed/>
    <w:rsid w:val="003308F0"/>
  </w:style>
  <w:style w:type="character" w:customStyle="1" w:styleId="FootnoteTextChar">
    <w:name w:val="Footnote Text Char"/>
    <w:basedOn w:val="DefaultParagraphFont"/>
    <w:link w:val="FootnoteText"/>
    <w:uiPriority w:val="99"/>
    <w:rsid w:val="003308F0"/>
  </w:style>
  <w:style w:type="character" w:styleId="FootnoteReference">
    <w:name w:val="footnote reference"/>
    <w:basedOn w:val="DefaultParagraphFont"/>
    <w:uiPriority w:val="99"/>
    <w:unhideWhenUsed/>
    <w:rsid w:val="003308F0"/>
    <w:rPr>
      <w:vertAlign w:val="superscript"/>
    </w:rPr>
  </w:style>
  <w:style w:type="table" w:styleId="TableGrid">
    <w:name w:val="Table Grid"/>
    <w:basedOn w:val="TableNormal"/>
    <w:uiPriority w:val="59"/>
    <w:rsid w:val="001411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F68C2"/>
    <w:rPr>
      <w:color w:val="0000FF" w:themeColor="hyperlink"/>
      <w:u w:val="single"/>
    </w:rPr>
  </w:style>
  <w:style w:type="paragraph" w:styleId="Quote">
    <w:name w:val="Quote"/>
    <w:basedOn w:val="Normal"/>
    <w:next w:val="Normal"/>
    <w:link w:val="QuoteChar"/>
    <w:uiPriority w:val="29"/>
    <w:qFormat/>
    <w:rsid w:val="000921AE"/>
    <w:rPr>
      <w:i/>
      <w:iCs/>
      <w:color w:val="000000" w:themeColor="text1"/>
    </w:rPr>
  </w:style>
  <w:style w:type="character" w:customStyle="1" w:styleId="QuoteChar">
    <w:name w:val="Quote Char"/>
    <w:basedOn w:val="DefaultParagraphFont"/>
    <w:link w:val="Quote"/>
    <w:uiPriority w:val="29"/>
    <w:rsid w:val="000921AE"/>
    <w:rPr>
      <w:i/>
      <w:iCs/>
      <w:color w:val="000000" w:themeColor="text1"/>
    </w:rPr>
  </w:style>
  <w:style w:type="character" w:styleId="FollowedHyperlink">
    <w:name w:val="FollowedHyperlink"/>
    <w:basedOn w:val="DefaultParagraphFont"/>
    <w:uiPriority w:val="99"/>
    <w:semiHidden/>
    <w:unhideWhenUsed/>
    <w:rsid w:val="00DD1CAF"/>
    <w:rPr>
      <w:color w:val="800080" w:themeColor="followedHyperlink"/>
      <w:u w:val="single"/>
    </w:rPr>
  </w:style>
  <w:style w:type="character" w:styleId="EndnoteReference">
    <w:name w:val="endnote reference"/>
    <w:basedOn w:val="DefaultParagraphFont"/>
    <w:uiPriority w:val="99"/>
    <w:semiHidden/>
    <w:unhideWhenUsed/>
    <w:rsid w:val="00470546"/>
    <w:rPr>
      <w:vertAlign w:val="superscript"/>
    </w:rPr>
  </w:style>
  <w:style w:type="paragraph" w:styleId="Footer">
    <w:name w:val="footer"/>
    <w:basedOn w:val="Normal"/>
    <w:link w:val="FooterChar"/>
    <w:uiPriority w:val="99"/>
    <w:unhideWhenUsed/>
    <w:rsid w:val="009D4DCC"/>
    <w:pPr>
      <w:tabs>
        <w:tab w:val="center" w:pos="4320"/>
        <w:tab w:val="right" w:pos="8640"/>
      </w:tabs>
    </w:pPr>
  </w:style>
  <w:style w:type="character" w:customStyle="1" w:styleId="FooterChar">
    <w:name w:val="Footer Char"/>
    <w:basedOn w:val="DefaultParagraphFont"/>
    <w:link w:val="Footer"/>
    <w:uiPriority w:val="99"/>
    <w:rsid w:val="009D4DCC"/>
  </w:style>
  <w:style w:type="character" w:styleId="PageNumber">
    <w:name w:val="page number"/>
    <w:basedOn w:val="DefaultParagraphFont"/>
    <w:uiPriority w:val="99"/>
    <w:semiHidden/>
    <w:unhideWhenUsed/>
    <w:rsid w:val="009D4DCC"/>
  </w:style>
  <w:style w:type="character" w:styleId="CommentReference">
    <w:name w:val="annotation reference"/>
    <w:basedOn w:val="DefaultParagraphFont"/>
    <w:uiPriority w:val="99"/>
    <w:semiHidden/>
    <w:unhideWhenUsed/>
    <w:rsid w:val="001204E9"/>
    <w:rPr>
      <w:sz w:val="18"/>
      <w:szCs w:val="18"/>
    </w:rPr>
  </w:style>
  <w:style w:type="paragraph" w:styleId="CommentText">
    <w:name w:val="annotation text"/>
    <w:basedOn w:val="Normal"/>
    <w:link w:val="CommentTextChar"/>
    <w:uiPriority w:val="99"/>
    <w:semiHidden/>
    <w:unhideWhenUsed/>
    <w:rsid w:val="001204E9"/>
  </w:style>
  <w:style w:type="character" w:customStyle="1" w:styleId="CommentTextChar">
    <w:name w:val="Comment Text Char"/>
    <w:basedOn w:val="DefaultParagraphFont"/>
    <w:link w:val="CommentText"/>
    <w:uiPriority w:val="99"/>
    <w:semiHidden/>
    <w:rsid w:val="001204E9"/>
  </w:style>
  <w:style w:type="paragraph" w:styleId="CommentSubject">
    <w:name w:val="annotation subject"/>
    <w:basedOn w:val="CommentText"/>
    <w:next w:val="CommentText"/>
    <w:link w:val="CommentSubjectChar"/>
    <w:uiPriority w:val="99"/>
    <w:semiHidden/>
    <w:unhideWhenUsed/>
    <w:rsid w:val="001204E9"/>
    <w:rPr>
      <w:b/>
      <w:bCs/>
      <w:sz w:val="20"/>
      <w:szCs w:val="20"/>
    </w:rPr>
  </w:style>
  <w:style w:type="character" w:customStyle="1" w:styleId="CommentSubjectChar">
    <w:name w:val="Comment Subject Char"/>
    <w:basedOn w:val="CommentTextChar"/>
    <w:link w:val="CommentSubject"/>
    <w:uiPriority w:val="99"/>
    <w:semiHidden/>
    <w:rsid w:val="001204E9"/>
    <w:rPr>
      <w:b/>
      <w:bCs/>
      <w:sz w:val="20"/>
      <w:szCs w:val="20"/>
    </w:rPr>
  </w:style>
  <w:style w:type="paragraph" w:styleId="BalloonText">
    <w:name w:val="Balloon Text"/>
    <w:basedOn w:val="Normal"/>
    <w:link w:val="BalloonTextChar"/>
    <w:uiPriority w:val="99"/>
    <w:semiHidden/>
    <w:unhideWhenUsed/>
    <w:rsid w:val="001204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04E9"/>
    <w:rPr>
      <w:rFonts w:ascii="Lucida Grande" w:hAnsi="Lucida Grande" w:cs="Lucida Grande"/>
      <w:sz w:val="18"/>
      <w:szCs w:val="18"/>
    </w:rPr>
  </w:style>
  <w:style w:type="character" w:customStyle="1" w:styleId="Heading1Char">
    <w:name w:val="Heading 1 Char"/>
    <w:basedOn w:val="DefaultParagraphFont"/>
    <w:link w:val="Heading1"/>
    <w:uiPriority w:val="9"/>
    <w:rsid w:val="00D24D4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24D42"/>
    <w:rPr>
      <w:rFonts w:asciiTheme="majorHAnsi" w:eastAsiaTheme="majorEastAsia" w:hAnsiTheme="majorHAnsi" w:cstheme="majorBidi"/>
      <w:b/>
      <w:bCs/>
      <w:color w:val="4F81BD" w:themeColor="accent1"/>
      <w:sz w:val="26"/>
      <w:szCs w:val="26"/>
    </w:rPr>
  </w:style>
  <w:style w:type="paragraph" w:styleId="DocumentMap">
    <w:name w:val="Document Map"/>
    <w:basedOn w:val="Normal"/>
    <w:link w:val="DocumentMapChar"/>
    <w:uiPriority w:val="99"/>
    <w:semiHidden/>
    <w:unhideWhenUsed/>
    <w:rsid w:val="007A2E35"/>
    <w:rPr>
      <w:rFonts w:ascii="Lucida Grande" w:hAnsi="Lucida Grande" w:cs="Lucida Grande"/>
    </w:rPr>
  </w:style>
  <w:style w:type="character" w:customStyle="1" w:styleId="DocumentMapChar">
    <w:name w:val="Document Map Char"/>
    <w:basedOn w:val="DefaultParagraphFont"/>
    <w:link w:val="DocumentMap"/>
    <w:uiPriority w:val="99"/>
    <w:semiHidden/>
    <w:rsid w:val="007A2E35"/>
    <w:rPr>
      <w:rFonts w:ascii="Lucida Grande" w:hAnsi="Lucida Grande" w:cs="Lucida Grande"/>
    </w:rPr>
  </w:style>
  <w:style w:type="character" w:customStyle="1" w:styleId="Heading3Char">
    <w:name w:val="Heading 3 Char"/>
    <w:basedOn w:val="DefaultParagraphFont"/>
    <w:link w:val="Heading3"/>
    <w:uiPriority w:val="9"/>
    <w:rsid w:val="00E63523"/>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69565D"/>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788513">
      <w:bodyDiv w:val="1"/>
      <w:marLeft w:val="0"/>
      <w:marRight w:val="0"/>
      <w:marTop w:val="0"/>
      <w:marBottom w:val="0"/>
      <w:divBdr>
        <w:top w:val="none" w:sz="0" w:space="0" w:color="auto"/>
        <w:left w:val="none" w:sz="0" w:space="0" w:color="auto"/>
        <w:bottom w:val="none" w:sz="0" w:space="0" w:color="auto"/>
        <w:right w:val="none" w:sz="0" w:space="0" w:color="auto"/>
      </w:divBdr>
      <w:divsChild>
        <w:div w:id="626592936">
          <w:marLeft w:val="0"/>
          <w:marRight w:val="0"/>
          <w:marTop w:val="0"/>
          <w:marBottom w:val="0"/>
          <w:divBdr>
            <w:top w:val="none" w:sz="0" w:space="0" w:color="auto"/>
            <w:left w:val="none" w:sz="0" w:space="0" w:color="auto"/>
            <w:bottom w:val="none" w:sz="0" w:space="0" w:color="auto"/>
            <w:right w:val="none" w:sz="0" w:space="0" w:color="auto"/>
          </w:divBdr>
        </w:div>
        <w:div w:id="1569530775">
          <w:marLeft w:val="0"/>
          <w:marRight w:val="0"/>
          <w:marTop w:val="0"/>
          <w:marBottom w:val="0"/>
          <w:divBdr>
            <w:top w:val="none" w:sz="0" w:space="0" w:color="auto"/>
            <w:left w:val="none" w:sz="0" w:space="0" w:color="auto"/>
            <w:bottom w:val="none" w:sz="0" w:space="0" w:color="auto"/>
            <w:right w:val="none" w:sz="0" w:space="0" w:color="auto"/>
          </w:divBdr>
        </w:div>
        <w:div w:id="1996642258">
          <w:marLeft w:val="0"/>
          <w:marRight w:val="0"/>
          <w:marTop w:val="0"/>
          <w:marBottom w:val="0"/>
          <w:divBdr>
            <w:top w:val="none" w:sz="0" w:space="0" w:color="auto"/>
            <w:left w:val="none" w:sz="0" w:space="0" w:color="auto"/>
            <w:bottom w:val="none" w:sz="0" w:space="0" w:color="auto"/>
            <w:right w:val="none" w:sz="0" w:space="0" w:color="auto"/>
          </w:divBdr>
        </w:div>
        <w:div w:id="2027826486">
          <w:marLeft w:val="0"/>
          <w:marRight w:val="0"/>
          <w:marTop w:val="0"/>
          <w:marBottom w:val="0"/>
          <w:divBdr>
            <w:top w:val="none" w:sz="0" w:space="0" w:color="auto"/>
            <w:left w:val="none" w:sz="0" w:space="0" w:color="auto"/>
            <w:bottom w:val="none" w:sz="0" w:space="0" w:color="auto"/>
            <w:right w:val="none" w:sz="0" w:space="0" w:color="auto"/>
          </w:divBdr>
        </w:div>
      </w:divsChild>
    </w:div>
    <w:div w:id="1074160858">
      <w:bodyDiv w:val="1"/>
      <w:marLeft w:val="0"/>
      <w:marRight w:val="0"/>
      <w:marTop w:val="0"/>
      <w:marBottom w:val="0"/>
      <w:divBdr>
        <w:top w:val="none" w:sz="0" w:space="0" w:color="auto"/>
        <w:left w:val="none" w:sz="0" w:space="0" w:color="auto"/>
        <w:bottom w:val="none" w:sz="0" w:space="0" w:color="auto"/>
        <w:right w:val="none" w:sz="0" w:space="0" w:color="auto"/>
      </w:divBdr>
    </w:div>
    <w:div w:id="1982996977">
      <w:bodyDiv w:val="1"/>
      <w:marLeft w:val="0"/>
      <w:marRight w:val="0"/>
      <w:marTop w:val="0"/>
      <w:marBottom w:val="0"/>
      <w:divBdr>
        <w:top w:val="none" w:sz="0" w:space="0" w:color="auto"/>
        <w:left w:val="none" w:sz="0" w:space="0" w:color="auto"/>
        <w:bottom w:val="none" w:sz="0" w:space="0" w:color="auto"/>
        <w:right w:val="none" w:sz="0" w:space="0" w:color="auto"/>
      </w:divBdr>
      <w:divsChild>
        <w:div w:id="274363703">
          <w:marLeft w:val="0"/>
          <w:marRight w:val="0"/>
          <w:marTop w:val="0"/>
          <w:marBottom w:val="0"/>
          <w:divBdr>
            <w:top w:val="none" w:sz="0" w:space="0" w:color="auto"/>
            <w:left w:val="none" w:sz="0" w:space="0" w:color="auto"/>
            <w:bottom w:val="none" w:sz="0" w:space="0" w:color="auto"/>
            <w:right w:val="none" w:sz="0" w:space="0" w:color="auto"/>
          </w:divBdr>
        </w:div>
        <w:div w:id="1045181203">
          <w:marLeft w:val="0"/>
          <w:marRight w:val="0"/>
          <w:marTop w:val="0"/>
          <w:marBottom w:val="0"/>
          <w:divBdr>
            <w:top w:val="none" w:sz="0" w:space="0" w:color="auto"/>
            <w:left w:val="none" w:sz="0" w:space="0" w:color="auto"/>
            <w:bottom w:val="none" w:sz="0" w:space="0" w:color="auto"/>
            <w:right w:val="none" w:sz="0" w:space="0" w:color="auto"/>
          </w:divBdr>
        </w:div>
        <w:div w:id="1557426712">
          <w:marLeft w:val="0"/>
          <w:marRight w:val="0"/>
          <w:marTop w:val="0"/>
          <w:marBottom w:val="0"/>
          <w:divBdr>
            <w:top w:val="none" w:sz="0" w:space="0" w:color="auto"/>
            <w:left w:val="none" w:sz="0" w:space="0" w:color="auto"/>
            <w:bottom w:val="none" w:sz="0" w:space="0" w:color="auto"/>
            <w:right w:val="none" w:sz="0" w:space="0" w:color="auto"/>
          </w:divBdr>
        </w:div>
        <w:div w:id="2006088136">
          <w:marLeft w:val="0"/>
          <w:marRight w:val="0"/>
          <w:marTop w:val="0"/>
          <w:marBottom w:val="0"/>
          <w:divBdr>
            <w:top w:val="none" w:sz="0" w:space="0" w:color="auto"/>
            <w:left w:val="none" w:sz="0" w:space="0" w:color="auto"/>
            <w:bottom w:val="none" w:sz="0" w:space="0" w:color="auto"/>
            <w:right w:val="none" w:sz="0" w:space="0" w:color="auto"/>
          </w:divBdr>
        </w:div>
      </w:divsChild>
    </w:div>
    <w:div w:id="1995913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9BC57-8BEC-2D45-A157-54E097AE6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2506</TotalTime>
  <Pages>35</Pages>
  <Words>9911</Words>
  <Characters>56494</Characters>
  <Application>Microsoft Macintosh Word</Application>
  <DocSecurity>0</DocSecurity>
  <Lines>470</Lines>
  <Paragraphs>132</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Introduction </vt:lpstr>
      <vt:lpstr>Attempts of the European Court of Human Rights to protect sexual and reproductiv</vt:lpstr>
      <vt:lpstr>    Article 3 ECHR: access to SRH and vulnerability</vt:lpstr>
      <vt:lpstr>        Protecting vulnerability in forced sterilisations cases: integrity </vt:lpstr>
      <vt:lpstr>        Protecting vulnerability in abortion cases: suffering</vt:lpstr>
      <vt:lpstr>    Article 8 ECHR: access to SRH and autonomy</vt:lpstr>
      <vt:lpstr>        Protecting autonomy in forced sterilisation cases: informed consent</vt:lpstr>
      <vt:lpstr>        Protecting autonomy in obstetric and gynaecologic malpractice: procedural guaran</vt:lpstr>
      <vt:lpstr>        Protecting autonomy in abortions cases: positive obligations</vt:lpstr>
      <vt:lpstr>        Protecting autonomy in homebirth cases: choice</vt:lpstr>
      <vt:lpstr>Attempts of the European Committee of Social Rights to protect sexual and reprod</vt:lpstr>
      <vt:lpstr>    Protection of SRH in the reporting procedure </vt:lpstr>
      <vt:lpstr>        1969-2000: little to no monitoring of SRH matters</vt:lpstr>
      <vt:lpstr>        2001-2009: consistent monitoring of SRH matters</vt:lpstr>
      <vt:lpstr>        Since 2010: ups and downs in the monitoring of SRH matters </vt:lpstr>
      <vt:lpstr>    Protection of SRH in the complaints procedure </vt:lpstr>
      <vt:lpstr>        Sex education case</vt:lpstr>
      <vt:lpstr>        Abortion cases</vt:lpstr>
      <vt:lpstr>Conclusion </vt:lpstr>
    </vt:vector>
  </TitlesOfParts>
  <Company/>
  <LinksUpToDate>false</LinksUpToDate>
  <CharactersWithSpaces>66273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Lougarre</dc:creator>
  <cp:keywords/>
  <dc:description/>
  <cp:lastModifiedBy>Lougarre C.</cp:lastModifiedBy>
  <cp:revision>57</cp:revision>
  <cp:lastPrinted>2018-05-15T12:52:00Z</cp:lastPrinted>
  <dcterms:created xsi:type="dcterms:W3CDTF">2018-06-26T14:56:00Z</dcterms:created>
  <dcterms:modified xsi:type="dcterms:W3CDTF">2018-06-28T13:27:00Z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zotero-version="5.0.35.1"&gt;&lt;session id="KvKxa8iT"/&gt;&lt;style id="http://www.zotero.org/styles/oscola" hasBibliography="1" bibliographyStyleHasBeenSet="1"/&gt;&lt;prefs&gt;&lt;pref name="fieldType" value="Field"/&gt;&lt;pref name="automaticJournalAbbrevia</vt:lpwstr>
  </property>
  <property fmtid="{D5CDD505-2E9C-101B-9397-08002B2CF9AE}" pid="3" name="ZOTERO_PREF_2">
    <vt:lpwstr>tions" value="false"/&gt;&lt;pref name="noteType" value="1"/&gt;&lt;/prefs&gt;&lt;/data&gt;</vt:lpwstr>
  </property>
</Properties>
</file>